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2A4A2" w14:textId="4FD4F93A" w:rsidR="00450086" w:rsidRPr="004A107C" w:rsidRDefault="00C7205C" w:rsidP="00DF49AA">
      <w:pPr>
        <w:jc w:val="center"/>
        <w:rPr>
          <w:rFonts w:ascii="Arial" w:hAnsi="Arial" w:cs="Arial"/>
          <w:b/>
          <w:bCs/>
          <w:u w:val="single"/>
          <w:lang w:val="fr-CA"/>
        </w:rPr>
      </w:pPr>
      <w:r w:rsidRPr="004A107C">
        <w:rPr>
          <w:rFonts w:ascii="Arial" w:hAnsi="Arial" w:cs="Arial"/>
          <w:b/>
          <w:bCs/>
          <w:u w:val="single"/>
          <w:lang w:val="fr-CA"/>
        </w:rPr>
        <w:t xml:space="preserve">Procédures opérationnelles </w:t>
      </w:r>
      <w:r w:rsidR="00D86C4D" w:rsidRPr="004A107C">
        <w:rPr>
          <w:rFonts w:ascii="Arial" w:hAnsi="Arial" w:cs="Arial"/>
          <w:b/>
          <w:bCs/>
          <w:u w:val="single"/>
          <w:lang w:val="fr-CA"/>
        </w:rPr>
        <w:t xml:space="preserve">normalisées </w:t>
      </w:r>
      <w:r w:rsidRPr="004A107C">
        <w:rPr>
          <w:rFonts w:ascii="Arial" w:hAnsi="Arial" w:cs="Arial"/>
          <w:b/>
          <w:bCs/>
          <w:u w:val="single"/>
          <w:lang w:val="fr-CA"/>
        </w:rPr>
        <w:t>pour les propositions de règlement</w:t>
      </w:r>
      <w:r w:rsidR="00D86C4D" w:rsidRPr="004A107C">
        <w:rPr>
          <w:rFonts w:ascii="Arial" w:hAnsi="Arial" w:cs="Arial"/>
          <w:b/>
          <w:bCs/>
          <w:u w:val="single"/>
          <w:lang w:val="fr-CA"/>
        </w:rPr>
        <w:t>s</w:t>
      </w:r>
      <w:r w:rsidRPr="004A107C">
        <w:rPr>
          <w:rFonts w:ascii="Arial" w:hAnsi="Arial" w:cs="Arial"/>
          <w:b/>
          <w:bCs/>
          <w:u w:val="single"/>
          <w:lang w:val="fr-CA"/>
        </w:rPr>
        <w:t xml:space="preserve"> correctif</w:t>
      </w:r>
      <w:r w:rsidR="00D86C4D" w:rsidRPr="004A107C">
        <w:rPr>
          <w:rFonts w:ascii="Arial" w:hAnsi="Arial" w:cs="Arial"/>
          <w:b/>
          <w:bCs/>
          <w:u w:val="single"/>
          <w:lang w:val="fr-CA"/>
        </w:rPr>
        <w:t>s</w:t>
      </w:r>
    </w:p>
    <w:p w14:paraId="68E2DD0C" w14:textId="27D0A54C" w:rsidR="00DF49AA" w:rsidRPr="004A107C" w:rsidRDefault="00C7205C" w:rsidP="00DF49AA">
      <w:pPr>
        <w:rPr>
          <w:rFonts w:ascii="Arial" w:hAnsi="Arial" w:cs="Arial"/>
          <w:lang w:val="fr-CA"/>
        </w:rPr>
      </w:pPr>
      <w:r w:rsidRPr="004A107C">
        <w:rPr>
          <w:rFonts w:ascii="Arial" w:hAnsi="Arial" w:cs="Arial"/>
          <w:b/>
          <w:bCs/>
          <w:u w:val="single"/>
          <w:lang w:val="fr-CA"/>
        </w:rPr>
        <w:t>Objet</w:t>
      </w:r>
      <w:r w:rsidR="0055630C" w:rsidRPr="0055630C">
        <w:rPr>
          <w:rFonts w:ascii="Arial" w:hAnsi="Arial" w:cs="Arial"/>
          <w:b/>
          <w:bCs/>
          <w:lang w:val="fr-CA"/>
        </w:rPr>
        <w:t> </w:t>
      </w:r>
      <w:r w:rsidR="00DF49AA" w:rsidRPr="0055630C">
        <w:rPr>
          <w:rFonts w:ascii="Arial" w:hAnsi="Arial" w:cs="Arial"/>
          <w:b/>
          <w:bCs/>
          <w:lang w:val="fr-CA"/>
        </w:rPr>
        <w:t>:</w:t>
      </w:r>
      <w:r w:rsidR="00DF49AA" w:rsidRPr="004A107C">
        <w:rPr>
          <w:rFonts w:ascii="Arial" w:hAnsi="Arial" w:cs="Arial"/>
          <w:b/>
          <w:bCs/>
          <w:lang w:val="fr-CA"/>
        </w:rPr>
        <w:t xml:space="preserve"> </w:t>
      </w:r>
      <w:r w:rsidRPr="004A107C">
        <w:rPr>
          <w:rFonts w:ascii="Arial" w:hAnsi="Arial" w:cs="Arial"/>
          <w:lang w:val="fr-CA"/>
        </w:rPr>
        <w:t xml:space="preserve">Donner les grandes lignes du processus </w:t>
      </w:r>
      <w:r w:rsidR="00D86C4D" w:rsidRPr="004A107C">
        <w:rPr>
          <w:rFonts w:ascii="Arial" w:hAnsi="Arial" w:cs="Arial"/>
          <w:lang w:val="fr-CA"/>
        </w:rPr>
        <w:t xml:space="preserve">que doivent </w:t>
      </w:r>
      <w:r w:rsidR="004A107C" w:rsidRPr="004A107C">
        <w:rPr>
          <w:rFonts w:ascii="Arial" w:hAnsi="Arial" w:cs="Arial"/>
          <w:lang w:val="fr-CA"/>
        </w:rPr>
        <w:t xml:space="preserve">suivre </w:t>
      </w:r>
      <w:r w:rsidR="00D86C4D" w:rsidRPr="004A107C">
        <w:rPr>
          <w:rFonts w:ascii="Arial" w:hAnsi="Arial" w:cs="Arial"/>
          <w:lang w:val="fr-CA"/>
        </w:rPr>
        <w:t xml:space="preserve">les organismes de réglementation </w:t>
      </w:r>
      <w:r w:rsidRPr="004A107C">
        <w:rPr>
          <w:rFonts w:ascii="Arial" w:hAnsi="Arial" w:cs="Arial"/>
          <w:lang w:val="fr-CA"/>
        </w:rPr>
        <w:t>fédéraux pour déterminer si des modifications réglementaires sont de nature corrective.</w:t>
      </w:r>
    </w:p>
    <w:p w14:paraId="6B6CC799" w14:textId="0A62131A" w:rsidR="00DF49AA" w:rsidRPr="004A107C" w:rsidRDefault="00C7205C" w:rsidP="00DF49AA">
      <w:pPr>
        <w:pStyle w:val="NormalWeb"/>
        <w:shd w:val="clear" w:color="auto" w:fill="FFFFFF"/>
        <w:spacing w:after="173"/>
        <w:rPr>
          <w:rFonts w:ascii="Arial" w:hAnsi="Arial" w:cs="Arial"/>
          <w:b/>
          <w:bCs/>
          <w:sz w:val="22"/>
          <w:szCs w:val="22"/>
          <w:u w:val="single"/>
          <w:lang w:val="fr-CA"/>
        </w:rPr>
      </w:pPr>
      <w:r w:rsidRPr="004A107C">
        <w:rPr>
          <w:rFonts w:ascii="Arial" w:hAnsi="Arial" w:cs="Arial"/>
          <w:b/>
          <w:bCs/>
          <w:sz w:val="22"/>
          <w:szCs w:val="22"/>
          <w:u w:val="single"/>
          <w:lang w:val="fr-CA"/>
        </w:rPr>
        <w:t>Contexte</w:t>
      </w:r>
    </w:p>
    <w:p w14:paraId="1A6CF18D" w14:textId="08E657D6" w:rsidR="00DF49AA" w:rsidRPr="004A107C" w:rsidRDefault="00C7205C" w:rsidP="00DF49AA">
      <w:pPr>
        <w:pStyle w:val="NormalWeb"/>
        <w:shd w:val="clear" w:color="auto" w:fill="FFFFFF"/>
        <w:spacing w:after="173"/>
        <w:rPr>
          <w:rFonts w:ascii="Arial" w:hAnsi="Arial" w:cs="Arial"/>
          <w:sz w:val="22"/>
          <w:szCs w:val="22"/>
          <w:lang w:val="fr-CA"/>
        </w:rPr>
      </w:pPr>
      <w:r w:rsidRPr="004A107C">
        <w:rPr>
          <w:rFonts w:ascii="Arial" w:hAnsi="Arial" w:cs="Arial"/>
          <w:sz w:val="22"/>
          <w:szCs w:val="22"/>
          <w:lang w:val="fr-CA"/>
        </w:rPr>
        <w:t>Conformément à la Politique sur l’élaboration de</w:t>
      </w:r>
      <w:r w:rsidR="00D86C4D" w:rsidRPr="004A107C">
        <w:rPr>
          <w:rFonts w:ascii="Arial" w:hAnsi="Arial" w:cs="Arial"/>
          <w:sz w:val="22"/>
          <w:szCs w:val="22"/>
          <w:lang w:val="fr-CA"/>
        </w:rPr>
        <w:t xml:space="preserve"> la</w:t>
      </w:r>
      <w:r w:rsidRPr="004A107C">
        <w:rPr>
          <w:rFonts w:ascii="Arial" w:hAnsi="Arial" w:cs="Arial"/>
          <w:sz w:val="22"/>
          <w:szCs w:val="22"/>
          <w:lang w:val="fr-CA"/>
        </w:rPr>
        <w:t xml:space="preserve"> r</w:t>
      </w:r>
      <w:r w:rsidR="00D86C4D" w:rsidRPr="004A107C">
        <w:rPr>
          <w:rFonts w:ascii="Arial" w:hAnsi="Arial" w:cs="Arial"/>
          <w:sz w:val="22"/>
          <w:szCs w:val="22"/>
          <w:lang w:val="fr-CA"/>
        </w:rPr>
        <w:t>é</w:t>
      </w:r>
      <w:r w:rsidRPr="004A107C">
        <w:rPr>
          <w:rFonts w:ascii="Arial" w:hAnsi="Arial" w:cs="Arial"/>
          <w:sz w:val="22"/>
          <w:szCs w:val="22"/>
          <w:lang w:val="fr-CA"/>
        </w:rPr>
        <w:t>glement</w:t>
      </w:r>
      <w:r w:rsidR="00D86C4D" w:rsidRPr="004A107C">
        <w:rPr>
          <w:rFonts w:ascii="Arial" w:hAnsi="Arial" w:cs="Arial"/>
          <w:sz w:val="22"/>
          <w:szCs w:val="22"/>
          <w:lang w:val="fr-CA"/>
        </w:rPr>
        <w:t>ation</w:t>
      </w:r>
      <w:r w:rsidRPr="004A107C">
        <w:rPr>
          <w:rFonts w:ascii="Arial" w:hAnsi="Arial" w:cs="Arial"/>
          <w:sz w:val="22"/>
          <w:szCs w:val="22"/>
          <w:lang w:val="fr-CA"/>
        </w:rPr>
        <w:t> :</w:t>
      </w:r>
    </w:p>
    <w:p w14:paraId="5A793F90" w14:textId="386A0515" w:rsidR="00DF49AA" w:rsidRPr="004A107C" w:rsidRDefault="00B2668B" w:rsidP="00DF49AA">
      <w:pPr>
        <w:pStyle w:val="NormalWeb"/>
        <w:shd w:val="clear" w:color="auto" w:fill="FFFFFF"/>
        <w:spacing w:after="173"/>
        <w:rPr>
          <w:rFonts w:ascii="Arial" w:eastAsia="Times New Roman" w:hAnsi="Arial" w:cs="Arial"/>
          <w:sz w:val="22"/>
          <w:szCs w:val="22"/>
          <w:lang w:val="fr-CA" w:eastAsia="en-CA"/>
        </w:rPr>
      </w:pPr>
      <w:r w:rsidRPr="004A107C">
        <w:rPr>
          <w:rFonts w:ascii="Arial" w:eastAsia="Times New Roman" w:hAnsi="Arial" w:cs="Arial"/>
          <w:sz w:val="22"/>
          <w:szCs w:val="22"/>
          <w:lang w:val="fr-CA" w:eastAsia="en-CA"/>
        </w:rPr>
        <w:t>Les règlements correctifs sont des modifications mineures et non substantielles à des règlements existants. Ils peuvent être d</w:t>
      </w:r>
      <w:r w:rsidR="00D86C4D" w:rsidRPr="004A107C">
        <w:rPr>
          <w:rFonts w:ascii="Arial" w:eastAsia="Times New Roman" w:hAnsi="Arial" w:cs="Arial"/>
          <w:sz w:val="22"/>
          <w:szCs w:val="22"/>
          <w:lang w:val="fr-CA" w:eastAsia="en-CA"/>
        </w:rPr>
        <w:t>é</w:t>
      </w:r>
      <w:r w:rsidRPr="004A107C">
        <w:rPr>
          <w:rFonts w:ascii="Arial" w:eastAsia="Times New Roman" w:hAnsi="Arial" w:cs="Arial"/>
          <w:sz w:val="22"/>
          <w:szCs w:val="22"/>
          <w:lang w:val="fr-CA" w:eastAsia="en-CA"/>
        </w:rPr>
        <w:t>termin</w:t>
      </w:r>
      <w:r w:rsidR="00D86C4D" w:rsidRPr="004A107C">
        <w:rPr>
          <w:rFonts w:ascii="Arial" w:eastAsia="Times New Roman" w:hAnsi="Arial" w:cs="Arial"/>
          <w:sz w:val="22"/>
          <w:szCs w:val="22"/>
          <w:lang w:val="fr-CA" w:eastAsia="en-CA"/>
        </w:rPr>
        <w:t>é</w:t>
      </w:r>
      <w:r w:rsidRPr="004A107C">
        <w:rPr>
          <w:rFonts w:ascii="Arial" w:eastAsia="Times New Roman" w:hAnsi="Arial" w:cs="Arial"/>
          <w:sz w:val="22"/>
          <w:szCs w:val="22"/>
          <w:lang w:val="fr-CA" w:eastAsia="en-CA"/>
        </w:rPr>
        <w:t>s par les entités suivantes :</w:t>
      </w:r>
    </w:p>
    <w:p w14:paraId="78885EC9" w14:textId="1191383E" w:rsidR="00DF49AA" w:rsidRPr="004A107C" w:rsidRDefault="00D86C4D" w:rsidP="00DF49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val="fr-CA" w:eastAsia="en-CA"/>
        </w:rPr>
      </w:pPr>
      <w:proofErr w:type="gramStart"/>
      <w:r w:rsidRPr="004A107C">
        <w:rPr>
          <w:rFonts w:ascii="Arial" w:eastAsia="Times New Roman" w:hAnsi="Arial" w:cs="Arial"/>
          <w:lang w:val="fr-CA" w:eastAsia="en-CA"/>
        </w:rPr>
        <w:t>o</w:t>
      </w:r>
      <w:r w:rsidR="00431273" w:rsidRPr="004A107C">
        <w:rPr>
          <w:rFonts w:ascii="Arial" w:eastAsia="Times New Roman" w:hAnsi="Arial" w:cs="Arial"/>
          <w:lang w:val="fr-CA" w:eastAsia="en-CA"/>
        </w:rPr>
        <w:t>rganismes</w:t>
      </w:r>
      <w:proofErr w:type="gramEnd"/>
      <w:r w:rsidR="00431273" w:rsidRPr="004A107C">
        <w:rPr>
          <w:rFonts w:ascii="Arial" w:eastAsia="Times New Roman" w:hAnsi="Arial" w:cs="Arial"/>
          <w:lang w:val="fr-CA" w:eastAsia="en-CA"/>
        </w:rPr>
        <w:t xml:space="preserve"> de réglementation, y compris par la consultation avec des intervenants;</w:t>
      </w:r>
    </w:p>
    <w:p w14:paraId="22A93F4E" w14:textId="3EA6C0E7" w:rsidR="00DF49AA" w:rsidRPr="004A107C" w:rsidRDefault="00431273" w:rsidP="00DF49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val="fr-CA" w:eastAsia="en-CA"/>
        </w:rPr>
      </w:pPr>
      <w:r w:rsidRPr="004A107C">
        <w:rPr>
          <w:rFonts w:ascii="Arial" w:eastAsia="Times New Roman" w:hAnsi="Arial" w:cs="Arial"/>
          <w:lang w:val="fr-CA" w:eastAsia="en-CA"/>
        </w:rPr>
        <w:t>Comité mixte permanent d’examen de la réglementation.</w:t>
      </w:r>
    </w:p>
    <w:p w14:paraId="51EE5798" w14:textId="5651B664" w:rsidR="00DF49AA" w:rsidRPr="004A107C" w:rsidRDefault="00431273" w:rsidP="00DF49AA">
      <w:pPr>
        <w:shd w:val="clear" w:color="auto" w:fill="FFFFFF"/>
        <w:spacing w:after="173" w:line="240" w:lineRule="auto"/>
        <w:rPr>
          <w:rFonts w:ascii="Arial" w:eastAsia="Times New Roman" w:hAnsi="Arial" w:cs="Arial"/>
          <w:lang w:val="fr-CA" w:eastAsia="en-CA"/>
        </w:rPr>
      </w:pPr>
      <w:r w:rsidRPr="004A107C">
        <w:rPr>
          <w:rFonts w:ascii="Arial" w:eastAsia="Times New Roman" w:hAnsi="Arial" w:cs="Arial"/>
          <w:lang w:val="fr-CA" w:eastAsia="en-CA"/>
        </w:rPr>
        <w:t xml:space="preserve">Les règlements correctifs adoptent une approche </w:t>
      </w:r>
      <w:r w:rsidR="00D86C4D" w:rsidRPr="004A107C">
        <w:rPr>
          <w:rFonts w:ascii="Arial" w:eastAsia="Times New Roman" w:hAnsi="Arial" w:cs="Arial"/>
          <w:lang w:val="fr-CA" w:eastAsia="en-CA"/>
        </w:rPr>
        <w:t>« </w:t>
      </w:r>
      <w:r w:rsidRPr="004A107C">
        <w:rPr>
          <w:rFonts w:ascii="Arial" w:eastAsia="Times New Roman" w:hAnsi="Arial" w:cs="Arial"/>
          <w:lang w:val="fr-CA" w:eastAsia="en-CA"/>
        </w:rPr>
        <w:t>légère</w:t>
      </w:r>
      <w:r w:rsidR="00D86C4D" w:rsidRPr="004A107C">
        <w:rPr>
          <w:rFonts w:ascii="Arial" w:eastAsia="Times New Roman" w:hAnsi="Arial" w:cs="Arial"/>
          <w:lang w:val="fr-CA" w:eastAsia="en-CA"/>
        </w:rPr>
        <w:t> »</w:t>
      </w:r>
      <w:r w:rsidRPr="004A107C">
        <w:rPr>
          <w:rFonts w:ascii="Arial" w:eastAsia="Times New Roman" w:hAnsi="Arial" w:cs="Arial"/>
          <w:lang w:val="fr-CA" w:eastAsia="en-CA"/>
        </w:rPr>
        <w:t>, car la nature des modifications réglementaires n’a aucun impact r</w:t>
      </w:r>
      <w:r w:rsidR="00D86C4D" w:rsidRPr="004A107C">
        <w:rPr>
          <w:rFonts w:ascii="Arial" w:eastAsia="Times New Roman" w:hAnsi="Arial" w:cs="Arial"/>
          <w:lang w:val="fr-CA" w:eastAsia="en-CA"/>
        </w:rPr>
        <w:t>é</w:t>
      </w:r>
      <w:r w:rsidRPr="004A107C">
        <w:rPr>
          <w:rFonts w:ascii="Arial" w:eastAsia="Times New Roman" w:hAnsi="Arial" w:cs="Arial"/>
          <w:lang w:val="fr-CA" w:eastAsia="en-CA"/>
        </w:rPr>
        <w:t>el.</w:t>
      </w:r>
    </w:p>
    <w:p w14:paraId="3FA34E44" w14:textId="17CF0A46" w:rsidR="00DF49AA" w:rsidRPr="004A107C" w:rsidRDefault="00431273" w:rsidP="00DF49AA">
      <w:pPr>
        <w:shd w:val="clear" w:color="auto" w:fill="FFFFFF"/>
        <w:spacing w:after="173" w:line="240" w:lineRule="auto"/>
        <w:rPr>
          <w:rFonts w:ascii="Arial" w:eastAsia="Times New Roman" w:hAnsi="Arial" w:cs="Arial"/>
          <w:lang w:val="fr-CA" w:eastAsia="en-CA"/>
        </w:rPr>
      </w:pPr>
      <w:r w:rsidRPr="004A107C">
        <w:rPr>
          <w:rFonts w:ascii="Arial" w:eastAsia="Times New Roman" w:hAnsi="Arial" w:cs="Arial"/>
          <w:lang w:val="fr-CA" w:eastAsia="en-CA"/>
        </w:rPr>
        <w:t>Les exemples de modificatio</w:t>
      </w:r>
      <w:r w:rsidR="00D86C4D" w:rsidRPr="004A107C">
        <w:rPr>
          <w:rFonts w:ascii="Arial" w:eastAsia="Times New Roman" w:hAnsi="Arial" w:cs="Arial"/>
          <w:lang w:val="fr-CA" w:eastAsia="en-CA"/>
        </w:rPr>
        <w:t>n</w:t>
      </w:r>
      <w:r w:rsidRPr="004A107C">
        <w:rPr>
          <w:rFonts w:ascii="Arial" w:eastAsia="Times New Roman" w:hAnsi="Arial" w:cs="Arial"/>
          <w:lang w:val="fr-CA" w:eastAsia="en-CA"/>
        </w:rPr>
        <w:t>s de règlements correctifs incluent, mais sans s’y limiter, les mesures suivantes</w:t>
      </w:r>
      <w:r w:rsidR="00D86C4D" w:rsidRPr="004A107C">
        <w:rPr>
          <w:rFonts w:ascii="Arial" w:eastAsia="Times New Roman" w:hAnsi="Arial" w:cs="Arial"/>
          <w:lang w:val="fr-CA" w:eastAsia="en-CA"/>
        </w:rPr>
        <w:t> </w:t>
      </w:r>
      <w:r w:rsidRPr="004A107C">
        <w:rPr>
          <w:rFonts w:ascii="Arial" w:eastAsia="Times New Roman" w:hAnsi="Arial" w:cs="Arial"/>
          <w:lang w:val="fr-CA" w:eastAsia="en-CA"/>
        </w:rPr>
        <w:t>:</w:t>
      </w:r>
    </w:p>
    <w:p w14:paraId="76FE5DB1" w14:textId="2859CB3C" w:rsidR="00DF49AA" w:rsidRPr="004A107C" w:rsidRDefault="00D86C4D" w:rsidP="00DF49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val="fr-CA" w:eastAsia="en-CA"/>
        </w:rPr>
      </w:pPr>
      <w:proofErr w:type="gramStart"/>
      <w:r w:rsidRPr="004A107C">
        <w:rPr>
          <w:rFonts w:ascii="Arial" w:eastAsia="Times New Roman" w:hAnsi="Arial" w:cs="Arial"/>
          <w:lang w:val="fr-CA" w:eastAsia="en-CA"/>
        </w:rPr>
        <w:t>d</w:t>
      </w:r>
      <w:r w:rsidR="00431273" w:rsidRPr="004A107C">
        <w:rPr>
          <w:rFonts w:ascii="Arial" w:eastAsia="Times New Roman" w:hAnsi="Arial" w:cs="Arial"/>
          <w:lang w:val="fr-CA" w:eastAsia="en-CA"/>
        </w:rPr>
        <w:t>ispositions</w:t>
      </w:r>
      <w:proofErr w:type="gramEnd"/>
      <w:r w:rsidR="00431273" w:rsidRPr="004A107C">
        <w:rPr>
          <w:rFonts w:ascii="Arial" w:eastAsia="Times New Roman" w:hAnsi="Arial" w:cs="Arial"/>
          <w:lang w:val="fr-CA" w:eastAsia="en-CA"/>
        </w:rPr>
        <w:t xml:space="preserve"> désuètes ou épuisées abrogées qui n’ont aucune application actuelle;</w:t>
      </w:r>
    </w:p>
    <w:p w14:paraId="175D4B16" w14:textId="67A4414A" w:rsidR="00DF49AA" w:rsidRPr="004A107C" w:rsidRDefault="00D86C4D" w:rsidP="00DF49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val="fr-CA" w:eastAsia="en-CA"/>
        </w:rPr>
      </w:pPr>
      <w:proofErr w:type="gramStart"/>
      <w:r w:rsidRPr="004A107C">
        <w:rPr>
          <w:rFonts w:ascii="Arial" w:eastAsia="Times New Roman" w:hAnsi="Arial" w:cs="Arial"/>
          <w:lang w:val="fr-CA" w:eastAsia="en-CA"/>
        </w:rPr>
        <w:t>é</w:t>
      </w:r>
      <w:r w:rsidR="00431273" w:rsidRPr="004A107C">
        <w:rPr>
          <w:rFonts w:ascii="Arial" w:eastAsia="Times New Roman" w:hAnsi="Arial" w:cs="Arial"/>
          <w:lang w:val="fr-CA" w:eastAsia="en-CA"/>
        </w:rPr>
        <w:t>limination</w:t>
      </w:r>
      <w:proofErr w:type="gramEnd"/>
      <w:r w:rsidR="00431273" w:rsidRPr="004A107C">
        <w:rPr>
          <w:rFonts w:ascii="Arial" w:eastAsia="Times New Roman" w:hAnsi="Arial" w:cs="Arial"/>
          <w:lang w:val="fr-CA" w:eastAsia="en-CA"/>
        </w:rPr>
        <w:t xml:space="preserve"> des dédoublements inutiles de texte;</w:t>
      </w:r>
    </w:p>
    <w:p w14:paraId="7116412A" w14:textId="1CDCACFD" w:rsidR="00DF49AA" w:rsidRPr="004A107C" w:rsidRDefault="00D86C4D" w:rsidP="00DF49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val="fr-CA" w:eastAsia="en-CA"/>
        </w:rPr>
      </w:pPr>
      <w:proofErr w:type="gramStart"/>
      <w:r w:rsidRPr="004A107C">
        <w:rPr>
          <w:rFonts w:ascii="Arial" w:eastAsia="Times New Roman" w:hAnsi="Arial" w:cs="Arial"/>
          <w:lang w:val="fr-CA" w:eastAsia="en-CA"/>
        </w:rPr>
        <w:t>n</w:t>
      </w:r>
      <w:r w:rsidR="00431273" w:rsidRPr="004A107C">
        <w:rPr>
          <w:rFonts w:ascii="Arial" w:eastAsia="Times New Roman" w:hAnsi="Arial" w:cs="Arial"/>
          <w:lang w:val="fr-CA" w:eastAsia="en-CA"/>
        </w:rPr>
        <w:t>ouvelle</w:t>
      </w:r>
      <w:proofErr w:type="gramEnd"/>
      <w:r w:rsidR="00431273" w:rsidRPr="004A107C">
        <w:rPr>
          <w:rFonts w:ascii="Arial" w:eastAsia="Times New Roman" w:hAnsi="Arial" w:cs="Arial"/>
          <w:lang w:val="fr-CA" w:eastAsia="en-CA"/>
        </w:rPr>
        <w:t xml:space="preserve"> numérotation des articles;</w:t>
      </w:r>
    </w:p>
    <w:p w14:paraId="7DCECE9B" w14:textId="3CC8A446" w:rsidR="00DF49AA" w:rsidRPr="004A107C" w:rsidRDefault="00D86C4D" w:rsidP="00DF49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val="fr-CA" w:eastAsia="en-CA"/>
        </w:rPr>
      </w:pPr>
      <w:proofErr w:type="gramStart"/>
      <w:r w:rsidRPr="004A107C">
        <w:rPr>
          <w:rFonts w:ascii="Arial" w:eastAsia="Times New Roman" w:hAnsi="Arial" w:cs="Arial"/>
          <w:lang w:val="fr-CA" w:eastAsia="en-CA"/>
        </w:rPr>
        <w:t>c</w:t>
      </w:r>
      <w:r w:rsidR="00431273" w:rsidRPr="004A107C">
        <w:rPr>
          <w:rFonts w:ascii="Arial" w:eastAsia="Times New Roman" w:hAnsi="Arial" w:cs="Arial"/>
          <w:lang w:val="fr-CA" w:eastAsia="en-CA"/>
        </w:rPr>
        <w:t>orrection</w:t>
      </w:r>
      <w:proofErr w:type="gramEnd"/>
      <w:r w:rsidR="00431273" w:rsidRPr="004A107C">
        <w:rPr>
          <w:rFonts w:ascii="Arial" w:eastAsia="Times New Roman" w:hAnsi="Arial" w:cs="Arial"/>
          <w:lang w:val="fr-CA" w:eastAsia="en-CA"/>
        </w:rPr>
        <w:t xml:space="preserve"> des renvois;</w:t>
      </w:r>
    </w:p>
    <w:p w14:paraId="01D9154F" w14:textId="2D9498C9" w:rsidR="00DF49AA" w:rsidRPr="004A107C" w:rsidRDefault="00D86C4D" w:rsidP="00DF49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val="fr-CA" w:eastAsia="en-CA"/>
        </w:rPr>
      </w:pPr>
      <w:proofErr w:type="gramStart"/>
      <w:r w:rsidRPr="004A107C">
        <w:rPr>
          <w:rFonts w:ascii="Arial" w:eastAsia="Times New Roman" w:hAnsi="Arial" w:cs="Arial"/>
          <w:lang w:val="fr-CA" w:eastAsia="en-CA"/>
        </w:rPr>
        <w:t>c</w:t>
      </w:r>
      <w:r w:rsidR="00431273" w:rsidRPr="004A107C">
        <w:rPr>
          <w:rFonts w:ascii="Arial" w:eastAsia="Times New Roman" w:hAnsi="Arial" w:cs="Arial"/>
          <w:lang w:val="fr-CA" w:eastAsia="en-CA"/>
        </w:rPr>
        <w:t>orrection</w:t>
      </w:r>
      <w:proofErr w:type="gramEnd"/>
      <w:r w:rsidR="00431273" w:rsidRPr="004A107C">
        <w:rPr>
          <w:rFonts w:ascii="Arial" w:eastAsia="Times New Roman" w:hAnsi="Arial" w:cs="Arial"/>
          <w:lang w:val="fr-CA" w:eastAsia="en-CA"/>
        </w:rPr>
        <w:t xml:space="preserve"> des écarts entre les versions anglaise et française;</w:t>
      </w:r>
    </w:p>
    <w:p w14:paraId="00133B10" w14:textId="2D5CB94E" w:rsidR="00DF49AA" w:rsidRPr="004A107C" w:rsidRDefault="00D86C4D" w:rsidP="00DF49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val="fr-CA" w:eastAsia="en-CA"/>
        </w:rPr>
      </w:pPr>
      <w:proofErr w:type="gramStart"/>
      <w:r w:rsidRPr="004A107C">
        <w:rPr>
          <w:rFonts w:ascii="Arial" w:eastAsia="Times New Roman" w:hAnsi="Arial" w:cs="Arial"/>
          <w:lang w:val="fr-CA" w:eastAsia="en-CA"/>
        </w:rPr>
        <w:t>a</w:t>
      </w:r>
      <w:r w:rsidR="00431273" w:rsidRPr="004A107C">
        <w:rPr>
          <w:rFonts w:ascii="Arial" w:eastAsia="Times New Roman" w:hAnsi="Arial" w:cs="Arial"/>
          <w:lang w:val="fr-CA" w:eastAsia="en-CA"/>
        </w:rPr>
        <w:t>m</w:t>
      </w:r>
      <w:r w:rsidRPr="004A107C">
        <w:rPr>
          <w:rFonts w:ascii="Arial" w:eastAsia="Times New Roman" w:hAnsi="Arial" w:cs="Arial"/>
          <w:lang w:val="fr-CA" w:eastAsia="en-CA"/>
        </w:rPr>
        <w:t>é</w:t>
      </w:r>
      <w:r w:rsidR="00431273" w:rsidRPr="004A107C">
        <w:rPr>
          <w:rFonts w:ascii="Arial" w:eastAsia="Times New Roman" w:hAnsi="Arial" w:cs="Arial"/>
          <w:lang w:val="fr-CA" w:eastAsia="en-CA"/>
        </w:rPr>
        <w:t>lioration</w:t>
      </w:r>
      <w:proofErr w:type="gramEnd"/>
      <w:r w:rsidR="00431273" w:rsidRPr="004A107C">
        <w:rPr>
          <w:rFonts w:ascii="Arial" w:eastAsia="Times New Roman" w:hAnsi="Arial" w:cs="Arial"/>
          <w:lang w:val="fr-CA" w:eastAsia="en-CA"/>
        </w:rPr>
        <w:t xml:space="preserve"> de l’uniformité entre les dispositions dans le règlement;</w:t>
      </w:r>
    </w:p>
    <w:p w14:paraId="7CCD939A" w14:textId="6037B3B7" w:rsidR="00DF49AA" w:rsidRPr="004A107C" w:rsidRDefault="00D86C4D" w:rsidP="00DF49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val="fr-CA" w:eastAsia="en-CA"/>
        </w:rPr>
      </w:pPr>
      <w:proofErr w:type="gramStart"/>
      <w:r w:rsidRPr="004A107C">
        <w:rPr>
          <w:rFonts w:ascii="Arial" w:eastAsia="Times New Roman" w:hAnsi="Arial" w:cs="Arial"/>
          <w:lang w:val="fr-CA" w:eastAsia="en-CA"/>
        </w:rPr>
        <w:t>h</w:t>
      </w:r>
      <w:r w:rsidR="00431273" w:rsidRPr="004A107C">
        <w:rPr>
          <w:rFonts w:ascii="Arial" w:eastAsia="Times New Roman" w:hAnsi="Arial" w:cs="Arial"/>
          <w:lang w:val="fr-CA" w:eastAsia="en-CA"/>
        </w:rPr>
        <w:t>armonisation</w:t>
      </w:r>
      <w:proofErr w:type="gramEnd"/>
      <w:r w:rsidR="00431273" w:rsidRPr="004A107C">
        <w:rPr>
          <w:rFonts w:ascii="Arial" w:eastAsia="Times New Roman" w:hAnsi="Arial" w:cs="Arial"/>
          <w:lang w:val="fr-CA" w:eastAsia="en-CA"/>
        </w:rPr>
        <w:t xml:space="preserve"> des termes utilisés dans les lois habilitantes et les règlements connexes;</w:t>
      </w:r>
    </w:p>
    <w:p w14:paraId="75A47405" w14:textId="6DE4C2CD" w:rsidR="00DF49AA" w:rsidRPr="004A107C" w:rsidRDefault="00D86C4D" w:rsidP="00DF49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val="fr-CA" w:eastAsia="en-CA"/>
        </w:rPr>
      </w:pPr>
      <w:proofErr w:type="gramStart"/>
      <w:r w:rsidRPr="004A107C">
        <w:rPr>
          <w:rFonts w:ascii="Arial" w:eastAsia="Times New Roman" w:hAnsi="Arial" w:cs="Arial"/>
          <w:lang w:val="fr-CA" w:eastAsia="en-CA"/>
        </w:rPr>
        <w:t>m</w:t>
      </w:r>
      <w:r w:rsidR="00431273" w:rsidRPr="004A107C">
        <w:rPr>
          <w:rFonts w:ascii="Arial" w:eastAsia="Times New Roman" w:hAnsi="Arial" w:cs="Arial"/>
          <w:lang w:val="fr-CA" w:eastAsia="en-CA"/>
        </w:rPr>
        <w:t>odifications</w:t>
      </w:r>
      <w:proofErr w:type="gramEnd"/>
      <w:r w:rsidR="00431273" w:rsidRPr="004A107C">
        <w:rPr>
          <w:rFonts w:ascii="Arial" w:eastAsia="Times New Roman" w:hAnsi="Arial" w:cs="Arial"/>
          <w:lang w:val="fr-CA" w:eastAsia="en-CA"/>
        </w:rPr>
        <w:t xml:space="preserve"> mineures afin d’améliorer la clarté;</w:t>
      </w:r>
    </w:p>
    <w:p w14:paraId="4103E777" w14:textId="6062065C" w:rsidR="00DF49AA" w:rsidRPr="004A107C" w:rsidRDefault="00D86C4D" w:rsidP="00DF49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val="fr-CA" w:eastAsia="en-CA"/>
        </w:rPr>
      </w:pPr>
      <w:proofErr w:type="gramStart"/>
      <w:r w:rsidRPr="004A107C">
        <w:rPr>
          <w:rFonts w:ascii="Arial" w:eastAsia="Times New Roman" w:hAnsi="Arial" w:cs="Arial"/>
          <w:lang w:val="fr-CA" w:eastAsia="en-CA"/>
        </w:rPr>
        <w:t>c</w:t>
      </w:r>
      <w:r w:rsidR="00431273" w:rsidRPr="004A107C">
        <w:rPr>
          <w:rFonts w:ascii="Arial" w:eastAsia="Times New Roman" w:hAnsi="Arial" w:cs="Arial"/>
          <w:lang w:val="fr-CA" w:eastAsia="en-CA"/>
        </w:rPr>
        <w:t>orrection</w:t>
      </w:r>
      <w:proofErr w:type="gramEnd"/>
      <w:r w:rsidR="00431273" w:rsidRPr="004A107C">
        <w:rPr>
          <w:rFonts w:ascii="Arial" w:eastAsia="Times New Roman" w:hAnsi="Arial" w:cs="Arial"/>
          <w:lang w:val="fr-CA" w:eastAsia="en-CA"/>
        </w:rPr>
        <w:t xml:space="preserve"> d’erreurs grammaticales ou typographiques;</w:t>
      </w:r>
    </w:p>
    <w:p w14:paraId="4DD39F9D" w14:textId="68D0EFE6" w:rsidR="00DF49AA" w:rsidRPr="004A107C" w:rsidRDefault="00D86C4D" w:rsidP="00DF49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val="fr-CA" w:eastAsia="en-CA"/>
        </w:rPr>
      </w:pPr>
      <w:proofErr w:type="gramStart"/>
      <w:r w:rsidRPr="004A107C">
        <w:rPr>
          <w:rFonts w:ascii="Arial" w:eastAsia="Times New Roman" w:hAnsi="Arial" w:cs="Arial"/>
          <w:lang w:val="fr-CA" w:eastAsia="en-CA"/>
        </w:rPr>
        <w:t>m</w:t>
      </w:r>
      <w:r w:rsidR="00431273" w:rsidRPr="004A107C">
        <w:rPr>
          <w:rFonts w:ascii="Arial" w:eastAsia="Times New Roman" w:hAnsi="Arial" w:cs="Arial"/>
          <w:lang w:val="fr-CA" w:eastAsia="en-CA"/>
        </w:rPr>
        <w:t>ise</w:t>
      </w:r>
      <w:proofErr w:type="gramEnd"/>
      <w:r w:rsidR="00431273" w:rsidRPr="004A107C">
        <w:rPr>
          <w:rFonts w:ascii="Arial" w:eastAsia="Times New Roman" w:hAnsi="Arial" w:cs="Arial"/>
          <w:lang w:val="fr-CA" w:eastAsia="en-CA"/>
        </w:rPr>
        <w:t xml:space="preserve"> à jour des renvois à des noms de sociétés, de lieux, de titres de postes et d’autres noms;</w:t>
      </w:r>
    </w:p>
    <w:p w14:paraId="4A9F2CA4" w14:textId="1DE9316A" w:rsidR="00DF49AA" w:rsidRPr="004A107C" w:rsidRDefault="00D86C4D" w:rsidP="00DF49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val="fr-CA" w:eastAsia="en-CA"/>
        </w:rPr>
      </w:pPr>
      <w:proofErr w:type="gramStart"/>
      <w:r w:rsidRPr="004A107C">
        <w:rPr>
          <w:rFonts w:ascii="Arial" w:eastAsia="Times New Roman" w:hAnsi="Arial" w:cs="Arial"/>
          <w:lang w:val="fr-CA" w:eastAsia="en-CA"/>
        </w:rPr>
        <w:t>m</w:t>
      </w:r>
      <w:r w:rsidR="00431273" w:rsidRPr="004A107C">
        <w:rPr>
          <w:rFonts w:ascii="Arial" w:eastAsia="Times New Roman" w:hAnsi="Arial" w:cs="Arial"/>
          <w:lang w:val="fr-CA" w:eastAsia="en-CA"/>
        </w:rPr>
        <w:t>ise</w:t>
      </w:r>
      <w:proofErr w:type="gramEnd"/>
      <w:r w:rsidR="00431273" w:rsidRPr="004A107C">
        <w:rPr>
          <w:rFonts w:ascii="Arial" w:eastAsia="Times New Roman" w:hAnsi="Arial" w:cs="Arial"/>
          <w:lang w:val="fr-CA" w:eastAsia="en-CA"/>
        </w:rPr>
        <w:t xml:space="preserve"> à jour des renvois à des normes et à d’autres documents incorporés par renvoi (à condition que la modification soit mineure).</w:t>
      </w:r>
    </w:p>
    <w:p w14:paraId="32D096B3" w14:textId="7CC9E123" w:rsidR="00DF49AA" w:rsidRPr="004A107C" w:rsidRDefault="00431273" w:rsidP="006C09B7">
      <w:pPr>
        <w:shd w:val="clear" w:color="auto" w:fill="FFFFFF"/>
        <w:spacing w:after="173" w:line="240" w:lineRule="auto"/>
        <w:rPr>
          <w:rFonts w:ascii="Arial" w:eastAsia="Times New Roman" w:hAnsi="Arial" w:cs="Arial"/>
          <w:lang w:val="fr-CA" w:eastAsia="en-CA"/>
        </w:rPr>
      </w:pPr>
      <w:r w:rsidRPr="004A107C">
        <w:rPr>
          <w:rFonts w:ascii="Arial" w:eastAsia="Times New Roman" w:hAnsi="Arial" w:cs="Arial"/>
          <w:lang w:val="fr-CA" w:eastAsia="en-CA"/>
        </w:rPr>
        <w:t xml:space="preserve">Toute modification </w:t>
      </w:r>
      <w:r w:rsidR="00D86C4D" w:rsidRPr="004A107C">
        <w:rPr>
          <w:rFonts w:ascii="Arial" w:eastAsia="Times New Roman" w:hAnsi="Arial" w:cs="Arial"/>
          <w:lang w:val="fr-CA" w:eastAsia="en-CA"/>
        </w:rPr>
        <w:t>q</w:t>
      </w:r>
      <w:r w:rsidRPr="004A107C">
        <w:rPr>
          <w:rFonts w:ascii="Arial" w:eastAsia="Times New Roman" w:hAnsi="Arial" w:cs="Arial"/>
          <w:lang w:val="fr-CA" w:eastAsia="en-CA"/>
        </w:rPr>
        <w:t>ui change un règlement de façon substantielle doit faire l’objet de consultations et peut ne pas se dérouler suivant le processus relatif aux règlements correctifs. Les modificati</w:t>
      </w:r>
      <w:r w:rsidR="00D86C4D" w:rsidRPr="004A107C">
        <w:rPr>
          <w:rFonts w:ascii="Arial" w:eastAsia="Times New Roman" w:hAnsi="Arial" w:cs="Arial"/>
          <w:lang w:val="fr-CA" w:eastAsia="en-CA"/>
        </w:rPr>
        <w:t>o</w:t>
      </w:r>
      <w:r w:rsidR="004A107C">
        <w:rPr>
          <w:rFonts w:ascii="Arial" w:eastAsia="Times New Roman" w:hAnsi="Arial" w:cs="Arial"/>
          <w:lang w:val="fr-CA" w:eastAsia="en-CA"/>
        </w:rPr>
        <w:t>n</w:t>
      </w:r>
      <w:r w:rsidRPr="004A107C">
        <w:rPr>
          <w:rFonts w:ascii="Arial" w:eastAsia="Times New Roman" w:hAnsi="Arial" w:cs="Arial"/>
          <w:lang w:val="fr-CA" w:eastAsia="en-CA"/>
        </w:rPr>
        <w:t xml:space="preserve">s substantielles </w:t>
      </w:r>
      <w:r w:rsidR="004A107C">
        <w:rPr>
          <w:rFonts w:ascii="Arial" w:eastAsia="Times New Roman" w:hAnsi="Arial" w:cs="Arial"/>
          <w:lang w:val="fr-CA" w:eastAsia="en-CA"/>
        </w:rPr>
        <w:t xml:space="preserve">sont celles qui </w:t>
      </w:r>
      <w:r w:rsidRPr="004A107C">
        <w:rPr>
          <w:rFonts w:ascii="Arial" w:eastAsia="Times New Roman" w:hAnsi="Arial" w:cs="Arial"/>
          <w:lang w:val="fr-CA" w:eastAsia="en-CA"/>
        </w:rPr>
        <w:t>modifient les coûts de la conformité ou de l’administration</w:t>
      </w:r>
      <w:r w:rsidR="004A107C">
        <w:rPr>
          <w:rFonts w:ascii="Arial" w:eastAsia="Times New Roman" w:hAnsi="Arial" w:cs="Arial"/>
          <w:lang w:val="fr-CA" w:eastAsia="en-CA"/>
        </w:rPr>
        <w:t>, ou qui</w:t>
      </w:r>
      <w:r w:rsidRPr="004A107C">
        <w:rPr>
          <w:rFonts w:ascii="Arial" w:eastAsia="Times New Roman" w:hAnsi="Arial" w:cs="Arial"/>
          <w:lang w:val="fr-CA" w:eastAsia="en-CA"/>
        </w:rPr>
        <w:t xml:space="preserve"> créent de nouvelles exigences réglementaires.</w:t>
      </w:r>
    </w:p>
    <w:p w14:paraId="44BACBA4" w14:textId="7AAD00E3" w:rsidR="00DF49AA" w:rsidRPr="004A107C" w:rsidRDefault="00431273" w:rsidP="00DF49AA">
      <w:pPr>
        <w:rPr>
          <w:rFonts w:ascii="Arial" w:hAnsi="Arial" w:cs="Arial"/>
          <w:b/>
          <w:bCs/>
          <w:u w:val="single"/>
          <w:lang w:val="fr-CA"/>
        </w:rPr>
      </w:pPr>
      <w:r w:rsidRPr="004A107C">
        <w:rPr>
          <w:rFonts w:ascii="Arial" w:hAnsi="Arial" w:cs="Arial"/>
          <w:b/>
          <w:bCs/>
          <w:u w:val="single"/>
          <w:lang w:val="fr-CA"/>
        </w:rPr>
        <w:t>Processus</w:t>
      </w:r>
    </w:p>
    <w:p w14:paraId="17230D0E" w14:textId="67CF0761" w:rsidR="001B65A4" w:rsidRPr="004A107C" w:rsidRDefault="00431273" w:rsidP="00DF49A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fr-CA"/>
        </w:rPr>
      </w:pPr>
      <w:r w:rsidRPr="004A107C">
        <w:rPr>
          <w:rFonts w:ascii="Arial" w:hAnsi="Arial" w:cs="Arial"/>
          <w:lang w:val="fr-CA"/>
        </w:rPr>
        <w:t xml:space="preserve">Dans la mesure du possible, les </w:t>
      </w:r>
      <w:r w:rsidR="00D86C4D" w:rsidRPr="004A107C">
        <w:rPr>
          <w:rFonts w:ascii="Arial" w:hAnsi="Arial" w:cs="Arial"/>
          <w:lang w:val="fr-CA"/>
        </w:rPr>
        <w:t xml:space="preserve">organismes de réglementation </w:t>
      </w:r>
      <w:r w:rsidRPr="004A107C">
        <w:rPr>
          <w:rFonts w:ascii="Arial" w:hAnsi="Arial" w:cs="Arial"/>
          <w:lang w:val="fr-CA"/>
        </w:rPr>
        <w:t xml:space="preserve">fédéraux devraient chercher à incorporer les modifications </w:t>
      </w:r>
      <w:r w:rsidR="004A107C">
        <w:rPr>
          <w:rFonts w:ascii="Arial" w:hAnsi="Arial" w:cs="Arial"/>
          <w:lang w:val="fr-CA"/>
        </w:rPr>
        <w:t xml:space="preserve">de </w:t>
      </w:r>
      <w:r w:rsidRPr="004A107C">
        <w:rPr>
          <w:rFonts w:ascii="Arial" w:hAnsi="Arial" w:cs="Arial"/>
          <w:lang w:val="fr-CA"/>
        </w:rPr>
        <w:t>r</w:t>
      </w:r>
      <w:r w:rsidR="004A107C">
        <w:rPr>
          <w:rFonts w:ascii="Arial" w:hAnsi="Arial" w:cs="Arial"/>
          <w:lang w:val="fr-CA"/>
        </w:rPr>
        <w:t>è</w:t>
      </w:r>
      <w:r w:rsidRPr="004A107C">
        <w:rPr>
          <w:rFonts w:ascii="Arial" w:hAnsi="Arial" w:cs="Arial"/>
          <w:lang w:val="fr-CA"/>
        </w:rPr>
        <w:t xml:space="preserve">glements </w:t>
      </w:r>
      <w:r w:rsidR="00D86C4D" w:rsidRPr="004A107C">
        <w:rPr>
          <w:rFonts w:ascii="Arial" w:hAnsi="Arial" w:cs="Arial"/>
          <w:lang w:val="fr-CA"/>
        </w:rPr>
        <w:t>correcti</w:t>
      </w:r>
      <w:r w:rsidR="004A107C">
        <w:rPr>
          <w:rFonts w:ascii="Arial" w:hAnsi="Arial" w:cs="Arial"/>
          <w:lang w:val="fr-CA"/>
        </w:rPr>
        <w:t>f</w:t>
      </w:r>
      <w:r w:rsidR="00D86C4D" w:rsidRPr="004A107C">
        <w:rPr>
          <w:rFonts w:ascii="Arial" w:hAnsi="Arial" w:cs="Arial"/>
          <w:lang w:val="fr-CA"/>
        </w:rPr>
        <w:t xml:space="preserve">s </w:t>
      </w:r>
      <w:r w:rsidRPr="004A107C">
        <w:rPr>
          <w:rFonts w:ascii="Arial" w:hAnsi="Arial" w:cs="Arial"/>
          <w:lang w:val="fr-CA"/>
        </w:rPr>
        <w:t xml:space="preserve">à des projets de réglementation généraux </w:t>
      </w:r>
      <w:r w:rsidR="004A107C">
        <w:rPr>
          <w:rFonts w:ascii="Arial" w:hAnsi="Arial" w:cs="Arial"/>
          <w:lang w:val="fr-CA"/>
        </w:rPr>
        <w:t>de grande envergure</w:t>
      </w:r>
      <w:r w:rsidRPr="004A107C">
        <w:rPr>
          <w:rFonts w:ascii="Arial" w:hAnsi="Arial" w:cs="Arial"/>
          <w:lang w:val="fr-CA"/>
        </w:rPr>
        <w:t>, au lieu de les pr</w:t>
      </w:r>
      <w:r w:rsidR="00D86C4D" w:rsidRPr="004A107C">
        <w:rPr>
          <w:rFonts w:ascii="Arial" w:hAnsi="Arial" w:cs="Arial"/>
          <w:lang w:val="fr-CA"/>
        </w:rPr>
        <w:t>ésenter</w:t>
      </w:r>
      <w:r w:rsidR="004A107C">
        <w:rPr>
          <w:rFonts w:ascii="Arial" w:hAnsi="Arial" w:cs="Arial"/>
          <w:lang w:val="fr-CA"/>
        </w:rPr>
        <w:t xml:space="preserve"> seules</w:t>
      </w:r>
      <w:r w:rsidRPr="004A107C">
        <w:rPr>
          <w:rFonts w:ascii="Arial" w:hAnsi="Arial" w:cs="Arial"/>
          <w:lang w:val="fr-CA"/>
        </w:rPr>
        <w:t>.</w:t>
      </w:r>
    </w:p>
    <w:p w14:paraId="582773C0" w14:textId="77777777" w:rsidR="001B65A4" w:rsidRPr="004A107C" w:rsidRDefault="001B65A4" w:rsidP="001B65A4">
      <w:pPr>
        <w:pStyle w:val="ListParagraph"/>
        <w:spacing w:after="0" w:line="240" w:lineRule="auto"/>
        <w:rPr>
          <w:rFonts w:ascii="Arial" w:hAnsi="Arial" w:cs="Arial"/>
          <w:lang w:val="fr-CA"/>
        </w:rPr>
      </w:pPr>
    </w:p>
    <w:p w14:paraId="2170BD86" w14:textId="0C5B0442" w:rsidR="00DF49AA" w:rsidRPr="004A107C" w:rsidRDefault="00431273" w:rsidP="006C09B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fr-CA"/>
        </w:rPr>
      </w:pPr>
      <w:r w:rsidRPr="004A107C">
        <w:rPr>
          <w:rFonts w:ascii="Arial" w:hAnsi="Arial" w:cs="Arial"/>
          <w:lang w:val="fr-CA"/>
        </w:rPr>
        <w:t>S’il a été d</w:t>
      </w:r>
      <w:r w:rsidR="00D86C4D" w:rsidRPr="004A107C">
        <w:rPr>
          <w:rFonts w:ascii="Arial" w:hAnsi="Arial" w:cs="Arial"/>
          <w:lang w:val="fr-CA"/>
        </w:rPr>
        <w:t>é</w:t>
      </w:r>
      <w:r w:rsidRPr="004A107C">
        <w:rPr>
          <w:rFonts w:ascii="Arial" w:hAnsi="Arial" w:cs="Arial"/>
          <w:lang w:val="fr-CA"/>
        </w:rPr>
        <w:t>termin</w:t>
      </w:r>
      <w:r w:rsidR="00D86C4D" w:rsidRPr="004A107C">
        <w:rPr>
          <w:rFonts w:ascii="Arial" w:hAnsi="Arial" w:cs="Arial"/>
          <w:lang w:val="fr-CA"/>
        </w:rPr>
        <w:t>é</w:t>
      </w:r>
      <w:r w:rsidRPr="004A107C">
        <w:rPr>
          <w:rFonts w:ascii="Arial" w:hAnsi="Arial" w:cs="Arial"/>
          <w:lang w:val="fr-CA"/>
        </w:rPr>
        <w:t xml:space="preserve"> qu’un r</w:t>
      </w:r>
      <w:r w:rsidR="004A107C">
        <w:rPr>
          <w:rFonts w:ascii="Arial" w:hAnsi="Arial" w:cs="Arial"/>
          <w:lang w:val="fr-CA"/>
        </w:rPr>
        <w:t>è</w:t>
      </w:r>
      <w:r w:rsidRPr="004A107C">
        <w:rPr>
          <w:rFonts w:ascii="Arial" w:hAnsi="Arial" w:cs="Arial"/>
          <w:lang w:val="fr-CA"/>
        </w:rPr>
        <w:t xml:space="preserve">glement </w:t>
      </w:r>
      <w:r w:rsidR="00D86C4D" w:rsidRPr="004A107C">
        <w:rPr>
          <w:rFonts w:ascii="Arial" w:hAnsi="Arial" w:cs="Arial"/>
          <w:lang w:val="fr-CA"/>
        </w:rPr>
        <w:t>correcti</w:t>
      </w:r>
      <w:r w:rsidR="004A107C">
        <w:rPr>
          <w:rFonts w:ascii="Arial" w:hAnsi="Arial" w:cs="Arial"/>
          <w:lang w:val="fr-CA"/>
        </w:rPr>
        <w:t>f mineur</w:t>
      </w:r>
      <w:r w:rsidR="00D86C4D" w:rsidRPr="004A107C">
        <w:rPr>
          <w:rFonts w:ascii="Arial" w:hAnsi="Arial" w:cs="Arial"/>
          <w:lang w:val="fr-CA"/>
        </w:rPr>
        <w:t xml:space="preserve"> </w:t>
      </w:r>
      <w:r w:rsidRPr="004A107C">
        <w:rPr>
          <w:rFonts w:ascii="Arial" w:hAnsi="Arial" w:cs="Arial"/>
          <w:lang w:val="fr-CA"/>
        </w:rPr>
        <w:t>est recommandé, le</w:t>
      </w:r>
      <w:r w:rsidR="00D86C4D" w:rsidRPr="004A107C">
        <w:rPr>
          <w:rFonts w:ascii="Arial" w:hAnsi="Arial" w:cs="Arial"/>
          <w:lang w:val="fr-CA"/>
        </w:rPr>
        <w:t>s organismes de réglementation</w:t>
      </w:r>
      <w:r w:rsidRPr="004A107C">
        <w:rPr>
          <w:rFonts w:ascii="Arial" w:hAnsi="Arial" w:cs="Arial"/>
          <w:lang w:val="fr-CA"/>
        </w:rPr>
        <w:t xml:space="preserve"> doivent remplir la liste de v</w:t>
      </w:r>
      <w:r w:rsidR="00D86C4D" w:rsidRPr="004A107C">
        <w:rPr>
          <w:rFonts w:ascii="Arial" w:hAnsi="Arial" w:cs="Arial"/>
          <w:lang w:val="fr-CA"/>
        </w:rPr>
        <w:t>é</w:t>
      </w:r>
      <w:r w:rsidRPr="004A107C">
        <w:rPr>
          <w:rFonts w:ascii="Arial" w:hAnsi="Arial" w:cs="Arial"/>
          <w:lang w:val="fr-CA"/>
        </w:rPr>
        <w:t>rification à l’</w:t>
      </w:r>
      <w:r w:rsidR="00D86C4D" w:rsidRPr="004A107C">
        <w:rPr>
          <w:rFonts w:ascii="Arial" w:hAnsi="Arial" w:cs="Arial"/>
          <w:lang w:val="fr-CA"/>
        </w:rPr>
        <w:t>A</w:t>
      </w:r>
      <w:r w:rsidRPr="004A107C">
        <w:rPr>
          <w:rFonts w:ascii="Arial" w:hAnsi="Arial" w:cs="Arial"/>
          <w:lang w:val="fr-CA"/>
        </w:rPr>
        <w:t>nnexe</w:t>
      </w:r>
      <w:r w:rsidR="00D86C4D" w:rsidRPr="004A107C">
        <w:rPr>
          <w:rFonts w:ascii="Arial" w:hAnsi="Arial" w:cs="Arial"/>
          <w:lang w:val="fr-CA"/>
        </w:rPr>
        <w:t> </w:t>
      </w:r>
      <w:r w:rsidRPr="004A107C">
        <w:rPr>
          <w:rFonts w:ascii="Arial" w:hAnsi="Arial" w:cs="Arial"/>
          <w:lang w:val="fr-CA"/>
        </w:rPr>
        <w:t xml:space="preserve">1. </w:t>
      </w:r>
      <w:r w:rsidR="006B39FE">
        <w:rPr>
          <w:rFonts w:ascii="Arial" w:hAnsi="Arial" w:cs="Arial"/>
          <w:lang w:val="fr-CA"/>
        </w:rPr>
        <w:t>Tout c</w:t>
      </w:r>
      <w:r w:rsidRPr="004A107C">
        <w:rPr>
          <w:rFonts w:ascii="Arial" w:hAnsi="Arial" w:cs="Arial"/>
          <w:lang w:val="fr-CA"/>
        </w:rPr>
        <w:t>omme les listes de v</w:t>
      </w:r>
      <w:r w:rsidR="00D86C4D" w:rsidRPr="004A107C">
        <w:rPr>
          <w:rFonts w:ascii="Arial" w:hAnsi="Arial" w:cs="Arial"/>
          <w:lang w:val="fr-CA"/>
        </w:rPr>
        <w:t>é</w:t>
      </w:r>
      <w:r w:rsidRPr="004A107C">
        <w:rPr>
          <w:rFonts w:ascii="Arial" w:hAnsi="Arial" w:cs="Arial"/>
          <w:lang w:val="fr-CA"/>
        </w:rPr>
        <w:t>rification de l’évaluation environnementale stratégique ou de l</w:t>
      </w:r>
      <w:r w:rsidR="004A107C">
        <w:rPr>
          <w:rFonts w:ascii="Arial" w:hAnsi="Arial" w:cs="Arial"/>
          <w:lang w:val="fr-CA"/>
        </w:rPr>
        <w:t>’optique</w:t>
      </w:r>
      <w:r w:rsidRPr="004A107C">
        <w:rPr>
          <w:rFonts w:ascii="Arial" w:hAnsi="Arial" w:cs="Arial"/>
          <w:lang w:val="fr-CA"/>
        </w:rPr>
        <w:t xml:space="preserve"> des petites entreprises, la nouvelle liste de vérification </w:t>
      </w:r>
      <w:r w:rsidR="004A107C">
        <w:rPr>
          <w:rFonts w:ascii="Arial" w:hAnsi="Arial" w:cs="Arial"/>
          <w:lang w:val="fr-CA"/>
        </w:rPr>
        <w:t>d</w:t>
      </w:r>
      <w:r w:rsidRPr="004A107C">
        <w:rPr>
          <w:rFonts w:ascii="Arial" w:hAnsi="Arial" w:cs="Arial"/>
          <w:lang w:val="fr-CA"/>
        </w:rPr>
        <w:t>es règlements correctifs est réservée à l’usage interne, et non</w:t>
      </w:r>
      <w:r w:rsidR="006B39FE">
        <w:rPr>
          <w:rFonts w:ascii="Arial" w:hAnsi="Arial" w:cs="Arial"/>
          <w:lang w:val="fr-CA"/>
        </w:rPr>
        <w:t xml:space="preserve"> destinée</w:t>
      </w:r>
      <w:r w:rsidRPr="004A107C">
        <w:rPr>
          <w:rFonts w:ascii="Arial" w:hAnsi="Arial" w:cs="Arial"/>
          <w:lang w:val="fr-CA"/>
        </w:rPr>
        <w:t xml:space="preserve"> à l’examen </w:t>
      </w:r>
      <w:r w:rsidR="00D86C4D" w:rsidRPr="004A107C">
        <w:rPr>
          <w:rFonts w:ascii="Arial" w:hAnsi="Arial" w:cs="Arial"/>
          <w:lang w:val="fr-CA"/>
        </w:rPr>
        <w:t>du </w:t>
      </w:r>
      <w:r w:rsidRPr="004A107C">
        <w:rPr>
          <w:rFonts w:ascii="Arial" w:hAnsi="Arial" w:cs="Arial"/>
          <w:lang w:val="fr-CA"/>
        </w:rPr>
        <w:t>SCT.</w:t>
      </w:r>
    </w:p>
    <w:p w14:paraId="248153C2" w14:textId="77777777" w:rsidR="00DF49AA" w:rsidRPr="004A107C" w:rsidRDefault="00DF49AA" w:rsidP="00DF49AA">
      <w:pPr>
        <w:spacing w:after="0" w:line="240" w:lineRule="auto"/>
        <w:rPr>
          <w:rFonts w:ascii="Arial" w:hAnsi="Arial" w:cs="Arial"/>
          <w:lang w:val="fr-CA"/>
        </w:rPr>
      </w:pPr>
    </w:p>
    <w:p w14:paraId="65025B9E" w14:textId="3154AE37" w:rsidR="00DF49AA" w:rsidRPr="004A107C" w:rsidRDefault="00431273" w:rsidP="00DF49A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fr-CA"/>
        </w:rPr>
      </w:pPr>
      <w:r w:rsidRPr="004A107C">
        <w:rPr>
          <w:rFonts w:ascii="Arial" w:hAnsi="Arial" w:cs="Arial"/>
          <w:lang w:val="fr-CA"/>
        </w:rPr>
        <w:t>Si les cinq</w:t>
      </w:r>
      <w:r w:rsidR="00D86C4D" w:rsidRPr="004A107C">
        <w:rPr>
          <w:rFonts w:ascii="Arial" w:hAnsi="Arial" w:cs="Arial"/>
          <w:lang w:val="fr-CA"/>
        </w:rPr>
        <w:t> </w:t>
      </w:r>
      <w:r w:rsidRPr="004A107C">
        <w:rPr>
          <w:rFonts w:ascii="Arial" w:hAnsi="Arial" w:cs="Arial"/>
          <w:lang w:val="fr-CA"/>
        </w:rPr>
        <w:t>critères de la liste de v</w:t>
      </w:r>
      <w:r w:rsidR="00D86C4D" w:rsidRPr="004A107C">
        <w:rPr>
          <w:rFonts w:ascii="Arial" w:hAnsi="Arial" w:cs="Arial"/>
          <w:lang w:val="fr-CA"/>
        </w:rPr>
        <w:t>é</w:t>
      </w:r>
      <w:r w:rsidRPr="004A107C">
        <w:rPr>
          <w:rFonts w:ascii="Arial" w:hAnsi="Arial" w:cs="Arial"/>
          <w:lang w:val="fr-CA"/>
        </w:rPr>
        <w:t>rification des règlements correctifs sont remplis (c.</w:t>
      </w:r>
      <w:r w:rsidR="00D86C4D" w:rsidRPr="004A107C">
        <w:rPr>
          <w:rFonts w:ascii="Arial" w:hAnsi="Arial" w:cs="Arial"/>
          <w:lang w:val="fr-CA"/>
        </w:rPr>
        <w:noBreakHyphen/>
      </w:r>
      <w:r w:rsidRPr="004A107C">
        <w:rPr>
          <w:rFonts w:ascii="Arial" w:hAnsi="Arial" w:cs="Arial"/>
          <w:lang w:val="fr-CA"/>
        </w:rPr>
        <w:t>à</w:t>
      </w:r>
      <w:r w:rsidR="00D86C4D" w:rsidRPr="004A107C">
        <w:rPr>
          <w:rFonts w:ascii="Arial" w:hAnsi="Arial" w:cs="Arial"/>
          <w:lang w:val="fr-CA"/>
        </w:rPr>
        <w:noBreakHyphen/>
      </w:r>
      <w:r w:rsidRPr="004A107C">
        <w:rPr>
          <w:rFonts w:ascii="Arial" w:hAnsi="Arial" w:cs="Arial"/>
          <w:lang w:val="fr-CA"/>
        </w:rPr>
        <w:t>d.</w:t>
      </w:r>
      <w:r w:rsidR="00D86C4D" w:rsidRPr="004A107C">
        <w:rPr>
          <w:rFonts w:ascii="Arial" w:hAnsi="Arial" w:cs="Arial"/>
          <w:lang w:val="fr-CA"/>
        </w:rPr>
        <w:t> </w:t>
      </w:r>
      <w:r w:rsidRPr="004A107C">
        <w:rPr>
          <w:rFonts w:ascii="Arial" w:hAnsi="Arial" w:cs="Arial"/>
          <w:lang w:val="fr-CA"/>
        </w:rPr>
        <w:t>qu</w:t>
      </w:r>
      <w:r w:rsidR="004A107C">
        <w:rPr>
          <w:rFonts w:ascii="Arial" w:hAnsi="Arial" w:cs="Arial"/>
          <w:lang w:val="fr-CA"/>
        </w:rPr>
        <w:t>’</w:t>
      </w:r>
      <w:r w:rsidR="00D86C4D" w:rsidRPr="004A107C">
        <w:rPr>
          <w:rFonts w:ascii="Arial" w:hAnsi="Arial" w:cs="Arial"/>
          <w:lang w:val="fr-CA"/>
        </w:rPr>
        <w:t xml:space="preserve">une réponse affirmative </w:t>
      </w:r>
      <w:r w:rsidR="004A107C">
        <w:rPr>
          <w:rFonts w:ascii="Arial" w:hAnsi="Arial" w:cs="Arial"/>
          <w:lang w:val="fr-CA"/>
        </w:rPr>
        <w:t xml:space="preserve">est donnée </w:t>
      </w:r>
      <w:r w:rsidR="00D86C4D" w:rsidRPr="004A107C">
        <w:rPr>
          <w:rFonts w:ascii="Arial" w:hAnsi="Arial" w:cs="Arial"/>
          <w:lang w:val="fr-CA"/>
        </w:rPr>
        <w:t>pour</w:t>
      </w:r>
      <w:r w:rsidRPr="004A107C">
        <w:rPr>
          <w:rFonts w:ascii="Arial" w:hAnsi="Arial" w:cs="Arial"/>
          <w:lang w:val="fr-CA"/>
        </w:rPr>
        <w:t xml:space="preserve"> cha</w:t>
      </w:r>
      <w:r w:rsidR="00D86C4D" w:rsidRPr="004A107C">
        <w:rPr>
          <w:rFonts w:ascii="Arial" w:hAnsi="Arial" w:cs="Arial"/>
          <w:lang w:val="fr-CA"/>
        </w:rPr>
        <w:t>cun des</w:t>
      </w:r>
      <w:r w:rsidRPr="004A107C">
        <w:rPr>
          <w:rFonts w:ascii="Arial" w:hAnsi="Arial" w:cs="Arial"/>
          <w:lang w:val="fr-CA"/>
        </w:rPr>
        <w:t xml:space="preserve"> critère</w:t>
      </w:r>
      <w:r w:rsidR="00D86C4D" w:rsidRPr="004A107C">
        <w:rPr>
          <w:rFonts w:ascii="Arial" w:hAnsi="Arial" w:cs="Arial"/>
          <w:lang w:val="fr-CA"/>
        </w:rPr>
        <w:t>s</w:t>
      </w:r>
      <w:r w:rsidRPr="004A107C">
        <w:rPr>
          <w:rFonts w:ascii="Arial" w:hAnsi="Arial" w:cs="Arial"/>
          <w:lang w:val="fr-CA"/>
        </w:rPr>
        <w:t xml:space="preserve">), les </w:t>
      </w:r>
      <w:r w:rsidR="00D86C4D" w:rsidRPr="004A107C">
        <w:rPr>
          <w:rFonts w:ascii="Arial" w:hAnsi="Arial" w:cs="Arial"/>
          <w:lang w:val="fr-CA"/>
        </w:rPr>
        <w:t>organismes de réglementation</w:t>
      </w:r>
      <w:r w:rsidRPr="004A107C">
        <w:rPr>
          <w:rFonts w:ascii="Arial" w:hAnsi="Arial" w:cs="Arial"/>
          <w:lang w:val="fr-CA"/>
        </w:rPr>
        <w:t xml:space="preserve"> fédéraux peuvent procéder directement à l’élaboration du</w:t>
      </w:r>
      <w:r w:rsidR="00D86C4D" w:rsidRPr="004A107C">
        <w:rPr>
          <w:rFonts w:ascii="Arial" w:hAnsi="Arial" w:cs="Arial"/>
          <w:lang w:val="fr-CA"/>
        </w:rPr>
        <w:t> </w:t>
      </w:r>
      <w:r w:rsidRPr="004A107C">
        <w:rPr>
          <w:rFonts w:ascii="Arial" w:hAnsi="Arial" w:cs="Arial"/>
          <w:lang w:val="fr-CA"/>
        </w:rPr>
        <w:t>REIR (gabarit des règlements correctifs) sans d’abord remplir et</w:t>
      </w:r>
      <w:r w:rsidR="00D86C4D" w:rsidRPr="004A107C">
        <w:rPr>
          <w:rFonts w:ascii="Arial" w:hAnsi="Arial" w:cs="Arial"/>
          <w:lang w:val="fr-CA"/>
        </w:rPr>
        <w:t xml:space="preserve"> </w:t>
      </w:r>
      <w:r w:rsidRPr="004A107C">
        <w:rPr>
          <w:rFonts w:ascii="Arial" w:hAnsi="Arial" w:cs="Arial"/>
          <w:lang w:val="fr-CA"/>
        </w:rPr>
        <w:t>envoyer un énoncé de triage au</w:t>
      </w:r>
      <w:r w:rsidR="00D86C4D" w:rsidRPr="004A107C">
        <w:rPr>
          <w:rFonts w:ascii="Arial" w:hAnsi="Arial" w:cs="Arial"/>
          <w:lang w:val="fr-CA"/>
        </w:rPr>
        <w:t> </w:t>
      </w:r>
      <w:r w:rsidRPr="004A107C">
        <w:rPr>
          <w:rFonts w:ascii="Arial" w:hAnsi="Arial" w:cs="Arial"/>
          <w:lang w:val="fr-CA"/>
        </w:rPr>
        <w:t>SCT pour examen.</w:t>
      </w:r>
    </w:p>
    <w:p w14:paraId="479F706E" w14:textId="77777777" w:rsidR="001B65A4" w:rsidRPr="004A107C" w:rsidRDefault="001B65A4" w:rsidP="001B65A4">
      <w:pPr>
        <w:pStyle w:val="ListParagraph"/>
        <w:rPr>
          <w:rFonts w:ascii="Arial" w:hAnsi="Arial" w:cs="Arial"/>
          <w:lang w:val="fr-CA"/>
        </w:rPr>
      </w:pPr>
    </w:p>
    <w:p w14:paraId="59EE736D" w14:textId="18AC3E03" w:rsidR="001B65A4" w:rsidRPr="004A107C" w:rsidRDefault="00D47B01" w:rsidP="006C09B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fr-CA"/>
        </w:rPr>
      </w:pPr>
      <w:r w:rsidRPr="004A107C">
        <w:rPr>
          <w:rFonts w:ascii="Arial" w:hAnsi="Arial" w:cs="Arial"/>
          <w:lang w:val="fr-CA"/>
        </w:rPr>
        <w:t xml:space="preserve">Si les </w:t>
      </w:r>
      <w:r w:rsidR="00D86C4D" w:rsidRPr="004A107C">
        <w:rPr>
          <w:rFonts w:ascii="Arial" w:hAnsi="Arial" w:cs="Arial"/>
          <w:lang w:val="fr-CA"/>
        </w:rPr>
        <w:t xml:space="preserve">organismes de réglementation </w:t>
      </w:r>
      <w:r w:rsidRPr="004A107C">
        <w:rPr>
          <w:rFonts w:ascii="Arial" w:hAnsi="Arial" w:cs="Arial"/>
          <w:lang w:val="fr-CA"/>
        </w:rPr>
        <w:t xml:space="preserve">fédéraux ne savent pas si le projet auquel ils travaillent </w:t>
      </w:r>
      <w:r w:rsidR="00D86C4D" w:rsidRPr="004A107C">
        <w:rPr>
          <w:rFonts w:ascii="Arial" w:hAnsi="Arial" w:cs="Arial"/>
          <w:lang w:val="fr-CA"/>
        </w:rPr>
        <w:t xml:space="preserve">répond aux critères du </w:t>
      </w:r>
      <w:r w:rsidRPr="004A107C">
        <w:rPr>
          <w:rFonts w:ascii="Arial" w:hAnsi="Arial" w:cs="Arial"/>
          <w:lang w:val="fr-CA"/>
        </w:rPr>
        <w:t>processus relati</w:t>
      </w:r>
      <w:r w:rsidR="00D86C4D" w:rsidRPr="004A107C">
        <w:rPr>
          <w:rFonts w:ascii="Arial" w:hAnsi="Arial" w:cs="Arial"/>
          <w:lang w:val="fr-CA"/>
        </w:rPr>
        <w:t>f</w:t>
      </w:r>
      <w:r w:rsidRPr="004A107C">
        <w:rPr>
          <w:rFonts w:ascii="Arial" w:hAnsi="Arial" w:cs="Arial"/>
          <w:lang w:val="fr-CA"/>
        </w:rPr>
        <w:t xml:space="preserve"> aux règlements correctifs, </w:t>
      </w:r>
      <w:r w:rsidR="00E64A8F">
        <w:rPr>
          <w:rFonts w:ascii="Arial" w:hAnsi="Arial" w:cs="Arial"/>
          <w:lang w:val="fr-CA"/>
        </w:rPr>
        <w:t xml:space="preserve">ils peuvent </w:t>
      </w:r>
      <w:r w:rsidRPr="004A107C">
        <w:rPr>
          <w:rFonts w:ascii="Arial" w:hAnsi="Arial" w:cs="Arial"/>
          <w:lang w:val="fr-CA"/>
        </w:rPr>
        <w:t>consulter les exemples fournis à l’Annexe</w:t>
      </w:r>
      <w:r w:rsidR="00D86C4D" w:rsidRPr="004A107C">
        <w:rPr>
          <w:rFonts w:ascii="Arial" w:hAnsi="Arial" w:cs="Arial"/>
          <w:lang w:val="fr-CA"/>
        </w:rPr>
        <w:t> </w:t>
      </w:r>
      <w:r w:rsidRPr="004A107C">
        <w:rPr>
          <w:rFonts w:ascii="Arial" w:hAnsi="Arial" w:cs="Arial"/>
          <w:lang w:val="fr-CA"/>
        </w:rPr>
        <w:t>2 à titre indicat</w:t>
      </w:r>
      <w:r w:rsidR="00D86C4D" w:rsidRPr="004A107C">
        <w:rPr>
          <w:rFonts w:ascii="Arial" w:hAnsi="Arial" w:cs="Arial"/>
          <w:lang w:val="fr-CA"/>
        </w:rPr>
        <w:t>i</w:t>
      </w:r>
      <w:r w:rsidRPr="004A107C">
        <w:rPr>
          <w:rFonts w:ascii="Arial" w:hAnsi="Arial" w:cs="Arial"/>
          <w:lang w:val="fr-CA"/>
        </w:rPr>
        <w:t xml:space="preserve">f ou communiquer avec </w:t>
      </w:r>
      <w:r w:rsidR="00E64A8F">
        <w:rPr>
          <w:rFonts w:ascii="Arial" w:hAnsi="Arial" w:cs="Arial"/>
          <w:lang w:val="fr-CA"/>
        </w:rPr>
        <w:t xml:space="preserve">leur </w:t>
      </w:r>
      <w:r w:rsidRPr="004A107C">
        <w:rPr>
          <w:rFonts w:ascii="Arial" w:hAnsi="Arial" w:cs="Arial"/>
          <w:lang w:val="fr-CA"/>
        </w:rPr>
        <w:t>analys</w:t>
      </w:r>
      <w:r w:rsidR="00D86C4D" w:rsidRPr="004A107C">
        <w:rPr>
          <w:rFonts w:ascii="Arial" w:hAnsi="Arial" w:cs="Arial"/>
          <w:lang w:val="fr-CA"/>
        </w:rPr>
        <w:t>t</w:t>
      </w:r>
      <w:r w:rsidRPr="004A107C">
        <w:rPr>
          <w:rFonts w:ascii="Arial" w:hAnsi="Arial" w:cs="Arial"/>
          <w:lang w:val="fr-CA"/>
        </w:rPr>
        <w:t>e du</w:t>
      </w:r>
      <w:r w:rsidR="00D86C4D" w:rsidRPr="004A107C">
        <w:rPr>
          <w:rFonts w:ascii="Arial" w:hAnsi="Arial" w:cs="Arial"/>
          <w:lang w:val="fr-CA"/>
        </w:rPr>
        <w:t> </w:t>
      </w:r>
      <w:r w:rsidRPr="004A107C">
        <w:rPr>
          <w:rFonts w:ascii="Arial" w:hAnsi="Arial" w:cs="Arial"/>
          <w:lang w:val="fr-CA"/>
        </w:rPr>
        <w:t xml:space="preserve">SCT (Affaires réglementaires) </w:t>
      </w:r>
      <w:r w:rsidR="00D86C4D" w:rsidRPr="004A107C">
        <w:rPr>
          <w:rFonts w:ascii="Arial" w:hAnsi="Arial" w:cs="Arial"/>
          <w:lang w:val="fr-CA"/>
        </w:rPr>
        <w:t>afin d’obtenir des éclaircissements</w:t>
      </w:r>
      <w:r w:rsidRPr="004A107C">
        <w:rPr>
          <w:rFonts w:ascii="Arial" w:hAnsi="Arial" w:cs="Arial"/>
          <w:lang w:val="fr-CA"/>
        </w:rPr>
        <w:t>.</w:t>
      </w:r>
    </w:p>
    <w:p w14:paraId="159453DF" w14:textId="77777777" w:rsidR="006C09B7" w:rsidRPr="004A107C" w:rsidRDefault="006C09B7" w:rsidP="006C09B7">
      <w:pPr>
        <w:spacing w:after="0" w:line="240" w:lineRule="auto"/>
        <w:rPr>
          <w:rFonts w:ascii="Arial" w:hAnsi="Arial" w:cs="Arial"/>
          <w:lang w:val="fr-CA"/>
        </w:rPr>
      </w:pPr>
    </w:p>
    <w:p w14:paraId="082DA3B8" w14:textId="303669D4" w:rsidR="001B65A4" w:rsidRPr="004A107C" w:rsidRDefault="00D47B01" w:rsidP="006C09B7">
      <w:pPr>
        <w:spacing w:after="0" w:line="240" w:lineRule="auto"/>
        <w:contextualSpacing/>
        <w:rPr>
          <w:rFonts w:ascii="Arial" w:hAnsi="Arial" w:cs="Arial"/>
          <w:b/>
          <w:bCs/>
          <w:u w:val="single"/>
          <w:lang w:val="fr-CA"/>
        </w:rPr>
      </w:pPr>
      <w:r w:rsidRPr="004A107C">
        <w:rPr>
          <w:rFonts w:ascii="Arial" w:hAnsi="Arial" w:cs="Arial"/>
          <w:b/>
          <w:bCs/>
          <w:u w:val="single"/>
          <w:lang w:val="fr-CA"/>
        </w:rPr>
        <w:t>Annexe</w:t>
      </w:r>
      <w:r w:rsidR="00D86C4D" w:rsidRPr="004A107C">
        <w:rPr>
          <w:rFonts w:ascii="Arial" w:hAnsi="Arial" w:cs="Arial"/>
          <w:b/>
          <w:bCs/>
          <w:u w:val="single"/>
          <w:lang w:val="fr-CA"/>
        </w:rPr>
        <w:t> </w:t>
      </w:r>
      <w:r w:rsidRPr="004A107C">
        <w:rPr>
          <w:rFonts w:ascii="Arial" w:hAnsi="Arial" w:cs="Arial"/>
          <w:b/>
          <w:bCs/>
          <w:u w:val="single"/>
          <w:lang w:val="fr-CA"/>
        </w:rPr>
        <w:t>1</w:t>
      </w:r>
      <w:r w:rsidR="00D86C4D" w:rsidRPr="004A107C">
        <w:rPr>
          <w:rFonts w:ascii="Arial" w:hAnsi="Arial" w:cs="Arial"/>
          <w:b/>
          <w:bCs/>
          <w:u w:val="single"/>
          <w:lang w:val="fr-CA"/>
        </w:rPr>
        <w:t> </w:t>
      </w:r>
      <w:r w:rsidRPr="004A107C">
        <w:rPr>
          <w:rFonts w:ascii="Arial" w:hAnsi="Arial" w:cs="Arial"/>
          <w:b/>
          <w:bCs/>
          <w:u w:val="single"/>
          <w:lang w:val="fr-CA"/>
        </w:rPr>
        <w:t>: Liste de v</w:t>
      </w:r>
      <w:r w:rsidR="00D86C4D" w:rsidRPr="004A107C">
        <w:rPr>
          <w:rFonts w:ascii="Arial" w:hAnsi="Arial" w:cs="Arial"/>
          <w:b/>
          <w:bCs/>
          <w:u w:val="single"/>
          <w:lang w:val="fr-CA"/>
        </w:rPr>
        <w:t>é</w:t>
      </w:r>
      <w:r w:rsidRPr="004A107C">
        <w:rPr>
          <w:rFonts w:ascii="Arial" w:hAnsi="Arial" w:cs="Arial"/>
          <w:b/>
          <w:bCs/>
          <w:u w:val="single"/>
          <w:lang w:val="fr-CA"/>
        </w:rPr>
        <w:t>rification des règlements correctifs</w:t>
      </w:r>
    </w:p>
    <w:p w14:paraId="6E7FCE76" w14:textId="3820665A" w:rsidR="00DF49AA" w:rsidRPr="004A107C" w:rsidRDefault="00DF49AA" w:rsidP="006C09B7">
      <w:pPr>
        <w:spacing w:after="0" w:line="240" w:lineRule="auto"/>
        <w:contextualSpacing/>
        <w:rPr>
          <w:rFonts w:ascii="Arial" w:hAnsi="Arial" w:cs="Arial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6390"/>
        <w:gridCol w:w="1161"/>
        <w:gridCol w:w="1264"/>
      </w:tblGrid>
      <w:tr w:rsidR="006C09B7" w:rsidRPr="004A107C" w14:paraId="6EA11210" w14:textId="77777777" w:rsidTr="006C09B7">
        <w:tc>
          <w:tcPr>
            <w:tcW w:w="535" w:type="dxa"/>
          </w:tcPr>
          <w:p w14:paraId="45F609E3" w14:textId="77777777" w:rsidR="006C09B7" w:rsidRPr="004A107C" w:rsidRDefault="006C09B7" w:rsidP="00DF49AA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6390" w:type="dxa"/>
          </w:tcPr>
          <w:p w14:paraId="055AADA8" w14:textId="69414C41" w:rsidR="006C09B7" w:rsidRPr="004A107C" w:rsidRDefault="00D47B01" w:rsidP="00DF49AA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4A107C">
              <w:rPr>
                <w:rFonts w:ascii="Arial" w:hAnsi="Arial" w:cs="Arial"/>
                <w:b/>
                <w:bCs/>
                <w:lang w:val="fr-CA"/>
              </w:rPr>
              <w:t>Critères</w:t>
            </w:r>
          </w:p>
        </w:tc>
        <w:tc>
          <w:tcPr>
            <w:tcW w:w="1161" w:type="dxa"/>
          </w:tcPr>
          <w:p w14:paraId="02C4ABB9" w14:textId="24021FE4" w:rsidR="006C09B7" w:rsidRPr="004A107C" w:rsidRDefault="00D47B01" w:rsidP="001B65A4">
            <w:pPr>
              <w:jc w:val="center"/>
              <w:rPr>
                <w:rFonts w:ascii="Arial" w:hAnsi="Arial" w:cs="Arial"/>
                <w:b/>
                <w:bCs/>
                <w:lang w:val="fr-CA"/>
              </w:rPr>
            </w:pPr>
            <w:r w:rsidRPr="004A107C">
              <w:rPr>
                <w:rFonts w:ascii="Arial" w:hAnsi="Arial" w:cs="Arial"/>
                <w:b/>
                <w:bCs/>
                <w:lang w:val="fr-CA"/>
              </w:rPr>
              <w:t>Oui</w:t>
            </w:r>
          </w:p>
        </w:tc>
        <w:tc>
          <w:tcPr>
            <w:tcW w:w="1264" w:type="dxa"/>
          </w:tcPr>
          <w:p w14:paraId="4DFC99B2" w14:textId="4F0906FA" w:rsidR="006C09B7" w:rsidRPr="004A107C" w:rsidRDefault="00D47B01" w:rsidP="001B65A4">
            <w:pPr>
              <w:jc w:val="center"/>
              <w:rPr>
                <w:rFonts w:ascii="Arial" w:hAnsi="Arial" w:cs="Arial"/>
                <w:b/>
                <w:bCs/>
                <w:lang w:val="fr-CA"/>
              </w:rPr>
            </w:pPr>
            <w:r w:rsidRPr="004A107C">
              <w:rPr>
                <w:rFonts w:ascii="Arial" w:hAnsi="Arial" w:cs="Arial"/>
                <w:b/>
                <w:bCs/>
                <w:lang w:val="fr-CA"/>
              </w:rPr>
              <w:t>Non</w:t>
            </w:r>
          </w:p>
        </w:tc>
      </w:tr>
      <w:tr w:rsidR="006C09B7" w:rsidRPr="00034C1A" w14:paraId="2C2D41AA" w14:textId="77777777" w:rsidTr="006C09B7">
        <w:tc>
          <w:tcPr>
            <w:tcW w:w="535" w:type="dxa"/>
            <w:vAlign w:val="center"/>
          </w:tcPr>
          <w:p w14:paraId="3A3B7521" w14:textId="055AE03C" w:rsidR="006C09B7" w:rsidRPr="004A107C" w:rsidRDefault="006C09B7" w:rsidP="00DF49AA">
            <w:pPr>
              <w:rPr>
                <w:rFonts w:ascii="Arial" w:hAnsi="Arial" w:cs="Arial"/>
                <w:lang w:val="fr-CA"/>
              </w:rPr>
            </w:pPr>
            <w:r w:rsidRPr="004A107C">
              <w:rPr>
                <w:rFonts w:ascii="Arial" w:hAnsi="Arial" w:cs="Arial"/>
                <w:lang w:val="fr-CA"/>
              </w:rPr>
              <w:t>1</w:t>
            </w:r>
          </w:p>
        </w:tc>
        <w:tc>
          <w:tcPr>
            <w:tcW w:w="6390" w:type="dxa"/>
          </w:tcPr>
          <w:p w14:paraId="343EDCD6" w14:textId="6DCFE5BD" w:rsidR="006C09B7" w:rsidRPr="004A107C" w:rsidRDefault="00D47B01" w:rsidP="00DF49AA">
            <w:pPr>
              <w:rPr>
                <w:rFonts w:ascii="Arial" w:hAnsi="Arial" w:cs="Arial"/>
                <w:lang w:val="fr-CA"/>
              </w:rPr>
            </w:pPr>
            <w:r w:rsidRPr="004A107C">
              <w:rPr>
                <w:rFonts w:ascii="Arial" w:hAnsi="Arial" w:cs="Arial"/>
                <w:lang w:val="fr-CA"/>
              </w:rPr>
              <w:t xml:space="preserve">Les modifications apportées par la proposition de réglementation </w:t>
            </w:r>
            <w:r w:rsidR="00D86C4D" w:rsidRPr="004A107C">
              <w:rPr>
                <w:rFonts w:ascii="Arial" w:hAnsi="Arial" w:cs="Arial"/>
                <w:lang w:val="fr-CA"/>
              </w:rPr>
              <w:t xml:space="preserve">appartiennent à </w:t>
            </w:r>
            <w:r w:rsidRPr="004A107C">
              <w:rPr>
                <w:rFonts w:ascii="Arial" w:hAnsi="Arial" w:cs="Arial"/>
                <w:lang w:val="fr-CA"/>
              </w:rPr>
              <w:t>au moins une des cat</w:t>
            </w:r>
            <w:r w:rsidR="00D86C4D" w:rsidRPr="004A107C">
              <w:rPr>
                <w:rFonts w:ascii="Arial" w:hAnsi="Arial" w:cs="Arial"/>
                <w:lang w:val="fr-CA"/>
              </w:rPr>
              <w:t>é</w:t>
            </w:r>
            <w:r w:rsidRPr="004A107C">
              <w:rPr>
                <w:rFonts w:ascii="Arial" w:hAnsi="Arial" w:cs="Arial"/>
                <w:lang w:val="fr-CA"/>
              </w:rPr>
              <w:t>gories d’exemples nommé</w:t>
            </w:r>
            <w:r w:rsidR="00E64A8F">
              <w:rPr>
                <w:rFonts w:ascii="Arial" w:hAnsi="Arial" w:cs="Arial"/>
                <w:lang w:val="fr-CA"/>
              </w:rPr>
              <w:t>e</w:t>
            </w:r>
            <w:r w:rsidRPr="004A107C">
              <w:rPr>
                <w:rFonts w:ascii="Arial" w:hAnsi="Arial" w:cs="Arial"/>
                <w:lang w:val="fr-CA"/>
              </w:rPr>
              <w:t>s dans la Politique sur l’élaboration de la réglementation du</w:t>
            </w:r>
            <w:r w:rsidR="00744ADB" w:rsidRPr="004A107C">
              <w:rPr>
                <w:rFonts w:ascii="Arial" w:hAnsi="Arial" w:cs="Arial"/>
                <w:lang w:val="fr-CA"/>
              </w:rPr>
              <w:t> </w:t>
            </w:r>
            <w:r w:rsidRPr="004A107C">
              <w:rPr>
                <w:rFonts w:ascii="Arial" w:hAnsi="Arial" w:cs="Arial"/>
                <w:lang w:val="fr-CA"/>
              </w:rPr>
              <w:t>SCT (susmentionnée) ou</w:t>
            </w:r>
            <w:r w:rsidR="006B39FE">
              <w:rPr>
                <w:rFonts w:ascii="Arial" w:hAnsi="Arial" w:cs="Arial"/>
                <w:lang w:val="fr-CA"/>
              </w:rPr>
              <w:t xml:space="preserve"> un</w:t>
            </w:r>
            <w:r w:rsidRPr="004A107C">
              <w:rPr>
                <w:rFonts w:ascii="Arial" w:hAnsi="Arial" w:cs="Arial"/>
                <w:lang w:val="fr-CA"/>
              </w:rPr>
              <w:t xml:space="preserve"> </w:t>
            </w:r>
            <w:r w:rsidR="00744ADB" w:rsidRPr="004A107C">
              <w:rPr>
                <w:rFonts w:ascii="Arial" w:hAnsi="Arial" w:cs="Arial"/>
                <w:lang w:val="fr-CA"/>
              </w:rPr>
              <w:t>é</w:t>
            </w:r>
            <w:r w:rsidRPr="004A107C">
              <w:rPr>
                <w:rFonts w:ascii="Arial" w:hAnsi="Arial" w:cs="Arial"/>
                <w:lang w:val="fr-CA"/>
              </w:rPr>
              <w:t>quivalent.</w:t>
            </w:r>
          </w:p>
        </w:tc>
        <w:tc>
          <w:tcPr>
            <w:tcW w:w="1161" w:type="dxa"/>
            <w:vAlign w:val="center"/>
          </w:tcPr>
          <w:p w14:paraId="6AAABC4E" w14:textId="043956C4" w:rsidR="006C09B7" w:rsidRPr="004A107C" w:rsidRDefault="006C09B7" w:rsidP="005B63A2">
            <w:pPr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1264" w:type="dxa"/>
          </w:tcPr>
          <w:p w14:paraId="3306EFE0" w14:textId="77777777" w:rsidR="006C09B7" w:rsidRPr="004A107C" w:rsidRDefault="006C09B7" w:rsidP="00DF49AA">
            <w:pPr>
              <w:rPr>
                <w:rFonts w:ascii="Arial" w:hAnsi="Arial" w:cs="Arial"/>
                <w:lang w:val="fr-CA"/>
              </w:rPr>
            </w:pPr>
          </w:p>
        </w:tc>
      </w:tr>
      <w:tr w:rsidR="006C09B7" w:rsidRPr="00034C1A" w14:paraId="2092ED94" w14:textId="77777777" w:rsidTr="006C09B7">
        <w:tc>
          <w:tcPr>
            <w:tcW w:w="535" w:type="dxa"/>
            <w:vAlign w:val="center"/>
          </w:tcPr>
          <w:p w14:paraId="7C7C4234" w14:textId="0A5921E9" w:rsidR="006C09B7" w:rsidRPr="004A107C" w:rsidRDefault="006C09B7" w:rsidP="00DF49AA">
            <w:pPr>
              <w:rPr>
                <w:rFonts w:ascii="Arial" w:hAnsi="Arial" w:cs="Arial"/>
                <w:lang w:val="fr-CA"/>
              </w:rPr>
            </w:pPr>
            <w:r w:rsidRPr="004A107C">
              <w:rPr>
                <w:rFonts w:ascii="Arial" w:hAnsi="Arial" w:cs="Arial"/>
                <w:lang w:val="fr-CA"/>
              </w:rPr>
              <w:t>2</w:t>
            </w:r>
          </w:p>
        </w:tc>
        <w:tc>
          <w:tcPr>
            <w:tcW w:w="6390" w:type="dxa"/>
          </w:tcPr>
          <w:p w14:paraId="5F3CCFB4" w14:textId="3EEAA2A0" w:rsidR="006C09B7" w:rsidRPr="004A107C" w:rsidRDefault="00D47B01" w:rsidP="00DF49AA">
            <w:pPr>
              <w:rPr>
                <w:rFonts w:ascii="Arial" w:hAnsi="Arial" w:cs="Arial"/>
                <w:lang w:val="fr-CA"/>
              </w:rPr>
            </w:pPr>
            <w:r w:rsidRPr="004A107C">
              <w:rPr>
                <w:rFonts w:ascii="Arial" w:hAnsi="Arial" w:cs="Arial"/>
                <w:lang w:val="fr-CA"/>
              </w:rPr>
              <w:t>La proposition n’introduirait pas de nouveaux coûts.</w:t>
            </w:r>
          </w:p>
        </w:tc>
        <w:tc>
          <w:tcPr>
            <w:tcW w:w="1161" w:type="dxa"/>
          </w:tcPr>
          <w:p w14:paraId="3AF90807" w14:textId="76C5644E" w:rsidR="006C09B7" w:rsidRPr="004A107C" w:rsidRDefault="006C09B7" w:rsidP="005B63A2">
            <w:pPr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1264" w:type="dxa"/>
          </w:tcPr>
          <w:p w14:paraId="7EB5D400" w14:textId="77777777" w:rsidR="006C09B7" w:rsidRPr="004A107C" w:rsidRDefault="006C09B7" w:rsidP="00DF49AA">
            <w:pPr>
              <w:rPr>
                <w:rFonts w:ascii="Arial" w:hAnsi="Arial" w:cs="Arial"/>
                <w:lang w:val="fr-CA"/>
              </w:rPr>
            </w:pPr>
          </w:p>
        </w:tc>
      </w:tr>
      <w:tr w:rsidR="006C09B7" w:rsidRPr="00034C1A" w14:paraId="1119E7EC" w14:textId="77777777" w:rsidTr="006C09B7">
        <w:tc>
          <w:tcPr>
            <w:tcW w:w="535" w:type="dxa"/>
            <w:vAlign w:val="center"/>
          </w:tcPr>
          <w:p w14:paraId="3F57C37C" w14:textId="18769F65" w:rsidR="006C09B7" w:rsidRPr="004A107C" w:rsidRDefault="006C09B7" w:rsidP="00DF49AA">
            <w:pPr>
              <w:rPr>
                <w:rFonts w:ascii="Arial" w:hAnsi="Arial" w:cs="Arial"/>
                <w:lang w:val="fr-CA"/>
              </w:rPr>
            </w:pPr>
            <w:r w:rsidRPr="004A107C">
              <w:rPr>
                <w:rFonts w:ascii="Arial" w:hAnsi="Arial" w:cs="Arial"/>
                <w:lang w:val="fr-CA"/>
              </w:rPr>
              <w:t>3</w:t>
            </w:r>
          </w:p>
        </w:tc>
        <w:tc>
          <w:tcPr>
            <w:tcW w:w="6390" w:type="dxa"/>
          </w:tcPr>
          <w:p w14:paraId="3FB0F7B2" w14:textId="7250D167" w:rsidR="006C09B7" w:rsidRPr="004A107C" w:rsidRDefault="00D47B01" w:rsidP="00DF49AA">
            <w:pPr>
              <w:rPr>
                <w:rFonts w:ascii="Arial" w:hAnsi="Arial" w:cs="Arial"/>
                <w:lang w:val="fr-CA"/>
              </w:rPr>
            </w:pPr>
            <w:r w:rsidRPr="004A107C">
              <w:rPr>
                <w:rFonts w:ascii="Arial" w:hAnsi="Arial" w:cs="Arial"/>
                <w:lang w:val="fr-CA"/>
              </w:rPr>
              <w:t xml:space="preserve">La proposition ne serait pas considérée comme controversée ou ne susciterait pas une </w:t>
            </w:r>
            <w:r w:rsidR="006B39FE">
              <w:rPr>
                <w:rFonts w:ascii="Arial" w:hAnsi="Arial" w:cs="Arial"/>
                <w:lang w:val="fr-CA"/>
              </w:rPr>
              <w:t xml:space="preserve">vive </w:t>
            </w:r>
            <w:r w:rsidRPr="004A107C">
              <w:rPr>
                <w:rFonts w:ascii="Arial" w:hAnsi="Arial" w:cs="Arial"/>
                <w:lang w:val="fr-CA"/>
              </w:rPr>
              <w:t>r</w:t>
            </w:r>
            <w:r w:rsidR="00744ADB" w:rsidRPr="004A107C">
              <w:rPr>
                <w:rFonts w:ascii="Arial" w:hAnsi="Arial" w:cs="Arial"/>
                <w:lang w:val="fr-CA"/>
              </w:rPr>
              <w:t>é</w:t>
            </w:r>
            <w:r w:rsidRPr="004A107C">
              <w:rPr>
                <w:rFonts w:ascii="Arial" w:hAnsi="Arial" w:cs="Arial"/>
                <w:lang w:val="fr-CA"/>
              </w:rPr>
              <w:t xml:space="preserve">action </w:t>
            </w:r>
            <w:r w:rsidR="006B39FE">
              <w:rPr>
                <w:rFonts w:ascii="Arial" w:hAnsi="Arial" w:cs="Arial"/>
                <w:lang w:val="fr-CA"/>
              </w:rPr>
              <w:t>de la part</w:t>
            </w:r>
            <w:r w:rsidR="00E64A8F">
              <w:rPr>
                <w:rFonts w:ascii="Arial" w:hAnsi="Arial" w:cs="Arial"/>
                <w:lang w:val="fr-CA"/>
              </w:rPr>
              <w:t xml:space="preserve"> </w:t>
            </w:r>
            <w:r w:rsidRPr="004A107C">
              <w:rPr>
                <w:rFonts w:ascii="Arial" w:hAnsi="Arial" w:cs="Arial"/>
                <w:lang w:val="fr-CA"/>
              </w:rPr>
              <w:t>des intervenants, des m</w:t>
            </w:r>
            <w:r w:rsidR="00744ADB" w:rsidRPr="004A107C">
              <w:rPr>
                <w:rFonts w:ascii="Arial" w:hAnsi="Arial" w:cs="Arial"/>
                <w:lang w:val="fr-CA"/>
              </w:rPr>
              <w:t>é</w:t>
            </w:r>
            <w:r w:rsidRPr="004A107C">
              <w:rPr>
                <w:rFonts w:ascii="Arial" w:hAnsi="Arial" w:cs="Arial"/>
                <w:lang w:val="fr-CA"/>
              </w:rPr>
              <w:t>dias ou du public.</w:t>
            </w:r>
          </w:p>
        </w:tc>
        <w:tc>
          <w:tcPr>
            <w:tcW w:w="1161" w:type="dxa"/>
          </w:tcPr>
          <w:p w14:paraId="031B3299" w14:textId="7EBB6959" w:rsidR="006C09B7" w:rsidRPr="004A107C" w:rsidRDefault="006C09B7" w:rsidP="00DF49AA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1264" w:type="dxa"/>
          </w:tcPr>
          <w:p w14:paraId="4570BD45" w14:textId="77777777" w:rsidR="006C09B7" w:rsidRPr="004A107C" w:rsidRDefault="006C09B7" w:rsidP="00DF49AA">
            <w:pPr>
              <w:rPr>
                <w:rFonts w:ascii="Arial" w:hAnsi="Arial" w:cs="Arial"/>
                <w:lang w:val="fr-CA"/>
              </w:rPr>
            </w:pPr>
          </w:p>
        </w:tc>
      </w:tr>
      <w:tr w:rsidR="006C09B7" w:rsidRPr="00034C1A" w14:paraId="3A1D0D5B" w14:textId="77777777" w:rsidTr="006C09B7">
        <w:tc>
          <w:tcPr>
            <w:tcW w:w="535" w:type="dxa"/>
            <w:vAlign w:val="center"/>
          </w:tcPr>
          <w:p w14:paraId="22D2D264" w14:textId="19CD9E91" w:rsidR="006C09B7" w:rsidRPr="004A107C" w:rsidRDefault="006C09B7" w:rsidP="00DF49AA">
            <w:pPr>
              <w:rPr>
                <w:rFonts w:ascii="Arial" w:hAnsi="Arial" w:cs="Arial"/>
                <w:lang w:val="fr-CA"/>
              </w:rPr>
            </w:pPr>
            <w:r w:rsidRPr="004A107C">
              <w:rPr>
                <w:rFonts w:ascii="Arial" w:hAnsi="Arial" w:cs="Arial"/>
                <w:lang w:val="fr-CA"/>
              </w:rPr>
              <w:t>4</w:t>
            </w:r>
          </w:p>
        </w:tc>
        <w:tc>
          <w:tcPr>
            <w:tcW w:w="6390" w:type="dxa"/>
          </w:tcPr>
          <w:p w14:paraId="29E309C6" w14:textId="33D40FCF" w:rsidR="006C09B7" w:rsidRPr="004A107C" w:rsidRDefault="00D47B01" w:rsidP="00DF49AA">
            <w:pPr>
              <w:rPr>
                <w:rFonts w:ascii="Arial" w:hAnsi="Arial" w:cs="Arial"/>
                <w:lang w:val="fr-CA"/>
              </w:rPr>
            </w:pPr>
            <w:r w:rsidRPr="004A107C">
              <w:rPr>
                <w:rFonts w:ascii="Arial" w:hAnsi="Arial" w:cs="Arial"/>
                <w:lang w:val="fr-CA"/>
              </w:rPr>
              <w:t>La proposition n’entraînerait pas de changement à une politique.</w:t>
            </w:r>
          </w:p>
        </w:tc>
        <w:tc>
          <w:tcPr>
            <w:tcW w:w="1161" w:type="dxa"/>
          </w:tcPr>
          <w:p w14:paraId="05FABDE3" w14:textId="77777777" w:rsidR="006C09B7" w:rsidRPr="004A107C" w:rsidRDefault="006C09B7" w:rsidP="00DF49AA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1264" w:type="dxa"/>
          </w:tcPr>
          <w:p w14:paraId="7F534F7B" w14:textId="77777777" w:rsidR="006C09B7" w:rsidRPr="004A107C" w:rsidRDefault="006C09B7" w:rsidP="00DF49AA">
            <w:pPr>
              <w:rPr>
                <w:rFonts w:ascii="Arial" w:hAnsi="Arial" w:cs="Arial"/>
                <w:lang w:val="fr-CA"/>
              </w:rPr>
            </w:pPr>
          </w:p>
        </w:tc>
      </w:tr>
      <w:tr w:rsidR="006C09B7" w:rsidRPr="00034C1A" w14:paraId="7B3CD7DF" w14:textId="77777777" w:rsidTr="006C09B7">
        <w:tc>
          <w:tcPr>
            <w:tcW w:w="535" w:type="dxa"/>
            <w:vAlign w:val="center"/>
          </w:tcPr>
          <w:p w14:paraId="3CB0AF65" w14:textId="0048CEFC" w:rsidR="006C09B7" w:rsidRPr="004A107C" w:rsidRDefault="006C09B7" w:rsidP="00DF49AA">
            <w:pPr>
              <w:rPr>
                <w:rFonts w:ascii="Arial" w:hAnsi="Arial" w:cs="Arial"/>
                <w:lang w:val="fr-CA"/>
              </w:rPr>
            </w:pPr>
            <w:r w:rsidRPr="004A107C">
              <w:rPr>
                <w:rFonts w:ascii="Arial" w:hAnsi="Arial" w:cs="Arial"/>
                <w:lang w:val="fr-CA"/>
              </w:rPr>
              <w:t>5</w:t>
            </w:r>
          </w:p>
        </w:tc>
        <w:tc>
          <w:tcPr>
            <w:tcW w:w="6390" w:type="dxa"/>
          </w:tcPr>
          <w:p w14:paraId="7A8C26BC" w14:textId="22811794" w:rsidR="006C09B7" w:rsidRPr="004A107C" w:rsidRDefault="00D47B01" w:rsidP="00DF49AA">
            <w:pPr>
              <w:rPr>
                <w:rFonts w:ascii="Arial" w:hAnsi="Arial" w:cs="Arial"/>
                <w:lang w:val="fr-CA"/>
              </w:rPr>
            </w:pPr>
            <w:r w:rsidRPr="004A107C">
              <w:rPr>
                <w:rFonts w:ascii="Arial" w:hAnsi="Arial" w:cs="Arial"/>
                <w:lang w:val="fr-CA"/>
              </w:rPr>
              <w:t>La proposition n’entraînerait pas de nouveaux risques juridiques.</w:t>
            </w:r>
          </w:p>
        </w:tc>
        <w:tc>
          <w:tcPr>
            <w:tcW w:w="1161" w:type="dxa"/>
          </w:tcPr>
          <w:p w14:paraId="6DB6EC69" w14:textId="77777777" w:rsidR="006C09B7" w:rsidRPr="004A107C" w:rsidRDefault="006C09B7" w:rsidP="00DF49AA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1264" w:type="dxa"/>
          </w:tcPr>
          <w:p w14:paraId="1D986A90" w14:textId="77777777" w:rsidR="006C09B7" w:rsidRPr="004A107C" w:rsidRDefault="006C09B7" w:rsidP="00DF49AA">
            <w:pPr>
              <w:rPr>
                <w:rFonts w:ascii="Arial" w:hAnsi="Arial" w:cs="Arial"/>
                <w:lang w:val="fr-CA"/>
              </w:rPr>
            </w:pPr>
          </w:p>
        </w:tc>
      </w:tr>
    </w:tbl>
    <w:p w14:paraId="4E034A4F" w14:textId="77777777" w:rsidR="00DF49AA" w:rsidRPr="004A107C" w:rsidRDefault="00DF49AA" w:rsidP="00DF49AA">
      <w:pPr>
        <w:rPr>
          <w:rFonts w:ascii="Arial" w:hAnsi="Arial" w:cs="Arial"/>
          <w:lang w:val="fr-CA"/>
        </w:rPr>
      </w:pPr>
    </w:p>
    <w:p w14:paraId="496251BE" w14:textId="74FDD248" w:rsidR="00DF49AA" w:rsidRPr="004A107C" w:rsidRDefault="00D47B01" w:rsidP="00DF49AA">
      <w:pPr>
        <w:rPr>
          <w:rFonts w:ascii="Arial" w:hAnsi="Arial" w:cs="Arial"/>
          <w:b/>
          <w:bCs/>
          <w:u w:val="single"/>
          <w:lang w:val="fr-CA"/>
        </w:rPr>
      </w:pPr>
      <w:r w:rsidRPr="004A107C">
        <w:rPr>
          <w:rFonts w:ascii="Arial" w:hAnsi="Arial" w:cs="Arial"/>
          <w:b/>
          <w:bCs/>
          <w:u w:val="single"/>
          <w:lang w:val="fr-CA"/>
        </w:rPr>
        <w:t>Annexe</w:t>
      </w:r>
      <w:r w:rsidR="00744ADB" w:rsidRPr="004A107C">
        <w:rPr>
          <w:rFonts w:ascii="Arial" w:hAnsi="Arial" w:cs="Arial"/>
          <w:b/>
          <w:bCs/>
          <w:u w:val="single"/>
          <w:lang w:val="fr-CA"/>
        </w:rPr>
        <w:t> </w:t>
      </w:r>
      <w:r w:rsidRPr="004A107C">
        <w:rPr>
          <w:rFonts w:ascii="Arial" w:hAnsi="Arial" w:cs="Arial"/>
          <w:b/>
          <w:bCs/>
          <w:u w:val="single"/>
          <w:lang w:val="fr-CA"/>
        </w:rPr>
        <w:t>2</w:t>
      </w:r>
      <w:r w:rsidR="00744ADB" w:rsidRPr="004A107C">
        <w:rPr>
          <w:rFonts w:ascii="Arial" w:hAnsi="Arial" w:cs="Arial"/>
          <w:b/>
          <w:bCs/>
          <w:u w:val="single"/>
          <w:lang w:val="fr-CA"/>
        </w:rPr>
        <w:t> </w:t>
      </w:r>
      <w:r w:rsidRPr="004A107C">
        <w:rPr>
          <w:rFonts w:ascii="Arial" w:hAnsi="Arial" w:cs="Arial"/>
          <w:b/>
          <w:bCs/>
          <w:u w:val="single"/>
          <w:lang w:val="fr-CA"/>
        </w:rPr>
        <w:t>: Exemples de règlements correctifs</w:t>
      </w:r>
    </w:p>
    <w:p w14:paraId="7F2ED0EC" w14:textId="6FDFABCD" w:rsidR="005B63A2" w:rsidRPr="004A107C" w:rsidRDefault="000E2994" w:rsidP="005B63A2">
      <w:pPr>
        <w:pStyle w:val="ListParagraph"/>
        <w:numPr>
          <w:ilvl w:val="0"/>
          <w:numId w:val="5"/>
        </w:numPr>
        <w:rPr>
          <w:rFonts w:ascii="Arial" w:hAnsi="Arial" w:cs="Arial"/>
          <w:u w:val="single"/>
          <w:lang w:val="fr-CA"/>
        </w:rPr>
      </w:pPr>
      <w:hyperlink r:id="rId8" w:history="1">
        <w:r w:rsidR="00E6068B" w:rsidRPr="004A107C">
          <w:rPr>
            <w:rStyle w:val="Hyperlink"/>
            <w:lang w:val="fr-CA"/>
          </w:rPr>
          <w:t>La Gazette du Canada, Partie</w:t>
        </w:r>
        <w:r w:rsidR="00E4108E" w:rsidRPr="004A107C">
          <w:rPr>
            <w:rStyle w:val="Hyperlink"/>
            <w:lang w:val="fr-CA"/>
          </w:rPr>
          <w:t> </w:t>
        </w:r>
        <w:r w:rsidR="00E6068B" w:rsidRPr="004A107C">
          <w:rPr>
            <w:rStyle w:val="Hyperlink"/>
            <w:lang w:val="fr-CA"/>
          </w:rPr>
          <w:t>II, volume</w:t>
        </w:r>
        <w:r w:rsidR="00E4108E" w:rsidRPr="004A107C">
          <w:rPr>
            <w:rStyle w:val="Hyperlink"/>
            <w:lang w:val="fr-CA"/>
          </w:rPr>
          <w:t> </w:t>
        </w:r>
        <w:r w:rsidR="00E6068B" w:rsidRPr="004A107C">
          <w:rPr>
            <w:rStyle w:val="Hyperlink"/>
            <w:lang w:val="fr-CA"/>
          </w:rPr>
          <w:t>155, numéro</w:t>
        </w:r>
        <w:r w:rsidR="00E4108E" w:rsidRPr="004A107C">
          <w:rPr>
            <w:rStyle w:val="Hyperlink"/>
            <w:lang w:val="fr-CA"/>
          </w:rPr>
          <w:t> </w:t>
        </w:r>
        <w:r w:rsidR="00E6068B" w:rsidRPr="004A107C">
          <w:rPr>
            <w:rStyle w:val="Hyperlink"/>
            <w:lang w:val="fr-CA"/>
          </w:rPr>
          <w:t>14</w:t>
        </w:r>
        <w:r w:rsidR="00725D78" w:rsidRPr="004A107C">
          <w:rPr>
            <w:rStyle w:val="Hyperlink"/>
            <w:lang w:val="fr-CA"/>
          </w:rPr>
          <w:t> : Règlement correctif visant le Règlement de l’aviation canadien</w:t>
        </w:r>
        <w:r w:rsidR="00E4108E" w:rsidRPr="004A107C">
          <w:rPr>
            <w:rStyle w:val="Hyperlink"/>
            <w:lang w:val="fr-CA"/>
          </w:rPr>
          <w:t> </w:t>
        </w:r>
        <w:r w:rsidR="00725D78" w:rsidRPr="004A107C">
          <w:rPr>
            <w:rStyle w:val="Hyperlink"/>
            <w:lang w:val="fr-CA"/>
          </w:rPr>
          <w:t>(2021</w:t>
        </w:r>
        <w:r w:rsidR="00E4108E" w:rsidRPr="004A107C">
          <w:rPr>
            <w:rStyle w:val="Hyperlink"/>
            <w:lang w:val="fr-CA"/>
          </w:rPr>
          <w:noBreakHyphen/>
        </w:r>
        <w:r w:rsidR="00725D78" w:rsidRPr="004A107C">
          <w:rPr>
            <w:rStyle w:val="Hyperlink"/>
            <w:lang w:val="fr-CA"/>
          </w:rPr>
          <w:t>1)</w:t>
        </w:r>
      </w:hyperlink>
    </w:p>
    <w:p w14:paraId="7A2B5AA5" w14:textId="641F8360" w:rsidR="005B63A2" w:rsidRPr="004A107C" w:rsidRDefault="000E2994" w:rsidP="005B63A2">
      <w:pPr>
        <w:pStyle w:val="ListParagraph"/>
        <w:numPr>
          <w:ilvl w:val="0"/>
          <w:numId w:val="5"/>
        </w:numPr>
        <w:rPr>
          <w:rFonts w:ascii="Arial" w:hAnsi="Arial" w:cs="Arial"/>
          <w:u w:val="single"/>
          <w:lang w:val="fr-CA"/>
        </w:rPr>
      </w:pPr>
      <w:hyperlink r:id="rId9" w:history="1">
        <w:r w:rsidR="00725D78" w:rsidRPr="004A107C">
          <w:rPr>
            <w:rStyle w:val="Hyperlink"/>
            <w:lang w:val="fr-CA"/>
          </w:rPr>
          <w:t>La Gazette du Canada, Partie</w:t>
        </w:r>
        <w:r w:rsidR="00E4108E" w:rsidRPr="004A107C">
          <w:rPr>
            <w:rStyle w:val="Hyperlink"/>
            <w:lang w:val="fr-CA"/>
          </w:rPr>
          <w:t> </w:t>
        </w:r>
        <w:r w:rsidR="00725D78" w:rsidRPr="004A107C">
          <w:rPr>
            <w:rStyle w:val="Hyperlink"/>
            <w:lang w:val="fr-CA"/>
          </w:rPr>
          <w:t>II, volume</w:t>
        </w:r>
        <w:r w:rsidR="00E4108E" w:rsidRPr="004A107C">
          <w:rPr>
            <w:rStyle w:val="Hyperlink"/>
            <w:lang w:val="fr-CA"/>
          </w:rPr>
          <w:t> </w:t>
        </w:r>
        <w:r w:rsidR="00725D78" w:rsidRPr="004A107C">
          <w:rPr>
            <w:rStyle w:val="Hyperlink"/>
            <w:lang w:val="fr-CA"/>
          </w:rPr>
          <w:t>155, numéro</w:t>
        </w:r>
        <w:r w:rsidR="00E4108E" w:rsidRPr="004A107C">
          <w:rPr>
            <w:rStyle w:val="Hyperlink"/>
            <w:lang w:val="fr-CA"/>
          </w:rPr>
          <w:t> </w:t>
        </w:r>
        <w:r w:rsidR="00725D78" w:rsidRPr="004A107C">
          <w:rPr>
            <w:rStyle w:val="Hyperlink"/>
            <w:lang w:val="fr-CA"/>
          </w:rPr>
          <w:t>14</w:t>
        </w:r>
        <w:r w:rsidR="00E4108E" w:rsidRPr="004A107C">
          <w:rPr>
            <w:rStyle w:val="Hyperlink"/>
            <w:lang w:val="fr-CA"/>
          </w:rPr>
          <w:t> </w:t>
        </w:r>
        <w:r w:rsidR="00725D78" w:rsidRPr="004A107C">
          <w:rPr>
            <w:rStyle w:val="Hyperlink"/>
            <w:lang w:val="fr-CA"/>
          </w:rPr>
          <w:t>: Règlement correctif visant le Règlement sur le blocage des biens de dirigeants étrangers corrompus (Ukraine)</w:t>
        </w:r>
      </w:hyperlink>
    </w:p>
    <w:p w14:paraId="790344BF" w14:textId="34F9E57C" w:rsidR="005B63A2" w:rsidRPr="004A107C" w:rsidRDefault="000E2994" w:rsidP="005B63A2">
      <w:pPr>
        <w:pStyle w:val="ListParagraph"/>
        <w:numPr>
          <w:ilvl w:val="0"/>
          <w:numId w:val="5"/>
        </w:numPr>
        <w:rPr>
          <w:rFonts w:ascii="Arial" w:hAnsi="Arial" w:cs="Arial"/>
          <w:u w:val="single"/>
          <w:lang w:val="fr-CA"/>
        </w:rPr>
      </w:pPr>
      <w:hyperlink r:id="rId10" w:history="1">
        <w:r w:rsidR="00725D78" w:rsidRPr="004A107C">
          <w:rPr>
            <w:rStyle w:val="Hyperlink"/>
            <w:lang w:val="fr-CA"/>
          </w:rPr>
          <w:t>La Gazette du Canada, Partie</w:t>
        </w:r>
        <w:r w:rsidR="00E4108E" w:rsidRPr="004A107C">
          <w:rPr>
            <w:rStyle w:val="Hyperlink"/>
            <w:lang w:val="fr-CA"/>
          </w:rPr>
          <w:t> </w:t>
        </w:r>
        <w:r w:rsidR="00725D78" w:rsidRPr="004A107C">
          <w:rPr>
            <w:rStyle w:val="Hyperlink"/>
            <w:lang w:val="fr-CA"/>
          </w:rPr>
          <w:t>II, volume</w:t>
        </w:r>
        <w:r w:rsidR="00E4108E" w:rsidRPr="004A107C">
          <w:rPr>
            <w:rStyle w:val="Hyperlink"/>
            <w:lang w:val="fr-CA"/>
          </w:rPr>
          <w:t> </w:t>
        </w:r>
        <w:r w:rsidR="00725D78" w:rsidRPr="004A107C">
          <w:rPr>
            <w:rStyle w:val="Hyperlink"/>
            <w:lang w:val="fr-CA"/>
          </w:rPr>
          <w:t>155, numéro</w:t>
        </w:r>
        <w:r w:rsidR="00E4108E" w:rsidRPr="004A107C">
          <w:rPr>
            <w:rStyle w:val="Hyperlink"/>
            <w:lang w:val="fr-CA"/>
          </w:rPr>
          <w:t> </w:t>
        </w:r>
        <w:r w:rsidR="00725D78" w:rsidRPr="004A107C">
          <w:rPr>
            <w:rStyle w:val="Hyperlink"/>
            <w:lang w:val="fr-CA"/>
          </w:rPr>
          <w:t>13 : Règlement correctif visant le Règlement sur les grains du Canada</w:t>
        </w:r>
      </w:hyperlink>
    </w:p>
    <w:p w14:paraId="7847D90A" w14:textId="18AE6676" w:rsidR="00A2544C" w:rsidRPr="004A107C" w:rsidRDefault="000E2994" w:rsidP="005B63A2">
      <w:pPr>
        <w:pStyle w:val="ListParagraph"/>
        <w:numPr>
          <w:ilvl w:val="0"/>
          <w:numId w:val="5"/>
        </w:numPr>
        <w:rPr>
          <w:rFonts w:ascii="Arial" w:hAnsi="Arial" w:cs="Arial"/>
          <w:u w:val="single"/>
          <w:lang w:val="fr-CA"/>
        </w:rPr>
      </w:pPr>
      <w:hyperlink r:id="rId11" w:history="1">
        <w:r w:rsidR="00725D78" w:rsidRPr="004A107C">
          <w:rPr>
            <w:rStyle w:val="Hyperlink"/>
            <w:lang w:val="fr-CA"/>
          </w:rPr>
          <w:t>La Gazette du Canada, Partie</w:t>
        </w:r>
        <w:r w:rsidR="00E4108E" w:rsidRPr="004A107C">
          <w:rPr>
            <w:rStyle w:val="Hyperlink"/>
            <w:lang w:val="fr-CA"/>
          </w:rPr>
          <w:t> </w:t>
        </w:r>
        <w:r w:rsidR="00725D78" w:rsidRPr="004A107C">
          <w:rPr>
            <w:rStyle w:val="Hyperlink"/>
            <w:lang w:val="fr-CA"/>
          </w:rPr>
          <w:t>II, volume</w:t>
        </w:r>
        <w:r w:rsidR="00E4108E" w:rsidRPr="004A107C">
          <w:rPr>
            <w:rStyle w:val="Hyperlink"/>
            <w:lang w:val="fr-CA"/>
          </w:rPr>
          <w:t> </w:t>
        </w:r>
        <w:r w:rsidR="00725D78" w:rsidRPr="004A107C">
          <w:rPr>
            <w:rStyle w:val="Hyperlink"/>
            <w:lang w:val="fr-CA"/>
          </w:rPr>
          <w:t>155, numéro</w:t>
        </w:r>
        <w:r w:rsidR="00E4108E" w:rsidRPr="004A107C">
          <w:rPr>
            <w:rStyle w:val="Hyperlink"/>
            <w:lang w:val="fr-CA"/>
          </w:rPr>
          <w:t> </w:t>
        </w:r>
        <w:r w:rsidR="00725D78" w:rsidRPr="004A107C">
          <w:rPr>
            <w:rStyle w:val="Hyperlink"/>
            <w:lang w:val="fr-CA"/>
          </w:rPr>
          <w:t>12 : Règlement correctif visant l’abrogation de certains règlements pris en vertu de la Loi sur le pilotage (règlements sur les tarifs)</w:t>
        </w:r>
      </w:hyperlink>
    </w:p>
    <w:p w14:paraId="74B90043" w14:textId="742A36C3" w:rsidR="00A2544C" w:rsidRPr="004A107C" w:rsidRDefault="000E2994" w:rsidP="005B63A2">
      <w:pPr>
        <w:pStyle w:val="ListParagraph"/>
        <w:numPr>
          <w:ilvl w:val="0"/>
          <w:numId w:val="5"/>
        </w:numPr>
        <w:rPr>
          <w:rFonts w:ascii="Arial" w:hAnsi="Arial" w:cs="Arial"/>
          <w:u w:val="single"/>
          <w:lang w:val="fr-CA"/>
        </w:rPr>
      </w:pPr>
      <w:hyperlink r:id="rId12" w:history="1">
        <w:r w:rsidR="00725D78" w:rsidRPr="004A107C">
          <w:rPr>
            <w:rStyle w:val="Hyperlink"/>
            <w:lang w:val="fr-CA"/>
          </w:rPr>
          <w:t>La Gazette du Canada, Partie</w:t>
        </w:r>
        <w:r w:rsidR="00E4108E" w:rsidRPr="004A107C">
          <w:rPr>
            <w:rStyle w:val="Hyperlink"/>
            <w:lang w:val="fr-CA"/>
          </w:rPr>
          <w:t> </w:t>
        </w:r>
        <w:r w:rsidR="00725D78" w:rsidRPr="004A107C">
          <w:rPr>
            <w:rStyle w:val="Hyperlink"/>
            <w:lang w:val="fr-CA"/>
          </w:rPr>
          <w:t>II, volume</w:t>
        </w:r>
        <w:r w:rsidR="00E4108E" w:rsidRPr="004A107C">
          <w:rPr>
            <w:rStyle w:val="Hyperlink"/>
            <w:lang w:val="fr-CA"/>
          </w:rPr>
          <w:t> </w:t>
        </w:r>
        <w:r w:rsidR="00725D78" w:rsidRPr="004A107C">
          <w:rPr>
            <w:rStyle w:val="Hyperlink"/>
            <w:lang w:val="fr-CA"/>
          </w:rPr>
          <w:t>155, numéro</w:t>
        </w:r>
        <w:r w:rsidR="00E4108E" w:rsidRPr="004A107C">
          <w:rPr>
            <w:rStyle w:val="Hyperlink"/>
            <w:lang w:val="fr-CA"/>
          </w:rPr>
          <w:t> </w:t>
        </w:r>
        <w:r w:rsidR="00725D78" w:rsidRPr="004A107C">
          <w:rPr>
            <w:rStyle w:val="Hyperlink"/>
            <w:lang w:val="fr-CA"/>
          </w:rPr>
          <w:t>12 : Règlement correctif visant le Règlement de pêche du Québec</w:t>
        </w:r>
        <w:r w:rsidR="00E4108E" w:rsidRPr="004A107C">
          <w:rPr>
            <w:rStyle w:val="Hyperlink"/>
            <w:lang w:val="fr-CA"/>
          </w:rPr>
          <w:t> </w:t>
        </w:r>
        <w:r w:rsidR="00725D78" w:rsidRPr="004A107C">
          <w:rPr>
            <w:rStyle w:val="Hyperlink"/>
            <w:lang w:val="fr-CA"/>
          </w:rPr>
          <w:t>(1990)</w:t>
        </w:r>
      </w:hyperlink>
    </w:p>
    <w:p w14:paraId="77327F25" w14:textId="4D3D85D1" w:rsidR="006C09B7" w:rsidRPr="004A107C" w:rsidRDefault="000E2994" w:rsidP="005B63A2">
      <w:pPr>
        <w:pStyle w:val="ListParagraph"/>
        <w:numPr>
          <w:ilvl w:val="0"/>
          <w:numId w:val="5"/>
        </w:numPr>
        <w:rPr>
          <w:rFonts w:ascii="Arial" w:hAnsi="Arial" w:cs="Arial"/>
          <w:u w:val="single"/>
          <w:lang w:val="fr-CA"/>
        </w:rPr>
      </w:pPr>
      <w:hyperlink r:id="rId13" w:history="1">
        <w:r w:rsidR="00E4108E" w:rsidRPr="004A107C">
          <w:rPr>
            <w:rStyle w:val="Hyperlink"/>
            <w:lang w:val="fr-CA"/>
          </w:rPr>
          <w:t>La Gazette du Canada, Partie II, volume 155, numéro 10 : Règlement correctif visant certains règlements pris en vertu de la Loi sur la Société canadienne des postes</w:t>
        </w:r>
      </w:hyperlink>
    </w:p>
    <w:p w14:paraId="1D23B583" w14:textId="69156192" w:rsidR="006C09B7" w:rsidRPr="004A107C" w:rsidRDefault="000E2994" w:rsidP="005B63A2">
      <w:pPr>
        <w:pStyle w:val="ListParagraph"/>
        <w:numPr>
          <w:ilvl w:val="0"/>
          <w:numId w:val="5"/>
        </w:numPr>
        <w:rPr>
          <w:rFonts w:ascii="Arial" w:hAnsi="Arial" w:cs="Arial"/>
          <w:u w:val="single"/>
          <w:lang w:val="fr-CA"/>
        </w:rPr>
      </w:pPr>
      <w:hyperlink r:id="rId14" w:history="1">
        <w:r w:rsidR="00E4108E" w:rsidRPr="004A107C">
          <w:rPr>
            <w:rStyle w:val="Hyperlink"/>
            <w:lang w:val="fr-CA"/>
          </w:rPr>
          <w:t>La Gazette du Canada, Partie II, volume 155, numéro 7 : Règlement correctif visant certains règlements (ministère de la Santé)</w:t>
        </w:r>
      </w:hyperlink>
    </w:p>
    <w:p w14:paraId="67DF7E0E" w14:textId="360699E5" w:rsidR="006C09B7" w:rsidRPr="004A107C" w:rsidRDefault="000E2994" w:rsidP="005B63A2">
      <w:pPr>
        <w:pStyle w:val="ListParagraph"/>
        <w:numPr>
          <w:ilvl w:val="0"/>
          <w:numId w:val="5"/>
        </w:numPr>
        <w:rPr>
          <w:rFonts w:ascii="Arial" w:hAnsi="Arial" w:cs="Arial"/>
          <w:u w:val="single"/>
          <w:lang w:val="fr-CA"/>
        </w:rPr>
      </w:pPr>
      <w:hyperlink r:id="rId15" w:history="1">
        <w:r w:rsidR="00E4108E" w:rsidRPr="004A107C">
          <w:rPr>
            <w:rStyle w:val="Hyperlink"/>
            <w:lang w:val="fr-CA"/>
          </w:rPr>
          <w:t>La Gazette du Canada, Partie II, volume 155, numéro 6 : Règlement correctif visant le Règlement sur les activités susceptibles d’évaluation, les exceptions et les projets de développement soumis au comité de direction</w:t>
        </w:r>
      </w:hyperlink>
    </w:p>
    <w:p w14:paraId="4E3057B1" w14:textId="0BB1A41F" w:rsidR="006C09B7" w:rsidRPr="004A107C" w:rsidRDefault="000E2994" w:rsidP="005B63A2">
      <w:pPr>
        <w:pStyle w:val="ListParagraph"/>
        <w:numPr>
          <w:ilvl w:val="0"/>
          <w:numId w:val="5"/>
        </w:numPr>
        <w:rPr>
          <w:rFonts w:ascii="Arial" w:hAnsi="Arial" w:cs="Arial"/>
          <w:u w:val="single"/>
          <w:lang w:val="fr-CA"/>
        </w:rPr>
      </w:pPr>
      <w:hyperlink r:id="rId16" w:history="1">
        <w:r w:rsidR="00E4108E" w:rsidRPr="004A107C">
          <w:rPr>
            <w:rStyle w:val="Hyperlink"/>
            <w:lang w:val="fr-CA"/>
          </w:rPr>
          <w:t>La Gazette du Canada, Partie II, volume 154, numéro 24 : Règlement correctif visant le Règlement sur les heures de service des conducteurs de véhicule utilitaire et une modification connexe</w:t>
        </w:r>
      </w:hyperlink>
    </w:p>
    <w:p w14:paraId="401A4716" w14:textId="0146D822" w:rsidR="006C09B7" w:rsidRPr="004A107C" w:rsidRDefault="000E2994" w:rsidP="005B63A2">
      <w:pPr>
        <w:pStyle w:val="ListParagraph"/>
        <w:numPr>
          <w:ilvl w:val="0"/>
          <w:numId w:val="5"/>
        </w:numPr>
        <w:rPr>
          <w:rFonts w:ascii="Arial" w:hAnsi="Arial" w:cs="Arial"/>
          <w:u w:val="single"/>
          <w:lang w:val="fr-CA"/>
        </w:rPr>
      </w:pPr>
      <w:hyperlink r:id="rId17" w:history="1">
        <w:r w:rsidR="00E4108E" w:rsidRPr="004A107C">
          <w:rPr>
            <w:rStyle w:val="Hyperlink"/>
            <w:lang w:val="fr-CA"/>
          </w:rPr>
          <w:t>La Gazette du Canada, Partie II, volume 154, numéro 24 : Règlement correctif visant le Règlement précisant des territoires et indiquant des registres internationaux</w:t>
        </w:r>
      </w:hyperlink>
    </w:p>
    <w:sectPr w:rsidR="006C09B7" w:rsidRPr="004A10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B61C2" w14:textId="77777777" w:rsidR="005B63A2" w:rsidRDefault="005B63A2" w:rsidP="005B63A2">
      <w:pPr>
        <w:spacing w:after="0" w:line="240" w:lineRule="auto"/>
      </w:pPr>
      <w:r>
        <w:separator/>
      </w:r>
    </w:p>
  </w:endnote>
  <w:endnote w:type="continuationSeparator" w:id="0">
    <w:p w14:paraId="5F1FFDD4" w14:textId="77777777" w:rsidR="005B63A2" w:rsidRDefault="005B63A2" w:rsidP="005B6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C93BF" w14:textId="77777777" w:rsidR="005B63A2" w:rsidRDefault="005B63A2" w:rsidP="005B63A2">
      <w:pPr>
        <w:spacing w:after="0" w:line="240" w:lineRule="auto"/>
      </w:pPr>
      <w:r>
        <w:separator/>
      </w:r>
    </w:p>
  </w:footnote>
  <w:footnote w:type="continuationSeparator" w:id="0">
    <w:p w14:paraId="5BF2477F" w14:textId="77777777" w:rsidR="005B63A2" w:rsidRDefault="005B63A2" w:rsidP="005B6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8775C"/>
    <w:multiLevelType w:val="hybridMultilevel"/>
    <w:tmpl w:val="BBB83A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C506C"/>
    <w:multiLevelType w:val="multilevel"/>
    <w:tmpl w:val="EB3E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A2F81"/>
    <w:multiLevelType w:val="multilevel"/>
    <w:tmpl w:val="4494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0C240D"/>
    <w:multiLevelType w:val="hybridMultilevel"/>
    <w:tmpl w:val="F1945CC4"/>
    <w:lvl w:ilvl="0" w:tplc="2FAC4B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142D9"/>
    <w:multiLevelType w:val="hybridMultilevel"/>
    <w:tmpl w:val="61BE0D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94959"/>
    <w:multiLevelType w:val="multilevel"/>
    <w:tmpl w:val="560C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AA"/>
    <w:rsid w:val="00034C1A"/>
    <w:rsid w:val="000E2994"/>
    <w:rsid w:val="001B65A4"/>
    <w:rsid w:val="002478B4"/>
    <w:rsid w:val="002C57D9"/>
    <w:rsid w:val="002F0F1A"/>
    <w:rsid w:val="003664C1"/>
    <w:rsid w:val="00431273"/>
    <w:rsid w:val="004A107C"/>
    <w:rsid w:val="0055630C"/>
    <w:rsid w:val="005A76D4"/>
    <w:rsid w:val="005B63A2"/>
    <w:rsid w:val="005F781E"/>
    <w:rsid w:val="00677111"/>
    <w:rsid w:val="00680D5E"/>
    <w:rsid w:val="006B39FE"/>
    <w:rsid w:val="006C09B7"/>
    <w:rsid w:val="00725D78"/>
    <w:rsid w:val="00744ADB"/>
    <w:rsid w:val="008E7D2F"/>
    <w:rsid w:val="00A2544C"/>
    <w:rsid w:val="00A6623F"/>
    <w:rsid w:val="00AA2940"/>
    <w:rsid w:val="00AA6A2F"/>
    <w:rsid w:val="00B2668B"/>
    <w:rsid w:val="00C7205C"/>
    <w:rsid w:val="00CE6B6C"/>
    <w:rsid w:val="00D47B01"/>
    <w:rsid w:val="00D86C4D"/>
    <w:rsid w:val="00DF49AA"/>
    <w:rsid w:val="00E4108E"/>
    <w:rsid w:val="00E6068B"/>
    <w:rsid w:val="00E64A8F"/>
    <w:rsid w:val="00EA081A"/>
    <w:rsid w:val="00E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F4EAB4F"/>
  <w15:chartTrackingRefBased/>
  <w15:docId w15:val="{16AC8562-BE00-48DF-B36B-A49661A9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49A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49AA"/>
    <w:pPr>
      <w:ind w:left="720"/>
      <w:contextualSpacing/>
    </w:pPr>
  </w:style>
  <w:style w:type="table" w:styleId="TableGrid">
    <w:name w:val="Table Grid"/>
    <w:basedOn w:val="TableNormal"/>
    <w:uiPriority w:val="39"/>
    <w:rsid w:val="001B6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63A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64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64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64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4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4C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F781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ette.gc.ca/rp-pr/p2/2021/2021-07-07/html/sor-dors152-fra.html" TargetMode="External"/><Relationship Id="rId13" Type="http://schemas.openxmlformats.org/officeDocument/2006/relationships/hyperlink" Target="https://www.gazette.gc.ca/rp-pr/p2/2021/2021-05-12/html/sor-dors91-fra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azette.gc.ca/rp-pr/p2/2021/2021-06-09/html/sor-dors115-fra.html" TargetMode="External"/><Relationship Id="rId17" Type="http://schemas.openxmlformats.org/officeDocument/2006/relationships/hyperlink" Target="https://www.gazette.gc.ca/rp-pr/p2/2020/2020-11-25/html/sor-dors239-fr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azette.gc.ca/rp-pr/p2/2020/2020-11-25/html/sor-dors240-fr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zette.gc.ca/rp-pr/p2/2021/2021-06-09/html/sor-dors119-fr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azette.gc.ca/rp-pr/p2/2021/2021-03-17/html/sor-dors27-fra.html" TargetMode="External"/><Relationship Id="rId10" Type="http://schemas.openxmlformats.org/officeDocument/2006/relationships/hyperlink" Target="https://www.gazette.gc.ca/rp-pr/p2/2021/2021-06-23/html/sor-dors124-fra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azette.gc.ca/rp-pr/p2/2021/2021-07-07/html/sor-dors147-fra.html" TargetMode="External"/><Relationship Id="rId14" Type="http://schemas.openxmlformats.org/officeDocument/2006/relationships/hyperlink" Target="https://www.gazette.gc.ca/rp-pr/p2/2021/2021-03-31/html/sor-dors46-fr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9AE78-1C71-44DD-B309-92088C6D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5608</Characters>
  <Application>Microsoft Office Word</Application>
  <DocSecurity>4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Jansz, Kimberly</dc:creator>
  <cp:keywords/>
  <dc:description/>
  <cp:lastModifiedBy>Adams, Chris</cp:lastModifiedBy>
  <cp:revision>2</cp:revision>
  <dcterms:created xsi:type="dcterms:W3CDTF">2022-02-01T19:38:00Z</dcterms:created>
  <dcterms:modified xsi:type="dcterms:W3CDTF">2022-02-01T19:38:00Z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15d617-256d-4284-aedb-1064be1c4b48_Enabled">
    <vt:lpwstr>true</vt:lpwstr>
  </property>
  <property fmtid="{D5CDD505-2E9C-101B-9397-08002B2CF9AE}" pid="3" name="MSIP_Label_3515d617-256d-4284-aedb-1064be1c4b48_SetDate">
    <vt:lpwstr>2021-07-30T02:11:50Z</vt:lpwstr>
  </property>
  <property fmtid="{D5CDD505-2E9C-101B-9397-08002B2CF9AE}" pid="4" name="MSIP_Label_3515d617-256d-4284-aedb-1064be1c4b48_Method">
    <vt:lpwstr>Privileged</vt:lpwstr>
  </property>
  <property fmtid="{D5CDD505-2E9C-101B-9397-08002B2CF9AE}" pid="5" name="MSIP_Label_3515d617-256d-4284-aedb-1064be1c4b48_Name">
    <vt:lpwstr>3515d617-256d-4284-aedb-1064be1c4b48</vt:lpwstr>
  </property>
  <property fmtid="{D5CDD505-2E9C-101B-9397-08002B2CF9AE}" pid="6" name="MSIP_Label_3515d617-256d-4284-aedb-1064be1c4b48_SiteId">
    <vt:lpwstr>6397df10-4595-4047-9c4f-03311282152b</vt:lpwstr>
  </property>
  <property fmtid="{D5CDD505-2E9C-101B-9397-08002B2CF9AE}" pid="7" name="MSIP_Label_3515d617-256d-4284-aedb-1064be1c4b48_ActionId">
    <vt:lpwstr>62528430-35c3-46a6-8da5-7cf2e216ec98</vt:lpwstr>
  </property>
  <property fmtid="{D5CDD505-2E9C-101B-9397-08002B2CF9AE}" pid="8" name="MSIP_Label_3515d617-256d-4284-aedb-1064be1c4b48_ContentBits">
    <vt:lpwstr>0</vt:lpwstr>
  </property>
</Properties>
</file>