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A4B47" w14:textId="2E43370E" w:rsidR="00F132E8" w:rsidRPr="008C3031" w:rsidRDefault="00F132E8" w:rsidP="006133A1">
      <w:pPr>
        <w:spacing w:after="0" w:line="240" w:lineRule="auto"/>
        <w:rPr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3031">
        <w:rPr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Fiche </w:t>
      </w:r>
      <w:proofErr w:type="spellStart"/>
      <w:r w:rsidRPr="008C3031">
        <w:rPr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d’information</w:t>
      </w:r>
      <w:proofErr w:type="spellEnd"/>
    </w:p>
    <w:p w14:paraId="0138EDAD" w14:textId="315D498E" w:rsidR="008C3031" w:rsidRPr="006133A1" w:rsidRDefault="00F132E8" w:rsidP="006133A1">
      <w:pPr>
        <w:spacing w:after="0" w:line="240" w:lineRule="auto"/>
        <w:rPr>
          <w:b/>
          <w:bCs/>
          <w:sz w:val="26"/>
          <w:szCs w:val="26"/>
          <w:lang w:val="fr-CA"/>
        </w:rPr>
      </w:pPr>
      <w:r w:rsidRPr="006133A1">
        <w:rPr>
          <w:b/>
          <w:bCs/>
          <w:sz w:val="26"/>
          <w:szCs w:val="26"/>
          <w:lang w:val="fr-CA"/>
        </w:rPr>
        <w:t>Quand utiliser le formulaire d'arrivée / formulaire de départ et qui est responsable</w:t>
      </w:r>
    </w:p>
    <w:p w14:paraId="62DB9590" w14:textId="77777777" w:rsidR="008C3031" w:rsidRDefault="008C3031" w:rsidP="006133A1">
      <w:pPr>
        <w:spacing w:after="0" w:line="240" w:lineRule="auto"/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C3031" w:rsidRPr="004E3E71" w14:paraId="2B86FB81" w14:textId="77777777" w:rsidTr="008C3031">
        <w:tc>
          <w:tcPr>
            <w:tcW w:w="4675" w:type="dxa"/>
            <w:shd w:val="clear" w:color="auto" w:fill="D9D9D9" w:themeFill="background1" w:themeFillShade="D9"/>
          </w:tcPr>
          <w:p w14:paraId="758CCDB7" w14:textId="77777777" w:rsidR="008C3031" w:rsidRPr="004E3E71" w:rsidRDefault="008C3031" w:rsidP="008C3031">
            <w:pPr>
              <w:pStyle w:val="Heading1"/>
              <w:spacing w:before="0"/>
              <w:jc w:val="center"/>
              <w:outlineLvl w:val="0"/>
              <w:rPr>
                <w:b/>
                <w:bCs/>
                <w:lang w:val="fr-CA"/>
              </w:rPr>
            </w:pPr>
            <w:r w:rsidRPr="00A85F63">
              <w:rPr>
                <w:rStyle w:val="Heading1Char"/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fr-CA"/>
              </w:rPr>
              <w:t>FORMULAIRE D'ARRIVÉE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35BCEAC3" w14:textId="77777777" w:rsidR="008C3031" w:rsidRPr="004E3E71" w:rsidRDefault="008C3031" w:rsidP="008C3031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fr-CA"/>
              </w:rPr>
            </w:pPr>
            <w:r w:rsidRPr="00115669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fr-CA"/>
              </w:rPr>
              <w:t>FORMULAIRE DE DÉPART</w:t>
            </w:r>
          </w:p>
        </w:tc>
      </w:tr>
      <w:tr w:rsidR="008C3031" w:rsidRPr="004E3E71" w14:paraId="4E1A5D2C" w14:textId="77777777" w:rsidTr="0023113E">
        <w:tc>
          <w:tcPr>
            <w:tcW w:w="4675" w:type="dxa"/>
          </w:tcPr>
          <w:p w14:paraId="746B5455" w14:textId="77777777" w:rsidR="008C3031" w:rsidRPr="008402F5" w:rsidRDefault="008C3031" w:rsidP="0023113E">
            <w:pPr>
              <w:pStyle w:val="Heading1"/>
              <w:spacing w:before="0"/>
              <w:outlineLvl w:val="0"/>
              <w:rPr>
                <w:rFonts w:ascii="Calibri" w:hAnsi="Calibri" w:cs="Calibri"/>
                <w:b/>
                <w:bCs/>
                <w:sz w:val="24"/>
                <w:szCs w:val="24"/>
                <w:lang w:val="fr-CA"/>
              </w:rPr>
            </w:pPr>
            <w:r w:rsidRPr="008402F5">
              <w:rPr>
                <w:rFonts w:ascii="Calibri" w:hAnsi="Calibri" w:cs="Calibri"/>
                <w:b/>
                <w:bCs/>
                <w:sz w:val="24"/>
                <w:szCs w:val="24"/>
                <w:lang w:val="fr-CA"/>
              </w:rPr>
              <w:t xml:space="preserve">Quand devrions-nous remplir le </w:t>
            </w:r>
            <w:hyperlink r:id="rId5" w:history="1">
              <w:r w:rsidRPr="00D95AB6">
                <w:rPr>
                  <w:rStyle w:val="Hyperlink"/>
                  <w:rFonts w:ascii="Calibri" w:hAnsi="Calibri" w:cs="Calibri"/>
                  <w:b/>
                  <w:bCs/>
                  <w:sz w:val="24"/>
                  <w:szCs w:val="24"/>
                  <w:lang w:val="fr-CA"/>
                </w:rPr>
                <w:t>formulaire d'arrivée</w:t>
              </w:r>
            </w:hyperlink>
            <w:r w:rsidRPr="008402F5">
              <w:rPr>
                <w:rFonts w:ascii="Calibri" w:hAnsi="Calibri" w:cs="Calibri"/>
                <w:b/>
                <w:bCs/>
                <w:sz w:val="24"/>
                <w:szCs w:val="24"/>
                <w:lang w:val="fr-CA"/>
              </w:rPr>
              <w:t xml:space="preserve"> ?</w:t>
            </w:r>
          </w:p>
          <w:p w14:paraId="548F443A" w14:textId="77777777" w:rsidR="008C3031" w:rsidRDefault="008C3031" w:rsidP="0023113E">
            <w:pPr>
              <w:rPr>
                <w:lang w:val="fr-CA"/>
              </w:rPr>
            </w:pPr>
            <w:r>
              <w:rPr>
                <w:lang w:val="fr-CA"/>
              </w:rPr>
              <w:t xml:space="preserve">Le </w:t>
            </w:r>
            <w:hyperlink r:id="rId6" w:history="1">
              <w:r w:rsidRPr="00D95AB6">
                <w:rPr>
                  <w:rStyle w:val="Hyperlink"/>
                  <w:lang w:val="fr-CA"/>
                </w:rPr>
                <w:t>formulaire d'arrivée</w:t>
              </w:r>
            </w:hyperlink>
            <w:r>
              <w:rPr>
                <w:lang w:val="fr-CA"/>
              </w:rPr>
              <w:t xml:space="preserve"> devrait être rempli lors d'une des situations suivantes :</w:t>
            </w:r>
          </w:p>
          <w:p w14:paraId="17394EF2" w14:textId="77777777" w:rsidR="008C3031" w:rsidRPr="00E9544F" w:rsidRDefault="008C3031" w:rsidP="008C3031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lang w:val="fr-CA"/>
              </w:rPr>
            </w:pPr>
            <w:r w:rsidRPr="00E9544F">
              <w:rPr>
                <w:rFonts w:cstheme="minorHAnsi"/>
                <w:b/>
                <w:bCs/>
                <w:lang w:val="fr-CA"/>
              </w:rPr>
              <w:t>Nouvel arrivant au SCDATA</w:t>
            </w:r>
            <w:r>
              <w:rPr>
                <w:rFonts w:cstheme="minorHAnsi"/>
                <w:b/>
                <w:bCs/>
                <w:lang w:val="fr-CA"/>
              </w:rPr>
              <w:t xml:space="preserve"> et les employés de retour</w:t>
            </w:r>
            <w:r w:rsidRPr="00E9544F">
              <w:rPr>
                <w:rFonts w:cstheme="minorHAnsi"/>
                <w:b/>
                <w:bCs/>
                <w:lang w:val="fr-CA"/>
              </w:rPr>
              <w:t xml:space="preserve"> </w:t>
            </w:r>
            <w:r w:rsidRPr="00E9544F">
              <w:rPr>
                <w:rFonts w:eastAsia="Times New Roman" w:cstheme="minorHAnsi"/>
                <w:b/>
                <w:bCs/>
                <w:lang w:val="fr-CA"/>
              </w:rPr>
              <w:t>–</w:t>
            </w:r>
            <w:r w:rsidRPr="00E9544F">
              <w:rPr>
                <w:rFonts w:cstheme="minorHAnsi"/>
                <w:lang w:val="fr-CA"/>
              </w:rPr>
              <w:t xml:space="preserve"> </w:t>
            </w:r>
            <w:r w:rsidRPr="00E9544F">
              <w:rPr>
                <w:rFonts w:eastAsia="Times New Roman" w:cstheme="minorHAnsi"/>
                <w:lang w:val="fr-CA"/>
              </w:rPr>
              <w:t>Par ex. Employé nommé pour une période indéterminée, employé nommé pour une période déterminée, employé occasionnel, employé en détachement, employé faisant l’objet d’une mutation, étudiant ou fournisseur</w:t>
            </w:r>
            <w:r>
              <w:rPr>
                <w:rFonts w:eastAsia="Times New Roman" w:cstheme="minorHAnsi"/>
                <w:lang w:val="fr-CA"/>
              </w:rPr>
              <w:t xml:space="preserve"> et employé qui revient après avoir été en congé de trois mois ou plus</w:t>
            </w:r>
            <w:r w:rsidRPr="00E9544F">
              <w:rPr>
                <w:rFonts w:eastAsia="Times New Roman" w:cstheme="minorHAnsi"/>
                <w:lang w:val="fr-CA"/>
              </w:rPr>
              <w:t>.</w:t>
            </w:r>
          </w:p>
          <w:p w14:paraId="0C9666A5" w14:textId="77777777" w:rsidR="008C3031" w:rsidRPr="00E9544F" w:rsidRDefault="008C3031" w:rsidP="008C303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fr-CA"/>
              </w:rPr>
            </w:pPr>
            <w:r w:rsidRPr="00E9544F">
              <w:rPr>
                <w:rFonts w:eastAsia="Times New Roman" w:cstheme="minorHAnsi"/>
                <w:b/>
                <w:bCs/>
                <w:lang w:val="fr-CA"/>
              </w:rPr>
              <w:t xml:space="preserve">Nouvelle arrivée d’un GEC – </w:t>
            </w:r>
            <w:r w:rsidRPr="00E9544F">
              <w:rPr>
                <w:rFonts w:eastAsia="Times New Roman" w:cstheme="minorHAnsi"/>
                <w:lang w:val="fr-CA"/>
              </w:rPr>
              <w:t>Par ex. Personne nommée par le gouverneur en conseil (GEC) – membre.</w:t>
            </w:r>
          </w:p>
          <w:p w14:paraId="00EC7B6C" w14:textId="77777777" w:rsidR="008C3031" w:rsidRPr="00E9544F" w:rsidRDefault="008C3031" w:rsidP="008C3031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lang w:val="fr-CA"/>
              </w:rPr>
            </w:pPr>
            <w:r w:rsidRPr="00E9544F">
              <w:rPr>
                <w:rFonts w:eastAsia="Times New Roman" w:cstheme="minorHAnsi"/>
                <w:b/>
                <w:bCs/>
                <w:lang w:val="fr-CA"/>
              </w:rPr>
              <w:t>Changement de poste à l’interne –</w:t>
            </w:r>
            <w:r w:rsidRPr="00E9544F">
              <w:rPr>
                <w:rFonts w:cstheme="minorHAnsi"/>
                <w:lang w:val="fr-CA"/>
              </w:rPr>
              <w:t xml:space="preserve"> </w:t>
            </w:r>
            <w:r w:rsidRPr="00E9544F">
              <w:rPr>
                <w:rFonts w:eastAsia="Times New Roman" w:cstheme="minorHAnsi"/>
                <w:lang w:val="fr-CA"/>
              </w:rPr>
              <w:t>Par ex. Employé nommé par intérimaire, employé en affectation ou un employé qui a accepté un poste différent dans l'organisation.</w:t>
            </w:r>
          </w:p>
          <w:p w14:paraId="0B47898C" w14:textId="77777777" w:rsidR="008C3031" w:rsidRPr="004E3E71" w:rsidRDefault="008C3031" w:rsidP="008C303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fr-CA"/>
              </w:rPr>
            </w:pPr>
            <w:r w:rsidRPr="00E9544F">
              <w:rPr>
                <w:rFonts w:eastAsia="Times New Roman" w:cstheme="minorHAnsi"/>
                <w:b/>
                <w:bCs/>
                <w:lang w:val="fr-CA"/>
              </w:rPr>
              <w:t xml:space="preserve">Prolongation – </w:t>
            </w:r>
            <w:r w:rsidRPr="00E9544F">
              <w:rPr>
                <w:rFonts w:eastAsia="Times New Roman" w:cstheme="minorHAnsi"/>
                <w:lang w:val="fr-CA"/>
              </w:rPr>
              <w:t>Par ex. Prolongation d’une période déterminée ou de la période pour un employé occasionnel, prolongation pour un employé en détachement ou un étudiant, prolongation de la période d’un contrat.</w:t>
            </w:r>
          </w:p>
        </w:tc>
        <w:tc>
          <w:tcPr>
            <w:tcW w:w="4675" w:type="dxa"/>
          </w:tcPr>
          <w:p w14:paraId="527472E3" w14:textId="77777777" w:rsidR="008C3031" w:rsidRPr="008402F5" w:rsidRDefault="008C3031" w:rsidP="0023113E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CA"/>
              </w:rPr>
            </w:pPr>
            <w:r w:rsidRPr="008402F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CA"/>
              </w:rPr>
              <w:t xml:space="preserve">Quand devrions-nous remplir le </w:t>
            </w:r>
            <w:hyperlink r:id="rId7" w:history="1">
              <w:r w:rsidRPr="00D60357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  <w:lang w:val="fr-CA"/>
                </w:rPr>
                <w:t>formulaire de départ</w:t>
              </w:r>
            </w:hyperlink>
            <w:r w:rsidRPr="008402F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CA"/>
              </w:rPr>
              <w:t xml:space="preserve"> ?</w:t>
            </w:r>
          </w:p>
          <w:p w14:paraId="58684831" w14:textId="77777777" w:rsidR="008C3031" w:rsidRDefault="008C3031" w:rsidP="0023113E">
            <w:pPr>
              <w:rPr>
                <w:lang w:val="fr-CA"/>
              </w:rPr>
            </w:pPr>
            <w:r>
              <w:rPr>
                <w:lang w:val="fr-CA"/>
              </w:rPr>
              <w:t xml:space="preserve">Le </w:t>
            </w:r>
            <w:hyperlink r:id="rId8" w:history="1">
              <w:r w:rsidRPr="00D60357">
                <w:rPr>
                  <w:rStyle w:val="Hyperlink"/>
                  <w:lang w:val="fr-CA"/>
                </w:rPr>
                <w:t>formulaire de départ</w:t>
              </w:r>
            </w:hyperlink>
            <w:r>
              <w:rPr>
                <w:lang w:val="fr-CA"/>
              </w:rPr>
              <w:t xml:space="preserve"> devrait être rempli lors d'une des situations suivantes :</w:t>
            </w:r>
          </w:p>
          <w:p w14:paraId="33A65A2A" w14:textId="77777777" w:rsidR="008C3031" w:rsidRPr="00327775" w:rsidRDefault="008C3031" w:rsidP="008C3031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lang w:val="fr-CA"/>
              </w:rPr>
            </w:pPr>
            <w:r w:rsidRPr="00327775">
              <w:rPr>
                <w:lang w:val="fr-CA"/>
              </w:rPr>
              <w:t>Un employé quitte l’organisation pour un autre ministère de la fonction publique fédérale, une société d’État ou pour une autre organisation distincte du gouvernement du Canada.</w:t>
            </w:r>
          </w:p>
          <w:p w14:paraId="0FDDD959" w14:textId="77777777" w:rsidR="008C3031" w:rsidRPr="00327775" w:rsidRDefault="008C3031" w:rsidP="008C3031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lang w:val="fr-CA"/>
              </w:rPr>
            </w:pPr>
            <w:r w:rsidRPr="00327775">
              <w:rPr>
                <w:lang w:val="fr-CA"/>
              </w:rPr>
              <w:t>Un employé prend sa retraite ou quitte la fonction publique.</w:t>
            </w:r>
          </w:p>
          <w:p w14:paraId="4CE7E7E0" w14:textId="77777777" w:rsidR="008C3031" w:rsidRPr="00327775" w:rsidRDefault="008C3031" w:rsidP="008C3031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lang w:val="fr-CA"/>
              </w:rPr>
            </w:pPr>
            <w:r w:rsidRPr="00327775">
              <w:rPr>
                <w:lang w:val="fr-CA"/>
              </w:rPr>
              <w:t>Un employé part en détachement ou dans le cadre du programme Échanges Canada pour une période de plus de trois mois.</w:t>
            </w:r>
          </w:p>
          <w:p w14:paraId="77B74D38" w14:textId="77777777" w:rsidR="008C3031" w:rsidRPr="004E3E71" w:rsidRDefault="008C3031" w:rsidP="008C3031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lang w:val="fr-CA"/>
              </w:rPr>
            </w:pPr>
            <w:r w:rsidRPr="00327775">
              <w:rPr>
                <w:lang w:val="fr-CA"/>
              </w:rPr>
              <w:t>Un employé part en congé prévu (avec ou sans solde) pour une période de plus de trois mois.</w:t>
            </w:r>
          </w:p>
        </w:tc>
      </w:tr>
      <w:tr w:rsidR="008C3031" w:rsidRPr="004E3E71" w14:paraId="4CE49FC4" w14:textId="77777777" w:rsidTr="0023113E">
        <w:tc>
          <w:tcPr>
            <w:tcW w:w="4675" w:type="dxa"/>
          </w:tcPr>
          <w:p w14:paraId="64753653" w14:textId="77777777" w:rsidR="008C3031" w:rsidRPr="008402F5" w:rsidRDefault="008C3031" w:rsidP="0023113E">
            <w:pPr>
              <w:pStyle w:val="Heading1"/>
              <w:spacing w:before="0"/>
              <w:outlineLvl w:val="0"/>
              <w:rPr>
                <w:rFonts w:ascii="Calibri" w:hAnsi="Calibri" w:cs="Calibri"/>
                <w:b/>
                <w:bCs/>
                <w:sz w:val="24"/>
                <w:szCs w:val="24"/>
                <w:lang w:val="fr-CA"/>
              </w:rPr>
            </w:pPr>
            <w:r w:rsidRPr="008402F5">
              <w:rPr>
                <w:rFonts w:ascii="Calibri" w:hAnsi="Calibri" w:cs="Calibri"/>
                <w:b/>
                <w:bCs/>
                <w:sz w:val="24"/>
                <w:szCs w:val="24"/>
                <w:lang w:val="fr-CA"/>
              </w:rPr>
              <w:t xml:space="preserve">Qui est responsable de remplir le </w:t>
            </w:r>
            <w:hyperlink r:id="rId9" w:history="1">
              <w:r w:rsidRPr="00D95AB6">
                <w:rPr>
                  <w:rStyle w:val="Hyperlink"/>
                  <w:rFonts w:ascii="Calibri" w:hAnsi="Calibri" w:cs="Calibri"/>
                  <w:b/>
                  <w:bCs/>
                  <w:sz w:val="24"/>
                  <w:szCs w:val="24"/>
                  <w:lang w:val="fr-CA"/>
                </w:rPr>
                <w:t>formulaire d'arrivée</w:t>
              </w:r>
            </w:hyperlink>
            <w:r>
              <w:rPr>
                <w:rStyle w:val="Hyperlink"/>
                <w:rFonts w:ascii="Calibri" w:hAnsi="Calibri" w:cs="Calibri"/>
                <w:b/>
                <w:bCs/>
                <w:sz w:val="24"/>
                <w:szCs w:val="24"/>
                <w:lang w:val="fr-CA"/>
              </w:rPr>
              <w:t xml:space="preserve"> </w:t>
            </w:r>
            <w:r w:rsidRPr="008402F5">
              <w:rPr>
                <w:rFonts w:ascii="Calibri" w:hAnsi="Calibri" w:cs="Calibri"/>
                <w:b/>
                <w:bCs/>
                <w:sz w:val="24"/>
                <w:szCs w:val="24"/>
                <w:lang w:val="fr-CA"/>
              </w:rPr>
              <w:t>?</w:t>
            </w:r>
          </w:p>
          <w:p w14:paraId="7FB20A15" w14:textId="77777777" w:rsidR="008C3031" w:rsidRPr="004E3E71" w:rsidRDefault="008C3031" w:rsidP="0023113E">
            <w:pPr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 xml:space="preserve">Bien que le gestionnaire d’embauche soit </w:t>
            </w:r>
            <w:r w:rsidRPr="00013BDF">
              <w:rPr>
                <w:lang w:val="fr-CA"/>
              </w:rPr>
              <w:t>chargé</w:t>
            </w:r>
            <w:r w:rsidRPr="00E9544F">
              <w:rPr>
                <w:rFonts w:cstheme="minorHAnsi"/>
                <w:lang w:val="fr-CA"/>
              </w:rPr>
              <w:t xml:space="preserve"> de s'assurer que les informations fournies dans le formulaire d'arrivée sont exactes, </w:t>
            </w:r>
            <w:r>
              <w:rPr>
                <w:rFonts w:cstheme="minorHAnsi"/>
                <w:lang w:val="fr-CA"/>
              </w:rPr>
              <w:t xml:space="preserve">soit le gestionnaire ou </w:t>
            </w:r>
            <w:r w:rsidRPr="00E9544F">
              <w:rPr>
                <w:rFonts w:cstheme="minorHAnsi"/>
                <w:lang w:val="fr-CA"/>
              </w:rPr>
              <w:t>l'adjoint</w:t>
            </w:r>
            <w:r>
              <w:rPr>
                <w:rFonts w:cstheme="minorHAnsi"/>
                <w:lang w:val="fr-CA"/>
              </w:rPr>
              <w:t>(e)</w:t>
            </w:r>
            <w:r w:rsidRPr="00E9544F">
              <w:rPr>
                <w:rFonts w:cstheme="minorHAnsi"/>
                <w:lang w:val="fr-CA"/>
              </w:rPr>
              <w:t xml:space="preserve"> administratif</w:t>
            </w:r>
            <w:r>
              <w:rPr>
                <w:rFonts w:cstheme="minorHAnsi"/>
                <w:lang w:val="fr-CA"/>
              </w:rPr>
              <w:t>(</w:t>
            </w:r>
            <w:proofErr w:type="spellStart"/>
            <w:r>
              <w:rPr>
                <w:rFonts w:cstheme="minorHAnsi"/>
                <w:lang w:val="fr-CA"/>
              </w:rPr>
              <w:t>ve</w:t>
            </w:r>
            <w:proofErr w:type="spellEnd"/>
            <w:r>
              <w:rPr>
                <w:rFonts w:cstheme="minorHAnsi"/>
                <w:lang w:val="fr-CA"/>
              </w:rPr>
              <w:t>)</w:t>
            </w:r>
            <w:r w:rsidRPr="00E9544F">
              <w:rPr>
                <w:rFonts w:cstheme="minorHAnsi"/>
                <w:lang w:val="fr-CA"/>
              </w:rPr>
              <w:t xml:space="preserve"> puisse remplir et soumettre le </w:t>
            </w:r>
            <w:hyperlink r:id="rId10" w:history="1">
              <w:r w:rsidRPr="00D95AB6">
                <w:rPr>
                  <w:rStyle w:val="Hyperlink"/>
                  <w:rFonts w:cstheme="minorHAnsi"/>
                  <w:lang w:val="fr-CA"/>
                </w:rPr>
                <w:t>formulaire d'arrivée</w:t>
              </w:r>
            </w:hyperlink>
            <w:r w:rsidRPr="00E9544F">
              <w:rPr>
                <w:rFonts w:cstheme="minorHAnsi"/>
                <w:lang w:val="fr-CA"/>
              </w:rPr>
              <w:t>.</w:t>
            </w:r>
          </w:p>
        </w:tc>
        <w:tc>
          <w:tcPr>
            <w:tcW w:w="4675" w:type="dxa"/>
          </w:tcPr>
          <w:p w14:paraId="6C39B21A" w14:textId="77777777" w:rsidR="008C3031" w:rsidRPr="008402F5" w:rsidRDefault="008C3031" w:rsidP="0023113E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CA"/>
              </w:rPr>
            </w:pPr>
            <w:r w:rsidRPr="008402F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CA"/>
              </w:rPr>
              <w:t xml:space="preserve">Qui est responsable de remplir le </w:t>
            </w:r>
            <w:hyperlink r:id="rId11" w:history="1">
              <w:r w:rsidRPr="00D60357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  <w:lang w:val="fr-CA"/>
                </w:rPr>
                <w:t>formulaire de départ</w:t>
              </w:r>
            </w:hyperlink>
            <w:r w:rsidRPr="008402F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CA"/>
              </w:rPr>
              <w:t xml:space="preserve"> ?</w:t>
            </w:r>
          </w:p>
          <w:p w14:paraId="7C726DA0" w14:textId="77777777" w:rsidR="008C3031" w:rsidRPr="004E3E71" w:rsidRDefault="008C3031" w:rsidP="0023113E">
            <w:pPr>
              <w:rPr>
                <w:lang w:val="fr-CA"/>
              </w:rPr>
            </w:pPr>
            <w:r>
              <w:rPr>
                <w:rFonts w:cstheme="minorHAnsi"/>
                <w:lang w:val="fr-CA"/>
              </w:rPr>
              <w:t xml:space="preserve">Le gestionnaire d’embauche </w:t>
            </w:r>
            <w:r w:rsidRPr="00013BDF">
              <w:rPr>
                <w:lang w:val="fr-CA"/>
              </w:rPr>
              <w:t xml:space="preserve">est chargé de s'assurer que tous les éléments applicables de la </w:t>
            </w:r>
            <w:hyperlink r:id="rId12" w:history="1">
              <w:r w:rsidRPr="00A34E28">
                <w:rPr>
                  <w:rStyle w:val="Hyperlink"/>
                  <w:lang w:val="fr-CA"/>
                </w:rPr>
                <w:t>liste de vérification pour les départs</w:t>
              </w:r>
            </w:hyperlink>
            <w:r w:rsidRPr="00013BDF">
              <w:rPr>
                <w:lang w:val="fr-CA"/>
              </w:rPr>
              <w:t xml:space="preserve"> ont été mis en œuvre</w:t>
            </w:r>
            <w:r>
              <w:rPr>
                <w:lang w:val="fr-CA"/>
              </w:rPr>
              <w:t>. Ainsi, le gestionnaire d</w:t>
            </w:r>
            <w:r w:rsidRPr="00A30C7F">
              <w:rPr>
                <w:lang w:val="fr-CA"/>
              </w:rPr>
              <w:t>’</w:t>
            </w:r>
            <w:r>
              <w:rPr>
                <w:lang w:val="fr-CA"/>
              </w:rPr>
              <w:t>embauche</w:t>
            </w:r>
            <w:r w:rsidRPr="00013BDF">
              <w:rPr>
                <w:lang w:val="fr-CA"/>
              </w:rPr>
              <w:t xml:space="preserve"> est également responsable de soumettre le </w:t>
            </w:r>
            <w:hyperlink r:id="rId13" w:history="1">
              <w:r w:rsidRPr="00A34E28">
                <w:rPr>
                  <w:rStyle w:val="Hyperlink"/>
                  <w:lang w:val="fr-CA"/>
                </w:rPr>
                <w:t>formulaire de départ</w:t>
              </w:r>
            </w:hyperlink>
            <w:r w:rsidRPr="00013BDF">
              <w:rPr>
                <w:lang w:val="fr-CA"/>
              </w:rPr>
              <w:t xml:space="preserve"> (ce qui est </w:t>
            </w:r>
            <w:r w:rsidRPr="00A34E28">
              <w:rPr>
                <w:i/>
                <w:iCs/>
                <w:lang w:val="fr-CA"/>
              </w:rPr>
              <w:t>très</w:t>
            </w:r>
            <w:r w:rsidRPr="00013BDF">
              <w:rPr>
                <w:lang w:val="fr-CA"/>
              </w:rPr>
              <w:t xml:space="preserve"> rapide à faire).</w:t>
            </w:r>
          </w:p>
        </w:tc>
      </w:tr>
      <w:tr w:rsidR="008C3031" w:rsidRPr="004E3E71" w14:paraId="5A6481FE" w14:textId="77777777" w:rsidTr="0023113E">
        <w:tc>
          <w:tcPr>
            <w:tcW w:w="4675" w:type="dxa"/>
          </w:tcPr>
          <w:p w14:paraId="79D1F9CB" w14:textId="77777777" w:rsidR="008C3031" w:rsidRPr="008402F5" w:rsidRDefault="008C3031" w:rsidP="0023113E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CA"/>
              </w:rPr>
            </w:pPr>
            <w:r w:rsidRPr="008402F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CA"/>
              </w:rPr>
              <w:t xml:space="preserve">Où va le </w:t>
            </w:r>
            <w:hyperlink r:id="rId14" w:history="1">
              <w:r w:rsidRPr="00D95AB6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  <w:lang w:val="fr-CA"/>
                </w:rPr>
                <w:t>formulaire d'arrivée</w:t>
              </w:r>
            </w:hyperlink>
            <w:r w:rsidRPr="008402F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CA"/>
              </w:rPr>
              <w:t xml:space="preserve"> une fois qu'il a été soumis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CA"/>
              </w:rPr>
              <w:t xml:space="preserve"> </w:t>
            </w:r>
            <w:r w:rsidRPr="008402F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CA"/>
              </w:rPr>
              <w:t>?</w:t>
            </w:r>
          </w:p>
          <w:p w14:paraId="0768C78D" w14:textId="77777777" w:rsidR="008C3031" w:rsidRPr="004F08B3" w:rsidRDefault="008C3031" w:rsidP="0023113E">
            <w:pPr>
              <w:rPr>
                <w:rFonts w:cstheme="minorHAnsi"/>
                <w:lang w:val="fr-CA"/>
              </w:rPr>
            </w:pPr>
            <w:r w:rsidRPr="004F08B3">
              <w:rPr>
                <w:rFonts w:cstheme="minorHAnsi"/>
                <w:lang w:val="fr-CA"/>
              </w:rPr>
              <w:t xml:space="preserve">Le </w:t>
            </w:r>
            <w:hyperlink r:id="rId15" w:history="1">
              <w:r w:rsidRPr="00D95AB6">
                <w:rPr>
                  <w:rStyle w:val="Hyperlink"/>
                  <w:rFonts w:cstheme="minorHAnsi"/>
                  <w:lang w:val="fr-CA"/>
                </w:rPr>
                <w:t>formulaire d'arrivée</w:t>
              </w:r>
            </w:hyperlink>
            <w:r w:rsidRPr="004F08B3">
              <w:rPr>
                <w:rFonts w:cstheme="minorHAnsi"/>
                <w:lang w:val="fr-CA"/>
              </w:rPr>
              <w:t xml:space="preserve"> sert à informer plusieurs unités d</w:t>
            </w:r>
            <w:r>
              <w:rPr>
                <w:rFonts w:cstheme="minorHAnsi"/>
                <w:lang w:val="fr-CA"/>
              </w:rPr>
              <w:t>e travailles aux</w:t>
            </w:r>
            <w:r w:rsidRPr="004F08B3">
              <w:rPr>
                <w:rFonts w:cstheme="minorHAnsi"/>
                <w:lang w:val="fr-CA"/>
              </w:rPr>
              <w:t xml:space="preserve"> </w:t>
            </w:r>
            <w:r>
              <w:rPr>
                <w:rFonts w:cstheme="minorHAnsi"/>
                <w:lang w:val="fr-CA"/>
              </w:rPr>
              <w:t>s</w:t>
            </w:r>
            <w:r w:rsidRPr="004F08B3">
              <w:rPr>
                <w:rFonts w:cstheme="minorHAnsi"/>
                <w:lang w:val="fr-CA"/>
              </w:rPr>
              <w:t xml:space="preserve">ervices </w:t>
            </w:r>
            <w:r>
              <w:rPr>
                <w:rFonts w:cstheme="minorHAnsi"/>
                <w:lang w:val="fr-CA"/>
              </w:rPr>
              <w:t xml:space="preserve">de gestions </w:t>
            </w:r>
            <w:r w:rsidRPr="004F08B3">
              <w:rPr>
                <w:rFonts w:cstheme="minorHAnsi"/>
                <w:lang w:val="fr-CA"/>
              </w:rPr>
              <w:t>et</w:t>
            </w:r>
            <w:r>
              <w:rPr>
                <w:rFonts w:cstheme="minorHAnsi"/>
                <w:lang w:val="fr-CA"/>
              </w:rPr>
              <w:t xml:space="preserve"> aux services</w:t>
            </w:r>
            <w:r w:rsidRPr="004F08B3">
              <w:rPr>
                <w:rFonts w:cstheme="minorHAnsi"/>
                <w:lang w:val="fr-CA"/>
              </w:rPr>
              <w:t xml:space="preserve"> internes, déclenchant des processus internes pour préparer la nouvelle arrivée, le changement d</w:t>
            </w:r>
            <w:r>
              <w:rPr>
                <w:rFonts w:cstheme="minorHAnsi"/>
                <w:lang w:val="fr-CA"/>
              </w:rPr>
              <w:t>e poste à l’</w:t>
            </w:r>
            <w:r w:rsidRPr="004F08B3">
              <w:rPr>
                <w:rFonts w:cstheme="minorHAnsi"/>
                <w:lang w:val="fr-CA"/>
              </w:rPr>
              <w:t xml:space="preserve">interne ou </w:t>
            </w:r>
            <w:r>
              <w:rPr>
                <w:rFonts w:cstheme="minorHAnsi"/>
                <w:lang w:val="fr-CA"/>
              </w:rPr>
              <w:t xml:space="preserve">dans le cas d’une prolongation, </w:t>
            </w:r>
            <w:r w:rsidRPr="004F08B3">
              <w:rPr>
                <w:rFonts w:cstheme="minorHAnsi"/>
                <w:lang w:val="fr-CA"/>
              </w:rPr>
              <w:t>pour mettre à jour la date de départ de la personne dans divers système</w:t>
            </w:r>
            <w:r>
              <w:rPr>
                <w:rFonts w:cstheme="minorHAnsi"/>
                <w:lang w:val="fr-CA"/>
              </w:rPr>
              <w:t>s</w:t>
            </w:r>
            <w:r w:rsidRPr="004F08B3">
              <w:rPr>
                <w:rFonts w:cstheme="minorHAnsi"/>
                <w:lang w:val="fr-CA"/>
              </w:rPr>
              <w:t>.</w:t>
            </w:r>
          </w:p>
          <w:p w14:paraId="59BC27CA" w14:textId="77777777" w:rsidR="008C3031" w:rsidRPr="004F08B3" w:rsidRDefault="008C3031" w:rsidP="0023113E">
            <w:pPr>
              <w:rPr>
                <w:rFonts w:cstheme="minorHAnsi"/>
                <w:lang w:val="fr-CA"/>
              </w:rPr>
            </w:pPr>
          </w:p>
          <w:p w14:paraId="224F59BC" w14:textId="77777777" w:rsidR="008C3031" w:rsidRPr="004F08B3" w:rsidRDefault="008C3031" w:rsidP="0023113E">
            <w:pPr>
              <w:rPr>
                <w:rFonts w:cstheme="minorHAnsi"/>
                <w:lang w:val="fr-CA"/>
              </w:rPr>
            </w:pPr>
            <w:r w:rsidRPr="004F08B3">
              <w:rPr>
                <w:rFonts w:cstheme="minorHAnsi"/>
                <w:lang w:val="fr-CA"/>
              </w:rPr>
              <w:t xml:space="preserve">Le </w:t>
            </w:r>
            <w:hyperlink r:id="rId16" w:history="1">
              <w:r w:rsidRPr="00D95AB6">
                <w:rPr>
                  <w:rStyle w:val="Hyperlink"/>
                  <w:rFonts w:cstheme="minorHAnsi"/>
                  <w:lang w:val="fr-CA"/>
                </w:rPr>
                <w:t>formulaire d'arrivée</w:t>
              </w:r>
            </w:hyperlink>
            <w:r w:rsidRPr="004F08B3">
              <w:rPr>
                <w:rFonts w:cstheme="minorHAnsi"/>
                <w:lang w:val="fr-CA"/>
              </w:rPr>
              <w:t>, une fois soumis, est envoyé à :</w:t>
            </w:r>
          </w:p>
          <w:p w14:paraId="5932439B" w14:textId="77777777" w:rsidR="008C3031" w:rsidRPr="007A65EA" w:rsidRDefault="008C3031" w:rsidP="008C303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lang w:val="fr-CA"/>
              </w:rPr>
            </w:pPr>
            <w:r w:rsidRPr="007A65EA">
              <w:rPr>
                <w:rFonts w:cstheme="minorHAnsi"/>
                <w:b/>
                <w:bCs/>
                <w:lang w:val="fr-CA"/>
              </w:rPr>
              <w:t>À :</w:t>
            </w:r>
            <w:r w:rsidRPr="007A65EA">
              <w:rPr>
                <w:rFonts w:cstheme="minorHAnsi"/>
                <w:lang w:val="fr-CA"/>
              </w:rPr>
              <w:t xml:space="preserve"> Finances, Ressources humaines, TI, Installations, Sécurité et Santé et sécurité au travail</w:t>
            </w:r>
          </w:p>
          <w:p w14:paraId="785887FE" w14:textId="77777777" w:rsidR="008C3031" w:rsidRPr="004E3E71" w:rsidRDefault="008C3031" w:rsidP="008C303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lang w:val="fr-CA"/>
              </w:rPr>
            </w:pPr>
            <w:r w:rsidRPr="007A65EA">
              <w:rPr>
                <w:rFonts w:cstheme="minorHAnsi"/>
                <w:b/>
                <w:bCs/>
                <w:lang w:val="fr-CA"/>
              </w:rPr>
              <w:t>Cc :</w:t>
            </w:r>
            <w:r w:rsidRPr="007A65EA">
              <w:rPr>
                <w:rFonts w:cstheme="minorHAnsi"/>
                <w:lang w:val="fr-CA"/>
              </w:rPr>
              <w:t xml:space="preserve"> Gestionnaire d’embauche (en vertu de l'article 34), superviseur (si différent du gestionnaire d’embauche), adjoint(e) administratif(</w:t>
            </w:r>
            <w:proofErr w:type="spellStart"/>
            <w:r w:rsidRPr="007A65EA">
              <w:rPr>
                <w:rFonts w:cstheme="minorHAnsi"/>
                <w:lang w:val="fr-CA"/>
              </w:rPr>
              <w:t>ve</w:t>
            </w:r>
            <w:proofErr w:type="spellEnd"/>
            <w:r w:rsidRPr="007A65EA">
              <w:rPr>
                <w:rFonts w:cstheme="minorHAnsi"/>
                <w:lang w:val="fr-CA"/>
              </w:rPr>
              <w:t>), la personne qui a soumis le formulaire.</w:t>
            </w:r>
          </w:p>
        </w:tc>
        <w:tc>
          <w:tcPr>
            <w:tcW w:w="4675" w:type="dxa"/>
          </w:tcPr>
          <w:p w14:paraId="776610AF" w14:textId="77777777" w:rsidR="008C3031" w:rsidRPr="008402F5" w:rsidRDefault="008C3031" w:rsidP="0023113E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CA"/>
              </w:rPr>
            </w:pPr>
            <w:r w:rsidRPr="008402F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CA"/>
              </w:rPr>
              <w:t xml:space="preserve">Où va le </w:t>
            </w:r>
            <w:hyperlink r:id="rId17" w:history="1">
              <w:r w:rsidRPr="00D60357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  <w:lang w:val="fr-CA"/>
                </w:rPr>
                <w:t>formulaire de départ</w:t>
              </w:r>
            </w:hyperlink>
            <w:r w:rsidRPr="008402F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CA"/>
              </w:rPr>
              <w:t xml:space="preserve"> une fois qu'il a été soumis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CA"/>
              </w:rPr>
              <w:t xml:space="preserve"> </w:t>
            </w:r>
            <w:r w:rsidRPr="008402F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CA"/>
              </w:rPr>
              <w:t>?</w:t>
            </w:r>
          </w:p>
          <w:p w14:paraId="219AFBB1" w14:textId="77777777" w:rsidR="008C3031" w:rsidRPr="00A30C7F" w:rsidRDefault="008C3031" w:rsidP="0023113E">
            <w:pPr>
              <w:rPr>
                <w:lang w:val="fr-CA"/>
              </w:rPr>
            </w:pPr>
            <w:r w:rsidRPr="00A30C7F">
              <w:rPr>
                <w:lang w:val="fr-CA"/>
              </w:rPr>
              <w:t xml:space="preserve">Tout comme le </w:t>
            </w:r>
            <w:hyperlink r:id="rId18" w:history="1">
              <w:r w:rsidRPr="00D95AB6">
                <w:rPr>
                  <w:rStyle w:val="Hyperlink"/>
                  <w:rFonts w:cstheme="minorHAnsi"/>
                  <w:lang w:val="fr-CA"/>
                </w:rPr>
                <w:t>formulaire d'arrivée</w:t>
              </w:r>
            </w:hyperlink>
            <w:r w:rsidRPr="00A30C7F">
              <w:rPr>
                <w:lang w:val="fr-CA"/>
              </w:rPr>
              <w:t xml:space="preserve">, le </w:t>
            </w:r>
            <w:hyperlink r:id="rId19" w:history="1">
              <w:r w:rsidRPr="00D60357">
                <w:rPr>
                  <w:rStyle w:val="Hyperlink"/>
                  <w:lang w:val="fr-CA"/>
                </w:rPr>
                <w:t>formulaire de départ</w:t>
              </w:r>
            </w:hyperlink>
            <w:r w:rsidRPr="00A30C7F">
              <w:rPr>
                <w:lang w:val="fr-CA"/>
              </w:rPr>
              <w:t xml:space="preserve"> sert à informer plusieurs unités </w:t>
            </w:r>
            <w:r>
              <w:rPr>
                <w:lang w:val="fr-CA"/>
              </w:rPr>
              <w:t xml:space="preserve">de travailles aux services de gestions et aux services internes, </w:t>
            </w:r>
            <w:r w:rsidRPr="00A30C7F">
              <w:rPr>
                <w:lang w:val="fr-CA"/>
              </w:rPr>
              <w:t>déclenchant les processus internes requis en cas de départ d'un employé.</w:t>
            </w:r>
          </w:p>
          <w:p w14:paraId="51B6815A" w14:textId="77777777" w:rsidR="008C3031" w:rsidRPr="00A30C7F" w:rsidRDefault="008C3031" w:rsidP="0023113E">
            <w:pPr>
              <w:rPr>
                <w:lang w:val="fr-CA"/>
              </w:rPr>
            </w:pPr>
          </w:p>
          <w:p w14:paraId="618D418B" w14:textId="77777777" w:rsidR="008C3031" w:rsidRPr="004E3E71" w:rsidRDefault="008C3031" w:rsidP="0023113E">
            <w:pPr>
              <w:rPr>
                <w:lang w:val="fr-CA"/>
              </w:rPr>
            </w:pPr>
            <w:r w:rsidRPr="00A30C7F">
              <w:rPr>
                <w:lang w:val="fr-CA"/>
              </w:rPr>
              <w:t xml:space="preserve">Le </w:t>
            </w:r>
            <w:hyperlink r:id="rId20" w:history="1">
              <w:r w:rsidRPr="00D60357">
                <w:rPr>
                  <w:rStyle w:val="Hyperlink"/>
                  <w:lang w:val="fr-CA"/>
                </w:rPr>
                <w:t>formulaire de départ</w:t>
              </w:r>
            </w:hyperlink>
            <w:r w:rsidRPr="00A30C7F">
              <w:rPr>
                <w:lang w:val="fr-CA"/>
              </w:rPr>
              <w:t xml:space="preserve">, une fois soumis, est envoyé aux </w:t>
            </w:r>
            <w:r>
              <w:rPr>
                <w:lang w:val="fr-CA"/>
              </w:rPr>
              <w:t>F</w:t>
            </w:r>
            <w:r w:rsidRPr="00A30C7F">
              <w:rPr>
                <w:lang w:val="fr-CA"/>
              </w:rPr>
              <w:t xml:space="preserve">inances, aux </w:t>
            </w:r>
            <w:r>
              <w:rPr>
                <w:lang w:val="fr-CA"/>
              </w:rPr>
              <w:t>R</w:t>
            </w:r>
            <w:r w:rsidRPr="00A30C7F">
              <w:rPr>
                <w:lang w:val="fr-CA"/>
              </w:rPr>
              <w:t xml:space="preserve">essources humaines, </w:t>
            </w:r>
            <w:r>
              <w:rPr>
                <w:lang w:val="fr-CA"/>
              </w:rPr>
              <w:t xml:space="preserve">au TI, </w:t>
            </w:r>
            <w:r w:rsidRPr="00A30C7F">
              <w:rPr>
                <w:lang w:val="fr-CA"/>
              </w:rPr>
              <w:t xml:space="preserve">aux </w:t>
            </w:r>
            <w:r>
              <w:rPr>
                <w:lang w:val="fr-CA"/>
              </w:rPr>
              <w:t>I</w:t>
            </w:r>
            <w:r w:rsidRPr="00A30C7F">
              <w:rPr>
                <w:lang w:val="fr-CA"/>
              </w:rPr>
              <w:t xml:space="preserve">nstallations, à la </w:t>
            </w:r>
            <w:r>
              <w:rPr>
                <w:lang w:val="fr-CA"/>
              </w:rPr>
              <w:t>S</w:t>
            </w:r>
            <w:r w:rsidRPr="00A30C7F">
              <w:rPr>
                <w:lang w:val="fr-CA"/>
              </w:rPr>
              <w:t xml:space="preserve">écurité et à la </w:t>
            </w:r>
            <w:r>
              <w:rPr>
                <w:lang w:val="fr-CA"/>
              </w:rPr>
              <w:t>S</w:t>
            </w:r>
            <w:r w:rsidRPr="00A30C7F">
              <w:rPr>
                <w:lang w:val="fr-CA"/>
              </w:rPr>
              <w:t>anté et sécurité au travail.</w:t>
            </w:r>
          </w:p>
          <w:p w14:paraId="03186843" w14:textId="77777777" w:rsidR="008C3031" w:rsidRPr="004E3E71" w:rsidRDefault="008C3031" w:rsidP="0023113E">
            <w:pPr>
              <w:rPr>
                <w:lang w:val="fr-CA"/>
              </w:rPr>
            </w:pPr>
          </w:p>
        </w:tc>
      </w:tr>
    </w:tbl>
    <w:p w14:paraId="056101C0" w14:textId="77777777" w:rsidR="008C3031" w:rsidRPr="00F132E8" w:rsidRDefault="008C3031" w:rsidP="00F132E8">
      <w:pPr>
        <w:spacing w:after="0" w:line="240" w:lineRule="auto"/>
        <w:rPr>
          <w:lang w:val="fr-CA"/>
        </w:rPr>
      </w:pPr>
    </w:p>
    <w:sectPr w:rsidR="008C3031" w:rsidRPr="00F132E8" w:rsidSect="008C3031">
      <w:pgSz w:w="12240" w:h="20160" w:code="5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7787F"/>
    <w:multiLevelType w:val="hybridMultilevel"/>
    <w:tmpl w:val="C38AF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E1F32"/>
    <w:multiLevelType w:val="hybridMultilevel"/>
    <w:tmpl w:val="E1647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C3BA7"/>
    <w:multiLevelType w:val="hybridMultilevel"/>
    <w:tmpl w:val="6854F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9659F"/>
    <w:multiLevelType w:val="hybridMultilevel"/>
    <w:tmpl w:val="95C2B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2E8"/>
    <w:rsid w:val="006133A1"/>
    <w:rsid w:val="008C3031"/>
    <w:rsid w:val="00F1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2CB41"/>
  <w15:chartTrackingRefBased/>
  <w15:docId w15:val="{1BF641E8-773A-4B54-A401-0509FB79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30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0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C30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3031"/>
    <w:rPr>
      <w:color w:val="0563C1"/>
      <w:u w:val="single"/>
    </w:rPr>
  </w:style>
  <w:style w:type="table" w:styleId="TableGrid">
    <w:name w:val="Table Grid"/>
    <w:basedOn w:val="TableNormal"/>
    <w:uiPriority w:val="39"/>
    <w:rsid w:val="008C3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atssc-scdata.gc.ca/hr-benefits/forms/employee-departure-form-fr.html" TargetMode="External"/><Relationship Id="rId13" Type="http://schemas.openxmlformats.org/officeDocument/2006/relationships/hyperlink" Target="https://intranet.atssc-scdata.gc.ca/hr-benefits/forms/employee-departure-form-fr.html" TargetMode="External"/><Relationship Id="rId18" Type="http://schemas.openxmlformats.org/officeDocument/2006/relationships/hyperlink" Target="https://intranet.atssc-scdata.gc.ca/hr-benefits/forms/employee-arrival-form-fr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intranet.atssc-scdata.gc.ca/hr-benefits/forms/employee-departure-form-fr.html" TargetMode="External"/><Relationship Id="rId12" Type="http://schemas.openxmlformats.org/officeDocument/2006/relationships/hyperlink" Target="https://intranet.atssc-scdata.gc.ca/hr-benefits/forms/employee-manager-checklist-fr-april-2021.pdf" TargetMode="External"/><Relationship Id="rId17" Type="http://schemas.openxmlformats.org/officeDocument/2006/relationships/hyperlink" Target="https://intranet.atssc-scdata.gc.ca/hr-benefits/forms/employee-departure-form-fr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ranet.atssc-scdata.gc.ca/hr-benefits/forms/employee-arrival-form-fr.html" TargetMode="External"/><Relationship Id="rId20" Type="http://schemas.openxmlformats.org/officeDocument/2006/relationships/hyperlink" Target="https://intranet.atssc-scdata.gc.ca/hr-benefits/forms/employee-departure-form-fr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ranet.atssc-scdata.gc.ca/hr-benefits/forms/employee-arrival-form-fr.html" TargetMode="External"/><Relationship Id="rId11" Type="http://schemas.openxmlformats.org/officeDocument/2006/relationships/hyperlink" Target="https://intranet.atssc-scdata.gc.ca/hr-benefits/forms/employee-departure-form-fr.html" TargetMode="External"/><Relationship Id="rId5" Type="http://schemas.openxmlformats.org/officeDocument/2006/relationships/hyperlink" Target="https://intranet.atssc-scdata.gc.ca/hr-benefits/forms/employee-arrival-form-fr.html" TargetMode="External"/><Relationship Id="rId15" Type="http://schemas.openxmlformats.org/officeDocument/2006/relationships/hyperlink" Target="https://intranet.atssc-scdata.gc.ca/hr-benefits/forms/employee-arrival-form-fr.html" TargetMode="External"/><Relationship Id="rId10" Type="http://schemas.openxmlformats.org/officeDocument/2006/relationships/hyperlink" Target="https://intranet.atssc-scdata.gc.ca/hr-benefits/forms/employee-arrival-form-fr.html" TargetMode="External"/><Relationship Id="rId19" Type="http://schemas.openxmlformats.org/officeDocument/2006/relationships/hyperlink" Target="https://intranet.atssc-scdata.gc.ca/hr-benefits/forms/employee-departure-form-f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ranet.atssc-scdata.gc.ca/hr-benefits/forms/employee-arrival-form-fr.html" TargetMode="External"/><Relationship Id="rId14" Type="http://schemas.openxmlformats.org/officeDocument/2006/relationships/hyperlink" Target="https://intranet.atssc-scdata.gc.ca/hr-benefits/forms/employee-arrival-form-fr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Stevenson, Stéphanie</dc:creator>
  <cp:keywords/>
  <dc:description/>
  <cp:lastModifiedBy>Stevenson, Stéphanie</cp:lastModifiedBy>
  <cp:revision>1</cp:revision>
  <dcterms:created xsi:type="dcterms:W3CDTF">2022-12-08T14:20:00Z</dcterms:created>
  <dcterms:modified xsi:type="dcterms:W3CDTF">2022-12-08T14:34:00Z</dcterms:modified>
</cp:coreProperties>
</file>