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33836" w14:textId="1EB5C1E0" w:rsidR="00DD295E" w:rsidRPr="00DD295E" w:rsidRDefault="005B75BF" w:rsidP="005B75BF">
      <w:pPr>
        <w:pStyle w:val="Subtitle"/>
        <w:tabs>
          <w:tab w:val="center" w:pos="5610"/>
          <w:tab w:val="left" w:pos="7390"/>
        </w:tabs>
        <w:spacing w:after="0"/>
        <w:rPr>
          <w:color w:val="A8CE75" w:themeColor="accent1"/>
        </w:rPr>
      </w:pPr>
      <w:r>
        <w:rPr>
          <w:color w:val="A8CE75" w:themeColor="accent1"/>
        </w:rPr>
        <w:tab/>
      </w:r>
      <w:r w:rsidR="00DD295E">
        <w:rPr>
          <w:color w:val="A8CE75" w:themeColor="accent1"/>
        </w:rPr>
        <w:t>FICHE D’INFORMATION</w:t>
      </w:r>
      <w:r>
        <w:rPr>
          <w:color w:val="A8CE75" w:themeColor="accent1"/>
        </w:rPr>
        <w:tab/>
      </w:r>
    </w:p>
    <w:p w14:paraId="36805692" w14:textId="77777777" w:rsidR="00DD295E" w:rsidRPr="00DD295E" w:rsidRDefault="00DD295E" w:rsidP="00DD295E">
      <w:pPr>
        <w:pStyle w:val="Title"/>
        <w:jc w:val="center"/>
        <w:rPr>
          <w:color w:val="000000" w:themeColor="text1"/>
          <w:sz w:val="36"/>
        </w:rPr>
      </w:pPr>
      <w:r>
        <w:rPr>
          <w:noProof/>
          <w:lang w:val="en-CA" w:eastAsia="en-CA"/>
        </w:rPr>
        <w:drawing>
          <wp:anchor distT="0" distB="0" distL="114300" distR="114300" simplePos="0" relativeHeight="251659264" behindDoc="1" locked="0" layoutInCell="1" allowOverlap="1" wp14:anchorId="15F5DC7A" wp14:editId="0C976651">
            <wp:simplePos x="0" y="0"/>
            <wp:positionH relativeFrom="margin">
              <wp:align>center</wp:align>
            </wp:positionH>
            <wp:positionV relativeFrom="paragraph">
              <wp:posOffset>271145</wp:posOffset>
            </wp:positionV>
            <wp:extent cx="5986145" cy="2907665"/>
            <wp:effectExtent l="0" t="0" r="0" b="6985"/>
            <wp:wrapNone/>
            <wp:docPr id="3" name="Picture 3" descr="À propos de cet outil" title="À propos de cet out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bble 1.png"/>
                    <pic:cNvPicPr/>
                  </pic:nvPicPr>
                  <pic:blipFill>
                    <a:blip r:embed="rId7">
                      <a:grayscl/>
                      <a:extLst>
                        <a:ext uri="{28A0092B-C50C-407E-A947-70E740481C1C}">
                          <a14:useLocalDpi xmlns:a14="http://schemas.microsoft.com/office/drawing/2010/main" val="0"/>
                        </a:ext>
                      </a:extLst>
                    </a:blip>
                    <a:stretch>
                      <a:fillRect/>
                    </a:stretch>
                  </pic:blipFill>
                  <pic:spPr>
                    <a:xfrm>
                      <a:off x="0" y="0"/>
                      <a:ext cx="5986145" cy="2907665"/>
                    </a:xfrm>
                    <a:prstGeom prst="rect">
                      <a:avLst/>
                    </a:prstGeom>
                  </pic:spPr>
                </pic:pic>
              </a:graphicData>
            </a:graphic>
            <wp14:sizeRelH relativeFrom="margin">
              <wp14:pctWidth>0</wp14:pctWidth>
            </wp14:sizeRelH>
            <wp14:sizeRelV relativeFrom="margin">
              <wp14:pctHeight>0</wp14:pctHeight>
            </wp14:sizeRelV>
          </wp:anchor>
        </w:drawing>
      </w:r>
      <w:r>
        <w:rPr>
          <w:color w:val="000000" w:themeColor="text1"/>
          <w:sz w:val="36"/>
        </w:rPr>
        <w:t>Mobile et flexible</w:t>
      </w:r>
    </w:p>
    <w:p w14:paraId="7485E88A" w14:textId="77777777" w:rsidR="00DD295E" w:rsidRDefault="00163D1A" w:rsidP="00DD295E">
      <w:r>
        <w:rPr>
          <w:rFonts w:ascii="Arial" w:hAnsi="Arial"/>
          <w:noProof/>
          <w:color w:val="0070C0"/>
          <w:sz w:val="28"/>
          <w:szCs w:val="24"/>
          <w:lang w:val="en-CA" w:eastAsia="en-CA"/>
        </w:rPr>
        <mc:AlternateContent>
          <mc:Choice Requires="wps">
            <w:drawing>
              <wp:anchor distT="0" distB="0" distL="114300" distR="114300" simplePos="0" relativeHeight="251662336" behindDoc="0" locked="0" layoutInCell="1" allowOverlap="1" wp14:anchorId="7754AA0D" wp14:editId="7416CF38">
                <wp:simplePos x="0" y="0"/>
                <wp:positionH relativeFrom="margin">
                  <wp:posOffset>695960</wp:posOffset>
                </wp:positionH>
                <wp:positionV relativeFrom="paragraph">
                  <wp:posOffset>75565</wp:posOffset>
                </wp:positionV>
                <wp:extent cx="5736298" cy="2339009"/>
                <wp:effectExtent l="0" t="0" r="0" b="4445"/>
                <wp:wrapNone/>
                <wp:docPr id="13" name="Text Box 13"/>
                <wp:cNvGraphicFramePr/>
                <a:graphic xmlns:a="http://schemas.openxmlformats.org/drawingml/2006/main">
                  <a:graphicData uri="http://schemas.microsoft.com/office/word/2010/wordprocessingShape">
                    <wps:wsp>
                      <wps:cNvSpPr txBox="1"/>
                      <wps:spPr>
                        <a:xfrm>
                          <a:off x="0" y="0"/>
                          <a:ext cx="5736298" cy="23390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2387A8" w14:textId="77777777" w:rsidR="00F611ED" w:rsidRDefault="00F611ED" w:rsidP="00163D1A">
                            <w:pPr>
                              <w:spacing w:after="0"/>
                              <w:jc w:val="center"/>
                              <w:rPr>
                                <w:i/>
                              </w:rPr>
                            </w:pPr>
                            <w:r>
                              <w:rPr>
                                <w:i/>
                              </w:rPr>
                              <w:t>À propos de cet outil</w:t>
                            </w:r>
                          </w:p>
                          <w:p w14:paraId="74181730" w14:textId="77777777" w:rsidR="00F611ED" w:rsidRPr="00AD4CCF" w:rsidRDefault="00F611ED" w:rsidP="00163D1A">
                            <w:pPr>
                              <w:spacing w:after="0"/>
                              <w:jc w:val="center"/>
                              <w:rPr>
                                <w:i/>
                                <w:sz w:val="14"/>
                              </w:rPr>
                            </w:pPr>
                          </w:p>
                          <w:p w14:paraId="5B3E8080" w14:textId="6ECBB102" w:rsidR="00F611ED" w:rsidRPr="00D068A8" w:rsidRDefault="00F611ED" w:rsidP="00163D1A">
                            <w:pPr>
                              <w:spacing w:after="0"/>
                              <w:rPr>
                                <w:b/>
                              </w:rPr>
                            </w:pPr>
                            <w:r>
                              <w:rPr>
                                <w:b/>
                                <w:u w:val="single"/>
                              </w:rPr>
                              <w:t>BUT </w:t>
                            </w:r>
                            <w:r w:rsidRPr="005B75BF">
                              <w:rPr>
                                <w:u w:val="single"/>
                              </w:rPr>
                              <w:t>:</w:t>
                            </w:r>
                            <w:r>
                              <w:rPr>
                                <w:b/>
                              </w:rPr>
                              <w:t xml:space="preserve"> </w:t>
                            </w:r>
                            <w:r>
                              <w:t>Fournir des réponses aux questions les plus fréquemment posées, s’attaquer aux mythes courants et proposer les meilleures pratiques sur divers sujets liés à la mobilité et à la flexibilité.</w:t>
                            </w:r>
                          </w:p>
                          <w:p w14:paraId="07D49648" w14:textId="5580C173" w:rsidR="00F611ED" w:rsidRDefault="00F611ED" w:rsidP="00163D1A">
                            <w:pPr>
                              <w:spacing w:after="0"/>
                            </w:pPr>
                            <w:r>
                              <w:rPr>
                                <w:b/>
                                <w:u w:val="single"/>
                              </w:rPr>
                              <w:t>PUBLIC CIBLE </w:t>
                            </w:r>
                            <w:r w:rsidRPr="005B75BF">
                              <w:rPr>
                                <w:u w:val="single"/>
                              </w:rPr>
                              <w:t>:</w:t>
                            </w:r>
                            <w:r>
                              <w:rPr>
                                <w:b/>
                              </w:rPr>
                              <w:t xml:space="preserve"> </w:t>
                            </w:r>
                            <w:r>
                              <w:t>Les employés de tous les niveaux qui cherchent des informations sur le télétravail, les heures de travail et le rendement, dans le contexte du Milieu de travail GC.</w:t>
                            </w:r>
                          </w:p>
                          <w:p w14:paraId="0195EB3A" w14:textId="2C59E10E" w:rsidR="00F611ED" w:rsidRPr="00F2096C" w:rsidRDefault="00F611ED" w:rsidP="00163D1A">
                            <w:pPr>
                              <w:spacing w:after="0"/>
                            </w:pPr>
                            <w:r>
                              <w:rPr>
                                <w:b/>
                                <w:u w:val="single"/>
                              </w:rPr>
                              <w:t>UTILISATION </w:t>
                            </w:r>
                            <w:r>
                              <w:t>:</w:t>
                            </w:r>
                          </w:p>
                          <w:p w14:paraId="6F6DC3D8" w14:textId="1A7FD7B0" w:rsidR="00F611ED" w:rsidRPr="00814F36" w:rsidRDefault="00F611ED" w:rsidP="00163D1A">
                            <w:pPr>
                              <w:pStyle w:val="ListParagraph"/>
                              <w:numPr>
                                <w:ilvl w:val="0"/>
                                <w:numId w:val="22"/>
                              </w:numPr>
                              <w:spacing w:after="0"/>
                            </w:pPr>
                            <w:r>
                              <w:t>Présentations aux employés</w:t>
                            </w:r>
                          </w:p>
                          <w:p w14:paraId="60FF2303" w14:textId="35823349" w:rsidR="00F611ED" w:rsidRPr="00814F36" w:rsidRDefault="00F611ED" w:rsidP="00163D1A">
                            <w:pPr>
                              <w:pStyle w:val="ListParagraph"/>
                              <w:numPr>
                                <w:ilvl w:val="0"/>
                                <w:numId w:val="22"/>
                              </w:numPr>
                              <w:spacing w:after="0"/>
                            </w:pPr>
                            <w:r>
                              <w:t>Courriels</w:t>
                            </w:r>
                          </w:p>
                          <w:p w14:paraId="36EF24E6" w14:textId="5EF641C6" w:rsidR="00F611ED" w:rsidRPr="00814F36" w:rsidRDefault="00F611ED" w:rsidP="00163D1A">
                            <w:pPr>
                              <w:pStyle w:val="ListParagraph"/>
                              <w:numPr>
                                <w:ilvl w:val="0"/>
                                <w:numId w:val="22"/>
                              </w:numPr>
                              <w:spacing w:after="0"/>
                            </w:pPr>
                            <w:r>
                              <w:t>Sites Web internes</w:t>
                            </w:r>
                          </w:p>
                          <w:p w14:paraId="0F675A3C" w14:textId="284622FF" w:rsidR="00F611ED" w:rsidRPr="00814F36" w:rsidRDefault="00F611ED" w:rsidP="00163D1A">
                            <w:pPr>
                              <w:pStyle w:val="ListParagraph"/>
                              <w:numPr>
                                <w:ilvl w:val="0"/>
                                <w:numId w:val="22"/>
                              </w:numPr>
                              <w:spacing w:after="0"/>
                            </w:pPr>
                            <w:r>
                              <w:t>Billets de blogue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754AA0D" id="_x0000_t202" coordsize="21600,21600" o:spt="202" path="m,l,21600r21600,l21600,xe">
                <v:stroke joinstyle="miter"/>
                <v:path gradientshapeok="t" o:connecttype="rect"/>
              </v:shapetype>
              <v:shape id="Text Box 13" o:spid="_x0000_s1026" type="#_x0000_t202" style="position:absolute;margin-left:54.8pt;margin-top:5.95pt;width:451.7pt;height:184.1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" filled="f" stroked="f" strokeweight=".5pt">
                <v:textbox>
                  <w:txbxContent>
                    <w:p w14:paraId="3E2387A8" w14:textId="77777777" w:rsidR="00F611ED" w:rsidRDefault="00F611ED" w:rsidP="00163D1A">
                      <w:pPr>
                        <w:spacing w:after="0"/>
                        <w:jc w:val="center"/>
                        <w:rPr>
                          <w:i/>
                        </w:rPr>
                      </w:pPr>
                      <w:r>
                        <w:rPr>
                          <w:i/>
                        </w:rPr>
                        <w:t>À propos de cet outil</w:t>
                      </w:r>
                    </w:p>
                    <w:p w14:paraId="74181730" w14:textId="77777777" w:rsidR="00F611ED" w:rsidRPr="00AD4CCF" w:rsidRDefault="00F611ED" w:rsidP="00163D1A">
                      <w:pPr>
                        <w:spacing w:after="0"/>
                        <w:jc w:val="center"/>
                        <w:rPr>
                          <w:i/>
                          <w:sz w:val="14"/>
                        </w:rPr>
                      </w:pPr>
                    </w:p>
                    <w:p w14:paraId="5B3E8080" w14:textId="6ECBB102" w:rsidR="00F611ED" w:rsidRPr="00D068A8" w:rsidRDefault="00F611ED" w:rsidP="00163D1A">
                      <w:pPr>
                        <w:spacing w:after="0"/>
                        <w:rPr>
                          <w:b/>
                        </w:rPr>
                      </w:pPr>
                      <w:r>
                        <w:rPr>
                          <w:b/>
                          <w:u w:val="single"/>
                        </w:rPr>
                        <w:t>BUT </w:t>
                      </w:r>
                      <w:r w:rsidRPr="005B75BF">
                        <w:rPr>
                          <w:u w:val="single"/>
                        </w:rPr>
                        <w:t>:</w:t>
                      </w:r>
                      <w:r>
                        <w:rPr>
                          <w:b/>
                        </w:rPr>
                        <w:t xml:space="preserve"> </w:t>
                      </w:r>
                      <w:r>
                        <w:t>Fournir des réponses aux questions les plus fréquemment posées, s’attaquer aux mythes courants et proposer les meilleures pratiques sur divers sujets liés à la mobilité et à la flexibilité.</w:t>
                      </w:r>
                    </w:p>
                    <w:p w14:paraId="07D49648" w14:textId="5580C173" w:rsidR="00F611ED" w:rsidRDefault="00F611ED" w:rsidP="00163D1A">
                      <w:pPr>
                        <w:spacing w:after="0"/>
                      </w:pPr>
                      <w:r>
                        <w:rPr>
                          <w:b/>
                          <w:u w:val="single"/>
                        </w:rPr>
                        <w:t>PUBLIC CIBLE </w:t>
                      </w:r>
                      <w:r w:rsidRPr="005B75BF">
                        <w:rPr>
                          <w:u w:val="single"/>
                        </w:rPr>
                        <w:t>:</w:t>
                      </w:r>
                      <w:r>
                        <w:rPr>
                          <w:b/>
                        </w:rPr>
                        <w:t xml:space="preserve"> </w:t>
                      </w:r>
                      <w:r>
                        <w:t>Les employés de tous les niveaux qui cherchent des informations sur le télétravail, les heures de travail et le rendement, dans le contexte du Milieu de travail GC.</w:t>
                      </w:r>
                    </w:p>
                    <w:p w14:paraId="0195EB3A" w14:textId="2C59E10E" w:rsidR="00F611ED" w:rsidRPr="00F2096C" w:rsidRDefault="00F611ED" w:rsidP="00163D1A">
                      <w:pPr>
                        <w:spacing w:after="0"/>
                      </w:pPr>
                      <w:r>
                        <w:rPr>
                          <w:b/>
                          <w:u w:val="single"/>
                        </w:rPr>
                        <w:t>UTILISATION </w:t>
                      </w:r>
                      <w:r>
                        <w:t>:</w:t>
                      </w:r>
                    </w:p>
                    <w:p w14:paraId="6F6DC3D8" w14:textId="1A7FD7B0" w:rsidR="00F611ED" w:rsidRPr="00814F36" w:rsidRDefault="00F611ED" w:rsidP="00163D1A">
                      <w:pPr>
                        <w:pStyle w:val="ListParagraph"/>
                        <w:numPr>
                          <w:ilvl w:val="0"/>
                          <w:numId w:val="22"/>
                        </w:numPr>
                        <w:spacing w:after="0"/>
                      </w:pPr>
                      <w:r>
                        <w:t>Présentations aux employés</w:t>
                      </w:r>
                    </w:p>
                    <w:p w14:paraId="60FF2303" w14:textId="35823349" w:rsidR="00F611ED" w:rsidRPr="00814F36" w:rsidRDefault="00F611ED" w:rsidP="00163D1A">
                      <w:pPr>
                        <w:pStyle w:val="ListParagraph"/>
                        <w:numPr>
                          <w:ilvl w:val="0"/>
                          <w:numId w:val="22"/>
                        </w:numPr>
                        <w:spacing w:after="0"/>
                      </w:pPr>
                      <w:r>
                        <w:t>Courriels</w:t>
                      </w:r>
                    </w:p>
                    <w:p w14:paraId="36EF24E6" w14:textId="5EF641C6" w:rsidR="00F611ED" w:rsidRPr="00814F36" w:rsidRDefault="00F611ED" w:rsidP="00163D1A">
                      <w:pPr>
                        <w:pStyle w:val="ListParagraph"/>
                        <w:numPr>
                          <w:ilvl w:val="0"/>
                          <w:numId w:val="22"/>
                        </w:numPr>
                        <w:spacing w:after="0"/>
                      </w:pPr>
                      <w:r>
                        <w:t>Sites Web internes</w:t>
                      </w:r>
                    </w:p>
                    <w:p w14:paraId="0F675A3C" w14:textId="284622FF" w:rsidR="00F611ED" w:rsidRPr="00814F36" w:rsidRDefault="00F611ED" w:rsidP="00163D1A">
                      <w:pPr>
                        <w:pStyle w:val="ListParagraph"/>
                        <w:numPr>
                          <w:ilvl w:val="0"/>
                          <w:numId w:val="22"/>
                        </w:numPr>
                        <w:spacing w:after="0"/>
                      </w:pPr>
                      <w:r>
                        <w:t>Billets de blogue</w:t>
                      </w:r>
                    </w:p>
                  </w:txbxContent>
                </v:textbox>
                <w10:wrap anchorx="margin"/>
              </v:shape>
            </w:pict>
          </mc:Fallback>
        </mc:AlternateContent>
      </w:r>
    </w:p>
    <w:p w14:paraId="5036FD9A" w14:textId="77777777" w:rsidR="00DD295E" w:rsidRDefault="00DD295E" w:rsidP="00DD295E">
      <w:pPr>
        <w:tabs>
          <w:tab w:val="left" w:pos="2227"/>
        </w:tabs>
      </w:pPr>
      <w:r>
        <w:tab/>
      </w:r>
    </w:p>
    <w:p w14:paraId="68ABE65E" w14:textId="77777777" w:rsidR="00DD295E" w:rsidRDefault="00DD295E" w:rsidP="00DD295E">
      <w:pPr>
        <w:tabs>
          <w:tab w:val="left" w:pos="3533"/>
        </w:tabs>
      </w:pPr>
      <w:r>
        <w:tab/>
      </w:r>
    </w:p>
    <w:p w14:paraId="25B193CB" w14:textId="77777777" w:rsidR="00DD295E" w:rsidRPr="00AD4CCF" w:rsidRDefault="00DD295E" w:rsidP="00DD295E"/>
    <w:p w14:paraId="287F9EF3" w14:textId="77777777" w:rsidR="00DD295E" w:rsidRPr="00AD4CCF" w:rsidRDefault="00DD295E" w:rsidP="00DD295E"/>
    <w:p w14:paraId="43019FB4" w14:textId="77777777" w:rsidR="00DD295E" w:rsidRPr="00AD4CCF" w:rsidRDefault="00DD295E" w:rsidP="00DD295E"/>
    <w:p w14:paraId="3058848C" w14:textId="77777777" w:rsidR="00DD295E" w:rsidRPr="00AD4CCF" w:rsidRDefault="00DD295E" w:rsidP="00DD295E"/>
    <w:p w14:paraId="4EE1C5A0" w14:textId="77777777" w:rsidR="00DD295E" w:rsidRPr="00AD4CCF" w:rsidRDefault="00DD295E" w:rsidP="00DD295E"/>
    <w:p w14:paraId="46677200" w14:textId="77777777" w:rsidR="00DD295E" w:rsidRDefault="00DD295E" w:rsidP="00DD295E">
      <w:r>
        <w:rPr>
          <w:noProof/>
          <w:lang w:val="en-CA" w:eastAsia="en-CA"/>
        </w:rPr>
        <mc:AlternateContent>
          <mc:Choice Requires="wps">
            <w:drawing>
              <wp:anchor distT="0" distB="0" distL="114300" distR="114300" simplePos="0" relativeHeight="251660288" behindDoc="0" locked="0" layoutInCell="1" allowOverlap="1" wp14:anchorId="2D891C3F" wp14:editId="67A9AD6D">
                <wp:simplePos x="0" y="0"/>
                <wp:positionH relativeFrom="margin">
                  <wp:posOffset>1153258</wp:posOffset>
                </wp:positionH>
                <wp:positionV relativeFrom="paragraph">
                  <wp:posOffset>190695</wp:posOffset>
                </wp:positionV>
                <wp:extent cx="4825218" cy="281354"/>
                <wp:effectExtent l="0" t="0" r="0" b="4445"/>
                <wp:wrapNone/>
                <wp:docPr id="4" name="Text Box 4"/>
                <wp:cNvGraphicFramePr/>
                <a:graphic xmlns:a="http://schemas.openxmlformats.org/drawingml/2006/main">
                  <a:graphicData uri="http://schemas.microsoft.com/office/word/2010/wordprocessingShape">
                    <wps:wsp>
                      <wps:cNvSpPr txBox="1"/>
                      <wps:spPr>
                        <a:xfrm>
                          <a:off x="0" y="0"/>
                          <a:ext cx="4825218" cy="281354"/>
                        </a:xfrm>
                        <a:prstGeom prst="rect">
                          <a:avLst/>
                        </a:prstGeom>
                        <a:solidFill>
                          <a:schemeClr val="accent4">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3E1878" w14:textId="77777777" w:rsidR="00F611ED" w:rsidRPr="00DD295E" w:rsidRDefault="00F611ED" w:rsidP="00DD295E">
                            <w:pPr>
                              <w:jc w:val="center"/>
                              <w:rPr>
                                <w:sz w:val="20"/>
                              </w:rPr>
                            </w:pPr>
                            <w:r>
                              <w:t>[Supprimez l’image et le texte ci-dessus lorsque vous utilisez cet outil]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91C3F" id="Text Box 4" o:spid="_x0000_s1027" type="#_x0000_t202" style="position:absolute;margin-left:90.8pt;margin-top:15pt;width:379.95pt;height:22.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" fillcolor="#fff2cc [663]" stroked="f" strokeweight=".5pt">
                <v:textbox>
                  <w:txbxContent>
                    <w:p w14:paraId="343E1878" w14:textId="77777777" w:rsidR="00F611ED" w:rsidRPr="00DD295E" w:rsidRDefault="00F611ED" w:rsidP="00DD295E">
                      <w:pPr>
                        <w:jc w:val="center"/>
                        <w:rPr>
                          <w:sz w:val="20"/>
                        </w:rPr>
                      </w:pPr>
                      <w:r>
                        <w:t>[Supprimez l’image et le texte ci-dessus lorsque vous utilisez cet outil]</w:t>
                      </w:r>
                    </w:p>
                  </w:txbxContent>
                </v:textbox>
                <w10:wrap anchorx="margin"/>
              </v:shape>
            </w:pict>
          </mc:Fallback>
        </mc:AlternateContent>
      </w:r>
    </w:p>
    <w:p w14:paraId="098D52E7" w14:textId="77777777" w:rsidR="00DD295E" w:rsidRPr="00AD4CCF" w:rsidRDefault="00DD295E" w:rsidP="00DD295E"/>
    <w:p w14:paraId="0DB226C9" w14:textId="4C81542D" w:rsidR="00DD295E" w:rsidRDefault="00DD295E" w:rsidP="00987561">
      <w:pPr>
        <w:pStyle w:val="Heading2"/>
      </w:pPr>
      <w:r>
        <w:t>Foire aux questions</w:t>
      </w:r>
    </w:p>
    <w:p w14:paraId="0686AFB6" w14:textId="77777777" w:rsidR="003F3C93" w:rsidRDefault="003F3C93" w:rsidP="003F3C93">
      <w:pPr>
        <w:pStyle w:val="ListParagraph"/>
        <w:numPr>
          <w:ilvl w:val="0"/>
          <w:numId w:val="17"/>
        </w:numPr>
        <w:rPr>
          <w:b/>
          <w:color w:val="000000" w:themeColor="text1"/>
        </w:rPr>
      </w:pPr>
      <w:r>
        <w:rPr>
          <w:b/>
          <w:color w:val="000000" w:themeColor="text1"/>
        </w:rPr>
        <w:t>Qu’est-ce que le télétravail?</w:t>
      </w:r>
    </w:p>
    <w:p w14:paraId="780F7F8D" w14:textId="0E6E019D" w:rsidR="003F3C93" w:rsidRPr="003F3C93" w:rsidRDefault="003F3C93" w:rsidP="003F3C93">
      <w:pPr>
        <w:pStyle w:val="ListParagraph"/>
        <w:numPr>
          <w:ilvl w:val="0"/>
          <w:numId w:val="19"/>
        </w:numPr>
        <w:rPr>
          <w:b/>
          <w:color w:val="000000" w:themeColor="text1"/>
        </w:rPr>
      </w:pPr>
      <w:r>
        <w:rPr>
          <w:color w:val="000000" w:themeColor="text1"/>
        </w:rPr>
        <w:t xml:space="preserve">Le télétravail est une entente qui permet à un employé de travailler à son domicile ou à un autre emplacement à l’extérieur du bureau. Les ententes de télétravail conclues entre vous et votre superviseur peuvent être </w:t>
      </w:r>
      <w:r w:rsidR="00A20E52">
        <w:rPr>
          <w:color w:val="000000" w:themeColor="text1"/>
        </w:rPr>
        <w:t>officieuses</w:t>
      </w:r>
      <w:r>
        <w:rPr>
          <w:color w:val="000000" w:themeColor="text1"/>
        </w:rPr>
        <w:t xml:space="preserve">, comme une journée de télétravail à partir du domicile de temps en temps, ou officielles, comme une entente de télétravail à temps plein. Il est </w:t>
      </w:r>
      <w:proofErr w:type="gramStart"/>
      <w:r>
        <w:rPr>
          <w:color w:val="000000" w:themeColor="text1"/>
        </w:rPr>
        <w:t>prouvé</w:t>
      </w:r>
      <w:proofErr w:type="gramEnd"/>
      <w:r>
        <w:rPr>
          <w:color w:val="000000" w:themeColor="text1"/>
        </w:rPr>
        <w:t xml:space="preserve"> que le télétravail augmente le rendement et l’efficacité, accroît la satisfaction de l’employé et améliore l’équilibre entre le travail et la vie personnelle.</w:t>
      </w:r>
    </w:p>
    <w:p w14:paraId="059D4B66" w14:textId="77777777" w:rsidR="003F3C93" w:rsidRPr="003F3C93" w:rsidRDefault="003F3C93" w:rsidP="003F3C93">
      <w:pPr>
        <w:pStyle w:val="ListParagraph"/>
        <w:ind w:left="360"/>
        <w:rPr>
          <w:b/>
          <w:color w:val="000000" w:themeColor="text1"/>
        </w:rPr>
      </w:pPr>
    </w:p>
    <w:p w14:paraId="7E622F3D" w14:textId="77777777" w:rsidR="003F3C93" w:rsidRDefault="003F3C93" w:rsidP="003F3C93">
      <w:pPr>
        <w:pStyle w:val="ListParagraph"/>
        <w:numPr>
          <w:ilvl w:val="0"/>
          <w:numId w:val="17"/>
        </w:numPr>
        <w:rPr>
          <w:b/>
          <w:color w:val="000000" w:themeColor="text1"/>
        </w:rPr>
      </w:pPr>
      <w:r>
        <w:rPr>
          <w:b/>
          <w:color w:val="000000" w:themeColor="text1"/>
        </w:rPr>
        <w:t>Le télétravail deviendra-t-il obligatoire? Devrais-je travailler de mon domicile?</w:t>
      </w:r>
    </w:p>
    <w:p w14:paraId="17BB374A" w14:textId="77777777" w:rsidR="003F3C93" w:rsidRDefault="003F3C93" w:rsidP="003F3C93">
      <w:pPr>
        <w:pStyle w:val="ListParagraph"/>
        <w:numPr>
          <w:ilvl w:val="0"/>
          <w:numId w:val="20"/>
        </w:numPr>
        <w:rPr>
          <w:b/>
          <w:color w:val="000000" w:themeColor="text1"/>
        </w:rPr>
      </w:pPr>
      <w:r>
        <w:rPr>
          <w:color w:val="000000" w:themeColor="text1"/>
        </w:rPr>
        <w:t>Le télétravail reste une option volontaire qui doit être approuvée par votre gestionnaire. Nous encourageons tous les employés qui souhaiteraient tenter le télétravail à en discuter avec leur gestionnaire.</w:t>
      </w:r>
    </w:p>
    <w:p w14:paraId="0444DCBD" w14:textId="77777777" w:rsidR="003F3C93" w:rsidRDefault="003F3C93" w:rsidP="003F3C93">
      <w:pPr>
        <w:pStyle w:val="ListParagraph"/>
        <w:ind w:left="360"/>
        <w:rPr>
          <w:b/>
          <w:color w:val="000000" w:themeColor="text1"/>
        </w:rPr>
      </w:pPr>
    </w:p>
    <w:p w14:paraId="60D503BE" w14:textId="77777777" w:rsidR="003F3C93" w:rsidRDefault="003F3C93" w:rsidP="003F3C93">
      <w:pPr>
        <w:pStyle w:val="ListParagraph"/>
        <w:numPr>
          <w:ilvl w:val="0"/>
          <w:numId w:val="17"/>
        </w:numPr>
        <w:rPr>
          <w:b/>
          <w:color w:val="000000" w:themeColor="text1"/>
        </w:rPr>
      </w:pPr>
      <w:r>
        <w:rPr>
          <w:b/>
          <w:color w:val="000000" w:themeColor="text1"/>
        </w:rPr>
        <w:t>Comment le télétravail est-il lié à la modernisation du milieu de travail?</w:t>
      </w:r>
    </w:p>
    <w:p w14:paraId="66FD7BFE" w14:textId="134A0AED" w:rsidR="003F3C93" w:rsidRPr="003F3C93" w:rsidRDefault="003F3C93" w:rsidP="003F3C93">
      <w:pPr>
        <w:pStyle w:val="ListParagraph"/>
        <w:numPr>
          <w:ilvl w:val="0"/>
          <w:numId w:val="21"/>
        </w:numPr>
        <w:rPr>
          <w:b/>
          <w:color w:val="000000" w:themeColor="text1"/>
        </w:rPr>
      </w:pPr>
      <w:r>
        <w:t xml:space="preserve">La modernisation de notre milieu de travail constitue un changement de culture portant sur la </w:t>
      </w:r>
      <w:r>
        <w:rPr>
          <w:i/>
          <w:iCs/>
        </w:rPr>
        <w:t>manière</w:t>
      </w:r>
      <w:r>
        <w:t xml:space="preserve"> dont on fait le travail et non l’</w:t>
      </w:r>
      <w:r>
        <w:rPr>
          <w:i/>
          <w:iCs/>
        </w:rPr>
        <w:t>endroit</w:t>
      </w:r>
      <w:r>
        <w:t xml:space="preserve"> où on le fait.</w:t>
      </w:r>
      <w:r w:rsidR="00B85E5C">
        <w:t xml:space="preserve"> </w:t>
      </w:r>
      <w:r>
        <w:t>Le télétravail aide les employés à atteindre leurs objectifs en matière de rendement et de flexibilité, soit l’équilibre entre le travail et la vie personnelle.</w:t>
      </w:r>
    </w:p>
    <w:p w14:paraId="258AB5A9" w14:textId="77777777" w:rsidR="003F3C93" w:rsidRPr="003F3C93" w:rsidRDefault="003F3C93" w:rsidP="003F3C93">
      <w:pPr>
        <w:pStyle w:val="ListParagraph"/>
        <w:ind w:left="360"/>
        <w:rPr>
          <w:b/>
          <w:color w:val="000000" w:themeColor="text1"/>
        </w:rPr>
      </w:pPr>
    </w:p>
    <w:p w14:paraId="5567EDEF" w14:textId="77777777" w:rsidR="003F3C93" w:rsidRDefault="003F3C93" w:rsidP="003F3C93">
      <w:pPr>
        <w:pStyle w:val="ListParagraph"/>
        <w:numPr>
          <w:ilvl w:val="0"/>
          <w:numId w:val="17"/>
        </w:numPr>
        <w:rPr>
          <w:b/>
          <w:color w:val="000000" w:themeColor="text1"/>
        </w:rPr>
      </w:pPr>
      <w:r>
        <w:rPr>
          <w:b/>
          <w:color w:val="000000" w:themeColor="text1"/>
        </w:rPr>
        <w:t>Les heures de travail sont-elles différentes pour le télétravail?</w:t>
      </w:r>
    </w:p>
    <w:p w14:paraId="0F1FC5FD" w14:textId="77777777" w:rsidR="00C154EF" w:rsidRPr="003F3C93" w:rsidRDefault="003F3C93" w:rsidP="003F3C93">
      <w:pPr>
        <w:pStyle w:val="ListParagraph"/>
        <w:numPr>
          <w:ilvl w:val="0"/>
          <w:numId w:val="18"/>
        </w:numPr>
        <w:rPr>
          <w:b/>
          <w:color w:val="000000" w:themeColor="text1"/>
        </w:rPr>
      </w:pPr>
      <w:r>
        <w:t xml:space="preserve">Les conditions de télétravail doivent respecter les modalités d’emploi et les conventions collectives applicables, y compris les heures de travail. </w:t>
      </w:r>
    </w:p>
    <w:p w14:paraId="50FB3E6B" w14:textId="188716A5" w:rsidR="00DD295E" w:rsidRDefault="00DD295E" w:rsidP="00987561">
      <w:pPr>
        <w:pStyle w:val="Heading2"/>
        <w:spacing w:before="0"/>
      </w:pPr>
      <w:r>
        <w:lastRenderedPageBreak/>
        <w:t>Briser les mythes</w:t>
      </w:r>
    </w:p>
    <w:tbl>
      <w:tblPr>
        <w:tblStyle w:val="TableGrid"/>
        <w:tblW w:w="11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iser les mythes"/>
        <w:tblDescription w:val="Briser les mythes"/>
      </w:tblPr>
      <w:tblGrid>
        <w:gridCol w:w="5723"/>
        <w:gridCol w:w="5723"/>
      </w:tblGrid>
      <w:tr w:rsidR="00D2633C" w14:paraId="16049436" w14:textId="77777777" w:rsidTr="00F611ED">
        <w:trPr>
          <w:tblHeader/>
        </w:trPr>
        <w:tc>
          <w:tcPr>
            <w:tcW w:w="11446" w:type="dxa"/>
            <w:gridSpan w:val="2"/>
          </w:tcPr>
          <w:p w14:paraId="519681F6" w14:textId="2D597116" w:rsidR="00D2633C" w:rsidRPr="00D2633C" w:rsidRDefault="00D2633C" w:rsidP="00D2633C">
            <w:pPr>
              <w:jc w:val="both"/>
              <w:rPr>
                <w:b/>
              </w:rPr>
            </w:pPr>
            <w:r>
              <w:rPr>
                <w:b/>
              </w:rPr>
              <w:t>« Le télétravail est synonyme d’heures de travail prolongées</w:t>
            </w:r>
            <w:r w:rsidR="00A20E52">
              <w:rPr>
                <w:b/>
              </w:rPr>
              <w:t>.</w:t>
            </w:r>
            <w:r>
              <w:rPr>
                <w:b/>
              </w:rPr>
              <w:t> »</w:t>
            </w:r>
          </w:p>
        </w:tc>
      </w:tr>
      <w:tr w:rsidR="00D2633C" w14:paraId="463C714B" w14:textId="77777777" w:rsidTr="00D2633C">
        <w:tc>
          <w:tcPr>
            <w:tcW w:w="5723" w:type="dxa"/>
          </w:tcPr>
          <w:p w14:paraId="48B686ED" w14:textId="2D409185" w:rsidR="00D2633C" w:rsidRDefault="00D2633C" w:rsidP="00A20E52">
            <w:pPr>
              <w:jc w:val="both"/>
            </w:pPr>
            <w:r>
              <w:t xml:space="preserve">Ce mythe peut être vrai pour certains employés, mais même les employés qui ne sont pas en télétravail peuvent travailler plus longtemps au bureau. Les télétravailleurs efficaces peuvent effectuer leurs tâches de façon plus productive et dans un </w:t>
            </w:r>
            <w:r w:rsidR="00A20E52">
              <w:t xml:space="preserve">milieu </w:t>
            </w:r>
            <w:r>
              <w:t>plus confortable, ce qui aide à contribuer à un meilleur équilibre travail/vie personnelle.</w:t>
            </w:r>
          </w:p>
        </w:tc>
        <w:tc>
          <w:tcPr>
            <w:tcW w:w="5723" w:type="dxa"/>
            <w:shd w:val="clear" w:color="auto" w:fill="EDF5E3" w:themeFill="accent1" w:themeFillTint="33"/>
          </w:tcPr>
          <w:p w14:paraId="1D630B7D" w14:textId="77777777" w:rsidR="00D2633C" w:rsidRPr="006C6682" w:rsidRDefault="00D2633C" w:rsidP="00D2633C">
            <w:pPr>
              <w:jc w:val="both"/>
              <w:rPr>
                <w:i/>
                <w:sz w:val="20"/>
                <w:szCs w:val="20"/>
              </w:rPr>
            </w:pPr>
            <w:r>
              <w:rPr>
                <w:i/>
                <w:sz w:val="20"/>
                <w:szCs w:val="20"/>
              </w:rPr>
              <w:t>Conseils</w:t>
            </w:r>
          </w:p>
          <w:p w14:paraId="7BBC88A2" w14:textId="3123227A" w:rsidR="00D2633C" w:rsidRPr="006C6682" w:rsidRDefault="006C6682" w:rsidP="00D2633C">
            <w:pPr>
              <w:pStyle w:val="ListParagraph"/>
              <w:numPr>
                <w:ilvl w:val="0"/>
                <w:numId w:val="6"/>
              </w:numPr>
              <w:jc w:val="both"/>
              <w:rPr>
                <w:i/>
                <w:sz w:val="20"/>
                <w:szCs w:val="20"/>
              </w:rPr>
            </w:pPr>
            <w:r>
              <w:rPr>
                <w:i/>
                <w:sz w:val="20"/>
                <w:szCs w:val="20"/>
              </w:rPr>
              <w:t xml:space="preserve">Discutez avec votre gestionnaire de vos heures de début et de fin de travail préférées qui s’inscrivent dans les horaires de travail de base, à savoir </w:t>
            </w:r>
            <w:r w:rsidR="00A20E52">
              <w:rPr>
                <w:i/>
                <w:sz w:val="20"/>
                <w:szCs w:val="20"/>
              </w:rPr>
              <w:t>entre</w:t>
            </w:r>
            <w:r>
              <w:rPr>
                <w:i/>
                <w:sz w:val="20"/>
                <w:szCs w:val="20"/>
              </w:rPr>
              <w:t xml:space="preserve"> 7 h </w:t>
            </w:r>
            <w:r w:rsidR="00A20E52">
              <w:rPr>
                <w:i/>
                <w:sz w:val="20"/>
                <w:szCs w:val="20"/>
              </w:rPr>
              <w:t>et</w:t>
            </w:r>
            <w:r>
              <w:rPr>
                <w:i/>
                <w:sz w:val="20"/>
                <w:szCs w:val="20"/>
              </w:rPr>
              <w:t xml:space="preserve"> 18 h.</w:t>
            </w:r>
          </w:p>
          <w:p w14:paraId="0AD2A0F9" w14:textId="4DAAC913" w:rsidR="006F4806" w:rsidRDefault="006C6682" w:rsidP="008D0668">
            <w:pPr>
              <w:pStyle w:val="ListParagraph"/>
              <w:numPr>
                <w:ilvl w:val="0"/>
                <w:numId w:val="6"/>
              </w:numPr>
              <w:jc w:val="both"/>
              <w:rPr>
                <w:i/>
                <w:sz w:val="20"/>
                <w:szCs w:val="20"/>
              </w:rPr>
            </w:pPr>
            <w:r>
              <w:rPr>
                <w:i/>
                <w:sz w:val="20"/>
                <w:szCs w:val="20"/>
              </w:rPr>
              <w:t>Veillez à ce que votre gestionnaire vous fixe des objectifs de rendement clairs (à court et à long terme</w:t>
            </w:r>
            <w:r w:rsidR="00A20E52">
              <w:rPr>
                <w:i/>
                <w:sz w:val="20"/>
                <w:szCs w:val="20"/>
              </w:rPr>
              <w:t>s</w:t>
            </w:r>
            <w:r>
              <w:rPr>
                <w:i/>
                <w:sz w:val="20"/>
                <w:szCs w:val="20"/>
              </w:rPr>
              <w:t>).</w:t>
            </w:r>
          </w:p>
          <w:p w14:paraId="4D761625" w14:textId="0569114A" w:rsidR="00D2633C" w:rsidRPr="006C6682" w:rsidRDefault="006F4806" w:rsidP="008D0668">
            <w:pPr>
              <w:pStyle w:val="ListParagraph"/>
              <w:numPr>
                <w:ilvl w:val="0"/>
                <w:numId w:val="6"/>
              </w:numPr>
              <w:jc w:val="both"/>
              <w:rPr>
                <w:i/>
                <w:sz w:val="20"/>
                <w:szCs w:val="20"/>
              </w:rPr>
            </w:pPr>
            <w:r>
              <w:rPr>
                <w:i/>
                <w:sz w:val="20"/>
                <w:szCs w:val="20"/>
              </w:rPr>
              <w:t>Si vous avez des inquiétudes, discutez-en avec votre gestionnaire.</w:t>
            </w:r>
          </w:p>
        </w:tc>
      </w:tr>
      <w:tr w:rsidR="00D2633C" w14:paraId="469056AC" w14:textId="77777777" w:rsidTr="00D2633C">
        <w:tc>
          <w:tcPr>
            <w:tcW w:w="11446" w:type="dxa"/>
            <w:gridSpan w:val="2"/>
          </w:tcPr>
          <w:p w14:paraId="74F3A505" w14:textId="77777777" w:rsidR="00D2633C" w:rsidRPr="00AD4CCF" w:rsidRDefault="00D2633C" w:rsidP="00D2633C">
            <w:pPr>
              <w:jc w:val="both"/>
              <w:rPr>
                <w:b/>
              </w:rPr>
            </w:pPr>
          </w:p>
          <w:p w14:paraId="420EA302" w14:textId="2BF0CBF9" w:rsidR="00D2633C" w:rsidRPr="006C6682" w:rsidRDefault="00D2633C" w:rsidP="00D2633C">
            <w:pPr>
              <w:jc w:val="both"/>
              <w:rPr>
                <w:b/>
              </w:rPr>
            </w:pPr>
            <w:r>
              <w:rPr>
                <w:b/>
              </w:rPr>
              <w:t>« Les télétravailleurs seront moins productifs que s’ils étaient dans le milieu de travail désigné</w:t>
            </w:r>
            <w:r w:rsidR="00A20E52">
              <w:rPr>
                <w:b/>
              </w:rPr>
              <w:t>.</w:t>
            </w:r>
            <w:r>
              <w:rPr>
                <w:b/>
              </w:rPr>
              <w:t> »</w:t>
            </w:r>
            <w:r>
              <w:t xml:space="preserve"> </w:t>
            </w:r>
          </w:p>
        </w:tc>
      </w:tr>
      <w:tr w:rsidR="00D2633C" w14:paraId="7640D782" w14:textId="77777777" w:rsidTr="007A4665">
        <w:tc>
          <w:tcPr>
            <w:tcW w:w="5723" w:type="dxa"/>
          </w:tcPr>
          <w:p w14:paraId="2A59E13F" w14:textId="60EB7BB5" w:rsidR="00D2633C" w:rsidRDefault="00D2633C" w:rsidP="00D2633C">
            <w:pPr>
              <w:pStyle w:val="NoSpacing"/>
              <w:jc w:val="both"/>
              <w:rPr>
                <w:rFonts w:cstheme="minorHAnsi"/>
                <w:color w:val="000000" w:themeColor="text1"/>
              </w:rPr>
            </w:pPr>
            <w:r>
              <w:rPr>
                <w:color w:val="000000" w:themeColor="text1"/>
              </w:rPr>
              <w:t xml:space="preserve">Il est reconnu que le télétravail augmente le rendement. Cela est particulièrement vrai lorsque les conditions de travail sont inhabituelles (conditions météorologiques extrêmes, urgences, maladies, etc.); dans de telles circonstances, les perturbations sont pratiquement inexistantes pour les télétravailleurs. </w:t>
            </w:r>
            <w:r w:rsidR="005B75BF">
              <w:rPr>
                <w:color w:val="000000" w:themeColor="text1"/>
              </w:rPr>
              <w:t>En bout de ligne, v</w:t>
            </w:r>
            <w:r>
              <w:rPr>
                <w:color w:val="000000" w:themeColor="text1"/>
              </w:rPr>
              <w:t>ous êtes responsable de votre rendement et de votre apprentissage.</w:t>
            </w:r>
          </w:p>
          <w:p w14:paraId="552302C8" w14:textId="77777777" w:rsidR="00062B07" w:rsidRPr="00D2633C" w:rsidRDefault="00062B07" w:rsidP="00D2633C">
            <w:pPr>
              <w:pStyle w:val="NoSpacing"/>
              <w:jc w:val="both"/>
              <w:rPr>
                <w:rFonts w:cstheme="minorHAnsi"/>
                <w:color w:val="000000" w:themeColor="text1"/>
              </w:rPr>
            </w:pPr>
          </w:p>
        </w:tc>
        <w:tc>
          <w:tcPr>
            <w:tcW w:w="5723" w:type="dxa"/>
            <w:shd w:val="clear" w:color="auto" w:fill="EDF5E3" w:themeFill="accent1" w:themeFillTint="33"/>
          </w:tcPr>
          <w:p w14:paraId="3B2E84C7" w14:textId="77777777" w:rsidR="00D2633C" w:rsidRPr="006C6682" w:rsidRDefault="00D2633C" w:rsidP="00D2633C">
            <w:pPr>
              <w:pStyle w:val="NoSpacing"/>
              <w:jc w:val="both"/>
              <w:rPr>
                <w:rFonts w:cstheme="minorHAnsi"/>
                <w:i/>
                <w:color w:val="000000" w:themeColor="text1"/>
                <w:sz w:val="20"/>
                <w:szCs w:val="20"/>
              </w:rPr>
            </w:pPr>
            <w:r>
              <w:rPr>
                <w:i/>
                <w:color w:val="000000" w:themeColor="text1"/>
                <w:sz w:val="20"/>
                <w:szCs w:val="20"/>
              </w:rPr>
              <w:t>Conseils</w:t>
            </w:r>
          </w:p>
          <w:p w14:paraId="02A8A322" w14:textId="09CC3CA2" w:rsidR="006F4806" w:rsidRDefault="008D0668" w:rsidP="00D35CFE">
            <w:pPr>
              <w:pStyle w:val="ListParagraph"/>
              <w:numPr>
                <w:ilvl w:val="0"/>
                <w:numId w:val="6"/>
              </w:numPr>
              <w:jc w:val="both"/>
              <w:rPr>
                <w:i/>
                <w:sz w:val="20"/>
                <w:szCs w:val="20"/>
              </w:rPr>
            </w:pPr>
            <w:r>
              <w:rPr>
                <w:i/>
                <w:sz w:val="20"/>
                <w:szCs w:val="20"/>
              </w:rPr>
              <w:t>Vous seul savez où vous êtes le plus productif. Vous devrez peut-être essayer différentes options, puis vous pourrez discuter avec votre gestionnaire de celles que vous préférez et qui vous sont offertes.</w:t>
            </w:r>
          </w:p>
          <w:p w14:paraId="38858B61" w14:textId="006B4470" w:rsidR="00D2633C" w:rsidRPr="006C6682" w:rsidRDefault="00D2633C" w:rsidP="00D35CFE">
            <w:pPr>
              <w:pStyle w:val="ListParagraph"/>
              <w:ind w:left="501"/>
              <w:jc w:val="both"/>
            </w:pPr>
          </w:p>
        </w:tc>
      </w:tr>
      <w:tr w:rsidR="00D2633C" w14:paraId="69D28011" w14:textId="77777777" w:rsidTr="00D2633C">
        <w:tc>
          <w:tcPr>
            <w:tcW w:w="11446" w:type="dxa"/>
            <w:gridSpan w:val="2"/>
          </w:tcPr>
          <w:p w14:paraId="30989D2C" w14:textId="4FCDE2C7" w:rsidR="00D2633C" w:rsidRDefault="00D2633C" w:rsidP="00D2633C">
            <w:r>
              <w:rPr>
                <w:b/>
              </w:rPr>
              <w:t>« Le service à la clientèle sera réduit</w:t>
            </w:r>
            <w:r w:rsidR="00A20E52">
              <w:rPr>
                <w:b/>
              </w:rPr>
              <w:t>.</w:t>
            </w:r>
            <w:r>
              <w:rPr>
                <w:b/>
              </w:rPr>
              <w:t> »</w:t>
            </w:r>
          </w:p>
        </w:tc>
      </w:tr>
      <w:tr w:rsidR="00D2633C" w14:paraId="7CCDE0F8" w14:textId="77777777" w:rsidTr="007A4665">
        <w:tc>
          <w:tcPr>
            <w:tcW w:w="5723" w:type="dxa"/>
          </w:tcPr>
          <w:p w14:paraId="4B87F945" w14:textId="2BEE78F0" w:rsidR="006F4806" w:rsidRDefault="00D2633C">
            <w:pPr>
              <w:jc w:val="both"/>
            </w:pPr>
            <w:r>
              <w:t xml:space="preserve">De nombreuses tâches effectuées par les employés peuvent déjà être effectuées par téléphone, courrier électronique, téléconférence ou vidéoconférence et peuvent être facilement adaptées au télétravail sans incidence sur le service à la clientèle. Dans les cas où le service à la clientèle est assuré par téléphone, il peut être avantageux de se trouver dans un </w:t>
            </w:r>
            <w:r w:rsidR="00A20E52">
              <w:t xml:space="preserve">milieu </w:t>
            </w:r>
            <w:r>
              <w:t>plus calme que celui que peut offrir le domicile.</w:t>
            </w:r>
          </w:p>
          <w:p w14:paraId="3A72B7E4" w14:textId="2D83BF8E" w:rsidR="00D2633C" w:rsidRPr="00AD4CCF" w:rsidRDefault="00D2633C">
            <w:pPr>
              <w:jc w:val="both"/>
            </w:pPr>
          </w:p>
        </w:tc>
        <w:tc>
          <w:tcPr>
            <w:tcW w:w="5723" w:type="dxa"/>
            <w:shd w:val="clear" w:color="auto" w:fill="EDF5E3" w:themeFill="accent1" w:themeFillTint="33"/>
          </w:tcPr>
          <w:p w14:paraId="5E0567EA" w14:textId="77777777" w:rsidR="00D2633C" w:rsidRPr="006C6682" w:rsidRDefault="00D2633C" w:rsidP="00D2633C">
            <w:pPr>
              <w:jc w:val="both"/>
              <w:rPr>
                <w:i/>
                <w:sz w:val="20"/>
                <w:szCs w:val="20"/>
              </w:rPr>
            </w:pPr>
            <w:r>
              <w:rPr>
                <w:i/>
                <w:sz w:val="20"/>
                <w:szCs w:val="20"/>
              </w:rPr>
              <w:t>Conseils</w:t>
            </w:r>
          </w:p>
          <w:p w14:paraId="10705DCB" w14:textId="76A26820" w:rsidR="00D2633C" w:rsidRPr="006C6682" w:rsidRDefault="00062B07" w:rsidP="00D2633C">
            <w:pPr>
              <w:pStyle w:val="ListParagraph"/>
              <w:numPr>
                <w:ilvl w:val="0"/>
                <w:numId w:val="9"/>
              </w:numPr>
              <w:jc w:val="both"/>
              <w:rPr>
                <w:i/>
                <w:sz w:val="20"/>
                <w:szCs w:val="20"/>
              </w:rPr>
            </w:pPr>
            <w:r>
              <w:rPr>
                <w:i/>
                <w:sz w:val="20"/>
                <w:szCs w:val="20"/>
              </w:rPr>
              <w:t xml:space="preserve">Vous pouvez </w:t>
            </w:r>
            <w:r w:rsidR="00A20E52">
              <w:rPr>
                <w:i/>
                <w:sz w:val="20"/>
                <w:szCs w:val="20"/>
              </w:rPr>
              <w:t>conclure une entente</w:t>
            </w:r>
            <w:r>
              <w:rPr>
                <w:i/>
                <w:sz w:val="20"/>
                <w:szCs w:val="20"/>
              </w:rPr>
              <w:t xml:space="preserve"> pour faire du télétravail à temps partiel, ce qui vous permettra de rencontrer les clients en personne, au besoin.</w:t>
            </w:r>
          </w:p>
          <w:p w14:paraId="41CAE9CC" w14:textId="4F8184C4" w:rsidR="00D2633C" w:rsidRPr="00D35CFE" w:rsidRDefault="00062B07" w:rsidP="008D0668">
            <w:pPr>
              <w:pStyle w:val="ListParagraph"/>
              <w:numPr>
                <w:ilvl w:val="0"/>
                <w:numId w:val="9"/>
              </w:numPr>
              <w:jc w:val="both"/>
              <w:rPr>
                <w:i/>
              </w:rPr>
            </w:pPr>
            <w:r>
              <w:rPr>
                <w:i/>
                <w:sz w:val="20"/>
                <w:szCs w:val="20"/>
              </w:rPr>
              <w:t>Évaluez si certaines tâches actuelles pourraient être accomplies de manière plus efficace grâce à la numérisation.</w:t>
            </w:r>
          </w:p>
          <w:p w14:paraId="207801AA" w14:textId="692F29B0" w:rsidR="00062B07" w:rsidRPr="00D35CFE" w:rsidRDefault="00AB0DCF">
            <w:pPr>
              <w:pStyle w:val="ListParagraph"/>
              <w:numPr>
                <w:ilvl w:val="0"/>
                <w:numId w:val="9"/>
              </w:numPr>
              <w:jc w:val="both"/>
              <w:rPr>
                <w:i/>
              </w:rPr>
            </w:pPr>
            <w:r>
              <w:rPr>
                <w:i/>
                <w:sz w:val="20"/>
                <w:szCs w:val="20"/>
              </w:rPr>
              <w:t>Si vous devez être physiquement présent dans le milieu de travail en raison d’exigences opérationnelles, voyez avec votre gestionnaire s’il existe encore une possibilité de télétravail, peut-être à tour de rôle avec des collègues ou par l’entremise d’un autre arrangement.</w:t>
            </w:r>
          </w:p>
          <w:p w14:paraId="36E4A655" w14:textId="77777777" w:rsidR="00AB0DCF" w:rsidRPr="00AD4CCF" w:rsidRDefault="00AB0DCF" w:rsidP="00D35CFE">
            <w:pPr>
              <w:pStyle w:val="ListParagraph"/>
              <w:ind w:left="501"/>
              <w:jc w:val="both"/>
              <w:rPr>
                <w:i/>
              </w:rPr>
            </w:pPr>
          </w:p>
        </w:tc>
      </w:tr>
      <w:tr w:rsidR="00D2633C" w14:paraId="08E04AD0" w14:textId="77777777" w:rsidTr="00D2633C">
        <w:tc>
          <w:tcPr>
            <w:tcW w:w="11446" w:type="dxa"/>
            <w:gridSpan w:val="2"/>
          </w:tcPr>
          <w:p w14:paraId="013C7EFC" w14:textId="70C8E1E0" w:rsidR="00D2633C" w:rsidRPr="00D2633C" w:rsidRDefault="00D2633C" w:rsidP="00D2633C">
            <w:pPr>
              <w:jc w:val="both"/>
              <w:rPr>
                <w:b/>
              </w:rPr>
            </w:pPr>
            <w:r>
              <w:rPr>
                <w:b/>
              </w:rPr>
              <w:t>« Le télétravail et le travail d’équipe sont incompatibles</w:t>
            </w:r>
            <w:r w:rsidR="00A20E52">
              <w:rPr>
                <w:b/>
              </w:rPr>
              <w:t>.</w:t>
            </w:r>
            <w:r>
              <w:rPr>
                <w:b/>
              </w:rPr>
              <w:t> »</w:t>
            </w:r>
          </w:p>
        </w:tc>
      </w:tr>
      <w:tr w:rsidR="00D2633C" w14:paraId="740A2C18" w14:textId="77777777" w:rsidTr="00D2633C">
        <w:tc>
          <w:tcPr>
            <w:tcW w:w="5723" w:type="dxa"/>
          </w:tcPr>
          <w:p w14:paraId="1FA2C90F" w14:textId="469DBE0C" w:rsidR="00D2633C" w:rsidRPr="00D2633C" w:rsidRDefault="00D2633C" w:rsidP="00A20E52">
            <w:pPr>
              <w:jc w:val="both"/>
            </w:pPr>
            <w:r>
              <w:t>La plupart des équipes n’interagissent pas constamment les unes avec les autres; à la place, les membres d’équipe individuel</w:t>
            </w:r>
            <w:r w:rsidR="00A20E52">
              <w:t>s</w:t>
            </w:r>
            <w:r>
              <w:t xml:space="preserve"> effectuent souvent la plus grande partie de </w:t>
            </w:r>
            <w:proofErr w:type="gramStart"/>
            <w:r>
              <w:t>leur travail seul</w:t>
            </w:r>
            <w:r w:rsidR="00A20E52">
              <w:t>s</w:t>
            </w:r>
            <w:proofErr w:type="gramEnd"/>
            <w:r>
              <w:t xml:space="preserve"> en faisant des appels téléphoniques et en envoyant des courriels pour rester en contact et interagir les uns avec les autres. Les mêmes pratiques s’étendent au télétravail, où les membres d’équipes peuvent </w:t>
            </w:r>
            <w:r w:rsidR="00A20E52">
              <w:t>téléphoner</w:t>
            </w:r>
            <w:r>
              <w:t xml:space="preserve">, envoyer un courriel ou faire une vidéoconférence avec leurs collègues (la vidéoconférence pouvant également être utilisée pour tenir des réunions officielles). Les gestionnaires peuvent choisir d’établir un calendrier de réunion uniforme pour les membres de l’équipe, de façon à leur permettre d’interagir les </w:t>
            </w:r>
            <w:r>
              <w:lastRenderedPageBreak/>
              <w:t>uns avec les autres concernant les tâches actuelles et de se mettre à jour sur celles-ci.</w:t>
            </w:r>
          </w:p>
        </w:tc>
        <w:tc>
          <w:tcPr>
            <w:tcW w:w="5723" w:type="dxa"/>
            <w:shd w:val="clear" w:color="auto" w:fill="EDF5E3" w:themeFill="accent1" w:themeFillTint="33"/>
          </w:tcPr>
          <w:p w14:paraId="43080BF8" w14:textId="77777777" w:rsidR="00D2633C" w:rsidRPr="006C6682" w:rsidRDefault="00D2633C" w:rsidP="00D2633C">
            <w:pPr>
              <w:jc w:val="both"/>
              <w:rPr>
                <w:i/>
                <w:sz w:val="20"/>
                <w:szCs w:val="20"/>
              </w:rPr>
            </w:pPr>
            <w:r>
              <w:rPr>
                <w:i/>
                <w:sz w:val="20"/>
                <w:szCs w:val="20"/>
              </w:rPr>
              <w:lastRenderedPageBreak/>
              <w:t>Conseils</w:t>
            </w:r>
          </w:p>
          <w:p w14:paraId="2E86D4AC" w14:textId="2C9099C4" w:rsidR="00D2633C" w:rsidRDefault="00AD6886" w:rsidP="00D2633C">
            <w:pPr>
              <w:pStyle w:val="ListParagraph"/>
              <w:numPr>
                <w:ilvl w:val="0"/>
                <w:numId w:val="10"/>
              </w:numPr>
              <w:jc w:val="both"/>
              <w:rPr>
                <w:i/>
                <w:sz w:val="20"/>
                <w:szCs w:val="20"/>
              </w:rPr>
            </w:pPr>
            <w:r>
              <w:rPr>
                <w:i/>
                <w:sz w:val="20"/>
                <w:szCs w:val="20"/>
              </w:rPr>
              <w:t xml:space="preserve">À titre de gestionnaire, assurez-vous que vous avez une communication </w:t>
            </w:r>
            <w:r w:rsidR="00A20E52">
              <w:rPr>
                <w:i/>
                <w:sz w:val="20"/>
                <w:szCs w:val="20"/>
              </w:rPr>
              <w:t xml:space="preserve">fréquente </w:t>
            </w:r>
            <w:r>
              <w:rPr>
                <w:i/>
                <w:sz w:val="20"/>
                <w:szCs w:val="20"/>
              </w:rPr>
              <w:t>et utile avec vos employés.</w:t>
            </w:r>
          </w:p>
          <w:p w14:paraId="0599998A" w14:textId="293FB61D" w:rsidR="00A14552" w:rsidRPr="006C6682" w:rsidRDefault="00A14552" w:rsidP="00D2633C">
            <w:pPr>
              <w:pStyle w:val="ListParagraph"/>
              <w:numPr>
                <w:ilvl w:val="0"/>
                <w:numId w:val="10"/>
              </w:numPr>
              <w:jc w:val="both"/>
              <w:rPr>
                <w:i/>
                <w:sz w:val="20"/>
                <w:szCs w:val="20"/>
              </w:rPr>
            </w:pPr>
            <w:r>
              <w:rPr>
                <w:i/>
                <w:sz w:val="20"/>
                <w:szCs w:val="20"/>
              </w:rPr>
              <w:t>Discutez en équipe pour savoir s’il serait avantageux de convenir d’un jour où vous serez tous présents dans le milieu de travail à la même heure et planifiez les réunions de l’équipe en conséquence.</w:t>
            </w:r>
          </w:p>
          <w:p w14:paraId="70A3E872" w14:textId="23F0A6D1" w:rsidR="00AB0DCF" w:rsidRPr="00D35CFE" w:rsidRDefault="00D2633C">
            <w:pPr>
              <w:pStyle w:val="ListParagraph"/>
              <w:numPr>
                <w:ilvl w:val="0"/>
                <w:numId w:val="10"/>
              </w:numPr>
              <w:jc w:val="both"/>
              <w:rPr>
                <w:i/>
              </w:rPr>
            </w:pPr>
            <w:r>
              <w:rPr>
                <w:i/>
                <w:sz w:val="20"/>
                <w:szCs w:val="20"/>
              </w:rPr>
              <w:t xml:space="preserve">Mettez en place un système pour informer les autres de votre milieu de travail et </w:t>
            </w:r>
            <w:r w:rsidR="00A20E52">
              <w:rPr>
                <w:i/>
                <w:sz w:val="20"/>
                <w:szCs w:val="20"/>
              </w:rPr>
              <w:t xml:space="preserve">diffusez-leur </w:t>
            </w:r>
            <w:r>
              <w:rPr>
                <w:i/>
                <w:sz w:val="20"/>
                <w:szCs w:val="20"/>
              </w:rPr>
              <w:t>votre calendrier.</w:t>
            </w:r>
          </w:p>
          <w:p w14:paraId="5B1948C9" w14:textId="77777777" w:rsidR="00AD6886" w:rsidRPr="00AD4CCF" w:rsidRDefault="00AD6886" w:rsidP="00D35CFE">
            <w:pPr>
              <w:pStyle w:val="ListParagraph"/>
              <w:ind w:left="502"/>
              <w:jc w:val="both"/>
              <w:rPr>
                <w:i/>
              </w:rPr>
            </w:pPr>
          </w:p>
        </w:tc>
      </w:tr>
      <w:tr w:rsidR="00D2633C" w14:paraId="5816BE50" w14:textId="77777777" w:rsidTr="00D2633C">
        <w:tc>
          <w:tcPr>
            <w:tcW w:w="11446" w:type="dxa"/>
            <w:gridSpan w:val="2"/>
          </w:tcPr>
          <w:p w14:paraId="454A9632" w14:textId="77777777" w:rsidR="007A4665" w:rsidRPr="00AD4CCF" w:rsidRDefault="007A4665" w:rsidP="00D2633C">
            <w:pPr>
              <w:jc w:val="both"/>
              <w:rPr>
                <w:b/>
              </w:rPr>
            </w:pPr>
          </w:p>
          <w:p w14:paraId="5970D135" w14:textId="177045E9" w:rsidR="00D2633C" w:rsidRPr="00D2633C" w:rsidRDefault="00D2633C" w:rsidP="00D2633C">
            <w:pPr>
              <w:jc w:val="both"/>
              <w:rPr>
                <w:b/>
              </w:rPr>
            </w:pPr>
            <w:r>
              <w:rPr>
                <w:b/>
              </w:rPr>
              <w:t>« Un employé qui assume des tâches de supervision ne peut pas faire de télétravail</w:t>
            </w:r>
            <w:r w:rsidR="00A20E52">
              <w:rPr>
                <w:b/>
              </w:rPr>
              <w:t>.</w:t>
            </w:r>
            <w:r>
              <w:rPr>
                <w:b/>
              </w:rPr>
              <w:t> »</w:t>
            </w:r>
          </w:p>
        </w:tc>
      </w:tr>
      <w:tr w:rsidR="00D2633C" w14:paraId="50B1BFFE" w14:textId="77777777" w:rsidTr="00D2633C">
        <w:tc>
          <w:tcPr>
            <w:tcW w:w="5723" w:type="dxa"/>
          </w:tcPr>
          <w:p w14:paraId="7B8FD7A7" w14:textId="623C5EB7" w:rsidR="00D2633C" w:rsidRDefault="00D2633C" w:rsidP="00D2633C">
            <w:pPr>
              <w:jc w:val="both"/>
            </w:pPr>
            <w:r>
              <w:t xml:space="preserve">Le caractère unique de chaque poste dictera si un employé </w:t>
            </w:r>
            <w:r w:rsidR="00C156F4">
              <w:t>occupant</w:t>
            </w:r>
            <w:r>
              <w:t xml:space="preserve"> un poste de supervision peut travailler à distance (type de travail effectué, nombre de postes subalternes, etc.). Certains employés occupant un poste de supervision peuvent constater qu’ils peuvent travailler à distance à temps plein, tandis que d’autres peuvent seulement le faire à temps partiel, voire ne pas pouvoir le faire du tout.</w:t>
            </w:r>
          </w:p>
          <w:p w14:paraId="585124A4" w14:textId="77777777" w:rsidR="00A14552" w:rsidRPr="00AD4CCF" w:rsidRDefault="00A14552" w:rsidP="00D2633C">
            <w:pPr>
              <w:jc w:val="both"/>
            </w:pPr>
          </w:p>
        </w:tc>
        <w:tc>
          <w:tcPr>
            <w:tcW w:w="5723" w:type="dxa"/>
            <w:shd w:val="clear" w:color="auto" w:fill="EDF5E3" w:themeFill="accent1" w:themeFillTint="33"/>
          </w:tcPr>
          <w:p w14:paraId="3BF794E6" w14:textId="77777777" w:rsidR="00D2633C" w:rsidRPr="006C6682" w:rsidRDefault="00D2633C" w:rsidP="00D2633C">
            <w:pPr>
              <w:jc w:val="both"/>
              <w:rPr>
                <w:i/>
                <w:sz w:val="20"/>
                <w:szCs w:val="20"/>
              </w:rPr>
            </w:pPr>
            <w:r>
              <w:rPr>
                <w:i/>
                <w:sz w:val="20"/>
                <w:szCs w:val="20"/>
              </w:rPr>
              <w:t>Conseils</w:t>
            </w:r>
          </w:p>
          <w:p w14:paraId="241815EC" w14:textId="581971B3" w:rsidR="00D2633C" w:rsidRPr="006C6682" w:rsidRDefault="00E6640A" w:rsidP="00D2633C">
            <w:pPr>
              <w:pStyle w:val="ListParagraph"/>
              <w:numPr>
                <w:ilvl w:val="0"/>
                <w:numId w:val="11"/>
              </w:numPr>
              <w:jc w:val="both"/>
              <w:rPr>
                <w:i/>
                <w:sz w:val="20"/>
                <w:szCs w:val="20"/>
              </w:rPr>
            </w:pPr>
            <w:r>
              <w:rPr>
                <w:i/>
                <w:sz w:val="20"/>
                <w:szCs w:val="20"/>
              </w:rPr>
              <w:t>À titre de gestionnaire ou de superviseur, nous vous encourageons à travailler à distance quand c’est possible et approprié.</w:t>
            </w:r>
          </w:p>
          <w:p w14:paraId="67D0CF68" w14:textId="4926893C" w:rsidR="00D2633C" w:rsidRPr="00D2633C" w:rsidRDefault="00A14552" w:rsidP="00C156F4">
            <w:pPr>
              <w:pStyle w:val="ListParagraph"/>
              <w:numPr>
                <w:ilvl w:val="0"/>
                <w:numId w:val="11"/>
              </w:numPr>
              <w:jc w:val="both"/>
              <w:rPr>
                <w:i/>
              </w:rPr>
            </w:pPr>
            <w:r>
              <w:rPr>
                <w:i/>
                <w:sz w:val="20"/>
                <w:szCs w:val="20"/>
              </w:rPr>
              <w:t xml:space="preserve">À titre de gestionnaire ou de superviseur, vous devez vous assurer que vos employés savent comment et quand vous joindre; </w:t>
            </w:r>
            <w:r w:rsidR="00C156F4">
              <w:rPr>
                <w:i/>
                <w:sz w:val="20"/>
                <w:szCs w:val="20"/>
              </w:rPr>
              <w:t xml:space="preserve">leur transmettre </w:t>
            </w:r>
            <w:r>
              <w:rPr>
                <w:i/>
                <w:sz w:val="20"/>
                <w:szCs w:val="20"/>
              </w:rPr>
              <w:t>votre calendrier est une façon de le faire et de promouvoir la transparence.</w:t>
            </w:r>
          </w:p>
        </w:tc>
      </w:tr>
      <w:tr w:rsidR="00D2633C" w14:paraId="21CFC3DB" w14:textId="77777777" w:rsidTr="00D2633C">
        <w:tc>
          <w:tcPr>
            <w:tcW w:w="11446" w:type="dxa"/>
            <w:gridSpan w:val="2"/>
          </w:tcPr>
          <w:p w14:paraId="4E1F4CBD" w14:textId="07AE38A0" w:rsidR="00D2633C" w:rsidRPr="00D2633C" w:rsidRDefault="00D2633C" w:rsidP="00D2633C">
            <w:pPr>
              <w:rPr>
                <w:b/>
              </w:rPr>
            </w:pPr>
            <w:r>
              <w:rPr>
                <w:b/>
              </w:rPr>
              <w:t>« Tout le monde voudra le faire</w:t>
            </w:r>
            <w:r w:rsidR="00C156F4">
              <w:rPr>
                <w:b/>
              </w:rPr>
              <w:t>.</w:t>
            </w:r>
            <w:r>
              <w:rPr>
                <w:b/>
              </w:rPr>
              <w:t> »</w:t>
            </w:r>
          </w:p>
        </w:tc>
      </w:tr>
      <w:tr w:rsidR="00D2633C" w14:paraId="09AE5653" w14:textId="77777777" w:rsidTr="00D2633C">
        <w:tc>
          <w:tcPr>
            <w:tcW w:w="5723" w:type="dxa"/>
          </w:tcPr>
          <w:p w14:paraId="3A997031" w14:textId="666BA33A" w:rsidR="00D2633C" w:rsidRPr="00D2633C" w:rsidRDefault="00D2633C" w:rsidP="00C156F4">
            <w:pPr>
              <w:jc w:val="both"/>
            </w:pPr>
            <w:r>
              <w:t xml:space="preserve">Le télétravail n’est pas un avantage </w:t>
            </w:r>
            <w:r w:rsidR="00C156F4">
              <w:t>ni</w:t>
            </w:r>
            <w:r>
              <w:t xml:space="preserve"> un droit, mais tout simplement une option que vous pouvez envisager si votre travail le permet. Toutefois, le télétravail ne convient pas à tous : le type de travail que vous effectuez et votre rendement actuels seront pris en compte dans la décision d’approuver ou non votre entente de télétravail.</w:t>
            </w:r>
          </w:p>
        </w:tc>
        <w:tc>
          <w:tcPr>
            <w:tcW w:w="5723" w:type="dxa"/>
            <w:shd w:val="clear" w:color="auto" w:fill="EDF5E3" w:themeFill="accent1" w:themeFillTint="33"/>
          </w:tcPr>
          <w:p w14:paraId="2B71D427" w14:textId="77777777" w:rsidR="00D2633C" w:rsidRPr="006C6682" w:rsidRDefault="00D2633C" w:rsidP="00D2633C">
            <w:pPr>
              <w:jc w:val="both"/>
              <w:rPr>
                <w:rFonts w:cstheme="minorHAnsi"/>
                <w:i/>
                <w:sz w:val="20"/>
                <w:szCs w:val="20"/>
              </w:rPr>
            </w:pPr>
            <w:r>
              <w:rPr>
                <w:i/>
                <w:sz w:val="20"/>
                <w:szCs w:val="20"/>
              </w:rPr>
              <w:t>Conseils</w:t>
            </w:r>
          </w:p>
          <w:p w14:paraId="48E4B987" w14:textId="29C81A18" w:rsidR="00D2633C" w:rsidRPr="00D2633C" w:rsidRDefault="00A14552">
            <w:pPr>
              <w:pStyle w:val="NoSpacing"/>
              <w:numPr>
                <w:ilvl w:val="0"/>
                <w:numId w:val="13"/>
              </w:numPr>
              <w:rPr>
                <w:rFonts w:cstheme="minorHAnsi"/>
                <w:i/>
              </w:rPr>
            </w:pPr>
            <w:r>
              <w:rPr>
                <w:i/>
                <w:sz w:val="20"/>
                <w:szCs w:val="20"/>
              </w:rPr>
              <w:t>À titre de gestionnaire, vous devez réviser attentivement chaque demande de télétravail et prendre une décision selon les besoins organisationnels et les circonstances particulières de chaque employé.</w:t>
            </w:r>
          </w:p>
        </w:tc>
      </w:tr>
      <w:tr w:rsidR="00D2633C" w14:paraId="510F3EAD" w14:textId="77777777" w:rsidTr="00D2633C">
        <w:tc>
          <w:tcPr>
            <w:tcW w:w="11446" w:type="dxa"/>
            <w:gridSpan w:val="2"/>
          </w:tcPr>
          <w:p w14:paraId="00325F4F" w14:textId="77777777" w:rsidR="00D2633C" w:rsidRPr="00AD4CCF" w:rsidRDefault="00D2633C" w:rsidP="00D2633C">
            <w:pPr>
              <w:rPr>
                <w:b/>
              </w:rPr>
            </w:pPr>
          </w:p>
          <w:p w14:paraId="277F132C" w14:textId="1B35AD58" w:rsidR="00D2633C" w:rsidRPr="00D2633C" w:rsidRDefault="00D2633C" w:rsidP="00D2633C">
            <w:pPr>
              <w:rPr>
                <w:b/>
              </w:rPr>
            </w:pPr>
            <w:r>
              <w:rPr>
                <w:b/>
              </w:rPr>
              <w:t>« Les employés ne devraient pas travailler à distance lorsque des réunions sont prévues</w:t>
            </w:r>
            <w:r w:rsidR="00C156F4">
              <w:rPr>
                <w:b/>
              </w:rPr>
              <w:t>.</w:t>
            </w:r>
            <w:r>
              <w:rPr>
                <w:b/>
              </w:rPr>
              <w:t> »</w:t>
            </w:r>
          </w:p>
        </w:tc>
      </w:tr>
      <w:tr w:rsidR="00D2633C" w14:paraId="656E74D8" w14:textId="77777777" w:rsidTr="00D2633C">
        <w:tc>
          <w:tcPr>
            <w:tcW w:w="5723" w:type="dxa"/>
          </w:tcPr>
          <w:p w14:paraId="50E443D8" w14:textId="4A61DF81" w:rsidR="00D2633C" w:rsidRPr="00D2633C" w:rsidRDefault="00D957EC" w:rsidP="00C156F4">
            <w:pPr>
              <w:jc w:val="both"/>
            </w:pPr>
            <w:r>
              <w:t xml:space="preserve">Avec les nouvelles technologies </w:t>
            </w:r>
            <w:r w:rsidR="00C156F4">
              <w:t>offertes</w:t>
            </w:r>
            <w:r>
              <w:t xml:space="preserve">, il n’est pas toujours nécessaire d’être sur place pour une réunion. </w:t>
            </w:r>
            <w:proofErr w:type="spellStart"/>
            <w:r>
              <w:t>WebEx</w:t>
            </w:r>
            <w:proofErr w:type="spellEnd"/>
            <w:r>
              <w:t xml:space="preserve"> ou une téléconférence sont une excellente alternative aux réunions en personne.</w:t>
            </w:r>
          </w:p>
        </w:tc>
        <w:tc>
          <w:tcPr>
            <w:tcW w:w="5723" w:type="dxa"/>
            <w:shd w:val="clear" w:color="auto" w:fill="EDF5E3" w:themeFill="accent1" w:themeFillTint="33"/>
          </w:tcPr>
          <w:p w14:paraId="600B9CDE" w14:textId="77777777" w:rsidR="00D2633C" w:rsidRPr="006C6682" w:rsidRDefault="00D2633C" w:rsidP="00D2633C">
            <w:pPr>
              <w:jc w:val="both"/>
              <w:rPr>
                <w:i/>
                <w:sz w:val="20"/>
                <w:szCs w:val="20"/>
              </w:rPr>
            </w:pPr>
            <w:r>
              <w:rPr>
                <w:i/>
                <w:sz w:val="20"/>
                <w:szCs w:val="20"/>
              </w:rPr>
              <w:t>Conseils</w:t>
            </w:r>
          </w:p>
          <w:p w14:paraId="388DE3F7" w14:textId="41D232BC" w:rsidR="00D957EC" w:rsidRDefault="00D957EC">
            <w:pPr>
              <w:pStyle w:val="ListParagraph"/>
              <w:numPr>
                <w:ilvl w:val="0"/>
                <w:numId w:val="14"/>
              </w:numPr>
              <w:jc w:val="both"/>
              <w:rPr>
                <w:i/>
                <w:sz w:val="20"/>
                <w:szCs w:val="20"/>
              </w:rPr>
            </w:pPr>
            <w:r>
              <w:rPr>
                <w:i/>
                <w:sz w:val="20"/>
                <w:szCs w:val="20"/>
              </w:rPr>
              <w:t>Si vous devez être physiquement présent à une réunion, demandez à votre gestionnaire si vous pouvez commencer ou terminer votre journée sur votre site de télétravail (en fonction de l’heure de la réunion).</w:t>
            </w:r>
          </w:p>
          <w:p w14:paraId="366F431D" w14:textId="4C9F2D17" w:rsidR="00D2633C" w:rsidRPr="00AD4CCF" w:rsidRDefault="00D2633C" w:rsidP="00D35CFE">
            <w:pPr>
              <w:pStyle w:val="ListParagraph"/>
              <w:ind w:left="502"/>
              <w:jc w:val="both"/>
              <w:rPr>
                <w:i/>
                <w:sz w:val="20"/>
                <w:szCs w:val="20"/>
              </w:rPr>
            </w:pPr>
          </w:p>
        </w:tc>
      </w:tr>
      <w:tr w:rsidR="00D2633C" w14:paraId="5F1B12EA" w14:textId="77777777" w:rsidTr="00D2633C">
        <w:tc>
          <w:tcPr>
            <w:tcW w:w="11446" w:type="dxa"/>
            <w:gridSpan w:val="2"/>
          </w:tcPr>
          <w:p w14:paraId="59855CFB" w14:textId="77777777" w:rsidR="00D2633C" w:rsidRPr="00AD4CCF" w:rsidRDefault="00D2633C" w:rsidP="00D2633C">
            <w:pPr>
              <w:rPr>
                <w:b/>
              </w:rPr>
            </w:pPr>
          </w:p>
          <w:p w14:paraId="6C4CF334" w14:textId="5B930988" w:rsidR="00D2633C" w:rsidRPr="00D2633C" w:rsidRDefault="00D2633C" w:rsidP="00D2633C">
            <w:pPr>
              <w:rPr>
                <w:b/>
              </w:rPr>
            </w:pPr>
            <w:r>
              <w:rPr>
                <w:b/>
              </w:rPr>
              <w:t>« Les télétravailleurs ne sont pas là quand on a besoin d’eux</w:t>
            </w:r>
            <w:r w:rsidR="00C156F4">
              <w:rPr>
                <w:b/>
              </w:rPr>
              <w:t>.</w:t>
            </w:r>
            <w:r>
              <w:rPr>
                <w:b/>
              </w:rPr>
              <w:t> »</w:t>
            </w:r>
          </w:p>
        </w:tc>
      </w:tr>
      <w:tr w:rsidR="00D2633C" w14:paraId="58ABE3EE" w14:textId="77777777" w:rsidTr="00D2633C">
        <w:tc>
          <w:tcPr>
            <w:tcW w:w="5723" w:type="dxa"/>
          </w:tcPr>
          <w:p w14:paraId="2CB1931F" w14:textId="36A9C004" w:rsidR="00D2633C" w:rsidRPr="00D2633C" w:rsidRDefault="007A4665">
            <w:r>
              <w:t>Cela peut facilement être évité en établissant des directives pour que les employés soient disponibles pendant les heures de travail normales comme ils le seraient s’ils étaient au bureau. En instaurant une étiquette pour les temps de réponse aux appels manqués et aux courriels, ainsi que pour informer les autres employés et les gestionnaires lorsque vous serez indisponible pendant une période prolongée, vous devriez vous sentir à l’aise de vous éloigner quelques minutes sans que votre absence soit perçue comme une indisponibilité.</w:t>
            </w:r>
          </w:p>
        </w:tc>
        <w:tc>
          <w:tcPr>
            <w:tcW w:w="5723" w:type="dxa"/>
            <w:shd w:val="clear" w:color="auto" w:fill="EDF5E3" w:themeFill="accent1" w:themeFillTint="33"/>
          </w:tcPr>
          <w:p w14:paraId="3365C642" w14:textId="77777777" w:rsidR="00D2633C" w:rsidRPr="006C6682" w:rsidRDefault="00D2633C" w:rsidP="00D2633C">
            <w:pPr>
              <w:jc w:val="both"/>
              <w:rPr>
                <w:i/>
                <w:sz w:val="20"/>
                <w:szCs w:val="20"/>
              </w:rPr>
            </w:pPr>
            <w:r>
              <w:rPr>
                <w:i/>
                <w:sz w:val="20"/>
                <w:szCs w:val="20"/>
              </w:rPr>
              <w:t>Conseils</w:t>
            </w:r>
          </w:p>
          <w:p w14:paraId="62739C14" w14:textId="2F6AD1E8" w:rsidR="00D957EC" w:rsidRPr="00D35CFE" w:rsidRDefault="00D957EC" w:rsidP="005F2E08">
            <w:pPr>
              <w:pStyle w:val="ListParagraph"/>
              <w:numPr>
                <w:ilvl w:val="0"/>
                <w:numId w:val="15"/>
              </w:numPr>
              <w:jc w:val="both"/>
              <w:rPr>
                <w:i/>
              </w:rPr>
            </w:pPr>
            <w:r>
              <w:rPr>
                <w:i/>
                <w:sz w:val="20"/>
                <w:szCs w:val="20"/>
              </w:rPr>
              <w:t>L</w:t>
            </w:r>
            <w:r w:rsidR="00C156F4">
              <w:rPr>
                <w:i/>
                <w:sz w:val="20"/>
                <w:szCs w:val="20"/>
              </w:rPr>
              <w:t>a transmission</w:t>
            </w:r>
            <w:r>
              <w:rPr>
                <w:i/>
                <w:sz w:val="20"/>
                <w:szCs w:val="20"/>
              </w:rPr>
              <w:t xml:space="preserve"> de</w:t>
            </w:r>
            <w:r w:rsidR="00C156F4">
              <w:rPr>
                <w:i/>
                <w:sz w:val="20"/>
                <w:szCs w:val="20"/>
              </w:rPr>
              <w:t xml:space="preserve"> votre</w:t>
            </w:r>
            <w:r>
              <w:rPr>
                <w:i/>
                <w:sz w:val="20"/>
                <w:szCs w:val="20"/>
              </w:rPr>
              <w:t xml:space="preserve"> calendrier </w:t>
            </w:r>
            <w:r w:rsidR="00C156F4">
              <w:rPr>
                <w:i/>
                <w:sz w:val="20"/>
                <w:szCs w:val="20"/>
              </w:rPr>
              <w:t>à</w:t>
            </w:r>
            <w:r>
              <w:rPr>
                <w:i/>
                <w:sz w:val="20"/>
                <w:szCs w:val="20"/>
              </w:rPr>
              <w:t xml:space="preserve"> votre gestionnaire et </w:t>
            </w:r>
            <w:r w:rsidR="00C156F4">
              <w:rPr>
                <w:i/>
                <w:sz w:val="20"/>
                <w:szCs w:val="20"/>
              </w:rPr>
              <w:t xml:space="preserve">aux </w:t>
            </w:r>
            <w:r>
              <w:rPr>
                <w:i/>
                <w:sz w:val="20"/>
                <w:szCs w:val="20"/>
              </w:rPr>
              <w:t>membres de votre équipe est un excellent moyen pour eux de savoir quand vous êtes disponible ou en réunion.</w:t>
            </w:r>
          </w:p>
          <w:p w14:paraId="693EAF65" w14:textId="433F93E4" w:rsidR="005F2E08" w:rsidRPr="00D35CFE" w:rsidRDefault="00D957EC">
            <w:pPr>
              <w:pStyle w:val="ListParagraph"/>
              <w:numPr>
                <w:ilvl w:val="0"/>
                <w:numId w:val="15"/>
              </w:numPr>
              <w:jc w:val="both"/>
              <w:rPr>
                <w:i/>
              </w:rPr>
            </w:pPr>
            <w:r>
              <w:rPr>
                <w:i/>
                <w:sz w:val="20"/>
                <w:szCs w:val="20"/>
              </w:rPr>
              <w:t>Utilisez le statut dans votre logiciel de messagerie instantanée pour indiquer votre statut (en appel, en réunion, au déjeuner, etc.).</w:t>
            </w:r>
          </w:p>
          <w:p w14:paraId="08379DC3" w14:textId="293837DD" w:rsidR="00D2633C" w:rsidRPr="00AD4CCF" w:rsidRDefault="00D2633C" w:rsidP="00D35CFE">
            <w:pPr>
              <w:pStyle w:val="ListParagraph"/>
              <w:ind w:left="502"/>
              <w:jc w:val="both"/>
              <w:rPr>
                <w:i/>
              </w:rPr>
            </w:pPr>
          </w:p>
        </w:tc>
      </w:tr>
    </w:tbl>
    <w:p w14:paraId="5554141A" w14:textId="77777777" w:rsidR="00D2633C" w:rsidRPr="00AD4CCF" w:rsidRDefault="00D2633C" w:rsidP="00D2633C">
      <w:pPr>
        <w:spacing w:after="0"/>
        <w:jc w:val="both"/>
        <w:rPr>
          <w:b/>
        </w:rPr>
      </w:pPr>
    </w:p>
    <w:p w14:paraId="1593FFD7" w14:textId="6CC3EE07" w:rsidR="00DD295E" w:rsidRDefault="00DD295E" w:rsidP="00987561">
      <w:pPr>
        <w:pStyle w:val="Heading2"/>
      </w:pPr>
      <w:r>
        <w:t>Pratiques exemplaires</w:t>
      </w:r>
    </w:p>
    <w:tbl>
      <w:tblPr>
        <w:tblStyle w:val="TableGrid"/>
        <w:tblW w:w="11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ratiques exemplaires"/>
        <w:tblDescription w:val="Pratiques exemplaires"/>
      </w:tblPr>
      <w:tblGrid>
        <w:gridCol w:w="5723"/>
        <w:gridCol w:w="5723"/>
      </w:tblGrid>
      <w:tr w:rsidR="007A4665" w14:paraId="1D47FF39" w14:textId="77777777" w:rsidTr="00F611ED">
        <w:trPr>
          <w:tblHeader/>
        </w:trPr>
        <w:tc>
          <w:tcPr>
            <w:tcW w:w="11446" w:type="dxa"/>
            <w:gridSpan w:val="2"/>
          </w:tcPr>
          <w:p w14:paraId="69CA9F23" w14:textId="338F6D18" w:rsidR="007A4665" w:rsidRPr="00D2633C" w:rsidRDefault="003510BC" w:rsidP="00F611ED">
            <w:pPr>
              <w:jc w:val="both"/>
              <w:rPr>
                <w:b/>
              </w:rPr>
            </w:pPr>
            <w:bookmarkStart w:id="0" w:name="_GoBack" w:colFirst="0" w:colLast="1"/>
            <w:r>
              <w:rPr>
                <w:b/>
              </w:rPr>
              <w:t>Élaboration d’une charte d’équipe.</w:t>
            </w:r>
          </w:p>
        </w:tc>
      </w:tr>
      <w:tr w:rsidR="007A4665" w14:paraId="030A5A03" w14:textId="77777777" w:rsidTr="007A4665">
        <w:tc>
          <w:tcPr>
            <w:tcW w:w="5723" w:type="dxa"/>
          </w:tcPr>
          <w:p w14:paraId="6E16EAB2" w14:textId="0AEE3F41" w:rsidR="003510BC" w:rsidRDefault="003510BC">
            <w:pPr>
              <w:jc w:val="both"/>
            </w:pPr>
            <w:r>
              <w:t xml:space="preserve">Un excellent moyen de favoriser l’esprit d’équipe et le moral des troupes, et d’assurer une communication claire entre les </w:t>
            </w:r>
            <w:r>
              <w:lastRenderedPageBreak/>
              <w:t>membres de l’équipe est de créer une charte d’équipe. Cela peut permettre aux membres de l’équipe virtuelle de définir collectivement les valeurs et les procédures communes à respecter, de fournir un ensemble concret de points de référence pour l’exploitation d’un lieu de travail virtuel et de favoriser l’acceptation et l’enthousiasme général à l’égard des objectifs de l’équipe.</w:t>
            </w:r>
          </w:p>
        </w:tc>
        <w:tc>
          <w:tcPr>
            <w:tcW w:w="5723" w:type="dxa"/>
            <w:shd w:val="clear" w:color="auto" w:fill="EDF5E3" w:themeFill="accent1" w:themeFillTint="33"/>
          </w:tcPr>
          <w:p w14:paraId="0036A953" w14:textId="77777777" w:rsidR="007A4665" w:rsidRPr="006C6682" w:rsidRDefault="007A4665" w:rsidP="007A4665">
            <w:pPr>
              <w:jc w:val="both"/>
              <w:rPr>
                <w:i/>
                <w:sz w:val="20"/>
                <w:szCs w:val="20"/>
              </w:rPr>
            </w:pPr>
            <w:r>
              <w:rPr>
                <w:i/>
                <w:sz w:val="20"/>
                <w:szCs w:val="20"/>
              </w:rPr>
              <w:lastRenderedPageBreak/>
              <w:t>Conseils</w:t>
            </w:r>
          </w:p>
          <w:p w14:paraId="130D5F36" w14:textId="3428C8A6" w:rsidR="007A4665" w:rsidRPr="007A4665" w:rsidRDefault="003510BC">
            <w:pPr>
              <w:pStyle w:val="ListParagraph"/>
              <w:numPr>
                <w:ilvl w:val="0"/>
                <w:numId w:val="6"/>
              </w:numPr>
              <w:jc w:val="both"/>
              <w:rPr>
                <w:i/>
              </w:rPr>
            </w:pPr>
            <w:r>
              <w:rPr>
                <w:i/>
                <w:sz w:val="20"/>
                <w:szCs w:val="20"/>
              </w:rPr>
              <w:lastRenderedPageBreak/>
              <w:t>Organiser une séance de remue-méninges avec l’équipe à propos des éléments qui, selon les membres, devraient figurer dans la charte, p. ex. les règles de base, les rôles et responsabilités, les styles de communication, la fréquence des communications, la langue de travail utilisée, les mécanismes et les objectifs mesurables.</w:t>
            </w:r>
          </w:p>
        </w:tc>
      </w:tr>
      <w:tr w:rsidR="003510BC" w:rsidRPr="00D2633C" w14:paraId="0E3FD4F9" w14:textId="77777777" w:rsidTr="00F611ED">
        <w:tc>
          <w:tcPr>
            <w:tcW w:w="11446" w:type="dxa"/>
            <w:gridSpan w:val="2"/>
          </w:tcPr>
          <w:p w14:paraId="7AB1B37E" w14:textId="40D4E14D" w:rsidR="003510BC" w:rsidRPr="00AD4CCF" w:rsidRDefault="003510BC" w:rsidP="00F611ED">
            <w:pPr>
              <w:jc w:val="both"/>
              <w:rPr>
                <w:b/>
              </w:rPr>
            </w:pPr>
          </w:p>
        </w:tc>
      </w:tr>
      <w:tr w:rsidR="003510BC" w:rsidRPr="007A4665" w14:paraId="60997F6B" w14:textId="77777777" w:rsidTr="00F611ED">
        <w:tc>
          <w:tcPr>
            <w:tcW w:w="5723" w:type="dxa"/>
          </w:tcPr>
          <w:p w14:paraId="76305D5B" w14:textId="065FF4A6" w:rsidR="00385B77" w:rsidRDefault="00385B77" w:rsidP="00385B77">
            <w:pPr>
              <w:jc w:val="both"/>
              <w:rPr>
                <w:b/>
              </w:rPr>
            </w:pPr>
            <w:r>
              <w:rPr>
                <w:b/>
              </w:rPr>
              <w:t xml:space="preserve">Favoriser l’esprit d’équipe. </w:t>
            </w:r>
          </w:p>
          <w:p w14:paraId="6DB12F74" w14:textId="1BA6690A" w:rsidR="00385B77" w:rsidRPr="00D35CFE" w:rsidRDefault="00385B77" w:rsidP="00385B77">
            <w:pPr>
              <w:jc w:val="both"/>
            </w:pPr>
            <w:r>
              <w:t xml:space="preserve">Que votre équipe travaille selon des horaires fixes de télétravail ou qu’elle soit entièrement mobile (y compris les membres de l’équipe situés dans d’autres villes), il est important de prévoir du temps pour la consolidation de l’équipe. Plutôt que de s’appuyer sur des rencontres et des conversations impromptues, qui ont tendance à se produire lorsque les gens travaillent tous ensemble dans le même bureau, il faut probablement les planifier pour s’assurer que tous les membres de l’équipe sont disponibles. </w:t>
            </w:r>
          </w:p>
          <w:p w14:paraId="3422E2B7" w14:textId="77777777" w:rsidR="003510BC" w:rsidRPr="00AD4CCF" w:rsidRDefault="003510BC" w:rsidP="00F611ED">
            <w:pPr>
              <w:jc w:val="both"/>
              <w:rPr>
                <w:b/>
              </w:rPr>
            </w:pPr>
          </w:p>
          <w:p w14:paraId="41DA1306" w14:textId="2E796AF1" w:rsidR="00385B77" w:rsidRPr="00AD4CCF" w:rsidRDefault="00385B77" w:rsidP="00F611ED">
            <w:pPr>
              <w:jc w:val="both"/>
              <w:rPr>
                <w:b/>
              </w:rPr>
            </w:pPr>
          </w:p>
        </w:tc>
        <w:tc>
          <w:tcPr>
            <w:tcW w:w="5723" w:type="dxa"/>
            <w:shd w:val="clear" w:color="auto" w:fill="EDF5E3" w:themeFill="accent1" w:themeFillTint="33"/>
          </w:tcPr>
          <w:p w14:paraId="0638DD74" w14:textId="77777777" w:rsidR="005F2E08" w:rsidRPr="006C6682" w:rsidRDefault="005F2E08" w:rsidP="005F2E08">
            <w:pPr>
              <w:jc w:val="both"/>
              <w:rPr>
                <w:i/>
                <w:sz w:val="20"/>
                <w:szCs w:val="20"/>
              </w:rPr>
            </w:pPr>
            <w:r>
              <w:rPr>
                <w:i/>
                <w:sz w:val="20"/>
                <w:szCs w:val="20"/>
              </w:rPr>
              <w:t>Conseils</w:t>
            </w:r>
          </w:p>
          <w:p w14:paraId="0A9EBFFA" w14:textId="1471DA2D" w:rsidR="003510BC" w:rsidRPr="00D35CFE" w:rsidRDefault="005F2E08">
            <w:pPr>
              <w:pStyle w:val="ListParagraph"/>
              <w:numPr>
                <w:ilvl w:val="0"/>
                <w:numId w:val="6"/>
              </w:numPr>
              <w:jc w:val="both"/>
              <w:rPr>
                <w:i/>
              </w:rPr>
            </w:pPr>
            <w:r>
              <w:rPr>
                <w:i/>
                <w:sz w:val="20"/>
                <w:szCs w:val="20"/>
              </w:rPr>
              <w:t>Si tous les membres de votre équipe se trouvent dans la même ville, prévoyez une fois par semaine ou toutes les deux</w:t>
            </w:r>
            <w:r w:rsidR="00C156F4">
              <w:rPr>
                <w:i/>
                <w:sz w:val="20"/>
                <w:szCs w:val="20"/>
              </w:rPr>
              <w:t> </w:t>
            </w:r>
            <w:r>
              <w:rPr>
                <w:i/>
                <w:sz w:val="20"/>
                <w:szCs w:val="20"/>
              </w:rPr>
              <w:t xml:space="preserve">semaines un moment où vous vous réunissez tous dans un cadre plus </w:t>
            </w:r>
            <w:r w:rsidR="00C156F4">
              <w:rPr>
                <w:i/>
                <w:sz w:val="20"/>
                <w:szCs w:val="20"/>
              </w:rPr>
              <w:t xml:space="preserve">officieux </w:t>
            </w:r>
            <w:r>
              <w:rPr>
                <w:i/>
                <w:sz w:val="20"/>
                <w:szCs w:val="20"/>
              </w:rPr>
              <w:t>(p. ex. réunion hors site</w:t>
            </w:r>
            <w:r w:rsidR="00C156F4">
              <w:rPr>
                <w:i/>
                <w:sz w:val="20"/>
                <w:szCs w:val="20"/>
              </w:rPr>
              <w:t xml:space="preserve"> ou</w:t>
            </w:r>
            <w:r>
              <w:rPr>
                <w:i/>
                <w:sz w:val="20"/>
                <w:szCs w:val="20"/>
              </w:rPr>
              <w:t xml:space="preserve"> café matinal).</w:t>
            </w:r>
          </w:p>
          <w:p w14:paraId="4EE2746E" w14:textId="5A186B37" w:rsidR="005F2E08" w:rsidRPr="00D35CFE" w:rsidRDefault="005F2E08">
            <w:pPr>
              <w:pStyle w:val="ListParagraph"/>
              <w:numPr>
                <w:ilvl w:val="0"/>
                <w:numId w:val="6"/>
              </w:numPr>
              <w:jc w:val="both"/>
              <w:rPr>
                <w:i/>
              </w:rPr>
            </w:pPr>
            <w:r>
              <w:rPr>
                <w:i/>
                <w:sz w:val="20"/>
                <w:szCs w:val="20"/>
              </w:rPr>
              <w:t>Si votre équipe est dispersée et ne peut pas se réunir physiquement, assurez-vous qu’il y a un peu de temps au début des réunions d’équipe pour discuter de sujets non liés au travail. Vous pouvez également fixer une heure (en tenant compte des différents fuseaux horaires) pour une vidéoconférence où vous vous réunissez tous pour réfléchir ou discuter de divers sujets sans ordre du jour fixe (p. ex. une réunion hebdomadaire de 30 minutes devant un café, etc.)</w:t>
            </w:r>
          </w:p>
        </w:tc>
      </w:tr>
      <w:bookmarkEnd w:id="0"/>
    </w:tbl>
    <w:p w14:paraId="11143C42" w14:textId="77777777" w:rsidR="00D35CFE" w:rsidRPr="00AD4CCF" w:rsidRDefault="00D35CFE" w:rsidP="00D35CFE">
      <w:pPr>
        <w:rPr>
          <w:b/>
        </w:rPr>
      </w:pPr>
    </w:p>
    <w:p w14:paraId="3B4E14EE" w14:textId="77777777" w:rsidR="00D35CFE" w:rsidRPr="00D35CFE" w:rsidRDefault="00D35CFE" w:rsidP="00D35CFE"/>
    <w:sectPr w:rsidR="00D35CFE" w:rsidRPr="00D35CFE" w:rsidSect="00DD295E">
      <w:headerReference w:type="default" r:id="rId8"/>
      <w:footerReference w:type="default" r:id="rId9"/>
      <w:pgSz w:w="12240" w:h="15840"/>
      <w:pgMar w:top="510" w:right="510" w:bottom="510" w:left="51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37DFF4" w14:textId="77777777" w:rsidR="00F611ED" w:rsidRDefault="00F611ED" w:rsidP="00DD295E">
      <w:pPr>
        <w:spacing w:after="0" w:line="240" w:lineRule="auto"/>
      </w:pPr>
      <w:r>
        <w:separator/>
      </w:r>
    </w:p>
  </w:endnote>
  <w:endnote w:type="continuationSeparator" w:id="0">
    <w:p w14:paraId="4B606A8A" w14:textId="77777777" w:rsidR="00F611ED" w:rsidRDefault="00F611ED" w:rsidP="00DD2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14" w:type="pct"/>
      <w:tblCellMar>
        <w:top w:w="115" w:type="dxa"/>
        <w:left w:w="115" w:type="dxa"/>
        <w:bottom w:w="115" w:type="dxa"/>
        <w:right w:w="115" w:type="dxa"/>
      </w:tblCellMar>
      <w:tblLook w:val="04A0" w:firstRow="1" w:lastRow="0" w:firstColumn="1" w:lastColumn="0" w:noHBand="0" w:noVBand="1"/>
    </w:tblPr>
    <w:tblGrid>
      <w:gridCol w:w="10476"/>
      <w:gridCol w:w="551"/>
    </w:tblGrid>
    <w:tr w:rsidR="00F611ED" w14:paraId="238AB6B1" w14:textId="77777777" w:rsidTr="003F3C93">
      <w:trPr>
        <w:trHeight w:val="139"/>
      </w:trPr>
      <w:tc>
        <w:tcPr>
          <w:tcW w:w="10475" w:type="dxa"/>
          <w:tcBorders>
            <w:right w:val="single" w:sz="6" w:space="0" w:color="7F7F7F" w:themeColor="text2"/>
          </w:tcBorders>
          <w:vAlign w:val="center"/>
        </w:tcPr>
        <w:p w14:paraId="7161FB60" w14:textId="77777777" w:rsidR="00F611ED" w:rsidRPr="00D86297" w:rsidRDefault="00F611ED" w:rsidP="003F3C93">
          <w:pPr>
            <w:pStyle w:val="Header"/>
            <w:rPr>
              <w:caps/>
              <w:color w:val="7F7F7F" w:themeColor="text2"/>
            </w:rPr>
          </w:pPr>
          <w:r>
            <w:rPr>
              <w:caps/>
              <w:color w:val="7F7F7F" w:themeColor="text2"/>
            </w:rPr>
            <w:t>Centre d’expertise national de la gestion du changement en milieu de travail, janvier 2020</w:t>
          </w:r>
        </w:p>
      </w:tc>
      <w:tc>
        <w:tcPr>
          <w:tcW w:w="551" w:type="dxa"/>
          <w:tcBorders>
            <w:left w:val="single" w:sz="6" w:space="0" w:color="7F7F7F" w:themeColor="text2"/>
          </w:tcBorders>
          <w:shd w:val="clear" w:color="auto" w:fill="auto"/>
          <w:vAlign w:val="center"/>
        </w:tcPr>
        <w:p w14:paraId="56F5820B" w14:textId="30A6C4E4" w:rsidR="00F611ED" w:rsidRPr="00D86297" w:rsidRDefault="00F611ED" w:rsidP="003F3C93">
          <w:pPr>
            <w:pStyle w:val="Footer"/>
            <w:tabs>
              <w:tab w:val="clear" w:pos="4680"/>
              <w:tab w:val="clear" w:pos="9360"/>
            </w:tabs>
            <w:jc w:val="center"/>
            <w:rPr>
              <w:color w:val="7F7F7F" w:themeColor="text2"/>
            </w:rPr>
          </w:pPr>
          <w:r w:rsidRPr="00D86297">
            <w:rPr>
              <w:color w:val="7F7F7F" w:themeColor="text2"/>
            </w:rPr>
            <w:fldChar w:fldCharType="begin"/>
          </w:r>
          <w:r w:rsidRPr="00D86297">
            <w:rPr>
              <w:color w:val="7F7F7F" w:themeColor="text2"/>
            </w:rPr>
            <w:instrText xml:space="preserve"> PAGE   \* MERGEFORMAT </w:instrText>
          </w:r>
          <w:r w:rsidRPr="00D86297">
            <w:rPr>
              <w:color w:val="7F7F7F" w:themeColor="text2"/>
            </w:rPr>
            <w:fldChar w:fldCharType="separate"/>
          </w:r>
          <w:r w:rsidR="003C66B2">
            <w:rPr>
              <w:noProof/>
              <w:color w:val="7F7F7F" w:themeColor="text2"/>
            </w:rPr>
            <w:t>4</w:t>
          </w:r>
          <w:r w:rsidRPr="00D86297">
            <w:rPr>
              <w:color w:val="7F7F7F" w:themeColor="text2"/>
            </w:rPr>
            <w:fldChar w:fldCharType="end"/>
          </w:r>
        </w:p>
      </w:tc>
    </w:tr>
  </w:tbl>
  <w:p w14:paraId="1B8F5DD9" w14:textId="77777777" w:rsidR="00F611ED" w:rsidRDefault="00F611ED" w:rsidP="003F3C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DC69AF" w14:textId="77777777" w:rsidR="00F611ED" w:rsidRDefault="00F611ED" w:rsidP="00DD295E">
      <w:pPr>
        <w:spacing w:after="0" w:line="240" w:lineRule="auto"/>
      </w:pPr>
      <w:r>
        <w:separator/>
      </w:r>
    </w:p>
  </w:footnote>
  <w:footnote w:type="continuationSeparator" w:id="0">
    <w:p w14:paraId="2F9D643C" w14:textId="77777777" w:rsidR="00F611ED" w:rsidRDefault="00F611ED" w:rsidP="00DD29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9975D" w14:textId="7BBBFEC9" w:rsidR="00F611ED" w:rsidRDefault="00F611ED" w:rsidP="005D6F05">
    <w:pPr>
      <w:pStyle w:val="Header"/>
      <w:jc w:val="center"/>
    </w:pPr>
    <w:r>
      <w:rPr>
        <w:noProof/>
        <w:lang w:val="en-CA" w:eastAsia="en-CA"/>
      </w:rPr>
      <w:drawing>
        <wp:inline distT="0" distB="0" distL="0" distR="0" wp14:anchorId="762A6179" wp14:editId="4E9D616E">
          <wp:extent cx="7064458" cy="768835"/>
          <wp:effectExtent l="0" t="0" r="3175" b="0"/>
          <wp:docPr id="2" name="Picture 2" descr="C:\Users\tabakovi\AppData\Local\Microsoft\Windows\INetCache\Content.Word\Change Management Banner - French.png&#10;GCworkplace banner image" title="GCworkplace bann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abakovi\AppData\Local\Microsoft\Windows\INetCache\Content.Word\Change Management Banner - Frenc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1078" cy="778262"/>
                  </a:xfrm>
                  <a:prstGeom prst="rect">
                    <a:avLst/>
                  </a:prstGeom>
                  <a:noFill/>
                  <a:ln>
                    <a:noFill/>
                  </a:ln>
                </pic:spPr>
              </pic:pic>
            </a:graphicData>
          </a:graphic>
        </wp:inline>
      </w:drawing>
    </w:r>
  </w:p>
  <w:p w14:paraId="48E08CB9" w14:textId="77777777" w:rsidR="00F611ED" w:rsidRDefault="00F611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F2144"/>
    <w:multiLevelType w:val="hybridMultilevel"/>
    <w:tmpl w:val="B3DA56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76234D"/>
    <w:multiLevelType w:val="hybridMultilevel"/>
    <w:tmpl w:val="0CC8C8EA"/>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07564A"/>
    <w:multiLevelType w:val="hybridMultilevel"/>
    <w:tmpl w:val="71D2EA6A"/>
    <w:lvl w:ilvl="0" w:tplc="6C3CB2FE">
      <w:start w:val="1"/>
      <w:numFmt w:val="bullet"/>
      <w:lvlText w:val="R"/>
      <w:lvlJc w:val="left"/>
      <w:pPr>
        <w:ind w:left="360" w:hanging="360"/>
      </w:pPr>
      <w:rPr>
        <w:rFonts w:ascii="Calibri" w:hAnsi="Calibri" w:hint="default"/>
        <w:color w:val="000000" w:themeColor="text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6853EB2"/>
    <w:multiLevelType w:val="hybridMultilevel"/>
    <w:tmpl w:val="72ACC3CA"/>
    <w:lvl w:ilvl="0" w:tplc="6C3CB2FE">
      <w:start w:val="1"/>
      <w:numFmt w:val="bullet"/>
      <w:lvlText w:val="R"/>
      <w:lvlJc w:val="left"/>
      <w:pPr>
        <w:ind w:left="360" w:hanging="360"/>
      </w:pPr>
      <w:rPr>
        <w:rFonts w:ascii="Calibri" w:hAnsi="Calibri" w:hint="default"/>
        <w:color w:val="000000" w:themeColor="text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C1949FF"/>
    <w:multiLevelType w:val="hybridMultilevel"/>
    <w:tmpl w:val="7156941C"/>
    <w:lvl w:ilvl="0" w:tplc="5762C19E">
      <w:start w:val="1"/>
      <w:numFmt w:val="bullet"/>
      <w:lvlText w:val=""/>
      <w:lvlJc w:val="left"/>
      <w:pPr>
        <w:ind w:left="720" w:hanging="360"/>
      </w:pPr>
      <w:rPr>
        <w:rFonts w:ascii="Wingdings" w:hAnsi="Wingdings" w:hint="default"/>
        <w:color w:val="auto"/>
      </w:rPr>
    </w:lvl>
    <w:lvl w:ilvl="1" w:tplc="10090009">
      <w:start w:val="1"/>
      <w:numFmt w:val="bullet"/>
      <w:lvlText w:val=""/>
      <w:lvlJc w:val="left"/>
      <w:pPr>
        <w:ind w:left="1440" w:hanging="360"/>
      </w:pPr>
      <w:rPr>
        <w:rFonts w:ascii="Wingdings" w:hAnsi="Wingdings" w:hint="default"/>
        <w:color w:val="auto"/>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143049B"/>
    <w:multiLevelType w:val="hybridMultilevel"/>
    <w:tmpl w:val="A5821EEA"/>
    <w:lvl w:ilvl="0" w:tplc="1009000D">
      <w:start w:val="1"/>
      <w:numFmt w:val="bullet"/>
      <w:lvlText w:val=""/>
      <w:lvlJc w:val="left"/>
      <w:pPr>
        <w:ind w:left="502" w:hanging="360"/>
      </w:pPr>
      <w:rPr>
        <w:rFonts w:ascii="Wingdings" w:hAnsi="Wingdings"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6" w15:restartNumberingAfterBreak="0">
    <w:nsid w:val="34E02247"/>
    <w:multiLevelType w:val="hybridMultilevel"/>
    <w:tmpl w:val="917CB44E"/>
    <w:lvl w:ilvl="0" w:tplc="1009000D">
      <w:start w:val="1"/>
      <w:numFmt w:val="bullet"/>
      <w:lvlText w:val=""/>
      <w:lvlJc w:val="left"/>
      <w:pPr>
        <w:ind w:left="502" w:hanging="360"/>
      </w:pPr>
      <w:rPr>
        <w:rFonts w:ascii="Wingdings" w:hAnsi="Wingdings"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7" w15:restartNumberingAfterBreak="0">
    <w:nsid w:val="3D4D6F52"/>
    <w:multiLevelType w:val="hybridMultilevel"/>
    <w:tmpl w:val="B4C6C67A"/>
    <w:lvl w:ilvl="0" w:tplc="1009000D">
      <w:start w:val="1"/>
      <w:numFmt w:val="bullet"/>
      <w:lvlText w:val=""/>
      <w:lvlJc w:val="left"/>
      <w:pPr>
        <w:ind w:left="502" w:hanging="360"/>
      </w:pPr>
      <w:rPr>
        <w:rFonts w:ascii="Wingdings" w:hAnsi="Wingdings"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8" w15:restartNumberingAfterBreak="0">
    <w:nsid w:val="42823DA6"/>
    <w:multiLevelType w:val="hybridMultilevel"/>
    <w:tmpl w:val="8020CEB4"/>
    <w:lvl w:ilvl="0" w:tplc="6C3CB2FE">
      <w:start w:val="1"/>
      <w:numFmt w:val="bullet"/>
      <w:lvlText w:val="R"/>
      <w:lvlJc w:val="left"/>
      <w:pPr>
        <w:ind w:left="360" w:hanging="360"/>
      </w:pPr>
      <w:rPr>
        <w:rFonts w:ascii="Calibri" w:hAnsi="Calibri" w:hint="default"/>
        <w:color w:val="000000" w:themeColor="text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49341E73"/>
    <w:multiLevelType w:val="hybridMultilevel"/>
    <w:tmpl w:val="939424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A4461CB"/>
    <w:multiLevelType w:val="hybridMultilevel"/>
    <w:tmpl w:val="45B0E7BE"/>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4B745A99"/>
    <w:multiLevelType w:val="hybridMultilevel"/>
    <w:tmpl w:val="E4008E60"/>
    <w:lvl w:ilvl="0" w:tplc="1009000D">
      <w:start w:val="1"/>
      <w:numFmt w:val="bullet"/>
      <w:lvlText w:val=""/>
      <w:lvlJc w:val="left"/>
      <w:pPr>
        <w:ind w:left="502" w:hanging="360"/>
      </w:pPr>
      <w:rPr>
        <w:rFonts w:ascii="Wingdings" w:hAnsi="Wingdings"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12" w15:restartNumberingAfterBreak="0">
    <w:nsid w:val="4DDF39BE"/>
    <w:multiLevelType w:val="hybridMultilevel"/>
    <w:tmpl w:val="E8BC31AC"/>
    <w:lvl w:ilvl="0" w:tplc="1009000D">
      <w:start w:val="1"/>
      <w:numFmt w:val="bullet"/>
      <w:lvlText w:val=""/>
      <w:lvlJc w:val="left"/>
      <w:pPr>
        <w:ind w:left="501" w:hanging="360"/>
      </w:pPr>
      <w:rPr>
        <w:rFonts w:ascii="Wingdings" w:hAnsi="Wingdings" w:hint="default"/>
      </w:rPr>
    </w:lvl>
    <w:lvl w:ilvl="1" w:tplc="10090019">
      <w:start w:val="1"/>
      <w:numFmt w:val="lowerLetter"/>
      <w:lvlText w:val="%2."/>
      <w:lvlJc w:val="left"/>
      <w:pPr>
        <w:ind w:left="1221" w:hanging="360"/>
      </w:pPr>
    </w:lvl>
    <w:lvl w:ilvl="2" w:tplc="1009001B" w:tentative="1">
      <w:start w:val="1"/>
      <w:numFmt w:val="lowerRoman"/>
      <w:lvlText w:val="%3."/>
      <w:lvlJc w:val="right"/>
      <w:pPr>
        <w:ind w:left="1941" w:hanging="180"/>
      </w:pPr>
    </w:lvl>
    <w:lvl w:ilvl="3" w:tplc="1009000F" w:tentative="1">
      <w:start w:val="1"/>
      <w:numFmt w:val="decimal"/>
      <w:lvlText w:val="%4."/>
      <w:lvlJc w:val="left"/>
      <w:pPr>
        <w:ind w:left="2661" w:hanging="360"/>
      </w:pPr>
    </w:lvl>
    <w:lvl w:ilvl="4" w:tplc="10090019" w:tentative="1">
      <w:start w:val="1"/>
      <w:numFmt w:val="lowerLetter"/>
      <w:lvlText w:val="%5."/>
      <w:lvlJc w:val="left"/>
      <w:pPr>
        <w:ind w:left="3381" w:hanging="360"/>
      </w:pPr>
    </w:lvl>
    <w:lvl w:ilvl="5" w:tplc="1009001B" w:tentative="1">
      <w:start w:val="1"/>
      <w:numFmt w:val="lowerRoman"/>
      <w:lvlText w:val="%6."/>
      <w:lvlJc w:val="right"/>
      <w:pPr>
        <w:ind w:left="4101" w:hanging="180"/>
      </w:pPr>
    </w:lvl>
    <w:lvl w:ilvl="6" w:tplc="1009000F" w:tentative="1">
      <w:start w:val="1"/>
      <w:numFmt w:val="decimal"/>
      <w:lvlText w:val="%7."/>
      <w:lvlJc w:val="left"/>
      <w:pPr>
        <w:ind w:left="4821" w:hanging="360"/>
      </w:pPr>
    </w:lvl>
    <w:lvl w:ilvl="7" w:tplc="10090019" w:tentative="1">
      <w:start w:val="1"/>
      <w:numFmt w:val="lowerLetter"/>
      <w:lvlText w:val="%8."/>
      <w:lvlJc w:val="left"/>
      <w:pPr>
        <w:ind w:left="5541" w:hanging="360"/>
      </w:pPr>
    </w:lvl>
    <w:lvl w:ilvl="8" w:tplc="1009001B" w:tentative="1">
      <w:start w:val="1"/>
      <w:numFmt w:val="lowerRoman"/>
      <w:lvlText w:val="%9."/>
      <w:lvlJc w:val="right"/>
      <w:pPr>
        <w:ind w:left="6261" w:hanging="180"/>
      </w:pPr>
    </w:lvl>
  </w:abstractNum>
  <w:abstractNum w:abstractNumId="13" w15:restartNumberingAfterBreak="0">
    <w:nsid w:val="505E7B82"/>
    <w:multiLevelType w:val="hybridMultilevel"/>
    <w:tmpl w:val="F8241A04"/>
    <w:lvl w:ilvl="0" w:tplc="488472C4">
      <w:start w:val="1"/>
      <w:numFmt w:val="bullet"/>
      <w:lvlText w:val="Q"/>
      <w:lvlJc w:val="left"/>
      <w:pPr>
        <w:ind w:left="360" w:hanging="360"/>
      </w:pPr>
      <w:rPr>
        <w:rFonts w:ascii="Calibri" w:hAnsi="Calibri" w:hint="default"/>
        <w:color w:val="000000" w:themeColor="text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51393883"/>
    <w:multiLevelType w:val="hybridMultilevel"/>
    <w:tmpl w:val="57DCF4C4"/>
    <w:lvl w:ilvl="0" w:tplc="1009000D">
      <w:start w:val="1"/>
      <w:numFmt w:val="bullet"/>
      <w:lvlText w:val=""/>
      <w:lvlJc w:val="left"/>
      <w:pPr>
        <w:ind w:left="501" w:hanging="360"/>
      </w:pPr>
      <w:rPr>
        <w:rFonts w:ascii="Wingdings" w:hAnsi="Wingdings" w:hint="default"/>
      </w:rPr>
    </w:lvl>
    <w:lvl w:ilvl="1" w:tplc="10090003" w:tentative="1">
      <w:start w:val="1"/>
      <w:numFmt w:val="bullet"/>
      <w:lvlText w:val="o"/>
      <w:lvlJc w:val="left"/>
      <w:pPr>
        <w:ind w:left="1221" w:hanging="360"/>
      </w:pPr>
      <w:rPr>
        <w:rFonts w:ascii="Courier New" w:hAnsi="Courier New" w:cs="Courier New" w:hint="default"/>
      </w:rPr>
    </w:lvl>
    <w:lvl w:ilvl="2" w:tplc="10090005" w:tentative="1">
      <w:start w:val="1"/>
      <w:numFmt w:val="bullet"/>
      <w:lvlText w:val=""/>
      <w:lvlJc w:val="left"/>
      <w:pPr>
        <w:ind w:left="1941" w:hanging="360"/>
      </w:pPr>
      <w:rPr>
        <w:rFonts w:ascii="Wingdings" w:hAnsi="Wingdings" w:hint="default"/>
      </w:rPr>
    </w:lvl>
    <w:lvl w:ilvl="3" w:tplc="10090001" w:tentative="1">
      <w:start w:val="1"/>
      <w:numFmt w:val="bullet"/>
      <w:lvlText w:val=""/>
      <w:lvlJc w:val="left"/>
      <w:pPr>
        <w:ind w:left="2661" w:hanging="360"/>
      </w:pPr>
      <w:rPr>
        <w:rFonts w:ascii="Symbol" w:hAnsi="Symbol" w:hint="default"/>
      </w:rPr>
    </w:lvl>
    <w:lvl w:ilvl="4" w:tplc="10090003" w:tentative="1">
      <w:start w:val="1"/>
      <w:numFmt w:val="bullet"/>
      <w:lvlText w:val="o"/>
      <w:lvlJc w:val="left"/>
      <w:pPr>
        <w:ind w:left="3381" w:hanging="360"/>
      </w:pPr>
      <w:rPr>
        <w:rFonts w:ascii="Courier New" w:hAnsi="Courier New" w:cs="Courier New" w:hint="default"/>
      </w:rPr>
    </w:lvl>
    <w:lvl w:ilvl="5" w:tplc="10090005" w:tentative="1">
      <w:start w:val="1"/>
      <w:numFmt w:val="bullet"/>
      <w:lvlText w:val=""/>
      <w:lvlJc w:val="left"/>
      <w:pPr>
        <w:ind w:left="4101" w:hanging="360"/>
      </w:pPr>
      <w:rPr>
        <w:rFonts w:ascii="Wingdings" w:hAnsi="Wingdings" w:hint="default"/>
      </w:rPr>
    </w:lvl>
    <w:lvl w:ilvl="6" w:tplc="10090001" w:tentative="1">
      <w:start w:val="1"/>
      <w:numFmt w:val="bullet"/>
      <w:lvlText w:val=""/>
      <w:lvlJc w:val="left"/>
      <w:pPr>
        <w:ind w:left="4821" w:hanging="360"/>
      </w:pPr>
      <w:rPr>
        <w:rFonts w:ascii="Symbol" w:hAnsi="Symbol" w:hint="default"/>
      </w:rPr>
    </w:lvl>
    <w:lvl w:ilvl="7" w:tplc="10090003" w:tentative="1">
      <w:start w:val="1"/>
      <w:numFmt w:val="bullet"/>
      <w:lvlText w:val="o"/>
      <w:lvlJc w:val="left"/>
      <w:pPr>
        <w:ind w:left="5541" w:hanging="360"/>
      </w:pPr>
      <w:rPr>
        <w:rFonts w:ascii="Courier New" w:hAnsi="Courier New" w:cs="Courier New" w:hint="default"/>
      </w:rPr>
    </w:lvl>
    <w:lvl w:ilvl="8" w:tplc="10090005" w:tentative="1">
      <w:start w:val="1"/>
      <w:numFmt w:val="bullet"/>
      <w:lvlText w:val=""/>
      <w:lvlJc w:val="left"/>
      <w:pPr>
        <w:ind w:left="6261" w:hanging="360"/>
      </w:pPr>
      <w:rPr>
        <w:rFonts w:ascii="Wingdings" w:hAnsi="Wingdings" w:hint="default"/>
      </w:rPr>
    </w:lvl>
  </w:abstractNum>
  <w:abstractNum w:abstractNumId="15" w15:restartNumberingAfterBreak="0">
    <w:nsid w:val="519D4375"/>
    <w:multiLevelType w:val="hybridMultilevel"/>
    <w:tmpl w:val="2226761A"/>
    <w:lvl w:ilvl="0" w:tplc="1009000D">
      <w:start w:val="1"/>
      <w:numFmt w:val="bullet"/>
      <w:lvlText w:val=""/>
      <w:lvlJc w:val="left"/>
      <w:pPr>
        <w:ind w:left="502" w:hanging="360"/>
      </w:pPr>
      <w:rPr>
        <w:rFonts w:ascii="Wingdings" w:hAnsi="Wingdings"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16" w15:restartNumberingAfterBreak="0">
    <w:nsid w:val="52210AC0"/>
    <w:multiLevelType w:val="hybridMultilevel"/>
    <w:tmpl w:val="17741868"/>
    <w:lvl w:ilvl="0" w:tplc="6C3CB2FE">
      <w:start w:val="1"/>
      <w:numFmt w:val="bullet"/>
      <w:lvlText w:val="R"/>
      <w:lvlJc w:val="left"/>
      <w:pPr>
        <w:ind w:left="360" w:hanging="360"/>
      </w:pPr>
      <w:rPr>
        <w:rFonts w:ascii="Calibri" w:hAnsi="Calibri" w:hint="default"/>
        <w:color w:val="000000" w:themeColor="text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7826617"/>
    <w:multiLevelType w:val="hybridMultilevel"/>
    <w:tmpl w:val="79D69E88"/>
    <w:lvl w:ilvl="0" w:tplc="1009000D">
      <w:start w:val="1"/>
      <w:numFmt w:val="bullet"/>
      <w:lvlText w:val=""/>
      <w:lvlJc w:val="left"/>
      <w:pPr>
        <w:ind w:left="502" w:hanging="360"/>
      </w:pPr>
      <w:rPr>
        <w:rFonts w:ascii="Wingdings" w:hAnsi="Wingdings"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18" w15:restartNumberingAfterBreak="0">
    <w:nsid w:val="59276511"/>
    <w:multiLevelType w:val="hybridMultilevel"/>
    <w:tmpl w:val="98381B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9EE46A1"/>
    <w:multiLevelType w:val="hybridMultilevel"/>
    <w:tmpl w:val="B1F0BA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1E42808"/>
    <w:multiLevelType w:val="hybridMultilevel"/>
    <w:tmpl w:val="10500FA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4E7125D"/>
    <w:multiLevelType w:val="hybridMultilevel"/>
    <w:tmpl w:val="7436B930"/>
    <w:lvl w:ilvl="0" w:tplc="1009000D">
      <w:start w:val="1"/>
      <w:numFmt w:val="bullet"/>
      <w:lvlText w:val=""/>
      <w:lvlJc w:val="left"/>
      <w:pPr>
        <w:ind w:left="501" w:hanging="360"/>
      </w:pPr>
      <w:rPr>
        <w:rFonts w:ascii="Wingdings" w:hAnsi="Wingdings" w:hint="default"/>
      </w:rPr>
    </w:lvl>
    <w:lvl w:ilvl="1" w:tplc="10090003" w:tentative="1">
      <w:start w:val="1"/>
      <w:numFmt w:val="bullet"/>
      <w:lvlText w:val="o"/>
      <w:lvlJc w:val="left"/>
      <w:pPr>
        <w:ind w:left="1221" w:hanging="360"/>
      </w:pPr>
      <w:rPr>
        <w:rFonts w:ascii="Courier New" w:hAnsi="Courier New" w:cs="Courier New" w:hint="default"/>
      </w:rPr>
    </w:lvl>
    <w:lvl w:ilvl="2" w:tplc="10090005" w:tentative="1">
      <w:start w:val="1"/>
      <w:numFmt w:val="bullet"/>
      <w:lvlText w:val=""/>
      <w:lvlJc w:val="left"/>
      <w:pPr>
        <w:ind w:left="1941" w:hanging="360"/>
      </w:pPr>
      <w:rPr>
        <w:rFonts w:ascii="Wingdings" w:hAnsi="Wingdings" w:hint="default"/>
      </w:rPr>
    </w:lvl>
    <w:lvl w:ilvl="3" w:tplc="10090001" w:tentative="1">
      <w:start w:val="1"/>
      <w:numFmt w:val="bullet"/>
      <w:lvlText w:val=""/>
      <w:lvlJc w:val="left"/>
      <w:pPr>
        <w:ind w:left="2661" w:hanging="360"/>
      </w:pPr>
      <w:rPr>
        <w:rFonts w:ascii="Symbol" w:hAnsi="Symbol" w:hint="default"/>
      </w:rPr>
    </w:lvl>
    <w:lvl w:ilvl="4" w:tplc="10090003" w:tentative="1">
      <w:start w:val="1"/>
      <w:numFmt w:val="bullet"/>
      <w:lvlText w:val="o"/>
      <w:lvlJc w:val="left"/>
      <w:pPr>
        <w:ind w:left="3381" w:hanging="360"/>
      </w:pPr>
      <w:rPr>
        <w:rFonts w:ascii="Courier New" w:hAnsi="Courier New" w:cs="Courier New" w:hint="default"/>
      </w:rPr>
    </w:lvl>
    <w:lvl w:ilvl="5" w:tplc="10090005" w:tentative="1">
      <w:start w:val="1"/>
      <w:numFmt w:val="bullet"/>
      <w:lvlText w:val=""/>
      <w:lvlJc w:val="left"/>
      <w:pPr>
        <w:ind w:left="4101" w:hanging="360"/>
      </w:pPr>
      <w:rPr>
        <w:rFonts w:ascii="Wingdings" w:hAnsi="Wingdings" w:hint="default"/>
      </w:rPr>
    </w:lvl>
    <w:lvl w:ilvl="6" w:tplc="10090001" w:tentative="1">
      <w:start w:val="1"/>
      <w:numFmt w:val="bullet"/>
      <w:lvlText w:val=""/>
      <w:lvlJc w:val="left"/>
      <w:pPr>
        <w:ind w:left="4821" w:hanging="360"/>
      </w:pPr>
      <w:rPr>
        <w:rFonts w:ascii="Symbol" w:hAnsi="Symbol" w:hint="default"/>
      </w:rPr>
    </w:lvl>
    <w:lvl w:ilvl="7" w:tplc="10090003" w:tentative="1">
      <w:start w:val="1"/>
      <w:numFmt w:val="bullet"/>
      <w:lvlText w:val="o"/>
      <w:lvlJc w:val="left"/>
      <w:pPr>
        <w:ind w:left="5541" w:hanging="360"/>
      </w:pPr>
      <w:rPr>
        <w:rFonts w:ascii="Courier New" w:hAnsi="Courier New" w:cs="Courier New" w:hint="default"/>
      </w:rPr>
    </w:lvl>
    <w:lvl w:ilvl="8" w:tplc="10090005" w:tentative="1">
      <w:start w:val="1"/>
      <w:numFmt w:val="bullet"/>
      <w:lvlText w:val=""/>
      <w:lvlJc w:val="left"/>
      <w:pPr>
        <w:ind w:left="6261" w:hanging="360"/>
      </w:pPr>
      <w:rPr>
        <w:rFonts w:ascii="Wingdings" w:hAnsi="Wingdings" w:hint="default"/>
      </w:rPr>
    </w:lvl>
  </w:abstractNum>
  <w:num w:numId="1">
    <w:abstractNumId w:val="18"/>
  </w:num>
  <w:num w:numId="2">
    <w:abstractNumId w:val="9"/>
  </w:num>
  <w:num w:numId="3">
    <w:abstractNumId w:val="10"/>
  </w:num>
  <w:num w:numId="4">
    <w:abstractNumId w:val="4"/>
  </w:num>
  <w:num w:numId="5">
    <w:abstractNumId w:val="1"/>
  </w:num>
  <w:num w:numId="6">
    <w:abstractNumId w:val="12"/>
  </w:num>
  <w:num w:numId="7">
    <w:abstractNumId w:val="19"/>
  </w:num>
  <w:num w:numId="8">
    <w:abstractNumId w:val="14"/>
  </w:num>
  <w:num w:numId="9">
    <w:abstractNumId w:val="21"/>
  </w:num>
  <w:num w:numId="10">
    <w:abstractNumId w:val="5"/>
  </w:num>
  <w:num w:numId="11">
    <w:abstractNumId w:val="17"/>
  </w:num>
  <w:num w:numId="12">
    <w:abstractNumId w:val="0"/>
  </w:num>
  <w:num w:numId="13">
    <w:abstractNumId w:val="7"/>
  </w:num>
  <w:num w:numId="14">
    <w:abstractNumId w:val="11"/>
  </w:num>
  <w:num w:numId="15">
    <w:abstractNumId w:val="15"/>
  </w:num>
  <w:num w:numId="16">
    <w:abstractNumId w:val="6"/>
  </w:num>
  <w:num w:numId="17">
    <w:abstractNumId w:val="13"/>
  </w:num>
  <w:num w:numId="18">
    <w:abstractNumId w:val="16"/>
  </w:num>
  <w:num w:numId="19">
    <w:abstractNumId w:val="3"/>
  </w:num>
  <w:num w:numId="20">
    <w:abstractNumId w:val="2"/>
  </w:num>
  <w:num w:numId="21">
    <w:abstractNumId w:val="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95E"/>
    <w:rsid w:val="00047364"/>
    <w:rsid w:val="00062B07"/>
    <w:rsid w:val="000908C2"/>
    <w:rsid w:val="001176D5"/>
    <w:rsid w:val="00163D1A"/>
    <w:rsid w:val="001956D1"/>
    <w:rsid w:val="001D43B6"/>
    <w:rsid w:val="00284A76"/>
    <w:rsid w:val="002B405D"/>
    <w:rsid w:val="002E2B22"/>
    <w:rsid w:val="003510BC"/>
    <w:rsid w:val="00363D33"/>
    <w:rsid w:val="00373365"/>
    <w:rsid w:val="00385B77"/>
    <w:rsid w:val="003C26A4"/>
    <w:rsid w:val="003C66B2"/>
    <w:rsid w:val="003F2DEB"/>
    <w:rsid w:val="003F3C93"/>
    <w:rsid w:val="003F452D"/>
    <w:rsid w:val="004822E5"/>
    <w:rsid w:val="00522282"/>
    <w:rsid w:val="005B75BF"/>
    <w:rsid w:val="005C5D08"/>
    <w:rsid w:val="005D6F05"/>
    <w:rsid w:val="005F2E08"/>
    <w:rsid w:val="006C6682"/>
    <w:rsid w:val="006F4806"/>
    <w:rsid w:val="0073480C"/>
    <w:rsid w:val="00742837"/>
    <w:rsid w:val="00780011"/>
    <w:rsid w:val="007A4665"/>
    <w:rsid w:val="008B4EE0"/>
    <w:rsid w:val="008D0668"/>
    <w:rsid w:val="008E1325"/>
    <w:rsid w:val="00950502"/>
    <w:rsid w:val="00987561"/>
    <w:rsid w:val="00A10370"/>
    <w:rsid w:val="00A14552"/>
    <w:rsid w:val="00A20E52"/>
    <w:rsid w:val="00AB0DCF"/>
    <w:rsid w:val="00AD4CCF"/>
    <w:rsid w:val="00AD6886"/>
    <w:rsid w:val="00B05315"/>
    <w:rsid w:val="00B24054"/>
    <w:rsid w:val="00B85E5C"/>
    <w:rsid w:val="00BF4B1F"/>
    <w:rsid w:val="00C154EF"/>
    <w:rsid w:val="00C156F4"/>
    <w:rsid w:val="00C31C30"/>
    <w:rsid w:val="00C57189"/>
    <w:rsid w:val="00D2633C"/>
    <w:rsid w:val="00D35CFE"/>
    <w:rsid w:val="00D957EC"/>
    <w:rsid w:val="00D97FE1"/>
    <w:rsid w:val="00DD295E"/>
    <w:rsid w:val="00DF15BF"/>
    <w:rsid w:val="00E0041D"/>
    <w:rsid w:val="00E12607"/>
    <w:rsid w:val="00E622E0"/>
    <w:rsid w:val="00E6640A"/>
    <w:rsid w:val="00E72279"/>
    <w:rsid w:val="00EA777C"/>
    <w:rsid w:val="00EB1483"/>
    <w:rsid w:val="00ED054C"/>
    <w:rsid w:val="00F611ED"/>
    <w:rsid w:val="00F72666"/>
    <w:rsid w:val="00F85DAA"/>
    <w:rsid w:val="00FD77F8"/>
    <w:rsid w:val="00FF49FC"/>
    <w:rsid w:val="00FF53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AA0112"/>
  <w15:chartTrackingRefBased/>
  <w15:docId w15:val="{DE15ADAA-51D3-46F7-B0DB-F9F355FD2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D295E"/>
    <w:pPr>
      <w:keepNext/>
      <w:keepLines/>
      <w:spacing w:before="240" w:after="0"/>
      <w:outlineLvl w:val="0"/>
    </w:pPr>
    <w:rPr>
      <w:rFonts w:asciiTheme="majorHAnsi" w:eastAsiaTheme="majorEastAsia" w:hAnsiTheme="majorHAnsi" w:cstheme="majorBidi"/>
      <w:color w:val="81B23F" w:themeColor="accent1" w:themeShade="BF"/>
      <w:sz w:val="32"/>
      <w:szCs w:val="32"/>
    </w:rPr>
  </w:style>
  <w:style w:type="paragraph" w:styleId="Heading2">
    <w:name w:val="heading 2"/>
    <w:basedOn w:val="Normal"/>
    <w:next w:val="Normal"/>
    <w:link w:val="Heading2Char"/>
    <w:uiPriority w:val="9"/>
    <w:unhideWhenUsed/>
    <w:qFormat/>
    <w:rsid w:val="00DD295E"/>
    <w:pPr>
      <w:keepNext/>
      <w:keepLines/>
      <w:spacing w:before="40" w:after="0"/>
      <w:outlineLvl w:val="1"/>
    </w:pPr>
    <w:rPr>
      <w:rFonts w:asciiTheme="majorHAnsi" w:eastAsiaTheme="majorEastAsia" w:hAnsiTheme="majorHAnsi" w:cstheme="majorBidi"/>
      <w:color w:val="81B23F" w:themeColor="accent1" w:themeShade="BF"/>
      <w:sz w:val="26"/>
      <w:szCs w:val="26"/>
    </w:rPr>
  </w:style>
  <w:style w:type="paragraph" w:styleId="Heading3">
    <w:name w:val="heading 3"/>
    <w:basedOn w:val="Normal"/>
    <w:next w:val="Normal"/>
    <w:link w:val="Heading3Char"/>
    <w:uiPriority w:val="9"/>
    <w:unhideWhenUsed/>
    <w:qFormat/>
    <w:rsid w:val="00DD295E"/>
    <w:pPr>
      <w:keepNext/>
      <w:keepLines/>
      <w:spacing w:before="40" w:after="0"/>
      <w:outlineLvl w:val="2"/>
    </w:pPr>
    <w:rPr>
      <w:rFonts w:asciiTheme="majorHAnsi" w:eastAsiaTheme="majorEastAsia" w:hAnsiTheme="majorHAnsi" w:cstheme="majorBidi"/>
      <w:color w:val="55762A"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9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95E"/>
  </w:style>
  <w:style w:type="paragraph" w:styleId="Footer">
    <w:name w:val="footer"/>
    <w:basedOn w:val="Normal"/>
    <w:link w:val="FooterChar"/>
    <w:uiPriority w:val="99"/>
    <w:unhideWhenUsed/>
    <w:rsid w:val="00DD29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95E"/>
  </w:style>
  <w:style w:type="paragraph" w:styleId="Subtitle">
    <w:name w:val="Subtitle"/>
    <w:basedOn w:val="Normal"/>
    <w:next w:val="Normal"/>
    <w:link w:val="SubtitleChar"/>
    <w:uiPriority w:val="11"/>
    <w:qFormat/>
    <w:rsid w:val="00DD295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D295E"/>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D295E"/>
    <w:rPr>
      <w:rFonts w:asciiTheme="majorHAnsi" w:eastAsiaTheme="majorEastAsia" w:hAnsiTheme="majorHAnsi" w:cstheme="majorBidi"/>
      <w:color w:val="81B23F" w:themeColor="accent1" w:themeShade="BF"/>
      <w:sz w:val="32"/>
      <w:szCs w:val="32"/>
    </w:rPr>
  </w:style>
  <w:style w:type="paragraph" w:styleId="Title">
    <w:name w:val="Title"/>
    <w:basedOn w:val="Normal"/>
    <w:next w:val="Normal"/>
    <w:link w:val="TitleChar"/>
    <w:uiPriority w:val="10"/>
    <w:qFormat/>
    <w:rsid w:val="00DD29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295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D295E"/>
    <w:rPr>
      <w:rFonts w:asciiTheme="majorHAnsi" w:eastAsiaTheme="majorEastAsia" w:hAnsiTheme="majorHAnsi" w:cstheme="majorBidi"/>
      <w:color w:val="81B23F" w:themeColor="accent1" w:themeShade="BF"/>
      <w:sz w:val="26"/>
      <w:szCs w:val="26"/>
    </w:rPr>
  </w:style>
  <w:style w:type="paragraph" w:styleId="ListParagraph">
    <w:name w:val="List Paragraph"/>
    <w:basedOn w:val="Normal"/>
    <w:uiPriority w:val="34"/>
    <w:qFormat/>
    <w:rsid w:val="00DD295E"/>
    <w:pPr>
      <w:ind w:left="720"/>
      <w:contextualSpacing/>
    </w:pPr>
  </w:style>
  <w:style w:type="character" w:customStyle="1" w:styleId="Heading3Char">
    <w:name w:val="Heading 3 Char"/>
    <w:basedOn w:val="DefaultParagraphFont"/>
    <w:link w:val="Heading3"/>
    <w:uiPriority w:val="9"/>
    <w:rsid w:val="00DD295E"/>
    <w:rPr>
      <w:rFonts w:asciiTheme="majorHAnsi" w:eastAsiaTheme="majorEastAsia" w:hAnsiTheme="majorHAnsi" w:cstheme="majorBidi"/>
      <w:color w:val="55762A" w:themeColor="accent1" w:themeShade="7F"/>
      <w:sz w:val="24"/>
      <w:szCs w:val="24"/>
    </w:rPr>
  </w:style>
  <w:style w:type="character" w:styleId="Strong">
    <w:name w:val="Strong"/>
    <w:basedOn w:val="DefaultParagraphFont"/>
    <w:uiPriority w:val="22"/>
    <w:qFormat/>
    <w:rsid w:val="00DD295E"/>
    <w:rPr>
      <w:rFonts w:asciiTheme="minorHAnsi" w:hAnsiTheme="minorHAnsi"/>
      <w:b/>
      <w:bCs/>
      <w:color w:val="auto"/>
      <w:sz w:val="22"/>
    </w:rPr>
  </w:style>
  <w:style w:type="paragraph" w:styleId="NoSpacing">
    <w:name w:val="No Spacing"/>
    <w:uiPriority w:val="1"/>
    <w:qFormat/>
    <w:rsid w:val="00DD295E"/>
    <w:pPr>
      <w:spacing w:after="0" w:line="240" w:lineRule="auto"/>
    </w:pPr>
  </w:style>
  <w:style w:type="table" w:styleId="TableGrid">
    <w:name w:val="Table Grid"/>
    <w:basedOn w:val="TableNormal"/>
    <w:uiPriority w:val="39"/>
    <w:rsid w:val="00D26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06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668"/>
    <w:rPr>
      <w:rFonts w:ascii="Segoe UI" w:hAnsi="Segoe UI" w:cs="Segoe UI"/>
      <w:sz w:val="18"/>
      <w:szCs w:val="18"/>
    </w:rPr>
  </w:style>
  <w:style w:type="character" w:styleId="CommentReference">
    <w:name w:val="annotation reference"/>
    <w:basedOn w:val="DefaultParagraphFont"/>
    <w:uiPriority w:val="99"/>
    <w:semiHidden/>
    <w:unhideWhenUsed/>
    <w:rsid w:val="00D957EC"/>
    <w:rPr>
      <w:sz w:val="16"/>
      <w:szCs w:val="16"/>
    </w:rPr>
  </w:style>
  <w:style w:type="paragraph" w:styleId="CommentText">
    <w:name w:val="annotation text"/>
    <w:basedOn w:val="Normal"/>
    <w:link w:val="CommentTextChar"/>
    <w:uiPriority w:val="99"/>
    <w:semiHidden/>
    <w:unhideWhenUsed/>
    <w:rsid w:val="00D957EC"/>
    <w:pPr>
      <w:spacing w:line="240" w:lineRule="auto"/>
    </w:pPr>
    <w:rPr>
      <w:sz w:val="20"/>
      <w:szCs w:val="20"/>
    </w:rPr>
  </w:style>
  <w:style w:type="character" w:customStyle="1" w:styleId="CommentTextChar">
    <w:name w:val="Comment Text Char"/>
    <w:basedOn w:val="DefaultParagraphFont"/>
    <w:link w:val="CommentText"/>
    <w:uiPriority w:val="99"/>
    <w:semiHidden/>
    <w:rsid w:val="00D957EC"/>
    <w:rPr>
      <w:sz w:val="20"/>
      <w:szCs w:val="20"/>
    </w:rPr>
  </w:style>
  <w:style w:type="paragraph" w:styleId="CommentSubject">
    <w:name w:val="annotation subject"/>
    <w:basedOn w:val="CommentText"/>
    <w:next w:val="CommentText"/>
    <w:link w:val="CommentSubjectChar"/>
    <w:uiPriority w:val="99"/>
    <w:semiHidden/>
    <w:unhideWhenUsed/>
    <w:rsid w:val="00D957EC"/>
    <w:rPr>
      <w:b/>
      <w:bCs/>
    </w:rPr>
  </w:style>
  <w:style w:type="character" w:customStyle="1" w:styleId="CommentSubjectChar">
    <w:name w:val="Comment Subject Char"/>
    <w:basedOn w:val="CommentTextChar"/>
    <w:link w:val="CommentSubject"/>
    <w:uiPriority w:val="99"/>
    <w:semiHidden/>
    <w:rsid w:val="00D957EC"/>
    <w:rPr>
      <w:b/>
      <w:bCs/>
      <w:sz w:val="20"/>
      <w:szCs w:val="20"/>
    </w:rPr>
  </w:style>
  <w:style w:type="character" w:styleId="Hyperlink">
    <w:name w:val="Hyperlink"/>
    <w:basedOn w:val="DefaultParagraphFont"/>
    <w:uiPriority w:val="99"/>
    <w:semiHidden/>
    <w:unhideWhenUsed/>
    <w:rsid w:val="00D35CFE"/>
    <w:rPr>
      <w:color w:val="0563C1" w:themeColor="hyperlink"/>
      <w:u w:val="single"/>
    </w:rPr>
  </w:style>
  <w:style w:type="paragraph" w:styleId="PlainText">
    <w:name w:val="Plain Text"/>
    <w:basedOn w:val="Normal"/>
    <w:link w:val="PlainTextChar"/>
    <w:uiPriority w:val="99"/>
    <w:semiHidden/>
    <w:unhideWhenUsed/>
    <w:rsid w:val="00D35CF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35CF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078296">
      <w:bodyDiv w:val="1"/>
      <w:marLeft w:val="0"/>
      <w:marRight w:val="0"/>
      <w:marTop w:val="0"/>
      <w:marBottom w:val="0"/>
      <w:divBdr>
        <w:top w:val="none" w:sz="0" w:space="0" w:color="auto"/>
        <w:left w:val="none" w:sz="0" w:space="0" w:color="auto"/>
        <w:bottom w:val="none" w:sz="0" w:space="0" w:color="auto"/>
        <w:right w:val="none" w:sz="0" w:space="0" w:color="auto"/>
      </w:divBdr>
    </w:div>
    <w:div w:id="18790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7F7F7F"/>
      </a:dk2>
      <a:lt2>
        <a:srgbClr val="E7E6E6"/>
      </a:lt2>
      <a:accent1>
        <a:srgbClr val="A8CE75"/>
      </a:accent1>
      <a:accent2>
        <a:srgbClr val="4CB6A0"/>
      </a:accent2>
      <a:accent3>
        <a:srgbClr val="18853F"/>
      </a:accent3>
      <a:accent4>
        <a:srgbClr val="FFC000"/>
      </a:accent4>
      <a:accent5>
        <a:srgbClr val="023160"/>
      </a:accent5>
      <a:accent6>
        <a:srgbClr val="AEABAB"/>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1549</Words>
  <Characters>8834</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Government of Canada\Gouvernement du Canada</Company>
  <LinksUpToDate>false</LinksUpToDate>
  <CharactersWithSpaces>10363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Tabakovic</dc:creator>
  <cp:keywords/>
  <dc:description/>
  <cp:lastModifiedBy>Sanjaiyan Nithiananthan</cp:lastModifiedBy>
  <cp:revision>2</cp:revision>
  <dcterms:created xsi:type="dcterms:W3CDTF">2020-07-23T17:30:00Z</dcterms:created>
  <dcterms:modified xsi:type="dcterms:W3CDTF">2020-07-23T17:30:00Z</dcterms:modified>
</cp:coreProperties>
</file>