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E52" w:rsidRDefault="00890E52">
      <w:r w:rsidRPr="00370EC6">
        <w:rPr>
          <w:b/>
        </w:rPr>
        <w:t xml:space="preserve">Overview Template: </w:t>
      </w:r>
      <w:bookmarkStart w:id="0" w:name="_GoBack"/>
      <w:bookmarkEnd w:id="0"/>
      <w:r w:rsidRPr="00370EC6">
        <w:rPr>
          <w:b/>
        </w:rPr>
        <w:t xml:space="preserve">Bill C-58, Proposed proactive publication requirements for institutions subject to the </w:t>
      </w:r>
      <w:r w:rsidRPr="00370EC6">
        <w:rPr>
          <w:b/>
          <w:i/>
        </w:rPr>
        <w:t>Access to Information Act</w:t>
      </w:r>
      <w:r w:rsidRPr="00370EC6">
        <w:rPr>
          <w:b/>
        </w:rPr>
        <w:t xml:space="preserve"> and listed in Schedules I, I.1, or II of the </w:t>
      </w:r>
      <w:r w:rsidRPr="00370EC6">
        <w:rPr>
          <w:b/>
          <w:i/>
        </w:rPr>
        <w:t>Financial Administration Act</w:t>
      </w:r>
    </w:p>
    <w:tbl>
      <w:tblPr>
        <w:tblStyle w:val="TableGrid"/>
        <w:tblW w:w="4923" w:type="pct"/>
        <w:tblLook w:val="04A0" w:firstRow="1" w:lastRow="0" w:firstColumn="1" w:lastColumn="0" w:noHBand="0" w:noVBand="1"/>
      </w:tblPr>
      <w:tblGrid>
        <w:gridCol w:w="491"/>
        <w:gridCol w:w="441"/>
        <w:gridCol w:w="4340"/>
        <w:gridCol w:w="4447"/>
        <w:gridCol w:w="1658"/>
        <w:gridCol w:w="1754"/>
        <w:gridCol w:w="1157"/>
        <w:gridCol w:w="1584"/>
        <w:gridCol w:w="2550"/>
      </w:tblGrid>
      <w:tr w:rsidR="000718C4" w:rsidTr="000718C4">
        <w:trPr>
          <w:trHeight w:val="350"/>
        </w:trPr>
        <w:tc>
          <w:tcPr>
            <w:tcW w:w="253" w:type="pct"/>
            <w:gridSpan w:val="2"/>
            <w:shd w:val="clear" w:color="auto" w:fill="D9D9D9" w:themeFill="background1" w:themeFillShade="D9"/>
          </w:tcPr>
          <w:p w:rsidR="000718C4" w:rsidRDefault="000718C4"/>
        </w:tc>
        <w:tc>
          <w:tcPr>
            <w:tcW w:w="1178" w:type="pct"/>
            <w:shd w:val="clear" w:color="auto" w:fill="D9D9D9" w:themeFill="background1" w:themeFillShade="D9"/>
          </w:tcPr>
          <w:p w:rsidR="000718C4" w:rsidRPr="00AC312E" w:rsidRDefault="000718C4">
            <w:pPr>
              <w:rPr>
                <w:b/>
              </w:rPr>
            </w:pPr>
            <w:r w:rsidRPr="00AC312E">
              <w:rPr>
                <w:b/>
              </w:rPr>
              <w:t>Requirement</w:t>
            </w:r>
          </w:p>
        </w:tc>
        <w:tc>
          <w:tcPr>
            <w:tcW w:w="1207" w:type="pct"/>
            <w:shd w:val="clear" w:color="auto" w:fill="D9D9D9" w:themeFill="background1" w:themeFillShade="D9"/>
          </w:tcPr>
          <w:p w:rsidR="000718C4" w:rsidRPr="00AC312E" w:rsidRDefault="000718C4">
            <w:pPr>
              <w:rPr>
                <w:b/>
              </w:rPr>
            </w:pPr>
            <w:r w:rsidRPr="00AC312E">
              <w:rPr>
                <w:b/>
              </w:rPr>
              <w:t>Timeline</w:t>
            </w:r>
          </w:p>
        </w:tc>
        <w:tc>
          <w:tcPr>
            <w:tcW w:w="450" w:type="pct"/>
            <w:shd w:val="clear" w:color="auto" w:fill="D9D9D9" w:themeFill="background1" w:themeFillShade="D9"/>
          </w:tcPr>
          <w:p w:rsidR="000718C4" w:rsidRPr="00AC312E" w:rsidRDefault="000718C4" w:rsidP="00AC312E">
            <w:pPr>
              <w:jc w:val="center"/>
              <w:rPr>
                <w:b/>
              </w:rPr>
            </w:pPr>
            <w:r w:rsidRPr="00AC312E">
              <w:rPr>
                <w:b/>
              </w:rPr>
              <w:t>Lead</w:t>
            </w:r>
          </w:p>
        </w:tc>
        <w:tc>
          <w:tcPr>
            <w:tcW w:w="476" w:type="pct"/>
            <w:shd w:val="clear" w:color="auto" w:fill="D9D9D9" w:themeFill="background1" w:themeFillShade="D9"/>
          </w:tcPr>
          <w:p w:rsidR="000718C4" w:rsidRPr="00AC312E" w:rsidRDefault="000718C4" w:rsidP="00AC312E">
            <w:pPr>
              <w:jc w:val="center"/>
              <w:rPr>
                <w:b/>
              </w:rPr>
            </w:pPr>
            <w:r w:rsidRPr="00AC312E">
              <w:rPr>
                <w:b/>
              </w:rPr>
              <w:t>Comm</w:t>
            </w:r>
            <w:r>
              <w:rPr>
                <w:b/>
              </w:rPr>
              <w:t xml:space="preserve">unications </w:t>
            </w:r>
            <w:r w:rsidRPr="00AC312E">
              <w:rPr>
                <w:b/>
              </w:rPr>
              <w:t>Assessment</w:t>
            </w:r>
          </w:p>
          <w:p w:rsidR="000718C4" w:rsidRPr="00AC312E" w:rsidRDefault="000718C4" w:rsidP="00AC312E">
            <w:pPr>
              <w:jc w:val="center"/>
              <w:rPr>
                <w:b/>
              </w:rPr>
            </w:pPr>
            <w:r w:rsidRPr="00AC312E">
              <w:rPr>
                <w:b/>
              </w:rPr>
              <w:t>Required</w:t>
            </w:r>
          </w:p>
        </w:tc>
        <w:tc>
          <w:tcPr>
            <w:tcW w:w="314" w:type="pct"/>
            <w:shd w:val="clear" w:color="auto" w:fill="D9D9D9" w:themeFill="background1" w:themeFillShade="D9"/>
          </w:tcPr>
          <w:p w:rsidR="000718C4" w:rsidRPr="00AC312E" w:rsidRDefault="000718C4" w:rsidP="00AC312E">
            <w:pPr>
              <w:jc w:val="center"/>
              <w:rPr>
                <w:b/>
              </w:rPr>
            </w:pPr>
            <w:r w:rsidRPr="00AC312E">
              <w:rPr>
                <w:b/>
              </w:rPr>
              <w:t>Accessible Template</w:t>
            </w:r>
          </w:p>
          <w:p w:rsidR="000718C4" w:rsidRPr="00AC312E" w:rsidRDefault="000718C4" w:rsidP="00AC312E">
            <w:pPr>
              <w:jc w:val="center"/>
              <w:rPr>
                <w:b/>
              </w:rPr>
            </w:pPr>
            <w:r w:rsidRPr="00AC312E">
              <w:rPr>
                <w:b/>
              </w:rPr>
              <w:t>Available</w:t>
            </w:r>
          </w:p>
        </w:tc>
        <w:tc>
          <w:tcPr>
            <w:tcW w:w="430" w:type="pct"/>
            <w:shd w:val="clear" w:color="auto" w:fill="D9D9D9" w:themeFill="background1" w:themeFillShade="D9"/>
          </w:tcPr>
          <w:p w:rsidR="000718C4" w:rsidRPr="00CF32A5" w:rsidRDefault="000718C4" w:rsidP="00AC312E">
            <w:pPr>
              <w:jc w:val="center"/>
              <w:rPr>
                <w:b/>
              </w:rPr>
            </w:pPr>
            <w:r w:rsidRPr="00CF32A5">
              <w:rPr>
                <w:b/>
              </w:rPr>
              <w:t>Lead for Posting</w:t>
            </w:r>
          </w:p>
        </w:tc>
        <w:tc>
          <w:tcPr>
            <w:tcW w:w="692" w:type="pct"/>
            <w:shd w:val="clear" w:color="auto" w:fill="D9D9D9" w:themeFill="background1" w:themeFillShade="D9"/>
          </w:tcPr>
          <w:p w:rsidR="000718C4" w:rsidRPr="00CF32A5" w:rsidRDefault="000718C4" w:rsidP="00AC312E">
            <w:pPr>
              <w:jc w:val="center"/>
              <w:rPr>
                <w:b/>
              </w:rPr>
            </w:pPr>
            <w:r w:rsidRPr="00CF32A5">
              <w:rPr>
                <w:b/>
              </w:rPr>
              <w:t xml:space="preserve">Location for </w:t>
            </w:r>
          </w:p>
          <w:p w:rsidR="000718C4" w:rsidRPr="00CF32A5" w:rsidRDefault="000718C4" w:rsidP="00AC312E">
            <w:pPr>
              <w:jc w:val="center"/>
              <w:rPr>
                <w:b/>
              </w:rPr>
            </w:pPr>
            <w:r w:rsidRPr="00CF32A5">
              <w:rPr>
                <w:b/>
              </w:rPr>
              <w:t>Proactive Publication</w:t>
            </w:r>
          </w:p>
        </w:tc>
      </w:tr>
      <w:tr w:rsidR="000718C4" w:rsidTr="000718C4">
        <w:trPr>
          <w:trHeight w:val="890"/>
        </w:trPr>
        <w:tc>
          <w:tcPr>
            <w:tcW w:w="133" w:type="pct"/>
            <w:vMerge w:val="restart"/>
            <w:textDirection w:val="btLr"/>
          </w:tcPr>
          <w:p w:rsidR="000718C4" w:rsidRPr="00606B6A" w:rsidRDefault="000718C4" w:rsidP="00AC312E">
            <w:pPr>
              <w:ind w:left="113" w:right="113"/>
              <w:jc w:val="center"/>
            </w:pPr>
            <w:r>
              <w:t>On behalf of the Minister’s Office</w:t>
            </w:r>
          </w:p>
        </w:tc>
        <w:tc>
          <w:tcPr>
            <w:tcW w:w="120" w:type="pct"/>
            <w:shd w:val="clear" w:color="auto" w:fill="DEEAF6" w:themeFill="accent1" w:themeFillTint="33"/>
          </w:tcPr>
          <w:p w:rsidR="000718C4" w:rsidRPr="00606B6A" w:rsidRDefault="000718C4">
            <w:r>
              <w:t>1</w:t>
            </w:r>
          </w:p>
        </w:tc>
        <w:tc>
          <w:tcPr>
            <w:tcW w:w="1178" w:type="pct"/>
            <w:shd w:val="clear" w:color="auto" w:fill="DEEAF6" w:themeFill="accent1" w:themeFillTint="33"/>
          </w:tcPr>
          <w:p w:rsidR="000718C4" w:rsidRDefault="000718C4">
            <w:r w:rsidRPr="00606B6A">
              <w:t>Briefing packages prepared by the institution for new or incoming Ministers (s.74(a))</w:t>
            </w:r>
          </w:p>
        </w:tc>
        <w:tc>
          <w:tcPr>
            <w:tcW w:w="1207" w:type="pct"/>
            <w:shd w:val="clear" w:color="auto" w:fill="DEEAF6" w:themeFill="accent1" w:themeFillTint="33"/>
          </w:tcPr>
          <w:p w:rsidR="000718C4" w:rsidRPr="00606B6A" w:rsidRDefault="000718C4" w:rsidP="00606B6A">
            <w:r>
              <w:t>Within 120 calendar days after</w:t>
            </w:r>
            <w:r w:rsidRPr="00606B6A">
              <w:t xml:space="preserve"> appointment</w:t>
            </w:r>
          </w:p>
          <w:p w:rsidR="000718C4" w:rsidRDefault="000718C4"/>
        </w:tc>
        <w:tc>
          <w:tcPr>
            <w:tcW w:w="450" w:type="pct"/>
            <w:shd w:val="clear" w:color="auto" w:fill="DEEAF6" w:themeFill="accent1" w:themeFillTint="33"/>
          </w:tcPr>
          <w:p w:rsidR="000718C4" w:rsidRDefault="000718C4"/>
        </w:tc>
        <w:tc>
          <w:tcPr>
            <w:tcW w:w="476" w:type="pct"/>
            <w:shd w:val="clear" w:color="auto" w:fill="DEEAF6" w:themeFill="accent1" w:themeFillTint="33"/>
          </w:tcPr>
          <w:p w:rsidR="000718C4" w:rsidRDefault="000718C4" w:rsidP="001C7762">
            <w:pPr>
              <w:jc w:val="center"/>
            </w:pPr>
            <w:r>
              <w:sym w:font="Wingdings" w:char="F0FC"/>
            </w:r>
          </w:p>
        </w:tc>
        <w:tc>
          <w:tcPr>
            <w:tcW w:w="314" w:type="pct"/>
            <w:shd w:val="clear" w:color="auto" w:fill="DEEAF6" w:themeFill="accent1" w:themeFillTint="33"/>
          </w:tcPr>
          <w:p w:rsidR="000718C4" w:rsidRDefault="000718C4" w:rsidP="001C7762">
            <w:pPr>
              <w:jc w:val="center"/>
            </w:pPr>
          </w:p>
        </w:tc>
        <w:tc>
          <w:tcPr>
            <w:tcW w:w="430" w:type="pct"/>
            <w:shd w:val="clear" w:color="auto" w:fill="DEEAF6" w:themeFill="accent1" w:themeFillTint="33"/>
          </w:tcPr>
          <w:p w:rsidR="000718C4" w:rsidRDefault="000718C4"/>
        </w:tc>
        <w:tc>
          <w:tcPr>
            <w:tcW w:w="692" w:type="pct"/>
            <w:shd w:val="clear" w:color="auto" w:fill="DEEAF6" w:themeFill="accent1" w:themeFillTint="33"/>
          </w:tcPr>
          <w:p w:rsidR="000718C4" w:rsidRDefault="000718C4">
            <w:r>
              <w:t>Departmental Pages</w:t>
            </w:r>
          </w:p>
        </w:tc>
      </w:tr>
      <w:tr w:rsidR="000718C4" w:rsidTr="000718C4">
        <w:trPr>
          <w:trHeight w:val="798"/>
        </w:trPr>
        <w:tc>
          <w:tcPr>
            <w:tcW w:w="133" w:type="pct"/>
            <w:vMerge/>
          </w:tcPr>
          <w:p w:rsidR="000718C4" w:rsidRPr="00606B6A" w:rsidRDefault="000718C4" w:rsidP="00EA589C"/>
        </w:tc>
        <w:tc>
          <w:tcPr>
            <w:tcW w:w="120" w:type="pct"/>
            <w:shd w:val="clear" w:color="auto" w:fill="DEEAF6" w:themeFill="accent1" w:themeFillTint="33"/>
          </w:tcPr>
          <w:p w:rsidR="000718C4" w:rsidRPr="00606B6A" w:rsidRDefault="000718C4" w:rsidP="00EA589C">
            <w:r>
              <w:t>2</w:t>
            </w:r>
          </w:p>
        </w:tc>
        <w:tc>
          <w:tcPr>
            <w:tcW w:w="1178" w:type="pct"/>
            <w:shd w:val="clear" w:color="auto" w:fill="DEEAF6" w:themeFill="accent1" w:themeFillTint="33"/>
          </w:tcPr>
          <w:p w:rsidR="000718C4" w:rsidRDefault="000718C4" w:rsidP="00EA589C">
            <w:r w:rsidRPr="00606B6A">
              <w:t>Titles and tracking numbers of briefing notes prepared by the institution for the minister (s.74(b))</w:t>
            </w:r>
          </w:p>
        </w:tc>
        <w:tc>
          <w:tcPr>
            <w:tcW w:w="1207" w:type="pct"/>
            <w:shd w:val="clear" w:color="auto" w:fill="DEEAF6" w:themeFill="accent1" w:themeFillTint="33"/>
          </w:tcPr>
          <w:p w:rsidR="000718C4" w:rsidRDefault="000718C4" w:rsidP="00EA589C">
            <w:r w:rsidRPr="00606B6A">
              <w:t>Within 30 days after the end of the month in which they were received by the Minister’s office</w:t>
            </w:r>
          </w:p>
        </w:tc>
        <w:tc>
          <w:tcPr>
            <w:tcW w:w="450" w:type="pct"/>
            <w:shd w:val="clear" w:color="auto" w:fill="DEEAF6" w:themeFill="accent1" w:themeFillTint="33"/>
          </w:tcPr>
          <w:p w:rsidR="000718C4" w:rsidRDefault="000718C4" w:rsidP="00EA589C"/>
        </w:tc>
        <w:tc>
          <w:tcPr>
            <w:tcW w:w="476" w:type="pct"/>
            <w:shd w:val="clear" w:color="auto" w:fill="DEEAF6" w:themeFill="accent1" w:themeFillTint="33"/>
          </w:tcPr>
          <w:p w:rsidR="000718C4" w:rsidRDefault="000718C4" w:rsidP="001C7762">
            <w:pPr>
              <w:jc w:val="center"/>
            </w:pPr>
          </w:p>
        </w:tc>
        <w:tc>
          <w:tcPr>
            <w:tcW w:w="314" w:type="pct"/>
            <w:shd w:val="clear" w:color="auto" w:fill="DEEAF6" w:themeFill="accent1" w:themeFillTint="33"/>
          </w:tcPr>
          <w:p w:rsidR="000718C4" w:rsidRDefault="000718C4" w:rsidP="001C7762">
            <w:pPr>
              <w:jc w:val="center"/>
            </w:pPr>
            <w:r>
              <w:t>In dev.</w:t>
            </w:r>
          </w:p>
          <w:p w:rsidR="000718C4" w:rsidRDefault="00CF32A5" w:rsidP="001C7762">
            <w:pPr>
              <w:jc w:val="center"/>
            </w:pPr>
            <w:r>
              <w:t>(Open Canada</w:t>
            </w:r>
            <w:r w:rsidR="000718C4">
              <w:t>)</w:t>
            </w:r>
          </w:p>
        </w:tc>
        <w:tc>
          <w:tcPr>
            <w:tcW w:w="430" w:type="pct"/>
            <w:shd w:val="clear" w:color="auto" w:fill="DEEAF6" w:themeFill="accent1" w:themeFillTint="33"/>
          </w:tcPr>
          <w:p w:rsidR="000718C4" w:rsidRDefault="000718C4" w:rsidP="00EA589C"/>
        </w:tc>
        <w:tc>
          <w:tcPr>
            <w:tcW w:w="692" w:type="pct"/>
            <w:shd w:val="clear" w:color="auto" w:fill="DEEAF6" w:themeFill="accent1" w:themeFillTint="33"/>
          </w:tcPr>
          <w:p w:rsidR="000718C4" w:rsidRDefault="000718C4" w:rsidP="00EA589C">
            <w:r>
              <w:t>In transition – Open Canada</w:t>
            </w:r>
          </w:p>
        </w:tc>
      </w:tr>
      <w:tr w:rsidR="000718C4" w:rsidTr="000718C4">
        <w:trPr>
          <w:trHeight w:val="798"/>
        </w:trPr>
        <w:tc>
          <w:tcPr>
            <w:tcW w:w="133" w:type="pct"/>
            <w:vMerge/>
          </w:tcPr>
          <w:p w:rsidR="000718C4" w:rsidRPr="00606B6A" w:rsidRDefault="000718C4" w:rsidP="00EA589C"/>
        </w:tc>
        <w:tc>
          <w:tcPr>
            <w:tcW w:w="120" w:type="pct"/>
            <w:shd w:val="clear" w:color="auto" w:fill="DEEAF6" w:themeFill="accent1" w:themeFillTint="33"/>
          </w:tcPr>
          <w:p w:rsidR="000718C4" w:rsidRPr="00606B6A" w:rsidRDefault="000718C4" w:rsidP="00EA589C">
            <w:r>
              <w:t>3</w:t>
            </w:r>
          </w:p>
        </w:tc>
        <w:tc>
          <w:tcPr>
            <w:tcW w:w="1178" w:type="pct"/>
            <w:shd w:val="clear" w:color="auto" w:fill="DEEAF6" w:themeFill="accent1" w:themeFillTint="33"/>
          </w:tcPr>
          <w:p w:rsidR="000718C4" w:rsidRDefault="000718C4" w:rsidP="00C3590E">
            <w:r w:rsidRPr="00606B6A">
              <w:t xml:space="preserve">Question Period </w:t>
            </w:r>
            <w:r>
              <w:t xml:space="preserve">notes in use on the last sitting day of June and December </w:t>
            </w:r>
            <w:r w:rsidRPr="00606B6A">
              <w:t>(s.74(c))</w:t>
            </w:r>
          </w:p>
        </w:tc>
        <w:tc>
          <w:tcPr>
            <w:tcW w:w="1207" w:type="pct"/>
            <w:shd w:val="clear" w:color="auto" w:fill="DEEAF6" w:themeFill="accent1" w:themeFillTint="33"/>
          </w:tcPr>
          <w:p w:rsidR="000718C4" w:rsidRDefault="000718C4" w:rsidP="00C3590E">
            <w:pPr>
              <w:tabs>
                <w:tab w:val="left" w:pos="408"/>
              </w:tabs>
            </w:pPr>
            <w:r w:rsidRPr="00606B6A">
              <w:t xml:space="preserve">Within 30 calendar days </w:t>
            </w:r>
            <w:r>
              <w:t xml:space="preserve">after the </w:t>
            </w:r>
            <w:r w:rsidRPr="00606B6A">
              <w:t xml:space="preserve">last sitting day </w:t>
            </w:r>
            <w:r>
              <w:t xml:space="preserve">of the House of Commons </w:t>
            </w:r>
            <w:r w:rsidRPr="00606B6A">
              <w:t>in June and December</w:t>
            </w:r>
            <w:r>
              <w:t xml:space="preserve"> (or no later than July 31 or January 31 if the House of Commons is not sitting in June or December)</w:t>
            </w:r>
          </w:p>
        </w:tc>
        <w:tc>
          <w:tcPr>
            <w:tcW w:w="450" w:type="pct"/>
            <w:shd w:val="clear" w:color="auto" w:fill="DEEAF6" w:themeFill="accent1" w:themeFillTint="33"/>
          </w:tcPr>
          <w:p w:rsidR="000718C4" w:rsidRDefault="000718C4" w:rsidP="00EA589C"/>
        </w:tc>
        <w:tc>
          <w:tcPr>
            <w:tcW w:w="476" w:type="pct"/>
            <w:shd w:val="clear" w:color="auto" w:fill="DEEAF6" w:themeFill="accent1" w:themeFillTint="33"/>
          </w:tcPr>
          <w:p w:rsidR="000718C4" w:rsidRDefault="000718C4" w:rsidP="001C7762">
            <w:pPr>
              <w:jc w:val="center"/>
            </w:pPr>
            <w:r>
              <w:sym w:font="Wingdings" w:char="F0FC"/>
            </w:r>
          </w:p>
        </w:tc>
        <w:tc>
          <w:tcPr>
            <w:tcW w:w="314" w:type="pct"/>
            <w:shd w:val="clear" w:color="auto" w:fill="DEEAF6" w:themeFill="accent1" w:themeFillTint="33"/>
          </w:tcPr>
          <w:p w:rsidR="000718C4" w:rsidRDefault="000718C4" w:rsidP="001C7762">
            <w:pPr>
              <w:jc w:val="center"/>
            </w:pPr>
            <w:r>
              <w:t>e-binder</w:t>
            </w:r>
          </w:p>
        </w:tc>
        <w:tc>
          <w:tcPr>
            <w:tcW w:w="430" w:type="pct"/>
            <w:shd w:val="clear" w:color="auto" w:fill="DEEAF6" w:themeFill="accent1" w:themeFillTint="33"/>
          </w:tcPr>
          <w:p w:rsidR="000718C4" w:rsidRDefault="000718C4" w:rsidP="00EA589C"/>
        </w:tc>
        <w:tc>
          <w:tcPr>
            <w:tcW w:w="692" w:type="pct"/>
            <w:shd w:val="clear" w:color="auto" w:fill="DEEAF6" w:themeFill="accent1" w:themeFillTint="33"/>
          </w:tcPr>
          <w:p w:rsidR="000718C4" w:rsidRDefault="000718C4" w:rsidP="00EA589C">
            <w:r>
              <w:t>Departmental Pages</w:t>
            </w:r>
          </w:p>
        </w:tc>
      </w:tr>
      <w:tr w:rsidR="000718C4" w:rsidTr="000718C4">
        <w:trPr>
          <w:trHeight w:val="777"/>
        </w:trPr>
        <w:tc>
          <w:tcPr>
            <w:tcW w:w="133" w:type="pct"/>
            <w:vMerge/>
          </w:tcPr>
          <w:p w:rsidR="000718C4" w:rsidRPr="00606B6A" w:rsidRDefault="000718C4" w:rsidP="00EA589C"/>
        </w:tc>
        <w:tc>
          <w:tcPr>
            <w:tcW w:w="120" w:type="pct"/>
            <w:shd w:val="clear" w:color="auto" w:fill="DEEAF6" w:themeFill="accent1" w:themeFillTint="33"/>
          </w:tcPr>
          <w:p w:rsidR="000718C4" w:rsidRPr="00606B6A" w:rsidRDefault="000718C4" w:rsidP="00EA589C">
            <w:r>
              <w:t>4</w:t>
            </w:r>
          </w:p>
        </w:tc>
        <w:tc>
          <w:tcPr>
            <w:tcW w:w="1178" w:type="pct"/>
            <w:shd w:val="clear" w:color="auto" w:fill="DEEAF6" w:themeFill="accent1" w:themeFillTint="33"/>
          </w:tcPr>
          <w:p w:rsidR="000718C4" w:rsidRDefault="000718C4" w:rsidP="00EA589C">
            <w:r w:rsidRPr="00606B6A">
              <w:t>Binders for Ministers’ Parliamentary Committee appearances (s.74(d))</w:t>
            </w:r>
          </w:p>
        </w:tc>
        <w:tc>
          <w:tcPr>
            <w:tcW w:w="1207" w:type="pct"/>
            <w:shd w:val="clear" w:color="auto" w:fill="DEEAF6" w:themeFill="accent1" w:themeFillTint="33"/>
          </w:tcPr>
          <w:p w:rsidR="000718C4" w:rsidRPr="00606B6A" w:rsidRDefault="000718C4" w:rsidP="00EA589C">
            <w:r w:rsidRPr="00606B6A">
              <w:t>Within 120 calendar days after appearance</w:t>
            </w:r>
          </w:p>
          <w:p w:rsidR="000718C4" w:rsidRDefault="000718C4" w:rsidP="00EA589C"/>
        </w:tc>
        <w:tc>
          <w:tcPr>
            <w:tcW w:w="450" w:type="pct"/>
            <w:shd w:val="clear" w:color="auto" w:fill="DEEAF6" w:themeFill="accent1" w:themeFillTint="33"/>
          </w:tcPr>
          <w:p w:rsidR="000718C4" w:rsidRDefault="000718C4" w:rsidP="00EA589C"/>
        </w:tc>
        <w:tc>
          <w:tcPr>
            <w:tcW w:w="476" w:type="pct"/>
            <w:shd w:val="clear" w:color="auto" w:fill="DEEAF6" w:themeFill="accent1" w:themeFillTint="33"/>
          </w:tcPr>
          <w:p w:rsidR="000718C4" w:rsidRDefault="000718C4" w:rsidP="001C7762">
            <w:pPr>
              <w:jc w:val="center"/>
            </w:pPr>
            <w:r>
              <w:sym w:font="Wingdings" w:char="F0FC"/>
            </w:r>
          </w:p>
        </w:tc>
        <w:tc>
          <w:tcPr>
            <w:tcW w:w="314" w:type="pct"/>
            <w:shd w:val="clear" w:color="auto" w:fill="DEEAF6" w:themeFill="accent1" w:themeFillTint="33"/>
          </w:tcPr>
          <w:p w:rsidR="000718C4" w:rsidRDefault="000718C4" w:rsidP="001C7762">
            <w:pPr>
              <w:jc w:val="center"/>
            </w:pPr>
            <w:r>
              <w:t>e-binder</w:t>
            </w:r>
          </w:p>
        </w:tc>
        <w:tc>
          <w:tcPr>
            <w:tcW w:w="430" w:type="pct"/>
            <w:shd w:val="clear" w:color="auto" w:fill="DEEAF6" w:themeFill="accent1" w:themeFillTint="33"/>
          </w:tcPr>
          <w:p w:rsidR="000718C4" w:rsidRDefault="000718C4" w:rsidP="00EA589C"/>
        </w:tc>
        <w:tc>
          <w:tcPr>
            <w:tcW w:w="692" w:type="pct"/>
            <w:shd w:val="clear" w:color="auto" w:fill="DEEAF6" w:themeFill="accent1" w:themeFillTint="33"/>
          </w:tcPr>
          <w:p w:rsidR="000718C4" w:rsidRDefault="000718C4" w:rsidP="00EA589C">
            <w:r>
              <w:t>Departmental Pages</w:t>
            </w:r>
          </w:p>
        </w:tc>
      </w:tr>
      <w:tr w:rsidR="000718C4" w:rsidTr="000718C4">
        <w:trPr>
          <w:trHeight w:val="1057"/>
        </w:trPr>
        <w:tc>
          <w:tcPr>
            <w:tcW w:w="133" w:type="pct"/>
            <w:vMerge/>
          </w:tcPr>
          <w:p w:rsidR="000718C4" w:rsidRPr="00606B6A" w:rsidRDefault="000718C4" w:rsidP="00EA589C"/>
        </w:tc>
        <w:tc>
          <w:tcPr>
            <w:tcW w:w="120" w:type="pct"/>
          </w:tcPr>
          <w:p w:rsidR="000718C4" w:rsidRPr="00606B6A" w:rsidRDefault="000718C4" w:rsidP="00EA589C">
            <w:r>
              <w:t>5</w:t>
            </w:r>
          </w:p>
        </w:tc>
        <w:tc>
          <w:tcPr>
            <w:tcW w:w="1178" w:type="pct"/>
          </w:tcPr>
          <w:p w:rsidR="000718C4" w:rsidRPr="00606B6A" w:rsidRDefault="000718C4" w:rsidP="00EA589C">
            <w:r w:rsidRPr="00606B6A">
              <w:t xml:space="preserve">Travel and hospitality expenses </w:t>
            </w:r>
            <w:r>
              <w:t xml:space="preserve">of Ministers, ministerial staff, and ministerial advisers </w:t>
            </w:r>
            <w:r w:rsidRPr="00606B6A">
              <w:t>(s.75 and s.76)</w:t>
            </w:r>
          </w:p>
          <w:p w:rsidR="000718C4" w:rsidRDefault="000718C4" w:rsidP="00EA589C"/>
        </w:tc>
        <w:tc>
          <w:tcPr>
            <w:tcW w:w="1207" w:type="pct"/>
          </w:tcPr>
          <w:p w:rsidR="000718C4" w:rsidRDefault="000718C4" w:rsidP="00C3590E">
            <w:r w:rsidRPr="00EB6CFE">
              <w:t>Within 30 calendar days after the end of the month in which expenses are reimbursed</w:t>
            </w:r>
          </w:p>
          <w:p w:rsidR="000718C4" w:rsidRDefault="000718C4" w:rsidP="00C3590E">
            <w:pPr>
              <w:numPr>
                <w:ilvl w:val="0"/>
                <w:numId w:val="1"/>
              </w:numPr>
            </w:pPr>
            <w:r w:rsidRPr="00EB6CFE">
              <w:t>Receipts to be made available within 5 business days upon request (to be required by policy)</w:t>
            </w:r>
          </w:p>
        </w:tc>
        <w:tc>
          <w:tcPr>
            <w:tcW w:w="450" w:type="pct"/>
          </w:tcPr>
          <w:p w:rsidR="000718C4" w:rsidRDefault="000718C4" w:rsidP="00EA589C"/>
        </w:tc>
        <w:tc>
          <w:tcPr>
            <w:tcW w:w="476" w:type="pct"/>
          </w:tcPr>
          <w:p w:rsidR="000718C4" w:rsidRDefault="000718C4" w:rsidP="001C7762">
            <w:pPr>
              <w:jc w:val="center"/>
            </w:pPr>
          </w:p>
        </w:tc>
        <w:tc>
          <w:tcPr>
            <w:tcW w:w="314" w:type="pct"/>
          </w:tcPr>
          <w:p w:rsidR="000718C4" w:rsidRDefault="000718C4" w:rsidP="001C7762">
            <w:pPr>
              <w:jc w:val="center"/>
            </w:pPr>
            <w:r>
              <w:sym w:font="Wingdings" w:char="F0FC"/>
            </w:r>
          </w:p>
          <w:p w:rsidR="000718C4" w:rsidRDefault="000718C4" w:rsidP="00155EDD">
            <w:pPr>
              <w:jc w:val="center"/>
            </w:pPr>
          </w:p>
        </w:tc>
        <w:tc>
          <w:tcPr>
            <w:tcW w:w="430" w:type="pct"/>
          </w:tcPr>
          <w:p w:rsidR="000718C4" w:rsidRDefault="000718C4" w:rsidP="00EA589C"/>
        </w:tc>
        <w:tc>
          <w:tcPr>
            <w:tcW w:w="692" w:type="pct"/>
          </w:tcPr>
          <w:p w:rsidR="000718C4" w:rsidRDefault="000718C4" w:rsidP="00EA589C">
            <w:r>
              <w:t>Open Canada</w:t>
            </w:r>
          </w:p>
        </w:tc>
      </w:tr>
      <w:tr w:rsidR="000718C4" w:rsidTr="000718C4">
        <w:trPr>
          <w:trHeight w:val="798"/>
        </w:trPr>
        <w:tc>
          <w:tcPr>
            <w:tcW w:w="133" w:type="pct"/>
            <w:vMerge/>
          </w:tcPr>
          <w:p w:rsidR="000718C4" w:rsidRPr="00EB6CFE" w:rsidRDefault="000718C4" w:rsidP="00EA589C"/>
        </w:tc>
        <w:tc>
          <w:tcPr>
            <w:tcW w:w="120" w:type="pct"/>
          </w:tcPr>
          <w:p w:rsidR="000718C4" w:rsidRPr="00EB6CFE" w:rsidRDefault="000718C4" w:rsidP="00EA589C">
            <w:r>
              <w:t>6</w:t>
            </w:r>
          </w:p>
        </w:tc>
        <w:tc>
          <w:tcPr>
            <w:tcW w:w="1178" w:type="pct"/>
          </w:tcPr>
          <w:p w:rsidR="000718C4" w:rsidRPr="00EB6CFE" w:rsidRDefault="000718C4" w:rsidP="00EA589C">
            <w:r w:rsidRPr="00EB6CFE">
              <w:t>Contracts over $10,000, including contract amendments (s.77)</w:t>
            </w:r>
          </w:p>
          <w:p w:rsidR="000718C4" w:rsidRDefault="000718C4" w:rsidP="00EA589C"/>
        </w:tc>
        <w:tc>
          <w:tcPr>
            <w:tcW w:w="1207" w:type="pct"/>
          </w:tcPr>
          <w:p w:rsidR="000718C4" w:rsidRPr="00EB6CFE" w:rsidRDefault="000718C4" w:rsidP="00EA589C">
            <w:r w:rsidRPr="00EB6CFE">
              <w:t>Within 30 days after the end of the quarter</w:t>
            </w:r>
          </w:p>
          <w:p w:rsidR="000718C4" w:rsidRDefault="000718C4" w:rsidP="00EA589C"/>
        </w:tc>
        <w:tc>
          <w:tcPr>
            <w:tcW w:w="450" w:type="pct"/>
          </w:tcPr>
          <w:p w:rsidR="000718C4" w:rsidRDefault="000718C4" w:rsidP="00EA589C"/>
        </w:tc>
        <w:tc>
          <w:tcPr>
            <w:tcW w:w="476" w:type="pct"/>
          </w:tcPr>
          <w:p w:rsidR="000718C4" w:rsidRDefault="000718C4" w:rsidP="001C7762">
            <w:pPr>
              <w:jc w:val="center"/>
            </w:pPr>
          </w:p>
        </w:tc>
        <w:tc>
          <w:tcPr>
            <w:tcW w:w="314" w:type="pct"/>
          </w:tcPr>
          <w:p w:rsidR="000718C4" w:rsidRDefault="000718C4" w:rsidP="001C7762">
            <w:pPr>
              <w:jc w:val="center"/>
            </w:pPr>
            <w:r>
              <w:sym w:font="Wingdings" w:char="F0FC"/>
            </w:r>
          </w:p>
        </w:tc>
        <w:tc>
          <w:tcPr>
            <w:tcW w:w="430" w:type="pct"/>
          </w:tcPr>
          <w:p w:rsidR="000718C4" w:rsidRDefault="000718C4" w:rsidP="00EA589C"/>
        </w:tc>
        <w:tc>
          <w:tcPr>
            <w:tcW w:w="692" w:type="pct"/>
          </w:tcPr>
          <w:p w:rsidR="000718C4" w:rsidRDefault="000718C4" w:rsidP="00EA589C">
            <w:r>
              <w:t>Open Canada</w:t>
            </w:r>
          </w:p>
        </w:tc>
      </w:tr>
      <w:tr w:rsidR="000718C4" w:rsidTr="000718C4">
        <w:trPr>
          <w:trHeight w:val="798"/>
        </w:trPr>
        <w:tc>
          <w:tcPr>
            <w:tcW w:w="133" w:type="pct"/>
            <w:vMerge/>
          </w:tcPr>
          <w:p w:rsidR="000718C4" w:rsidRPr="00EB6CFE" w:rsidRDefault="000718C4" w:rsidP="00EA589C"/>
        </w:tc>
        <w:tc>
          <w:tcPr>
            <w:tcW w:w="120" w:type="pct"/>
          </w:tcPr>
          <w:p w:rsidR="000718C4" w:rsidRPr="00EB6CFE" w:rsidRDefault="000718C4" w:rsidP="00EA589C">
            <w:r>
              <w:t>7</w:t>
            </w:r>
          </w:p>
        </w:tc>
        <w:tc>
          <w:tcPr>
            <w:tcW w:w="1178" w:type="pct"/>
          </w:tcPr>
          <w:p w:rsidR="000718C4" w:rsidRPr="000718C4" w:rsidRDefault="000718C4" w:rsidP="00EA589C">
            <w:r w:rsidRPr="000718C4">
              <w:t>Annual report of all expenses incurred by a Minister’s office (s.78)</w:t>
            </w:r>
          </w:p>
          <w:p w:rsidR="000718C4" w:rsidRPr="000718C4" w:rsidRDefault="000718C4" w:rsidP="00EA589C"/>
        </w:tc>
        <w:tc>
          <w:tcPr>
            <w:tcW w:w="1207" w:type="pct"/>
          </w:tcPr>
          <w:p w:rsidR="000718C4" w:rsidRPr="000718C4" w:rsidRDefault="000718C4" w:rsidP="00EA589C">
            <w:r w:rsidRPr="000718C4">
              <w:t>Within 120 days after the end of the fiscal year</w:t>
            </w:r>
          </w:p>
          <w:p w:rsidR="000718C4" w:rsidRPr="000718C4" w:rsidRDefault="000718C4" w:rsidP="00EA589C"/>
        </w:tc>
        <w:tc>
          <w:tcPr>
            <w:tcW w:w="450" w:type="pct"/>
          </w:tcPr>
          <w:p w:rsidR="000718C4" w:rsidRDefault="000718C4" w:rsidP="00EA589C"/>
        </w:tc>
        <w:tc>
          <w:tcPr>
            <w:tcW w:w="476" w:type="pct"/>
          </w:tcPr>
          <w:p w:rsidR="000718C4" w:rsidRDefault="000718C4" w:rsidP="001C7762">
            <w:pPr>
              <w:jc w:val="center"/>
            </w:pPr>
          </w:p>
        </w:tc>
        <w:tc>
          <w:tcPr>
            <w:tcW w:w="314" w:type="pct"/>
          </w:tcPr>
          <w:p w:rsidR="000718C4" w:rsidRDefault="000718C4" w:rsidP="001C7762">
            <w:pPr>
              <w:jc w:val="center"/>
            </w:pPr>
            <w:r>
              <w:sym w:font="Wingdings" w:char="F0FC"/>
            </w:r>
          </w:p>
        </w:tc>
        <w:tc>
          <w:tcPr>
            <w:tcW w:w="430" w:type="pct"/>
          </w:tcPr>
          <w:p w:rsidR="000718C4" w:rsidRDefault="000718C4" w:rsidP="00EA589C"/>
        </w:tc>
        <w:tc>
          <w:tcPr>
            <w:tcW w:w="692" w:type="pct"/>
          </w:tcPr>
          <w:p w:rsidR="000718C4" w:rsidRDefault="000718C4" w:rsidP="00EA589C">
            <w:r>
              <w:t>Open Canada</w:t>
            </w:r>
          </w:p>
        </w:tc>
      </w:tr>
    </w:tbl>
    <w:p w:rsidR="00EC7128" w:rsidRDefault="00EC7128">
      <w:r>
        <w:br w:type="page"/>
      </w:r>
    </w:p>
    <w:tbl>
      <w:tblPr>
        <w:tblStyle w:val="TableGrid"/>
        <w:tblW w:w="4923" w:type="pct"/>
        <w:tblLook w:val="04A0" w:firstRow="1" w:lastRow="0" w:firstColumn="1" w:lastColumn="0" w:noHBand="0" w:noVBand="1"/>
      </w:tblPr>
      <w:tblGrid>
        <w:gridCol w:w="491"/>
        <w:gridCol w:w="441"/>
        <w:gridCol w:w="4340"/>
        <w:gridCol w:w="4447"/>
        <w:gridCol w:w="1658"/>
        <w:gridCol w:w="1754"/>
        <w:gridCol w:w="1157"/>
        <w:gridCol w:w="1584"/>
        <w:gridCol w:w="2550"/>
      </w:tblGrid>
      <w:tr w:rsidR="000718C4" w:rsidTr="000718C4">
        <w:trPr>
          <w:trHeight w:val="518"/>
        </w:trPr>
        <w:tc>
          <w:tcPr>
            <w:tcW w:w="133" w:type="pct"/>
            <w:vMerge w:val="restart"/>
            <w:textDirection w:val="btLr"/>
          </w:tcPr>
          <w:p w:rsidR="000718C4" w:rsidRDefault="000718C4" w:rsidP="00EA589C">
            <w:pPr>
              <w:ind w:left="113" w:right="113"/>
              <w:jc w:val="center"/>
            </w:pPr>
            <w:r>
              <w:lastRenderedPageBreak/>
              <w:t>Departments</w:t>
            </w:r>
          </w:p>
          <w:p w:rsidR="000718C4" w:rsidRPr="00EB6CFE" w:rsidRDefault="000718C4" w:rsidP="00EA589C">
            <w:pPr>
              <w:ind w:left="113" w:right="113"/>
              <w:jc w:val="center"/>
            </w:pPr>
          </w:p>
        </w:tc>
        <w:tc>
          <w:tcPr>
            <w:tcW w:w="120" w:type="pct"/>
            <w:shd w:val="clear" w:color="auto" w:fill="DEEAF6" w:themeFill="accent1" w:themeFillTint="33"/>
          </w:tcPr>
          <w:p w:rsidR="000718C4" w:rsidRPr="00EB6CFE" w:rsidRDefault="000718C4" w:rsidP="00EA589C">
            <w:r>
              <w:t>8</w:t>
            </w:r>
          </w:p>
        </w:tc>
        <w:tc>
          <w:tcPr>
            <w:tcW w:w="1178" w:type="pct"/>
            <w:shd w:val="clear" w:color="auto" w:fill="DEEAF6" w:themeFill="accent1" w:themeFillTint="33"/>
          </w:tcPr>
          <w:p w:rsidR="000718C4" w:rsidRPr="00EB6CFE" w:rsidRDefault="000718C4" w:rsidP="00EA589C">
            <w:r w:rsidRPr="00EB6CFE">
              <w:t xml:space="preserve">Reports tabled in Parliament </w:t>
            </w:r>
            <w:r>
              <w:t xml:space="preserve">pursuant to a statutory requirement </w:t>
            </w:r>
            <w:r w:rsidRPr="00EB6CFE">
              <w:t>(s.84)</w:t>
            </w:r>
          </w:p>
          <w:p w:rsidR="000718C4" w:rsidRDefault="000718C4" w:rsidP="00EA589C"/>
        </w:tc>
        <w:tc>
          <w:tcPr>
            <w:tcW w:w="1207" w:type="pct"/>
            <w:shd w:val="clear" w:color="auto" w:fill="DEEAF6" w:themeFill="accent1" w:themeFillTint="33"/>
          </w:tcPr>
          <w:p w:rsidR="000718C4" w:rsidRPr="00EB6CFE" w:rsidRDefault="000718C4" w:rsidP="00EA589C">
            <w:r>
              <w:t xml:space="preserve">Within 30 calendar days after </w:t>
            </w:r>
            <w:r w:rsidRPr="00EB6CFE">
              <w:t>tabling</w:t>
            </w:r>
          </w:p>
          <w:p w:rsidR="000718C4" w:rsidRDefault="000718C4" w:rsidP="00EA589C"/>
        </w:tc>
        <w:tc>
          <w:tcPr>
            <w:tcW w:w="450" w:type="pct"/>
            <w:shd w:val="clear" w:color="auto" w:fill="DEEAF6" w:themeFill="accent1" w:themeFillTint="33"/>
          </w:tcPr>
          <w:p w:rsidR="000718C4" w:rsidRDefault="000718C4" w:rsidP="00EA589C"/>
        </w:tc>
        <w:tc>
          <w:tcPr>
            <w:tcW w:w="476" w:type="pct"/>
            <w:shd w:val="clear" w:color="auto" w:fill="DEEAF6" w:themeFill="accent1" w:themeFillTint="33"/>
          </w:tcPr>
          <w:p w:rsidR="000718C4" w:rsidRDefault="000718C4" w:rsidP="001C7762">
            <w:pPr>
              <w:jc w:val="center"/>
            </w:pPr>
            <w:r>
              <w:sym w:font="Wingdings" w:char="F0FC"/>
            </w:r>
          </w:p>
        </w:tc>
        <w:tc>
          <w:tcPr>
            <w:tcW w:w="314" w:type="pct"/>
            <w:shd w:val="clear" w:color="auto" w:fill="DEEAF6" w:themeFill="accent1" w:themeFillTint="33"/>
          </w:tcPr>
          <w:p w:rsidR="000718C4" w:rsidRDefault="000718C4" w:rsidP="001C7762">
            <w:pPr>
              <w:jc w:val="center"/>
            </w:pPr>
          </w:p>
        </w:tc>
        <w:tc>
          <w:tcPr>
            <w:tcW w:w="430" w:type="pct"/>
            <w:shd w:val="clear" w:color="auto" w:fill="DEEAF6" w:themeFill="accent1" w:themeFillTint="33"/>
          </w:tcPr>
          <w:p w:rsidR="000718C4" w:rsidRDefault="000718C4" w:rsidP="00EA589C"/>
        </w:tc>
        <w:tc>
          <w:tcPr>
            <w:tcW w:w="692" w:type="pct"/>
            <w:shd w:val="clear" w:color="auto" w:fill="DEEAF6" w:themeFill="accent1" w:themeFillTint="33"/>
          </w:tcPr>
          <w:p w:rsidR="000718C4" w:rsidRDefault="000718C4" w:rsidP="00EA589C">
            <w:r>
              <w:t>Departmental Pages</w:t>
            </w:r>
          </w:p>
        </w:tc>
      </w:tr>
      <w:tr w:rsidR="000718C4" w:rsidTr="000718C4">
        <w:trPr>
          <w:trHeight w:val="798"/>
        </w:trPr>
        <w:tc>
          <w:tcPr>
            <w:tcW w:w="133" w:type="pct"/>
            <w:vMerge/>
          </w:tcPr>
          <w:p w:rsidR="000718C4" w:rsidRPr="00EB6CFE" w:rsidRDefault="000718C4" w:rsidP="00EA589C"/>
        </w:tc>
        <w:tc>
          <w:tcPr>
            <w:tcW w:w="120" w:type="pct"/>
            <w:shd w:val="clear" w:color="auto" w:fill="DEEAF6" w:themeFill="accent1" w:themeFillTint="33"/>
          </w:tcPr>
          <w:p w:rsidR="000718C4" w:rsidRPr="00EB6CFE" w:rsidRDefault="000718C4" w:rsidP="00EA589C">
            <w:r>
              <w:t>9</w:t>
            </w:r>
          </w:p>
        </w:tc>
        <w:tc>
          <w:tcPr>
            <w:tcW w:w="1178" w:type="pct"/>
            <w:shd w:val="clear" w:color="auto" w:fill="DEEAF6" w:themeFill="accent1" w:themeFillTint="33"/>
          </w:tcPr>
          <w:p w:rsidR="000718C4" w:rsidRPr="00EB6CFE" w:rsidRDefault="000718C4" w:rsidP="00EA589C">
            <w:r w:rsidRPr="00EB6CFE">
              <w:t>Briefing packages for new or changing deputy heads (s.88(a))</w:t>
            </w:r>
          </w:p>
          <w:p w:rsidR="000718C4" w:rsidRDefault="000718C4" w:rsidP="00EA589C"/>
        </w:tc>
        <w:tc>
          <w:tcPr>
            <w:tcW w:w="1207" w:type="pct"/>
            <w:shd w:val="clear" w:color="auto" w:fill="DEEAF6" w:themeFill="accent1" w:themeFillTint="33"/>
          </w:tcPr>
          <w:p w:rsidR="000718C4" w:rsidRPr="00EB6CFE" w:rsidRDefault="000718C4" w:rsidP="00EA589C">
            <w:r>
              <w:t xml:space="preserve">Within 120 calendar days after </w:t>
            </w:r>
            <w:r w:rsidRPr="00EB6CFE">
              <w:t>appointment</w:t>
            </w:r>
          </w:p>
          <w:p w:rsidR="000718C4" w:rsidRDefault="000718C4" w:rsidP="00EA589C"/>
        </w:tc>
        <w:tc>
          <w:tcPr>
            <w:tcW w:w="450" w:type="pct"/>
            <w:shd w:val="clear" w:color="auto" w:fill="DEEAF6" w:themeFill="accent1" w:themeFillTint="33"/>
          </w:tcPr>
          <w:p w:rsidR="000718C4" w:rsidRDefault="000718C4" w:rsidP="00EA589C"/>
        </w:tc>
        <w:tc>
          <w:tcPr>
            <w:tcW w:w="476" w:type="pct"/>
            <w:shd w:val="clear" w:color="auto" w:fill="DEEAF6" w:themeFill="accent1" w:themeFillTint="33"/>
          </w:tcPr>
          <w:p w:rsidR="000718C4" w:rsidRDefault="000718C4" w:rsidP="001C7762">
            <w:pPr>
              <w:jc w:val="center"/>
            </w:pPr>
            <w:r>
              <w:sym w:font="Wingdings" w:char="F0FC"/>
            </w:r>
          </w:p>
        </w:tc>
        <w:tc>
          <w:tcPr>
            <w:tcW w:w="314" w:type="pct"/>
            <w:shd w:val="clear" w:color="auto" w:fill="DEEAF6" w:themeFill="accent1" w:themeFillTint="33"/>
          </w:tcPr>
          <w:p w:rsidR="000718C4" w:rsidRDefault="000718C4" w:rsidP="001C7762">
            <w:pPr>
              <w:jc w:val="center"/>
            </w:pPr>
          </w:p>
        </w:tc>
        <w:tc>
          <w:tcPr>
            <w:tcW w:w="430" w:type="pct"/>
            <w:shd w:val="clear" w:color="auto" w:fill="DEEAF6" w:themeFill="accent1" w:themeFillTint="33"/>
          </w:tcPr>
          <w:p w:rsidR="000718C4" w:rsidRDefault="000718C4" w:rsidP="00EA589C"/>
        </w:tc>
        <w:tc>
          <w:tcPr>
            <w:tcW w:w="692" w:type="pct"/>
            <w:shd w:val="clear" w:color="auto" w:fill="DEEAF6" w:themeFill="accent1" w:themeFillTint="33"/>
          </w:tcPr>
          <w:p w:rsidR="000718C4" w:rsidRDefault="000718C4" w:rsidP="00EA589C">
            <w:r>
              <w:t>Departmental Pages</w:t>
            </w:r>
          </w:p>
        </w:tc>
      </w:tr>
      <w:tr w:rsidR="000718C4" w:rsidTr="000718C4">
        <w:trPr>
          <w:trHeight w:val="798"/>
        </w:trPr>
        <w:tc>
          <w:tcPr>
            <w:tcW w:w="133" w:type="pct"/>
            <w:vMerge/>
          </w:tcPr>
          <w:p w:rsidR="000718C4" w:rsidRPr="00EB6CFE" w:rsidRDefault="000718C4" w:rsidP="00EA589C"/>
        </w:tc>
        <w:tc>
          <w:tcPr>
            <w:tcW w:w="120" w:type="pct"/>
            <w:shd w:val="clear" w:color="auto" w:fill="DEEAF6" w:themeFill="accent1" w:themeFillTint="33"/>
          </w:tcPr>
          <w:p w:rsidR="000718C4" w:rsidRPr="00EB6CFE" w:rsidRDefault="000718C4" w:rsidP="00EA589C">
            <w:r>
              <w:t>10</w:t>
            </w:r>
          </w:p>
        </w:tc>
        <w:tc>
          <w:tcPr>
            <w:tcW w:w="1178" w:type="pct"/>
            <w:shd w:val="clear" w:color="auto" w:fill="DEEAF6" w:themeFill="accent1" w:themeFillTint="33"/>
          </w:tcPr>
          <w:p w:rsidR="000718C4" w:rsidRPr="00EB6CFE" w:rsidRDefault="000718C4" w:rsidP="00EA589C">
            <w:r w:rsidRPr="00EB6CFE">
              <w:t>Titles and tracking numbers of briefing notes to deputy heads (s.88(b))</w:t>
            </w:r>
          </w:p>
          <w:p w:rsidR="000718C4" w:rsidRDefault="000718C4" w:rsidP="00EA589C"/>
        </w:tc>
        <w:tc>
          <w:tcPr>
            <w:tcW w:w="1207" w:type="pct"/>
            <w:shd w:val="clear" w:color="auto" w:fill="DEEAF6" w:themeFill="accent1" w:themeFillTint="33"/>
          </w:tcPr>
          <w:p w:rsidR="000718C4" w:rsidRPr="00EB6CFE" w:rsidRDefault="000718C4" w:rsidP="00EA589C">
            <w:r w:rsidRPr="00EB6CFE">
              <w:t>Within 30 calendar days after the end of the month in which they were received by his or her office</w:t>
            </w:r>
          </w:p>
          <w:p w:rsidR="000718C4" w:rsidRDefault="000718C4" w:rsidP="00EA589C"/>
        </w:tc>
        <w:tc>
          <w:tcPr>
            <w:tcW w:w="450" w:type="pct"/>
            <w:shd w:val="clear" w:color="auto" w:fill="DEEAF6" w:themeFill="accent1" w:themeFillTint="33"/>
          </w:tcPr>
          <w:p w:rsidR="000718C4" w:rsidRDefault="000718C4" w:rsidP="00EA589C"/>
        </w:tc>
        <w:tc>
          <w:tcPr>
            <w:tcW w:w="476" w:type="pct"/>
            <w:shd w:val="clear" w:color="auto" w:fill="DEEAF6" w:themeFill="accent1" w:themeFillTint="33"/>
          </w:tcPr>
          <w:p w:rsidR="000718C4" w:rsidRDefault="000718C4" w:rsidP="001C7762">
            <w:pPr>
              <w:jc w:val="center"/>
            </w:pPr>
          </w:p>
        </w:tc>
        <w:tc>
          <w:tcPr>
            <w:tcW w:w="314" w:type="pct"/>
            <w:shd w:val="clear" w:color="auto" w:fill="DEEAF6" w:themeFill="accent1" w:themeFillTint="33"/>
          </w:tcPr>
          <w:p w:rsidR="000718C4" w:rsidRDefault="000718C4" w:rsidP="001C7762">
            <w:pPr>
              <w:jc w:val="center"/>
            </w:pPr>
            <w:r>
              <w:t>In dev.</w:t>
            </w:r>
          </w:p>
          <w:p w:rsidR="000718C4" w:rsidRDefault="00CF32A5" w:rsidP="001C7762">
            <w:pPr>
              <w:jc w:val="center"/>
            </w:pPr>
            <w:r>
              <w:t>(O</w:t>
            </w:r>
            <w:r w:rsidR="000718C4">
              <w:t>pen</w:t>
            </w:r>
            <w:r>
              <w:t xml:space="preserve"> Canada</w:t>
            </w:r>
            <w:r w:rsidR="000718C4">
              <w:t>)</w:t>
            </w:r>
          </w:p>
        </w:tc>
        <w:tc>
          <w:tcPr>
            <w:tcW w:w="430" w:type="pct"/>
            <w:shd w:val="clear" w:color="auto" w:fill="DEEAF6" w:themeFill="accent1" w:themeFillTint="33"/>
          </w:tcPr>
          <w:p w:rsidR="000718C4" w:rsidRDefault="000718C4" w:rsidP="00EA589C"/>
        </w:tc>
        <w:tc>
          <w:tcPr>
            <w:tcW w:w="692" w:type="pct"/>
            <w:shd w:val="clear" w:color="auto" w:fill="DEEAF6" w:themeFill="accent1" w:themeFillTint="33"/>
          </w:tcPr>
          <w:p w:rsidR="000718C4" w:rsidRDefault="000718C4" w:rsidP="00EA589C">
            <w:r>
              <w:t>In transition – Open Canada</w:t>
            </w:r>
          </w:p>
        </w:tc>
      </w:tr>
      <w:tr w:rsidR="000718C4" w:rsidTr="000718C4">
        <w:trPr>
          <w:trHeight w:val="947"/>
        </w:trPr>
        <w:tc>
          <w:tcPr>
            <w:tcW w:w="133" w:type="pct"/>
            <w:vMerge/>
          </w:tcPr>
          <w:p w:rsidR="000718C4" w:rsidRPr="00EB6CFE" w:rsidRDefault="000718C4" w:rsidP="00EA589C"/>
        </w:tc>
        <w:tc>
          <w:tcPr>
            <w:tcW w:w="120" w:type="pct"/>
            <w:shd w:val="clear" w:color="auto" w:fill="DEEAF6" w:themeFill="accent1" w:themeFillTint="33"/>
          </w:tcPr>
          <w:p w:rsidR="000718C4" w:rsidRPr="00EB6CFE" w:rsidRDefault="000718C4" w:rsidP="00EA589C">
            <w:r>
              <w:t>11</w:t>
            </w:r>
          </w:p>
        </w:tc>
        <w:tc>
          <w:tcPr>
            <w:tcW w:w="1178" w:type="pct"/>
            <w:shd w:val="clear" w:color="auto" w:fill="DEEAF6" w:themeFill="accent1" w:themeFillTint="33"/>
          </w:tcPr>
          <w:p w:rsidR="000718C4" w:rsidRPr="00EB6CFE" w:rsidRDefault="000718C4" w:rsidP="00EA589C">
            <w:r w:rsidRPr="00EB6CFE">
              <w:t>Binders for Parliamentary Committee appearances prepared for the deputy head or equivalent for the purpose of the appearance (s.88(c))</w:t>
            </w:r>
          </w:p>
          <w:p w:rsidR="000718C4" w:rsidRPr="00606B6A" w:rsidRDefault="000718C4" w:rsidP="00EA589C"/>
        </w:tc>
        <w:tc>
          <w:tcPr>
            <w:tcW w:w="1207" w:type="pct"/>
            <w:shd w:val="clear" w:color="auto" w:fill="DEEAF6" w:themeFill="accent1" w:themeFillTint="33"/>
          </w:tcPr>
          <w:p w:rsidR="000718C4" w:rsidRPr="00EB6CFE" w:rsidRDefault="000718C4" w:rsidP="00EA589C">
            <w:r w:rsidRPr="00EB6CFE">
              <w:t>Within 120 calendar days after appearance</w:t>
            </w:r>
          </w:p>
          <w:p w:rsidR="000718C4" w:rsidRPr="00606B6A" w:rsidRDefault="000718C4" w:rsidP="00EA589C"/>
        </w:tc>
        <w:tc>
          <w:tcPr>
            <w:tcW w:w="450" w:type="pct"/>
            <w:shd w:val="clear" w:color="auto" w:fill="DEEAF6" w:themeFill="accent1" w:themeFillTint="33"/>
          </w:tcPr>
          <w:p w:rsidR="000718C4" w:rsidRDefault="000718C4" w:rsidP="00EA589C"/>
        </w:tc>
        <w:tc>
          <w:tcPr>
            <w:tcW w:w="476" w:type="pct"/>
            <w:shd w:val="clear" w:color="auto" w:fill="DEEAF6" w:themeFill="accent1" w:themeFillTint="33"/>
          </w:tcPr>
          <w:p w:rsidR="000718C4" w:rsidRDefault="000718C4" w:rsidP="001C7762">
            <w:pPr>
              <w:jc w:val="center"/>
            </w:pPr>
            <w:r>
              <w:sym w:font="Wingdings" w:char="F0FC"/>
            </w:r>
          </w:p>
        </w:tc>
        <w:tc>
          <w:tcPr>
            <w:tcW w:w="314" w:type="pct"/>
            <w:shd w:val="clear" w:color="auto" w:fill="DEEAF6" w:themeFill="accent1" w:themeFillTint="33"/>
          </w:tcPr>
          <w:p w:rsidR="000718C4" w:rsidRDefault="000718C4" w:rsidP="001C7762">
            <w:pPr>
              <w:jc w:val="center"/>
            </w:pPr>
          </w:p>
        </w:tc>
        <w:tc>
          <w:tcPr>
            <w:tcW w:w="430" w:type="pct"/>
            <w:shd w:val="clear" w:color="auto" w:fill="DEEAF6" w:themeFill="accent1" w:themeFillTint="33"/>
          </w:tcPr>
          <w:p w:rsidR="000718C4" w:rsidRDefault="000718C4" w:rsidP="00EA589C"/>
        </w:tc>
        <w:tc>
          <w:tcPr>
            <w:tcW w:w="692" w:type="pct"/>
            <w:shd w:val="clear" w:color="auto" w:fill="DEEAF6" w:themeFill="accent1" w:themeFillTint="33"/>
          </w:tcPr>
          <w:p w:rsidR="000718C4" w:rsidRDefault="000718C4" w:rsidP="00EA589C">
            <w:r>
              <w:t>Departmental Pages</w:t>
            </w:r>
          </w:p>
        </w:tc>
      </w:tr>
      <w:tr w:rsidR="000718C4" w:rsidTr="000718C4">
        <w:trPr>
          <w:trHeight w:val="1556"/>
        </w:trPr>
        <w:tc>
          <w:tcPr>
            <w:tcW w:w="133" w:type="pct"/>
            <w:vMerge/>
          </w:tcPr>
          <w:p w:rsidR="000718C4" w:rsidRPr="00EB6CFE" w:rsidRDefault="000718C4" w:rsidP="00EA589C"/>
        </w:tc>
        <w:tc>
          <w:tcPr>
            <w:tcW w:w="120" w:type="pct"/>
          </w:tcPr>
          <w:p w:rsidR="000718C4" w:rsidRPr="00EB6CFE" w:rsidRDefault="000718C4" w:rsidP="00EA589C">
            <w:r>
              <w:t>12</w:t>
            </w:r>
          </w:p>
        </w:tc>
        <w:tc>
          <w:tcPr>
            <w:tcW w:w="1178" w:type="pct"/>
          </w:tcPr>
          <w:p w:rsidR="000718C4" w:rsidRPr="00EB6CFE" w:rsidRDefault="000718C4" w:rsidP="00EA589C">
            <w:r w:rsidRPr="00EB6CFE">
              <w:t>Travel and hospitality expenses of senior officials (s.82 and s.83)</w:t>
            </w:r>
          </w:p>
        </w:tc>
        <w:tc>
          <w:tcPr>
            <w:tcW w:w="1207" w:type="pct"/>
          </w:tcPr>
          <w:p w:rsidR="000718C4" w:rsidRPr="00EB6CFE" w:rsidRDefault="000718C4" w:rsidP="00EA589C">
            <w:r w:rsidRPr="00EB6CFE">
              <w:t>Within 30 calendar days after the end of the month in which expenses</w:t>
            </w:r>
            <w:r>
              <w:t xml:space="preserve"> </w:t>
            </w:r>
            <w:r w:rsidRPr="00EB6CFE">
              <w:t>are reimbursed</w:t>
            </w:r>
          </w:p>
          <w:p w:rsidR="000718C4" w:rsidRPr="00EB6CFE" w:rsidRDefault="000718C4" w:rsidP="00EA589C">
            <w:pPr>
              <w:numPr>
                <w:ilvl w:val="0"/>
                <w:numId w:val="1"/>
              </w:numPr>
            </w:pPr>
            <w:r w:rsidRPr="00EB6CFE">
              <w:t>Receipts to be made available within 5 business days upon request (to be required by policy)</w:t>
            </w:r>
          </w:p>
        </w:tc>
        <w:tc>
          <w:tcPr>
            <w:tcW w:w="450" w:type="pct"/>
          </w:tcPr>
          <w:p w:rsidR="000718C4" w:rsidRDefault="000718C4" w:rsidP="00EA589C"/>
        </w:tc>
        <w:tc>
          <w:tcPr>
            <w:tcW w:w="476" w:type="pct"/>
          </w:tcPr>
          <w:p w:rsidR="000718C4" w:rsidRDefault="000718C4" w:rsidP="001C7762">
            <w:pPr>
              <w:jc w:val="center"/>
            </w:pPr>
          </w:p>
        </w:tc>
        <w:tc>
          <w:tcPr>
            <w:tcW w:w="314" w:type="pct"/>
          </w:tcPr>
          <w:p w:rsidR="000718C4" w:rsidRDefault="000718C4" w:rsidP="001C7762">
            <w:pPr>
              <w:jc w:val="center"/>
            </w:pPr>
            <w:r>
              <w:sym w:font="Wingdings" w:char="F0FC"/>
            </w:r>
          </w:p>
        </w:tc>
        <w:tc>
          <w:tcPr>
            <w:tcW w:w="430" w:type="pct"/>
          </w:tcPr>
          <w:p w:rsidR="000718C4" w:rsidRDefault="000718C4" w:rsidP="00EA589C"/>
        </w:tc>
        <w:tc>
          <w:tcPr>
            <w:tcW w:w="692" w:type="pct"/>
          </w:tcPr>
          <w:p w:rsidR="000718C4" w:rsidRDefault="000718C4" w:rsidP="00EA589C">
            <w:r>
              <w:t>Open Canada</w:t>
            </w:r>
          </w:p>
        </w:tc>
      </w:tr>
      <w:tr w:rsidR="000718C4" w:rsidTr="000718C4">
        <w:trPr>
          <w:trHeight w:val="947"/>
        </w:trPr>
        <w:tc>
          <w:tcPr>
            <w:tcW w:w="133" w:type="pct"/>
            <w:vMerge/>
          </w:tcPr>
          <w:p w:rsidR="000718C4" w:rsidRPr="00EB6CFE" w:rsidRDefault="000718C4" w:rsidP="00EA589C"/>
        </w:tc>
        <w:tc>
          <w:tcPr>
            <w:tcW w:w="120" w:type="pct"/>
          </w:tcPr>
          <w:p w:rsidR="000718C4" w:rsidRPr="00EB6CFE" w:rsidRDefault="000718C4" w:rsidP="00EA589C">
            <w:r>
              <w:t>13</w:t>
            </w:r>
          </w:p>
        </w:tc>
        <w:tc>
          <w:tcPr>
            <w:tcW w:w="1178" w:type="pct"/>
          </w:tcPr>
          <w:p w:rsidR="000718C4" w:rsidRPr="00EB6CFE" w:rsidRDefault="000718C4" w:rsidP="00EA589C">
            <w:r w:rsidRPr="00EB6CFE">
              <w:t>Contracts over $10,000, including contract amendments (s.86)</w:t>
            </w:r>
          </w:p>
          <w:p w:rsidR="000718C4" w:rsidRPr="00EB6CFE" w:rsidRDefault="000718C4" w:rsidP="00EA589C"/>
        </w:tc>
        <w:tc>
          <w:tcPr>
            <w:tcW w:w="1207" w:type="pct"/>
          </w:tcPr>
          <w:p w:rsidR="000718C4" w:rsidRPr="00EB6CFE" w:rsidRDefault="000718C4" w:rsidP="00EA589C">
            <w:r w:rsidRPr="00EB6CFE">
              <w:t>Within 30 calendar days after the end of the quarter for Q1-3, and within 60 calendar days after the end of Q4</w:t>
            </w:r>
          </w:p>
          <w:p w:rsidR="000718C4" w:rsidRPr="00EB6CFE" w:rsidRDefault="000718C4" w:rsidP="00EA589C"/>
        </w:tc>
        <w:tc>
          <w:tcPr>
            <w:tcW w:w="450" w:type="pct"/>
          </w:tcPr>
          <w:p w:rsidR="000718C4" w:rsidRDefault="000718C4" w:rsidP="00EA589C"/>
        </w:tc>
        <w:tc>
          <w:tcPr>
            <w:tcW w:w="476" w:type="pct"/>
          </w:tcPr>
          <w:p w:rsidR="000718C4" w:rsidRDefault="000718C4" w:rsidP="001C7762">
            <w:pPr>
              <w:jc w:val="center"/>
            </w:pPr>
          </w:p>
        </w:tc>
        <w:tc>
          <w:tcPr>
            <w:tcW w:w="314" w:type="pct"/>
          </w:tcPr>
          <w:p w:rsidR="000718C4" w:rsidRDefault="000718C4" w:rsidP="001C7762">
            <w:pPr>
              <w:jc w:val="center"/>
            </w:pPr>
            <w:r>
              <w:sym w:font="Wingdings" w:char="F0FC"/>
            </w:r>
          </w:p>
        </w:tc>
        <w:tc>
          <w:tcPr>
            <w:tcW w:w="430" w:type="pct"/>
          </w:tcPr>
          <w:p w:rsidR="000718C4" w:rsidRDefault="000718C4" w:rsidP="00EA589C"/>
        </w:tc>
        <w:tc>
          <w:tcPr>
            <w:tcW w:w="692" w:type="pct"/>
          </w:tcPr>
          <w:p w:rsidR="000718C4" w:rsidRDefault="000718C4" w:rsidP="00EA589C">
            <w:r>
              <w:t>Open Canada</w:t>
            </w:r>
          </w:p>
        </w:tc>
      </w:tr>
      <w:tr w:rsidR="000718C4" w:rsidTr="000718C4">
        <w:trPr>
          <w:trHeight w:val="947"/>
        </w:trPr>
        <w:tc>
          <w:tcPr>
            <w:tcW w:w="133" w:type="pct"/>
            <w:vMerge/>
          </w:tcPr>
          <w:p w:rsidR="000718C4" w:rsidRPr="00EB6CFE" w:rsidRDefault="000718C4" w:rsidP="00EA589C"/>
        </w:tc>
        <w:tc>
          <w:tcPr>
            <w:tcW w:w="120" w:type="pct"/>
          </w:tcPr>
          <w:p w:rsidR="000718C4" w:rsidRPr="00EB6CFE" w:rsidRDefault="000718C4" w:rsidP="00EA589C">
            <w:r>
              <w:t>14</w:t>
            </w:r>
          </w:p>
        </w:tc>
        <w:tc>
          <w:tcPr>
            <w:tcW w:w="1178" w:type="pct"/>
          </w:tcPr>
          <w:p w:rsidR="000718C4" w:rsidRPr="00EB6CFE" w:rsidRDefault="000718C4" w:rsidP="00EA589C">
            <w:r w:rsidRPr="00EB6CFE">
              <w:t>Grants and Contributions over $25,000, including amendments (s.87)</w:t>
            </w:r>
          </w:p>
          <w:p w:rsidR="000718C4" w:rsidRPr="00EB6CFE" w:rsidRDefault="000718C4" w:rsidP="00EA589C"/>
        </w:tc>
        <w:tc>
          <w:tcPr>
            <w:tcW w:w="1207" w:type="pct"/>
          </w:tcPr>
          <w:p w:rsidR="000718C4" w:rsidRPr="00EB6CFE" w:rsidRDefault="000718C4" w:rsidP="00EA589C">
            <w:r w:rsidRPr="00EB6CFE">
              <w:t>Within 30 calendar days after the end of the quarter in which an agreement or arrangement is entered into, or amended</w:t>
            </w:r>
          </w:p>
          <w:p w:rsidR="000718C4" w:rsidRDefault="000718C4" w:rsidP="00EA589C"/>
          <w:p w:rsidR="000718C4" w:rsidRPr="00EB6CFE" w:rsidRDefault="000718C4" w:rsidP="00EA589C">
            <w:pPr>
              <w:tabs>
                <w:tab w:val="left" w:pos="508"/>
              </w:tabs>
            </w:pPr>
            <w:r>
              <w:tab/>
            </w:r>
          </w:p>
        </w:tc>
        <w:tc>
          <w:tcPr>
            <w:tcW w:w="450" w:type="pct"/>
          </w:tcPr>
          <w:p w:rsidR="000718C4" w:rsidRDefault="000718C4" w:rsidP="00EA589C"/>
        </w:tc>
        <w:tc>
          <w:tcPr>
            <w:tcW w:w="476" w:type="pct"/>
          </w:tcPr>
          <w:p w:rsidR="000718C4" w:rsidRDefault="000718C4" w:rsidP="001C7762">
            <w:pPr>
              <w:jc w:val="center"/>
            </w:pPr>
          </w:p>
        </w:tc>
        <w:tc>
          <w:tcPr>
            <w:tcW w:w="314" w:type="pct"/>
          </w:tcPr>
          <w:p w:rsidR="000718C4" w:rsidRDefault="000718C4" w:rsidP="001C7762">
            <w:pPr>
              <w:jc w:val="center"/>
            </w:pPr>
            <w:r>
              <w:sym w:font="Wingdings" w:char="F0FC"/>
            </w:r>
          </w:p>
        </w:tc>
        <w:tc>
          <w:tcPr>
            <w:tcW w:w="430" w:type="pct"/>
          </w:tcPr>
          <w:p w:rsidR="000718C4" w:rsidRDefault="000718C4" w:rsidP="00EA589C"/>
        </w:tc>
        <w:tc>
          <w:tcPr>
            <w:tcW w:w="692" w:type="pct"/>
          </w:tcPr>
          <w:p w:rsidR="000718C4" w:rsidRDefault="000718C4" w:rsidP="00EA589C">
            <w:r>
              <w:t>Open Canada</w:t>
            </w:r>
          </w:p>
        </w:tc>
      </w:tr>
      <w:tr w:rsidR="000718C4" w:rsidTr="000718C4">
        <w:trPr>
          <w:trHeight w:val="947"/>
        </w:trPr>
        <w:tc>
          <w:tcPr>
            <w:tcW w:w="133" w:type="pct"/>
            <w:vMerge/>
          </w:tcPr>
          <w:p w:rsidR="000718C4" w:rsidRPr="00EB6CFE" w:rsidRDefault="000718C4" w:rsidP="00EA589C">
            <w:pPr>
              <w:tabs>
                <w:tab w:val="left" w:pos="3046"/>
              </w:tabs>
            </w:pPr>
          </w:p>
        </w:tc>
        <w:tc>
          <w:tcPr>
            <w:tcW w:w="120" w:type="pct"/>
          </w:tcPr>
          <w:p w:rsidR="000718C4" w:rsidRPr="00EB6CFE" w:rsidRDefault="000718C4" w:rsidP="00EA589C">
            <w:pPr>
              <w:tabs>
                <w:tab w:val="left" w:pos="3046"/>
              </w:tabs>
            </w:pPr>
            <w:r>
              <w:t>15</w:t>
            </w:r>
          </w:p>
        </w:tc>
        <w:tc>
          <w:tcPr>
            <w:tcW w:w="1178" w:type="pct"/>
          </w:tcPr>
          <w:p w:rsidR="000718C4" w:rsidRPr="00EB6CFE" w:rsidRDefault="000718C4" w:rsidP="00EA589C">
            <w:pPr>
              <w:tabs>
                <w:tab w:val="left" w:pos="3046"/>
              </w:tabs>
            </w:pPr>
            <w:r w:rsidRPr="00EB6CFE">
              <w:t>Reclassification of positions (s. 85)</w:t>
            </w:r>
            <w:r w:rsidR="003F6A00">
              <w:t>*</w:t>
            </w:r>
          </w:p>
          <w:p w:rsidR="000718C4" w:rsidRPr="00EB6CFE" w:rsidRDefault="000718C4" w:rsidP="00EA589C">
            <w:pPr>
              <w:tabs>
                <w:tab w:val="left" w:pos="3046"/>
              </w:tabs>
            </w:pPr>
          </w:p>
        </w:tc>
        <w:tc>
          <w:tcPr>
            <w:tcW w:w="1207" w:type="pct"/>
          </w:tcPr>
          <w:p w:rsidR="000718C4" w:rsidRPr="00EB6CFE" w:rsidRDefault="000718C4" w:rsidP="00EA589C">
            <w:pPr>
              <w:tabs>
                <w:tab w:val="left" w:pos="2197"/>
              </w:tabs>
            </w:pPr>
            <w:r w:rsidRPr="00EB6CFE">
              <w:t>Within 30 calendar days after the end of the quarter in which there is a reclassification</w:t>
            </w:r>
          </w:p>
          <w:p w:rsidR="000718C4" w:rsidRPr="00EB6CFE" w:rsidRDefault="000718C4" w:rsidP="00EA589C">
            <w:pPr>
              <w:tabs>
                <w:tab w:val="left" w:pos="2197"/>
              </w:tabs>
            </w:pPr>
          </w:p>
        </w:tc>
        <w:tc>
          <w:tcPr>
            <w:tcW w:w="450" w:type="pct"/>
          </w:tcPr>
          <w:p w:rsidR="000718C4" w:rsidRDefault="000718C4" w:rsidP="00EA589C"/>
        </w:tc>
        <w:tc>
          <w:tcPr>
            <w:tcW w:w="476" w:type="pct"/>
          </w:tcPr>
          <w:p w:rsidR="000718C4" w:rsidRDefault="000718C4" w:rsidP="001C7762">
            <w:pPr>
              <w:jc w:val="center"/>
            </w:pPr>
          </w:p>
        </w:tc>
        <w:tc>
          <w:tcPr>
            <w:tcW w:w="314" w:type="pct"/>
          </w:tcPr>
          <w:p w:rsidR="000718C4" w:rsidRDefault="000718C4" w:rsidP="001C7762">
            <w:pPr>
              <w:jc w:val="center"/>
            </w:pPr>
            <w:r>
              <w:sym w:font="Wingdings" w:char="F0FC"/>
            </w:r>
          </w:p>
        </w:tc>
        <w:tc>
          <w:tcPr>
            <w:tcW w:w="430" w:type="pct"/>
          </w:tcPr>
          <w:p w:rsidR="000718C4" w:rsidRDefault="000718C4" w:rsidP="00EA589C"/>
        </w:tc>
        <w:tc>
          <w:tcPr>
            <w:tcW w:w="692" w:type="pct"/>
          </w:tcPr>
          <w:p w:rsidR="000718C4" w:rsidRDefault="000718C4" w:rsidP="00EA589C">
            <w:r>
              <w:t>Open Canada</w:t>
            </w:r>
          </w:p>
        </w:tc>
      </w:tr>
    </w:tbl>
    <w:p w:rsidR="005D2E75" w:rsidRDefault="003F6A00">
      <w:r>
        <w:t>*requirement for institutions for which Treasury Board is the employer</w:t>
      </w:r>
    </w:p>
    <w:sectPr w:rsidR="005D2E75" w:rsidSect="006F1BC5">
      <w:headerReference w:type="default" r:id="rId8"/>
      <w:footerReference w:type="default" r:id="rId9"/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9A1" w:rsidRDefault="00A609A1" w:rsidP="0086354F">
      <w:pPr>
        <w:spacing w:after="0" w:line="240" w:lineRule="auto"/>
      </w:pPr>
      <w:r>
        <w:separator/>
      </w:r>
    </w:p>
  </w:endnote>
  <w:endnote w:type="continuationSeparator" w:id="0">
    <w:p w:rsidR="00A609A1" w:rsidRDefault="00A609A1" w:rsidP="00863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90740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354F" w:rsidRDefault="008635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6E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354F" w:rsidRDefault="008635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9A1" w:rsidRDefault="00A609A1" w:rsidP="0086354F">
      <w:pPr>
        <w:spacing w:after="0" w:line="240" w:lineRule="auto"/>
      </w:pPr>
      <w:r>
        <w:separator/>
      </w:r>
    </w:p>
  </w:footnote>
  <w:footnote w:type="continuationSeparator" w:id="0">
    <w:p w:rsidR="00A609A1" w:rsidRDefault="00A609A1" w:rsidP="00863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54F" w:rsidRPr="00370EC6" w:rsidRDefault="0086354F">
    <w:pPr>
      <w:pStyle w:val="Header"/>
      <w:rPr>
        <w:b/>
      </w:rPr>
    </w:pPr>
    <w:r w:rsidRPr="00370EC6">
      <w:rPr>
        <w:b/>
      </w:rPr>
      <w:tab/>
    </w:r>
    <w:r w:rsidRPr="00370EC6">
      <w:rPr>
        <w:b/>
      </w:rPr>
      <w:tab/>
    </w:r>
    <w:r w:rsidRPr="00370EC6">
      <w:rPr>
        <w:b/>
      </w:rPr>
      <w:tab/>
    </w:r>
    <w:r w:rsidRPr="00370EC6">
      <w:rPr>
        <w:b/>
      </w:rPr>
      <w:tab/>
    </w:r>
    <w:r w:rsidRPr="00370EC6">
      <w:rPr>
        <w:b/>
      </w:rPr>
      <w:tab/>
    </w:r>
    <w:r w:rsidRPr="00370EC6">
      <w:rPr>
        <w:b/>
      </w:rPr>
      <w:tab/>
    </w:r>
    <w:r w:rsidRPr="00370EC6">
      <w:rPr>
        <w:b/>
      </w:rPr>
      <w:tab/>
    </w:r>
    <w:r w:rsidRPr="00370EC6">
      <w:rPr>
        <w:b/>
      </w:rPr>
      <w:tab/>
    </w:r>
    <w:r w:rsidRPr="00370EC6">
      <w:rPr>
        <w:b/>
      </w:rPr>
      <w:tab/>
    </w:r>
    <w:r w:rsidRPr="00370EC6">
      <w:rPr>
        <w:b/>
      </w:rPr>
      <w:tab/>
    </w:r>
    <w:r w:rsidRPr="00370EC6">
      <w:rPr>
        <w:b/>
      </w:rPr>
      <w:tab/>
    </w:r>
    <w:r w:rsidRPr="00370EC6">
      <w:rPr>
        <w:b/>
      </w:rPr>
      <w:tab/>
    </w:r>
    <w:r w:rsidRPr="00370EC6">
      <w:rPr>
        <w:b/>
      </w:rPr>
      <w:tab/>
    </w:r>
    <w:r w:rsidRPr="00370EC6">
      <w:rPr>
        <w:b/>
      </w:rPr>
      <w:tab/>
    </w:r>
    <w:r w:rsidRPr="00370EC6">
      <w:rPr>
        <w:b/>
      </w:rPr>
      <w:tab/>
    </w:r>
    <w:r w:rsidRPr="00370EC6">
      <w:rPr>
        <w:b/>
      </w:rPr>
      <w:tab/>
    </w:r>
    <w:r w:rsidRPr="00370EC6"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83C1D"/>
    <w:multiLevelType w:val="hybridMultilevel"/>
    <w:tmpl w:val="B8BEEFC8"/>
    <w:lvl w:ilvl="0" w:tplc="59E87B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405A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C47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401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4845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4E55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429A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FE1A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60AB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7840947"/>
    <w:multiLevelType w:val="hybridMultilevel"/>
    <w:tmpl w:val="4C8E6B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B6A"/>
    <w:rsid w:val="000718C4"/>
    <w:rsid w:val="000B78D4"/>
    <w:rsid w:val="001172A6"/>
    <w:rsid w:val="00155EDD"/>
    <w:rsid w:val="001C7762"/>
    <w:rsid w:val="001D7D28"/>
    <w:rsid w:val="00202915"/>
    <w:rsid w:val="002A50FE"/>
    <w:rsid w:val="002B1D82"/>
    <w:rsid w:val="002F6EBC"/>
    <w:rsid w:val="00362826"/>
    <w:rsid w:val="00370EC6"/>
    <w:rsid w:val="003F6A00"/>
    <w:rsid w:val="00460656"/>
    <w:rsid w:val="00467018"/>
    <w:rsid w:val="00535778"/>
    <w:rsid w:val="00536670"/>
    <w:rsid w:val="0057174E"/>
    <w:rsid w:val="005D2E75"/>
    <w:rsid w:val="00603896"/>
    <w:rsid w:val="00606B6A"/>
    <w:rsid w:val="006A39E1"/>
    <w:rsid w:val="006F1BC5"/>
    <w:rsid w:val="00774582"/>
    <w:rsid w:val="007F2946"/>
    <w:rsid w:val="00816EC8"/>
    <w:rsid w:val="0086354F"/>
    <w:rsid w:val="00890E52"/>
    <w:rsid w:val="00A24EBA"/>
    <w:rsid w:val="00A609A1"/>
    <w:rsid w:val="00AC312E"/>
    <w:rsid w:val="00B71F08"/>
    <w:rsid w:val="00C3590E"/>
    <w:rsid w:val="00CF32A5"/>
    <w:rsid w:val="00E34E6F"/>
    <w:rsid w:val="00E734A3"/>
    <w:rsid w:val="00E96422"/>
    <w:rsid w:val="00EA589C"/>
    <w:rsid w:val="00EB6CFE"/>
    <w:rsid w:val="00EC7128"/>
    <w:rsid w:val="00F85D10"/>
    <w:rsid w:val="00FC232B"/>
    <w:rsid w:val="00FD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37717F-9233-40F0-9151-2ECE13B6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6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06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PlaceholderText">
    <w:name w:val="Placeholder Text"/>
    <w:basedOn w:val="DefaultParagraphFont"/>
    <w:uiPriority w:val="99"/>
    <w:semiHidden/>
    <w:rsid w:val="00606B6A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06B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6B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6B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6B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6B6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B6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635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54F"/>
  </w:style>
  <w:style w:type="paragraph" w:styleId="Footer">
    <w:name w:val="footer"/>
    <w:basedOn w:val="Normal"/>
    <w:link w:val="FooterChar"/>
    <w:uiPriority w:val="99"/>
    <w:unhideWhenUsed/>
    <w:rsid w:val="008635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54F"/>
  </w:style>
  <w:style w:type="paragraph" w:styleId="ListParagraph">
    <w:name w:val="List Paragraph"/>
    <w:basedOn w:val="Normal"/>
    <w:uiPriority w:val="34"/>
    <w:qFormat/>
    <w:rsid w:val="00C35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19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8B7E4-182F-4C9C-ACEF-9C30BE387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TBS-SCT</Company>
  <LinksUpToDate>false</LinksUpToDate>
  <CharactersWithSpaces>3456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Simard, Josée</dc:creator>
  <cp:keywords/>
  <dc:description/>
  <cp:lastModifiedBy>Sampson, Kimberly-Ann</cp:lastModifiedBy>
  <cp:revision>2</cp:revision>
  <cp:lastPrinted>2018-02-15T19:20:00Z</cp:lastPrinted>
  <dcterms:created xsi:type="dcterms:W3CDTF">2018-03-09T22:23:00Z</dcterms:created>
  <dcterms:modified xsi:type="dcterms:W3CDTF">2018-03-09T22:23:00Z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74d7f74c-a9e2-44d3-b2ee-5244521e32fc</vt:lpwstr>
  </property>
  <property fmtid="{D5CDD505-2E9C-101B-9397-08002B2CF9AE}" pid="3" name="TBSSCTCLASSIFICATION">
    <vt:lpwstr>No Classification Selected</vt:lpwstr>
  </property>
  <property fmtid="{D5CDD505-2E9C-101B-9397-08002B2CF9AE}" pid="4" name="SECCLASS">
    <vt:lpwstr>CLASSN</vt:lpwstr>
  </property>
</Properties>
</file>