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6D3A" w14:textId="77777777" w:rsidR="00CE2F3E" w:rsidRPr="003869EC" w:rsidRDefault="00A52CBC" w:rsidP="007D01CC">
      <w:pPr>
        <w:spacing w:after="120" w:line="240" w:lineRule="auto"/>
        <w:rPr>
          <w:b/>
          <w:sz w:val="28"/>
          <w:szCs w:val="28"/>
          <w:lang w:val="fr-CA"/>
        </w:rPr>
      </w:pPr>
      <w:r>
        <w:rPr>
          <w:b/>
          <w:sz w:val="28"/>
          <w:szCs w:val="28"/>
          <w:lang w:val="fr-CA"/>
        </w:rPr>
        <w:t>Lignes directrices</w:t>
      </w:r>
      <w:r w:rsidR="007C4750" w:rsidRPr="003869EC">
        <w:rPr>
          <w:b/>
          <w:sz w:val="28"/>
          <w:szCs w:val="28"/>
          <w:lang w:val="fr-CA"/>
        </w:rPr>
        <w:t xml:space="preserve"> sur la publication proactive des titres et des numéros de référence des notes </w:t>
      </w:r>
      <w:r w:rsidR="008645F6" w:rsidRPr="003869EC">
        <w:rPr>
          <w:b/>
          <w:sz w:val="28"/>
          <w:szCs w:val="28"/>
          <w:lang w:val="fr-CA"/>
        </w:rPr>
        <w:t xml:space="preserve">d’information </w:t>
      </w:r>
      <w:r w:rsidR="0057565A">
        <w:rPr>
          <w:b/>
          <w:sz w:val="28"/>
          <w:szCs w:val="28"/>
          <w:lang w:val="fr-CA"/>
        </w:rPr>
        <w:t>reçues par les</w:t>
      </w:r>
      <w:r w:rsidR="007C4750" w:rsidRPr="003869EC">
        <w:rPr>
          <w:b/>
          <w:sz w:val="28"/>
          <w:szCs w:val="28"/>
          <w:lang w:val="fr-CA"/>
        </w:rPr>
        <w:t xml:space="preserve"> ministres et </w:t>
      </w:r>
      <w:r w:rsidR="0057565A">
        <w:rPr>
          <w:b/>
          <w:sz w:val="28"/>
          <w:szCs w:val="28"/>
          <w:lang w:val="fr-CA"/>
        </w:rPr>
        <w:t>les</w:t>
      </w:r>
      <w:r w:rsidR="0057565A" w:rsidRPr="003869EC">
        <w:rPr>
          <w:b/>
          <w:sz w:val="28"/>
          <w:szCs w:val="28"/>
          <w:lang w:val="fr-CA"/>
        </w:rPr>
        <w:t xml:space="preserve"> </w:t>
      </w:r>
      <w:r w:rsidR="007C4750" w:rsidRPr="003869EC">
        <w:rPr>
          <w:b/>
          <w:sz w:val="28"/>
          <w:szCs w:val="28"/>
          <w:lang w:val="fr-CA"/>
        </w:rPr>
        <w:t>administrateurs généraux</w:t>
      </w:r>
    </w:p>
    <w:p w14:paraId="5F51221E" w14:textId="77777777" w:rsidR="007875E5" w:rsidRDefault="00F9080E" w:rsidP="007D01CC">
      <w:pPr>
        <w:spacing w:after="120" w:line="240" w:lineRule="auto"/>
        <w:rPr>
          <w:color w:val="252525"/>
          <w:sz w:val="24"/>
          <w:szCs w:val="24"/>
          <w:shd w:val="clear" w:color="auto" w:fill="FFFFFF"/>
          <w:lang w:val="fr-CA"/>
        </w:rPr>
      </w:pPr>
      <w:r w:rsidRPr="00571074">
        <w:rPr>
          <w:rFonts w:cstheme="minorHAnsi"/>
          <w:color w:val="252525"/>
          <w:sz w:val="24"/>
          <w:szCs w:val="24"/>
          <w:shd w:val="clear" w:color="auto" w:fill="FFFFFF"/>
          <w:lang w:val="fr-CA"/>
        </w:rPr>
        <w:t>Mise à jour</w:t>
      </w:r>
      <w:r>
        <w:rPr>
          <w:rFonts w:cstheme="minorHAnsi"/>
          <w:color w:val="252525"/>
          <w:sz w:val="24"/>
          <w:szCs w:val="24"/>
          <w:shd w:val="clear" w:color="auto" w:fill="FFFFFF"/>
          <w:lang w:val="fr-CA"/>
        </w:rPr>
        <w:t xml:space="preserve"> : </w:t>
      </w:r>
      <w:r w:rsidR="007875E5">
        <w:rPr>
          <w:rFonts w:cstheme="minorHAnsi"/>
          <w:color w:val="252525"/>
          <w:sz w:val="24"/>
          <w:szCs w:val="24"/>
          <w:shd w:val="clear" w:color="auto" w:fill="FFFFFF"/>
          <w:lang w:val="fr-CA"/>
        </w:rPr>
        <w:t>a</w:t>
      </w:r>
      <w:r w:rsidRPr="007875E5">
        <w:rPr>
          <w:color w:val="252525"/>
          <w:sz w:val="24"/>
          <w:szCs w:val="24"/>
          <w:shd w:val="clear" w:color="auto" w:fill="FFFFFF"/>
          <w:lang w:val="fr-CA"/>
        </w:rPr>
        <w:t>vril 2022</w:t>
      </w:r>
    </w:p>
    <w:p w14:paraId="23B29ECD" w14:textId="17D8480F" w:rsidR="004110D6" w:rsidRPr="00353C0E" w:rsidRDefault="0020074A" w:rsidP="007D01CC">
      <w:pPr>
        <w:spacing w:after="120" w:line="240" w:lineRule="auto"/>
        <w:rPr>
          <w:sz w:val="24"/>
          <w:lang w:val="fr-CA"/>
        </w:rPr>
      </w:pPr>
      <w:r w:rsidRPr="00353C0E">
        <w:rPr>
          <w:i/>
          <w:sz w:val="24"/>
          <w:lang w:val="fr-CA"/>
        </w:rPr>
        <w:t>Généralités</w:t>
      </w:r>
      <w:r w:rsidR="00DC0C92" w:rsidRPr="00353C0E">
        <w:rPr>
          <w:i/>
          <w:sz w:val="24"/>
          <w:lang w:val="fr-CA"/>
        </w:rPr>
        <w:t xml:space="preserve"> </w:t>
      </w:r>
    </w:p>
    <w:p w14:paraId="1682DE0D" w14:textId="77777777" w:rsidR="003C6563" w:rsidRPr="003869EC" w:rsidRDefault="008D311C" w:rsidP="003C6563">
      <w:pPr>
        <w:pStyle w:val="ListParagraph"/>
        <w:numPr>
          <w:ilvl w:val="0"/>
          <w:numId w:val="1"/>
        </w:numPr>
        <w:spacing w:after="120" w:line="240" w:lineRule="auto"/>
        <w:ind w:left="714" w:hanging="357"/>
        <w:contextualSpacing w:val="0"/>
        <w:rPr>
          <w:sz w:val="24"/>
          <w:lang w:val="fr-CA"/>
        </w:rPr>
      </w:pPr>
      <w:r w:rsidRPr="003869EC">
        <w:rPr>
          <w:sz w:val="24"/>
          <w:lang w:val="fr-CA"/>
        </w:rPr>
        <w:t xml:space="preserve">La </w:t>
      </w:r>
      <w:r w:rsidRPr="003869EC">
        <w:rPr>
          <w:i/>
          <w:sz w:val="24"/>
          <w:lang w:val="fr-CA"/>
        </w:rPr>
        <w:t>Loi sur l</w:t>
      </w:r>
      <w:r w:rsidR="00A71950" w:rsidRPr="003869EC">
        <w:rPr>
          <w:i/>
          <w:sz w:val="24"/>
          <w:lang w:val="fr-CA"/>
        </w:rPr>
        <w:t>’</w:t>
      </w:r>
      <w:r w:rsidRPr="003869EC">
        <w:rPr>
          <w:i/>
          <w:sz w:val="24"/>
          <w:lang w:val="fr-CA"/>
        </w:rPr>
        <w:t>accès à l</w:t>
      </w:r>
      <w:r w:rsidR="00A71950" w:rsidRPr="003869EC">
        <w:rPr>
          <w:i/>
          <w:sz w:val="24"/>
          <w:lang w:val="fr-CA"/>
        </w:rPr>
        <w:t>’</w:t>
      </w:r>
      <w:r w:rsidRPr="003869EC">
        <w:rPr>
          <w:i/>
          <w:sz w:val="24"/>
          <w:lang w:val="fr-CA"/>
        </w:rPr>
        <w:t>information</w:t>
      </w:r>
      <w:r w:rsidRPr="003869EC">
        <w:rPr>
          <w:sz w:val="24"/>
          <w:lang w:val="fr-CA"/>
        </w:rPr>
        <w:t xml:space="preserve"> mise à jour </w:t>
      </w:r>
      <w:r w:rsidR="00811943">
        <w:rPr>
          <w:sz w:val="24"/>
          <w:lang w:val="fr-CA"/>
        </w:rPr>
        <w:t>requiert</w:t>
      </w:r>
      <w:r w:rsidR="00811943" w:rsidRPr="003869EC">
        <w:rPr>
          <w:sz w:val="24"/>
          <w:lang w:val="fr-CA"/>
        </w:rPr>
        <w:t xml:space="preserve"> </w:t>
      </w:r>
      <w:r w:rsidRPr="003869EC">
        <w:rPr>
          <w:sz w:val="24"/>
          <w:lang w:val="fr-CA"/>
        </w:rPr>
        <w:t>que le titre et le numéro de référence de chaque note</w:t>
      </w:r>
      <w:r w:rsidR="008645F6" w:rsidRPr="003869EC">
        <w:rPr>
          <w:sz w:val="24"/>
          <w:lang w:val="fr-CA"/>
        </w:rPr>
        <w:t xml:space="preserve"> d’information</w:t>
      </w:r>
      <w:r w:rsidRPr="003869EC">
        <w:rPr>
          <w:sz w:val="24"/>
          <w:lang w:val="fr-CA"/>
        </w:rPr>
        <w:t xml:space="preserve"> reçue au bureau d’un ministre ou d’un administrateur </w:t>
      </w:r>
      <w:r w:rsidR="008645F6" w:rsidRPr="003869EC">
        <w:rPr>
          <w:sz w:val="24"/>
          <w:lang w:val="fr-CA"/>
        </w:rPr>
        <w:t xml:space="preserve">général </w:t>
      </w:r>
      <w:r w:rsidR="00811943">
        <w:rPr>
          <w:sz w:val="24"/>
          <w:lang w:val="fr-CA"/>
        </w:rPr>
        <w:t>soient</w:t>
      </w:r>
      <w:r w:rsidRPr="003869EC">
        <w:rPr>
          <w:sz w:val="24"/>
          <w:lang w:val="fr-CA"/>
        </w:rPr>
        <w:t xml:space="preserve"> publiés de manière proactive dans les 30 jours suivant </w:t>
      </w:r>
      <w:r w:rsidR="0057565A">
        <w:rPr>
          <w:sz w:val="24"/>
          <w:lang w:val="fr-CA"/>
        </w:rPr>
        <w:t>le</w:t>
      </w:r>
      <w:r w:rsidRPr="003869EC">
        <w:rPr>
          <w:sz w:val="24"/>
          <w:lang w:val="fr-CA"/>
        </w:rPr>
        <w:t xml:space="preserve"> mois au cours duquel la note </w:t>
      </w:r>
      <w:r w:rsidR="008645F6" w:rsidRPr="003869EC">
        <w:rPr>
          <w:sz w:val="24"/>
          <w:lang w:val="fr-CA"/>
        </w:rPr>
        <w:t xml:space="preserve">d’information </w:t>
      </w:r>
      <w:r w:rsidRPr="003869EC">
        <w:rPr>
          <w:sz w:val="24"/>
          <w:lang w:val="fr-CA"/>
        </w:rPr>
        <w:t>a été reçue (</w:t>
      </w:r>
      <w:r w:rsidR="00723545" w:rsidRPr="003869EC">
        <w:rPr>
          <w:sz w:val="24"/>
          <w:lang w:val="fr-CA"/>
        </w:rPr>
        <w:t>alinéas</w:t>
      </w:r>
      <w:r w:rsidRPr="003869EC">
        <w:rPr>
          <w:sz w:val="24"/>
          <w:lang w:val="fr-CA"/>
        </w:rPr>
        <w:t> 74</w:t>
      </w:r>
      <w:r w:rsidRPr="00353C0E">
        <w:rPr>
          <w:iCs/>
          <w:sz w:val="24"/>
          <w:lang w:val="fr-CA"/>
        </w:rPr>
        <w:t>b</w:t>
      </w:r>
      <w:r w:rsidRPr="003869EC">
        <w:rPr>
          <w:sz w:val="24"/>
          <w:lang w:val="fr-CA"/>
        </w:rPr>
        <w:t>) et 88</w:t>
      </w:r>
      <w:r w:rsidRPr="00353C0E">
        <w:rPr>
          <w:iCs/>
          <w:sz w:val="24"/>
          <w:lang w:val="fr-CA"/>
        </w:rPr>
        <w:t>b</w:t>
      </w:r>
      <w:r w:rsidRPr="003869EC">
        <w:rPr>
          <w:sz w:val="24"/>
          <w:lang w:val="fr-CA"/>
        </w:rPr>
        <w:t>)).</w:t>
      </w:r>
    </w:p>
    <w:p w14:paraId="358D6410" w14:textId="77777777" w:rsidR="003405E8" w:rsidRPr="003869EC" w:rsidRDefault="00DA0C3E" w:rsidP="00732F27">
      <w:pPr>
        <w:pStyle w:val="ListParagraph"/>
        <w:numPr>
          <w:ilvl w:val="0"/>
          <w:numId w:val="1"/>
        </w:numPr>
        <w:spacing w:after="120" w:line="240" w:lineRule="auto"/>
        <w:contextualSpacing w:val="0"/>
        <w:rPr>
          <w:sz w:val="24"/>
          <w:lang w:val="fr-CA"/>
        </w:rPr>
      </w:pPr>
      <w:r w:rsidRPr="003869EC">
        <w:rPr>
          <w:sz w:val="24"/>
          <w:lang w:val="fr-CA"/>
        </w:rPr>
        <w:t xml:space="preserve">Les </w:t>
      </w:r>
      <w:r w:rsidR="00BC0D6F" w:rsidRPr="003869EC">
        <w:rPr>
          <w:sz w:val="24"/>
          <w:lang w:val="fr-CA"/>
        </w:rPr>
        <w:t>institutions</w:t>
      </w:r>
      <w:r w:rsidRPr="003869EC">
        <w:rPr>
          <w:sz w:val="24"/>
          <w:lang w:val="fr-CA"/>
        </w:rPr>
        <w:t xml:space="preserve"> doivent publier les titres et les numéros de référence des notes</w:t>
      </w:r>
      <w:r w:rsidR="008645F6" w:rsidRPr="003869EC">
        <w:rPr>
          <w:sz w:val="24"/>
          <w:lang w:val="fr-CA"/>
        </w:rPr>
        <w:t xml:space="preserve"> d’information</w:t>
      </w:r>
      <w:r w:rsidRPr="003869EC">
        <w:rPr>
          <w:sz w:val="24"/>
          <w:lang w:val="fr-CA"/>
        </w:rPr>
        <w:t xml:space="preserve"> dans le </w:t>
      </w:r>
      <w:r w:rsidR="003869EC" w:rsidRPr="003869EC">
        <w:rPr>
          <w:sz w:val="24"/>
          <w:lang w:val="fr-CA"/>
        </w:rPr>
        <w:t>P</w:t>
      </w:r>
      <w:r w:rsidRPr="003869EC">
        <w:rPr>
          <w:sz w:val="24"/>
          <w:lang w:val="fr-CA"/>
        </w:rPr>
        <w:t xml:space="preserve">ortail </w:t>
      </w:r>
      <w:r w:rsidR="00092A7F" w:rsidRPr="003869EC">
        <w:rPr>
          <w:sz w:val="24"/>
          <w:lang w:val="fr-CA"/>
        </w:rPr>
        <w:t>du g</w:t>
      </w:r>
      <w:r w:rsidRPr="003869EC">
        <w:rPr>
          <w:sz w:val="24"/>
          <w:lang w:val="fr-CA"/>
        </w:rPr>
        <w:t>ouvernement ouvert.</w:t>
      </w:r>
      <w:r w:rsidR="00DC0C92" w:rsidRPr="003869EC">
        <w:rPr>
          <w:sz w:val="24"/>
          <w:lang w:val="fr-CA"/>
        </w:rPr>
        <w:t xml:space="preserve"> </w:t>
      </w:r>
      <w:r w:rsidR="006472D6" w:rsidRPr="003869EC">
        <w:rPr>
          <w:sz w:val="24"/>
          <w:lang w:val="fr-CA"/>
        </w:rPr>
        <w:t>Tous les champs obligatoires du modèle doivent être remplis.</w:t>
      </w:r>
      <w:r w:rsidR="00DC0C92" w:rsidRPr="003869EC">
        <w:rPr>
          <w:sz w:val="24"/>
          <w:lang w:val="fr-CA"/>
        </w:rPr>
        <w:t xml:space="preserve"> </w:t>
      </w:r>
      <w:r w:rsidR="002F0BBB" w:rsidRPr="003869EC">
        <w:rPr>
          <w:sz w:val="24"/>
          <w:lang w:val="fr-CA"/>
        </w:rPr>
        <w:t xml:space="preserve">Les </w:t>
      </w:r>
      <w:r w:rsidR="00BC0D6F" w:rsidRPr="003869EC">
        <w:rPr>
          <w:sz w:val="24"/>
          <w:lang w:val="fr-CA"/>
        </w:rPr>
        <w:t>institutions</w:t>
      </w:r>
      <w:r w:rsidR="002F0BBB" w:rsidRPr="003869EC">
        <w:rPr>
          <w:sz w:val="24"/>
          <w:lang w:val="fr-CA"/>
        </w:rPr>
        <w:t xml:space="preserve"> peuvent utiliser les champs facultatifs pour fournir tout renseignement additionnel </w:t>
      </w:r>
      <w:r w:rsidR="00811943">
        <w:rPr>
          <w:sz w:val="24"/>
          <w:lang w:val="fr-CA"/>
        </w:rPr>
        <w:t>nécessaire</w:t>
      </w:r>
      <w:r w:rsidR="002F0BBB" w:rsidRPr="003869EC">
        <w:rPr>
          <w:sz w:val="24"/>
          <w:lang w:val="fr-CA"/>
        </w:rPr>
        <w:t>.</w:t>
      </w:r>
    </w:p>
    <w:p w14:paraId="5D9B9AAB" w14:textId="77777777" w:rsidR="00F9080E" w:rsidRDefault="00D16B0F" w:rsidP="00732F27">
      <w:pPr>
        <w:pStyle w:val="ListParagraph"/>
        <w:numPr>
          <w:ilvl w:val="0"/>
          <w:numId w:val="1"/>
        </w:numPr>
        <w:spacing w:after="120" w:line="240" w:lineRule="auto"/>
        <w:contextualSpacing w:val="0"/>
        <w:rPr>
          <w:sz w:val="24"/>
          <w:lang w:val="fr-CA"/>
        </w:rPr>
      </w:pPr>
      <w:r w:rsidRPr="003869EC">
        <w:rPr>
          <w:sz w:val="24"/>
          <w:lang w:val="fr-CA"/>
        </w:rPr>
        <w:t xml:space="preserve">Afin de respecter l’échéance de la publication suivante, les </w:t>
      </w:r>
      <w:r w:rsidR="00BC0D6F" w:rsidRPr="003869EC">
        <w:rPr>
          <w:sz w:val="24"/>
          <w:lang w:val="fr-CA"/>
        </w:rPr>
        <w:t>institutions</w:t>
      </w:r>
      <w:r w:rsidRPr="003869EC">
        <w:rPr>
          <w:sz w:val="24"/>
          <w:lang w:val="fr-CA"/>
        </w:rPr>
        <w:t xml:space="preserve"> doivent publier leurs </w:t>
      </w:r>
      <w:r w:rsidR="00811943">
        <w:rPr>
          <w:sz w:val="24"/>
          <w:lang w:val="fr-CA"/>
        </w:rPr>
        <w:t>rapports</w:t>
      </w:r>
      <w:r w:rsidR="00811943" w:rsidRPr="003869EC">
        <w:rPr>
          <w:sz w:val="24"/>
          <w:lang w:val="fr-CA"/>
        </w:rPr>
        <w:t xml:space="preserve"> </w:t>
      </w:r>
      <w:r w:rsidRPr="003869EC">
        <w:rPr>
          <w:sz w:val="24"/>
          <w:lang w:val="fr-CA"/>
        </w:rPr>
        <w:t xml:space="preserve">dans le </w:t>
      </w:r>
      <w:r w:rsidR="003869EC" w:rsidRPr="003869EC">
        <w:rPr>
          <w:sz w:val="24"/>
          <w:lang w:val="fr-CA"/>
        </w:rPr>
        <w:t>P</w:t>
      </w:r>
      <w:r w:rsidRPr="003869EC">
        <w:rPr>
          <w:sz w:val="24"/>
          <w:lang w:val="fr-CA"/>
        </w:rPr>
        <w:t xml:space="preserve">ortail </w:t>
      </w:r>
      <w:r w:rsidRPr="003869EC">
        <w:rPr>
          <w:sz w:val="24"/>
          <w:u w:val="single"/>
          <w:lang w:val="fr-CA"/>
        </w:rPr>
        <w:t>avant la fin de la journée précédente</w:t>
      </w:r>
      <w:r w:rsidRPr="003869EC">
        <w:rPr>
          <w:sz w:val="24"/>
          <w:lang w:val="fr-CA"/>
        </w:rPr>
        <w:t xml:space="preserve"> pour permettre une publication </w:t>
      </w:r>
      <w:r w:rsidR="00811943">
        <w:rPr>
          <w:sz w:val="24"/>
          <w:lang w:val="fr-CA"/>
        </w:rPr>
        <w:t>durant la nuit</w:t>
      </w:r>
      <w:r w:rsidRPr="003869EC">
        <w:rPr>
          <w:sz w:val="24"/>
          <w:lang w:val="fr-CA"/>
        </w:rPr>
        <w:t>.</w:t>
      </w:r>
    </w:p>
    <w:p w14:paraId="0C449903" w14:textId="336508AD" w:rsidR="008B15C1" w:rsidRPr="007875E5" w:rsidRDefault="00F9080E" w:rsidP="007875E5">
      <w:pPr>
        <w:pStyle w:val="ListParagraph"/>
        <w:numPr>
          <w:ilvl w:val="0"/>
          <w:numId w:val="1"/>
        </w:numPr>
        <w:spacing w:after="0" w:line="276" w:lineRule="auto"/>
        <w:rPr>
          <w:rFonts w:eastAsia="Times New Roman"/>
          <w:sz w:val="24"/>
          <w:szCs w:val="24"/>
          <w:lang w:val="fr-CA"/>
        </w:rPr>
      </w:pPr>
      <w:r w:rsidRPr="007875E5">
        <w:rPr>
          <w:sz w:val="24"/>
          <w:szCs w:val="24"/>
          <w:lang w:val="fr-CA"/>
        </w:rPr>
        <w:t>À titre de pratique exemplaire, afin de simplifier les processus de publication proactive, les institutions pourraient demander aux autorités approbatrices des bureaux de première responsabilité (celles responsables de la production des notes d’information) de confirmer que les titres des notes d’information sont bilingues, accessibles et examinés à l’avance pour déterminer les renseignements confidentiels, privilégiés et personnels qui peuvent faire l’objet d’exceptions valides à la publication au début du processus.</w:t>
      </w:r>
    </w:p>
    <w:p w14:paraId="3EAEC622" w14:textId="66BA0C9C" w:rsidR="00732F27" w:rsidRPr="003869EC" w:rsidRDefault="003C07E7" w:rsidP="007875E5">
      <w:pPr>
        <w:pStyle w:val="ListParagraph"/>
        <w:numPr>
          <w:ilvl w:val="0"/>
          <w:numId w:val="1"/>
        </w:numPr>
        <w:spacing w:after="360" w:line="240" w:lineRule="auto"/>
        <w:ind w:left="714" w:hanging="357"/>
        <w:contextualSpacing w:val="0"/>
        <w:rPr>
          <w:sz w:val="24"/>
          <w:lang w:val="fr-CA"/>
        </w:rPr>
      </w:pPr>
      <w:r w:rsidRPr="003869EC">
        <w:rPr>
          <w:sz w:val="24"/>
          <w:lang w:val="fr-CA"/>
        </w:rPr>
        <w:t xml:space="preserve">Des directives détaillées sont </w:t>
      </w:r>
      <w:r w:rsidR="003869EC" w:rsidRPr="003869EC">
        <w:rPr>
          <w:sz w:val="24"/>
          <w:lang w:val="fr-CA"/>
        </w:rPr>
        <w:t>accessibles à partir de GCpédia</w:t>
      </w:r>
      <w:r w:rsidRPr="003869EC">
        <w:rPr>
          <w:sz w:val="24"/>
          <w:lang w:val="fr-CA"/>
        </w:rPr>
        <w:t xml:space="preserve"> : </w:t>
      </w:r>
      <w:hyperlink r:id="rId7" w:history="1">
        <w:r w:rsidR="0046662B">
          <w:rPr>
            <w:rStyle w:val="Hyperlink"/>
            <w:sz w:val="24"/>
            <w:lang w:val="fr-CA"/>
          </w:rPr>
          <w:t>http://www.gcpedia.gc.ca/wiki/AI/PP</w:t>
        </w:r>
      </w:hyperlink>
      <w:r w:rsidRPr="003869EC">
        <w:rPr>
          <w:lang w:val="fr-CA"/>
        </w:rPr>
        <w:t>.</w:t>
      </w:r>
      <w:r w:rsidR="00DC0C92" w:rsidRPr="003869EC">
        <w:rPr>
          <w:sz w:val="24"/>
          <w:lang w:val="fr-CA"/>
        </w:rPr>
        <w:t xml:space="preserve"> </w:t>
      </w:r>
      <w:r w:rsidR="0009759D" w:rsidRPr="003869EC">
        <w:rPr>
          <w:sz w:val="24"/>
          <w:lang w:val="fr-CA"/>
        </w:rPr>
        <w:t>Toute question peut être acheminée vers la boîte aux lettres électronique d</w:t>
      </w:r>
      <w:r w:rsidR="00092A7F" w:rsidRPr="003869EC">
        <w:rPr>
          <w:sz w:val="24"/>
          <w:lang w:val="fr-CA"/>
        </w:rPr>
        <w:t>u</w:t>
      </w:r>
      <w:r w:rsidR="0009759D" w:rsidRPr="003869EC">
        <w:rPr>
          <w:sz w:val="24"/>
          <w:lang w:val="fr-CA"/>
        </w:rPr>
        <w:t xml:space="preserve"> </w:t>
      </w:r>
      <w:r w:rsidR="00092A7F" w:rsidRPr="003869EC">
        <w:rPr>
          <w:sz w:val="24"/>
          <w:lang w:val="fr-CA"/>
        </w:rPr>
        <w:t>g</w:t>
      </w:r>
      <w:r w:rsidR="0009759D" w:rsidRPr="003869EC">
        <w:rPr>
          <w:sz w:val="24"/>
          <w:lang w:val="fr-CA"/>
        </w:rPr>
        <w:t xml:space="preserve">ouvernement ouvert à l’adresse </w:t>
      </w:r>
      <w:hyperlink r:id="rId8" w:history="1">
        <w:r w:rsidR="0009759D" w:rsidRPr="003869EC">
          <w:rPr>
            <w:rStyle w:val="Hyperlink"/>
            <w:sz w:val="24"/>
            <w:szCs w:val="24"/>
            <w:lang w:val="fr-CA"/>
          </w:rPr>
          <w:t>open-ouvert@tbs-sct.gc.ca</w:t>
        </w:r>
      </w:hyperlink>
      <w:r w:rsidR="0009759D" w:rsidRPr="003869EC">
        <w:rPr>
          <w:sz w:val="24"/>
          <w:szCs w:val="24"/>
          <w:lang w:val="fr-CA"/>
        </w:rPr>
        <w:t xml:space="preserve">, ou du Centre de contact de la Division des politiques de l’information et de la protection des renseignements personnels (DPIPRP) </w:t>
      </w:r>
      <w:r w:rsidR="00682345">
        <w:rPr>
          <w:sz w:val="24"/>
          <w:szCs w:val="24"/>
          <w:lang w:val="fr-CA"/>
        </w:rPr>
        <w:t>à</w:t>
      </w:r>
      <w:r w:rsidR="007875E5">
        <w:rPr>
          <w:sz w:val="24"/>
          <w:szCs w:val="24"/>
          <w:lang w:val="fr-CA"/>
        </w:rPr>
        <w:t xml:space="preserve"> </w:t>
      </w:r>
      <w:hyperlink r:id="rId9" w:history="1">
        <w:r w:rsidR="007875E5" w:rsidRPr="003869EC">
          <w:rPr>
            <w:rStyle w:val="Hyperlink"/>
            <w:sz w:val="24"/>
            <w:szCs w:val="24"/>
            <w:lang w:val="fr-CA"/>
          </w:rPr>
          <w:t>ippd-dpiprp@tbs-sct.gc.ca</w:t>
        </w:r>
      </w:hyperlink>
      <w:r w:rsidR="0009759D" w:rsidRPr="003869EC">
        <w:rPr>
          <w:sz w:val="24"/>
          <w:szCs w:val="24"/>
          <w:lang w:val="fr-CA"/>
        </w:rPr>
        <w:t>.</w:t>
      </w:r>
    </w:p>
    <w:p w14:paraId="51F3C91D" w14:textId="77777777" w:rsidR="007F7213" w:rsidRPr="003869EC" w:rsidRDefault="00E7346E" w:rsidP="007F7213">
      <w:pPr>
        <w:spacing w:after="120" w:line="240" w:lineRule="auto"/>
        <w:rPr>
          <w:i/>
          <w:sz w:val="24"/>
          <w:lang w:val="fr-CA"/>
        </w:rPr>
      </w:pPr>
      <w:r w:rsidRPr="003869EC">
        <w:rPr>
          <w:i/>
          <w:sz w:val="24"/>
          <w:lang w:val="fr-CA"/>
        </w:rPr>
        <w:t>Protection des renseignements confidentiels</w:t>
      </w:r>
      <w:r w:rsidR="00811943">
        <w:rPr>
          <w:i/>
          <w:sz w:val="24"/>
          <w:lang w:val="fr-CA"/>
        </w:rPr>
        <w:t>, privilégiés</w:t>
      </w:r>
      <w:r w:rsidRPr="003869EC">
        <w:rPr>
          <w:i/>
          <w:sz w:val="24"/>
          <w:lang w:val="fr-CA"/>
        </w:rPr>
        <w:t xml:space="preserve"> et personnels</w:t>
      </w:r>
    </w:p>
    <w:p w14:paraId="1077314F" w14:textId="3955AC4F" w:rsidR="00C14723" w:rsidRPr="003869EC" w:rsidRDefault="00723545" w:rsidP="007D01CC">
      <w:pPr>
        <w:pStyle w:val="ListParagraph"/>
        <w:numPr>
          <w:ilvl w:val="0"/>
          <w:numId w:val="1"/>
        </w:numPr>
        <w:spacing w:after="120" w:line="240" w:lineRule="auto"/>
        <w:contextualSpacing w:val="0"/>
        <w:rPr>
          <w:sz w:val="24"/>
          <w:lang w:val="fr-CA"/>
        </w:rPr>
      </w:pPr>
      <w:bookmarkStart w:id="0" w:name="_Hlk16241873"/>
      <w:r w:rsidRPr="003869EC">
        <w:rPr>
          <w:sz w:val="24"/>
          <w:lang w:val="fr-CA"/>
        </w:rPr>
        <w:t xml:space="preserve">Les </w:t>
      </w:r>
      <w:r w:rsidR="00A6119D" w:rsidRPr="003869EC">
        <w:rPr>
          <w:sz w:val="24"/>
          <w:lang w:val="fr-CA"/>
        </w:rPr>
        <w:t xml:space="preserve">renseignements </w:t>
      </w:r>
      <w:r w:rsidR="00D2201B">
        <w:rPr>
          <w:sz w:val="24"/>
          <w:lang w:val="fr-CA"/>
        </w:rPr>
        <w:t xml:space="preserve">publiés au titre </w:t>
      </w:r>
      <w:r w:rsidR="008645F6" w:rsidRPr="003869EC">
        <w:rPr>
          <w:sz w:val="24"/>
          <w:lang w:val="fr-CA"/>
        </w:rPr>
        <w:t>d</w:t>
      </w:r>
      <w:r w:rsidR="0046662B">
        <w:rPr>
          <w:sz w:val="24"/>
          <w:lang w:val="fr-CA"/>
        </w:rPr>
        <w:t xml:space="preserve">e la </w:t>
      </w:r>
      <w:r w:rsidR="008645F6" w:rsidRPr="003869EC">
        <w:rPr>
          <w:sz w:val="24"/>
          <w:lang w:val="fr-CA"/>
        </w:rPr>
        <w:t xml:space="preserve">publication proactive </w:t>
      </w:r>
      <w:r w:rsidRPr="003869EC">
        <w:rPr>
          <w:sz w:val="24"/>
          <w:lang w:val="fr-CA"/>
        </w:rPr>
        <w:t>devraient être</w:t>
      </w:r>
      <w:r w:rsidR="002F732E" w:rsidRPr="003869EC">
        <w:rPr>
          <w:sz w:val="24"/>
          <w:lang w:val="fr-CA"/>
        </w:rPr>
        <w:t xml:space="preserve"> les mêmes que </w:t>
      </w:r>
      <w:r w:rsidR="00682345">
        <w:rPr>
          <w:sz w:val="24"/>
          <w:lang w:val="fr-CA"/>
        </w:rPr>
        <w:t>l</w:t>
      </w:r>
      <w:r w:rsidRPr="003869EC">
        <w:rPr>
          <w:sz w:val="24"/>
          <w:lang w:val="fr-CA"/>
        </w:rPr>
        <w:t>es renseignements communiqués en réponse à une demande</w:t>
      </w:r>
      <w:bookmarkEnd w:id="0"/>
      <w:r w:rsidR="00D2201B">
        <w:rPr>
          <w:sz w:val="24"/>
          <w:lang w:val="fr-CA"/>
        </w:rPr>
        <w:t xml:space="preserve"> d’accès</w:t>
      </w:r>
      <w:r w:rsidR="00A6119D" w:rsidRPr="003869EC">
        <w:rPr>
          <w:sz w:val="24"/>
          <w:lang w:val="fr-CA"/>
        </w:rPr>
        <w:t>.</w:t>
      </w:r>
      <w:r w:rsidR="00DC0C92" w:rsidRPr="003869EC">
        <w:rPr>
          <w:sz w:val="24"/>
          <w:lang w:val="fr-CA"/>
        </w:rPr>
        <w:t xml:space="preserve"> </w:t>
      </w:r>
      <w:r w:rsidR="002B6B2E" w:rsidRPr="003869EC">
        <w:rPr>
          <w:sz w:val="24"/>
          <w:lang w:val="fr-CA"/>
        </w:rPr>
        <w:t xml:space="preserve">En d’autres mots, si le titre d’une note d’information dans </w:t>
      </w:r>
      <w:r w:rsidR="002F371A">
        <w:rPr>
          <w:sz w:val="24"/>
          <w:lang w:val="fr-CA"/>
        </w:rPr>
        <w:t xml:space="preserve">une demande </w:t>
      </w:r>
      <w:r w:rsidR="00D2201B">
        <w:rPr>
          <w:sz w:val="24"/>
          <w:lang w:val="fr-CA"/>
        </w:rPr>
        <w:t xml:space="preserve">d’accès </w:t>
      </w:r>
      <w:r w:rsidR="002B6B2E" w:rsidRPr="003869EC">
        <w:rPr>
          <w:sz w:val="24"/>
          <w:lang w:val="fr-CA"/>
        </w:rPr>
        <w:t xml:space="preserve">en vertu de la </w:t>
      </w:r>
      <w:r w:rsidR="00A71950" w:rsidRPr="003869EC">
        <w:rPr>
          <w:sz w:val="24"/>
          <w:lang w:val="fr-CA"/>
        </w:rPr>
        <w:t>p</w:t>
      </w:r>
      <w:r w:rsidR="002B6B2E" w:rsidRPr="003869EC">
        <w:rPr>
          <w:sz w:val="24"/>
          <w:lang w:val="fr-CA"/>
        </w:rPr>
        <w:t xml:space="preserve">artie 1 de la </w:t>
      </w:r>
      <w:r w:rsidR="00D2201B">
        <w:rPr>
          <w:sz w:val="24"/>
          <w:lang w:val="fr-CA"/>
        </w:rPr>
        <w:t>L</w:t>
      </w:r>
      <w:r w:rsidR="002B6B2E" w:rsidRPr="003869EC">
        <w:rPr>
          <w:sz w:val="24"/>
          <w:lang w:val="fr-CA"/>
        </w:rPr>
        <w:t xml:space="preserve">oi (le processus </w:t>
      </w:r>
      <w:r w:rsidR="0046662B">
        <w:rPr>
          <w:sz w:val="24"/>
          <w:lang w:val="fr-CA"/>
        </w:rPr>
        <w:t xml:space="preserve">basé sur les </w:t>
      </w:r>
      <w:r w:rsidR="008645F6" w:rsidRPr="003869EC">
        <w:rPr>
          <w:sz w:val="24"/>
          <w:lang w:val="fr-CA"/>
        </w:rPr>
        <w:t>demande</w:t>
      </w:r>
      <w:r w:rsidR="00D2201B">
        <w:rPr>
          <w:sz w:val="24"/>
          <w:lang w:val="fr-CA"/>
        </w:rPr>
        <w:t>s</w:t>
      </w:r>
      <w:r w:rsidR="002B6B2E" w:rsidRPr="003869EC">
        <w:rPr>
          <w:sz w:val="24"/>
          <w:lang w:val="fr-CA"/>
        </w:rPr>
        <w:t xml:space="preserve">) </w:t>
      </w:r>
      <w:r w:rsidR="0046662B">
        <w:rPr>
          <w:sz w:val="24"/>
          <w:lang w:val="fr-CA"/>
        </w:rPr>
        <w:t>était</w:t>
      </w:r>
      <w:r w:rsidR="002B6B2E" w:rsidRPr="003869EC">
        <w:rPr>
          <w:sz w:val="24"/>
          <w:lang w:val="fr-CA"/>
        </w:rPr>
        <w:t xml:space="preserve"> </w:t>
      </w:r>
      <w:r w:rsidR="002F732E" w:rsidRPr="003869EC">
        <w:rPr>
          <w:sz w:val="24"/>
          <w:lang w:val="fr-CA"/>
        </w:rPr>
        <w:t xml:space="preserve">caviardé </w:t>
      </w:r>
      <w:r w:rsidR="002B6B2E" w:rsidRPr="003869EC">
        <w:rPr>
          <w:sz w:val="24"/>
          <w:lang w:val="fr-CA"/>
        </w:rPr>
        <w:t>en intégralité ou partiellement en raison d’une ex</w:t>
      </w:r>
      <w:r w:rsidR="002F371A">
        <w:rPr>
          <w:sz w:val="24"/>
          <w:lang w:val="fr-CA"/>
        </w:rPr>
        <w:t>ce</w:t>
      </w:r>
      <w:r w:rsidR="002B6B2E" w:rsidRPr="003869EC">
        <w:rPr>
          <w:sz w:val="24"/>
          <w:lang w:val="fr-CA"/>
        </w:rPr>
        <w:t xml:space="preserve">ption ou d’une exclusion </w:t>
      </w:r>
      <w:r w:rsidR="002F371A">
        <w:rPr>
          <w:sz w:val="24"/>
          <w:lang w:val="fr-CA"/>
        </w:rPr>
        <w:t>dans</w:t>
      </w:r>
      <w:r w:rsidR="002B6B2E" w:rsidRPr="003869EC">
        <w:rPr>
          <w:sz w:val="24"/>
          <w:lang w:val="fr-CA"/>
        </w:rPr>
        <w:t xml:space="preserve"> la </w:t>
      </w:r>
      <w:r w:rsidR="00F9676A">
        <w:rPr>
          <w:sz w:val="24"/>
          <w:lang w:val="fr-CA"/>
        </w:rPr>
        <w:t>L</w:t>
      </w:r>
      <w:r w:rsidR="002B6B2E" w:rsidRPr="003869EC">
        <w:rPr>
          <w:sz w:val="24"/>
          <w:lang w:val="fr-CA"/>
        </w:rPr>
        <w:t>oi, les mêmes</w:t>
      </w:r>
      <w:r w:rsidR="002F732E" w:rsidRPr="003869EC">
        <w:rPr>
          <w:sz w:val="24"/>
          <w:lang w:val="fr-CA"/>
        </w:rPr>
        <w:t xml:space="preserve"> parties du titre </w:t>
      </w:r>
      <w:r w:rsidR="002B6B2E" w:rsidRPr="003869EC">
        <w:rPr>
          <w:sz w:val="24"/>
          <w:lang w:val="fr-CA"/>
        </w:rPr>
        <w:t xml:space="preserve">devraient </w:t>
      </w:r>
      <w:r w:rsidR="002F732E" w:rsidRPr="003869EC">
        <w:rPr>
          <w:sz w:val="24"/>
          <w:lang w:val="fr-CA"/>
        </w:rPr>
        <w:t>être caviardé</w:t>
      </w:r>
      <w:r w:rsidR="00D20763" w:rsidRPr="003869EC">
        <w:rPr>
          <w:sz w:val="24"/>
          <w:lang w:val="fr-CA"/>
        </w:rPr>
        <w:t>e</w:t>
      </w:r>
      <w:r w:rsidR="002F732E" w:rsidRPr="003869EC">
        <w:rPr>
          <w:sz w:val="24"/>
          <w:lang w:val="fr-CA"/>
        </w:rPr>
        <w:t xml:space="preserve">s </w:t>
      </w:r>
      <w:r w:rsidR="002B6B2E" w:rsidRPr="003869EC">
        <w:rPr>
          <w:sz w:val="24"/>
          <w:lang w:val="fr-CA"/>
        </w:rPr>
        <w:t xml:space="preserve">lorsque le titre de la note d’information est </w:t>
      </w:r>
      <w:r w:rsidR="0046662B">
        <w:rPr>
          <w:sz w:val="24"/>
          <w:lang w:val="fr-CA"/>
        </w:rPr>
        <w:t>publié de manière</w:t>
      </w:r>
      <w:r w:rsidR="002B6B2E" w:rsidRPr="003869EC">
        <w:rPr>
          <w:sz w:val="24"/>
          <w:lang w:val="fr-CA"/>
        </w:rPr>
        <w:t xml:space="preserve"> proactive, conformément à la </w:t>
      </w:r>
      <w:r w:rsidR="00A71950" w:rsidRPr="003869EC">
        <w:rPr>
          <w:sz w:val="24"/>
          <w:lang w:val="fr-CA"/>
        </w:rPr>
        <w:t>p</w:t>
      </w:r>
      <w:r w:rsidR="002B6B2E" w:rsidRPr="003869EC">
        <w:rPr>
          <w:sz w:val="24"/>
          <w:lang w:val="fr-CA"/>
        </w:rPr>
        <w:t>artie 2.</w:t>
      </w:r>
    </w:p>
    <w:p w14:paraId="47AB5A06" w14:textId="77777777" w:rsidR="002F371A" w:rsidRPr="00353C0E" w:rsidRDefault="002F371A" w:rsidP="002F371A">
      <w:pPr>
        <w:pStyle w:val="ListParagraph"/>
        <w:numPr>
          <w:ilvl w:val="0"/>
          <w:numId w:val="1"/>
        </w:numPr>
        <w:spacing w:after="120" w:line="240" w:lineRule="auto"/>
        <w:contextualSpacing w:val="0"/>
        <w:rPr>
          <w:sz w:val="24"/>
          <w:lang w:val="fr-CA"/>
        </w:rPr>
      </w:pPr>
      <w:r>
        <w:rPr>
          <w:sz w:val="24"/>
          <w:lang w:val="fr-CA"/>
        </w:rPr>
        <w:lastRenderedPageBreak/>
        <w:t>La Loi stipule qu’il n’est pas requis de publier de manière proactive</w:t>
      </w:r>
      <w:r w:rsidR="00F9676A">
        <w:rPr>
          <w:sz w:val="24"/>
          <w:lang w:val="fr-CA"/>
        </w:rPr>
        <w:t>,</w:t>
      </w:r>
      <w:r>
        <w:rPr>
          <w:sz w:val="24"/>
          <w:lang w:val="fr-CA"/>
        </w:rPr>
        <w:t xml:space="preserve"> en vertu de la partie 2, les renseignements </w:t>
      </w:r>
      <w:r w:rsidRPr="003869EC">
        <w:rPr>
          <w:sz w:val="24"/>
          <w:lang w:val="fr-CA"/>
        </w:rPr>
        <w:t xml:space="preserve">qui </w:t>
      </w:r>
      <w:r w:rsidRPr="003869EC">
        <w:rPr>
          <w:sz w:val="24"/>
          <w:u w:val="single"/>
          <w:lang w:val="fr-CA"/>
        </w:rPr>
        <w:t>peuvent</w:t>
      </w:r>
      <w:r w:rsidRPr="003869EC">
        <w:rPr>
          <w:sz w:val="24"/>
          <w:lang w:val="fr-CA"/>
        </w:rPr>
        <w:t xml:space="preserve"> faire l’objet d’une retenue si une demande est faite </w:t>
      </w:r>
      <w:r w:rsidR="0046662B">
        <w:rPr>
          <w:sz w:val="24"/>
          <w:lang w:val="fr-CA"/>
        </w:rPr>
        <w:t xml:space="preserve">au titre du </w:t>
      </w:r>
      <w:r w:rsidRPr="003869EC">
        <w:rPr>
          <w:sz w:val="24"/>
          <w:lang w:val="fr-CA"/>
        </w:rPr>
        <w:t xml:space="preserve">processus </w:t>
      </w:r>
      <w:r w:rsidR="00F9676A">
        <w:rPr>
          <w:sz w:val="24"/>
          <w:lang w:val="fr-CA"/>
        </w:rPr>
        <w:t xml:space="preserve">basé sur les </w:t>
      </w:r>
      <w:r w:rsidRPr="003869EC">
        <w:rPr>
          <w:sz w:val="24"/>
          <w:lang w:val="fr-CA"/>
        </w:rPr>
        <w:t>demande</w:t>
      </w:r>
      <w:r w:rsidR="00F9676A">
        <w:rPr>
          <w:sz w:val="24"/>
          <w:lang w:val="fr-CA"/>
        </w:rPr>
        <w:t>s</w:t>
      </w:r>
      <w:r>
        <w:rPr>
          <w:sz w:val="24"/>
          <w:lang w:val="fr-CA"/>
        </w:rPr>
        <w:t xml:space="preserve"> </w:t>
      </w:r>
      <w:r w:rsidRPr="003869EC">
        <w:rPr>
          <w:sz w:val="24"/>
          <w:lang w:val="fr-CA"/>
        </w:rPr>
        <w:t>(paragraphes 80(1) et 90(1)).</w:t>
      </w:r>
    </w:p>
    <w:p w14:paraId="13A9661C" w14:textId="77777777" w:rsidR="00723545" w:rsidRPr="003869EC" w:rsidRDefault="00937DFA" w:rsidP="007D01CC">
      <w:pPr>
        <w:pStyle w:val="ListParagraph"/>
        <w:numPr>
          <w:ilvl w:val="0"/>
          <w:numId w:val="1"/>
        </w:numPr>
        <w:spacing w:after="120" w:line="240" w:lineRule="auto"/>
        <w:contextualSpacing w:val="0"/>
        <w:rPr>
          <w:sz w:val="24"/>
          <w:lang w:val="fr-CA"/>
        </w:rPr>
      </w:pPr>
      <w:r>
        <w:rPr>
          <w:sz w:val="24"/>
          <w:lang w:val="fr-CA"/>
        </w:rPr>
        <w:t>La L</w:t>
      </w:r>
      <w:r w:rsidR="00723545" w:rsidRPr="003869EC">
        <w:rPr>
          <w:sz w:val="24"/>
          <w:lang w:val="fr-CA"/>
        </w:rPr>
        <w:t xml:space="preserve">oi stipule que les renseignements qui </w:t>
      </w:r>
      <w:r w:rsidR="00723545" w:rsidRPr="003869EC">
        <w:rPr>
          <w:sz w:val="24"/>
          <w:u w:val="single"/>
          <w:lang w:val="fr-CA"/>
        </w:rPr>
        <w:t>doivent</w:t>
      </w:r>
      <w:r w:rsidR="00723545" w:rsidRPr="003869EC">
        <w:rPr>
          <w:sz w:val="24"/>
          <w:lang w:val="fr-CA"/>
        </w:rPr>
        <w:t xml:space="preserve"> </w:t>
      </w:r>
      <w:r w:rsidR="00F9676A">
        <w:rPr>
          <w:sz w:val="24"/>
          <w:lang w:val="fr-CA"/>
        </w:rPr>
        <w:t>faire l’objet d’une exception ou d’une exclusion</w:t>
      </w:r>
      <w:r w:rsidR="00723545" w:rsidRPr="003869EC">
        <w:rPr>
          <w:sz w:val="24"/>
          <w:lang w:val="fr-CA"/>
        </w:rPr>
        <w:t xml:space="preserve">, si une demande est faite </w:t>
      </w:r>
      <w:r w:rsidR="0046662B">
        <w:rPr>
          <w:sz w:val="24"/>
          <w:lang w:val="fr-CA"/>
        </w:rPr>
        <w:t>au titre du</w:t>
      </w:r>
      <w:r w:rsidR="00723545" w:rsidRPr="003869EC">
        <w:rPr>
          <w:sz w:val="24"/>
          <w:lang w:val="fr-CA"/>
        </w:rPr>
        <w:t xml:space="preserve"> processus </w:t>
      </w:r>
      <w:r w:rsidR="00F9676A">
        <w:rPr>
          <w:sz w:val="24"/>
          <w:lang w:val="fr-CA"/>
        </w:rPr>
        <w:t>basé sur les demandes</w:t>
      </w:r>
      <w:r w:rsidR="00723545" w:rsidRPr="003869EC">
        <w:rPr>
          <w:sz w:val="24"/>
          <w:lang w:val="fr-CA"/>
        </w:rPr>
        <w:t xml:space="preserve">, ne </w:t>
      </w:r>
      <w:r w:rsidR="00723545" w:rsidRPr="003869EC">
        <w:rPr>
          <w:sz w:val="24"/>
          <w:u w:val="single"/>
          <w:lang w:val="fr-CA"/>
        </w:rPr>
        <w:t>doivent pas</w:t>
      </w:r>
      <w:r w:rsidR="00723545" w:rsidRPr="003869EC">
        <w:rPr>
          <w:sz w:val="24"/>
          <w:lang w:val="fr-CA"/>
        </w:rPr>
        <w:t xml:space="preserve"> être publiés de manière proactive (paragraphes 80(2) et 90(2)).</w:t>
      </w:r>
    </w:p>
    <w:p w14:paraId="64BEF00D" w14:textId="77777777" w:rsidR="000B20F5" w:rsidRPr="003869EC" w:rsidRDefault="00844CB1" w:rsidP="007D01CC">
      <w:pPr>
        <w:pStyle w:val="ListParagraph"/>
        <w:numPr>
          <w:ilvl w:val="0"/>
          <w:numId w:val="1"/>
        </w:numPr>
        <w:spacing w:after="120" w:line="240" w:lineRule="auto"/>
        <w:contextualSpacing w:val="0"/>
        <w:rPr>
          <w:sz w:val="24"/>
          <w:lang w:val="fr-CA"/>
        </w:rPr>
      </w:pPr>
      <w:r w:rsidRPr="003869EC">
        <w:rPr>
          <w:sz w:val="24"/>
          <w:lang w:val="fr-CA"/>
        </w:rPr>
        <w:t xml:space="preserve">Si un titre peut être divulgué partiellement, une telle action </w:t>
      </w:r>
      <w:r w:rsidR="00F85BD8" w:rsidRPr="00EC2387">
        <w:rPr>
          <w:sz w:val="24"/>
          <w:lang w:val="fr-CA"/>
        </w:rPr>
        <w:t>respecterait</w:t>
      </w:r>
      <w:r w:rsidRPr="003869EC">
        <w:rPr>
          <w:sz w:val="24"/>
          <w:lang w:val="fr-CA"/>
        </w:rPr>
        <w:t xml:space="preserve"> l’esprit et l’intention de la </w:t>
      </w:r>
      <w:r w:rsidR="00F9676A">
        <w:rPr>
          <w:sz w:val="24"/>
          <w:lang w:val="fr-CA"/>
        </w:rPr>
        <w:t>L</w:t>
      </w:r>
      <w:r w:rsidRPr="003869EC">
        <w:rPr>
          <w:sz w:val="24"/>
          <w:lang w:val="fr-CA"/>
        </w:rPr>
        <w:t>oi.</w:t>
      </w:r>
      <w:r w:rsidR="00DC0C92" w:rsidRPr="003869EC">
        <w:rPr>
          <w:sz w:val="24"/>
          <w:lang w:val="fr-CA"/>
        </w:rPr>
        <w:t xml:space="preserve"> </w:t>
      </w:r>
    </w:p>
    <w:p w14:paraId="0C0BFF30" w14:textId="77777777" w:rsidR="00712EFE" w:rsidRPr="003869EC" w:rsidRDefault="00815FA3" w:rsidP="00AD5893">
      <w:pPr>
        <w:pStyle w:val="ListParagraph"/>
        <w:numPr>
          <w:ilvl w:val="0"/>
          <w:numId w:val="1"/>
        </w:numPr>
        <w:spacing w:after="120" w:line="240" w:lineRule="auto"/>
        <w:contextualSpacing w:val="0"/>
        <w:rPr>
          <w:sz w:val="24"/>
          <w:lang w:val="fr-CA"/>
        </w:rPr>
      </w:pPr>
      <w:r w:rsidRPr="003869EC">
        <w:rPr>
          <w:sz w:val="24"/>
          <w:lang w:val="fr-CA"/>
        </w:rPr>
        <w:t xml:space="preserve">Lorsque le titre d’une note d’information </w:t>
      </w:r>
      <w:r w:rsidR="00723545" w:rsidRPr="003869EC">
        <w:rPr>
          <w:sz w:val="24"/>
          <w:lang w:val="fr-CA"/>
        </w:rPr>
        <w:t>est</w:t>
      </w:r>
      <w:r w:rsidRPr="003869EC">
        <w:rPr>
          <w:sz w:val="24"/>
          <w:lang w:val="fr-CA"/>
        </w:rPr>
        <w:t xml:space="preserve"> </w:t>
      </w:r>
      <w:r w:rsidR="002F732E" w:rsidRPr="003869EC">
        <w:rPr>
          <w:sz w:val="24"/>
          <w:lang w:val="fr-CA"/>
        </w:rPr>
        <w:t xml:space="preserve">caviardé </w:t>
      </w:r>
      <w:r w:rsidRPr="003869EC">
        <w:rPr>
          <w:sz w:val="24"/>
          <w:lang w:val="fr-CA"/>
        </w:rPr>
        <w:t xml:space="preserve">en intégralité pour </w:t>
      </w:r>
      <w:r w:rsidR="002F732E" w:rsidRPr="003869EC">
        <w:rPr>
          <w:sz w:val="24"/>
          <w:lang w:val="fr-CA"/>
        </w:rPr>
        <w:t xml:space="preserve">refléter </w:t>
      </w:r>
      <w:r w:rsidRPr="003869EC">
        <w:rPr>
          <w:sz w:val="24"/>
          <w:lang w:val="fr-CA"/>
        </w:rPr>
        <w:t xml:space="preserve">une </w:t>
      </w:r>
      <w:r w:rsidR="00937DFA" w:rsidRPr="003869EC">
        <w:rPr>
          <w:sz w:val="24"/>
          <w:lang w:val="fr-CA"/>
        </w:rPr>
        <w:t>ex</w:t>
      </w:r>
      <w:r w:rsidR="00937DFA">
        <w:rPr>
          <w:sz w:val="24"/>
          <w:lang w:val="fr-CA"/>
        </w:rPr>
        <w:t>ce</w:t>
      </w:r>
      <w:r w:rsidR="00937DFA" w:rsidRPr="003869EC">
        <w:rPr>
          <w:sz w:val="24"/>
          <w:lang w:val="fr-CA"/>
        </w:rPr>
        <w:t xml:space="preserve">ption </w:t>
      </w:r>
      <w:r w:rsidRPr="003869EC">
        <w:rPr>
          <w:sz w:val="24"/>
          <w:lang w:val="fr-CA"/>
        </w:rPr>
        <w:t>d</w:t>
      </w:r>
      <w:r w:rsidR="00294720">
        <w:rPr>
          <w:sz w:val="24"/>
          <w:lang w:val="fr-CA"/>
        </w:rPr>
        <w:t>ans</w:t>
      </w:r>
      <w:r w:rsidRPr="003869EC">
        <w:rPr>
          <w:sz w:val="24"/>
          <w:lang w:val="fr-CA"/>
        </w:rPr>
        <w:t xml:space="preserve"> la </w:t>
      </w:r>
      <w:r w:rsidR="00F9676A">
        <w:rPr>
          <w:sz w:val="24"/>
          <w:lang w:val="fr-CA"/>
        </w:rPr>
        <w:t>L</w:t>
      </w:r>
      <w:r w:rsidRPr="003869EC">
        <w:rPr>
          <w:sz w:val="24"/>
          <w:lang w:val="fr-CA"/>
        </w:rPr>
        <w:t xml:space="preserve">oi, les institutions </w:t>
      </w:r>
      <w:r w:rsidR="00937DFA" w:rsidRPr="003869EC">
        <w:rPr>
          <w:sz w:val="24"/>
          <w:lang w:val="fr-CA"/>
        </w:rPr>
        <w:t>d</w:t>
      </w:r>
      <w:r w:rsidR="00937DFA">
        <w:rPr>
          <w:sz w:val="24"/>
          <w:lang w:val="fr-CA"/>
        </w:rPr>
        <w:t>evraient</w:t>
      </w:r>
      <w:r w:rsidR="00937DFA" w:rsidRPr="003869EC">
        <w:rPr>
          <w:sz w:val="24"/>
          <w:lang w:val="fr-CA"/>
        </w:rPr>
        <w:t xml:space="preserve"> </w:t>
      </w:r>
      <w:r w:rsidRPr="003869EC">
        <w:rPr>
          <w:sz w:val="24"/>
          <w:lang w:val="fr-CA"/>
        </w:rPr>
        <w:t>tout de même publier le numéro de référence de la note</w:t>
      </w:r>
      <w:r w:rsidR="008645F6" w:rsidRPr="003869EC">
        <w:rPr>
          <w:sz w:val="24"/>
          <w:lang w:val="fr-CA"/>
        </w:rPr>
        <w:t xml:space="preserve"> d’information</w:t>
      </w:r>
      <w:r w:rsidRPr="003869EC">
        <w:rPr>
          <w:sz w:val="24"/>
          <w:lang w:val="fr-CA"/>
        </w:rPr>
        <w:t xml:space="preserve"> et remplir </w:t>
      </w:r>
      <w:r w:rsidR="00F85BD8">
        <w:rPr>
          <w:sz w:val="24"/>
          <w:lang w:val="fr-CA"/>
        </w:rPr>
        <w:t xml:space="preserve">les </w:t>
      </w:r>
      <w:r w:rsidRPr="003869EC">
        <w:rPr>
          <w:sz w:val="24"/>
          <w:lang w:val="fr-CA"/>
        </w:rPr>
        <w:t>autres champs.</w:t>
      </w:r>
      <w:r w:rsidR="00DC0C92" w:rsidRPr="003869EC">
        <w:rPr>
          <w:sz w:val="24"/>
          <w:lang w:val="fr-CA"/>
        </w:rPr>
        <w:t xml:space="preserve"> </w:t>
      </w:r>
      <w:r w:rsidR="00092A7F" w:rsidRPr="003869EC">
        <w:rPr>
          <w:sz w:val="24"/>
          <w:lang w:val="fr-CA"/>
        </w:rPr>
        <w:t>À titre d’</w:t>
      </w:r>
      <w:r w:rsidR="00E10A9A" w:rsidRPr="003869EC">
        <w:rPr>
          <w:sz w:val="24"/>
          <w:lang w:val="fr-CA"/>
        </w:rPr>
        <w:t xml:space="preserve">exception, une situation </w:t>
      </w:r>
      <w:r w:rsidR="00F9676A">
        <w:rPr>
          <w:sz w:val="24"/>
          <w:lang w:val="fr-CA"/>
        </w:rPr>
        <w:t>où</w:t>
      </w:r>
      <w:r w:rsidR="00E10A9A" w:rsidRPr="003869EC">
        <w:rPr>
          <w:sz w:val="24"/>
          <w:lang w:val="fr-CA"/>
        </w:rPr>
        <w:t xml:space="preserve"> la publication du numéro de référence ou </w:t>
      </w:r>
      <w:r w:rsidR="00EC2387">
        <w:rPr>
          <w:sz w:val="24"/>
          <w:lang w:val="fr-CA"/>
        </w:rPr>
        <w:t>d</w:t>
      </w:r>
      <w:r w:rsidR="00E10A9A" w:rsidRPr="003869EC">
        <w:rPr>
          <w:sz w:val="24"/>
          <w:lang w:val="fr-CA"/>
        </w:rPr>
        <w:t xml:space="preserve">es renseignements dans d’autres champs obligatoires </w:t>
      </w:r>
      <w:r w:rsidR="00F85BD8">
        <w:rPr>
          <w:sz w:val="24"/>
          <w:lang w:val="fr-CA"/>
        </w:rPr>
        <w:t>du</w:t>
      </w:r>
      <w:r w:rsidR="00E10A9A" w:rsidRPr="003869EC">
        <w:rPr>
          <w:sz w:val="24"/>
          <w:lang w:val="fr-CA"/>
        </w:rPr>
        <w:t xml:space="preserve"> modèle d</w:t>
      </w:r>
      <w:r w:rsidR="00A71950" w:rsidRPr="003869EC">
        <w:rPr>
          <w:sz w:val="24"/>
          <w:lang w:val="fr-CA"/>
        </w:rPr>
        <w:t>u</w:t>
      </w:r>
      <w:r w:rsidR="00E10A9A" w:rsidRPr="003869EC">
        <w:rPr>
          <w:sz w:val="24"/>
          <w:lang w:val="fr-CA"/>
        </w:rPr>
        <w:t xml:space="preserve"> </w:t>
      </w:r>
      <w:r w:rsidR="00A71950" w:rsidRPr="003869EC">
        <w:rPr>
          <w:sz w:val="24"/>
          <w:lang w:val="fr-CA"/>
        </w:rPr>
        <w:t>g</w:t>
      </w:r>
      <w:r w:rsidR="00E10A9A" w:rsidRPr="003869EC">
        <w:rPr>
          <w:sz w:val="24"/>
          <w:lang w:val="fr-CA"/>
        </w:rPr>
        <w:t xml:space="preserve">ouvernement ouvert pourrait, dans un contexte réel précis, permettre de déterminer quels sont les renseignements </w:t>
      </w:r>
      <w:r w:rsidR="00BA288B" w:rsidRPr="003869EC">
        <w:rPr>
          <w:sz w:val="24"/>
          <w:lang w:val="fr-CA"/>
        </w:rPr>
        <w:t>caviardés</w:t>
      </w:r>
      <w:r w:rsidR="00E10A9A" w:rsidRPr="003869EC">
        <w:rPr>
          <w:sz w:val="24"/>
          <w:lang w:val="fr-CA"/>
        </w:rPr>
        <w:t>.</w:t>
      </w:r>
    </w:p>
    <w:p w14:paraId="43498D75" w14:textId="77777777" w:rsidR="00F8095D" w:rsidRPr="003869EC" w:rsidRDefault="00BA288B" w:rsidP="007D01CC">
      <w:pPr>
        <w:pStyle w:val="ListParagraph"/>
        <w:numPr>
          <w:ilvl w:val="0"/>
          <w:numId w:val="1"/>
        </w:numPr>
        <w:spacing w:after="120" w:line="240" w:lineRule="auto"/>
        <w:ind w:left="714" w:hanging="357"/>
        <w:contextualSpacing w:val="0"/>
        <w:rPr>
          <w:sz w:val="24"/>
          <w:lang w:val="fr-CA"/>
        </w:rPr>
      </w:pPr>
      <w:r w:rsidRPr="003869EC">
        <w:rPr>
          <w:sz w:val="24"/>
          <w:lang w:val="fr-CA"/>
        </w:rPr>
        <w:t>Si le caviardage est nécessaire</w:t>
      </w:r>
      <w:r w:rsidR="009E777E" w:rsidRPr="003869EC">
        <w:rPr>
          <w:sz w:val="24"/>
          <w:lang w:val="fr-CA"/>
        </w:rPr>
        <w:t xml:space="preserve"> (partiel ou intégral), veuillez indiquer *</w:t>
      </w:r>
      <w:r w:rsidRPr="003869EC">
        <w:rPr>
          <w:sz w:val="24"/>
          <w:lang w:val="fr-CA"/>
        </w:rPr>
        <w:t>caviardé</w:t>
      </w:r>
      <w:r w:rsidR="009E777E" w:rsidRPr="003869EC">
        <w:rPr>
          <w:sz w:val="24"/>
          <w:lang w:val="fr-CA"/>
        </w:rPr>
        <w:t xml:space="preserve">* en remplacement </w:t>
      </w:r>
      <w:r w:rsidR="00EC2387">
        <w:rPr>
          <w:sz w:val="24"/>
          <w:lang w:val="fr-CA"/>
        </w:rPr>
        <w:t>des renseignements non publiés</w:t>
      </w:r>
      <w:r w:rsidR="009E777E" w:rsidRPr="003869EC">
        <w:rPr>
          <w:sz w:val="24"/>
          <w:lang w:val="fr-CA"/>
        </w:rPr>
        <w:t>.</w:t>
      </w:r>
    </w:p>
    <w:p w14:paraId="77C4A41B" w14:textId="77777777" w:rsidR="00DA5510" w:rsidRPr="003869EC" w:rsidRDefault="0053324C" w:rsidP="007D01CC">
      <w:pPr>
        <w:pStyle w:val="ListParagraph"/>
        <w:numPr>
          <w:ilvl w:val="0"/>
          <w:numId w:val="1"/>
        </w:numPr>
        <w:spacing w:after="120" w:line="240" w:lineRule="auto"/>
        <w:ind w:left="714" w:hanging="357"/>
        <w:contextualSpacing w:val="0"/>
        <w:rPr>
          <w:i/>
          <w:sz w:val="24"/>
          <w:lang w:val="fr-CA"/>
        </w:rPr>
      </w:pPr>
      <w:r w:rsidRPr="003869EC">
        <w:rPr>
          <w:sz w:val="24"/>
          <w:lang w:val="fr-CA"/>
        </w:rPr>
        <w:t>Pour le</w:t>
      </w:r>
      <w:r w:rsidR="00EC2387">
        <w:rPr>
          <w:sz w:val="24"/>
          <w:lang w:val="fr-CA"/>
        </w:rPr>
        <w:t>s renseignements</w:t>
      </w:r>
      <w:r w:rsidR="00294720">
        <w:rPr>
          <w:sz w:val="24"/>
          <w:lang w:val="fr-CA"/>
        </w:rPr>
        <w:t xml:space="preserve"> </w:t>
      </w:r>
      <w:r w:rsidRPr="003869EC">
        <w:rPr>
          <w:sz w:val="24"/>
          <w:lang w:val="fr-CA"/>
        </w:rPr>
        <w:t>publié</w:t>
      </w:r>
      <w:r w:rsidR="00EC2387">
        <w:rPr>
          <w:sz w:val="24"/>
          <w:lang w:val="fr-CA"/>
        </w:rPr>
        <w:t>s</w:t>
      </w:r>
      <w:r w:rsidRPr="003869EC">
        <w:rPr>
          <w:sz w:val="24"/>
          <w:lang w:val="fr-CA"/>
        </w:rPr>
        <w:t xml:space="preserve"> de manière proactive, rien n’exige de noter les motifs d</w:t>
      </w:r>
      <w:r w:rsidR="00EC2306" w:rsidRPr="003869EC">
        <w:rPr>
          <w:sz w:val="24"/>
          <w:lang w:val="fr-CA"/>
        </w:rPr>
        <w:t>u caviardage</w:t>
      </w:r>
      <w:r w:rsidRPr="003869EC">
        <w:rPr>
          <w:sz w:val="24"/>
          <w:lang w:val="fr-CA"/>
        </w:rPr>
        <w:t>.</w:t>
      </w:r>
    </w:p>
    <w:p w14:paraId="4DD8A182" w14:textId="77777777" w:rsidR="004110D6" w:rsidRPr="003869EC" w:rsidRDefault="001C4397" w:rsidP="007D01CC">
      <w:pPr>
        <w:spacing w:after="120" w:line="240" w:lineRule="auto"/>
        <w:rPr>
          <w:i/>
          <w:sz w:val="24"/>
          <w:lang w:val="fr-CA"/>
        </w:rPr>
      </w:pPr>
      <w:r w:rsidRPr="003869EC">
        <w:rPr>
          <w:i/>
          <w:sz w:val="24"/>
          <w:lang w:val="fr-CA"/>
        </w:rPr>
        <w:t>Document</w:t>
      </w:r>
      <w:r w:rsidR="00091DED" w:rsidRPr="003869EC">
        <w:rPr>
          <w:i/>
          <w:sz w:val="24"/>
          <w:lang w:val="fr-CA"/>
        </w:rPr>
        <w:t xml:space="preserve"> confidentiels</w:t>
      </w:r>
      <w:r w:rsidR="00213807" w:rsidRPr="003869EC">
        <w:rPr>
          <w:i/>
          <w:sz w:val="24"/>
          <w:lang w:val="fr-CA"/>
        </w:rPr>
        <w:t xml:space="preserve"> du Conseil privé de la Reine (</w:t>
      </w:r>
      <w:r w:rsidRPr="003869EC">
        <w:rPr>
          <w:i/>
          <w:sz w:val="24"/>
          <w:lang w:val="fr-CA"/>
        </w:rPr>
        <w:t>documents</w:t>
      </w:r>
      <w:r w:rsidR="007C761D" w:rsidRPr="003869EC">
        <w:rPr>
          <w:i/>
          <w:sz w:val="24"/>
          <w:lang w:val="fr-CA"/>
        </w:rPr>
        <w:t xml:space="preserve"> </w:t>
      </w:r>
      <w:r w:rsidR="00213807" w:rsidRPr="003869EC">
        <w:rPr>
          <w:i/>
          <w:sz w:val="24"/>
          <w:lang w:val="fr-CA"/>
        </w:rPr>
        <w:t>confidentiels</w:t>
      </w:r>
      <w:r w:rsidR="002C1EC0">
        <w:rPr>
          <w:i/>
          <w:sz w:val="24"/>
          <w:lang w:val="fr-CA"/>
        </w:rPr>
        <w:t xml:space="preserve"> </w:t>
      </w:r>
      <w:r w:rsidR="00213807" w:rsidRPr="003869EC">
        <w:rPr>
          <w:i/>
          <w:sz w:val="24"/>
          <w:lang w:val="fr-CA"/>
        </w:rPr>
        <w:t>du Cabinet)</w:t>
      </w:r>
    </w:p>
    <w:p w14:paraId="0AB8E241" w14:textId="77777777" w:rsidR="00815B4F" w:rsidRPr="003869EC" w:rsidRDefault="001F6EB1" w:rsidP="007D01CC">
      <w:pPr>
        <w:pStyle w:val="ListParagraph"/>
        <w:numPr>
          <w:ilvl w:val="0"/>
          <w:numId w:val="1"/>
        </w:numPr>
        <w:spacing w:after="120" w:line="240" w:lineRule="auto"/>
        <w:contextualSpacing w:val="0"/>
        <w:rPr>
          <w:sz w:val="24"/>
          <w:lang w:val="fr-CA"/>
        </w:rPr>
      </w:pPr>
      <w:r w:rsidRPr="003869EC">
        <w:rPr>
          <w:sz w:val="24"/>
          <w:lang w:val="fr-CA"/>
        </w:rPr>
        <w:t>La Cour suprême du Canada a reconnu la confidentialité du Cabinet comme essentielle à une saine gestion publique</w:t>
      </w:r>
      <w:r w:rsidR="007C761D" w:rsidRPr="003869EC">
        <w:rPr>
          <w:sz w:val="24"/>
          <w:lang w:val="fr-CA"/>
        </w:rPr>
        <w:t xml:space="preserve"> et au processus du Cabinet</w:t>
      </w:r>
      <w:r w:rsidRPr="003869EC">
        <w:rPr>
          <w:sz w:val="24"/>
          <w:lang w:val="fr-CA"/>
        </w:rPr>
        <w:t>, puisqu’elle protège l’ensemble des prises de décisions des ministres.</w:t>
      </w:r>
      <w:r w:rsidR="00DC0C92" w:rsidRPr="003869EC">
        <w:rPr>
          <w:sz w:val="24"/>
          <w:lang w:val="fr-CA"/>
        </w:rPr>
        <w:t xml:space="preserve"> </w:t>
      </w:r>
      <w:r w:rsidR="007C74D0" w:rsidRPr="003869EC">
        <w:rPr>
          <w:sz w:val="24"/>
          <w:lang w:val="fr-CA"/>
        </w:rPr>
        <w:t xml:space="preserve">Dès lors, le paragraphe 69(1) de la </w:t>
      </w:r>
      <w:r w:rsidR="007C74D0" w:rsidRPr="003869EC">
        <w:rPr>
          <w:i/>
          <w:sz w:val="24"/>
          <w:lang w:val="fr-CA"/>
        </w:rPr>
        <w:t>Loi sur l’accès à l’information</w:t>
      </w:r>
      <w:r w:rsidR="007C74D0" w:rsidRPr="003869EC">
        <w:rPr>
          <w:sz w:val="24"/>
          <w:lang w:val="fr-CA"/>
        </w:rPr>
        <w:t xml:space="preserve"> établit que la loi ne s’applique pas aux </w:t>
      </w:r>
      <w:r w:rsidR="002B5827" w:rsidRPr="003869EC">
        <w:rPr>
          <w:sz w:val="24"/>
          <w:lang w:val="fr-CA"/>
        </w:rPr>
        <w:t>documents</w:t>
      </w:r>
      <w:r w:rsidR="007C74D0" w:rsidRPr="003869EC">
        <w:rPr>
          <w:sz w:val="24"/>
          <w:lang w:val="fr-CA"/>
        </w:rPr>
        <w:t xml:space="preserve"> confidentiels du</w:t>
      </w:r>
      <w:r w:rsidR="007C761D" w:rsidRPr="003869EC">
        <w:rPr>
          <w:sz w:val="24"/>
          <w:lang w:val="fr-CA"/>
        </w:rPr>
        <w:t xml:space="preserve"> Conseil privé de la Reine (</w:t>
      </w:r>
      <w:r w:rsidR="002B5827" w:rsidRPr="003869EC">
        <w:rPr>
          <w:sz w:val="24"/>
          <w:lang w:val="fr-CA"/>
        </w:rPr>
        <w:t>documents</w:t>
      </w:r>
      <w:r w:rsidR="007C761D" w:rsidRPr="003869EC">
        <w:rPr>
          <w:sz w:val="24"/>
          <w:lang w:val="fr-CA"/>
        </w:rPr>
        <w:t xml:space="preserve"> confidentiels</w:t>
      </w:r>
      <w:r w:rsidR="00937DFA">
        <w:rPr>
          <w:sz w:val="24"/>
          <w:lang w:val="fr-CA"/>
        </w:rPr>
        <w:t xml:space="preserve"> </w:t>
      </w:r>
      <w:r w:rsidR="00F9676A">
        <w:rPr>
          <w:sz w:val="24"/>
          <w:lang w:val="fr-CA"/>
        </w:rPr>
        <w:t>d</w:t>
      </w:r>
      <w:r w:rsidR="007C761D" w:rsidRPr="003869EC">
        <w:rPr>
          <w:sz w:val="24"/>
          <w:lang w:val="fr-CA"/>
        </w:rPr>
        <w:t>u Cabinet)</w:t>
      </w:r>
      <w:r w:rsidR="007C74D0" w:rsidRPr="003869EC">
        <w:rPr>
          <w:sz w:val="24"/>
          <w:lang w:val="fr-CA"/>
        </w:rPr>
        <w:t>.</w:t>
      </w:r>
    </w:p>
    <w:p w14:paraId="71CC8BE9" w14:textId="77777777" w:rsidR="00DA5510" w:rsidRPr="003869EC" w:rsidRDefault="008E3842" w:rsidP="007D01CC">
      <w:pPr>
        <w:pStyle w:val="ListParagraph"/>
        <w:numPr>
          <w:ilvl w:val="0"/>
          <w:numId w:val="1"/>
        </w:numPr>
        <w:spacing w:after="120" w:line="240" w:lineRule="auto"/>
        <w:ind w:left="714" w:hanging="357"/>
        <w:contextualSpacing w:val="0"/>
        <w:rPr>
          <w:sz w:val="24"/>
          <w:lang w:val="fr-CA"/>
        </w:rPr>
      </w:pPr>
      <w:r w:rsidRPr="003869EC">
        <w:rPr>
          <w:sz w:val="24"/>
          <w:lang w:val="fr-CA"/>
        </w:rPr>
        <w:t xml:space="preserve">Par conséquent, si le titre d’une note </w:t>
      </w:r>
      <w:r w:rsidR="008645F6" w:rsidRPr="003869EC">
        <w:rPr>
          <w:sz w:val="24"/>
          <w:lang w:val="fr-CA"/>
        </w:rPr>
        <w:t>d’information</w:t>
      </w:r>
      <w:r w:rsidR="00EC2387">
        <w:rPr>
          <w:sz w:val="24"/>
          <w:lang w:val="fr-CA"/>
        </w:rPr>
        <w:t>,</w:t>
      </w:r>
      <w:r w:rsidR="008645F6" w:rsidRPr="003869EC">
        <w:rPr>
          <w:sz w:val="24"/>
          <w:lang w:val="fr-CA"/>
        </w:rPr>
        <w:t xml:space="preserve"> </w:t>
      </w:r>
      <w:r w:rsidRPr="003869EC">
        <w:rPr>
          <w:sz w:val="24"/>
          <w:lang w:val="fr-CA"/>
        </w:rPr>
        <w:t xml:space="preserve">ou d’autres renseignements </w:t>
      </w:r>
      <w:r w:rsidR="00294720">
        <w:rPr>
          <w:sz w:val="24"/>
          <w:lang w:val="fr-CA"/>
        </w:rPr>
        <w:t xml:space="preserve">dans </w:t>
      </w:r>
      <w:r w:rsidRPr="003869EC">
        <w:rPr>
          <w:sz w:val="24"/>
          <w:lang w:val="fr-CA"/>
        </w:rPr>
        <w:t>des champs obligatoires</w:t>
      </w:r>
      <w:r w:rsidR="00EC2387">
        <w:rPr>
          <w:sz w:val="24"/>
          <w:lang w:val="fr-CA"/>
        </w:rPr>
        <w:t>,</w:t>
      </w:r>
      <w:r w:rsidRPr="003869EC">
        <w:rPr>
          <w:sz w:val="24"/>
          <w:lang w:val="fr-CA"/>
        </w:rPr>
        <w:t xml:space="preserve"> </w:t>
      </w:r>
      <w:r w:rsidR="00984358">
        <w:rPr>
          <w:sz w:val="24"/>
          <w:lang w:val="fr-CA"/>
        </w:rPr>
        <w:t xml:space="preserve">est </w:t>
      </w:r>
      <w:r w:rsidRPr="003869EC">
        <w:rPr>
          <w:sz w:val="24"/>
          <w:lang w:val="fr-CA"/>
        </w:rPr>
        <w:t xml:space="preserve">un document confidentiel du Cabinet – par exemple, une référence directe à </w:t>
      </w:r>
      <w:r w:rsidR="00984358">
        <w:rPr>
          <w:sz w:val="24"/>
          <w:lang w:val="fr-CA"/>
        </w:rPr>
        <w:t>un mémoire</w:t>
      </w:r>
      <w:r w:rsidRPr="003869EC">
        <w:rPr>
          <w:sz w:val="24"/>
          <w:lang w:val="fr-CA"/>
        </w:rPr>
        <w:t xml:space="preserve"> au Cabinet ou </w:t>
      </w:r>
      <w:r w:rsidR="00984358">
        <w:rPr>
          <w:sz w:val="24"/>
          <w:lang w:val="fr-CA"/>
        </w:rPr>
        <w:t xml:space="preserve">à </w:t>
      </w:r>
      <w:r w:rsidRPr="003869EC">
        <w:rPr>
          <w:sz w:val="24"/>
          <w:lang w:val="fr-CA"/>
        </w:rPr>
        <w:t>un projet de loi – le titre</w:t>
      </w:r>
      <w:r w:rsidR="001C4397" w:rsidRPr="003869EC">
        <w:rPr>
          <w:sz w:val="24"/>
          <w:lang w:val="fr-CA"/>
        </w:rPr>
        <w:t xml:space="preserve">, </w:t>
      </w:r>
      <w:r w:rsidRPr="003869EC">
        <w:rPr>
          <w:sz w:val="24"/>
          <w:lang w:val="fr-CA"/>
        </w:rPr>
        <w:t>le numéro de référence</w:t>
      </w:r>
      <w:r w:rsidR="001C4397" w:rsidRPr="003869EC">
        <w:rPr>
          <w:sz w:val="24"/>
          <w:lang w:val="fr-CA"/>
        </w:rPr>
        <w:t xml:space="preserve"> et les renseignements d</w:t>
      </w:r>
      <w:r w:rsidR="00937DFA">
        <w:rPr>
          <w:sz w:val="24"/>
          <w:lang w:val="fr-CA"/>
        </w:rPr>
        <w:t>ans d</w:t>
      </w:r>
      <w:r w:rsidR="00F9676A">
        <w:rPr>
          <w:sz w:val="24"/>
          <w:lang w:val="fr-CA"/>
        </w:rPr>
        <w:t>’</w:t>
      </w:r>
      <w:r w:rsidR="001C4397" w:rsidRPr="003869EC">
        <w:rPr>
          <w:sz w:val="24"/>
          <w:lang w:val="fr-CA"/>
        </w:rPr>
        <w:t>autres</w:t>
      </w:r>
      <w:r w:rsidR="00937DFA">
        <w:rPr>
          <w:sz w:val="24"/>
          <w:lang w:val="fr-CA"/>
        </w:rPr>
        <w:t xml:space="preserve"> champs</w:t>
      </w:r>
      <w:r w:rsidRPr="003869EC">
        <w:rPr>
          <w:sz w:val="24"/>
          <w:lang w:val="fr-CA"/>
        </w:rPr>
        <w:t xml:space="preserve"> ne </w:t>
      </w:r>
      <w:r w:rsidR="00807CFF" w:rsidRPr="003869EC">
        <w:rPr>
          <w:sz w:val="24"/>
          <w:lang w:val="fr-CA"/>
        </w:rPr>
        <w:t>d</w:t>
      </w:r>
      <w:r w:rsidR="00807CFF">
        <w:rPr>
          <w:sz w:val="24"/>
          <w:lang w:val="fr-CA"/>
        </w:rPr>
        <w:t>evraien</w:t>
      </w:r>
      <w:r w:rsidR="00807CFF" w:rsidRPr="003869EC">
        <w:rPr>
          <w:sz w:val="24"/>
          <w:lang w:val="fr-CA"/>
        </w:rPr>
        <w:t xml:space="preserve">t </w:t>
      </w:r>
      <w:r w:rsidRPr="003869EC">
        <w:rPr>
          <w:sz w:val="24"/>
          <w:lang w:val="fr-CA"/>
        </w:rPr>
        <w:t>pas être publiés.</w:t>
      </w:r>
    </w:p>
    <w:p w14:paraId="4F20619B" w14:textId="77777777" w:rsidR="008977A4" w:rsidRPr="003869EC" w:rsidRDefault="00990DCB" w:rsidP="008977A4">
      <w:pPr>
        <w:pStyle w:val="ListParagraph"/>
        <w:numPr>
          <w:ilvl w:val="0"/>
          <w:numId w:val="1"/>
        </w:numPr>
        <w:spacing w:after="120" w:line="240" w:lineRule="auto"/>
        <w:ind w:left="714" w:hanging="357"/>
        <w:contextualSpacing w:val="0"/>
        <w:rPr>
          <w:sz w:val="24"/>
          <w:lang w:val="fr-CA"/>
        </w:rPr>
      </w:pPr>
      <w:r w:rsidRPr="003869EC">
        <w:rPr>
          <w:sz w:val="24"/>
          <w:lang w:val="fr-CA"/>
        </w:rPr>
        <w:t xml:space="preserve">Si le titre comporte un acronyme, un préfixe ou un suffixe indiquant qu’il y a un lien avec un document confidentiel du Cabinet (par exemple </w:t>
      </w:r>
      <w:r w:rsidR="00807CFF">
        <w:rPr>
          <w:sz w:val="24"/>
          <w:lang w:val="fr-CA"/>
        </w:rPr>
        <w:t>CBN</w:t>
      </w:r>
      <w:r w:rsidRPr="003869EC">
        <w:rPr>
          <w:sz w:val="24"/>
          <w:lang w:val="fr-CA"/>
        </w:rPr>
        <w:t>), le titre</w:t>
      </w:r>
      <w:r w:rsidR="00AC4AE9" w:rsidRPr="003869EC">
        <w:rPr>
          <w:sz w:val="24"/>
          <w:lang w:val="fr-CA"/>
        </w:rPr>
        <w:t>, l</w:t>
      </w:r>
      <w:r w:rsidRPr="003869EC">
        <w:rPr>
          <w:sz w:val="24"/>
          <w:lang w:val="fr-CA"/>
        </w:rPr>
        <w:t xml:space="preserve">e numéro de référence </w:t>
      </w:r>
      <w:r w:rsidR="00AC4AE9" w:rsidRPr="003869EC">
        <w:rPr>
          <w:sz w:val="24"/>
          <w:lang w:val="fr-CA"/>
        </w:rPr>
        <w:t>et les renseignements</w:t>
      </w:r>
      <w:r w:rsidR="00807CFF">
        <w:rPr>
          <w:sz w:val="24"/>
          <w:lang w:val="fr-CA"/>
        </w:rPr>
        <w:t xml:space="preserve"> dans</w:t>
      </w:r>
      <w:r w:rsidR="00AC4AE9" w:rsidRPr="003869EC">
        <w:rPr>
          <w:sz w:val="24"/>
          <w:lang w:val="fr-CA"/>
        </w:rPr>
        <w:t xml:space="preserve"> d’autres </w:t>
      </w:r>
      <w:r w:rsidR="00807CFF">
        <w:rPr>
          <w:sz w:val="24"/>
          <w:lang w:val="fr-CA"/>
        </w:rPr>
        <w:t>champs</w:t>
      </w:r>
      <w:r w:rsidR="00AC4AE9" w:rsidRPr="003869EC">
        <w:rPr>
          <w:sz w:val="24"/>
          <w:lang w:val="fr-CA"/>
        </w:rPr>
        <w:t xml:space="preserve"> n</w:t>
      </w:r>
      <w:r w:rsidRPr="003869EC">
        <w:rPr>
          <w:sz w:val="24"/>
          <w:lang w:val="fr-CA"/>
        </w:rPr>
        <w:t xml:space="preserve">e </w:t>
      </w:r>
      <w:r w:rsidR="00807CFF" w:rsidRPr="003869EC">
        <w:rPr>
          <w:sz w:val="24"/>
          <w:lang w:val="fr-CA"/>
        </w:rPr>
        <w:t>d</w:t>
      </w:r>
      <w:r w:rsidR="00807CFF">
        <w:rPr>
          <w:sz w:val="24"/>
          <w:lang w:val="fr-CA"/>
        </w:rPr>
        <w:t>evraien</w:t>
      </w:r>
      <w:r w:rsidR="00807CFF" w:rsidRPr="003869EC">
        <w:rPr>
          <w:sz w:val="24"/>
          <w:lang w:val="fr-CA"/>
        </w:rPr>
        <w:t xml:space="preserve">t </w:t>
      </w:r>
      <w:r w:rsidRPr="003869EC">
        <w:rPr>
          <w:sz w:val="24"/>
          <w:lang w:val="fr-CA"/>
        </w:rPr>
        <w:t>pas être publiés.</w:t>
      </w:r>
    </w:p>
    <w:p w14:paraId="284D49CE" w14:textId="77777777" w:rsidR="00DA5510" w:rsidRPr="003869EC" w:rsidRDefault="00B32D94" w:rsidP="007D01CC">
      <w:pPr>
        <w:pStyle w:val="ListParagraph"/>
        <w:numPr>
          <w:ilvl w:val="0"/>
          <w:numId w:val="1"/>
        </w:numPr>
        <w:spacing w:after="120" w:line="240" w:lineRule="auto"/>
        <w:ind w:left="714" w:hanging="357"/>
        <w:contextualSpacing w:val="0"/>
        <w:rPr>
          <w:sz w:val="24"/>
          <w:lang w:val="fr-CA"/>
        </w:rPr>
      </w:pPr>
      <w:r w:rsidRPr="003869EC">
        <w:rPr>
          <w:sz w:val="24"/>
          <w:lang w:val="fr-CA"/>
        </w:rPr>
        <w:t xml:space="preserve">D’une manière semblable, si la note </w:t>
      </w:r>
      <w:r w:rsidR="008645F6" w:rsidRPr="003869EC">
        <w:rPr>
          <w:sz w:val="24"/>
          <w:lang w:val="fr-CA"/>
        </w:rPr>
        <w:t xml:space="preserve">d’information </w:t>
      </w:r>
      <w:r w:rsidRPr="003869EC">
        <w:rPr>
          <w:sz w:val="24"/>
          <w:lang w:val="fr-CA"/>
        </w:rPr>
        <w:t xml:space="preserve">sous-jacente est un document confidentiel </w:t>
      </w:r>
      <w:r w:rsidR="00E5389C" w:rsidRPr="003869EC">
        <w:rPr>
          <w:sz w:val="24"/>
          <w:lang w:val="fr-CA"/>
        </w:rPr>
        <w:t>du Conseil privé de la Reine (document confidentiel du Cabinet</w:t>
      </w:r>
      <w:r w:rsidR="00294720">
        <w:rPr>
          <w:sz w:val="24"/>
          <w:lang w:val="fr-CA"/>
        </w:rPr>
        <w:t xml:space="preserve">) </w:t>
      </w:r>
      <w:r w:rsidR="00984358">
        <w:rPr>
          <w:sz w:val="24"/>
          <w:lang w:val="fr-CA"/>
        </w:rPr>
        <w:t xml:space="preserve">et ferait </w:t>
      </w:r>
      <w:r w:rsidRPr="003869EC">
        <w:rPr>
          <w:sz w:val="24"/>
          <w:lang w:val="fr-CA"/>
        </w:rPr>
        <w:t xml:space="preserve">l’objet d’une exclusion intégrale </w:t>
      </w:r>
      <w:r w:rsidR="00294720">
        <w:rPr>
          <w:sz w:val="24"/>
          <w:lang w:val="fr-CA"/>
        </w:rPr>
        <w:t>dans le cadre</w:t>
      </w:r>
      <w:r w:rsidRPr="003869EC">
        <w:rPr>
          <w:sz w:val="24"/>
          <w:lang w:val="fr-CA"/>
        </w:rPr>
        <w:t xml:space="preserve"> d’une demande d’accès à l’information, le titre</w:t>
      </w:r>
      <w:r w:rsidR="00AC4AE9" w:rsidRPr="003869EC">
        <w:rPr>
          <w:sz w:val="24"/>
          <w:lang w:val="fr-CA"/>
        </w:rPr>
        <w:t>, l</w:t>
      </w:r>
      <w:r w:rsidRPr="003869EC">
        <w:rPr>
          <w:sz w:val="24"/>
          <w:lang w:val="fr-CA"/>
        </w:rPr>
        <w:t>e numéro de référence</w:t>
      </w:r>
      <w:r w:rsidR="00AC4AE9" w:rsidRPr="003869EC">
        <w:rPr>
          <w:sz w:val="24"/>
          <w:lang w:val="fr-CA"/>
        </w:rPr>
        <w:t xml:space="preserve"> et les renseignements </w:t>
      </w:r>
      <w:r w:rsidR="00294720">
        <w:rPr>
          <w:sz w:val="24"/>
          <w:lang w:val="fr-CA"/>
        </w:rPr>
        <w:t xml:space="preserve">dans </w:t>
      </w:r>
      <w:r w:rsidR="00AC4AE9" w:rsidRPr="003869EC">
        <w:rPr>
          <w:sz w:val="24"/>
          <w:lang w:val="fr-CA"/>
        </w:rPr>
        <w:t xml:space="preserve">d’autres </w:t>
      </w:r>
      <w:r w:rsidR="00294720">
        <w:rPr>
          <w:sz w:val="24"/>
          <w:lang w:val="fr-CA"/>
        </w:rPr>
        <w:t>champs</w:t>
      </w:r>
      <w:r w:rsidRPr="003869EC">
        <w:rPr>
          <w:sz w:val="24"/>
          <w:lang w:val="fr-CA"/>
        </w:rPr>
        <w:t xml:space="preserve"> ne </w:t>
      </w:r>
      <w:r w:rsidR="00807CFF" w:rsidRPr="003869EC">
        <w:rPr>
          <w:sz w:val="24"/>
          <w:lang w:val="fr-CA"/>
        </w:rPr>
        <w:t>d</w:t>
      </w:r>
      <w:r w:rsidR="00807CFF">
        <w:rPr>
          <w:sz w:val="24"/>
          <w:lang w:val="fr-CA"/>
        </w:rPr>
        <w:t xml:space="preserve">evraient </w:t>
      </w:r>
      <w:r w:rsidRPr="003869EC">
        <w:rPr>
          <w:sz w:val="24"/>
          <w:lang w:val="fr-CA"/>
        </w:rPr>
        <w:t>pas être publiés.</w:t>
      </w:r>
    </w:p>
    <w:p w14:paraId="38153D27" w14:textId="77777777" w:rsidR="00972A43" w:rsidRPr="003869EC" w:rsidRDefault="00E5389C">
      <w:pPr>
        <w:pStyle w:val="ListParagraph"/>
        <w:numPr>
          <w:ilvl w:val="0"/>
          <w:numId w:val="1"/>
        </w:numPr>
        <w:spacing w:after="120" w:line="240" w:lineRule="auto"/>
        <w:ind w:left="714" w:hanging="357"/>
        <w:contextualSpacing w:val="0"/>
        <w:rPr>
          <w:b/>
          <w:sz w:val="24"/>
          <w:szCs w:val="24"/>
          <w:lang w:val="fr-CA"/>
        </w:rPr>
      </w:pPr>
      <w:r w:rsidRPr="003869EC">
        <w:rPr>
          <w:sz w:val="24"/>
          <w:szCs w:val="24"/>
          <w:lang w:val="fr-CA"/>
        </w:rPr>
        <w:t>Dans de rares circonstances, lorsqu</w:t>
      </w:r>
      <w:r w:rsidR="00984358">
        <w:rPr>
          <w:sz w:val="24"/>
          <w:szCs w:val="24"/>
          <w:lang w:val="fr-CA"/>
        </w:rPr>
        <w:t xml:space="preserve">e seulement </w:t>
      </w:r>
      <w:r w:rsidR="00F52197" w:rsidRPr="003869EC">
        <w:rPr>
          <w:sz w:val="24"/>
          <w:szCs w:val="24"/>
          <w:lang w:val="fr-CA"/>
        </w:rPr>
        <w:t xml:space="preserve">une partie du titre </w:t>
      </w:r>
      <w:r w:rsidR="00984358">
        <w:rPr>
          <w:sz w:val="24"/>
          <w:szCs w:val="24"/>
          <w:lang w:val="fr-CA"/>
        </w:rPr>
        <w:t>est</w:t>
      </w:r>
      <w:r w:rsidR="00984358" w:rsidRPr="003869EC">
        <w:rPr>
          <w:sz w:val="24"/>
          <w:szCs w:val="24"/>
          <w:lang w:val="fr-CA"/>
        </w:rPr>
        <w:t xml:space="preserve"> </w:t>
      </w:r>
      <w:r w:rsidR="00F52197" w:rsidRPr="003869EC">
        <w:rPr>
          <w:sz w:val="24"/>
          <w:szCs w:val="24"/>
          <w:lang w:val="fr-CA"/>
        </w:rPr>
        <w:t>un document confidentiel du</w:t>
      </w:r>
      <w:r w:rsidR="00AC4AE9" w:rsidRPr="003869EC">
        <w:rPr>
          <w:sz w:val="24"/>
          <w:szCs w:val="24"/>
          <w:lang w:val="fr-CA"/>
        </w:rPr>
        <w:t xml:space="preserve"> Cabinet</w:t>
      </w:r>
      <w:r w:rsidR="00F52197" w:rsidRPr="003869EC">
        <w:rPr>
          <w:sz w:val="24"/>
          <w:szCs w:val="24"/>
          <w:lang w:val="fr-CA"/>
        </w:rPr>
        <w:t xml:space="preserve">, </w:t>
      </w:r>
      <w:r w:rsidR="00984358">
        <w:rPr>
          <w:sz w:val="24"/>
          <w:lang w:val="fr-CA"/>
        </w:rPr>
        <w:t xml:space="preserve">au titre </w:t>
      </w:r>
      <w:r w:rsidR="00F52197" w:rsidRPr="00353C0E">
        <w:rPr>
          <w:sz w:val="24"/>
          <w:lang w:val="fr-CA"/>
        </w:rPr>
        <w:t>de</w:t>
      </w:r>
      <w:r w:rsidR="00984358">
        <w:rPr>
          <w:sz w:val="24"/>
          <w:lang w:val="fr-CA"/>
        </w:rPr>
        <w:t xml:space="preserve"> la</w:t>
      </w:r>
      <w:r w:rsidR="00F52197" w:rsidRPr="00353C0E">
        <w:rPr>
          <w:sz w:val="24"/>
          <w:lang w:val="fr-CA"/>
        </w:rPr>
        <w:t xml:space="preserve"> politique gouvernementale</w:t>
      </w:r>
      <w:r w:rsidR="00F52197" w:rsidRPr="003869EC">
        <w:rPr>
          <w:sz w:val="24"/>
          <w:szCs w:val="24"/>
          <w:lang w:val="fr-CA"/>
        </w:rPr>
        <w:t xml:space="preserve">, la partie du titre de la note </w:t>
      </w:r>
      <w:r w:rsidR="008645F6" w:rsidRPr="003869EC">
        <w:rPr>
          <w:sz w:val="24"/>
          <w:szCs w:val="24"/>
          <w:lang w:val="fr-CA"/>
        </w:rPr>
        <w:t xml:space="preserve">d’information </w:t>
      </w:r>
      <w:r w:rsidR="00F52197" w:rsidRPr="003869EC">
        <w:rPr>
          <w:sz w:val="24"/>
          <w:szCs w:val="24"/>
          <w:lang w:val="fr-CA"/>
        </w:rPr>
        <w:t xml:space="preserve">qui </w:t>
      </w:r>
      <w:r w:rsidR="007146A0">
        <w:rPr>
          <w:sz w:val="24"/>
          <w:szCs w:val="24"/>
          <w:lang w:val="fr-CA"/>
        </w:rPr>
        <w:t xml:space="preserve">n’est </w:t>
      </w:r>
      <w:r w:rsidR="00F52197" w:rsidRPr="003869EC">
        <w:rPr>
          <w:sz w:val="24"/>
          <w:szCs w:val="24"/>
          <w:lang w:val="fr-CA"/>
        </w:rPr>
        <w:t xml:space="preserve">pas un document confidentiel du Cabinet peut être </w:t>
      </w:r>
      <w:r w:rsidR="00F52197" w:rsidRPr="003869EC">
        <w:rPr>
          <w:sz w:val="24"/>
          <w:szCs w:val="24"/>
          <w:lang w:val="fr-CA"/>
        </w:rPr>
        <w:lastRenderedPageBreak/>
        <w:t xml:space="preserve">retranchée et divulguée, </w:t>
      </w:r>
      <w:r w:rsidR="007146A0">
        <w:rPr>
          <w:sz w:val="24"/>
          <w:szCs w:val="24"/>
          <w:lang w:val="fr-CA"/>
        </w:rPr>
        <w:t>avec le</w:t>
      </w:r>
      <w:r w:rsidR="00F52197" w:rsidRPr="003869EC">
        <w:rPr>
          <w:sz w:val="24"/>
          <w:szCs w:val="24"/>
          <w:lang w:val="fr-CA"/>
        </w:rPr>
        <w:t xml:space="preserve"> numéro de référence, sauf si le reste </w:t>
      </w:r>
      <w:r w:rsidR="00294720">
        <w:rPr>
          <w:sz w:val="24"/>
          <w:szCs w:val="24"/>
          <w:lang w:val="fr-CA"/>
        </w:rPr>
        <w:t xml:space="preserve">du titre </w:t>
      </w:r>
      <w:r w:rsidR="007146A0">
        <w:rPr>
          <w:sz w:val="24"/>
          <w:szCs w:val="24"/>
          <w:lang w:val="fr-CA"/>
        </w:rPr>
        <w:t>fait l’objet d’</w:t>
      </w:r>
      <w:r w:rsidR="00F52197" w:rsidRPr="003869EC">
        <w:rPr>
          <w:sz w:val="24"/>
          <w:szCs w:val="24"/>
          <w:lang w:val="fr-CA"/>
        </w:rPr>
        <w:t xml:space="preserve">une </w:t>
      </w:r>
      <w:r w:rsidR="00807CFF" w:rsidRPr="003869EC">
        <w:rPr>
          <w:sz w:val="24"/>
          <w:szCs w:val="24"/>
          <w:lang w:val="fr-CA"/>
        </w:rPr>
        <w:t>ex</w:t>
      </w:r>
      <w:r w:rsidR="00807CFF">
        <w:rPr>
          <w:sz w:val="24"/>
          <w:szCs w:val="24"/>
          <w:lang w:val="fr-CA"/>
        </w:rPr>
        <w:t>ce</w:t>
      </w:r>
      <w:r w:rsidR="00807CFF" w:rsidRPr="003869EC">
        <w:rPr>
          <w:sz w:val="24"/>
          <w:szCs w:val="24"/>
          <w:lang w:val="fr-CA"/>
        </w:rPr>
        <w:t xml:space="preserve">ption </w:t>
      </w:r>
      <w:r w:rsidR="00F52197" w:rsidRPr="003869EC">
        <w:rPr>
          <w:sz w:val="24"/>
          <w:szCs w:val="24"/>
          <w:lang w:val="fr-CA"/>
        </w:rPr>
        <w:t xml:space="preserve">ou </w:t>
      </w:r>
      <w:r w:rsidR="00807CFF">
        <w:rPr>
          <w:sz w:val="24"/>
          <w:szCs w:val="24"/>
          <w:lang w:val="fr-CA"/>
        </w:rPr>
        <w:t>n’est pas intelligible</w:t>
      </w:r>
      <w:r w:rsidR="00F52197" w:rsidRPr="003869EC">
        <w:rPr>
          <w:sz w:val="24"/>
          <w:szCs w:val="24"/>
          <w:lang w:val="fr-CA"/>
        </w:rPr>
        <w:t>.</w:t>
      </w:r>
      <w:r w:rsidR="00DC0C92" w:rsidRPr="003869EC">
        <w:rPr>
          <w:sz w:val="24"/>
          <w:szCs w:val="24"/>
          <w:lang w:val="fr-CA"/>
        </w:rPr>
        <w:t xml:space="preserve"> </w:t>
      </w:r>
      <w:r w:rsidR="00423C66" w:rsidRPr="003869EC">
        <w:rPr>
          <w:sz w:val="24"/>
          <w:szCs w:val="24"/>
          <w:lang w:val="fr-CA"/>
        </w:rPr>
        <w:t>Si le reste</w:t>
      </w:r>
      <w:r w:rsidR="00BB5EFB" w:rsidRPr="003869EC">
        <w:rPr>
          <w:sz w:val="24"/>
          <w:szCs w:val="24"/>
          <w:lang w:val="fr-CA"/>
        </w:rPr>
        <w:t xml:space="preserve"> </w:t>
      </w:r>
      <w:r w:rsidR="007146A0">
        <w:rPr>
          <w:sz w:val="24"/>
          <w:szCs w:val="24"/>
          <w:lang w:val="fr-CA"/>
        </w:rPr>
        <w:t>du titre</w:t>
      </w:r>
      <w:r w:rsidR="008645F6" w:rsidRPr="003869EC">
        <w:rPr>
          <w:sz w:val="24"/>
          <w:szCs w:val="24"/>
          <w:lang w:val="fr-CA"/>
        </w:rPr>
        <w:t xml:space="preserve"> d</w:t>
      </w:r>
      <w:r w:rsidR="00423C66" w:rsidRPr="003869EC">
        <w:rPr>
          <w:sz w:val="24"/>
          <w:szCs w:val="24"/>
          <w:lang w:val="fr-CA"/>
        </w:rPr>
        <w:t>évoile implicitement la partie exclue à titre de document confidentiel du Cabinet, alors ni le titre (</w:t>
      </w:r>
      <w:r w:rsidR="00807CFF">
        <w:rPr>
          <w:sz w:val="24"/>
          <w:szCs w:val="24"/>
          <w:lang w:val="fr-CA"/>
        </w:rPr>
        <w:t>dans son</w:t>
      </w:r>
      <w:r w:rsidR="00807CFF" w:rsidRPr="003869EC">
        <w:rPr>
          <w:sz w:val="24"/>
          <w:szCs w:val="24"/>
          <w:lang w:val="fr-CA"/>
        </w:rPr>
        <w:t xml:space="preserve"> </w:t>
      </w:r>
      <w:r w:rsidR="00423C66" w:rsidRPr="003869EC">
        <w:rPr>
          <w:sz w:val="24"/>
          <w:szCs w:val="24"/>
          <w:lang w:val="fr-CA"/>
        </w:rPr>
        <w:t>intégral</w:t>
      </w:r>
      <w:r w:rsidR="00BB5EFB" w:rsidRPr="003869EC">
        <w:rPr>
          <w:sz w:val="24"/>
          <w:szCs w:val="24"/>
          <w:lang w:val="fr-CA"/>
        </w:rPr>
        <w:t>ité</w:t>
      </w:r>
      <w:r w:rsidR="00423C66" w:rsidRPr="003869EC">
        <w:rPr>
          <w:sz w:val="24"/>
          <w:szCs w:val="24"/>
          <w:lang w:val="fr-CA"/>
        </w:rPr>
        <w:t xml:space="preserve">) ni le numéro de référence ne </w:t>
      </w:r>
      <w:r w:rsidR="00807CFF" w:rsidRPr="003869EC">
        <w:rPr>
          <w:sz w:val="24"/>
          <w:szCs w:val="24"/>
          <w:lang w:val="fr-CA"/>
        </w:rPr>
        <w:t>d</w:t>
      </w:r>
      <w:r w:rsidR="00807CFF">
        <w:rPr>
          <w:sz w:val="24"/>
          <w:szCs w:val="24"/>
          <w:lang w:val="fr-CA"/>
        </w:rPr>
        <w:t>evraien</w:t>
      </w:r>
      <w:r w:rsidR="00807CFF" w:rsidRPr="003869EC">
        <w:rPr>
          <w:sz w:val="24"/>
          <w:szCs w:val="24"/>
          <w:lang w:val="fr-CA"/>
        </w:rPr>
        <w:t xml:space="preserve">t </w:t>
      </w:r>
      <w:r w:rsidR="00423C66" w:rsidRPr="003869EC">
        <w:rPr>
          <w:sz w:val="24"/>
          <w:szCs w:val="24"/>
          <w:lang w:val="fr-CA"/>
        </w:rPr>
        <w:t>être publiés.</w:t>
      </w:r>
    </w:p>
    <w:p w14:paraId="21D7C86D" w14:textId="77777777" w:rsidR="00B4757F" w:rsidRPr="003869EC" w:rsidRDefault="00065B30" w:rsidP="00B4757F">
      <w:pPr>
        <w:pStyle w:val="ListParagraph"/>
        <w:numPr>
          <w:ilvl w:val="0"/>
          <w:numId w:val="1"/>
        </w:numPr>
        <w:spacing w:after="120" w:line="240" w:lineRule="auto"/>
        <w:contextualSpacing w:val="0"/>
        <w:rPr>
          <w:b/>
          <w:sz w:val="24"/>
          <w:lang w:val="fr-CA"/>
        </w:rPr>
      </w:pPr>
      <w:r>
        <w:rPr>
          <w:sz w:val="24"/>
          <w:lang w:val="fr-CA"/>
        </w:rPr>
        <w:t xml:space="preserve">Déterminer </w:t>
      </w:r>
      <w:r w:rsidR="006828B4">
        <w:rPr>
          <w:sz w:val="24"/>
          <w:lang w:val="fr-CA"/>
        </w:rPr>
        <w:t xml:space="preserve">si la note </w:t>
      </w:r>
      <w:r w:rsidR="003F5AF7" w:rsidRPr="003869EC">
        <w:rPr>
          <w:sz w:val="24"/>
          <w:lang w:val="fr-CA"/>
        </w:rPr>
        <w:t xml:space="preserve">d’information ou son titre </w:t>
      </w:r>
      <w:r w:rsidR="006828B4">
        <w:rPr>
          <w:sz w:val="24"/>
          <w:lang w:val="fr-CA"/>
        </w:rPr>
        <w:t xml:space="preserve">est un document confidentiel du Cabinet </w:t>
      </w:r>
      <w:r w:rsidR="003F5AF7" w:rsidRPr="003869EC">
        <w:rPr>
          <w:sz w:val="24"/>
          <w:lang w:val="fr-CA"/>
        </w:rPr>
        <w:t xml:space="preserve">devrait </w:t>
      </w:r>
      <w:r w:rsidR="00D20763" w:rsidRPr="003869EC">
        <w:rPr>
          <w:sz w:val="24"/>
          <w:lang w:val="fr-CA"/>
        </w:rPr>
        <w:t xml:space="preserve">se faire au </w:t>
      </w:r>
      <w:r w:rsidR="003F5AF7" w:rsidRPr="003869EC">
        <w:rPr>
          <w:sz w:val="24"/>
          <w:lang w:val="fr-CA"/>
        </w:rPr>
        <w:t>cas par cas.</w:t>
      </w:r>
      <w:r w:rsidR="00DC0C92" w:rsidRPr="003869EC">
        <w:rPr>
          <w:sz w:val="24"/>
          <w:lang w:val="fr-CA"/>
        </w:rPr>
        <w:t xml:space="preserve"> </w:t>
      </w:r>
      <w:r w:rsidR="000F7D8D" w:rsidRPr="003869EC">
        <w:rPr>
          <w:sz w:val="24"/>
          <w:lang w:val="fr-CA"/>
        </w:rPr>
        <w:t xml:space="preserve">Dans de telles situations où des renseignements touchant une initiative sont déjà rendus publics (par exemple, s’il y a une mention dans une lettre de mandat </w:t>
      </w:r>
      <w:r w:rsidR="000B5B25" w:rsidRPr="003869EC">
        <w:rPr>
          <w:sz w:val="24"/>
          <w:lang w:val="fr-CA"/>
        </w:rPr>
        <w:t>d</w:t>
      </w:r>
      <w:r w:rsidR="000B5B25">
        <w:rPr>
          <w:sz w:val="24"/>
          <w:lang w:val="fr-CA"/>
        </w:rPr>
        <w:t>’un</w:t>
      </w:r>
      <w:r w:rsidR="000B5B25" w:rsidRPr="003869EC">
        <w:rPr>
          <w:sz w:val="24"/>
          <w:lang w:val="fr-CA"/>
        </w:rPr>
        <w:t xml:space="preserve"> </w:t>
      </w:r>
      <w:r w:rsidR="000F7D8D" w:rsidRPr="003869EC">
        <w:rPr>
          <w:sz w:val="24"/>
          <w:lang w:val="fr-CA"/>
        </w:rPr>
        <w:t xml:space="preserve">ministre), </w:t>
      </w:r>
      <w:r w:rsidR="006828B4">
        <w:rPr>
          <w:sz w:val="24"/>
          <w:lang w:val="fr-CA"/>
        </w:rPr>
        <w:t>la note</w:t>
      </w:r>
      <w:r w:rsidR="000F7D8D" w:rsidRPr="003869EC">
        <w:rPr>
          <w:sz w:val="24"/>
          <w:lang w:val="fr-CA"/>
        </w:rPr>
        <w:t xml:space="preserve"> d’information relati</w:t>
      </w:r>
      <w:r w:rsidR="006828B4">
        <w:rPr>
          <w:sz w:val="24"/>
          <w:lang w:val="fr-CA"/>
        </w:rPr>
        <w:t>ve</w:t>
      </w:r>
      <w:r w:rsidR="000F7D8D" w:rsidRPr="003869EC">
        <w:rPr>
          <w:sz w:val="24"/>
          <w:lang w:val="fr-CA"/>
        </w:rPr>
        <w:t xml:space="preserve"> à la question pourrait tout de même être un document confidentiel du Cabinet.</w:t>
      </w:r>
      <w:r w:rsidR="00DC0C92" w:rsidRPr="003869EC">
        <w:rPr>
          <w:sz w:val="24"/>
          <w:lang w:val="fr-CA"/>
        </w:rPr>
        <w:t xml:space="preserve"> Dans de telles circonstances, il est essentiel de passer en revue </w:t>
      </w:r>
      <w:r w:rsidR="006828B4">
        <w:rPr>
          <w:sz w:val="24"/>
          <w:lang w:val="fr-CA"/>
        </w:rPr>
        <w:t>la note</w:t>
      </w:r>
      <w:r w:rsidR="002407AF" w:rsidRPr="003869EC">
        <w:rPr>
          <w:sz w:val="24"/>
          <w:lang w:val="fr-CA"/>
        </w:rPr>
        <w:t xml:space="preserve"> </w:t>
      </w:r>
      <w:r w:rsidR="00DC0C92" w:rsidRPr="003869EC">
        <w:rPr>
          <w:sz w:val="24"/>
          <w:lang w:val="fr-CA"/>
        </w:rPr>
        <w:t xml:space="preserve">d’information afin </w:t>
      </w:r>
      <w:r w:rsidR="00AD2C96" w:rsidRPr="003869EC">
        <w:rPr>
          <w:sz w:val="24"/>
          <w:lang w:val="fr-CA"/>
        </w:rPr>
        <w:t xml:space="preserve">de déterminer s’il s’agit d’un document confidentiel du Cabinet. Dans l’affirmative, le titre, le numéro de référence et les renseignements </w:t>
      </w:r>
      <w:r w:rsidR="000B5B25">
        <w:rPr>
          <w:sz w:val="24"/>
          <w:lang w:val="fr-CA"/>
        </w:rPr>
        <w:t xml:space="preserve">dans </w:t>
      </w:r>
      <w:r w:rsidR="00AD2C96" w:rsidRPr="003869EC">
        <w:rPr>
          <w:sz w:val="24"/>
          <w:lang w:val="fr-CA"/>
        </w:rPr>
        <w:t xml:space="preserve">d’autres </w:t>
      </w:r>
      <w:r w:rsidR="000B5B25">
        <w:rPr>
          <w:sz w:val="24"/>
          <w:lang w:val="fr-CA"/>
        </w:rPr>
        <w:t>champs</w:t>
      </w:r>
      <w:r w:rsidR="00AD2C96" w:rsidRPr="003869EC">
        <w:rPr>
          <w:sz w:val="24"/>
          <w:lang w:val="fr-CA"/>
        </w:rPr>
        <w:t xml:space="preserve"> ne devraient pas être publiés.</w:t>
      </w:r>
      <w:r w:rsidR="00DC0C92" w:rsidRPr="003869EC">
        <w:rPr>
          <w:sz w:val="24"/>
          <w:lang w:val="fr-CA"/>
        </w:rPr>
        <w:t xml:space="preserve"> </w:t>
      </w:r>
    </w:p>
    <w:sectPr w:rsidR="00B4757F" w:rsidRPr="003869EC" w:rsidSect="00503983">
      <w:headerReference w:type="even" r:id="rId10"/>
      <w:headerReference w:type="default" r:id="rId11"/>
      <w:foot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C1502" w14:textId="77777777" w:rsidR="004A4AC2" w:rsidRDefault="004A4AC2">
      <w:pPr>
        <w:spacing w:after="0" w:line="240" w:lineRule="auto"/>
      </w:pPr>
      <w:r>
        <w:separator/>
      </w:r>
    </w:p>
  </w:endnote>
  <w:endnote w:type="continuationSeparator" w:id="0">
    <w:p w14:paraId="394A35E9" w14:textId="77777777" w:rsidR="004A4AC2" w:rsidRDefault="004A4AC2">
      <w:pPr>
        <w:spacing w:after="0" w:line="240" w:lineRule="auto"/>
      </w:pPr>
      <w:r>
        <w:continuationSeparator/>
      </w:r>
    </w:p>
  </w:endnote>
  <w:endnote w:type="continuationNotice" w:id="1">
    <w:p w14:paraId="5ECB9C30" w14:textId="77777777" w:rsidR="004A4AC2" w:rsidRDefault="004A4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173671"/>
      <w:docPartObj>
        <w:docPartGallery w:val="Page Numbers (Bottom of Page)"/>
        <w:docPartUnique/>
      </w:docPartObj>
    </w:sdtPr>
    <w:sdtEndPr>
      <w:rPr>
        <w:noProof/>
      </w:rPr>
    </w:sdtEndPr>
    <w:sdtContent>
      <w:p w14:paraId="230E6429" w14:textId="77777777" w:rsidR="00503983" w:rsidRDefault="00DC0C92">
        <w:pPr>
          <w:pStyle w:val="Footer"/>
          <w:jc w:val="right"/>
        </w:pPr>
        <w:r>
          <w:fldChar w:fldCharType="begin"/>
        </w:r>
        <w:r>
          <w:instrText xml:space="preserve"> PAGE   \* MERGEFORMAT </w:instrText>
        </w:r>
        <w:r>
          <w:fldChar w:fldCharType="separate"/>
        </w:r>
        <w:r w:rsidR="00A52CBC">
          <w:rPr>
            <w:noProof/>
          </w:rPr>
          <w:t>3</w:t>
        </w:r>
        <w:r>
          <w:rPr>
            <w:noProof/>
          </w:rPr>
          <w:fldChar w:fldCharType="end"/>
        </w:r>
      </w:p>
    </w:sdtContent>
  </w:sdt>
  <w:p w14:paraId="7A2532F6" w14:textId="77777777" w:rsidR="00D96653" w:rsidRDefault="0078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CD78" w14:textId="77777777" w:rsidR="004A4AC2" w:rsidRDefault="004A4AC2">
      <w:pPr>
        <w:spacing w:after="0" w:line="240" w:lineRule="auto"/>
      </w:pPr>
      <w:r>
        <w:separator/>
      </w:r>
    </w:p>
  </w:footnote>
  <w:footnote w:type="continuationSeparator" w:id="0">
    <w:p w14:paraId="0B36606E" w14:textId="77777777" w:rsidR="004A4AC2" w:rsidRDefault="004A4AC2">
      <w:pPr>
        <w:spacing w:after="0" w:line="240" w:lineRule="auto"/>
      </w:pPr>
      <w:r>
        <w:continuationSeparator/>
      </w:r>
    </w:p>
  </w:footnote>
  <w:footnote w:type="continuationNotice" w:id="1">
    <w:p w14:paraId="5F98C6F3" w14:textId="77777777" w:rsidR="004A4AC2" w:rsidRDefault="004A4A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DDD8" w14:textId="77777777" w:rsidR="00D96653" w:rsidRDefault="007875E5" w:rsidP="00D96653">
    <w:pPr>
      <w:pStyle w:val="Header"/>
    </w:pPr>
    <w:bookmarkStart w:id="1" w:name="TITUS1HeaderEvenPages"/>
  </w:p>
  <w:bookmarkEnd w:id="1"/>
  <w:p w14:paraId="39536EE0" w14:textId="77777777" w:rsidR="00D96653" w:rsidRDefault="00787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TITUS1HeaderPrimary"/>
  <w:p w14:paraId="0C23A5CD" w14:textId="77F2D8D9" w:rsidR="00D96653" w:rsidRDefault="005D1E1F" w:rsidP="00D96653">
    <w:pPr>
      <w:pStyle w:val="Header"/>
    </w:pPr>
    <w:r>
      <w:rPr>
        <w:noProof/>
      </w:rPr>
      <mc:AlternateContent>
        <mc:Choice Requires="wps">
          <w:drawing>
            <wp:anchor distT="0" distB="0" distL="114300" distR="114300" simplePos="0" relativeHeight="251659264" behindDoc="0" locked="0" layoutInCell="0" allowOverlap="1" wp14:anchorId="3A760786" wp14:editId="0B6F4AA9">
              <wp:simplePos x="0" y="0"/>
              <wp:positionH relativeFrom="page">
                <wp:posOffset>0</wp:posOffset>
              </wp:positionH>
              <wp:positionV relativeFrom="page">
                <wp:posOffset>190500</wp:posOffset>
              </wp:positionV>
              <wp:extent cx="7772400" cy="252095"/>
              <wp:effectExtent l="0" t="0" r="0" b="14605"/>
              <wp:wrapNone/>
              <wp:docPr id="1" name="MSIPCM12c6492fb967d598e188f0aa" descr="{&quot;HashCode&quot;:-188039879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5899E8" w14:textId="48596AFA" w:rsidR="005D1E1F" w:rsidRPr="005D1E1F" w:rsidRDefault="005D1E1F" w:rsidP="005D1E1F">
                          <w:pPr>
                            <w:spacing w:after="0"/>
                            <w:jc w:val="right"/>
                            <w:rPr>
                              <w:rFonts w:ascii="Arial" w:hAnsi="Arial" w:cs="Arial"/>
                              <w:color w:val="000000"/>
                              <w:sz w:val="24"/>
                            </w:rPr>
                          </w:pPr>
                          <w:r w:rsidRPr="005D1E1F">
                            <w:rPr>
                              <w:rFonts w:ascii="Arial" w:hAnsi="Arial" w:cs="Arial"/>
                              <w:color w:val="000000"/>
                              <w:sz w:val="24"/>
                            </w:rPr>
                            <w:t>UNCLASSIFIED / NON CLASSIFIÉ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A760786" id="_x0000_t202" coordsize="21600,21600" o:spt="202" path="m,l,21600r21600,l21600,xe">
              <v:stroke joinstyle="miter"/>
              <v:path gradientshapeok="t" o:connecttype="rect"/>
            </v:shapetype>
            <v:shape id="MSIPCM12c6492fb967d598e188f0aa" o:spid="_x0000_s1026" type="#_x0000_t202" alt="{&quot;HashCode&quot;:-1880398799,&quot;Height&quot;:792.0,&quot;Width&quot;:612.0,&quot;Placement&quot;:&quot;Header&quot;,&quot;Index&quot;:&quot;Primary&quot;,&quot;Section&quot;:1,&quot;Top&quot;:0.0,&quot;Left&quot;:0.0}" style="position:absolute;margin-left:0;margin-top:15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IsrwIAAEgFAAAOAAAAZHJzL2Uyb0RvYy54bWysVMlu2zAQvRfoPxA89NRYS7xJjRy4DtIE&#10;cBIDTpEzTZGWAIlkSDqSW/TfO5Qop017KnohZ+Msb2Z4cdnWFXph2pRSZDgahRgxQWVein2Gvz5e&#10;n80xMpaInFRSsAwfmcGXi/fvLhqVslgWssqZRuBEmLRRGS6sVWkQGFqwmpiRVEyAkktdEwus3ge5&#10;Jg14r6sgDsNp0EidKy0pMwakV70SLzr/nDNqHzg3zKIqw5Cb7U7dnTt3BosLku41UUVJfRrkH7Ko&#10;SSkg6MnVFbEEHXT5h6u6pFoaye2IyjqQnJeUdTVANVH4ppptQRTragFwjDrBZP6fW3r/stGozKF3&#10;GAlSQ4vutreb1V0U0+k4ifkumc7ySTJn0XzOQ0IwypmhgOD3D88HaT/dEFOsZM56Lj0Ds/A8mc+S&#10;5KM3YOW+sF49S+JR6BVPZW4LL59Gr/JNRSirmRjeDG4ITEpPewe3Imetd9BfG13WRB9/s9rCDMBw&#10;ervIv32UykvCU0JrxoeYIPzhZqNRJgWItgpAsu1n2TqcvNyA0LW85bp2NzQTgR6m7HiaLNZaREE4&#10;m83icQgqCrp4EofJxLkJXl8rbewXJmvkiAxryLobKPKyNrY3HUxcMCGvy6oCOUkrgZoMT88nYffg&#10;pAHnlYAYroY+V0fZdtf6AnYyP0JdWvZbYRS9LiH4mhi7IRrWAPKF1bYPcPBKQhDpKYwKqb/9Te7s&#10;YTpBi1EDa5Vh83wgmmFU3QqY2yQaj90edgwQuiPiCYAD3G4Qi0O9krCyMJSQVkc6Y1sNJNeyfoLV&#10;X7pwoCKCQtAM24FcWeBAAV8HZctlR8PKKWLXYquoc+3Ac5g+tk9EKw+8hZbdy2HzSPoG/96278Dy&#10;YCUvu+Y4ZHs4PeCwrl17/dfi/oNf+c7q9QNc/AQAAP//AwBQSwMEFAAGAAgAAAAhAP8VFyjcAAAA&#10;BwEAAA8AAABkcnMvZG93bnJldi54bWxMj0FPg0AQhe8m/ofNmHizi9hUS1ma1oSbiaFqel3YEYjs&#10;LGEXCv/e6UlP8yZv8t436X62nZhw8K0jBY+rCARS5UxLtYLPj/zhBYQPmozuHKGCBT3ss9ubVCfG&#10;XajA6RRqwSHkE62gCaFPpPRVg1b7leuR2Pt2g9WB16GWZtAXDredjKNoI61uiRsa3eNrg9XPabQK&#10;xvXhWC4unt7ej+evYs5pKfKzUvd382EHIuAc/o7his/okDFT6UYyXnQK+JGg4CnieXXjeM2qVLDZ&#10;PoPMUvmfP/sFAAD//wMAUEsBAi0AFAAGAAgAAAAhALaDOJL+AAAA4QEAABMAAAAAAAAAAAAAAAAA&#10;AAAAAFtDb250ZW50X1R5cGVzXS54bWxQSwECLQAUAAYACAAAACEAOP0h/9YAAACUAQAACwAAAAAA&#10;AAAAAAAAAAAvAQAAX3JlbHMvLnJlbHNQSwECLQAUAAYACAAAACEARmiiLK8CAABIBQAADgAAAAAA&#10;AAAAAAAAAAAuAgAAZHJzL2Uyb0RvYy54bWxQSwECLQAUAAYACAAAACEA/xUXKNwAAAAHAQAADwAA&#10;AAAAAAAAAAAAAAAJBQAAZHJzL2Rvd25yZXYueG1sUEsFBgAAAAAEAAQA8wAAABIGAAAAAA==&#10;" o:allowincell="f" filled="f" stroked="f" strokeweight=".5pt">
              <v:fill o:detectmouseclick="t"/>
              <v:textbox inset=",0,20pt,0">
                <w:txbxContent>
                  <w:p w14:paraId="745899E8" w14:textId="48596AFA" w:rsidR="005D1E1F" w:rsidRPr="005D1E1F" w:rsidRDefault="005D1E1F" w:rsidP="005D1E1F">
                    <w:pPr>
                      <w:spacing w:after="0"/>
                      <w:jc w:val="right"/>
                      <w:rPr>
                        <w:rFonts w:ascii="Arial" w:hAnsi="Arial" w:cs="Arial"/>
                        <w:color w:val="000000"/>
                        <w:sz w:val="24"/>
                      </w:rPr>
                    </w:pPr>
                    <w:r w:rsidRPr="005D1E1F">
                      <w:rPr>
                        <w:rFonts w:ascii="Arial" w:hAnsi="Arial" w:cs="Arial"/>
                        <w:color w:val="000000"/>
                        <w:sz w:val="24"/>
                      </w:rPr>
                      <w:t>UNCLASSIFIED / NON CLASSIFIÉ</w:t>
                    </w:r>
                  </w:p>
                </w:txbxContent>
              </v:textbox>
              <w10:wrap anchorx="page" anchory="page"/>
            </v:shape>
          </w:pict>
        </mc:Fallback>
      </mc:AlternateContent>
    </w:r>
  </w:p>
  <w:bookmarkEnd w:id="2"/>
  <w:p w14:paraId="4E9C6843" w14:textId="77777777" w:rsidR="00D96653" w:rsidRDefault="00787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ECFF" w14:textId="77777777" w:rsidR="00D96653" w:rsidRDefault="007875E5" w:rsidP="00D96653">
    <w:pPr>
      <w:pStyle w:val="Header"/>
    </w:pPr>
    <w:bookmarkStart w:id="3" w:name="TITUS1HeaderFirstPage"/>
  </w:p>
  <w:bookmarkEnd w:id="3"/>
  <w:p w14:paraId="6C1FA30A" w14:textId="77777777" w:rsidR="00D96653" w:rsidRDefault="00787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C2DB4"/>
    <w:multiLevelType w:val="hybridMultilevel"/>
    <w:tmpl w:val="3DD8D518"/>
    <w:lvl w:ilvl="0" w:tplc="CE98352A">
      <w:start w:val="1"/>
      <w:numFmt w:val="bullet"/>
      <w:lvlText w:val=""/>
      <w:lvlJc w:val="left"/>
      <w:pPr>
        <w:ind w:left="720" w:hanging="360"/>
      </w:pPr>
      <w:rPr>
        <w:rFonts w:ascii="Symbol" w:hAnsi="Symbol" w:hint="default"/>
      </w:rPr>
    </w:lvl>
    <w:lvl w:ilvl="1" w:tplc="D65C089C" w:tentative="1">
      <w:start w:val="1"/>
      <w:numFmt w:val="bullet"/>
      <w:lvlText w:val="o"/>
      <w:lvlJc w:val="left"/>
      <w:pPr>
        <w:ind w:left="1440" w:hanging="360"/>
      </w:pPr>
      <w:rPr>
        <w:rFonts w:ascii="Courier New" w:hAnsi="Courier New" w:cs="Courier New" w:hint="default"/>
      </w:rPr>
    </w:lvl>
    <w:lvl w:ilvl="2" w:tplc="AEC65A8C" w:tentative="1">
      <w:start w:val="1"/>
      <w:numFmt w:val="bullet"/>
      <w:lvlText w:val=""/>
      <w:lvlJc w:val="left"/>
      <w:pPr>
        <w:ind w:left="2160" w:hanging="360"/>
      </w:pPr>
      <w:rPr>
        <w:rFonts w:ascii="Wingdings" w:hAnsi="Wingdings" w:hint="default"/>
      </w:rPr>
    </w:lvl>
    <w:lvl w:ilvl="3" w:tplc="111801A6" w:tentative="1">
      <w:start w:val="1"/>
      <w:numFmt w:val="bullet"/>
      <w:lvlText w:val=""/>
      <w:lvlJc w:val="left"/>
      <w:pPr>
        <w:ind w:left="2880" w:hanging="360"/>
      </w:pPr>
      <w:rPr>
        <w:rFonts w:ascii="Symbol" w:hAnsi="Symbol" w:hint="default"/>
      </w:rPr>
    </w:lvl>
    <w:lvl w:ilvl="4" w:tplc="8500D3C6" w:tentative="1">
      <w:start w:val="1"/>
      <w:numFmt w:val="bullet"/>
      <w:lvlText w:val="o"/>
      <w:lvlJc w:val="left"/>
      <w:pPr>
        <w:ind w:left="3600" w:hanging="360"/>
      </w:pPr>
      <w:rPr>
        <w:rFonts w:ascii="Courier New" w:hAnsi="Courier New" w:cs="Courier New" w:hint="default"/>
      </w:rPr>
    </w:lvl>
    <w:lvl w:ilvl="5" w:tplc="F800B710" w:tentative="1">
      <w:start w:val="1"/>
      <w:numFmt w:val="bullet"/>
      <w:lvlText w:val=""/>
      <w:lvlJc w:val="left"/>
      <w:pPr>
        <w:ind w:left="4320" w:hanging="360"/>
      </w:pPr>
      <w:rPr>
        <w:rFonts w:ascii="Wingdings" w:hAnsi="Wingdings" w:hint="default"/>
      </w:rPr>
    </w:lvl>
    <w:lvl w:ilvl="6" w:tplc="7DA6BD28" w:tentative="1">
      <w:start w:val="1"/>
      <w:numFmt w:val="bullet"/>
      <w:lvlText w:val=""/>
      <w:lvlJc w:val="left"/>
      <w:pPr>
        <w:ind w:left="5040" w:hanging="360"/>
      </w:pPr>
      <w:rPr>
        <w:rFonts w:ascii="Symbol" w:hAnsi="Symbol" w:hint="default"/>
      </w:rPr>
    </w:lvl>
    <w:lvl w:ilvl="7" w:tplc="34BA341A" w:tentative="1">
      <w:start w:val="1"/>
      <w:numFmt w:val="bullet"/>
      <w:lvlText w:val="o"/>
      <w:lvlJc w:val="left"/>
      <w:pPr>
        <w:ind w:left="5760" w:hanging="360"/>
      </w:pPr>
      <w:rPr>
        <w:rFonts w:ascii="Courier New" w:hAnsi="Courier New" w:cs="Courier New" w:hint="default"/>
      </w:rPr>
    </w:lvl>
    <w:lvl w:ilvl="8" w:tplc="1E70FDA2" w:tentative="1">
      <w:start w:val="1"/>
      <w:numFmt w:val="bullet"/>
      <w:lvlText w:val=""/>
      <w:lvlJc w:val="left"/>
      <w:pPr>
        <w:ind w:left="6480" w:hanging="360"/>
      </w:pPr>
      <w:rPr>
        <w:rFonts w:ascii="Wingdings" w:hAnsi="Wingdings" w:hint="default"/>
      </w:rPr>
    </w:lvl>
  </w:abstractNum>
  <w:abstractNum w:abstractNumId="1" w15:restartNumberingAfterBreak="0">
    <w:nsid w:val="5F4F200C"/>
    <w:multiLevelType w:val="hybridMultilevel"/>
    <w:tmpl w:val="32D801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DE"/>
    <w:rsid w:val="00025118"/>
    <w:rsid w:val="00065B30"/>
    <w:rsid w:val="00091DED"/>
    <w:rsid w:val="00092A7F"/>
    <w:rsid w:val="0009759D"/>
    <w:rsid w:val="000B5B25"/>
    <w:rsid w:val="000B5D6D"/>
    <w:rsid w:val="000F7D8D"/>
    <w:rsid w:val="00107026"/>
    <w:rsid w:val="00111975"/>
    <w:rsid w:val="00163FB4"/>
    <w:rsid w:val="00197D08"/>
    <w:rsid w:val="001C4397"/>
    <w:rsid w:val="001D5B7B"/>
    <w:rsid w:val="001F6EB1"/>
    <w:rsid w:val="0020074A"/>
    <w:rsid w:val="0020336E"/>
    <w:rsid w:val="00213807"/>
    <w:rsid w:val="00221EC9"/>
    <w:rsid w:val="00221F85"/>
    <w:rsid w:val="002407AF"/>
    <w:rsid w:val="00294720"/>
    <w:rsid w:val="002B5827"/>
    <w:rsid w:val="002B6B2E"/>
    <w:rsid w:val="002C1EC0"/>
    <w:rsid w:val="002F0BBB"/>
    <w:rsid w:val="002F371A"/>
    <w:rsid w:val="002F732E"/>
    <w:rsid w:val="00353C0E"/>
    <w:rsid w:val="003723FB"/>
    <w:rsid w:val="0037255B"/>
    <w:rsid w:val="003869EC"/>
    <w:rsid w:val="003B562D"/>
    <w:rsid w:val="003C07E7"/>
    <w:rsid w:val="003D1730"/>
    <w:rsid w:val="003F5AF7"/>
    <w:rsid w:val="00415040"/>
    <w:rsid w:val="00423C66"/>
    <w:rsid w:val="00437B20"/>
    <w:rsid w:val="0046662B"/>
    <w:rsid w:val="004A4AC2"/>
    <w:rsid w:val="0053324C"/>
    <w:rsid w:val="0054677D"/>
    <w:rsid w:val="0057565A"/>
    <w:rsid w:val="00586374"/>
    <w:rsid w:val="00591388"/>
    <w:rsid w:val="005D1E1F"/>
    <w:rsid w:val="005D2720"/>
    <w:rsid w:val="006472D6"/>
    <w:rsid w:val="00682345"/>
    <w:rsid w:val="006828B4"/>
    <w:rsid w:val="006C285A"/>
    <w:rsid w:val="007146A0"/>
    <w:rsid w:val="00723545"/>
    <w:rsid w:val="007875E5"/>
    <w:rsid w:val="007C4750"/>
    <w:rsid w:val="007C74D0"/>
    <w:rsid w:val="007C761D"/>
    <w:rsid w:val="007F14DB"/>
    <w:rsid w:val="00807CFF"/>
    <w:rsid w:val="00811943"/>
    <w:rsid w:val="0081437F"/>
    <w:rsid w:val="00815FA3"/>
    <w:rsid w:val="00844CB1"/>
    <w:rsid w:val="008477A1"/>
    <w:rsid w:val="008645F6"/>
    <w:rsid w:val="008D311C"/>
    <w:rsid w:val="008E3842"/>
    <w:rsid w:val="00937DFA"/>
    <w:rsid w:val="00984358"/>
    <w:rsid w:val="00990DCB"/>
    <w:rsid w:val="00992785"/>
    <w:rsid w:val="009E777E"/>
    <w:rsid w:val="00A52CBC"/>
    <w:rsid w:val="00A6119D"/>
    <w:rsid w:val="00A71950"/>
    <w:rsid w:val="00A858ED"/>
    <w:rsid w:val="00AC4AE9"/>
    <w:rsid w:val="00AD2C96"/>
    <w:rsid w:val="00B32D94"/>
    <w:rsid w:val="00BA108B"/>
    <w:rsid w:val="00BA288B"/>
    <w:rsid w:val="00BB5EFB"/>
    <w:rsid w:val="00BC0D6F"/>
    <w:rsid w:val="00C36AFF"/>
    <w:rsid w:val="00CA58DE"/>
    <w:rsid w:val="00D16B0F"/>
    <w:rsid w:val="00D20763"/>
    <w:rsid w:val="00D2201B"/>
    <w:rsid w:val="00D51FB3"/>
    <w:rsid w:val="00DA0C3E"/>
    <w:rsid w:val="00DC0C92"/>
    <w:rsid w:val="00DE73ED"/>
    <w:rsid w:val="00E10A9A"/>
    <w:rsid w:val="00E5389C"/>
    <w:rsid w:val="00E7346E"/>
    <w:rsid w:val="00EC213B"/>
    <w:rsid w:val="00EC2306"/>
    <w:rsid w:val="00EC2387"/>
    <w:rsid w:val="00F52197"/>
    <w:rsid w:val="00F84CF1"/>
    <w:rsid w:val="00F85BD8"/>
    <w:rsid w:val="00F9080E"/>
    <w:rsid w:val="00F9431C"/>
    <w:rsid w:val="00F967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CB856"/>
  <w15:chartTrackingRefBased/>
  <w15:docId w15:val="{5F58D615-08E9-4464-9180-830E4EEE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B08"/>
    <w:pPr>
      <w:ind w:left="720"/>
      <w:contextualSpacing/>
    </w:pPr>
  </w:style>
  <w:style w:type="paragraph" w:styleId="Header">
    <w:name w:val="header"/>
    <w:basedOn w:val="Normal"/>
    <w:link w:val="HeaderChar"/>
    <w:uiPriority w:val="99"/>
    <w:unhideWhenUsed/>
    <w:rsid w:val="00D96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653"/>
  </w:style>
  <w:style w:type="paragraph" w:styleId="Footer">
    <w:name w:val="footer"/>
    <w:basedOn w:val="Normal"/>
    <w:link w:val="FooterChar"/>
    <w:uiPriority w:val="99"/>
    <w:unhideWhenUsed/>
    <w:rsid w:val="00D96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653"/>
  </w:style>
  <w:style w:type="paragraph" w:styleId="BalloonText">
    <w:name w:val="Balloon Text"/>
    <w:basedOn w:val="Normal"/>
    <w:link w:val="BalloonTextChar"/>
    <w:uiPriority w:val="99"/>
    <w:semiHidden/>
    <w:unhideWhenUsed/>
    <w:rsid w:val="00586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DDD"/>
    <w:rPr>
      <w:rFonts w:ascii="Segoe UI" w:hAnsi="Segoe UI" w:cs="Segoe UI"/>
      <w:sz w:val="18"/>
      <w:szCs w:val="18"/>
    </w:rPr>
  </w:style>
  <w:style w:type="character" w:styleId="CommentReference">
    <w:name w:val="annotation reference"/>
    <w:basedOn w:val="DefaultParagraphFont"/>
    <w:uiPriority w:val="99"/>
    <w:semiHidden/>
    <w:unhideWhenUsed/>
    <w:rsid w:val="00C859BC"/>
    <w:rPr>
      <w:sz w:val="16"/>
      <w:szCs w:val="16"/>
    </w:rPr>
  </w:style>
  <w:style w:type="paragraph" w:styleId="CommentText">
    <w:name w:val="annotation text"/>
    <w:basedOn w:val="Normal"/>
    <w:link w:val="CommentTextChar"/>
    <w:uiPriority w:val="99"/>
    <w:semiHidden/>
    <w:unhideWhenUsed/>
    <w:rsid w:val="00C859BC"/>
    <w:pPr>
      <w:spacing w:line="240" w:lineRule="auto"/>
    </w:pPr>
    <w:rPr>
      <w:sz w:val="20"/>
      <w:szCs w:val="20"/>
    </w:rPr>
  </w:style>
  <w:style w:type="character" w:customStyle="1" w:styleId="CommentTextChar">
    <w:name w:val="Comment Text Char"/>
    <w:basedOn w:val="DefaultParagraphFont"/>
    <w:link w:val="CommentText"/>
    <w:uiPriority w:val="99"/>
    <w:semiHidden/>
    <w:rsid w:val="00C859BC"/>
    <w:rPr>
      <w:sz w:val="20"/>
      <w:szCs w:val="20"/>
    </w:rPr>
  </w:style>
  <w:style w:type="paragraph" w:styleId="CommentSubject">
    <w:name w:val="annotation subject"/>
    <w:basedOn w:val="CommentText"/>
    <w:next w:val="CommentText"/>
    <w:link w:val="CommentSubjectChar"/>
    <w:uiPriority w:val="99"/>
    <w:semiHidden/>
    <w:unhideWhenUsed/>
    <w:rsid w:val="00C859BC"/>
    <w:rPr>
      <w:b/>
      <w:bCs/>
    </w:rPr>
  </w:style>
  <w:style w:type="character" w:customStyle="1" w:styleId="CommentSubjectChar">
    <w:name w:val="Comment Subject Char"/>
    <w:basedOn w:val="CommentTextChar"/>
    <w:link w:val="CommentSubject"/>
    <w:uiPriority w:val="99"/>
    <w:semiHidden/>
    <w:rsid w:val="00C859BC"/>
    <w:rPr>
      <w:b/>
      <w:bCs/>
      <w:sz w:val="20"/>
      <w:szCs w:val="20"/>
    </w:rPr>
  </w:style>
  <w:style w:type="character" w:styleId="Hyperlink">
    <w:name w:val="Hyperlink"/>
    <w:basedOn w:val="DefaultParagraphFont"/>
    <w:uiPriority w:val="99"/>
    <w:unhideWhenUsed/>
    <w:rsid w:val="007F7213"/>
    <w:rPr>
      <w:color w:val="0563C1" w:themeColor="hyperlink"/>
      <w:u w:val="single"/>
    </w:rPr>
  </w:style>
  <w:style w:type="character" w:styleId="FollowedHyperlink">
    <w:name w:val="FollowedHyperlink"/>
    <w:basedOn w:val="DefaultParagraphFont"/>
    <w:uiPriority w:val="99"/>
    <w:semiHidden/>
    <w:unhideWhenUsed/>
    <w:rsid w:val="007F72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n-ouvert@tbs-sct.gc.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cpedia.gc.ca/wiki/AI/P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ppd-dpiprp@tbs-sct.gc.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TBS-SCT</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Cole-Wilcox, Danielle</dc:creator>
  <cp:lastModifiedBy>Beriault, Katherine</cp:lastModifiedBy>
  <cp:revision>3</cp:revision>
  <cp:lastPrinted>2019-08-08T16:40:00Z</cp:lastPrinted>
  <dcterms:created xsi:type="dcterms:W3CDTF">2022-04-13T14:51:00Z</dcterms:created>
  <dcterms:modified xsi:type="dcterms:W3CDTF">2022-04-13T17:12:00Z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CLASS">
    <vt:lpwstr>CLASSU</vt:lpwstr>
  </property>
  <property fmtid="{D5CDD505-2E9C-101B-9397-08002B2CF9AE}" pid="3" name="TitusGUID">
    <vt:lpwstr>e0bc366b-ca9e-49c0-845a-71f74cbd1136</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3d0ca00b-3f0e-465a-aac7-1a6a22fcea40_Enabled">
    <vt:lpwstr>true</vt:lpwstr>
  </property>
  <property fmtid="{D5CDD505-2E9C-101B-9397-08002B2CF9AE}" pid="7" name="MSIP_Label_3d0ca00b-3f0e-465a-aac7-1a6a22fcea40_SetDate">
    <vt:lpwstr>2022-04-13T17:12:14Z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601530e1-e90e-464b-bbbb-888ed059e003</vt:lpwstr>
  </property>
  <property fmtid="{D5CDD505-2E9C-101B-9397-08002B2CF9AE}" pid="12" name="MSIP_Label_3d0ca00b-3f0e-465a-aac7-1a6a22fcea40_ContentBits">
    <vt:lpwstr>1</vt:lpwstr>
  </property>
</Properties>
</file>