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4AE93" w14:textId="5EB7A262" w:rsidR="003612B7" w:rsidRPr="00AE56DB" w:rsidRDefault="003612B7" w:rsidP="003612B7">
      <w:pPr>
        <w:pBdr>
          <w:bottom w:val="single" w:sz="4" w:space="1" w:color="auto"/>
        </w:pBdr>
        <w:spacing w:after="0" w:line="240" w:lineRule="auto"/>
        <w:rPr>
          <w:b/>
          <w:sz w:val="40"/>
          <w:lang w:val="fr-CA"/>
        </w:rPr>
      </w:pPr>
      <w:r w:rsidRPr="00AE56DB">
        <w:rPr>
          <w:b/>
          <w:sz w:val="40"/>
          <w:lang w:val="fr-CA"/>
        </w:rPr>
        <w:t>Demandes de renseignements personnels – Explications écrites</w:t>
      </w:r>
    </w:p>
    <w:p w14:paraId="2FD896AA" w14:textId="6B88E128" w:rsidR="00B5575C" w:rsidRPr="003612B7" w:rsidRDefault="003612B7" w:rsidP="003612B7">
      <w:pPr>
        <w:pBdr>
          <w:bottom w:val="single" w:sz="4" w:space="1" w:color="auto"/>
        </w:pBdr>
        <w:spacing w:after="0" w:line="240" w:lineRule="auto"/>
        <w:rPr>
          <w:b/>
          <w:sz w:val="40"/>
          <w:lang w:val="fr-CA"/>
        </w:rPr>
      </w:pPr>
      <w:r w:rsidRPr="003612B7">
        <w:rPr>
          <w:b/>
          <w:sz w:val="40"/>
          <w:lang w:val="fr-CA"/>
        </w:rPr>
        <w:t xml:space="preserve">Liste de contrôle </w:t>
      </w:r>
      <w:r w:rsidR="00AE56DB">
        <w:rPr>
          <w:b/>
          <w:sz w:val="40"/>
          <w:lang w:val="fr-CA"/>
        </w:rPr>
        <w:t>de mise en œuvre proposée</w:t>
      </w:r>
    </w:p>
    <w:p w14:paraId="69D1093A" w14:textId="61BEA8FD" w:rsidR="003612B7" w:rsidRPr="00AD1370" w:rsidRDefault="003612B7" w:rsidP="00FE4216">
      <w:pPr>
        <w:pStyle w:val="Title"/>
        <w:spacing w:before="240" w:after="240"/>
        <w:rPr>
          <w:lang w:val="fr-CA"/>
        </w:rPr>
      </w:pPr>
      <w:r w:rsidRPr="003612B7">
        <w:rPr>
          <w:rFonts w:ascii="Calibri" w:hAnsi="Calibri"/>
          <w:b w:val="0"/>
          <w:sz w:val="24"/>
          <w:lang w:val="fr-CA"/>
        </w:rPr>
        <w:t>La présente liste de contrôle de mise en œuvre vise à fournir aux coordonnateurs de</w:t>
      </w:r>
      <w:r>
        <w:rPr>
          <w:rFonts w:ascii="Calibri" w:hAnsi="Calibri"/>
          <w:b w:val="0"/>
          <w:sz w:val="24"/>
          <w:lang w:val="fr-CA"/>
        </w:rPr>
        <w:t xml:space="preserve"> </w:t>
      </w:r>
      <w:r w:rsidR="007F7107">
        <w:rPr>
          <w:rFonts w:ascii="Calibri" w:hAnsi="Calibri"/>
          <w:b w:val="0"/>
          <w:sz w:val="24"/>
          <w:lang w:val="fr-CA"/>
        </w:rPr>
        <w:t>l’</w:t>
      </w:r>
      <w:r w:rsidRPr="003612B7">
        <w:rPr>
          <w:rFonts w:ascii="Calibri" w:hAnsi="Calibri"/>
          <w:b w:val="0"/>
          <w:sz w:val="24"/>
          <w:lang w:val="fr-CA"/>
        </w:rPr>
        <w:t>Accès à l’information et protection des renseignements personnels (AIPRP)</w:t>
      </w:r>
      <w:r>
        <w:rPr>
          <w:rFonts w:ascii="Calibri" w:hAnsi="Calibri"/>
          <w:b w:val="0"/>
          <w:sz w:val="24"/>
          <w:lang w:val="fr-CA"/>
        </w:rPr>
        <w:t xml:space="preserve"> une orientation sur les mesures que les institutions doivent prendre pour mettre en œuvre les nouvelles exigences de la </w:t>
      </w:r>
      <w:r w:rsidRPr="003612B7">
        <w:rPr>
          <w:rFonts w:ascii="Calibri" w:hAnsi="Calibri"/>
          <w:b w:val="0"/>
          <w:i/>
          <w:sz w:val="24"/>
          <w:lang w:val="fr-CA"/>
        </w:rPr>
        <w:t>Directive sur les demandes de renseignements personnels</w:t>
      </w:r>
      <w:r w:rsidRPr="003612B7">
        <w:rPr>
          <w:rFonts w:ascii="Calibri" w:hAnsi="Calibri"/>
          <w:b w:val="0"/>
          <w:sz w:val="24"/>
          <w:lang w:val="fr-CA"/>
        </w:rPr>
        <w:t xml:space="preserve">. </w:t>
      </w:r>
      <w:r w:rsidR="00AD1370">
        <w:rPr>
          <w:rFonts w:ascii="Calibri" w:hAnsi="Calibri"/>
          <w:b w:val="0"/>
          <w:sz w:val="24"/>
          <w:lang w:val="fr-CA"/>
        </w:rPr>
        <w:t xml:space="preserve">Les nouvelles exigences </w:t>
      </w:r>
      <w:r w:rsidRPr="003612B7">
        <w:rPr>
          <w:rFonts w:ascii="Calibri" w:hAnsi="Calibri"/>
          <w:b w:val="0"/>
          <w:sz w:val="24"/>
          <w:lang w:val="fr-CA"/>
        </w:rPr>
        <w:t>exigent que les institutions fournissent une explication écrite au demandeur lorsqu’il faut plus de 30</w:t>
      </w:r>
      <w:r w:rsidR="007F7107">
        <w:rPr>
          <w:rFonts w:ascii="Calibri" w:hAnsi="Calibri"/>
          <w:b w:val="0"/>
          <w:sz w:val="24"/>
          <w:lang w:val="fr-CA"/>
        </w:rPr>
        <w:t> </w:t>
      </w:r>
      <w:r w:rsidRPr="003612B7">
        <w:rPr>
          <w:rFonts w:ascii="Calibri" w:hAnsi="Calibri"/>
          <w:b w:val="0"/>
          <w:sz w:val="24"/>
          <w:lang w:val="fr-CA"/>
        </w:rPr>
        <w:t>jours pour répondre à une demande d’accès à des renseignements personnels.</w:t>
      </w:r>
      <w:r w:rsidRPr="00AD1370">
        <w:rPr>
          <w:lang w:val="fr-CA"/>
        </w:rPr>
        <w:t xml:space="preserve"> </w:t>
      </w:r>
    </w:p>
    <w:p w14:paraId="2BDF1A34" w14:textId="50FEEBD3" w:rsidR="003612B7" w:rsidRPr="003612B7" w:rsidRDefault="003612B7" w:rsidP="003612B7">
      <w:pPr>
        <w:pStyle w:val="Title"/>
        <w:spacing w:before="240" w:after="240"/>
        <w:rPr>
          <w:rFonts w:ascii="Calibri" w:hAnsi="Calibri"/>
          <w:b w:val="0"/>
          <w:sz w:val="24"/>
          <w:lang w:val="fr-CA"/>
        </w:rPr>
      </w:pPr>
      <w:r w:rsidRPr="003612B7">
        <w:rPr>
          <w:rFonts w:ascii="Calibri" w:hAnsi="Calibri"/>
          <w:b w:val="0"/>
          <w:sz w:val="24"/>
          <w:lang w:val="fr-CA"/>
        </w:rPr>
        <w:t xml:space="preserve">La liste de contrôle proposée sert de guide général. Les coordonnateurs de l’AIPRP sont encouragés à utiliser et à adapter le contenu au besoin, en fonction des circonstances de chaque </w:t>
      </w:r>
      <w:r>
        <w:rPr>
          <w:rFonts w:ascii="Calibri" w:hAnsi="Calibri"/>
          <w:b w:val="0"/>
          <w:sz w:val="24"/>
          <w:lang w:val="fr-CA"/>
        </w:rPr>
        <w:t>institution</w:t>
      </w:r>
      <w:r w:rsidRPr="003612B7">
        <w:rPr>
          <w:rFonts w:ascii="Calibri" w:hAnsi="Calibri"/>
          <w:b w:val="0"/>
          <w:sz w:val="24"/>
          <w:lang w:val="fr-CA"/>
        </w:rPr>
        <w:t>.</w:t>
      </w:r>
    </w:p>
    <w:p w14:paraId="30BA680C" w14:textId="51A439C1" w:rsidR="00F130D2" w:rsidRDefault="00F130D2" w:rsidP="00F130D2">
      <w:pPr>
        <w:pStyle w:val="ListParagraph"/>
        <w:numPr>
          <w:ilvl w:val="0"/>
          <w:numId w:val="17"/>
        </w:numPr>
        <w:spacing w:before="240" w:after="0" w:line="240" w:lineRule="auto"/>
        <w:rPr>
          <w:b/>
          <w:sz w:val="36"/>
          <w:lang w:val="fr-CA"/>
        </w:rPr>
      </w:pPr>
      <w:r w:rsidRPr="00F130D2">
        <w:rPr>
          <w:b/>
          <w:sz w:val="36"/>
          <w:lang w:val="fr-CA"/>
        </w:rPr>
        <w:t>Mise à jour de la politique sur la protection de</w:t>
      </w:r>
      <w:r>
        <w:rPr>
          <w:b/>
          <w:sz w:val="36"/>
          <w:lang w:val="fr-CA"/>
        </w:rPr>
        <w:t xml:space="preserve"> confidentialité</w:t>
      </w:r>
    </w:p>
    <w:p w14:paraId="6CF9D519" w14:textId="208583F5" w:rsidR="00D33885" w:rsidRPr="003612B7" w:rsidRDefault="0026631A" w:rsidP="007723F2">
      <w:pPr>
        <w:spacing w:before="240" w:after="0" w:line="240" w:lineRule="auto"/>
        <w:ind w:left="360"/>
        <w:rPr>
          <w:b/>
          <w:sz w:val="32"/>
          <w:lang w:val="fr-CA"/>
        </w:rPr>
      </w:pPr>
      <w:r w:rsidRPr="003612B7">
        <w:rPr>
          <w:b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85C7D5" wp14:editId="63502379">
                <wp:simplePos x="0" y="0"/>
                <wp:positionH relativeFrom="margin">
                  <wp:posOffset>238125</wp:posOffset>
                </wp:positionH>
                <wp:positionV relativeFrom="paragraph">
                  <wp:posOffset>544195</wp:posOffset>
                </wp:positionV>
                <wp:extent cx="5621655" cy="74168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7416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63C80" w14:textId="12C2F618" w:rsidR="00F86D32" w:rsidRPr="00F130D2" w:rsidRDefault="00F130D2" w:rsidP="007723F2">
                            <w:pPr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  <w:r w:rsidRPr="00F130D2">
                              <w:rPr>
                                <w:b/>
                                <w:sz w:val="24"/>
                                <w:lang w:val="fr-CA"/>
                              </w:rPr>
                              <w:t>Directive sur les demandes de renseignements personnels</w:t>
                            </w:r>
                          </w:p>
                          <w:p w14:paraId="02CBE726" w14:textId="378E4DFC" w:rsidR="00A67666" w:rsidRPr="00F130D2" w:rsidRDefault="00A67666" w:rsidP="00A67666">
                            <w:pPr>
                              <w:rPr>
                                <w:i/>
                                <w:szCs w:val="24"/>
                                <w:lang w:val="fr-CA"/>
                              </w:rPr>
                            </w:pPr>
                            <w:r w:rsidRPr="00F130D2">
                              <w:rPr>
                                <w:szCs w:val="24"/>
                                <w:lang w:val="fr-CA"/>
                              </w:rPr>
                              <w:t>4.2.7</w:t>
                            </w:r>
                            <w:r w:rsidRPr="00F130D2">
                              <w:rPr>
                                <w:szCs w:val="24"/>
                                <w:lang w:val="fr-CA"/>
                              </w:rPr>
                              <w:tab/>
                            </w:r>
                            <w:r w:rsidR="00F130D2" w:rsidRPr="00F130D2">
                              <w:rPr>
                                <w:i/>
                                <w:szCs w:val="24"/>
                                <w:lang w:val="fr-CA"/>
                              </w:rPr>
                              <w:t xml:space="preserve">fournir une </w:t>
                            </w:r>
                            <w:r w:rsidR="00F130D2" w:rsidRPr="00F130D2">
                              <w:rPr>
                                <w:b/>
                                <w:i/>
                                <w:szCs w:val="24"/>
                                <w:u w:val="single"/>
                                <w:lang w:val="fr-CA"/>
                              </w:rPr>
                              <w:t>explication écrite</w:t>
                            </w:r>
                            <w:r w:rsidR="00F130D2" w:rsidRPr="00F130D2">
                              <w:rPr>
                                <w:i/>
                                <w:szCs w:val="24"/>
                                <w:lang w:val="fr-CA"/>
                              </w:rPr>
                              <w:t xml:space="preserve"> au demandeur s’il faut plus de 30</w:t>
                            </w:r>
                            <w:r w:rsidR="007F7107">
                              <w:rPr>
                                <w:i/>
                                <w:szCs w:val="24"/>
                                <w:lang w:val="fr-CA"/>
                              </w:rPr>
                              <w:t> </w:t>
                            </w:r>
                            <w:r w:rsidR="00F130D2" w:rsidRPr="00F130D2">
                              <w:rPr>
                                <w:i/>
                                <w:szCs w:val="24"/>
                                <w:lang w:val="fr-CA"/>
                              </w:rPr>
                              <w:t>jours pour répondre à une demande d’accès aux renseignements personnel</w:t>
                            </w:r>
                            <w:r w:rsidR="007F7107">
                              <w:rPr>
                                <w:i/>
                                <w:szCs w:val="24"/>
                                <w:lang w:val="fr-CA"/>
                              </w:rPr>
                              <w:t>s</w:t>
                            </w:r>
                          </w:p>
                          <w:p w14:paraId="636F5ED1" w14:textId="77777777" w:rsidR="00A67666" w:rsidRPr="00AD1370" w:rsidRDefault="00A67666" w:rsidP="00A67666">
                            <w:pPr>
                              <w:rPr>
                                <w:sz w:val="1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C85C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42.85pt;width:442.65pt;height:5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" fillcolor="#e7e6e6" stroked="f">
                <v:textbox>
                  <w:txbxContent>
                    <w:p w14:paraId="52863C80" w14:textId="12C2F618" w:rsidR="00F86D32" w:rsidRPr="00F130D2" w:rsidRDefault="00F130D2" w:rsidP="007723F2">
                      <w:pPr>
                        <w:rPr>
                          <w:b/>
                          <w:sz w:val="24"/>
                          <w:lang w:val="fr-CA"/>
                        </w:rPr>
                      </w:pPr>
                      <w:r w:rsidRPr="00F130D2">
                        <w:rPr>
                          <w:b/>
                          <w:sz w:val="24"/>
                          <w:lang w:val="fr-CA"/>
                        </w:rPr>
                        <w:t>Directive sur les demandes de renseignements personnels</w:t>
                      </w:r>
                    </w:p>
                    <w:p w14:paraId="02CBE726" w14:textId="378E4DFC" w:rsidR="00A67666" w:rsidRPr="00F130D2" w:rsidRDefault="00A67666" w:rsidP="00A67666">
                      <w:pPr>
                        <w:rPr>
                          <w:i/>
                          <w:szCs w:val="24"/>
                          <w:lang w:val="fr-CA"/>
                        </w:rPr>
                      </w:pPr>
                      <w:r w:rsidRPr="00F130D2">
                        <w:rPr>
                          <w:szCs w:val="24"/>
                          <w:lang w:val="fr-CA"/>
                        </w:rPr>
                        <w:t>4.2.7</w:t>
                      </w:r>
                      <w:r w:rsidRPr="00F130D2">
                        <w:rPr>
                          <w:szCs w:val="24"/>
                          <w:lang w:val="fr-CA"/>
                        </w:rPr>
                        <w:tab/>
                      </w:r>
                      <w:r w:rsidR="00F130D2" w:rsidRPr="00F130D2">
                        <w:rPr>
                          <w:i/>
                          <w:szCs w:val="24"/>
                          <w:lang w:val="fr-CA"/>
                        </w:rPr>
                        <w:t xml:space="preserve">fournir une </w:t>
                      </w:r>
                      <w:r w:rsidR="00F130D2" w:rsidRPr="00F130D2">
                        <w:rPr>
                          <w:b/>
                          <w:i/>
                          <w:szCs w:val="24"/>
                          <w:u w:val="single"/>
                          <w:lang w:val="fr-CA"/>
                        </w:rPr>
                        <w:t>explication écrite</w:t>
                      </w:r>
                      <w:r w:rsidR="00F130D2" w:rsidRPr="00F130D2">
                        <w:rPr>
                          <w:i/>
                          <w:szCs w:val="24"/>
                          <w:lang w:val="fr-CA"/>
                        </w:rPr>
                        <w:t xml:space="preserve"> au demandeur s’il faut plus de 30</w:t>
                      </w:r>
                      <w:r w:rsidR="007F7107">
                        <w:rPr>
                          <w:i/>
                          <w:szCs w:val="24"/>
                          <w:lang w:val="fr-CA"/>
                        </w:rPr>
                        <w:t> </w:t>
                      </w:r>
                      <w:r w:rsidR="00F130D2" w:rsidRPr="00F130D2">
                        <w:rPr>
                          <w:i/>
                          <w:szCs w:val="24"/>
                          <w:lang w:val="fr-CA"/>
                        </w:rPr>
                        <w:t>jours pour répondre à une demande d’accès aux renseignements personnel</w:t>
                      </w:r>
                      <w:r w:rsidR="007F7107">
                        <w:rPr>
                          <w:i/>
                          <w:szCs w:val="24"/>
                          <w:lang w:val="fr-CA"/>
                        </w:rPr>
                        <w:t>s</w:t>
                      </w:r>
                    </w:p>
                    <w:p w14:paraId="636F5ED1" w14:textId="77777777" w:rsidR="00A67666" w:rsidRPr="00911923" w:rsidRDefault="00A67666" w:rsidP="00A6766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30D2">
        <w:rPr>
          <w:b/>
          <w:sz w:val="28"/>
          <w:lang w:val="fr-CA"/>
        </w:rPr>
        <w:t xml:space="preserve"> </w:t>
      </w:r>
      <w:r w:rsidR="00F130D2" w:rsidRPr="00F130D2">
        <w:rPr>
          <w:b/>
          <w:sz w:val="28"/>
          <w:lang w:val="fr-CA"/>
        </w:rPr>
        <w:t>Garantie de 30</w:t>
      </w:r>
      <w:r w:rsidR="007F7107">
        <w:rPr>
          <w:b/>
          <w:sz w:val="28"/>
          <w:lang w:val="fr-CA"/>
        </w:rPr>
        <w:t> </w:t>
      </w:r>
      <w:r w:rsidR="00F130D2" w:rsidRPr="00F130D2">
        <w:rPr>
          <w:b/>
          <w:sz w:val="28"/>
          <w:lang w:val="fr-CA"/>
        </w:rPr>
        <w:t>jours - explication écrite des prolongations</w:t>
      </w:r>
    </w:p>
    <w:p w14:paraId="47710FCD" w14:textId="4A8F6D6D" w:rsidR="00346E02" w:rsidRPr="003612B7" w:rsidRDefault="00F130D2" w:rsidP="007723F2">
      <w:pPr>
        <w:spacing w:before="240"/>
        <w:ind w:left="360"/>
        <w:rPr>
          <w:b/>
          <w:sz w:val="24"/>
          <w:lang w:val="fr-CA"/>
        </w:rPr>
      </w:pPr>
      <w:r w:rsidRPr="00F130D2">
        <w:rPr>
          <w:b/>
          <w:sz w:val="24"/>
          <w:lang w:val="fr-CA"/>
        </w:rPr>
        <w:t>Processus opérationnels</w:t>
      </w:r>
    </w:p>
    <w:p w14:paraId="57A91C74" w14:textId="459D2BDA" w:rsidR="00F130D2" w:rsidRDefault="00F130D2" w:rsidP="00F130D2">
      <w:pPr>
        <w:pStyle w:val="ListParagraph"/>
        <w:numPr>
          <w:ilvl w:val="0"/>
          <w:numId w:val="1"/>
        </w:numPr>
        <w:rPr>
          <w:sz w:val="24"/>
          <w:lang w:val="fr-CA"/>
        </w:rPr>
      </w:pPr>
      <w:r w:rsidRPr="00F130D2">
        <w:rPr>
          <w:sz w:val="24"/>
          <w:lang w:val="fr-CA"/>
        </w:rPr>
        <w:t>Examiner et mettre à jour les processus opérationnels et les normes internes actuels pour y inclure de nouvelles procédures pour l’explication écrite</w:t>
      </w:r>
    </w:p>
    <w:p w14:paraId="617A1EF6" w14:textId="2D81F7C9" w:rsidR="00F130D2" w:rsidRPr="00C810AC" w:rsidRDefault="00F130D2" w:rsidP="00C810AC">
      <w:pPr>
        <w:pStyle w:val="ListParagraph"/>
        <w:numPr>
          <w:ilvl w:val="0"/>
          <w:numId w:val="1"/>
        </w:numPr>
        <w:rPr>
          <w:sz w:val="24"/>
          <w:lang w:val="fr-CA"/>
        </w:rPr>
      </w:pPr>
      <w:r w:rsidRPr="00F130D2">
        <w:rPr>
          <w:sz w:val="24"/>
          <w:lang w:val="fr-CA"/>
        </w:rPr>
        <w:t xml:space="preserve">Élaborer une lettre d’explication du modèle, obtenir les approbations internes </w:t>
      </w:r>
      <w:r w:rsidR="00C810AC" w:rsidRPr="00C810AC">
        <w:rPr>
          <w:sz w:val="24"/>
          <w:lang w:val="fr-CA"/>
        </w:rPr>
        <w:t>(</w:t>
      </w:r>
      <w:hyperlink r:id="rId7" w:history="1">
        <w:r w:rsidR="00AD1370" w:rsidRPr="009D5607">
          <w:rPr>
            <w:rStyle w:val="Hyperlink"/>
            <w:sz w:val="24"/>
            <w:lang w:val="fr-CA"/>
          </w:rPr>
          <w:t>http://www.gcpedia.gc.ca/wiki/User:XXXXXXXXXX/Privacy_Manual/30_Day</w:t>
        </w:r>
      </w:hyperlink>
      <w:r w:rsidR="00C810AC" w:rsidRPr="00C810AC">
        <w:rPr>
          <w:sz w:val="24"/>
          <w:lang w:val="fr-CA"/>
        </w:rPr>
        <w:t>)</w:t>
      </w:r>
      <w:r w:rsidR="007F7107">
        <w:rPr>
          <w:sz w:val="24"/>
          <w:lang w:val="fr-CA"/>
        </w:rPr>
        <w:t>.</w:t>
      </w:r>
      <w:r w:rsidR="00C810AC" w:rsidRPr="00C810AC">
        <w:rPr>
          <w:sz w:val="24"/>
          <w:lang w:val="fr-CA"/>
        </w:rPr>
        <w:t xml:space="preserve"> </w:t>
      </w:r>
      <w:r w:rsidRPr="00C810AC">
        <w:rPr>
          <w:i/>
          <w:sz w:val="24"/>
          <w:lang w:val="fr-CA"/>
        </w:rPr>
        <w:t xml:space="preserve">Ce lien n’est pas encore en ligne, mais sera à temps pour </w:t>
      </w:r>
      <w:r w:rsidR="00AD1370">
        <w:rPr>
          <w:i/>
          <w:sz w:val="24"/>
          <w:lang w:val="fr-CA"/>
        </w:rPr>
        <w:t>la mise ne œuvre.</w:t>
      </w:r>
    </w:p>
    <w:p w14:paraId="3D78624F" w14:textId="26B11FBE" w:rsidR="00C97792" w:rsidRPr="003612B7" w:rsidRDefault="00C810AC" w:rsidP="00C810AC">
      <w:pPr>
        <w:pStyle w:val="ListParagraph"/>
        <w:numPr>
          <w:ilvl w:val="0"/>
          <w:numId w:val="1"/>
        </w:numPr>
        <w:rPr>
          <w:sz w:val="24"/>
          <w:lang w:val="fr-CA"/>
        </w:rPr>
      </w:pPr>
      <w:r w:rsidRPr="00C810AC">
        <w:rPr>
          <w:sz w:val="24"/>
          <w:lang w:val="fr-CA"/>
        </w:rPr>
        <w:t>Élaborer une méthodologie pour la diffusion d’explications écrites, notamment :</w:t>
      </w:r>
    </w:p>
    <w:p w14:paraId="22DD59AE" w14:textId="77777777" w:rsidR="00C810AC" w:rsidRPr="00C810AC" w:rsidRDefault="00C810AC" w:rsidP="00C810AC">
      <w:pPr>
        <w:pStyle w:val="ListParagraph"/>
        <w:numPr>
          <w:ilvl w:val="1"/>
          <w:numId w:val="13"/>
        </w:numPr>
        <w:rPr>
          <w:sz w:val="24"/>
          <w:lang w:val="fr-CA"/>
        </w:rPr>
      </w:pPr>
      <w:r w:rsidRPr="00C810AC">
        <w:rPr>
          <w:sz w:val="24"/>
          <w:lang w:val="fr-CA"/>
        </w:rPr>
        <w:t>Échéancier du processus</w:t>
      </w:r>
    </w:p>
    <w:p w14:paraId="20C622F6" w14:textId="77777777" w:rsidR="00C810AC" w:rsidRPr="00C810AC" w:rsidRDefault="00C810AC" w:rsidP="00C810AC">
      <w:pPr>
        <w:pStyle w:val="ListParagraph"/>
        <w:numPr>
          <w:ilvl w:val="1"/>
          <w:numId w:val="13"/>
        </w:numPr>
        <w:rPr>
          <w:sz w:val="24"/>
          <w:lang w:val="fr-CA"/>
        </w:rPr>
      </w:pPr>
      <w:r w:rsidRPr="00C810AC">
        <w:rPr>
          <w:sz w:val="24"/>
          <w:lang w:val="fr-CA"/>
        </w:rPr>
        <w:t>Identification de la justification de la prolongation</w:t>
      </w:r>
    </w:p>
    <w:p w14:paraId="6C37EB11" w14:textId="6D749381" w:rsidR="00C810AC" w:rsidRPr="00C810AC" w:rsidRDefault="00C810AC" w:rsidP="00C810AC">
      <w:pPr>
        <w:pStyle w:val="ListParagraph"/>
        <w:numPr>
          <w:ilvl w:val="1"/>
          <w:numId w:val="13"/>
        </w:numPr>
        <w:rPr>
          <w:sz w:val="24"/>
          <w:lang w:val="fr-CA"/>
        </w:rPr>
      </w:pPr>
      <w:r w:rsidRPr="00C810AC">
        <w:rPr>
          <w:sz w:val="24"/>
          <w:lang w:val="fr-CA"/>
        </w:rPr>
        <w:t xml:space="preserve">Sélection du </w:t>
      </w:r>
      <w:r w:rsidR="00AD1370">
        <w:rPr>
          <w:sz w:val="24"/>
          <w:lang w:val="fr-CA"/>
        </w:rPr>
        <w:t xml:space="preserve">gabarit </w:t>
      </w:r>
      <w:r w:rsidRPr="00C810AC">
        <w:rPr>
          <w:sz w:val="24"/>
          <w:lang w:val="fr-CA"/>
        </w:rPr>
        <w:t>ou du modèle de lettre approprié</w:t>
      </w:r>
    </w:p>
    <w:p w14:paraId="3841D1C1" w14:textId="77777777" w:rsidR="00C810AC" w:rsidRPr="00C810AC" w:rsidRDefault="00C810AC" w:rsidP="00C810AC">
      <w:pPr>
        <w:pStyle w:val="ListParagraph"/>
        <w:numPr>
          <w:ilvl w:val="1"/>
          <w:numId w:val="13"/>
        </w:numPr>
        <w:rPr>
          <w:sz w:val="24"/>
          <w:lang w:val="fr-CA"/>
        </w:rPr>
      </w:pPr>
      <w:r w:rsidRPr="00C810AC">
        <w:rPr>
          <w:sz w:val="24"/>
          <w:lang w:val="fr-CA"/>
        </w:rPr>
        <w:lastRenderedPageBreak/>
        <w:t>Achemin</w:t>
      </w:r>
      <w:bookmarkStart w:id="0" w:name="_GoBack"/>
      <w:bookmarkEnd w:id="0"/>
      <w:r w:rsidRPr="00C810AC">
        <w:rPr>
          <w:sz w:val="24"/>
          <w:lang w:val="fr-CA"/>
        </w:rPr>
        <w:t>ement pour approbation</w:t>
      </w:r>
    </w:p>
    <w:p w14:paraId="3B08DBBC" w14:textId="3B3D3BAA" w:rsidR="00C97792" w:rsidRPr="00C810AC" w:rsidRDefault="00AE56DB" w:rsidP="005F265B">
      <w:pPr>
        <w:pStyle w:val="ListParagraph"/>
        <w:numPr>
          <w:ilvl w:val="1"/>
          <w:numId w:val="13"/>
        </w:numPr>
        <w:rPr>
          <w:sz w:val="24"/>
          <w:lang w:val="fr-CA"/>
        </w:rPr>
      </w:pPr>
      <w:r w:rsidRPr="003612B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6DC4C8" wp14:editId="62B4CF47">
                <wp:simplePos x="0" y="0"/>
                <wp:positionH relativeFrom="margin">
                  <wp:posOffset>247650</wp:posOffset>
                </wp:positionH>
                <wp:positionV relativeFrom="paragraph">
                  <wp:posOffset>400050</wp:posOffset>
                </wp:positionV>
                <wp:extent cx="5589905" cy="787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7874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C2AED" w14:textId="77777777" w:rsidR="00AE56DB" w:rsidRPr="00F130D2" w:rsidRDefault="00AE56DB" w:rsidP="00AE56DB">
                            <w:pPr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  <w:r w:rsidRPr="00F130D2">
                              <w:rPr>
                                <w:b/>
                                <w:sz w:val="24"/>
                                <w:lang w:val="fr-CA"/>
                              </w:rPr>
                              <w:t>Directive sur les demandes de renseignements personnels</w:t>
                            </w:r>
                          </w:p>
                          <w:p w14:paraId="75941332" w14:textId="2C4BA058" w:rsidR="00A67666" w:rsidRPr="00C810AC" w:rsidRDefault="00A67666" w:rsidP="00A67666">
                            <w:pPr>
                              <w:rPr>
                                <w:lang w:val="fr-CA"/>
                              </w:rPr>
                            </w:pPr>
                            <w:r w:rsidRPr="00C810AC">
                              <w:rPr>
                                <w:lang w:val="fr-CA"/>
                              </w:rPr>
                              <w:t>4.2.8</w:t>
                            </w:r>
                            <w:r w:rsidRPr="00C810AC">
                              <w:rPr>
                                <w:lang w:val="fr-CA"/>
                              </w:rPr>
                              <w:tab/>
                            </w:r>
                            <w:r w:rsidR="007F7107">
                              <w:rPr>
                                <w:b/>
                                <w:i/>
                                <w:lang w:val="fr-CA"/>
                              </w:rPr>
                              <w:t>I</w:t>
                            </w:r>
                            <w:r w:rsidR="00C810AC" w:rsidRPr="00C810AC">
                              <w:rPr>
                                <w:b/>
                                <w:i/>
                                <w:lang w:val="fr-CA"/>
                              </w:rPr>
                              <w:t>ndiquer</w:t>
                            </w:r>
                            <w:r w:rsidR="00C810AC" w:rsidRPr="00C810AC">
                              <w:rPr>
                                <w:i/>
                                <w:lang w:val="fr-CA"/>
                              </w:rPr>
                              <w:t>, dans le rapport annuel de l’institution au Parlement, le nombre de prorogations de délai et les motifs sous-jacents.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DC4C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.5pt;margin-top:31.5pt;width:440.15pt;height:6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" fillcolor="#e7e6e6" stroked="f">
                <v:textbox>
                  <w:txbxContent>
                    <w:p w14:paraId="186C2AED" w14:textId="77777777" w:rsidR="00AE56DB" w:rsidRPr="00F130D2" w:rsidRDefault="00AE56DB" w:rsidP="00AE56DB">
                      <w:pPr>
                        <w:rPr>
                          <w:b/>
                          <w:sz w:val="24"/>
                          <w:lang w:val="fr-CA"/>
                        </w:rPr>
                      </w:pPr>
                      <w:r w:rsidRPr="00F130D2">
                        <w:rPr>
                          <w:b/>
                          <w:sz w:val="24"/>
                          <w:lang w:val="fr-CA"/>
                        </w:rPr>
                        <w:t>Directive sur les demandes de renseignements personnels</w:t>
                      </w:r>
                    </w:p>
                    <w:p w14:paraId="75941332" w14:textId="2C4BA058" w:rsidR="00A67666" w:rsidRPr="00C810AC" w:rsidRDefault="00A67666" w:rsidP="00A67666">
                      <w:pPr>
                        <w:rPr>
                          <w:lang w:val="fr-CA"/>
                        </w:rPr>
                      </w:pPr>
                      <w:r w:rsidRPr="00C810AC">
                        <w:rPr>
                          <w:lang w:val="fr-CA"/>
                        </w:rPr>
                        <w:t>4.2.8</w:t>
                      </w:r>
                      <w:r w:rsidRPr="00C810AC">
                        <w:rPr>
                          <w:lang w:val="fr-CA"/>
                        </w:rPr>
                        <w:tab/>
                      </w:r>
                      <w:r w:rsidR="007F7107">
                        <w:rPr>
                          <w:b/>
                          <w:i/>
                          <w:lang w:val="fr-CA"/>
                        </w:rPr>
                        <w:t>I</w:t>
                      </w:r>
                      <w:r w:rsidR="00C810AC" w:rsidRPr="00C810AC">
                        <w:rPr>
                          <w:b/>
                          <w:i/>
                          <w:lang w:val="fr-CA"/>
                        </w:rPr>
                        <w:t>ndiquer</w:t>
                      </w:r>
                      <w:r w:rsidR="00C810AC" w:rsidRPr="00C810AC">
                        <w:rPr>
                          <w:i/>
                          <w:lang w:val="fr-CA"/>
                        </w:rPr>
                        <w:t>, dans le rapport annuel de l’institution au Parlement, le nombre de prorogations de délai et les motifs sous-jacents.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10AC" w:rsidRPr="00C810AC">
        <w:rPr>
          <w:sz w:val="24"/>
          <w:lang w:val="fr-CA"/>
        </w:rPr>
        <w:t>Système de suivi des explications écrites</w:t>
      </w:r>
      <w:r w:rsidR="00003A66" w:rsidRPr="00C810AC">
        <w:rPr>
          <w:sz w:val="24"/>
          <w:lang w:val="fr-CA"/>
        </w:rPr>
        <w:t xml:space="preserve"> </w:t>
      </w:r>
    </w:p>
    <w:p w14:paraId="5DE29D87" w14:textId="2CF830F6" w:rsidR="00A67666" w:rsidRPr="003612B7" w:rsidRDefault="00827569" w:rsidP="004D6D56">
      <w:pPr>
        <w:tabs>
          <w:tab w:val="left" w:pos="4374"/>
        </w:tabs>
        <w:spacing w:before="240" w:after="240"/>
        <w:ind w:left="360"/>
        <w:rPr>
          <w:b/>
          <w:sz w:val="24"/>
          <w:lang w:val="fr-CA"/>
        </w:rPr>
      </w:pPr>
      <w:r w:rsidRPr="00827569">
        <w:rPr>
          <w:b/>
          <w:sz w:val="24"/>
          <w:lang w:val="fr-CA"/>
        </w:rPr>
        <w:t xml:space="preserve">Processus </w:t>
      </w:r>
      <w:r>
        <w:rPr>
          <w:b/>
          <w:sz w:val="24"/>
          <w:lang w:val="fr-CA"/>
        </w:rPr>
        <w:t>d’établissement de rapports</w:t>
      </w:r>
      <w:r w:rsidR="004D6D56" w:rsidRPr="003612B7">
        <w:rPr>
          <w:b/>
          <w:sz w:val="24"/>
          <w:lang w:val="fr-CA"/>
        </w:rPr>
        <w:tab/>
      </w:r>
    </w:p>
    <w:p w14:paraId="747A590E" w14:textId="511F040A" w:rsidR="00827569" w:rsidRPr="00827569" w:rsidRDefault="00827569" w:rsidP="00827569">
      <w:pPr>
        <w:pStyle w:val="ListParagraph"/>
        <w:numPr>
          <w:ilvl w:val="0"/>
          <w:numId w:val="8"/>
        </w:numPr>
        <w:ind w:left="714" w:hanging="357"/>
        <w:contextualSpacing w:val="0"/>
        <w:rPr>
          <w:sz w:val="24"/>
          <w:lang w:val="fr-CA"/>
        </w:rPr>
      </w:pPr>
      <w:r w:rsidRPr="00827569">
        <w:rPr>
          <w:sz w:val="24"/>
          <w:lang w:val="fr-CA"/>
        </w:rPr>
        <w:t>Mettre à jour le processus de suivi et d</w:t>
      </w:r>
      <w:r>
        <w:rPr>
          <w:sz w:val="24"/>
          <w:lang w:val="fr-CA"/>
        </w:rPr>
        <w:t>’établissement</w:t>
      </w:r>
      <w:r w:rsidRPr="00827569">
        <w:rPr>
          <w:sz w:val="24"/>
          <w:lang w:val="fr-CA"/>
        </w:rPr>
        <w:t xml:space="preserve"> de rapports conformément aux</w:t>
      </w:r>
      <w:r w:rsidR="00AD1370">
        <w:rPr>
          <w:sz w:val="24"/>
          <w:lang w:val="fr-CA"/>
        </w:rPr>
        <w:t xml:space="preserve"> mises à jour des </w:t>
      </w:r>
      <w:r w:rsidRPr="00827569">
        <w:rPr>
          <w:sz w:val="24"/>
          <w:lang w:val="fr-CA"/>
        </w:rPr>
        <w:t xml:space="preserve">outils de rapport </w:t>
      </w:r>
      <w:r w:rsidR="00AD1370">
        <w:rPr>
          <w:sz w:val="24"/>
          <w:lang w:val="fr-CA"/>
        </w:rPr>
        <w:t>du SCT</w:t>
      </w:r>
    </w:p>
    <w:p w14:paraId="42273206" w14:textId="167A3CEF" w:rsidR="00827569" w:rsidRDefault="00827569" w:rsidP="00827569">
      <w:pPr>
        <w:pStyle w:val="ListParagraph"/>
        <w:numPr>
          <w:ilvl w:val="0"/>
          <w:numId w:val="17"/>
        </w:numPr>
        <w:spacing w:before="240" w:after="240"/>
        <w:rPr>
          <w:b/>
          <w:sz w:val="36"/>
          <w:lang w:val="fr-CA"/>
        </w:rPr>
      </w:pPr>
      <w:r w:rsidRPr="00827569">
        <w:rPr>
          <w:b/>
          <w:sz w:val="36"/>
          <w:lang w:val="fr-CA"/>
        </w:rPr>
        <w:t>Mises à jour des politiques – Communications internes des institutions</w:t>
      </w:r>
    </w:p>
    <w:p w14:paraId="1F85FD2B" w14:textId="0EE57059" w:rsidR="00C810AC" w:rsidRPr="00C810AC" w:rsidRDefault="00C810AC" w:rsidP="00C810AC">
      <w:pPr>
        <w:pStyle w:val="ListParagraph"/>
        <w:numPr>
          <w:ilvl w:val="0"/>
          <w:numId w:val="9"/>
        </w:numPr>
        <w:spacing w:before="240" w:after="240"/>
        <w:rPr>
          <w:sz w:val="24"/>
          <w:lang w:val="fr-CA"/>
        </w:rPr>
      </w:pPr>
      <w:r w:rsidRPr="00C810AC">
        <w:rPr>
          <w:sz w:val="24"/>
          <w:lang w:val="fr-CA"/>
        </w:rPr>
        <w:t xml:space="preserve">Informer à l’interne au besoin, </w:t>
      </w:r>
      <w:r>
        <w:rPr>
          <w:sz w:val="24"/>
          <w:lang w:val="fr-CA"/>
        </w:rPr>
        <w:t>notamment</w:t>
      </w:r>
      <w:r w:rsidRPr="00C810AC">
        <w:rPr>
          <w:sz w:val="24"/>
          <w:lang w:val="fr-CA"/>
        </w:rPr>
        <w:t xml:space="preserve"> les trousses d’information pour les administrateurs généraux, les ministres, </w:t>
      </w:r>
      <w:r>
        <w:rPr>
          <w:sz w:val="24"/>
          <w:lang w:val="fr-CA"/>
        </w:rPr>
        <w:t>entre autres</w:t>
      </w:r>
      <w:r w:rsidRPr="00C810AC">
        <w:rPr>
          <w:sz w:val="24"/>
          <w:lang w:val="fr-CA"/>
        </w:rPr>
        <w:t>.</w:t>
      </w:r>
    </w:p>
    <w:p w14:paraId="682F7A53" w14:textId="716A112E" w:rsidR="00C810AC" w:rsidRDefault="00AD1370" w:rsidP="00C810AC">
      <w:pPr>
        <w:pStyle w:val="ListParagraph"/>
        <w:numPr>
          <w:ilvl w:val="0"/>
          <w:numId w:val="9"/>
        </w:numPr>
        <w:spacing w:before="240" w:after="240"/>
        <w:rPr>
          <w:sz w:val="24"/>
          <w:lang w:val="fr-CA"/>
        </w:rPr>
      </w:pPr>
      <w:r>
        <w:rPr>
          <w:sz w:val="24"/>
          <w:lang w:val="fr-CA"/>
        </w:rPr>
        <w:t xml:space="preserve">Réviser et </w:t>
      </w:r>
      <w:r w:rsidR="00C810AC" w:rsidRPr="00C810AC">
        <w:rPr>
          <w:sz w:val="24"/>
          <w:lang w:val="fr-CA"/>
        </w:rPr>
        <w:t xml:space="preserve">mettre à jour le matériel de formation actuel et donner </w:t>
      </w:r>
      <w:r>
        <w:rPr>
          <w:sz w:val="24"/>
          <w:lang w:val="fr-CA"/>
        </w:rPr>
        <w:t>la</w:t>
      </w:r>
      <w:r w:rsidR="00C810AC" w:rsidRPr="00C810AC">
        <w:rPr>
          <w:sz w:val="24"/>
          <w:lang w:val="fr-CA"/>
        </w:rPr>
        <w:t xml:space="preserve"> formation.</w:t>
      </w:r>
    </w:p>
    <w:p w14:paraId="1B2CFFEE" w14:textId="77777777" w:rsidR="00911923" w:rsidRPr="003612B7" w:rsidRDefault="00911923" w:rsidP="00911923">
      <w:pPr>
        <w:pStyle w:val="ListParagraph"/>
        <w:spacing w:before="240"/>
        <w:rPr>
          <w:sz w:val="24"/>
          <w:lang w:val="fr-CA"/>
        </w:rPr>
      </w:pPr>
    </w:p>
    <w:p w14:paraId="286319F7" w14:textId="7E7DB520" w:rsidR="001E59B0" w:rsidRPr="003612B7" w:rsidRDefault="00C810AC" w:rsidP="00C810AC">
      <w:pPr>
        <w:pStyle w:val="ListParagraph"/>
        <w:numPr>
          <w:ilvl w:val="0"/>
          <w:numId w:val="17"/>
        </w:numPr>
        <w:spacing w:before="240"/>
        <w:rPr>
          <w:b/>
          <w:sz w:val="36"/>
          <w:lang w:val="fr-CA"/>
        </w:rPr>
      </w:pPr>
      <w:r w:rsidRPr="00C810AC">
        <w:rPr>
          <w:b/>
          <w:sz w:val="36"/>
          <w:lang w:val="fr-CA"/>
        </w:rPr>
        <w:t>Outils de mise en œuvre que le SCT fournira</w:t>
      </w:r>
    </w:p>
    <w:p w14:paraId="5AED290A" w14:textId="77777777" w:rsidR="00C810AC" w:rsidRPr="00C810AC" w:rsidRDefault="00C810AC" w:rsidP="00C810AC">
      <w:pPr>
        <w:pStyle w:val="ListParagraph"/>
        <w:numPr>
          <w:ilvl w:val="0"/>
          <w:numId w:val="15"/>
        </w:numPr>
        <w:rPr>
          <w:sz w:val="24"/>
          <w:lang w:val="fr-CA"/>
        </w:rPr>
      </w:pPr>
      <w:r w:rsidRPr="00C810AC">
        <w:rPr>
          <w:sz w:val="24"/>
          <w:lang w:val="fr-CA"/>
        </w:rPr>
        <w:t>Explication en langage clair de l’application des mises à jour de la politique</w:t>
      </w:r>
    </w:p>
    <w:p w14:paraId="574C4750" w14:textId="734DDA51" w:rsidR="00C810AC" w:rsidRPr="00C810AC" w:rsidRDefault="00C810AC" w:rsidP="00C810AC">
      <w:pPr>
        <w:pStyle w:val="ListParagraph"/>
        <w:numPr>
          <w:ilvl w:val="0"/>
          <w:numId w:val="15"/>
        </w:numPr>
        <w:rPr>
          <w:sz w:val="24"/>
          <w:lang w:val="fr-CA"/>
        </w:rPr>
      </w:pPr>
      <w:r w:rsidRPr="00C810AC">
        <w:rPr>
          <w:sz w:val="24"/>
          <w:lang w:val="fr-CA"/>
        </w:rPr>
        <w:t>Modèle de lettre d’explication écrite pour une garantie de 30</w:t>
      </w:r>
      <w:r w:rsidR="007F7107">
        <w:rPr>
          <w:sz w:val="24"/>
          <w:lang w:val="fr-CA"/>
        </w:rPr>
        <w:t> </w:t>
      </w:r>
      <w:r w:rsidRPr="00C810AC">
        <w:rPr>
          <w:sz w:val="24"/>
          <w:lang w:val="fr-CA"/>
        </w:rPr>
        <w:t>jours pour une réponse ou une explication écrite</w:t>
      </w:r>
    </w:p>
    <w:p w14:paraId="2458AA5F" w14:textId="77777777" w:rsidR="00C810AC" w:rsidRPr="00C810AC" w:rsidRDefault="00C810AC" w:rsidP="00C810AC">
      <w:pPr>
        <w:pStyle w:val="ListParagraph"/>
        <w:numPr>
          <w:ilvl w:val="0"/>
          <w:numId w:val="15"/>
        </w:numPr>
        <w:rPr>
          <w:sz w:val="24"/>
          <w:lang w:val="fr-CA"/>
        </w:rPr>
      </w:pPr>
      <w:r w:rsidRPr="00C810AC">
        <w:rPr>
          <w:sz w:val="24"/>
          <w:lang w:val="fr-CA"/>
        </w:rPr>
        <w:t>Séances de questions et réponses aux réunions de la collectivité de l’AIPRP</w:t>
      </w:r>
    </w:p>
    <w:p w14:paraId="2A647FC1" w14:textId="7D3FDBA1" w:rsidR="00906C91" w:rsidRPr="00C810AC" w:rsidRDefault="00C810AC" w:rsidP="00911923">
      <w:pPr>
        <w:pStyle w:val="ListParagraph"/>
        <w:numPr>
          <w:ilvl w:val="0"/>
          <w:numId w:val="15"/>
        </w:numPr>
        <w:rPr>
          <w:sz w:val="24"/>
          <w:lang w:val="fr-CA"/>
        </w:rPr>
      </w:pPr>
      <w:r w:rsidRPr="00C810AC">
        <w:rPr>
          <w:sz w:val="24"/>
          <w:lang w:val="fr-CA"/>
        </w:rPr>
        <w:t>Soutien continu de la mise en œuvre</w:t>
      </w:r>
    </w:p>
    <w:sectPr w:rsidR="00906C91" w:rsidRPr="00C810A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2431C" w14:textId="77777777" w:rsidR="002E1D11" w:rsidRDefault="002E1D11" w:rsidP="003B4A40">
      <w:pPr>
        <w:spacing w:after="0" w:line="240" w:lineRule="auto"/>
      </w:pPr>
      <w:r>
        <w:separator/>
      </w:r>
    </w:p>
  </w:endnote>
  <w:endnote w:type="continuationSeparator" w:id="0">
    <w:p w14:paraId="0D341668" w14:textId="77777777" w:rsidR="002E1D11" w:rsidRDefault="002E1D11" w:rsidP="003B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993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883B9" w14:textId="77777777" w:rsidR="003B4A40" w:rsidRDefault="003B4A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A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22137E" w14:textId="642646F9" w:rsidR="003B4A40" w:rsidRDefault="0068709D">
    <w:pPr>
      <w:pStyle w:val="Footer"/>
    </w:pPr>
    <w:r>
      <w:t>GCDocs</w:t>
    </w:r>
    <w:r w:rsidR="009D2A51">
      <w:t xml:space="preserve"> 31063714</w:t>
    </w:r>
  </w:p>
  <w:p w14:paraId="7552A6F5" w14:textId="68CB3E18" w:rsidR="0068709D" w:rsidRDefault="009D2A51">
    <w:pPr>
      <w:pStyle w:val="Footer"/>
    </w:pPr>
    <w:r>
      <w:t>July 9</w:t>
    </w:r>
    <w:r w:rsidR="0068709D"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DD0CF" w14:textId="77777777" w:rsidR="002E1D11" w:rsidRDefault="002E1D11" w:rsidP="003B4A40">
      <w:pPr>
        <w:spacing w:after="0" w:line="240" w:lineRule="auto"/>
      </w:pPr>
      <w:r>
        <w:separator/>
      </w:r>
    </w:p>
  </w:footnote>
  <w:footnote w:type="continuationSeparator" w:id="0">
    <w:p w14:paraId="071D43CF" w14:textId="77777777" w:rsidR="002E1D11" w:rsidRDefault="002E1D11" w:rsidP="003B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2F8E3" w14:textId="77777777" w:rsidR="003B4A40" w:rsidRDefault="003B4A40">
    <w:pPr>
      <w:pStyle w:val="Header"/>
      <w:jc w:val="right"/>
    </w:pPr>
  </w:p>
  <w:p w14:paraId="61130B22" w14:textId="77777777" w:rsidR="003B4A40" w:rsidRDefault="003B4A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E04"/>
    <w:multiLevelType w:val="hybridMultilevel"/>
    <w:tmpl w:val="F98ADCAE"/>
    <w:lvl w:ilvl="0" w:tplc="114038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098"/>
    <w:multiLevelType w:val="hybridMultilevel"/>
    <w:tmpl w:val="B07045F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2B79"/>
    <w:multiLevelType w:val="hybridMultilevel"/>
    <w:tmpl w:val="2EA6FE44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A0C47"/>
    <w:multiLevelType w:val="multilevel"/>
    <w:tmpl w:val="4322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97CF1"/>
    <w:multiLevelType w:val="hybridMultilevel"/>
    <w:tmpl w:val="92B006A4"/>
    <w:lvl w:ilvl="0" w:tplc="114038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72583"/>
    <w:multiLevelType w:val="hybridMultilevel"/>
    <w:tmpl w:val="A35A5AE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04CE3"/>
    <w:multiLevelType w:val="hybridMultilevel"/>
    <w:tmpl w:val="C6649358"/>
    <w:lvl w:ilvl="0" w:tplc="114038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F2B93"/>
    <w:multiLevelType w:val="hybridMultilevel"/>
    <w:tmpl w:val="ACB4183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6155FF"/>
    <w:multiLevelType w:val="hybridMultilevel"/>
    <w:tmpl w:val="C8FCE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7055"/>
    <w:multiLevelType w:val="hybridMultilevel"/>
    <w:tmpl w:val="825EDA60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9E5FB4"/>
    <w:multiLevelType w:val="hybridMultilevel"/>
    <w:tmpl w:val="7FF2F872"/>
    <w:lvl w:ilvl="0" w:tplc="1140381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E6033E3"/>
    <w:multiLevelType w:val="hybridMultilevel"/>
    <w:tmpl w:val="97E25B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E14AB8"/>
    <w:multiLevelType w:val="multilevel"/>
    <w:tmpl w:val="6D78EDF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3" w15:restartNumberingAfterBreak="0">
    <w:nsid w:val="4C8F4F32"/>
    <w:multiLevelType w:val="hybridMultilevel"/>
    <w:tmpl w:val="FAD2DC4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72DD6"/>
    <w:multiLevelType w:val="hybridMultilevel"/>
    <w:tmpl w:val="39FC042A"/>
    <w:lvl w:ilvl="0" w:tplc="114038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B4F61"/>
    <w:multiLevelType w:val="hybridMultilevel"/>
    <w:tmpl w:val="1C30D912"/>
    <w:lvl w:ilvl="0" w:tplc="114038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C7AA2"/>
    <w:multiLevelType w:val="multilevel"/>
    <w:tmpl w:val="F2983AC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CA"/>
      </w:rPr>
    </w:lvl>
    <w:lvl w:ilvl="1">
      <w:start w:val="1"/>
      <w:numFmt w:val="decimal"/>
      <w:pStyle w:val="Numberedpara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3"/>
  </w:num>
  <w:num w:numId="5">
    <w:abstractNumId w:val="16"/>
  </w:num>
  <w:num w:numId="6">
    <w:abstractNumId w:val="12"/>
  </w:num>
  <w:num w:numId="7">
    <w:abstractNumId w:val="15"/>
  </w:num>
  <w:num w:numId="8">
    <w:abstractNumId w:val="4"/>
  </w:num>
  <w:num w:numId="9">
    <w:abstractNumId w:val="14"/>
  </w:num>
  <w:num w:numId="10">
    <w:abstractNumId w:val="0"/>
  </w:num>
  <w:num w:numId="11">
    <w:abstractNumId w:val="7"/>
  </w:num>
  <w:num w:numId="12">
    <w:abstractNumId w:val="1"/>
  </w:num>
  <w:num w:numId="13">
    <w:abstractNumId w:val="6"/>
  </w:num>
  <w:num w:numId="14">
    <w:abstractNumId w:val="11"/>
  </w:num>
  <w:num w:numId="15">
    <w:abstractNumId w:val="8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56"/>
    <w:rsid w:val="00003A66"/>
    <w:rsid w:val="00115AC8"/>
    <w:rsid w:val="00144D0A"/>
    <w:rsid w:val="00153C41"/>
    <w:rsid w:val="001E59B0"/>
    <w:rsid w:val="002327F8"/>
    <w:rsid w:val="002565ED"/>
    <w:rsid w:val="0026631A"/>
    <w:rsid w:val="002D0573"/>
    <w:rsid w:val="002E1D11"/>
    <w:rsid w:val="00346E02"/>
    <w:rsid w:val="00352E47"/>
    <w:rsid w:val="003612B7"/>
    <w:rsid w:val="00375E29"/>
    <w:rsid w:val="003B4A40"/>
    <w:rsid w:val="003B54B5"/>
    <w:rsid w:val="003F5080"/>
    <w:rsid w:val="004D6D56"/>
    <w:rsid w:val="004E576B"/>
    <w:rsid w:val="00535BB3"/>
    <w:rsid w:val="005535CD"/>
    <w:rsid w:val="005F265B"/>
    <w:rsid w:val="0064271B"/>
    <w:rsid w:val="0068709D"/>
    <w:rsid w:val="006B5EB5"/>
    <w:rsid w:val="007019B3"/>
    <w:rsid w:val="007723F2"/>
    <w:rsid w:val="007F7107"/>
    <w:rsid w:val="00811584"/>
    <w:rsid w:val="0082040F"/>
    <w:rsid w:val="00822CAD"/>
    <w:rsid w:val="00827569"/>
    <w:rsid w:val="00861771"/>
    <w:rsid w:val="008A0582"/>
    <w:rsid w:val="00906C91"/>
    <w:rsid w:val="00911923"/>
    <w:rsid w:val="0091680B"/>
    <w:rsid w:val="00994060"/>
    <w:rsid w:val="009D24FA"/>
    <w:rsid w:val="009D2A51"/>
    <w:rsid w:val="00A67666"/>
    <w:rsid w:val="00A90A2B"/>
    <w:rsid w:val="00AC3E3C"/>
    <w:rsid w:val="00AD1370"/>
    <w:rsid w:val="00AE56DB"/>
    <w:rsid w:val="00AF6C56"/>
    <w:rsid w:val="00B5575C"/>
    <w:rsid w:val="00B86254"/>
    <w:rsid w:val="00BB53D8"/>
    <w:rsid w:val="00BC6E63"/>
    <w:rsid w:val="00BF1745"/>
    <w:rsid w:val="00C810AC"/>
    <w:rsid w:val="00C855B1"/>
    <w:rsid w:val="00C97792"/>
    <w:rsid w:val="00CD7F56"/>
    <w:rsid w:val="00D33885"/>
    <w:rsid w:val="00D44387"/>
    <w:rsid w:val="00DB6D64"/>
    <w:rsid w:val="00DD1F7C"/>
    <w:rsid w:val="00E054E8"/>
    <w:rsid w:val="00F130D2"/>
    <w:rsid w:val="00F15658"/>
    <w:rsid w:val="00F52550"/>
    <w:rsid w:val="00F86D32"/>
    <w:rsid w:val="00FD3D39"/>
    <w:rsid w:val="00FD7952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36AD6B"/>
  <w15:chartTrackingRefBased/>
  <w15:docId w15:val="{8FDB45DF-5B59-485D-AD30-F717C1DF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1E59B0"/>
    <w:pPr>
      <w:keepNext/>
      <w:numPr>
        <w:numId w:val="5"/>
      </w:numPr>
      <w:tabs>
        <w:tab w:val="left" w:pos="720"/>
      </w:tabs>
      <w:spacing w:after="12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F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3C4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E59B0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Numberedpara">
    <w:name w:val="Numbered para"/>
    <w:basedOn w:val="Normal"/>
    <w:rsid w:val="001E59B0"/>
    <w:pPr>
      <w:numPr>
        <w:ilvl w:val="1"/>
        <w:numId w:val="5"/>
      </w:numPr>
      <w:spacing w:after="120" w:line="32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1E59B0"/>
    <w:pPr>
      <w:spacing w:after="360" w:line="240" w:lineRule="auto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1E59B0"/>
    <w:rPr>
      <w:rFonts w:ascii="Arial" w:eastAsia="Times New Roman" w:hAnsi="Arial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A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A40"/>
  </w:style>
  <w:style w:type="paragraph" w:styleId="Footer">
    <w:name w:val="footer"/>
    <w:basedOn w:val="Normal"/>
    <w:link w:val="FooterChar"/>
    <w:uiPriority w:val="99"/>
    <w:unhideWhenUsed/>
    <w:rsid w:val="003B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A40"/>
  </w:style>
  <w:style w:type="paragraph" w:customStyle="1" w:styleId="BodyWideText">
    <w:name w:val="Body Wide Text"/>
    <w:basedOn w:val="Normal"/>
    <w:rsid w:val="00375E29"/>
    <w:pPr>
      <w:spacing w:before="200" w:after="20" w:line="240" w:lineRule="auto"/>
      <w:ind w:left="1440"/>
    </w:pPr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3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E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42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0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cpedia.gc.ca/wiki/User:XXXXXXXXXX/Privacy_Manual/30_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Bourque, Marie-Sophie</dc:creator>
  <cp:keywords/>
  <dc:description/>
  <cp:lastModifiedBy>Bourque, Marie-Sophie</cp:lastModifiedBy>
  <cp:revision>2</cp:revision>
  <cp:lastPrinted>2018-05-07T20:45:00Z</cp:lastPrinted>
  <dcterms:created xsi:type="dcterms:W3CDTF">2018-07-09T17:22:00Z</dcterms:created>
  <dcterms:modified xsi:type="dcterms:W3CDTF">2018-07-09T17:22:00Z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ff32c3ca-57d9-4687-aa41-327be7fe71e4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</Properties>
</file>