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BE79" w14:textId="7EE99283" w:rsidR="00033755" w:rsidRDefault="004C753C" w:rsidP="00033755">
      <w:pPr>
        <w:pStyle w:val="Title"/>
        <w:jc w:val="center"/>
        <w:rPr>
          <w:lang w:val="fr-CA"/>
        </w:rPr>
      </w:pPr>
      <w:r>
        <w:rPr>
          <w:lang w:val="fr-CA"/>
        </w:rPr>
        <w:t>O</w:t>
      </w:r>
      <w:r w:rsidRPr="004C753C">
        <w:rPr>
          <w:lang w:val="fr-CA"/>
        </w:rPr>
        <w:t>ptions de stratégie de rétroaction</w:t>
      </w:r>
    </w:p>
    <w:p w14:paraId="4345F5AB" w14:textId="77777777" w:rsidR="004C753C" w:rsidRPr="004C753C" w:rsidRDefault="004C753C" w:rsidP="004C753C">
      <w:pPr>
        <w:rPr>
          <w:sz w:val="10"/>
          <w:lang w:val="fr-CA"/>
        </w:rPr>
      </w:pPr>
      <w:bookmarkStart w:id="0" w:name="_GoBack"/>
      <w:bookmarkEnd w:id="0"/>
    </w:p>
    <w:tbl>
      <w:tblPr>
        <w:tblStyle w:val="PlainTable1"/>
        <w:tblW w:w="11112" w:type="dxa"/>
        <w:tblLook w:val="04A0" w:firstRow="1" w:lastRow="0" w:firstColumn="1" w:lastColumn="0" w:noHBand="0" w:noVBand="1"/>
      </w:tblPr>
      <w:tblGrid>
        <w:gridCol w:w="1858"/>
        <w:gridCol w:w="1461"/>
        <w:gridCol w:w="4315"/>
        <w:gridCol w:w="3478"/>
      </w:tblGrid>
      <w:tr w:rsidR="004C753C" w14:paraId="4EEDD097" w14:textId="77777777" w:rsidTr="004C753C">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858" w:type="dxa"/>
          </w:tcPr>
          <w:p w14:paraId="1D4D7EB2" w14:textId="77777777" w:rsidR="004C753C" w:rsidRPr="00FB1FF1" w:rsidRDefault="004C753C" w:rsidP="00947CE2">
            <w:pPr>
              <w:jc w:val="center"/>
              <w:rPr>
                <w:sz w:val="20"/>
              </w:rPr>
            </w:pPr>
            <w:proofErr w:type="spellStart"/>
            <w:r>
              <w:rPr>
                <w:sz w:val="20"/>
              </w:rPr>
              <w:t>Mécanisme</w:t>
            </w:r>
            <w:proofErr w:type="spellEnd"/>
          </w:p>
        </w:tc>
        <w:tc>
          <w:tcPr>
            <w:tcW w:w="1461" w:type="dxa"/>
          </w:tcPr>
          <w:p w14:paraId="41022876" w14:textId="77777777" w:rsidR="004C753C" w:rsidRPr="00FB1FF1" w:rsidRDefault="004C753C" w:rsidP="00947CE2">
            <w:pPr>
              <w:jc w:val="center"/>
              <w:cnfStyle w:val="100000000000" w:firstRow="1" w:lastRow="0" w:firstColumn="0" w:lastColumn="0" w:oddVBand="0" w:evenVBand="0" w:oddHBand="0" w:evenHBand="0" w:firstRowFirstColumn="0" w:firstRowLastColumn="0" w:lastRowFirstColumn="0" w:lastRowLastColumn="0"/>
              <w:rPr>
                <w:sz w:val="20"/>
              </w:rPr>
            </w:pPr>
            <w:proofErr w:type="spellStart"/>
            <w:r>
              <w:rPr>
                <w:sz w:val="20"/>
              </w:rPr>
              <w:t>Responsable</w:t>
            </w:r>
            <w:proofErr w:type="spellEnd"/>
          </w:p>
        </w:tc>
        <w:tc>
          <w:tcPr>
            <w:tcW w:w="4315" w:type="dxa"/>
          </w:tcPr>
          <w:p w14:paraId="0AD720BF" w14:textId="77777777" w:rsidR="004C753C" w:rsidRPr="00FB1FF1" w:rsidRDefault="004C753C" w:rsidP="00947CE2">
            <w:pPr>
              <w:jc w:val="cente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3478" w:type="dxa"/>
          </w:tcPr>
          <w:p w14:paraId="7A0FE5BF" w14:textId="77777777" w:rsidR="004C753C" w:rsidRPr="00FB1FF1" w:rsidRDefault="004C753C" w:rsidP="00947CE2">
            <w:pPr>
              <w:jc w:val="center"/>
              <w:cnfStyle w:val="100000000000" w:firstRow="1" w:lastRow="0" w:firstColumn="0" w:lastColumn="0" w:oddVBand="0" w:evenVBand="0" w:oddHBand="0" w:evenHBand="0" w:firstRowFirstColumn="0" w:firstRowLastColumn="0" w:lastRowFirstColumn="0" w:lastRowLastColumn="0"/>
              <w:rPr>
                <w:sz w:val="20"/>
              </w:rPr>
            </w:pPr>
            <w:proofErr w:type="spellStart"/>
            <w:r>
              <w:rPr>
                <w:sz w:val="20"/>
              </w:rPr>
              <w:t>Avantages</w:t>
            </w:r>
            <w:proofErr w:type="spellEnd"/>
          </w:p>
        </w:tc>
      </w:tr>
      <w:tr w:rsidR="004C753C" w14:paraId="714C0C9B" w14:textId="77777777" w:rsidTr="004C753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858" w:type="dxa"/>
          </w:tcPr>
          <w:p w14:paraId="1468029B" w14:textId="77777777" w:rsidR="004C753C" w:rsidRPr="004C753C" w:rsidRDefault="004C753C" w:rsidP="00947CE2">
            <w:pPr>
              <w:jc w:val="center"/>
              <w:rPr>
                <w:sz w:val="18"/>
                <w:lang w:val="fr-CA"/>
              </w:rPr>
            </w:pPr>
            <w:r w:rsidRPr="004C753C">
              <w:rPr>
                <w:sz w:val="18"/>
                <w:lang w:val="fr-CA"/>
              </w:rPr>
              <w:t>Enquêtes et sondages auprès des utilisateurs</w:t>
            </w:r>
          </w:p>
          <w:p w14:paraId="7538AE4D" w14:textId="77777777" w:rsidR="004C753C" w:rsidRPr="004C753C" w:rsidRDefault="004C753C" w:rsidP="00947CE2">
            <w:pPr>
              <w:jc w:val="center"/>
              <w:rPr>
                <w:sz w:val="16"/>
                <w:lang w:val="fr-CA"/>
              </w:rPr>
            </w:pPr>
          </w:p>
          <w:p w14:paraId="1A83B071" w14:textId="77777777" w:rsidR="004C753C" w:rsidRPr="00FB1FF1" w:rsidRDefault="004C753C" w:rsidP="00947CE2">
            <w:pPr>
              <w:jc w:val="center"/>
              <w:rPr>
                <w:b w:val="0"/>
                <w:i/>
                <w:sz w:val="16"/>
              </w:rPr>
            </w:pPr>
            <w:r>
              <w:rPr>
                <w:b w:val="0"/>
                <w:i/>
                <w:sz w:val="16"/>
              </w:rPr>
              <w:t>(</w:t>
            </w:r>
            <w:proofErr w:type="spellStart"/>
            <w:r>
              <w:rPr>
                <w:b w:val="0"/>
                <w:i/>
                <w:sz w:val="16"/>
              </w:rPr>
              <w:t>Qualtrics</w:t>
            </w:r>
            <w:proofErr w:type="spellEnd"/>
            <w:r>
              <w:rPr>
                <w:b w:val="0"/>
                <w:i/>
                <w:sz w:val="16"/>
              </w:rPr>
              <w:t>, Survey Monkey, etc.)</w:t>
            </w:r>
          </w:p>
          <w:p w14:paraId="4914AB41" w14:textId="77777777" w:rsidR="004C753C" w:rsidRPr="00FB1FF1" w:rsidRDefault="004C753C" w:rsidP="00947CE2">
            <w:pPr>
              <w:jc w:val="center"/>
              <w:rPr>
                <w:sz w:val="18"/>
              </w:rPr>
            </w:pPr>
          </w:p>
        </w:tc>
        <w:tc>
          <w:tcPr>
            <w:tcW w:w="1461" w:type="dxa"/>
          </w:tcPr>
          <w:p w14:paraId="38FAAC0A" w14:textId="77777777" w:rsidR="004C753C" w:rsidRPr="00FB1FF1" w:rsidRDefault="004C753C" w:rsidP="00947CE2">
            <w:pPr>
              <w:jc w:val="center"/>
              <w:cnfStyle w:val="000000100000" w:firstRow="0" w:lastRow="0" w:firstColumn="0" w:lastColumn="0" w:oddVBand="0" w:evenVBand="0" w:oddHBand="1" w:evenHBand="0" w:firstRowFirstColumn="0" w:firstRowLastColumn="0" w:lastRowFirstColumn="0" w:lastRowLastColumn="0"/>
              <w:rPr>
                <w:sz w:val="18"/>
              </w:rPr>
            </w:pPr>
            <w:r>
              <w:rPr>
                <w:sz w:val="18"/>
              </w:rPr>
              <w:t xml:space="preserve">Chef de </w:t>
            </w:r>
            <w:proofErr w:type="spellStart"/>
            <w:r>
              <w:rPr>
                <w:sz w:val="18"/>
              </w:rPr>
              <w:t>projet</w:t>
            </w:r>
            <w:proofErr w:type="spellEnd"/>
            <w:r>
              <w:rPr>
                <w:sz w:val="18"/>
              </w:rPr>
              <w:t xml:space="preserve">, </w:t>
            </w:r>
            <w:proofErr w:type="spellStart"/>
            <w:r>
              <w:rPr>
                <w:sz w:val="18"/>
              </w:rPr>
              <w:t>gestionnaires</w:t>
            </w:r>
            <w:proofErr w:type="spellEnd"/>
          </w:p>
        </w:tc>
        <w:tc>
          <w:tcPr>
            <w:tcW w:w="4315" w:type="dxa"/>
          </w:tcPr>
          <w:p w14:paraId="03A6C3CB" w14:textId="77777777" w:rsidR="004C753C" w:rsidRPr="004C753C" w:rsidRDefault="004C753C" w:rsidP="00947CE2">
            <w:pPr>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L’opinion des employés compte! Mener des enquêtes et des sondages auprès des utilisateurs pour obtenir le pouls global du changement. Bien que la rétroaction des utilisateurs soit importante, il ne faut pas en faire trop. Être attentif au nombre d’enquêtes et de sondages envoyés tout au long du projet de modernisation. Évidemment, cela variera en fonction de la taille et de la durée du projet.</w:t>
            </w:r>
          </w:p>
          <w:p w14:paraId="2FB1F327" w14:textId="77777777" w:rsidR="004C753C" w:rsidRPr="004C753C" w:rsidRDefault="004C753C" w:rsidP="00947CE2">
            <w:pPr>
              <w:jc w:val="left"/>
              <w:cnfStyle w:val="000000100000" w:firstRow="0" w:lastRow="0" w:firstColumn="0" w:lastColumn="0" w:oddVBand="0" w:evenVBand="0" w:oddHBand="1" w:evenHBand="0" w:firstRowFirstColumn="0" w:firstRowLastColumn="0" w:lastRowFirstColumn="0" w:lastRowLastColumn="0"/>
              <w:rPr>
                <w:sz w:val="18"/>
                <w:lang w:val="fr-CA"/>
              </w:rPr>
            </w:pPr>
          </w:p>
          <w:p w14:paraId="58C9DFAE" w14:textId="77777777" w:rsidR="004C753C" w:rsidRPr="004C753C" w:rsidRDefault="004C753C" w:rsidP="00947CE2">
            <w:pPr>
              <w:jc w:val="center"/>
              <w:cnfStyle w:val="000000100000" w:firstRow="0" w:lastRow="0" w:firstColumn="0" w:lastColumn="0" w:oddVBand="0" w:evenVBand="0" w:oddHBand="1" w:evenHBand="0" w:firstRowFirstColumn="0" w:firstRowLastColumn="0" w:lastRowFirstColumn="0" w:lastRowLastColumn="0"/>
              <w:rPr>
                <w:i/>
                <w:sz w:val="18"/>
                <w:lang w:val="fr-CA"/>
              </w:rPr>
            </w:pPr>
            <w:r w:rsidRPr="004C753C">
              <w:rPr>
                <w:b/>
                <w:i/>
                <w:sz w:val="16"/>
                <w:lang w:val="fr-CA"/>
              </w:rPr>
              <w:t xml:space="preserve">Gardez à l’esprit que </w:t>
            </w:r>
            <w:r w:rsidRPr="004C753C">
              <w:rPr>
                <w:i/>
                <w:sz w:val="16"/>
                <w:lang w:val="fr-CA"/>
              </w:rPr>
              <w:t>vous devrez vérifier les questions et tester l’outil sélectionné avant de l’envoyer.</w:t>
            </w:r>
          </w:p>
        </w:tc>
        <w:tc>
          <w:tcPr>
            <w:tcW w:w="3478" w:type="dxa"/>
          </w:tcPr>
          <w:p w14:paraId="5396FF1C" w14:textId="77777777" w:rsidR="004C753C" w:rsidRPr="004C753C" w:rsidRDefault="004C753C" w:rsidP="004C753C">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Une façon rapide et facile d’obtenir de la rétroaction</w:t>
            </w:r>
          </w:p>
          <w:p w14:paraId="62C5BA66" w14:textId="77777777" w:rsidR="004C753C" w:rsidRPr="00FB1FF1" w:rsidRDefault="004C753C" w:rsidP="004C753C">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Atteint</w:t>
            </w:r>
            <w:proofErr w:type="spellEnd"/>
            <w:r>
              <w:rPr>
                <w:sz w:val="18"/>
              </w:rPr>
              <w:t xml:space="preserve"> un grand </w:t>
            </w:r>
            <w:proofErr w:type="spellStart"/>
            <w:r>
              <w:rPr>
                <w:sz w:val="18"/>
              </w:rPr>
              <w:t>nombre</w:t>
            </w:r>
            <w:proofErr w:type="spellEnd"/>
            <w:r>
              <w:rPr>
                <w:sz w:val="18"/>
              </w:rPr>
              <w:t xml:space="preserve"> </w:t>
            </w:r>
            <w:proofErr w:type="spellStart"/>
            <w:r>
              <w:rPr>
                <w:sz w:val="18"/>
              </w:rPr>
              <w:t>d’employés</w:t>
            </w:r>
            <w:proofErr w:type="spellEnd"/>
          </w:p>
          <w:p w14:paraId="568CC41A" w14:textId="77777777" w:rsidR="004C753C" w:rsidRPr="00FB1FF1" w:rsidRDefault="004C753C" w:rsidP="004C753C">
            <w:pPr>
              <w:pStyle w:val="ListParagraph"/>
              <w:numPr>
                <w:ilvl w:val="0"/>
                <w:numId w:val="15"/>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Peut</w:t>
            </w:r>
            <w:proofErr w:type="spellEnd"/>
            <w:r>
              <w:rPr>
                <w:sz w:val="18"/>
              </w:rPr>
              <w:t xml:space="preserve"> </w:t>
            </w:r>
            <w:proofErr w:type="spellStart"/>
            <w:r>
              <w:rPr>
                <w:sz w:val="18"/>
              </w:rPr>
              <w:t>être</w:t>
            </w:r>
            <w:proofErr w:type="spellEnd"/>
            <w:r>
              <w:rPr>
                <w:sz w:val="18"/>
              </w:rPr>
              <w:t xml:space="preserve"> </w:t>
            </w:r>
            <w:proofErr w:type="spellStart"/>
            <w:r>
              <w:rPr>
                <w:sz w:val="18"/>
              </w:rPr>
              <w:t>anonyme</w:t>
            </w:r>
            <w:proofErr w:type="spellEnd"/>
            <w:r>
              <w:rPr>
                <w:sz w:val="18"/>
              </w:rPr>
              <w:t xml:space="preserve"> (</w:t>
            </w:r>
            <w:proofErr w:type="spellStart"/>
            <w:r>
              <w:rPr>
                <w:sz w:val="18"/>
              </w:rPr>
              <w:t>facultatif</w:t>
            </w:r>
            <w:proofErr w:type="spellEnd"/>
            <w:r>
              <w:rPr>
                <w:sz w:val="18"/>
              </w:rPr>
              <w:t>)</w:t>
            </w:r>
          </w:p>
        </w:tc>
      </w:tr>
      <w:tr w:rsidR="004C753C" w:rsidRPr="004C753C" w14:paraId="20308C53" w14:textId="77777777" w:rsidTr="004C753C">
        <w:trPr>
          <w:trHeight w:val="43"/>
        </w:trPr>
        <w:tc>
          <w:tcPr>
            <w:cnfStyle w:val="001000000000" w:firstRow="0" w:lastRow="0" w:firstColumn="1" w:lastColumn="0" w:oddVBand="0" w:evenVBand="0" w:oddHBand="0" w:evenHBand="0" w:firstRowFirstColumn="0" w:firstRowLastColumn="0" w:lastRowFirstColumn="0" w:lastRowLastColumn="0"/>
            <w:tcW w:w="1858" w:type="dxa"/>
          </w:tcPr>
          <w:p w14:paraId="0D8C9D7C" w14:textId="77777777" w:rsidR="004C753C" w:rsidRPr="004C753C" w:rsidRDefault="004C753C" w:rsidP="00947CE2">
            <w:pPr>
              <w:jc w:val="center"/>
              <w:rPr>
                <w:sz w:val="18"/>
                <w:lang w:val="fr-CA"/>
              </w:rPr>
            </w:pPr>
            <w:r w:rsidRPr="004C753C">
              <w:rPr>
                <w:sz w:val="18"/>
                <w:lang w:val="fr-CA"/>
              </w:rPr>
              <w:t>Zone de suggestions et de commentaires</w:t>
            </w:r>
          </w:p>
        </w:tc>
        <w:tc>
          <w:tcPr>
            <w:tcW w:w="1461" w:type="dxa"/>
          </w:tcPr>
          <w:p w14:paraId="6682453B" w14:textId="77777777" w:rsidR="004C753C" w:rsidRPr="004C753C" w:rsidRDefault="004C753C" w:rsidP="00947CE2">
            <w:pPr>
              <w:jc w:val="center"/>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Chef de projet et équipe de projet</w:t>
            </w:r>
          </w:p>
        </w:tc>
        <w:tc>
          <w:tcPr>
            <w:tcW w:w="4315" w:type="dxa"/>
          </w:tcPr>
          <w:p w14:paraId="2EA6E890" w14:textId="77777777" w:rsidR="004C753C" w:rsidRPr="004C753C" w:rsidRDefault="004C753C" w:rsidP="00947CE2">
            <w:pPr>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Une option de discussion ouverte ou de courrier électronique privé dans l’intranet ou sur la page GCconnex. Cette option est bénéfique après la mise en œuvre, car la rétroaction est acheminée directement au responsable du processus aux fins d’amélioration continue.</w:t>
            </w:r>
          </w:p>
          <w:p w14:paraId="5434A704" w14:textId="77777777" w:rsidR="004C753C" w:rsidRPr="004C753C" w:rsidRDefault="004C753C" w:rsidP="00947CE2">
            <w:pPr>
              <w:jc w:val="left"/>
              <w:cnfStyle w:val="000000000000" w:firstRow="0" w:lastRow="0" w:firstColumn="0" w:lastColumn="0" w:oddVBand="0" w:evenVBand="0" w:oddHBand="0" w:evenHBand="0" w:firstRowFirstColumn="0" w:firstRowLastColumn="0" w:lastRowFirstColumn="0" w:lastRowLastColumn="0"/>
              <w:rPr>
                <w:sz w:val="18"/>
                <w:lang w:val="fr-CA"/>
              </w:rPr>
            </w:pPr>
          </w:p>
          <w:p w14:paraId="02F821F8" w14:textId="77777777" w:rsidR="004C753C" w:rsidRPr="004C753C" w:rsidRDefault="004C753C" w:rsidP="00947CE2">
            <w:pPr>
              <w:jc w:val="center"/>
              <w:cnfStyle w:val="000000000000" w:firstRow="0" w:lastRow="0" w:firstColumn="0" w:lastColumn="0" w:oddVBand="0" w:evenVBand="0" w:oddHBand="0" w:evenHBand="0" w:firstRowFirstColumn="0" w:firstRowLastColumn="0" w:lastRowFirstColumn="0" w:lastRowLastColumn="0"/>
              <w:rPr>
                <w:i/>
                <w:sz w:val="18"/>
                <w:lang w:val="fr-CA"/>
              </w:rPr>
            </w:pPr>
            <w:r w:rsidRPr="004C753C">
              <w:rPr>
                <w:b/>
                <w:i/>
                <w:sz w:val="16"/>
                <w:lang w:val="fr-CA"/>
              </w:rPr>
              <w:t>Gardez à l’esprit que</w:t>
            </w:r>
            <w:r w:rsidRPr="004C753C">
              <w:rPr>
                <w:i/>
                <w:sz w:val="16"/>
                <w:lang w:val="fr-CA"/>
              </w:rPr>
              <w:t xml:space="preserve"> cette option nécessite une personne ou une équipe qui suivra la rétroaction.</w:t>
            </w:r>
          </w:p>
        </w:tc>
        <w:tc>
          <w:tcPr>
            <w:tcW w:w="3478" w:type="dxa"/>
          </w:tcPr>
          <w:p w14:paraId="043BCE96" w14:textId="77777777" w:rsidR="004C753C" w:rsidRPr="004C753C" w:rsidRDefault="004C753C" w:rsidP="004C753C">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URL en direct disponible 24 heures sur 24, 7 jours sur 7</w:t>
            </w:r>
          </w:p>
          <w:p w14:paraId="0570F969" w14:textId="77777777" w:rsidR="004C753C" w:rsidRPr="00FB1FF1" w:rsidRDefault="004C753C" w:rsidP="004C753C">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Peut</w:t>
            </w:r>
            <w:proofErr w:type="spellEnd"/>
            <w:r>
              <w:rPr>
                <w:sz w:val="18"/>
              </w:rPr>
              <w:t xml:space="preserve"> </w:t>
            </w:r>
            <w:proofErr w:type="spellStart"/>
            <w:r>
              <w:rPr>
                <w:sz w:val="18"/>
              </w:rPr>
              <w:t>être</w:t>
            </w:r>
            <w:proofErr w:type="spellEnd"/>
            <w:r>
              <w:rPr>
                <w:sz w:val="18"/>
              </w:rPr>
              <w:t xml:space="preserve"> </w:t>
            </w:r>
            <w:proofErr w:type="spellStart"/>
            <w:r>
              <w:rPr>
                <w:sz w:val="18"/>
              </w:rPr>
              <w:t>anonyme</w:t>
            </w:r>
            <w:proofErr w:type="spellEnd"/>
            <w:r>
              <w:rPr>
                <w:sz w:val="18"/>
              </w:rPr>
              <w:t xml:space="preserve"> (</w:t>
            </w:r>
            <w:proofErr w:type="spellStart"/>
            <w:r>
              <w:rPr>
                <w:sz w:val="18"/>
              </w:rPr>
              <w:t>facultatif</w:t>
            </w:r>
            <w:proofErr w:type="spellEnd"/>
            <w:r>
              <w:rPr>
                <w:sz w:val="18"/>
              </w:rPr>
              <w:t>)</w:t>
            </w:r>
          </w:p>
          <w:p w14:paraId="5A1CDBFE" w14:textId="77777777" w:rsidR="004C753C" w:rsidRPr="004C753C" w:rsidRDefault="004C753C" w:rsidP="004C753C">
            <w:pPr>
              <w:pStyle w:val="ListParagraph"/>
              <w:numPr>
                <w:ilvl w:val="0"/>
                <w:numId w:val="16"/>
              </w:numPr>
              <w:jc w:val="left"/>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Peut rester ouvert indéfiniment afin de recueillir les commentaires de façon continue</w:t>
            </w:r>
          </w:p>
        </w:tc>
      </w:tr>
      <w:tr w:rsidR="004C753C" w:rsidRPr="004C753C" w14:paraId="6657B727" w14:textId="77777777" w:rsidTr="004C753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858" w:type="dxa"/>
          </w:tcPr>
          <w:p w14:paraId="01841211" w14:textId="77777777" w:rsidR="004C753C" w:rsidRPr="00FB1FF1" w:rsidRDefault="004C753C" w:rsidP="00947CE2">
            <w:pPr>
              <w:jc w:val="center"/>
              <w:rPr>
                <w:sz w:val="18"/>
              </w:rPr>
            </w:pPr>
            <w:r>
              <w:rPr>
                <w:sz w:val="18"/>
              </w:rPr>
              <w:t xml:space="preserve">Rencontres </w:t>
            </w:r>
            <w:proofErr w:type="spellStart"/>
            <w:r>
              <w:rPr>
                <w:sz w:val="18"/>
              </w:rPr>
              <w:t>individuelles</w:t>
            </w:r>
            <w:proofErr w:type="spellEnd"/>
          </w:p>
        </w:tc>
        <w:tc>
          <w:tcPr>
            <w:tcW w:w="1461" w:type="dxa"/>
          </w:tcPr>
          <w:p w14:paraId="42B5B559" w14:textId="77777777" w:rsidR="004C753C" w:rsidRPr="00FB1FF1" w:rsidRDefault="004C753C" w:rsidP="00947CE2">
            <w:pPr>
              <w:jc w:val="cente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Gestionnaires</w:t>
            </w:r>
            <w:proofErr w:type="spellEnd"/>
            <w:r>
              <w:rPr>
                <w:sz w:val="18"/>
              </w:rPr>
              <w:t xml:space="preserve"> et </w:t>
            </w:r>
            <w:proofErr w:type="spellStart"/>
            <w:r>
              <w:rPr>
                <w:sz w:val="18"/>
              </w:rPr>
              <w:t>superviseurs</w:t>
            </w:r>
            <w:proofErr w:type="spellEnd"/>
          </w:p>
        </w:tc>
        <w:tc>
          <w:tcPr>
            <w:tcW w:w="4315" w:type="dxa"/>
          </w:tcPr>
          <w:p w14:paraId="4FFAE063" w14:textId="77777777" w:rsidR="004C753C" w:rsidRPr="004C753C" w:rsidRDefault="004C753C" w:rsidP="00947CE2">
            <w:pPr>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Mener des rencontres individuelles pour comprendre comment le changement est accueilli. Les responsables directs et les superviseurs sont les meilleures ressources à cet égard, car ils doivent déjà avoir une relation de confiance et des relations solides avec leurs employés.</w:t>
            </w:r>
          </w:p>
          <w:p w14:paraId="667F1F16" w14:textId="77777777" w:rsidR="004C753C" w:rsidRPr="004C753C" w:rsidRDefault="004C753C" w:rsidP="00947CE2">
            <w:pPr>
              <w:jc w:val="left"/>
              <w:cnfStyle w:val="000000100000" w:firstRow="0" w:lastRow="0" w:firstColumn="0" w:lastColumn="0" w:oddVBand="0" w:evenVBand="0" w:oddHBand="1" w:evenHBand="0" w:firstRowFirstColumn="0" w:firstRowLastColumn="0" w:lastRowFirstColumn="0" w:lastRowLastColumn="0"/>
              <w:rPr>
                <w:sz w:val="18"/>
                <w:lang w:val="fr-CA"/>
              </w:rPr>
            </w:pPr>
          </w:p>
          <w:p w14:paraId="35D88920" w14:textId="77777777" w:rsidR="004C753C" w:rsidRPr="004C753C" w:rsidRDefault="004C753C" w:rsidP="00947CE2">
            <w:pPr>
              <w:jc w:val="center"/>
              <w:cnfStyle w:val="000000100000" w:firstRow="0" w:lastRow="0" w:firstColumn="0" w:lastColumn="0" w:oddVBand="0" w:evenVBand="0" w:oddHBand="1" w:evenHBand="0" w:firstRowFirstColumn="0" w:firstRowLastColumn="0" w:lastRowFirstColumn="0" w:lastRowLastColumn="0"/>
              <w:rPr>
                <w:i/>
                <w:sz w:val="18"/>
                <w:lang w:val="fr-CA"/>
              </w:rPr>
            </w:pPr>
            <w:r w:rsidRPr="004C753C">
              <w:rPr>
                <w:b/>
                <w:i/>
                <w:sz w:val="16"/>
                <w:lang w:val="fr-CA"/>
              </w:rPr>
              <w:t>Gardez à l’esprit que</w:t>
            </w:r>
            <w:r w:rsidRPr="004C753C">
              <w:rPr>
                <w:i/>
                <w:sz w:val="16"/>
                <w:lang w:val="fr-CA"/>
              </w:rPr>
              <w:t xml:space="preserve"> cette option exige la sécurité, la confiance et la transparence des gestionnaires/superviseurs et de leurs employés.</w:t>
            </w:r>
          </w:p>
        </w:tc>
        <w:tc>
          <w:tcPr>
            <w:tcW w:w="3478" w:type="dxa"/>
          </w:tcPr>
          <w:p w14:paraId="4F116D50" w14:textId="77777777" w:rsidR="004C753C" w:rsidRPr="004C753C" w:rsidRDefault="004C753C" w:rsidP="004C753C">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Un cadre confortable qui peut permettre la vulnérabilité.</w:t>
            </w:r>
          </w:p>
          <w:p w14:paraId="6A9B63FC" w14:textId="77777777" w:rsidR="004C753C" w:rsidRPr="004C753C" w:rsidRDefault="004C753C" w:rsidP="004C753C">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Recueil de réactions individuelles et approfondies</w:t>
            </w:r>
          </w:p>
        </w:tc>
      </w:tr>
      <w:tr w:rsidR="004C753C" w:rsidRPr="004C753C" w14:paraId="48AAF4A9" w14:textId="77777777" w:rsidTr="004C753C">
        <w:trPr>
          <w:trHeight w:val="289"/>
        </w:trPr>
        <w:tc>
          <w:tcPr>
            <w:cnfStyle w:val="001000000000" w:firstRow="0" w:lastRow="0" w:firstColumn="1" w:lastColumn="0" w:oddVBand="0" w:evenVBand="0" w:oddHBand="0" w:evenHBand="0" w:firstRowFirstColumn="0" w:firstRowLastColumn="0" w:lastRowFirstColumn="0" w:lastRowLastColumn="0"/>
            <w:tcW w:w="1858" w:type="dxa"/>
          </w:tcPr>
          <w:p w14:paraId="4E1A2FA1" w14:textId="77777777" w:rsidR="004C753C" w:rsidRPr="00FB1FF1" w:rsidRDefault="004C753C" w:rsidP="00947CE2">
            <w:pPr>
              <w:jc w:val="center"/>
              <w:rPr>
                <w:sz w:val="18"/>
              </w:rPr>
            </w:pPr>
            <w:proofErr w:type="spellStart"/>
            <w:r>
              <w:rPr>
                <w:sz w:val="18"/>
              </w:rPr>
              <w:t>Réunions</w:t>
            </w:r>
            <w:proofErr w:type="spellEnd"/>
            <w:r>
              <w:rPr>
                <w:sz w:val="18"/>
              </w:rPr>
              <w:t xml:space="preserve"> </w:t>
            </w:r>
            <w:proofErr w:type="spellStart"/>
            <w:r>
              <w:rPr>
                <w:sz w:val="18"/>
              </w:rPr>
              <w:t>d’équipe</w:t>
            </w:r>
            <w:proofErr w:type="spellEnd"/>
          </w:p>
        </w:tc>
        <w:tc>
          <w:tcPr>
            <w:tcW w:w="1461" w:type="dxa"/>
          </w:tcPr>
          <w:p w14:paraId="5DA212DF" w14:textId="77777777" w:rsidR="004C753C" w:rsidRPr="00FB1FF1" w:rsidRDefault="004C753C" w:rsidP="00947CE2">
            <w:pPr>
              <w:jc w:val="center"/>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Gestionnaires</w:t>
            </w:r>
            <w:proofErr w:type="spellEnd"/>
            <w:r>
              <w:rPr>
                <w:sz w:val="18"/>
              </w:rPr>
              <w:t xml:space="preserve"> </w:t>
            </w:r>
          </w:p>
        </w:tc>
        <w:tc>
          <w:tcPr>
            <w:tcW w:w="4315" w:type="dxa"/>
          </w:tcPr>
          <w:p w14:paraId="2DBAD79E" w14:textId="77777777" w:rsidR="004C753C" w:rsidRPr="004C753C" w:rsidRDefault="004C753C" w:rsidP="00947CE2">
            <w:pPr>
              <w:jc w:val="left"/>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Permet aux employés de faire part de leurs commentaires sur le changement dans leur contexte d’équipe actuel.</w:t>
            </w:r>
          </w:p>
          <w:p w14:paraId="73EEA3BC" w14:textId="77777777" w:rsidR="004C753C" w:rsidRPr="004C753C" w:rsidRDefault="004C753C" w:rsidP="00947CE2">
            <w:pPr>
              <w:jc w:val="left"/>
              <w:cnfStyle w:val="000000000000" w:firstRow="0" w:lastRow="0" w:firstColumn="0" w:lastColumn="0" w:oddVBand="0" w:evenVBand="0" w:oddHBand="0" w:evenHBand="0" w:firstRowFirstColumn="0" w:firstRowLastColumn="0" w:lastRowFirstColumn="0" w:lastRowLastColumn="0"/>
              <w:rPr>
                <w:sz w:val="18"/>
                <w:lang w:val="fr-CA"/>
              </w:rPr>
            </w:pPr>
          </w:p>
          <w:p w14:paraId="250C4D3F" w14:textId="77777777" w:rsidR="004C753C" w:rsidRPr="004C753C" w:rsidRDefault="004C753C" w:rsidP="00947CE2">
            <w:pPr>
              <w:jc w:val="center"/>
              <w:cnfStyle w:val="000000000000" w:firstRow="0" w:lastRow="0" w:firstColumn="0" w:lastColumn="0" w:oddVBand="0" w:evenVBand="0" w:oddHBand="0" w:evenHBand="0" w:firstRowFirstColumn="0" w:firstRowLastColumn="0" w:lastRowFirstColumn="0" w:lastRowLastColumn="0"/>
              <w:rPr>
                <w:i/>
                <w:sz w:val="18"/>
                <w:lang w:val="fr-CA"/>
              </w:rPr>
            </w:pPr>
            <w:r w:rsidRPr="004C753C">
              <w:rPr>
                <w:b/>
                <w:i/>
                <w:sz w:val="16"/>
                <w:lang w:val="fr-CA"/>
              </w:rPr>
              <w:t>Gardez à l’esprit qu’</w:t>
            </w:r>
            <w:r w:rsidRPr="004C753C">
              <w:rPr>
                <w:i/>
                <w:sz w:val="16"/>
                <w:lang w:val="fr-CA"/>
              </w:rPr>
              <w:t>un animateur fiable sera nécessaire.</w:t>
            </w:r>
          </w:p>
        </w:tc>
        <w:tc>
          <w:tcPr>
            <w:tcW w:w="3478" w:type="dxa"/>
          </w:tcPr>
          <w:p w14:paraId="63FC3DBB" w14:textId="77777777" w:rsidR="004C753C" w:rsidRPr="00FB1FF1" w:rsidRDefault="004C753C" w:rsidP="004C753C">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Fait </w:t>
            </w:r>
            <w:proofErr w:type="spellStart"/>
            <w:r>
              <w:rPr>
                <w:sz w:val="18"/>
              </w:rPr>
              <w:t>preuve</w:t>
            </w:r>
            <w:proofErr w:type="spellEnd"/>
            <w:r>
              <w:rPr>
                <w:sz w:val="18"/>
              </w:rPr>
              <w:t xml:space="preserve"> de transparence</w:t>
            </w:r>
          </w:p>
          <w:p w14:paraId="5ED91296" w14:textId="77777777" w:rsidR="004C753C" w:rsidRPr="004C753C" w:rsidRDefault="004C753C" w:rsidP="004C753C">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Soulève des questions de groupe</w:t>
            </w:r>
          </w:p>
        </w:tc>
      </w:tr>
      <w:tr w:rsidR="004C753C" w:rsidRPr="004C753C" w14:paraId="269EE7AB" w14:textId="77777777" w:rsidTr="004C753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58" w:type="dxa"/>
          </w:tcPr>
          <w:p w14:paraId="6178CE03" w14:textId="77777777" w:rsidR="004C753C" w:rsidRPr="004C753C" w:rsidRDefault="004C753C" w:rsidP="00947CE2">
            <w:pPr>
              <w:jc w:val="center"/>
              <w:rPr>
                <w:sz w:val="18"/>
                <w:lang w:val="fr-CA"/>
              </w:rPr>
            </w:pPr>
            <w:r w:rsidRPr="004C753C">
              <w:rPr>
                <w:sz w:val="18"/>
                <w:lang w:val="fr-CA"/>
              </w:rPr>
              <w:t>Groupes de discussion (de 5 à 12 participants)</w:t>
            </w:r>
          </w:p>
        </w:tc>
        <w:tc>
          <w:tcPr>
            <w:tcW w:w="1461" w:type="dxa"/>
          </w:tcPr>
          <w:p w14:paraId="72842207" w14:textId="77777777" w:rsidR="004C753C" w:rsidRPr="00FB1FF1" w:rsidRDefault="004C753C" w:rsidP="00947CE2">
            <w:pPr>
              <w:jc w:val="cente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Équipe</w:t>
            </w:r>
            <w:proofErr w:type="spellEnd"/>
            <w:r>
              <w:rPr>
                <w:sz w:val="18"/>
              </w:rPr>
              <w:t xml:space="preserve"> de </w:t>
            </w:r>
            <w:proofErr w:type="spellStart"/>
            <w:r>
              <w:rPr>
                <w:sz w:val="18"/>
              </w:rPr>
              <w:t>projet</w:t>
            </w:r>
            <w:proofErr w:type="spellEnd"/>
            <w:r>
              <w:rPr>
                <w:sz w:val="18"/>
              </w:rPr>
              <w:t xml:space="preserve"> </w:t>
            </w:r>
            <w:proofErr w:type="spellStart"/>
            <w:r>
              <w:rPr>
                <w:sz w:val="18"/>
              </w:rPr>
              <w:t>intégrée</w:t>
            </w:r>
            <w:proofErr w:type="spellEnd"/>
          </w:p>
        </w:tc>
        <w:tc>
          <w:tcPr>
            <w:tcW w:w="4315" w:type="dxa"/>
          </w:tcPr>
          <w:p w14:paraId="521A57AF" w14:textId="77777777" w:rsidR="004C753C" w:rsidRPr="004C753C" w:rsidRDefault="004C753C" w:rsidP="00947CE2">
            <w:pPr>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Permet à l’équipe de projet de solliciter des commentaires en particulier de la part des principaux contributeurs sur des sujets précis.</w:t>
            </w:r>
          </w:p>
          <w:p w14:paraId="57A2B934" w14:textId="77777777" w:rsidR="004C753C" w:rsidRPr="004C753C" w:rsidRDefault="004C753C" w:rsidP="00947CE2">
            <w:pPr>
              <w:jc w:val="left"/>
              <w:cnfStyle w:val="000000100000" w:firstRow="0" w:lastRow="0" w:firstColumn="0" w:lastColumn="0" w:oddVBand="0" w:evenVBand="0" w:oddHBand="1" w:evenHBand="0" w:firstRowFirstColumn="0" w:firstRowLastColumn="0" w:lastRowFirstColumn="0" w:lastRowLastColumn="0"/>
              <w:rPr>
                <w:sz w:val="18"/>
                <w:lang w:val="fr-CA"/>
              </w:rPr>
            </w:pPr>
          </w:p>
          <w:p w14:paraId="18A7D78F" w14:textId="77777777" w:rsidR="004C753C" w:rsidRPr="004C753C" w:rsidRDefault="004C753C" w:rsidP="00947CE2">
            <w:pPr>
              <w:jc w:val="center"/>
              <w:cnfStyle w:val="000000100000" w:firstRow="0" w:lastRow="0" w:firstColumn="0" w:lastColumn="0" w:oddVBand="0" w:evenVBand="0" w:oddHBand="1" w:evenHBand="0" w:firstRowFirstColumn="0" w:firstRowLastColumn="0" w:lastRowFirstColumn="0" w:lastRowLastColumn="0"/>
              <w:rPr>
                <w:i/>
                <w:sz w:val="18"/>
                <w:lang w:val="fr-CA"/>
              </w:rPr>
            </w:pPr>
            <w:r w:rsidRPr="004C753C">
              <w:rPr>
                <w:b/>
                <w:i/>
                <w:sz w:val="16"/>
                <w:lang w:val="fr-CA"/>
              </w:rPr>
              <w:t>Gardez à l’esprit qu’</w:t>
            </w:r>
            <w:r w:rsidRPr="004C753C">
              <w:rPr>
                <w:i/>
                <w:sz w:val="16"/>
                <w:lang w:val="fr-CA"/>
              </w:rPr>
              <w:t>il faudra un animateur fiable et une transparence en temps réel des renseignements saisis.</w:t>
            </w:r>
          </w:p>
        </w:tc>
        <w:tc>
          <w:tcPr>
            <w:tcW w:w="3478" w:type="dxa"/>
          </w:tcPr>
          <w:p w14:paraId="7A05505A" w14:textId="77777777" w:rsidR="004C753C" w:rsidRPr="00FB1FF1" w:rsidRDefault="004C753C" w:rsidP="004C753C">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Expérience</w:t>
            </w:r>
            <w:proofErr w:type="spellEnd"/>
            <w:r>
              <w:rPr>
                <w:sz w:val="18"/>
              </w:rPr>
              <w:t xml:space="preserve"> </w:t>
            </w:r>
            <w:proofErr w:type="spellStart"/>
            <w:r>
              <w:rPr>
                <w:sz w:val="18"/>
              </w:rPr>
              <w:t>partagée</w:t>
            </w:r>
            <w:proofErr w:type="spellEnd"/>
          </w:p>
          <w:p w14:paraId="38E890DF" w14:textId="77777777" w:rsidR="004C753C" w:rsidRPr="004C753C" w:rsidRDefault="004C753C" w:rsidP="004C753C">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Les participants réagissent ensemble et s’appuient sur les commentaires des autres.</w:t>
            </w:r>
          </w:p>
          <w:p w14:paraId="4D0A7E5F" w14:textId="77777777" w:rsidR="004C753C" w:rsidRPr="004C753C" w:rsidRDefault="004C753C" w:rsidP="004C753C">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 w:val="18"/>
                <w:lang w:val="fr-CA"/>
              </w:rPr>
            </w:pPr>
            <w:r w:rsidRPr="004C753C">
              <w:rPr>
                <w:sz w:val="18"/>
                <w:lang w:val="fr-CA"/>
              </w:rPr>
              <w:t>Possibilité d’organiser le public en fonction des sujets</w:t>
            </w:r>
          </w:p>
        </w:tc>
      </w:tr>
      <w:tr w:rsidR="004C753C" w:rsidRPr="004C753C" w14:paraId="55CAA725" w14:textId="77777777" w:rsidTr="004C753C">
        <w:trPr>
          <w:trHeight w:val="1162"/>
        </w:trPr>
        <w:tc>
          <w:tcPr>
            <w:cnfStyle w:val="001000000000" w:firstRow="0" w:lastRow="0" w:firstColumn="1" w:lastColumn="0" w:oddVBand="0" w:evenVBand="0" w:oddHBand="0" w:evenHBand="0" w:firstRowFirstColumn="0" w:firstRowLastColumn="0" w:lastRowFirstColumn="0" w:lastRowLastColumn="0"/>
            <w:tcW w:w="1858" w:type="dxa"/>
          </w:tcPr>
          <w:p w14:paraId="392A46D7" w14:textId="77777777" w:rsidR="004C753C" w:rsidRPr="00FB1FF1" w:rsidRDefault="004C753C" w:rsidP="00947CE2">
            <w:pPr>
              <w:jc w:val="center"/>
              <w:rPr>
                <w:sz w:val="18"/>
              </w:rPr>
            </w:pPr>
            <w:r>
              <w:rPr>
                <w:sz w:val="18"/>
              </w:rPr>
              <w:t xml:space="preserve">Séances de discussion </w:t>
            </w:r>
            <w:proofErr w:type="spellStart"/>
            <w:r>
              <w:rPr>
                <w:sz w:val="18"/>
              </w:rPr>
              <w:t>ouverte</w:t>
            </w:r>
            <w:proofErr w:type="spellEnd"/>
          </w:p>
        </w:tc>
        <w:tc>
          <w:tcPr>
            <w:tcW w:w="1461" w:type="dxa"/>
          </w:tcPr>
          <w:p w14:paraId="25EC7708" w14:textId="77777777" w:rsidR="004C753C" w:rsidRPr="004C753C" w:rsidRDefault="004C753C" w:rsidP="00947CE2">
            <w:pPr>
              <w:jc w:val="center"/>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Parrain ou champion du projet</w:t>
            </w:r>
          </w:p>
        </w:tc>
        <w:tc>
          <w:tcPr>
            <w:tcW w:w="4315" w:type="dxa"/>
          </w:tcPr>
          <w:p w14:paraId="7B9F27F9" w14:textId="77777777" w:rsidR="004C753C" w:rsidRPr="004C753C" w:rsidRDefault="004C753C" w:rsidP="00947CE2">
            <w:pPr>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Utiliser pour résumer les résultats, célébrer les réussites et aborder les possibilités liées au changement dans tous les publics clés. Un excellent moyen de communiquer les objectifs et la vision du projet et la façon dont ils sont atteints.</w:t>
            </w:r>
          </w:p>
          <w:p w14:paraId="23CD72E5" w14:textId="77777777" w:rsidR="004C753C" w:rsidRPr="004C753C" w:rsidRDefault="004C753C" w:rsidP="00947CE2">
            <w:pPr>
              <w:jc w:val="left"/>
              <w:cnfStyle w:val="000000000000" w:firstRow="0" w:lastRow="0" w:firstColumn="0" w:lastColumn="0" w:oddVBand="0" w:evenVBand="0" w:oddHBand="0" w:evenHBand="0" w:firstRowFirstColumn="0" w:firstRowLastColumn="0" w:lastRowFirstColumn="0" w:lastRowLastColumn="0"/>
              <w:rPr>
                <w:sz w:val="18"/>
                <w:lang w:val="fr-CA"/>
              </w:rPr>
            </w:pPr>
          </w:p>
          <w:p w14:paraId="1BBD835A" w14:textId="77777777" w:rsidR="004C753C" w:rsidRPr="004C753C" w:rsidRDefault="004C753C" w:rsidP="00947CE2">
            <w:pPr>
              <w:jc w:val="center"/>
              <w:cnfStyle w:val="000000000000" w:firstRow="0" w:lastRow="0" w:firstColumn="0" w:lastColumn="0" w:oddVBand="0" w:evenVBand="0" w:oddHBand="0" w:evenHBand="0" w:firstRowFirstColumn="0" w:firstRowLastColumn="0" w:lastRowFirstColumn="0" w:lastRowLastColumn="0"/>
              <w:rPr>
                <w:i/>
                <w:sz w:val="18"/>
                <w:lang w:val="fr-CA"/>
              </w:rPr>
            </w:pPr>
            <w:r w:rsidRPr="004C753C">
              <w:rPr>
                <w:b/>
                <w:i/>
                <w:sz w:val="16"/>
                <w:lang w:val="fr-CA"/>
              </w:rPr>
              <w:t>Gardez à l’esprit qu’il faut</w:t>
            </w:r>
            <w:r w:rsidRPr="004C753C">
              <w:rPr>
                <w:i/>
                <w:sz w:val="16"/>
                <w:lang w:val="fr-CA"/>
              </w:rPr>
              <w:t xml:space="preserve"> un animateur fiable et un programme bien préparé.</w:t>
            </w:r>
          </w:p>
        </w:tc>
        <w:tc>
          <w:tcPr>
            <w:tcW w:w="3478" w:type="dxa"/>
          </w:tcPr>
          <w:p w14:paraId="5064C419" w14:textId="77777777" w:rsidR="004C753C" w:rsidRPr="00FB1FF1" w:rsidRDefault="004C753C" w:rsidP="004C753C">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Atteint</w:t>
            </w:r>
            <w:proofErr w:type="spellEnd"/>
            <w:r>
              <w:rPr>
                <w:sz w:val="18"/>
              </w:rPr>
              <w:t xml:space="preserve"> un grand </w:t>
            </w:r>
            <w:proofErr w:type="spellStart"/>
            <w:r>
              <w:rPr>
                <w:sz w:val="18"/>
              </w:rPr>
              <w:t>nombre</w:t>
            </w:r>
            <w:proofErr w:type="spellEnd"/>
            <w:r>
              <w:rPr>
                <w:sz w:val="18"/>
              </w:rPr>
              <w:t xml:space="preserve"> </w:t>
            </w:r>
            <w:proofErr w:type="spellStart"/>
            <w:r>
              <w:rPr>
                <w:sz w:val="18"/>
              </w:rPr>
              <w:t>d’employés</w:t>
            </w:r>
            <w:proofErr w:type="spellEnd"/>
          </w:p>
          <w:p w14:paraId="44C3D9F5" w14:textId="77777777" w:rsidR="004C753C" w:rsidRPr="004C753C" w:rsidRDefault="004C753C" w:rsidP="004C753C">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Crée la transparence entre la haute direction et les employés</w:t>
            </w:r>
          </w:p>
          <w:p w14:paraId="288D74E8" w14:textId="77777777" w:rsidR="004C753C" w:rsidRPr="004C753C" w:rsidRDefault="004C753C" w:rsidP="004C753C">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sz w:val="18"/>
                <w:lang w:val="fr-CA"/>
              </w:rPr>
            </w:pPr>
            <w:r w:rsidRPr="004C753C">
              <w:rPr>
                <w:sz w:val="18"/>
                <w:lang w:val="fr-CA"/>
              </w:rPr>
              <w:t>Sollicite l’avis de la collectivité</w:t>
            </w:r>
          </w:p>
        </w:tc>
      </w:tr>
    </w:tbl>
    <w:p w14:paraId="3B077536" w14:textId="77777777" w:rsidR="004C753C" w:rsidRDefault="004C753C" w:rsidP="004C753C">
      <w:pPr>
        <w:jc w:val="center"/>
        <w:rPr>
          <w:b/>
          <w:i/>
          <w:sz w:val="20"/>
        </w:rPr>
      </w:pPr>
    </w:p>
    <w:p w14:paraId="27D02A6D" w14:textId="30E45963" w:rsidR="00033755" w:rsidRPr="004C753C" w:rsidRDefault="004C753C" w:rsidP="004C753C">
      <w:pPr>
        <w:jc w:val="center"/>
        <w:rPr>
          <w:i/>
          <w:sz w:val="20"/>
          <w:lang w:val="fr-CA"/>
        </w:rPr>
      </w:pPr>
      <w:r w:rsidRPr="004C753C">
        <w:rPr>
          <w:b/>
          <w:i/>
          <w:sz w:val="20"/>
          <w:lang w:val="fr-CA"/>
        </w:rPr>
        <w:t>Source :</w:t>
      </w:r>
      <w:r w:rsidRPr="004C753C">
        <w:rPr>
          <w:i/>
          <w:sz w:val="20"/>
          <w:lang w:val="fr-CA"/>
        </w:rPr>
        <w:t xml:space="preserve"> Ce tableau a été adapté des </w:t>
      </w:r>
      <w:hyperlink r:id="rId7" w:history="1">
        <w:r w:rsidRPr="004C753C">
          <w:rPr>
            <w:rStyle w:val="Hyperlink"/>
            <w:i/>
            <w:sz w:val="20"/>
            <w:lang w:val="fr-CA"/>
          </w:rPr>
          <w:t>options de rétroaction en libre-service dans la boîte à outils de la gestion du changement (pages 38 et 39) par Berkeley, Université de Californie</w:t>
        </w:r>
      </w:hyperlink>
      <w:r w:rsidRPr="004C753C">
        <w:rPr>
          <w:i/>
          <w:sz w:val="20"/>
          <w:lang w:val="fr-CA"/>
        </w:rPr>
        <w:t>.</w:t>
      </w:r>
    </w:p>
    <w:sectPr w:rsidR="00033755" w:rsidRPr="004C753C" w:rsidSect="00BD4DB8">
      <w:headerReference w:type="default" r:id="rId8"/>
      <w:footerReference w:type="default" r:id="rId9"/>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5BBC2" w14:textId="77777777" w:rsidR="00CC1D0C" w:rsidRDefault="00CC1D0C" w:rsidP="002350C2">
      <w:pPr>
        <w:spacing w:after="0" w:line="240" w:lineRule="auto"/>
      </w:pPr>
      <w:r>
        <w:separator/>
      </w:r>
    </w:p>
  </w:endnote>
  <w:endnote w:type="continuationSeparator" w:id="0">
    <w:p w14:paraId="319A5A7D" w14:textId="77777777" w:rsidR="00CC1D0C" w:rsidRDefault="00CC1D0C"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4C753C" w14:paraId="4ECEB4F9" w14:textId="77777777" w:rsidTr="00947CE2">
      <w:trPr>
        <w:jc w:val="right"/>
      </w:trPr>
      <w:tc>
        <w:tcPr>
          <w:tcW w:w="4795" w:type="dxa"/>
          <w:tcBorders>
            <w:top w:val="nil"/>
            <w:left w:val="nil"/>
            <w:bottom w:val="nil"/>
            <w:right w:val="single" w:sz="6" w:space="0" w:color="auto"/>
          </w:tcBorders>
          <w:vAlign w:val="center"/>
          <w:hideMark/>
        </w:tcPr>
        <w:p w14:paraId="2E76D05D" w14:textId="77777777" w:rsidR="004C753C" w:rsidRDefault="004C753C" w:rsidP="004C753C">
          <w:pPr>
            <w:pStyle w:val="Header"/>
            <w:spacing w:line="256" w:lineRule="auto"/>
            <w:rPr>
              <w:caps/>
              <w:color w:val="000000" w:themeColor="text1"/>
              <w:lang w:val="fr-CA"/>
            </w:rPr>
          </w:pPr>
          <w:r w:rsidRPr="004C753C">
            <w:rPr>
              <w:caps/>
              <w:color w:val="000000" w:themeColor="text1"/>
              <w:sz w:val="20"/>
              <w:lang w:val="fr-CA"/>
            </w:rPr>
            <w:t>Centre d'expertise national de la gestion du changement en milieu de travail – janvier 2020</w:t>
          </w:r>
        </w:p>
      </w:tc>
      <w:tc>
        <w:tcPr>
          <w:tcW w:w="250" w:type="pct"/>
          <w:tcBorders>
            <w:top w:val="nil"/>
            <w:left w:val="single" w:sz="6" w:space="0" w:color="auto"/>
            <w:bottom w:val="nil"/>
            <w:right w:val="nil"/>
          </w:tcBorders>
          <w:vAlign w:val="center"/>
          <w:hideMark/>
        </w:tcPr>
        <w:p w14:paraId="1F244DF0" w14:textId="77777777" w:rsidR="004C753C" w:rsidRDefault="004C753C" w:rsidP="004C753C">
          <w:pPr>
            <w:pStyle w:val="Footer"/>
            <w:tabs>
              <w:tab w:val="left" w:pos="720"/>
            </w:tabs>
            <w:spacing w:line="256" w:lineRule="auto"/>
            <w:jc w:val="center"/>
            <w:rPr>
              <w:color w:val="FFFFFF" w:themeColor="background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noProof/>
              <w:color w:val="000000" w:themeColor="text1"/>
            </w:rPr>
            <w:t>1</w:t>
          </w:r>
          <w:r>
            <w:rPr>
              <w:noProof/>
              <w:color w:val="000000" w:themeColor="text1"/>
            </w:rPr>
            <w:fldChar w:fldCharType="end"/>
          </w:r>
        </w:p>
      </w:tc>
    </w:tr>
  </w:tbl>
  <w:p w14:paraId="0D258C48" w14:textId="77777777" w:rsidR="00C12CEC" w:rsidRPr="004C753C" w:rsidRDefault="00C12CEC" w:rsidP="004C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FA77" w14:textId="77777777" w:rsidR="00CC1D0C" w:rsidRDefault="00CC1D0C" w:rsidP="002350C2">
      <w:pPr>
        <w:spacing w:after="0" w:line="240" w:lineRule="auto"/>
      </w:pPr>
      <w:r>
        <w:separator/>
      </w:r>
    </w:p>
  </w:footnote>
  <w:footnote w:type="continuationSeparator" w:id="0">
    <w:p w14:paraId="0455EBF7" w14:textId="77777777" w:rsidR="00CC1D0C" w:rsidRDefault="00CC1D0C"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6830" w14:textId="2D804210" w:rsidR="00C12CEC" w:rsidRDefault="004C753C" w:rsidP="00BD4DB8">
    <w:pPr>
      <w:pStyle w:val="Subtitle"/>
      <w:spacing w:after="0"/>
      <w:jc w:val="right"/>
      <w:rPr>
        <w:lang w:val="en-US"/>
      </w:rPr>
    </w:pPr>
    <w:r>
      <w:rPr>
        <w:noProof/>
        <w:lang w:eastAsia="en-CA"/>
      </w:rPr>
      <w:drawing>
        <wp:inline distT="0" distB="0" distL="0" distR="0" wp14:anchorId="2C733CE0" wp14:editId="5BF327C7">
          <wp:extent cx="7064375" cy="768350"/>
          <wp:effectExtent l="0" t="0" r="3175" b="0"/>
          <wp:docPr id="2" name="Picture 2" descr="C:\Users\tabakovi\AppData\Local\Microsoft\Windows\INetCache\Content.Word\Change Management Banner - French.png"/>
          <wp:cNvGraphicFramePr/>
          <a:graphic xmlns:a="http://schemas.openxmlformats.org/drawingml/2006/main">
            <a:graphicData uri="http://schemas.openxmlformats.org/drawingml/2006/picture">
              <pic:pic xmlns:pic="http://schemas.openxmlformats.org/drawingml/2006/picture">
                <pic:nvPicPr>
                  <pic:cNvPr id="2" name="Picture 2" descr="C:\Users\tabakovi\AppData\Local\Microsoft\Windows\INetCache\Content.Word\Change Management Banner - French.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4375" cy="768350"/>
                  </a:xfrm>
                  <a:prstGeom prst="rect">
                    <a:avLst/>
                  </a:prstGeom>
                  <a:noFill/>
                  <a:ln>
                    <a:noFill/>
                  </a:ln>
                </pic:spPr>
              </pic:pic>
            </a:graphicData>
          </a:graphic>
        </wp:inline>
      </w:drawing>
    </w:r>
  </w:p>
  <w:p w14:paraId="2F22912A" w14:textId="77777777" w:rsidR="00C12CEC" w:rsidRPr="00C12CEC" w:rsidRDefault="00C12CEC" w:rsidP="00C12CE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7B5"/>
    <w:multiLevelType w:val="multilevel"/>
    <w:tmpl w:val="4BD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0002CF"/>
    <w:multiLevelType w:val="hybridMultilevel"/>
    <w:tmpl w:val="E8E0728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CF04D4"/>
    <w:multiLevelType w:val="hybridMultilevel"/>
    <w:tmpl w:val="CE7850A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5"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17"/>
  </w:num>
  <w:num w:numId="5">
    <w:abstractNumId w:val="16"/>
  </w:num>
  <w:num w:numId="6">
    <w:abstractNumId w:val="12"/>
  </w:num>
  <w:num w:numId="7">
    <w:abstractNumId w:val="5"/>
  </w:num>
  <w:num w:numId="8">
    <w:abstractNumId w:val="10"/>
  </w:num>
  <w:num w:numId="9">
    <w:abstractNumId w:val="3"/>
  </w:num>
  <w:num w:numId="10">
    <w:abstractNumId w:val="4"/>
  </w:num>
  <w:num w:numId="11">
    <w:abstractNumId w:val="2"/>
  </w:num>
  <w:num w:numId="12">
    <w:abstractNumId w:val="14"/>
  </w:num>
  <w:num w:numId="13">
    <w:abstractNumId w:val="15"/>
  </w:num>
  <w:num w:numId="14">
    <w:abstractNumId w:val="0"/>
  </w:num>
  <w:num w:numId="15">
    <w:abstractNumId w:val="19"/>
  </w:num>
  <w:num w:numId="16">
    <w:abstractNumId w:val="6"/>
  </w:num>
  <w:num w:numId="17">
    <w:abstractNumId w:val="8"/>
  </w:num>
  <w:num w:numId="18">
    <w:abstractNumId w:val="1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17950"/>
    <w:rsid w:val="00033755"/>
    <w:rsid w:val="000358F7"/>
    <w:rsid w:val="00036324"/>
    <w:rsid w:val="00062F53"/>
    <w:rsid w:val="0008206D"/>
    <w:rsid w:val="00096BE7"/>
    <w:rsid w:val="000A021A"/>
    <w:rsid w:val="000C08F0"/>
    <w:rsid w:val="000E1B97"/>
    <w:rsid w:val="000E3A66"/>
    <w:rsid w:val="000F0AA8"/>
    <w:rsid w:val="000F22A6"/>
    <w:rsid w:val="0010751C"/>
    <w:rsid w:val="00114B16"/>
    <w:rsid w:val="00121D4D"/>
    <w:rsid w:val="00156CC7"/>
    <w:rsid w:val="00161DAD"/>
    <w:rsid w:val="001757DD"/>
    <w:rsid w:val="00180B6B"/>
    <w:rsid w:val="00181516"/>
    <w:rsid w:val="001C125A"/>
    <w:rsid w:val="001F0CBD"/>
    <w:rsid w:val="0021236C"/>
    <w:rsid w:val="00233E21"/>
    <w:rsid w:val="002350C2"/>
    <w:rsid w:val="00247929"/>
    <w:rsid w:val="00252CEF"/>
    <w:rsid w:val="00254A98"/>
    <w:rsid w:val="002609F1"/>
    <w:rsid w:val="00265BBE"/>
    <w:rsid w:val="002736AE"/>
    <w:rsid w:val="002755D7"/>
    <w:rsid w:val="002862BC"/>
    <w:rsid w:val="002B2E6F"/>
    <w:rsid w:val="002B5D8E"/>
    <w:rsid w:val="002B6D65"/>
    <w:rsid w:val="002B7D5E"/>
    <w:rsid w:val="002E23F2"/>
    <w:rsid w:val="002E6A28"/>
    <w:rsid w:val="00302C6A"/>
    <w:rsid w:val="00305AAF"/>
    <w:rsid w:val="00305BF3"/>
    <w:rsid w:val="00311F05"/>
    <w:rsid w:val="00317B4B"/>
    <w:rsid w:val="00317E9F"/>
    <w:rsid w:val="00347B52"/>
    <w:rsid w:val="0035312B"/>
    <w:rsid w:val="00370865"/>
    <w:rsid w:val="00382DD0"/>
    <w:rsid w:val="00383A3C"/>
    <w:rsid w:val="0038629D"/>
    <w:rsid w:val="00395821"/>
    <w:rsid w:val="003C18FE"/>
    <w:rsid w:val="003F6584"/>
    <w:rsid w:val="0040427D"/>
    <w:rsid w:val="00405BA0"/>
    <w:rsid w:val="00405DCA"/>
    <w:rsid w:val="0041561A"/>
    <w:rsid w:val="004256FA"/>
    <w:rsid w:val="0043325C"/>
    <w:rsid w:val="004551A8"/>
    <w:rsid w:val="004724E1"/>
    <w:rsid w:val="00477C9A"/>
    <w:rsid w:val="00483800"/>
    <w:rsid w:val="004868F7"/>
    <w:rsid w:val="00492B1B"/>
    <w:rsid w:val="004C48A0"/>
    <w:rsid w:val="004C753C"/>
    <w:rsid w:val="004E130B"/>
    <w:rsid w:val="00507105"/>
    <w:rsid w:val="00524C4A"/>
    <w:rsid w:val="00527874"/>
    <w:rsid w:val="00562B6B"/>
    <w:rsid w:val="00566422"/>
    <w:rsid w:val="005665BB"/>
    <w:rsid w:val="00570102"/>
    <w:rsid w:val="0057159E"/>
    <w:rsid w:val="005827EC"/>
    <w:rsid w:val="005D154F"/>
    <w:rsid w:val="005E278C"/>
    <w:rsid w:val="00602FFE"/>
    <w:rsid w:val="0061539A"/>
    <w:rsid w:val="00653C42"/>
    <w:rsid w:val="006611B5"/>
    <w:rsid w:val="00675C2A"/>
    <w:rsid w:val="00683740"/>
    <w:rsid w:val="00690290"/>
    <w:rsid w:val="006A06A8"/>
    <w:rsid w:val="006A5F5C"/>
    <w:rsid w:val="006D7E8A"/>
    <w:rsid w:val="006F18DE"/>
    <w:rsid w:val="007015C1"/>
    <w:rsid w:val="00712998"/>
    <w:rsid w:val="00730396"/>
    <w:rsid w:val="00743851"/>
    <w:rsid w:val="00744BFA"/>
    <w:rsid w:val="007705B4"/>
    <w:rsid w:val="00771F5F"/>
    <w:rsid w:val="00794CBF"/>
    <w:rsid w:val="007A7610"/>
    <w:rsid w:val="007C2531"/>
    <w:rsid w:val="007C4045"/>
    <w:rsid w:val="007E7C13"/>
    <w:rsid w:val="00800BAC"/>
    <w:rsid w:val="0082116A"/>
    <w:rsid w:val="00835D7E"/>
    <w:rsid w:val="00840E4B"/>
    <w:rsid w:val="00846836"/>
    <w:rsid w:val="00864B28"/>
    <w:rsid w:val="0089030F"/>
    <w:rsid w:val="00894BEF"/>
    <w:rsid w:val="008B5BFA"/>
    <w:rsid w:val="008D7B2D"/>
    <w:rsid w:val="008E12B4"/>
    <w:rsid w:val="008F415F"/>
    <w:rsid w:val="00906C52"/>
    <w:rsid w:val="00910F21"/>
    <w:rsid w:val="00924545"/>
    <w:rsid w:val="009447BE"/>
    <w:rsid w:val="0095627D"/>
    <w:rsid w:val="009A0EB7"/>
    <w:rsid w:val="009B5373"/>
    <w:rsid w:val="009C2E5C"/>
    <w:rsid w:val="009C325B"/>
    <w:rsid w:val="009D7EE3"/>
    <w:rsid w:val="009E6D15"/>
    <w:rsid w:val="00A133DD"/>
    <w:rsid w:val="00A13508"/>
    <w:rsid w:val="00A22B07"/>
    <w:rsid w:val="00A27B54"/>
    <w:rsid w:val="00A42C08"/>
    <w:rsid w:val="00A90D0C"/>
    <w:rsid w:val="00AA368E"/>
    <w:rsid w:val="00AD2172"/>
    <w:rsid w:val="00AE65AD"/>
    <w:rsid w:val="00AE79CF"/>
    <w:rsid w:val="00B0208E"/>
    <w:rsid w:val="00B04ADA"/>
    <w:rsid w:val="00B31BFB"/>
    <w:rsid w:val="00B3397F"/>
    <w:rsid w:val="00B45D39"/>
    <w:rsid w:val="00B647C8"/>
    <w:rsid w:val="00B84C98"/>
    <w:rsid w:val="00BA2B1C"/>
    <w:rsid w:val="00BD4DB8"/>
    <w:rsid w:val="00C00302"/>
    <w:rsid w:val="00C07457"/>
    <w:rsid w:val="00C12CEC"/>
    <w:rsid w:val="00C20412"/>
    <w:rsid w:val="00C35EAA"/>
    <w:rsid w:val="00C44863"/>
    <w:rsid w:val="00C95206"/>
    <w:rsid w:val="00CB084B"/>
    <w:rsid w:val="00CC1D0C"/>
    <w:rsid w:val="00CC266D"/>
    <w:rsid w:val="00CD5A14"/>
    <w:rsid w:val="00CE08E3"/>
    <w:rsid w:val="00D03DA5"/>
    <w:rsid w:val="00D04405"/>
    <w:rsid w:val="00D22D18"/>
    <w:rsid w:val="00D30167"/>
    <w:rsid w:val="00D56FB8"/>
    <w:rsid w:val="00D70B3E"/>
    <w:rsid w:val="00D71C56"/>
    <w:rsid w:val="00D828C4"/>
    <w:rsid w:val="00D86297"/>
    <w:rsid w:val="00DA1910"/>
    <w:rsid w:val="00DA40D3"/>
    <w:rsid w:val="00DF039A"/>
    <w:rsid w:val="00DF3EC7"/>
    <w:rsid w:val="00E018AB"/>
    <w:rsid w:val="00E12C53"/>
    <w:rsid w:val="00E12F1B"/>
    <w:rsid w:val="00E31A94"/>
    <w:rsid w:val="00E42547"/>
    <w:rsid w:val="00E52671"/>
    <w:rsid w:val="00E72AFF"/>
    <w:rsid w:val="00E76EFA"/>
    <w:rsid w:val="00E91755"/>
    <w:rsid w:val="00E925E9"/>
    <w:rsid w:val="00E956F2"/>
    <w:rsid w:val="00EB3739"/>
    <w:rsid w:val="00EE0146"/>
    <w:rsid w:val="00EF4373"/>
    <w:rsid w:val="00F02EE2"/>
    <w:rsid w:val="00F31C7C"/>
    <w:rsid w:val="00F46BAE"/>
    <w:rsid w:val="00F74E69"/>
    <w:rsid w:val="00FA18D1"/>
    <w:rsid w:val="00FB760D"/>
    <w:rsid w:val="00FC665C"/>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4879C"/>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55"/>
    <w:pPr>
      <w:jc w:val="both"/>
    </w:pPr>
    <w:rPr>
      <w:rFonts w:ascii="Arial" w:hAnsi="Arial" w:cs="Arial"/>
    </w:rPr>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30167"/>
    <w:pPr>
      <w:keepNext/>
      <w:keepLines/>
      <w:spacing w:before="40" w:after="0"/>
      <w:outlineLvl w:val="1"/>
    </w:pPr>
    <w:rPr>
      <w:rFonts w:asciiTheme="majorHAnsi" w:eastAsiaTheme="majorEastAsia" w:hAnsiTheme="majorHAnsi" w:cstheme="majorBidi"/>
      <w:color w:val="81B23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styleId="CommentReference">
    <w:name w:val="annotation reference"/>
    <w:basedOn w:val="DefaultParagraphFont"/>
    <w:uiPriority w:val="99"/>
    <w:semiHidden/>
    <w:unhideWhenUsed/>
    <w:rsid w:val="001C125A"/>
    <w:rPr>
      <w:sz w:val="16"/>
      <w:szCs w:val="16"/>
    </w:rPr>
  </w:style>
  <w:style w:type="paragraph" w:styleId="CommentText">
    <w:name w:val="annotation text"/>
    <w:basedOn w:val="Normal"/>
    <w:link w:val="CommentTextChar"/>
    <w:uiPriority w:val="99"/>
    <w:semiHidden/>
    <w:unhideWhenUsed/>
    <w:rsid w:val="001C125A"/>
    <w:pPr>
      <w:spacing w:line="240" w:lineRule="auto"/>
    </w:pPr>
    <w:rPr>
      <w:sz w:val="20"/>
      <w:szCs w:val="20"/>
    </w:rPr>
  </w:style>
  <w:style w:type="character" w:customStyle="1" w:styleId="CommentTextChar">
    <w:name w:val="Comment Text Char"/>
    <w:basedOn w:val="DefaultParagraphFont"/>
    <w:link w:val="CommentText"/>
    <w:uiPriority w:val="99"/>
    <w:semiHidden/>
    <w:rsid w:val="001C125A"/>
    <w:rPr>
      <w:sz w:val="20"/>
      <w:szCs w:val="20"/>
    </w:rPr>
  </w:style>
  <w:style w:type="paragraph" w:styleId="CommentSubject">
    <w:name w:val="annotation subject"/>
    <w:basedOn w:val="CommentText"/>
    <w:next w:val="CommentText"/>
    <w:link w:val="CommentSubjectChar"/>
    <w:uiPriority w:val="99"/>
    <w:semiHidden/>
    <w:unhideWhenUsed/>
    <w:rsid w:val="001C125A"/>
    <w:rPr>
      <w:b/>
      <w:bCs/>
    </w:rPr>
  </w:style>
  <w:style w:type="character" w:customStyle="1" w:styleId="CommentSubjectChar">
    <w:name w:val="Comment Subject Char"/>
    <w:basedOn w:val="CommentTextChar"/>
    <w:link w:val="CommentSubject"/>
    <w:uiPriority w:val="99"/>
    <w:semiHidden/>
    <w:rsid w:val="001C125A"/>
    <w:rPr>
      <w:b/>
      <w:bCs/>
      <w:sz w:val="20"/>
      <w:szCs w:val="20"/>
    </w:rPr>
  </w:style>
  <w:style w:type="paragraph" w:styleId="BalloonText">
    <w:name w:val="Balloon Text"/>
    <w:basedOn w:val="Normal"/>
    <w:link w:val="BalloonTextChar"/>
    <w:uiPriority w:val="99"/>
    <w:semiHidden/>
    <w:unhideWhenUsed/>
    <w:rsid w:val="001C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5A"/>
    <w:rPr>
      <w:rFonts w:ascii="Segoe UI" w:hAnsi="Segoe UI" w:cs="Segoe UI"/>
      <w:sz w:val="18"/>
      <w:szCs w:val="18"/>
    </w:rPr>
  </w:style>
  <w:style w:type="character" w:customStyle="1" w:styleId="Heading2Char">
    <w:name w:val="Heading 2 Char"/>
    <w:basedOn w:val="DefaultParagraphFont"/>
    <w:link w:val="Heading2"/>
    <w:uiPriority w:val="9"/>
    <w:rsid w:val="00D30167"/>
    <w:rPr>
      <w:rFonts w:asciiTheme="majorHAnsi" w:eastAsiaTheme="majorEastAsia" w:hAnsiTheme="majorHAnsi" w:cstheme="majorBidi"/>
      <w:color w:val="81B23F" w:themeColor="accent1" w:themeShade="BF"/>
      <w:sz w:val="26"/>
      <w:szCs w:val="26"/>
    </w:rPr>
  </w:style>
  <w:style w:type="character" w:styleId="FollowedHyperlink">
    <w:name w:val="FollowedHyperlink"/>
    <w:basedOn w:val="DefaultParagraphFont"/>
    <w:uiPriority w:val="99"/>
    <w:semiHidden/>
    <w:unhideWhenUsed/>
    <w:rsid w:val="00D56FB8"/>
    <w:rPr>
      <w:color w:val="954F72" w:themeColor="followedHyperlink"/>
      <w:u w:val="single"/>
    </w:rPr>
  </w:style>
  <w:style w:type="table" w:styleId="PlainTable1">
    <w:name w:val="Plain Table 1"/>
    <w:basedOn w:val="TableNormal"/>
    <w:uiPriority w:val="41"/>
    <w:rsid w:val="00033755"/>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0310">
      <w:bodyDiv w:val="1"/>
      <w:marLeft w:val="0"/>
      <w:marRight w:val="0"/>
      <w:marTop w:val="0"/>
      <w:marBottom w:val="0"/>
      <w:divBdr>
        <w:top w:val="none" w:sz="0" w:space="0" w:color="auto"/>
        <w:left w:val="none" w:sz="0" w:space="0" w:color="auto"/>
        <w:bottom w:val="none" w:sz="0" w:space="0" w:color="auto"/>
        <w:right w:val="none" w:sz="0" w:space="0" w:color="auto"/>
      </w:divBdr>
      <w:divsChild>
        <w:div w:id="2105494034">
          <w:marLeft w:val="0"/>
          <w:marRight w:val="0"/>
          <w:marTop w:val="0"/>
          <w:marBottom w:val="0"/>
          <w:divBdr>
            <w:top w:val="none" w:sz="0" w:space="0" w:color="auto"/>
            <w:left w:val="none" w:sz="0" w:space="0" w:color="auto"/>
            <w:bottom w:val="none" w:sz="0" w:space="0" w:color="auto"/>
            <w:right w:val="none" w:sz="0" w:space="0" w:color="auto"/>
          </w:divBdr>
          <w:divsChild>
            <w:div w:id="1946111131">
              <w:marLeft w:val="0"/>
              <w:marRight w:val="0"/>
              <w:marTop w:val="0"/>
              <w:marBottom w:val="0"/>
              <w:divBdr>
                <w:top w:val="none" w:sz="0" w:space="0" w:color="auto"/>
                <w:left w:val="none" w:sz="0" w:space="0" w:color="auto"/>
                <w:bottom w:val="none" w:sz="0" w:space="0" w:color="auto"/>
                <w:right w:val="none" w:sz="0" w:space="0" w:color="auto"/>
              </w:divBdr>
              <w:divsChild>
                <w:div w:id="1201624960">
                  <w:marLeft w:val="0"/>
                  <w:marRight w:val="0"/>
                  <w:marTop w:val="0"/>
                  <w:marBottom w:val="0"/>
                  <w:divBdr>
                    <w:top w:val="none" w:sz="0" w:space="0" w:color="auto"/>
                    <w:left w:val="none" w:sz="0" w:space="0" w:color="auto"/>
                    <w:bottom w:val="none" w:sz="0" w:space="0" w:color="auto"/>
                    <w:right w:val="none" w:sz="0" w:space="0" w:color="auto"/>
                  </w:divBdr>
                  <w:divsChild>
                    <w:div w:id="275021214">
                      <w:marLeft w:val="0"/>
                      <w:marRight w:val="0"/>
                      <w:marTop w:val="0"/>
                      <w:marBottom w:val="0"/>
                      <w:divBdr>
                        <w:top w:val="none" w:sz="0" w:space="0" w:color="auto"/>
                        <w:left w:val="none" w:sz="0" w:space="0" w:color="auto"/>
                        <w:bottom w:val="none" w:sz="0" w:space="0" w:color="auto"/>
                        <w:right w:val="none" w:sz="0" w:space="0" w:color="auto"/>
                      </w:divBdr>
                      <w:divsChild>
                        <w:div w:id="2107998167">
                          <w:marLeft w:val="0"/>
                          <w:marRight w:val="0"/>
                          <w:marTop w:val="0"/>
                          <w:marBottom w:val="0"/>
                          <w:divBdr>
                            <w:top w:val="none" w:sz="0" w:space="0" w:color="auto"/>
                            <w:left w:val="none" w:sz="0" w:space="0" w:color="auto"/>
                            <w:bottom w:val="none" w:sz="0" w:space="0" w:color="auto"/>
                            <w:right w:val="none" w:sz="0" w:space="0" w:color="auto"/>
                          </w:divBdr>
                          <w:divsChild>
                            <w:div w:id="725881190">
                              <w:marLeft w:val="0"/>
                              <w:marRight w:val="0"/>
                              <w:marTop w:val="0"/>
                              <w:marBottom w:val="0"/>
                              <w:divBdr>
                                <w:top w:val="none" w:sz="0" w:space="0" w:color="auto"/>
                                <w:left w:val="none" w:sz="0" w:space="0" w:color="auto"/>
                                <w:bottom w:val="none" w:sz="0" w:space="0" w:color="auto"/>
                                <w:right w:val="none" w:sz="0" w:space="0" w:color="auto"/>
                              </w:divBdr>
                              <w:divsChild>
                                <w:div w:id="336813621">
                                  <w:marLeft w:val="0"/>
                                  <w:marRight w:val="0"/>
                                  <w:marTop w:val="0"/>
                                  <w:marBottom w:val="0"/>
                                  <w:divBdr>
                                    <w:top w:val="none" w:sz="0" w:space="0" w:color="auto"/>
                                    <w:left w:val="none" w:sz="0" w:space="0" w:color="auto"/>
                                    <w:bottom w:val="none" w:sz="0" w:space="0" w:color="auto"/>
                                    <w:right w:val="none" w:sz="0" w:space="0" w:color="auto"/>
                                  </w:divBdr>
                                  <w:divsChild>
                                    <w:div w:id="808669046">
                                      <w:marLeft w:val="0"/>
                                      <w:marRight w:val="0"/>
                                      <w:marTop w:val="0"/>
                                      <w:marBottom w:val="0"/>
                                      <w:divBdr>
                                        <w:top w:val="none" w:sz="0" w:space="0" w:color="auto"/>
                                        <w:left w:val="none" w:sz="0" w:space="0" w:color="auto"/>
                                        <w:bottom w:val="none" w:sz="0" w:space="0" w:color="auto"/>
                                        <w:right w:val="none" w:sz="0" w:space="0" w:color="auto"/>
                                      </w:divBdr>
                                      <w:divsChild>
                                        <w:div w:id="1074670476">
                                          <w:marLeft w:val="0"/>
                                          <w:marRight w:val="0"/>
                                          <w:marTop w:val="0"/>
                                          <w:marBottom w:val="0"/>
                                          <w:divBdr>
                                            <w:top w:val="none" w:sz="0" w:space="0" w:color="auto"/>
                                            <w:left w:val="none" w:sz="0" w:space="0" w:color="auto"/>
                                            <w:bottom w:val="none" w:sz="0" w:space="0" w:color="auto"/>
                                            <w:right w:val="none" w:sz="0" w:space="0" w:color="auto"/>
                                          </w:divBdr>
                                          <w:divsChild>
                                            <w:div w:id="1102840824">
                                              <w:marLeft w:val="0"/>
                                              <w:marRight w:val="0"/>
                                              <w:marTop w:val="0"/>
                                              <w:marBottom w:val="0"/>
                                              <w:divBdr>
                                                <w:top w:val="none" w:sz="0" w:space="0" w:color="auto"/>
                                                <w:left w:val="none" w:sz="0" w:space="0" w:color="auto"/>
                                                <w:bottom w:val="none" w:sz="0" w:space="0" w:color="auto"/>
                                                <w:right w:val="none" w:sz="0" w:space="0" w:color="auto"/>
                                              </w:divBdr>
                                              <w:divsChild>
                                                <w:div w:id="461732697">
                                                  <w:marLeft w:val="0"/>
                                                  <w:marRight w:val="0"/>
                                                  <w:marTop w:val="0"/>
                                                  <w:marBottom w:val="0"/>
                                                  <w:divBdr>
                                                    <w:top w:val="none" w:sz="0" w:space="0" w:color="auto"/>
                                                    <w:left w:val="none" w:sz="0" w:space="0" w:color="auto"/>
                                                    <w:bottom w:val="none" w:sz="0" w:space="0" w:color="auto"/>
                                                    <w:right w:val="none" w:sz="0" w:space="0" w:color="auto"/>
                                                  </w:divBdr>
                                                  <w:divsChild>
                                                    <w:div w:id="487139825">
                                                      <w:marLeft w:val="0"/>
                                                      <w:marRight w:val="0"/>
                                                      <w:marTop w:val="0"/>
                                                      <w:marBottom w:val="0"/>
                                                      <w:divBdr>
                                                        <w:top w:val="none" w:sz="0" w:space="0" w:color="auto"/>
                                                        <w:left w:val="none" w:sz="0" w:space="0" w:color="auto"/>
                                                        <w:bottom w:val="none" w:sz="0" w:space="0" w:color="auto"/>
                                                        <w:right w:val="none" w:sz="0" w:space="0" w:color="auto"/>
                                                      </w:divBdr>
                                                      <w:divsChild>
                                                        <w:div w:id="814032532">
                                                          <w:marLeft w:val="0"/>
                                                          <w:marRight w:val="0"/>
                                                          <w:marTop w:val="0"/>
                                                          <w:marBottom w:val="0"/>
                                                          <w:divBdr>
                                                            <w:top w:val="none" w:sz="0" w:space="0" w:color="auto"/>
                                                            <w:left w:val="none" w:sz="0" w:space="0" w:color="auto"/>
                                                            <w:bottom w:val="none" w:sz="0" w:space="0" w:color="auto"/>
                                                            <w:right w:val="none" w:sz="0" w:space="0" w:color="auto"/>
                                                          </w:divBdr>
                                                          <w:divsChild>
                                                            <w:div w:id="369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berkeley.edu/sites/default/files/change_management_toolk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Irma Tabakovic</cp:lastModifiedBy>
  <cp:revision>2</cp:revision>
  <dcterms:created xsi:type="dcterms:W3CDTF">2020-02-21T12:10:00Z</dcterms:created>
  <dcterms:modified xsi:type="dcterms:W3CDTF">2020-02-21T12:10:00Z</dcterms:modified>
</cp:coreProperties>
</file>