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509744" w14:textId="77777777" w:rsidR="001B74B2" w:rsidRPr="00DD295E" w:rsidRDefault="001B74B2" w:rsidP="001B74B2">
      <w:pPr>
        <w:pStyle w:val="Subtitle"/>
        <w:spacing w:after="0"/>
        <w:jc w:val="center"/>
        <w:rPr>
          <w:color w:val="A8CE75" w:themeColor="accent1"/>
        </w:rPr>
      </w:pPr>
      <w:r>
        <w:rPr>
          <w:color w:val="A8CE75" w:themeColor="accent1"/>
        </w:rPr>
        <w:t>FICHE D’INFORMATION</w:t>
      </w:r>
      <w:bookmarkStart w:id="0" w:name="_GoBack"/>
      <w:bookmarkEnd w:id="0"/>
    </w:p>
    <w:p w14:paraId="1EC7C639" w14:textId="77777777" w:rsidR="001B74B2" w:rsidRPr="00DD295E" w:rsidRDefault="001B74B2" w:rsidP="001B74B2">
      <w:pPr>
        <w:pStyle w:val="Title"/>
        <w:jc w:val="center"/>
        <w:rPr>
          <w:color w:val="000000" w:themeColor="text1"/>
          <w:sz w:val="36"/>
        </w:rPr>
      </w:pPr>
      <w:r w:rsidRPr="00726F13">
        <w:rPr>
          <w:noProof/>
          <w:sz w:val="36"/>
          <w:lang w:val="en-CA" w:eastAsia="en-CA"/>
        </w:rPr>
        <w:drawing>
          <wp:anchor distT="0" distB="0" distL="114300" distR="114300" simplePos="0" relativeHeight="251659264" behindDoc="1" locked="0" layoutInCell="1" allowOverlap="1" wp14:anchorId="65CFAC4E" wp14:editId="136F97D3">
            <wp:simplePos x="0" y="0"/>
            <wp:positionH relativeFrom="margin">
              <wp:align>center</wp:align>
            </wp:positionH>
            <wp:positionV relativeFrom="paragraph">
              <wp:posOffset>271145</wp:posOffset>
            </wp:positionV>
            <wp:extent cx="5986145" cy="2907665"/>
            <wp:effectExtent l="0" t="0" r="0" b="6985"/>
            <wp:wrapNone/>
            <wp:docPr id="3" name="Picture 3" descr="Bulle de dialogue grise en arrière-plan" title="Bulle de dialogue g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bble 1.png"/>
                    <pic:cNvPicPr/>
                  </pic:nvPicPr>
                  <pic:blipFill>
                    <a:blip r:embed="rId7">
                      <a:grayscl/>
                      <a:extLst>
                        <a:ext uri="{28A0092B-C50C-407E-A947-70E740481C1C}">
                          <a14:useLocalDpi xmlns:a14="http://schemas.microsoft.com/office/drawing/2010/main" val="0"/>
                        </a:ext>
                      </a:extLst>
                    </a:blip>
                    <a:stretch>
                      <a:fillRect/>
                    </a:stretch>
                  </pic:blipFill>
                  <pic:spPr>
                    <a:xfrm>
                      <a:off x="0" y="0"/>
                      <a:ext cx="5986145" cy="2907665"/>
                    </a:xfrm>
                    <a:prstGeom prst="rect">
                      <a:avLst/>
                    </a:prstGeom>
                  </pic:spPr>
                </pic:pic>
              </a:graphicData>
            </a:graphic>
            <wp14:sizeRelH relativeFrom="margin">
              <wp14:pctWidth>0</wp14:pctWidth>
            </wp14:sizeRelH>
            <wp14:sizeRelV relativeFrom="margin">
              <wp14:pctHeight>0</wp14:pctHeight>
            </wp14:sizeRelV>
          </wp:anchor>
        </w:drawing>
      </w:r>
      <w:r w:rsidRPr="00726F13">
        <w:rPr>
          <w:sz w:val="36"/>
        </w:rPr>
        <w:t>Mieux-être</w:t>
      </w:r>
    </w:p>
    <w:p w14:paraId="710C4D39" w14:textId="77777777" w:rsidR="001B74B2" w:rsidRDefault="00DF4ABB" w:rsidP="001B74B2">
      <w:r>
        <w:rPr>
          <w:rFonts w:ascii="Arial" w:hAnsi="Arial"/>
          <w:noProof/>
          <w:color w:val="0070C0"/>
          <w:sz w:val="28"/>
          <w:szCs w:val="24"/>
          <w:lang w:val="en-CA" w:eastAsia="en-CA"/>
        </w:rPr>
        <mc:AlternateContent>
          <mc:Choice Requires="wps">
            <w:drawing>
              <wp:anchor distT="0" distB="0" distL="114300" distR="114300" simplePos="0" relativeHeight="251662336" behindDoc="0" locked="0" layoutInCell="1" allowOverlap="1" wp14:anchorId="2F978618" wp14:editId="7F8908F2">
                <wp:simplePos x="0" y="0"/>
                <wp:positionH relativeFrom="margin">
                  <wp:align>center</wp:align>
                </wp:positionH>
                <wp:positionV relativeFrom="paragraph">
                  <wp:posOffset>18415</wp:posOffset>
                </wp:positionV>
                <wp:extent cx="5736298" cy="2339009"/>
                <wp:effectExtent l="0" t="0" r="0" b="4445"/>
                <wp:wrapNone/>
                <wp:docPr id="13" name="Text Box 13"/>
                <wp:cNvGraphicFramePr/>
                <a:graphic xmlns:a="http://schemas.openxmlformats.org/drawingml/2006/main">
                  <a:graphicData uri="http://schemas.microsoft.com/office/word/2010/wordprocessingShape">
                    <wps:wsp>
                      <wps:cNvSpPr txBox="1"/>
                      <wps:spPr>
                        <a:xfrm>
                          <a:off x="0" y="0"/>
                          <a:ext cx="5736298" cy="23390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FF8687" w14:textId="77777777" w:rsidR="00DF4ABB" w:rsidRPr="00726F13" w:rsidRDefault="00DF4ABB" w:rsidP="00DF4ABB">
                            <w:pPr>
                              <w:spacing w:after="0"/>
                              <w:jc w:val="center"/>
                              <w:rPr>
                                <w:i/>
                                <w:szCs w:val="20"/>
                              </w:rPr>
                            </w:pPr>
                            <w:r w:rsidRPr="00726F13">
                              <w:rPr>
                                <w:i/>
                                <w:szCs w:val="20"/>
                              </w:rPr>
                              <w:t>À propos de cet outil</w:t>
                            </w:r>
                          </w:p>
                          <w:p w14:paraId="26D8B40C" w14:textId="77777777" w:rsidR="00DF4ABB" w:rsidRPr="00726F13" w:rsidRDefault="00DF4ABB" w:rsidP="00DF4ABB">
                            <w:pPr>
                              <w:spacing w:after="0"/>
                              <w:jc w:val="center"/>
                              <w:rPr>
                                <w:i/>
                                <w:sz w:val="14"/>
                                <w:szCs w:val="20"/>
                              </w:rPr>
                            </w:pPr>
                          </w:p>
                          <w:p w14:paraId="62800361" w14:textId="64471A49" w:rsidR="00DF4ABB" w:rsidRPr="00726F13" w:rsidRDefault="00726F13" w:rsidP="00DF4ABB">
                            <w:pPr>
                              <w:spacing w:after="0"/>
                              <w:rPr>
                                <w:b/>
                                <w:szCs w:val="20"/>
                              </w:rPr>
                            </w:pPr>
                            <w:r>
                              <w:rPr>
                                <w:b/>
                                <w:szCs w:val="20"/>
                                <w:u w:val="single"/>
                              </w:rPr>
                              <w:t>BUT</w:t>
                            </w:r>
                            <w:r w:rsidR="00DF4ABB" w:rsidRPr="00726F13">
                              <w:rPr>
                                <w:b/>
                                <w:szCs w:val="20"/>
                                <w:u w:val="single"/>
                              </w:rPr>
                              <w:t> :</w:t>
                            </w:r>
                            <w:r w:rsidR="00DF4ABB" w:rsidRPr="00726F13">
                              <w:rPr>
                                <w:b/>
                                <w:szCs w:val="20"/>
                              </w:rPr>
                              <w:t xml:space="preserve"> </w:t>
                            </w:r>
                            <w:r w:rsidR="00DF4ABB" w:rsidRPr="00726F13">
                              <w:rPr>
                                <w:szCs w:val="20"/>
                              </w:rPr>
                              <w:t>Fournir des réponses aux questions les plus fréquemment posées, s’attaquer aux mythes courants et proposer les meilleures pratiques sur divers sujets liés au mieux-être</w:t>
                            </w:r>
                            <w:r>
                              <w:rPr>
                                <w:szCs w:val="20"/>
                              </w:rPr>
                              <w:t>.</w:t>
                            </w:r>
                          </w:p>
                          <w:p w14:paraId="640E83F7" w14:textId="0ABE2657" w:rsidR="00DF4ABB" w:rsidRPr="00726F13" w:rsidRDefault="00DF4ABB" w:rsidP="00DF4ABB">
                            <w:pPr>
                              <w:spacing w:after="0"/>
                              <w:rPr>
                                <w:szCs w:val="20"/>
                              </w:rPr>
                            </w:pPr>
                            <w:r w:rsidRPr="00726F13">
                              <w:rPr>
                                <w:b/>
                                <w:szCs w:val="20"/>
                                <w:u w:val="single"/>
                              </w:rPr>
                              <w:t>PUBLIC</w:t>
                            </w:r>
                            <w:r w:rsidR="00726F13">
                              <w:rPr>
                                <w:b/>
                                <w:szCs w:val="20"/>
                                <w:u w:val="single"/>
                              </w:rPr>
                              <w:t xml:space="preserve"> CIBLE</w:t>
                            </w:r>
                            <w:r w:rsidRPr="00726F13">
                              <w:rPr>
                                <w:b/>
                                <w:szCs w:val="20"/>
                                <w:u w:val="single"/>
                              </w:rPr>
                              <w:t> :</w:t>
                            </w:r>
                            <w:r w:rsidRPr="00726F13">
                              <w:rPr>
                                <w:b/>
                                <w:szCs w:val="20"/>
                              </w:rPr>
                              <w:t xml:space="preserve"> </w:t>
                            </w:r>
                            <w:r w:rsidRPr="00726F13">
                              <w:rPr>
                                <w:szCs w:val="20"/>
                              </w:rPr>
                              <w:t>Les employés de tous les niveaux qui cherchent de</w:t>
                            </w:r>
                            <w:r w:rsidR="00737822">
                              <w:rPr>
                                <w:szCs w:val="20"/>
                              </w:rPr>
                              <w:t xml:space="preserve"> l'</w:t>
                            </w:r>
                            <w:r w:rsidRPr="00726F13">
                              <w:rPr>
                                <w:szCs w:val="20"/>
                              </w:rPr>
                              <w:t>information sur l’ergonomie, la santé et la sécurité au travail (SST) et l’obligation de prendre des mesures</w:t>
                            </w:r>
                            <w:r w:rsidR="005C2C85">
                              <w:rPr>
                                <w:szCs w:val="20"/>
                              </w:rPr>
                              <w:t xml:space="preserve"> </w:t>
                            </w:r>
                            <w:r w:rsidRPr="00726F13">
                              <w:rPr>
                                <w:szCs w:val="20"/>
                              </w:rPr>
                              <w:t>d’adaptation, dans le contexte d</w:t>
                            </w:r>
                            <w:r w:rsidR="00726F13">
                              <w:rPr>
                                <w:szCs w:val="20"/>
                              </w:rPr>
                              <w:t>u Milieu de travail</w:t>
                            </w:r>
                            <w:r w:rsidRPr="00726F13">
                              <w:rPr>
                                <w:szCs w:val="20"/>
                              </w:rPr>
                              <w:t xml:space="preserve"> GC</w:t>
                            </w:r>
                            <w:r w:rsidR="00737822">
                              <w:rPr>
                                <w:szCs w:val="20"/>
                              </w:rPr>
                              <w:t>.</w:t>
                            </w:r>
                          </w:p>
                          <w:p w14:paraId="1BE991DE" w14:textId="318A1E82" w:rsidR="00DF4ABB" w:rsidRPr="00726F13" w:rsidRDefault="00DF4ABB" w:rsidP="00DF4ABB">
                            <w:pPr>
                              <w:spacing w:after="0"/>
                              <w:rPr>
                                <w:szCs w:val="20"/>
                              </w:rPr>
                            </w:pPr>
                            <w:r w:rsidRPr="00726F13">
                              <w:rPr>
                                <w:b/>
                                <w:szCs w:val="20"/>
                                <w:u w:val="single"/>
                              </w:rPr>
                              <w:t>UTILISATION</w:t>
                            </w:r>
                            <w:r w:rsidR="00B31C33" w:rsidRPr="00B31C33">
                              <w:rPr>
                                <w:b/>
                                <w:szCs w:val="20"/>
                                <w:u w:val="single"/>
                              </w:rPr>
                              <w:t> :</w:t>
                            </w:r>
                          </w:p>
                          <w:p w14:paraId="6A8DC424" w14:textId="00DA495A" w:rsidR="00DF4ABB" w:rsidRPr="00726F13" w:rsidRDefault="00726F13" w:rsidP="00DF4ABB">
                            <w:pPr>
                              <w:pStyle w:val="ListParagraph"/>
                              <w:numPr>
                                <w:ilvl w:val="0"/>
                                <w:numId w:val="22"/>
                              </w:numPr>
                              <w:spacing w:after="0"/>
                              <w:rPr>
                                <w:szCs w:val="20"/>
                              </w:rPr>
                            </w:pPr>
                            <w:r>
                              <w:rPr>
                                <w:szCs w:val="20"/>
                              </w:rPr>
                              <w:t>P</w:t>
                            </w:r>
                            <w:r w:rsidR="00DF4ABB" w:rsidRPr="00726F13">
                              <w:rPr>
                                <w:szCs w:val="20"/>
                              </w:rPr>
                              <w:t>résentations aux employés</w:t>
                            </w:r>
                          </w:p>
                          <w:p w14:paraId="5BAA98C1" w14:textId="513CB6E5" w:rsidR="00DF4ABB" w:rsidRPr="00726F13" w:rsidRDefault="00726F13" w:rsidP="00DF4ABB">
                            <w:pPr>
                              <w:pStyle w:val="ListParagraph"/>
                              <w:numPr>
                                <w:ilvl w:val="0"/>
                                <w:numId w:val="22"/>
                              </w:numPr>
                              <w:spacing w:after="0"/>
                              <w:rPr>
                                <w:szCs w:val="20"/>
                              </w:rPr>
                            </w:pPr>
                            <w:r>
                              <w:rPr>
                                <w:szCs w:val="20"/>
                              </w:rPr>
                              <w:t>C</w:t>
                            </w:r>
                            <w:r w:rsidR="00DF4ABB" w:rsidRPr="00726F13">
                              <w:rPr>
                                <w:szCs w:val="20"/>
                              </w:rPr>
                              <w:t>ourriels</w:t>
                            </w:r>
                          </w:p>
                          <w:p w14:paraId="3AB311BC" w14:textId="214147AF" w:rsidR="00DF4ABB" w:rsidRPr="00726F13" w:rsidRDefault="00726F13" w:rsidP="00DF4ABB">
                            <w:pPr>
                              <w:pStyle w:val="ListParagraph"/>
                              <w:numPr>
                                <w:ilvl w:val="0"/>
                                <w:numId w:val="22"/>
                              </w:numPr>
                              <w:spacing w:after="0"/>
                              <w:rPr>
                                <w:szCs w:val="20"/>
                              </w:rPr>
                            </w:pPr>
                            <w:r>
                              <w:rPr>
                                <w:szCs w:val="20"/>
                              </w:rPr>
                              <w:t>S</w:t>
                            </w:r>
                            <w:r w:rsidR="00DF4ABB" w:rsidRPr="00726F13">
                              <w:rPr>
                                <w:szCs w:val="20"/>
                              </w:rPr>
                              <w:t>ites Web internes</w:t>
                            </w:r>
                          </w:p>
                          <w:p w14:paraId="02BC292D" w14:textId="6067D75E" w:rsidR="00DF4ABB" w:rsidRPr="00726F13" w:rsidRDefault="00726F13" w:rsidP="00DF4ABB">
                            <w:pPr>
                              <w:pStyle w:val="ListParagraph"/>
                              <w:numPr>
                                <w:ilvl w:val="0"/>
                                <w:numId w:val="22"/>
                              </w:numPr>
                              <w:spacing w:after="0"/>
                              <w:rPr>
                                <w:szCs w:val="20"/>
                              </w:rPr>
                            </w:pPr>
                            <w:r>
                              <w:rPr>
                                <w:szCs w:val="20"/>
                              </w:rPr>
                              <w:t>B</w:t>
                            </w:r>
                            <w:r w:rsidR="00DF4ABB" w:rsidRPr="00726F13">
                              <w:rPr>
                                <w:szCs w:val="20"/>
                              </w:rPr>
                              <w:t>illets de blogue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F978618" id="_x0000_t202" coordsize="21600,21600" o:spt="202" path="m,l,21600r21600,l21600,xe">
                <v:stroke joinstyle="miter"/>
                <v:path gradientshapeok="t" o:connecttype="rect"/>
              </v:shapetype>
              <v:shape id="Text Box 13" o:spid="_x0000_s1026" type="#_x0000_t202" style="position:absolute;margin-left:0;margin-top:1.45pt;width:451.7pt;height:184.15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" filled="f" stroked="f" strokeweight=".5pt">
                <v:textbox>
                  <w:txbxContent>
                    <w:p w14:paraId="35FF8687" w14:textId="77777777" w:rsidR="00DF4ABB" w:rsidRPr="00726F13" w:rsidRDefault="00DF4ABB" w:rsidP="00DF4ABB">
                      <w:pPr>
                        <w:spacing w:after="0"/>
                        <w:jc w:val="center"/>
                        <w:rPr>
                          <w:i/>
                          <w:szCs w:val="20"/>
                        </w:rPr>
                      </w:pPr>
                      <w:r w:rsidRPr="00726F13">
                        <w:rPr>
                          <w:i/>
                          <w:szCs w:val="20"/>
                        </w:rPr>
                        <w:t>À propos de cet outil</w:t>
                      </w:r>
                    </w:p>
                    <w:p w14:paraId="26D8B40C" w14:textId="77777777" w:rsidR="00DF4ABB" w:rsidRPr="00726F13" w:rsidRDefault="00DF4ABB" w:rsidP="00DF4ABB">
                      <w:pPr>
                        <w:spacing w:after="0"/>
                        <w:jc w:val="center"/>
                        <w:rPr>
                          <w:i/>
                          <w:sz w:val="14"/>
                          <w:szCs w:val="20"/>
                        </w:rPr>
                      </w:pPr>
                    </w:p>
                    <w:p w14:paraId="62800361" w14:textId="64471A49" w:rsidR="00DF4ABB" w:rsidRPr="00726F13" w:rsidRDefault="00726F13" w:rsidP="00DF4ABB">
                      <w:pPr>
                        <w:spacing w:after="0"/>
                        <w:rPr>
                          <w:b/>
                          <w:szCs w:val="20"/>
                        </w:rPr>
                      </w:pPr>
                      <w:r>
                        <w:rPr>
                          <w:b/>
                          <w:szCs w:val="20"/>
                          <w:u w:val="single"/>
                        </w:rPr>
                        <w:t>BUT</w:t>
                      </w:r>
                      <w:r w:rsidR="00DF4ABB" w:rsidRPr="00726F13">
                        <w:rPr>
                          <w:b/>
                          <w:szCs w:val="20"/>
                          <w:u w:val="single"/>
                        </w:rPr>
                        <w:t> :</w:t>
                      </w:r>
                      <w:r w:rsidR="00DF4ABB" w:rsidRPr="00726F13">
                        <w:rPr>
                          <w:b/>
                          <w:szCs w:val="20"/>
                        </w:rPr>
                        <w:t xml:space="preserve"> </w:t>
                      </w:r>
                      <w:r w:rsidR="00DF4ABB" w:rsidRPr="00726F13">
                        <w:rPr>
                          <w:szCs w:val="20"/>
                        </w:rPr>
                        <w:t>Fournir des réponses aux questions les plus fréquemment posées, s’attaquer aux mythes courants et proposer les meilleures pratiques sur divers sujets liés au mieux-être</w:t>
                      </w:r>
                      <w:r>
                        <w:rPr>
                          <w:szCs w:val="20"/>
                        </w:rPr>
                        <w:t>.</w:t>
                      </w:r>
                    </w:p>
                    <w:p w14:paraId="640E83F7" w14:textId="0ABE2657" w:rsidR="00DF4ABB" w:rsidRPr="00726F13" w:rsidRDefault="00DF4ABB" w:rsidP="00DF4ABB">
                      <w:pPr>
                        <w:spacing w:after="0"/>
                        <w:rPr>
                          <w:szCs w:val="20"/>
                        </w:rPr>
                      </w:pPr>
                      <w:r w:rsidRPr="00726F13">
                        <w:rPr>
                          <w:b/>
                          <w:szCs w:val="20"/>
                          <w:u w:val="single"/>
                        </w:rPr>
                        <w:t>PUBLIC</w:t>
                      </w:r>
                      <w:r w:rsidR="00726F13">
                        <w:rPr>
                          <w:b/>
                          <w:szCs w:val="20"/>
                          <w:u w:val="single"/>
                        </w:rPr>
                        <w:t xml:space="preserve"> CIBLE</w:t>
                      </w:r>
                      <w:r w:rsidRPr="00726F13">
                        <w:rPr>
                          <w:b/>
                          <w:szCs w:val="20"/>
                          <w:u w:val="single"/>
                        </w:rPr>
                        <w:t> :</w:t>
                      </w:r>
                      <w:r w:rsidRPr="00726F13">
                        <w:rPr>
                          <w:b/>
                          <w:szCs w:val="20"/>
                        </w:rPr>
                        <w:t xml:space="preserve"> </w:t>
                      </w:r>
                      <w:r w:rsidRPr="00726F13">
                        <w:rPr>
                          <w:szCs w:val="20"/>
                        </w:rPr>
                        <w:t>Les employés de tous les niveaux qui cherchent de</w:t>
                      </w:r>
                      <w:r w:rsidR="00737822">
                        <w:rPr>
                          <w:szCs w:val="20"/>
                        </w:rPr>
                        <w:t xml:space="preserve"> l'</w:t>
                      </w:r>
                      <w:r w:rsidRPr="00726F13">
                        <w:rPr>
                          <w:szCs w:val="20"/>
                        </w:rPr>
                        <w:t>information sur l’ergonomie, la santé et la sécurité au travail (SST) et l’obligation de prendre des mesures</w:t>
                      </w:r>
                      <w:r w:rsidR="005C2C85">
                        <w:rPr>
                          <w:szCs w:val="20"/>
                        </w:rPr>
                        <w:t xml:space="preserve"> </w:t>
                      </w:r>
                      <w:r w:rsidRPr="00726F13">
                        <w:rPr>
                          <w:szCs w:val="20"/>
                        </w:rPr>
                        <w:t>d’adaptation, dans le contexte d</w:t>
                      </w:r>
                      <w:r w:rsidR="00726F13">
                        <w:rPr>
                          <w:szCs w:val="20"/>
                        </w:rPr>
                        <w:t>u Milieu de travail</w:t>
                      </w:r>
                      <w:r w:rsidRPr="00726F13">
                        <w:rPr>
                          <w:szCs w:val="20"/>
                        </w:rPr>
                        <w:t xml:space="preserve"> GC</w:t>
                      </w:r>
                      <w:r w:rsidR="00737822">
                        <w:rPr>
                          <w:szCs w:val="20"/>
                        </w:rPr>
                        <w:t>.</w:t>
                      </w:r>
                    </w:p>
                    <w:p w14:paraId="1BE991DE" w14:textId="318A1E82" w:rsidR="00DF4ABB" w:rsidRPr="00726F13" w:rsidRDefault="00DF4ABB" w:rsidP="00DF4ABB">
                      <w:pPr>
                        <w:spacing w:after="0"/>
                        <w:rPr>
                          <w:szCs w:val="20"/>
                        </w:rPr>
                      </w:pPr>
                      <w:r w:rsidRPr="00726F13">
                        <w:rPr>
                          <w:b/>
                          <w:szCs w:val="20"/>
                          <w:u w:val="single"/>
                        </w:rPr>
                        <w:t>UTILISATION</w:t>
                      </w:r>
                      <w:r w:rsidR="00B31C33" w:rsidRPr="00B31C33">
                        <w:rPr>
                          <w:b/>
                          <w:szCs w:val="20"/>
                          <w:u w:val="single"/>
                        </w:rPr>
                        <w:t> :</w:t>
                      </w:r>
                    </w:p>
                    <w:p w14:paraId="6A8DC424" w14:textId="00DA495A" w:rsidR="00DF4ABB" w:rsidRPr="00726F13" w:rsidRDefault="00726F13" w:rsidP="00DF4ABB">
                      <w:pPr>
                        <w:pStyle w:val="ListParagraph"/>
                        <w:numPr>
                          <w:ilvl w:val="0"/>
                          <w:numId w:val="22"/>
                        </w:numPr>
                        <w:spacing w:after="0"/>
                        <w:rPr>
                          <w:szCs w:val="20"/>
                        </w:rPr>
                      </w:pPr>
                      <w:r>
                        <w:rPr>
                          <w:szCs w:val="20"/>
                        </w:rPr>
                        <w:t>P</w:t>
                      </w:r>
                      <w:r w:rsidR="00DF4ABB" w:rsidRPr="00726F13">
                        <w:rPr>
                          <w:szCs w:val="20"/>
                        </w:rPr>
                        <w:t>résentations aux employés</w:t>
                      </w:r>
                    </w:p>
                    <w:p w14:paraId="5BAA98C1" w14:textId="513CB6E5" w:rsidR="00DF4ABB" w:rsidRPr="00726F13" w:rsidRDefault="00726F13" w:rsidP="00DF4ABB">
                      <w:pPr>
                        <w:pStyle w:val="ListParagraph"/>
                        <w:numPr>
                          <w:ilvl w:val="0"/>
                          <w:numId w:val="22"/>
                        </w:numPr>
                        <w:spacing w:after="0"/>
                        <w:rPr>
                          <w:szCs w:val="20"/>
                        </w:rPr>
                      </w:pPr>
                      <w:r>
                        <w:rPr>
                          <w:szCs w:val="20"/>
                        </w:rPr>
                        <w:t>C</w:t>
                      </w:r>
                      <w:r w:rsidR="00DF4ABB" w:rsidRPr="00726F13">
                        <w:rPr>
                          <w:szCs w:val="20"/>
                        </w:rPr>
                        <w:t>ourriels</w:t>
                      </w:r>
                    </w:p>
                    <w:p w14:paraId="3AB311BC" w14:textId="214147AF" w:rsidR="00DF4ABB" w:rsidRPr="00726F13" w:rsidRDefault="00726F13" w:rsidP="00DF4ABB">
                      <w:pPr>
                        <w:pStyle w:val="ListParagraph"/>
                        <w:numPr>
                          <w:ilvl w:val="0"/>
                          <w:numId w:val="22"/>
                        </w:numPr>
                        <w:spacing w:after="0"/>
                        <w:rPr>
                          <w:szCs w:val="20"/>
                        </w:rPr>
                      </w:pPr>
                      <w:r>
                        <w:rPr>
                          <w:szCs w:val="20"/>
                        </w:rPr>
                        <w:t>S</w:t>
                      </w:r>
                      <w:r w:rsidR="00DF4ABB" w:rsidRPr="00726F13">
                        <w:rPr>
                          <w:szCs w:val="20"/>
                        </w:rPr>
                        <w:t>ites Web internes</w:t>
                      </w:r>
                    </w:p>
                    <w:p w14:paraId="02BC292D" w14:textId="6067D75E" w:rsidR="00DF4ABB" w:rsidRPr="00726F13" w:rsidRDefault="00726F13" w:rsidP="00DF4ABB">
                      <w:pPr>
                        <w:pStyle w:val="ListParagraph"/>
                        <w:numPr>
                          <w:ilvl w:val="0"/>
                          <w:numId w:val="22"/>
                        </w:numPr>
                        <w:spacing w:after="0"/>
                        <w:rPr>
                          <w:szCs w:val="20"/>
                        </w:rPr>
                      </w:pPr>
                      <w:r>
                        <w:rPr>
                          <w:szCs w:val="20"/>
                        </w:rPr>
                        <w:t>B</w:t>
                      </w:r>
                      <w:r w:rsidR="00DF4ABB" w:rsidRPr="00726F13">
                        <w:rPr>
                          <w:szCs w:val="20"/>
                        </w:rPr>
                        <w:t>illets de blogue</w:t>
                      </w:r>
                    </w:p>
                  </w:txbxContent>
                </v:textbox>
                <w10:wrap anchorx="margin"/>
              </v:shape>
            </w:pict>
          </mc:Fallback>
        </mc:AlternateContent>
      </w:r>
    </w:p>
    <w:p w14:paraId="7FFB7FB6" w14:textId="77777777" w:rsidR="001B74B2" w:rsidRDefault="001B74B2" w:rsidP="001B74B2">
      <w:pPr>
        <w:tabs>
          <w:tab w:val="left" w:pos="2227"/>
        </w:tabs>
      </w:pPr>
      <w:r>
        <w:tab/>
      </w:r>
    </w:p>
    <w:p w14:paraId="6E5F5AA2" w14:textId="77777777" w:rsidR="001B74B2" w:rsidRDefault="001B74B2" w:rsidP="001B74B2">
      <w:pPr>
        <w:tabs>
          <w:tab w:val="left" w:pos="3533"/>
        </w:tabs>
      </w:pPr>
      <w:r>
        <w:tab/>
      </w:r>
    </w:p>
    <w:p w14:paraId="5B24D9E2" w14:textId="77777777" w:rsidR="001B74B2" w:rsidRPr="00AA41C6" w:rsidRDefault="001B74B2" w:rsidP="001B74B2"/>
    <w:p w14:paraId="2FC795A2" w14:textId="77777777" w:rsidR="001B74B2" w:rsidRPr="00AA41C6" w:rsidRDefault="001B74B2" w:rsidP="001B74B2"/>
    <w:p w14:paraId="16C43C39" w14:textId="77777777" w:rsidR="001B74B2" w:rsidRPr="00AA41C6" w:rsidRDefault="001B74B2" w:rsidP="001B74B2"/>
    <w:p w14:paraId="01471E6B" w14:textId="77777777" w:rsidR="001B74B2" w:rsidRPr="00AA41C6" w:rsidRDefault="001B74B2" w:rsidP="001B74B2"/>
    <w:p w14:paraId="20669BD5" w14:textId="77777777" w:rsidR="001B74B2" w:rsidRPr="00AA41C6" w:rsidRDefault="001B74B2" w:rsidP="001B74B2"/>
    <w:p w14:paraId="1B74ED42" w14:textId="77777777" w:rsidR="001B74B2" w:rsidRDefault="001B74B2" w:rsidP="001B74B2">
      <w:r>
        <w:rPr>
          <w:noProof/>
          <w:lang w:val="en-CA" w:eastAsia="en-CA"/>
        </w:rPr>
        <mc:AlternateContent>
          <mc:Choice Requires="wps">
            <w:drawing>
              <wp:anchor distT="0" distB="0" distL="114300" distR="114300" simplePos="0" relativeHeight="251660288" behindDoc="0" locked="0" layoutInCell="1" allowOverlap="1" wp14:anchorId="179A57DD" wp14:editId="3626234C">
                <wp:simplePos x="0" y="0"/>
                <wp:positionH relativeFrom="margin">
                  <wp:posOffset>1371307</wp:posOffset>
                </wp:positionH>
                <wp:positionV relativeFrom="paragraph">
                  <wp:posOffset>190695</wp:posOffset>
                </wp:positionV>
                <wp:extent cx="4185138" cy="288388"/>
                <wp:effectExtent l="0" t="0" r="6350" b="0"/>
                <wp:wrapNone/>
                <wp:docPr id="4" name="Text Box 4"/>
                <wp:cNvGraphicFramePr/>
                <a:graphic xmlns:a="http://schemas.openxmlformats.org/drawingml/2006/main">
                  <a:graphicData uri="http://schemas.microsoft.com/office/word/2010/wordprocessingShape">
                    <wps:wsp>
                      <wps:cNvSpPr txBox="1"/>
                      <wps:spPr>
                        <a:xfrm>
                          <a:off x="0" y="0"/>
                          <a:ext cx="4185138" cy="288388"/>
                        </a:xfrm>
                        <a:prstGeom prst="rect">
                          <a:avLst/>
                        </a:prstGeom>
                        <a:solidFill>
                          <a:schemeClr val="accent4">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E186E5" w14:textId="77777777" w:rsidR="001B74B2" w:rsidRPr="00DD295E" w:rsidRDefault="001B74B2" w:rsidP="001B74B2">
                            <w:pPr>
                              <w:jc w:val="center"/>
                              <w:rPr>
                                <w:sz w:val="20"/>
                              </w:rPr>
                            </w:pPr>
                            <w:r>
                              <w:t>[Supprimez l’image et le texte ci-dessus lorsque vous utilisez cet outil]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A57DD" id="Text Box 4" o:spid="_x0000_s1027" type="#_x0000_t202" style="position:absolute;margin-left:108pt;margin-top:15pt;width:329.55pt;height:22.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" fillcolor="#fff2cc [663]" stroked="f" strokeweight=".5pt">
                <v:textbox>
                  <w:txbxContent>
                    <w:p w14:paraId="78E186E5" w14:textId="77777777" w:rsidR="001B74B2" w:rsidRPr="00DD295E" w:rsidRDefault="001B74B2" w:rsidP="001B74B2">
                      <w:pPr>
                        <w:jc w:val="center"/>
                        <w:rPr>
                          <w:sz w:val="20"/>
                        </w:rPr>
                      </w:pPr>
                      <w:r>
                        <w:t>[Supprimez l’image et le texte ci-dessus lorsque vous utilisez cet outil]</w:t>
                      </w:r>
                    </w:p>
                  </w:txbxContent>
                </v:textbox>
                <w10:wrap anchorx="margin"/>
              </v:shape>
            </w:pict>
          </mc:Fallback>
        </mc:AlternateContent>
      </w:r>
    </w:p>
    <w:p w14:paraId="6FBEC8C4" w14:textId="77777777" w:rsidR="001B74B2" w:rsidRPr="00AA41C6" w:rsidRDefault="001B74B2" w:rsidP="001B74B2"/>
    <w:p w14:paraId="0528E9DA" w14:textId="77777777" w:rsidR="00176133" w:rsidRPr="00AA41C6" w:rsidRDefault="00176133" w:rsidP="001B74B2"/>
    <w:p w14:paraId="0D9FF597" w14:textId="6009C749" w:rsidR="001B74B2" w:rsidRDefault="001B74B2" w:rsidP="00176133">
      <w:pPr>
        <w:pStyle w:val="Heading2"/>
      </w:pPr>
      <w:r>
        <w:t>Foire aux questions</w:t>
      </w:r>
    </w:p>
    <w:p w14:paraId="4C9D4778" w14:textId="77777777" w:rsidR="006C409B" w:rsidRDefault="006C409B" w:rsidP="000E427D">
      <w:pPr>
        <w:pStyle w:val="ListParagraph"/>
        <w:numPr>
          <w:ilvl w:val="0"/>
          <w:numId w:val="7"/>
        </w:numPr>
        <w:jc w:val="both"/>
        <w:rPr>
          <w:b/>
          <w:color w:val="000000" w:themeColor="text1"/>
        </w:rPr>
      </w:pPr>
      <w:r>
        <w:rPr>
          <w:b/>
          <w:color w:val="000000" w:themeColor="text1"/>
        </w:rPr>
        <w:t xml:space="preserve">Comment répondra-t-on aux besoins en matière d’ergonomie dans tous les points de travail? </w:t>
      </w:r>
    </w:p>
    <w:p w14:paraId="48CBA77A" w14:textId="66D61DD7" w:rsidR="006C409B" w:rsidRPr="006C409B" w:rsidRDefault="006C409B" w:rsidP="000E427D">
      <w:pPr>
        <w:pStyle w:val="ListParagraph"/>
        <w:numPr>
          <w:ilvl w:val="0"/>
          <w:numId w:val="8"/>
        </w:numPr>
        <w:jc w:val="both"/>
        <w:rPr>
          <w:b/>
          <w:color w:val="000000" w:themeColor="text1"/>
        </w:rPr>
      </w:pPr>
      <w:r>
        <w:rPr>
          <w:color w:val="000000" w:themeColor="text1"/>
        </w:rPr>
        <w:t xml:space="preserve">L’ergonomie sera prise en compte dans la conception </w:t>
      </w:r>
      <w:r w:rsidR="00737822">
        <w:rPr>
          <w:color w:val="000000" w:themeColor="text1"/>
        </w:rPr>
        <w:t xml:space="preserve">de </w:t>
      </w:r>
      <w:r>
        <w:rPr>
          <w:color w:val="000000" w:themeColor="text1"/>
        </w:rPr>
        <w:t>tous les postes de travail; ils seront conviviaux, faciles d’accès et simple à utiliser. Les milieux de travail axés sur les activités encouragent les employés à se déplacer vers différents points de travail tout au long de la journée plutôt que de favoriser les activités sédentaires. La formation et l’information visant les installations ergonomiques seront mises à la disposition de tous.</w:t>
      </w:r>
    </w:p>
    <w:p w14:paraId="47E4C7D7" w14:textId="77777777" w:rsidR="006C409B" w:rsidRDefault="006C409B" w:rsidP="000E427D">
      <w:pPr>
        <w:pStyle w:val="ListParagraph"/>
        <w:ind w:left="360"/>
        <w:jc w:val="both"/>
        <w:rPr>
          <w:color w:val="000000" w:themeColor="text1"/>
        </w:rPr>
      </w:pPr>
      <w:r>
        <w:rPr>
          <w:color w:val="000000" w:themeColor="text1"/>
          <w:highlight w:val="lightGray"/>
        </w:rPr>
        <w:t>[Indiquez les éléments qui répondront aux besoins en matière d’ergonomie pour le projet de modernisation de votre organisation (bureaux à hauteur réglable, chaises ergonomiques, écrans à bras articulé, etc.) et quand ces éléments deviendront accessibles.]</w:t>
      </w:r>
    </w:p>
    <w:p w14:paraId="2ED358C0" w14:textId="77777777" w:rsidR="006C409B" w:rsidRPr="006C409B" w:rsidRDefault="006C409B" w:rsidP="000E427D">
      <w:pPr>
        <w:pStyle w:val="ListParagraph"/>
        <w:ind w:left="360"/>
        <w:jc w:val="both"/>
        <w:rPr>
          <w:b/>
          <w:color w:val="000000" w:themeColor="text1"/>
        </w:rPr>
      </w:pPr>
    </w:p>
    <w:p w14:paraId="7D0088D3" w14:textId="77777777" w:rsidR="006C409B" w:rsidRDefault="006C409B" w:rsidP="000E427D">
      <w:pPr>
        <w:pStyle w:val="ListParagraph"/>
        <w:numPr>
          <w:ilvl w:val="0"/>
          <w:numId w:val="7"/>
        </w:numPr>
        <w:jc w:val="both"/>
        <w:rPr>
          <w:b/>
          <w:color w:val="000000" w:themeColor="text1"/>
        </w:rPr>
      </w:pPr>
      <w:r>
        <w:rPr>
          <w:b/>
          <w:color w:val="000000" w:themeColor="text1"/>
        </w:rPr>
        <w:t>Où puis-je trouver de l’information sur le réglage d’un point de travail selon mes préférences?</w:t>
      </w:r>
    </w:p>
    <w:p w14:paraId="188E0702" w14:textId="10971126" w:rsidR="006C409B" w:rsidRPr="006C409B" w:rsidRDefault="006C409B" w:rsidP="000E427D">
      <w:pPr>
        <w:pStyle w:val="ListParagraph"/>
        <w:numPr>
          <w:ilvl w:val="0"/>
          <w:numId w:val="10"/>
        </w:numPr>
        <w:jc w:val="both"/>
        <w:rPr>
          <w:b/>
          <w:color w:val="000000" w:themeColor="text1"/>
        </w:rPr>
      </w:pPr>
      <w:r>
        <w:rPr>
          <w:color w:val="000000" w:themeColor="text1"/>
        </w:rPr>
        <w:t xml:space="preserve">Vous trouverez de l’information sur les principes et lignes directrices en matière d’ergonomie dans les bureaux sur le site Web </w:t>
      </w:r>
      <w:r w:rsidRPr="00F81811">
        <w:rPr>
          <w:color w:val="000000" w:themeColor="text1"/>
          <w:highlight w:val="lightGray"/>
        </w:rPr>
        <w:t>[veuillez ajouter le lien vers l’information disponible pour votre organisation]</w:t>
      </w:r>
      <w:r>
        <w:rPr>
          <w:color w:val="000000" w:themeColor="text1"/>
        </w:rPr>
        <w:t>. Veillez aussi à suivre la formation oblig</w:t>
      </w:r>
      <w:r w:rsidR="00F81811">
        <w:rPr>
          <w:color w:val="000000" w:themeColor="text1"/>
        </w:rPr>
        <w:t>atoire en ligne sur l’ergonomie, comme l’exige votre organisation.</w:t>
      </w:r>
    </w:p>
    <w:p w14:paraId="1BAF910D" w14:textId="77777777" w:rsidR="006C409B" w:rsidRPr="006C409B" w:rsidRDefault="006C409B" w:rsidP="000E427D">
      <w:pPr>
        <w:pStyle w:val="ListParagraph"/>
        <w:ind w:left="360"/>
        <w:jc w:val="both"/>
        <w:rPr>
          <w:b/>
          <w:color w:val="000000" w:themeColor="text1"/>
        </w:rPr>
      </w:pPr>
    </w:p>
    <w:p w14:paraId="395C517A" w14:textId="77777777" w:rsidR="006C409B" w:rsidRDefault="006C409B" w:rsidP="000E427D">
      <w:pPr>
        <w:pStyle w:val="ListParagraph"/>
        <w:numPr>
          <w:ilvl w:val="0"/>
          <w:numId w:val="7"/>
        </w:numPr>
        <w:jc w:val="both"/>
        <w:rPr>
          <w:b/>
          <w:color w:val="000000" w:themeColor="text1"/>
        </w:rPr>
      </w:pPr>
      <w:r>
        <w:rPr>
          <w:b/>
          <w:color w:val="000000" w:themeColor="text1"/>
        </w:rPr>
        <w:t>Où puis-je me renseigner sur l’ergonomie et l’obligation d’offrir des mesures d’adaptation?</w:t>
      </w:r>
    </w:p>
    <w:p w14:paraId="25AE802D" w14:textId="2793D0D6" w:rsidR="006C409B" w:rsidRPr="006C409B" w:rsidRDefault="006C409B" w:rsidP="000E427D">
      <w:pPr>
        <w:pStyle w:val="ListParagraph"/>
        <w:numPr>
          <w:ilvl w:val="0"/>
          <w:numId w:val="9"/>
        </w:numPr>
        <w:jc w:val="both"/>
        <w:rPr>
          <w:b/>
          <w:color w:val="000000" w:themeColor="text1"/>
        </w:rPr>
      </w:pPr>
      <w:r>
        <w:rPr>
          <w:color w:val="000000" w:themeColor="text1"/>
        </w:rPr>
        <w:t xml:space="preserve">Si vous avez des préoccupations au sujet d’un besoin individuel en matière d’ergonomie ou concernant une mesure d’adaptation particulière, vous devez en discuter avec votre gestionnaire. </w:t>
      </w:r>
      <w:r>
        <w:t xml:space="preserve">Le Ministère offre différentes ressources (p. ex. </w:t>
      </w:r>
      <w:r w:rsidR="00737822">
        <w:t>s</w:t>
      </w:r>
      <w:r>
        <w:t>anté et sécurité au travail</w:t>
      </w:r>
      <w:r w:rsidR="00737822">
        <w:t xml:space="preserve"> et</w:t>
      </w:r>
      <w:r>
        <w:t xml:space="preserve"> Programme de gestion de l’invalidité) pour aider les gestionnaires et les employés à prendre les décisions nécessaires lorsque se présentent de telles situations spéciales.</w:t>
      </w:r>
    </w:p>
    <w:p w14:paraId="3278036F" w14:textId="77777777" w:rsidR="006C409B" w:rsidRPr="006C409B" w:rsidRDefault="006C409B" w:rsidP="000E427D">
      <w:pPr>
        <w:pStyle w:val="ListParagraph"/>
        <w:ind w:left="360"/>
        <w:jc w:val="both"/>
        <w:rPr>
          <w:b/>
          <w:color w:val="000000" w:themeColor="text1"/>
        </w:rPr>
      </w:pPr>
    </w:p>
    <w:p w14:paraId="41287EEF" w14:textId="77777777" w:rsidR="006C409B" w:rsidRDefault="006C409B" w:rsidP="000E427D">
      <w:pPr>
        <w:pStyle w:val="ListParagraph"/>
        <w:numPr>
          <w:ilvl w:val="0"/>
          <w:numId w:val="7"/>
        </w:numPr>
        <w:jc w:val="both"/>
        <w:rPr>
          <w:b/>
          <w:color w:val="000000" w:themeColor="text1"/>
        </w:rPr>
      </w:pPr>
      <w:r>
        <w:rPr>
          <w:b/>
          <w:color w:val="000000" w:themeColor="text1"/>
        </w:rPr>
        <w:t>J’ai déjà un fauteuil de bureau qui est confortable et qui répond à mes besoins. Puis-je l’apporter?</w:t>
      </w:r>
    </w:p>
    <w:p w14:paraId="499A66D9" w14:textId="73734FC7" w:rsidR="006C409B" w:rsidRPr="006C409B" w:rsidRDefault="006C409B" w:rsidP="000E427D">
      <w:pPr>
        <w:pStyle w:val="ListParagraph"/>
        <w:numPr>
          <w:ilvl w:val="0"/>
          <w:numId w:val="11"/>
        </w:numPr>
        <w:jc w:val="both"/>
        <w:rPr>
          <w:b/>
          <w:color w:val="000000" w:themeColor="text1"/>
        </w:rPr>
      </w:pPr>
      <w:r>
        <w:lastRenderedPageBreak/>
        <w:t xml:space="preserve">Les besoins individuels en </w:t>
      </w:r>
      <w:r w:rsidR="007907C5">
        <w:t xml:space="preserve">matière de </w:t>
      </w:r>
      <w:r>
        <w:t xml:space="preserve">santé et sécurité feront l’objet d’une gestion au cas par cas, conformément à l’obligation de prendre des mesures d’adaptation. Chaque </w:t>
      </w:r>
      <w:r w:rsidR="007907C5">
        <w:t>poste</w:t>
      </w:r>
      <w:r>
        <w:t xml:space="preserve"> de travail </w:t>
      </w:r>
      <w:r w:rsidR="007907C5">
        <w:t xml:space="preserve">individuel </w:t>
      </w:r>
      <w:r>
        <w:t xml:space="preserve">sera doté d’une chaise ergonomique. </w:t>
      </w:r>
      <w:r>
        <w:rPr>
          <w:color w:val="000000" w:themeColor="text1"/>
        </w:rPr>
        <w:t xml:space="preserve">Si vous croyez avoir besoin de conserver votre chaise actuelle, veuillez en discuter avec votre gestionnaire. </w:t>
      </w:r>
    </w:p>
    <w:p w14:paraId="43686C5F" w14:textId="77777777" w:rsidR="006C409B" w:rsidRPr="006C409B" w:rsidRDefault="006C409B" w:rsidP="000E427D">
      <w:pPr>
        <w:pStyle w:val="ListParagraph"/>
        <w:ind w:left="360"/>
        <w:jc w:val="both"/>
        <w:rPr>
          <w:b/>
          <w:color w:val="000000" w:themeColor="text1"/>
        </w:rPr>
      </w:pPr>
      <w:r>
        <w:rPr>
          <w:color w:val="000000" w:themeColor="text1"/>
          <w:highlight w:val="lightGray"/>
        </w:rPr>
        <w:t>[Veuillez indiquer tout renseignement supplémentaire au besoin].</w:t>
      </w:r>
    </w:p>
    <w:p w14:paraId="181254AD" w14:textId="77777777" w:rsidR="006C409B" w:rsidRPr="006C409B" w:rsidRDefault="006C409B" w:rsidP="000E427D">
      <w:pPr>
        <w:pStyle w:val="ListParagraph"/>
        <w:ind w:left="360"/>
        <w:jc w:val="both"/>
        <w:rPr>
          <w:b/>
          <w:color w:val="000000" w:themeColor="text1"/>
        </w:rPr>
      </w:pPr>
    </w:p>
    <w:p w14:paraId="1247345C" w14:textId="29C88D4A" w:rsidR="006C409B" w:rsidRDefault="006C409B" w:rsidP="000E427D">
      <w:pPr>
        <w:pStyle w:val="ListParagraph"/>
        <w:numPr>
          <w:ilvl w:val="0"/>
          <w:numId w:val="7"/>
        </w:numPr>
        <w:jc w:val="both"/>
        <w:rPr>
          <w:b/>
          <w:color w:val="000000" w:themeColor="text1"/>
        </w:rPr>
      </w:pPr>
      <w:r>
        <w:rPr>
          <w:b/>
          <w:color w:val="000000" w:themeColor="text1"/>
        </w:rPr>
        <w:t xml:space="preserve">Comment les besoins individuels en </w:t>
      </w:r>
      <w:r w:rsidR="007907C5">
        <w:rPr>
          <w:b/>
          <w:color w:val="000000" w:themeColor="text1"/>
        </w:rPr>
        <w:t xml:space="preserve">matière de </w:t>
      </w:r>
      <w:r>
        <w:rPr>
          <w:b/>
          <w:color w:val="000000" w:themeColor="text1"/>
        </w:rPr>
        <w:t xml:space="preserve">santé et sécurité seront-ils pris en compte dans un </w:t>
      </w:r>
      <w:r w:rsidR="00737822">
        <w:rPr>
          <w:b/>
          <w:color w:val="000000" w:themeColor="text1"/>
        </w:rPr>
        <w:t xml:space="preserve">milieu de travail avec </w:t>
      </w:r>
      <w:r>
        <w:rPr>
          <w:b/>
          <w:color w:val="000000" w:themeColor="text1"/>
        </w:rPr>
        <w:t>de</w:t>
      </w:r>
      <w:r w:rsidR="00737822">
        <w:rPr>
          <w:b/>
          <w:color w:val="000000" w:themeColor="text1"/>
        </w:rPr>
        <w:t>s</w:t>
      </w:r>
      <w:r>
        <w:rPr>
          <w:b/>
          <w:color w:val="000000" w:themeColor="text1"/>
        </w:rPr>
        <w:t xml:space="preserve"> postes non attribués?</w:t>
      </w:r>
    </w:p>
    <w:p w14:paraId="50B07A26" w14:textId="0DE11D70" w:rsidR="006C409B" w:rsidRPr="006C409B" w:rsidRDefault="006C409B" w:rsidP="000E427D">
      <w:pPr>
        <w:pStyle w:val="ListParagraph"/>
        <w:numPr>
          <w:ilvl w:val="0"/>
          <w:numId w:val="12"/>
        </w:numPr>
        <w:jc w:val="both"/>
        <w:rPr>
          <w:b/>
          <w:color w:val="000000" w:themeColor="text1"/>
        </w:rPr>
      </w:pPr>
      <w:r>
        <w:t xml:space="preserve">Les besoins individuels en </w:t>
      </w:r>
      <w:r w:rsidR="007907C5">
        <w:t xml:space="preserve">matière de </w:t>
      </w:r>
      <w:r>
        <w:t xml:space="preserve">santé et sécurité feront l’objet d’une gestion au cas par cas, conformément à l’obligation de prendre des mesures d’adaptation. </w:t>
      </w:r>
      <w:r>
        <w:rPr>
          <w:color w:val="000000" w:themeColor="text1"/>
        </w:rPr>
        <w:t>Si vous croyez avoir besoin de demander une dérogation au milieu de travail composé de postes de travail non attribués, veuillez en discuter avec votre gestionnaire.</w:t>
      </w:r>
    </w:p>
    <w:p w14:paraId="1D4ADDA5" w14:textId="77777777" w:rsidR="006C409B" w:rsidRPr="006C409B" w:rsidRDefault="006C409B" w:rsidP="000E427D">
      <w:pPr>
        <w:pStyle w:val="ListParagraph"/>
        <w:ind w:left="360"/>
        <w:jc w:val="both"/>
        <w:rPr>
          <w:b/>
          <w:color w:val="000000" w:themeColor="text1"/>
        </w:rPr>
      </w:pPr>
    </w:p>
    <w:p w14:paraId="5C25D49D" w14:textId="77777777" w:rsidR="006C409B" w:rsidRDefault="006C409B" w:rsidP="000E427D">
      <w:pPr>
        <w:pStyle w:val="ListParagraph"/>
        <w:numPr>
          <w:ilvl w:val="0"/>
          <w:numId w:val="7"/>
        </w:numPr>
        <w:jc w:val="both"/>
        <w:rPr>
          <w:b/>
          <w:color w:val="000000" w:themeColor="text1"/>
        </w:rPr>
      </w:pPr>
      <w:r>
        <w:rPr>
          <w:b/>
          <w:color w:val="000000" w:themeColor="text1"/>
        </w:rPr>
        <w:t>Quels sont les plans quant aux obligations de prendre des mesures d’adaptation dans un contexte de postes de travail non attribués?</w:t>
      </w:r>
    </w:p>
    <w:p w14:paraId="325A646D" w14:textId="09A90F4A" w:rsidR="006C409B" w:rsidRPr="00442620" w:rsidRDefault="006C409B" w:rsidP="00442620">
      <w:pPr>
        <w:pStyle w:val="ListParagraph"/>
        <w:numPr>
          <w:ilvl w:val="0"/>
          <w:numId w:val="13"/>
        </w:numPr>
        <w:jc w:val="both"/>
        <w:rPr>
          <w:b/>
          <w:color w:val="000000" w:themeColor="text1"/>
        </w:rPr>
      </w:pPr>
      <w:r>
        <w:rPr>
          <w:color w:val="000000" w:themeColor="text1"/>
        </w:rPr>
        <w:t>Le contexte de postes de travail non attribués ne change en rien nos responsabilités relatives à l’obligation de prendre des mesures d’adaptation. Nous allons continuer à remplir nos obligations à cet égard.</w:t>
      </w:r>
    </w:p>
    <w:p w14:paraId="50CB77D2" w14:textId="77777777" w:rsidR="00442620" w:rsidRPr="00442620" w:rsidRDefault="00442620" w:rsidP="00442620">
      <w:pPr>
        <w:pStyle w:val="ListParagraph"/>
        <w:ind w:left="360"/>
        <w:jc w:val="both"/>
        <w:rPr>
          <w:b/>
          <w:color w:val="000000" w:themeColor="text1"/>
        </w:rPr>
      </w:pPr>
    </w:p>
    <w:p w14:paraId="28C0A568" w14:textId="77777777" w:rsidR="006C409B" w:rsidRDefault="006C409B" w:rsidP="000E427D">
      <w:pPr>
        <w:pStyle w:val="ListParagraph"/>
        <w:numPr>
          <w:ilvl w:val="0"/>
          <w:numId w:val="7"/>
        </w:numPr>
        <w:jc w:val="both"/>
        <w:rPr>
          <w:b/>
          <w:color w:val="000000" w:themeColor="text1"/>
        </w:rPr>
      </w:pPr>
      <w:r>
        <w:rPr>
          <w:b/>
          <w:color w:val="000000" w:themeColor="text1"/>
        </w:rPr>
        <w:t>Étant donné le milieu ouvert, comment gérera-t-on le bruit?</w:t>
      </w:r>
    </w:p>
    <w:p w14:paraId="019652C3" w14:textId="423B128F" w:rsidR="006C409B" w:rsidRPr="006C409B" w:rsidRDefault="006C409B" w:rsidP="000E427D">
      <w:pPr>
        <w:pStyle w:val="ListParagraph"/>
        <w:numPr>
          <w:ilvl w:val="0"/>
          <w:numId w:val="16"/>
        </w:numPr>
        <w:jc w:val="both"/>
        <w:rPr>
          <w:b/>
          <w:color w:val="000000" w:themeColor="text1"/>
        </w:rPr>
      </w:pPr>
      <w:r>
        <w:t xml:space="preserve">Généralement, les milieux de travail axés sur les activités comprennent trois zones fonctionnelles, les points de travail plus interactifs, donc générant plus de bruit, seront regroupés puis éloignés de ceux prévus pour le travail individuel, qui nécessitent un </w:t>
      </w:r>
      <w:r w:rsidR="002A0DFE">
        <w:t xml:space="preserve">milieu </w:t>
      </w:r>
      <w:r>
        <w:t xml:space="preserve">plus silencieux, et ce, dans le but de gérer l’acoustique et </w:t>
      </w:r>
      <w:r w:rsidR="002A0DFE">
        <w:t xml:space="preserve">de </w:t>
      </w:r>
      <w:r>
        <w:t xml:space="preserve">favoriser tant la concentration que la collaboration. </w:t>
      </w:r>
    </w:p>
    <w:p w14:paraId="7EF1BD5B" w14:textId="77777777" w:rsidR="006C409B" w:rsidRPr="006C409B" w:rsidRDefault="006C409B" w:rsidP="006C409B">
      <w:pPr>
        <w:pStyle w:val="ListParagraph"/>
        <w:ind w:left="360"/>
        <w:rPr>
          <w:b/>
          <w:color w:val="000000" w:themeColor="text1"/>
        </w:rPr>
      </w:pPr>
    </w:p>
    <w:p w14:paraId="1AFA46F2" w14:textId="77777777" w:rsidR="006C409B" w:rsidRPr="006C409B" w:rsidRDefault="006C409B" w:rsidP="006C409B">
      <w:pPr>
        <w:pStyle w:val="ListParagraph"/>
        <w:numPr>
          <w:ilvl w:val="0"/>
          <w:numId w:val="7"/>
        </w:numPr>
        <w:rPr>
          <w:b/>
          <w:color w:val="000000" w:themeColor="text1"/>
        </w:rPr>
      </w:pPr>
      <w:r>
        <w:rPr>
          <w:b/>
          <w:bCs/>
        </w:rPr>
        <w:t xml:space="preserve">Comment pourrons-nous savoir qui </w:t>
      </w:r>
      <w:proofErr w:type="gramStart"/>
      <w:r>
        <w:rPr>
          <w:b/>
          <w:bCs/>
        </w:rPr>
        <w:t>sont</w:t>
      </w:r>
      <w:proofErr w:type="gramEnd"/>
      <w:r>
        <w:rPr>
          <w:b/>
          <w:bCs/>
        </w:rPr>
        <w:t xml:space="preserve"> les secouristes et les surveillants d’étage dans un milieu où les postes de travail ne sont pas attribués?</w:t>
      </w:r>
    </w:p>
    <w:p w14:paraId="0E806CBC" w14:textId="77777777" w:rsidR="006C409B" w:rsidRPr="006C409B" w:rsidRDefault="006C409B" w:rsidP="006C409B">
      <w:pPr>
        <w:pStyle w:val="ListParagraph"/>
        <w:numPr>
          <w:ilvl w:val="0"/>
          <w:numId w:val="17"/>
        </w:numPr>
        <w:rPr>
          <w:b/>
          <w:color w:val="000000" w:themeColor="text1"/>
        </w:rPr>
      </w:pPr>
      <w:r>
        <w:t xml:space="preserve">Les secouristes et les agents de secours d’étage peuvent s’identifier au moyen d’une carte plastifiée, d’un fanion ou d’une épinglette qu’ils porteront toujours sur eux, peu importe l’endroit où ils travaillent. </w:t>
      </w:r>
      <w:r>
        <w:rPr>
          <w:color w:val="000000" w:themeColor="text1"/>
        </w:rPr>
        <w:t>En augmentant le nombre de personnes qui tiendront volontairement ces rôles, l’on diminue la probabilité qu’un secouriste ou un agent de secours soit difficile à identifier.</w:t>
      </w:r>
    </w:p>
    <w:p w14:paraId="540F85AC" w14:textId="4DFCC16C" w:rsidR="001B74B2" w:rsidRDefault="006C409B" w:rsidP="00AB40B8">
      <w:pPr>
        <w:pStyle w:val="ListParagraph"/>
        <w:ind w:left="360"/>
      </w:pPr>
      <w:r>
        <w:rPr>
          <w:color w:val="000000" w:themeColor="text1"/>
          <w:highlight w:val="lightGray"/>
        </w:rPr>
        <w:t>[Ces renseignements pourraient ne pas s’appliquer à votre organisation, il est donc recommandé de modifier au besoin. D’autres solutions peuvent aussi être proposées.]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au briser les mythes"/>
        <w:tblDescription w:val="La colonne de gauche est le titre d'un mythe suivi d'un paragraphe qui les démystifie ou non. La colonne de droite est remplie de conseils relié au mythes mentionnés à gauche."/>
      </w:tblPr>
      <w:tblGrid>
        <w:gridCol w:w="5605"/>
        <w:gridCol w:w="5605"/>
      </w:tblGrid>
      <w:tr w:rsidR="00AB40B8" w14:paraId="61C067AD" w14:textId="77777777" w:rsidTr="00AB40B8">
        <w:trPr>
          <w:tblHeader/>
        </w:trPr>
        <w:tc>
          <w:tcPr>
            <w:tcW w:w="11210" w:type="dxa"/>
            <w:gridSpan w:val="2"/>
          </w:tcPr>
          <w:p w14:paraId="70F0D24A" w14:textId="7337E91A" w:rsidR="00AB40B8" w:rsidRPr="00AB40B8" w:rsidRDefault="00AB40B8" w:rsidP="00AB40B8">
            <w:pPr>
              <w:pStyle w:val="Heading2"/>
            </w:pPr>
            <w:r>
              <w:t>Briser les mythes</w:t>
            </w:r>
          </w:p>
        </w:tc>
      </w:tr>
      <w:tr w:rsidR="00635F6C" w14:paraId="6807A35E" w14:textId="77777777" w:rsidTr="000E427D">
        <w:tc>
          <w:tcPr>
            <w:tcW w:w="11210" w:type="dxa"/>
            <w:gridSpan w:val="2"/>
          </w:tcPr>
          <w:p w14:paraId="72880A7F" w14:textId="39272CA1" w:rsidR="00635F6C" w:rsidRDefault="00635F6C" w:rsidP="000E427D">
            <w:pPr>
              <w:jc w:val="both"/>
            </w:pPr>
            <w:r>
              <w:rPr>
                <w:b/>
              </w:rPr>
              <w:t>« Je n’aurai pas accès à mon mobilier ergonomique</w:t>
            </w:r>
            <w:r w:rsidR="002A0DFE">
              <w:rPr>
                <w:b/>
              </w:rPr>
              <w:t>.</w:t>
            </w:r>
            <w:r>
              <w:rPr>
                <w:b/>
              </w:rPr>
              <w:t> »</w:t>
            </w:r>
          </w:p>
        </w:tc>
      </w:tr>
      <w:tr w:rsidR="00635F6C" w14:paraId="3C6F1231" w14:textId="77777777" w:rsidTr="000E427D">
        <w:tc>
          <w:tcPr>
            <w:tcW w:w="5605" w:type="dxa"/>
          </w:tcPr>
          <w:p w14:paraId="08134975" w14:textId="47FC3E24" w:rsidR="00D068A8" w:rsidRPr="006C409B" w:rsidRDefault="003336F8" w:rsidP="00326308">
            <w:pPr>
              <w:pStyle w:val="ListParagraph"/>
              <w:ind w:left="0"/>
            </w:pPr>
            <w:r>
              <w:t xml:space="preserve">Si vous possédez déjà une chaise </w:t>
            </w:r>
            <w:r w:rsidR="00FC265B">
              <w:t>ergonomique, vous pourrez peut-être l</w:t>
            </w:r>
            <w:r>
              <w:t>a</w:t>
            </w:r>
            <w:r w:rsidR="00FC265B">
              <w:t xml:space="preserve"> conserver si les nouve</w:t>
            </w:r>
            <w:r>
              <w:t>lles chaises</w:t>
            </w:r>
            <w:r w:rsidR="00FC265B">
              <w:t xml:space="preserve"> ne répondent p</w:t>
            </w:r>
            <w:r>
              <w:t>as à vos besoins. Votre chaise</w:t>
            </w:r>
            <w:r w:rsidR="00FC265B">
              <w:t xml:space="preserve"> devra être rangé</w:t>
            </w:r>
            <w:r>
              <w:t>e</w:t>
            </w:r>
            <w:r w:rsidR="00FC265B">
              <w:t xml:space="preserve">, dans un endroit </w:t>
            </w:r>
            <w:r w:rsidR="002A0DFE">
              <w:t>réservé</w:t>
            </w:r>
            <w:r w:rsidR="00FC265B">
              <w:t>, hors des zone</w:t>
            </w:r>
            <w:r>
              <w:t>s de forte circulation lorsqu’elle</w:t>
            </w:r>
            <w:r w:rsidR="00FC265B">
              <w:t xml:space="preserve"> n’est pas utilisé</w:t>
            </w:r>
            <w:r>
              <w:t>e</w:t>
            </w:r>
            <w:r w:rsidR="00FC265B">
              <w:t xml:space="preserve">. </w:t>
            </w:r>
            <w:r w:rsidR="00FC265B">
              <w:rPr>
                <w:color w:val="000000" w:themeColor="text1"/>
                <w:highlight w:val="lightGray"/>
              </w:rPr>
              <w:t xml:space="preserve">[Ces renseignements pourraient ne pas s’appliquer à votre organisation, il est donc recommandé de </w:t>
            </w:r>
            <w:r w:rsidR="002A0DFE">
              <w:rPr>
                <w:color w:val="000000" w:themeColor="text1"/>
                <w:highlight w:val="lightGray"/>
              </w:rPr>
              <w:t xml:space="preserve">les </w:t>
            </w:r>
            <w:r w:rsidR="00FC265B">
              <w:rPr>
                <w:color w:val="000000" w:themeColor="text1"/>
                <w:highlight w:val="lightGray"/>
              </w:rPr>
              <w:t>modifier au besoin. D’autres solutions peuvent aussi être proposées.]</w:t>
            </w:r>
          </w:p>
          <w:p w14:paraId="66F5CE17" w14:textId="77777777" w:rsidR="00635F6C" w:rsidRPr="00545A44" w:rsidRDefault="00635F6C" w:rsidP="00D068A8">
            <w:pPr>
              <w:jc w:val="both"/>
            </w:pPr>
          </w:p>
        </w:tc>
        <w:tc>
          <w:tcPr>
            <w:tcW w:w="5605" w:type="dxa"/>
            <w:shd w:val="clear" w:color="auto" w:fill="EDF5E3" w:themeFill="accent1" w:themeFillTint="33"/>
          </w:tcPr>
          <w:p w14:paraId="7EF03838" w14:textId="77777777" w:rsidR="00635F6C" w:rsidRPr="00386886" w:rsidRDefault="00635F6C" w:rsidP="000E427D">
            <w:pPr>
              <w:jc w:val="both"/>
              <w:rPr>
                <w:i/>
                <w:sz w:val="20"/>
                <w:szCs w:val="20"/>
              </w:rPr>
            </w:pPr>
            <w:r>
              <w:rPr>
                <w:i/>
                <w:sz w:val="20"/>
                <w:szCs w:val="20"/>
              </w:rPr>
              <w:t>Conseils</w:t>
            </w:r>
          </w:p>
          <w:p w14:paraId="60A9C3D0" w14:textId="2C460DAE" w:rsidR="00635F6C" w:rsidRPr="00386886" w:rsidRDefault="00D068A8" w:rsidP="000E427D">
            <w:pPr>
              <w:pStyle w:val="ListParagraph"/>
              <w:numPr>
                <w:ilvl w:val="0"/>
                <w:numId w:val="6"/>
              </w:numPr>
              <w:jc w:val="both"/>
              <w:rPr>
                <w:i/>
                <w:sz w:val="20"/>
                <w:szCs w:val="20"/>
              </w:rPr>
            </w:pPr>
            <w:r>
              <w:rPr>
                <w:i/>
                <w:sz w:val="20"/>
                <w:szCs w:val="20"/>
              </w:rPr>
              <w:t>Tous les postes de travail sont équipés de bureaux réglables en hauteur et de chaises ergonomiques qui devraient répondre à vos besoins; essayez-les!</w:t>
            </w:r>
          </w:p>
          <w:p w14:paraId="6BC9EBFC" w14:textId="69823B51" w:rsidR="00176133" w:rsidRPr="00176133" w:rsidRDefault="00EF652A" w:rsidP="003336F8">
            <w:pPr>
              <w:pStyle w:val="ListParagraph"/>
              <w:numPr>
                <w:ilvl w:val="0"/>
                <w:numId w:val="6"/>
              </w:numPr>
              <w:jc w:val="both"/>
              <w:rPr>
                <w:i/>
              </w:rPr>
            </w:pPr>
            <w:r>
              <w:rPr>
                <w:i/>
                <w:sz w:val="20"/>
                <w:szCs w:val="20"/>
              </w:rPr>
              <w:t xml:space="preserve">Essayez différents </w:t>
            </w:r>
            <w:r w:rsidR="003336F8">
              <w:rPr>
                <w:i/>
                <w:sz w:val="20"/>
                <w:szCs w:val="20"/>
              </w:rPr>
              <w:t>points</w:t>
            </w:r>
            <w:r>
              <w:rPr>
                <w:i/>
                <w:sz w:val="20"/>
                <w:szCs w:val="20"/>
              </w:rPr>
              <w:t xml:space="preserve"> de travail pour vous familiariser avec chacun d’eux et déterminer lesquels vous préférez et où vous êtes le plus productif.</w:t>
            </w:r>
          </w:p>
        </w:tc>
      </w:tr>
      <w:tr w:rsidR="008C3CFE" w14:paraId="7F6A8051" w14:textId="77777777" w:rsidTr="000E427D">
        <w:tc>
          <w:tcPr>
            <w:tcW w:w="11210" w:type="dxa"/>
            <w:gridSpan w:val="2"/>
          </w:tcPr>
          <w:p w14:paraId="0C19AE28" w14:textId="77777777" w:rsidR="00176133" w:rsidRDefault="00176133" w:rsidP="00176133">
            <w:pPr>
              <w:jc w:val="both"/>
              <w:rPr>
                <w:b/>
              </w:rPr>
            </w:pPr>
          </w:p>
          <w:p w14:paraId="503AEB87" w14:textId="42EA73B0" w:rsidR="008C3CFE" w:rsidRPr="008C3CFE" w:rsidRDefault="008C3CFE" w:rsidP="00176133">
            <w:pPr>
              <w:jc w:val="both"/>
              <w:rPr>
                <w:b/>
              </w:rPr>
            </w:pPr>
            <w:r>
              <w:rPr>
                <w:b/>
              </w:rPr>
              <w:lastRenderedPageBreak/>
              <w:t>« Ce sera trop bruyant pour que je puisse me concentrer et finir mon travail</w:t>
            </w:r>
            <w:r w:rsidR="002A0DFE">
              <w:rPr>
                <w:b/>
              </w:rPr>
              <w:t>.</w:t>
            </w:r>
            <w:r>
              <w:rPr>
                <w:b/>
              </w:rPr>
              <w:t> »</w:t>
            </w:r>
          </w:p>
        </w:tc>
      </w:tr>
      <w:tr w:rsidR="00635F6C" w14:paraId="17EE97B4" w14:textId="77777777" w:rsidTr="000E427D">
        <w:tc>
          <w:tcPr>
            <w:tcW w:w="5605" w:type="dxa"/>
          </w:tcPr>
          <w:p w14:paraId="33C9A14E" w14:textId="1BDEE86C" w:rsidR="00635F6C" w:rsidRPr="008C3CFE" w:rsidRDefault="00176133" w:rsidP="00163688">
            <w:pPr>
              <w:jc w:val="both"/>
            </w:pPr>
            <w:r>
              <w:lastRenderedPageBreak/>
              <w:t xml:space="preserve">Une partie intégrante de l’offre du choix des paramètres de travail est la capacité que vous avez à choisir votre niveau préféré de bruit et d’activité ambiant. En intégrant trois aires fonctionnelles, chaque </w:t>
            </w:r>
            <w:r w:rsidR="00172738">
              <w:t xml:space="preserve">environnement </w:t>
            </w:r>
            <w:r>
              <w:t>Milieu de travail GC regroupe des points de travail plus actifs et bruyants ensemble et loin des points de travail isolés et individuels afin de gérer les choix de niveau de bruit et pour mieux appuyer la concentration et la collaboration.</w:t>
            </w:r>
          </w:p>
        </w:tc>
        <w:tc>
          <w:tcPr>
            <w:tcW w:w="5605" w:type="dxa"/>
            <w:shd w:val="clear" w:color="auto" w:fill="EDF5E3" w:themeFill="accent1" w:themeFillTint="33"/>
          </w:tcPr>
          <w:p w14:paraId="593E0D2B" w14:textId="77777777" w:rsidR="00635F6C" w:rsidRPr="00386886" w:rsidRDefault="00176133" w:rsidP="00176133">
            <w:pPr>
              <w:jc w:val="both"/>
              <w:rPr>
                <w:i/>
                <w:sz w:val="20"/>
              </w:rPr>
            </w:pPr>
            <w:r>
              <w:rPr>
                <w:i/>
                <w:sz w:val="20"/>
              </w:rPr>
              <w:t>Conseils</w:t>
            </w:r>
          </w:p>
          <w:p w14:paraId="3C8C10AD" w14:textId="3F180C80" w:rsidR="004F4113" w:rsidRPr="0043637A" w:rsidRDefault="004F4113">
            <w:pPr>
              <w:pStyle w:val="ListParagraph"/>
              <w:numPr>
                <w:ilvl w:val="0"/>
                <w:numId w:val="21"/>
              </w:numPr>
              <w:jc w:val="both"/>
              <w:rPr>
                <w:i/>
              </w:rPr>
            </w:pPr>
            <w:r>
              <w:rPr>
                <w:i/>
                <w:sz w:val="20"/>
              </w:rPr>
              <w:t>Choisissez votre point de travail en fonction des activités que vous devez accomplir et de votre préférence personnelle en matière de niveau de bruit ambiant.</w:t>
            </w:r>
          </w:p>
          <w:p w14:paraId="64687F75" w14:textId="77777777" w:rsidR="00EF652A" w:rsidRPr="004F4113" w:rsidRDefault="00EF652A">
            <w:pPr>
              <w:pStyle w:val="ListParagraph"/>
              <w:numPr>
                <w:ilvl w:val="0"/>
                <w:numId w:val="21"/>
              </w:numPr>
              <w:jc w:val="both"/>
              <w:rPr>
                <w:i/>
              </w:rPr>
            </w:pPr>
            <w:r>
              <w:rPr>
                <w:i/>
                <w:sz w:val="20"/>
              </w:rPr>
              <w:t>Réglez le statut de votre logiciel de messagerie instantanée sur « ne pas déranger » pour informer vos collègues lorsque vous avez besoin de vous concentrer.</w:t>
            </w:r>
          </w:p>
        </w:tc>
      </w:tr>
      <w:tr w:rsidR="008C3CFE" w14:paraId="559357FF" w14:textId="77777777" w:rsidTr="000E427D">
        <w:tc>
          <w:tcPr>
            <w:tcW w:w="11210" w:type="dxa"/>
            <w:gridSpan w:val="2"/>
          </w:tcPr>
          <w:p w14:paraId="373E92F5" w14:textId="77777777" w:rsidR="00176133" w:rsidRPr="00AA41C6" w:rsidRDefault="00176133" w:rsidP="00176133">
            <w:pPr>
              <w:jc w:val="both"/>
              <w:rPr>
                <w:b/>
              </w:rPr>
            </w:pPr>
          </w:p>
          <w:p w14:paraId="76988E2D" w14:textId="3764FAB5" w:rsidR="008C3CFE" w:rsidRPr="008C3CFE" w:rsidRDefault="008C3CFE" w:rsidP="00176133">
            <w:pPr>
              <w:jc w:val="both"/>
              <w:rPr>
                <w:b/>
              </w:rPr>
            </w:pPr>
            <w:r>
              <w:rPr>
                <w:b/>
              </w:rPr>
              <w:t>« Mon milieu de travail ne répondra pas aux exigences en matière d’accessibilité ou d’ergonomie</w:t>
            </w:r>
            <w:r w:rsidR="002A0DFE">
              <w:rPr>
                <w:b/>
              </w:rPr>
              <w:t>.</w:t>
            </w:r>
            <w:r>
              <w:rPr>
                <w:b/>
              </w:rPr>
              <w:t> »</w:t>
            </w:r>
          </w:p>
        </w:tc>
      </w:tr>
      <w:tr w:rsidR="008C3CFE" w14:paraId="5993EDC9" w14:textId="77777777" w:rsidTr="000E427D">
        <w:tc>
          <w:tcPr>
            <w:tcW w:w="5605" w:type="dxa"/>
          </w:tcPr>
          <w:p w14:paraId="10A3B106" w14:textId="0D233CC4" w:rsidR="008C3CFE" w:rsidRDefault="00176133" w:rsidP="00FC265B">
            <w:pPr>
              <w:jc w:val="both"/>
            </w:pPr>
            <w:r>
              <w:t xml:space="preserve">Dans </w:t>
            </w:r>
            <w:r w:rsidR="00172738">
              <w:t>un environnement</w:t>
            </w:r>
            <w:r w:rsidR="002A0DFE">
              <w:t xml:space="preserve"> </w:t>
            </w:r>
            <w:r>
              <w:t xml:space="preserve">Milieu de travail GC, tout le mobilier et l’équipement sont choisis pour s’adapter à un éventail de besoins ergonomiques y compris le réglage de la hauteur, de la largeur et de l’angle, ce qui réduit ainsi le besoin de réglage ergonomique général du passé. Les articles, comme les prises de courant, sont installés au niveau des comptoirs ou des bureaux pour un accès facile sans le besoin de « s’étirer » pour atteindre les appareils. </w:t>
            </w:r>
          </w:p>
        </w:tc>
        <w:tc>
          <w:tcPr>
            <w:tcW w:w="5605" w:type="dxa"/>
            <w:shd w:val="clear" w:color="auto" w:fill="EDF5E3" w:themeFill="accent1" w:themeFillTint="33"/>
          </w:tcPr>
          <w:p w14:paraId="72CAEF6B" w14:textId="77777777" w:rsidR="008C3CFE" w:rsidRPr="00386886" w:rsidRDefault="00176133" w:rsidP="00176133">
            <w:pPr>
              <w:jc w:val="both"/>
              <w:rPr>
                <w:i/>
                <w:sz w:val="20"/>
                <w:szCs w:val="20"/>
              </w:rPr>
            </w:pPr>
            <w:r>
              <w:rPr>
                <w:i/>
                <w:sz w:val="20"/>
                <w:szCs w:val="20"/>
              </w:rPr>
              <w:t>Conseils</w:t>
            </w:r>
          </w:p>
          <w:p w14:paraId="6E4FDD92" w14:textId="5DAA3F5B" w:rsidR="004F4113" w:rsidRPr="00386886" w:rsidRDefault="00176133" w:rsidP="004F4113">
            <w:pPr>
              <w:pStyle w:val="Default"/>
              <w:numPr>
                <w:ilvl w:val="0"/>
                <w:numId w:val="19"/>
              </w:numPr>
              <w:jc w:val="both"/>
              <w:rPr>
                <w:rFonts w:asciiTheme="minorHAnsi" w:hAnsiTheme="minorHAnsi" w:cstheme="minorHAnsi"/>
                <w:i/>
                <w:sz w:val="20"/>
                <w:szCs w:val="20"/>
              </w:rPr>
            </w:pPr>
            <w:r>
              <w:rPr>
                <w:rFonts w:asciiTheme="minorHAnsi" w:hAnsiTheme="minorHAnsi"/>
                <w:i/>
                <w:color w:val="auto"/>
                <w:sz w:val="20"/>
                <w:szCs w:val="20"/>
              </w:rPr>
              <w:t xml:space="preserve">L’attribution de </w:t>
            </w:r>
            <w:r w:rsidR="00172738">
              <w:rPr>
                <w:rFonts w:asciiTheme="minorHAnsi" w:hAnsiTheme="minorHAnsi"/>
                <w:i/>
                <w:color w:val="auto"/>
                <w:sz w:val="20"/>
                <w:szCs w:val="20"/>
              </w:rPr>
              <w:t>postes</w:t>
            </w:r>
            <w:r>
              <w:rPr>
                <w:rFonts w:asciiTheme="minorHAnsi" w:hAnsiTheme="minorHAnsi"/>
                <w:i/>
                <w:color w:val="auto"/>
                <w:sz w:val="20"/>
                <w:szCs w:val="20"/>
              </w:rPr>
              <w:t xml:space="preserve"> de travail aux employés pour les besoins ergonomiques doit être évitée dans la mesure du possible, puisque cela limite la fonctionnalité du milieu de travail pour ces personnes.</w:t>
            </w:r>
          </w:p>
          <w:p w14:paraId="08F41411" w14:textId="7F5DD5D6" w:rsidR="004F4113" w:rsidRPr="00386886" w:rsidRDefault="004F4113" w:rsidP="004F4113">
            <w:pPr>
              <w:pStyle w:val="Default"/>
              <w:numPr>
                <w:ilvl w:val="0"/>
                <w:numId w:val="19"/>
              </w:numPr>
              <w:jc w:val="both"/>
              <w:rPr>
                <w:rFonts w:asciiTheme="minorHAnsi" w:hAnsiTheme="minorHAnsi" w:cstheme="minorHAnsi"/>
                <w:i/>
                <w:sz w:val="20"/>
                <w:szCs w:val="20"/>
              </w:rPr>
            </w:pPr>
            <w:r>
              <w:rPr>
                <w:rFonts w:asciiTheme="minorHAnsi" w:hAnsiTheme="minorHAnsi"/>
                <w:i/>
                <w:sz w:val="20"/>
                <w:szCs w:val="20"/>
              </w:rPr>
              <w:t>Si vous avez des exigences particulières en matière d’accessibilité ou d’ergonomie que le milieu de travail standard ne peut pas satisfaire, les principes de l’obligation d’adaptation s’appliquent.</w:t>
            </w:r>
          </w:p>
          <w:p w14:paraId="16B2848E" w14:textId="77777777" w:rsidR="00176133" w:rsidRPr="00176133" w:rsidRDefault="00176133" w:rsidP="00176133">
            <w:pPr>
              <w:jc w:val="both"/>
            </w:pPr>
          </w:p>
        </w:tc>
      </w:tr>
      <w:tr w:rsidR="008C3CFE" w14:paraId="3AF41377" w14:textId="77777777" w:rsidTr="000E427D">
        <w:trPr>
          <w:trHeight w:val="287"/>
        </w:trPr>
        <w:tc>
          <w:tcPr>
            <w:tcW w:w="11210" w:type="dxa"/>
            <w:gridSpan w:val="2"/>
          </w:tcPr>
          <w:p w14:paraId="1B162CAF" w14:textId="77777777" w:rsidR="00176133" w:rsidRDefault="00176133" w:rsidP="00635F6C">
            <w:pPr>
              <w:rPr>
                <w:b/>
              </w:rPr>
            </w:pPr>
          </w:p>
          <w:p w14:paraId="3CBD084C" w14:textId="78E692F9" w:rsidR="008C3CFE" w:rsidRDefault="008C3CFE" w:rsidP="00635F6C">
            <w:r>
              <w:rPr>
                <w:b/>
              </w:rPr>
              <w:t>« Être dans un bureau ouvert aura une incidence négative sur ma santé mentale</w:t>
            </w:r>
            <w:r w:rsidR="002A0DFE">
              <w:rPr>
                <w:b/>
              </w:rPr>
              <w:t>.</w:t>
            </w:r>
            <w:r>
              <w:rPr>
                <w:b/>
              </w:rPr>
              <w:t xml:space="preserve"> » </w:t>
            </w:r>
          </w:p>
        </w:tc>
      </w:tr>
      <w:tr w:rsidR="008C3CFE" w14:paraId="042E5AED" w14:textId="77777777" w:rsidTr="000E427D">
        <w:tc>
          <w:tcPr>
            <w:tcW w:w="5605" w:type="dxa"/>
          </w:tcPr>
          <w:p w14:paraId="409B9D7D" w14:textId="19E20C64" w:rsidR="008C3CFE" w:rsidRDefault="00176133" w:rsidP="002A0DFE">
            <w:pPr>
              <w:pStyle w:val="Default"/>
              <w:jc w:val="both"/>
            </w:pPr>
            <w:r>
              <w:rPr>
                <w:rFonts w:asciiTheme="minorHAnsi" w:hAnsiTheme="minorHAnsi"/>
                <w:color w:val="auto"/>
                <w:sz w:val="22"/>
                <w:szCs w:val="22"/>
              </w:rPr>
              <w:t xml:space="preserve">La santé physique et la santé mentale sont des secteurs d’intérêt accru pour le gouvernement du Canada et ses employés. Dans le contexte plus général du milieu de travail, une culture de travail qui favorise la </w:t>
            </w:r>
            <w:r w:rsidRPr="00172738">
              <w:rPr>
                <w:rFonts w:asciiTheme="minorHAnsi" w:hAnsiTheme="minorHAnsi"/>
                <w:b/>
                <w:color w:val="auto"/>
                <w:sz w:val="22"/>
                <w:szCs w:val="22"/>
              </w:rPr>
              <w:t>mobilité</w:t>
            </w:r>
            <w:r>
              <w:rPr>
                <w:rFonts w:asciiTheme="minorHAnsi" w:hAnsiTheme="minorHAnsi"/>
                <w:color w:val="auto"/>
                <w:sz w:val="22"/>
                <w:szCs w:val="22"/>
              </w:rPr>
              <w:t xml:space="preserve">, et permet aux employés de travailler à partir du lieu qui convient à leur travail, que ce soit au bureau, à la maison ou ailleurs, peut </w:t>
            </w:r>
            <w:r w:rsidRPr="00172738">
              <w:rPr>
                <w:rFonts w:asciiTheme="minorHAnsi" w:hAnsiTheme="minorHAnsi"/>
                <w:b/>
                <w:color w:val="auto"/>
                <w:sz w:val="22"/>
                <w:szCs w:val="22"/>
              </w:rPr>
              <w:t>réduire le stress</w:t>
            </w:r>
            <w:r>
              <w:rPr>
                <w:rFonts w:asciiTheme="minorHAnsi" w:hAnsiTheme="minorHAnsi"/>
                <w:color w:val="auto"/>
                <w:sz w:val="22"/>
                <w:szCs w:val="22"/>
              </w:rPr>
              <w:t xml:space="preserve"> et permettre un meilleur équilibre entre les activités professionnelles et personnelles. La solution de la conception du milieu de travail axé sur les activités se concentre sur l’amélioration de l’accès à l’</w:t>
            </w:r>
            <w:r w:rsidRPr="00172738">
              <w:rPr>
                <w:rFonts w:asciiTheme="minorHAnsi" w:hAnsiTheme="minorHAnsi"/>
                <w:b/>
                <w:color w:val="auto"/>
                <w:sz w:val="22"/>
                <w:szCs w:val="22"/>
              </w:rPr>
              <w:t>intimité</w:t>
            </w:r>
            <w:r>
              <w:rPr>
                <w:rFonts w:asciiTheme="minorHAnsi" w:hAnsiTheme="minorHAnsi"/>
                <w:color w:val="auto"/>
                <w:sz w:val="22"/>
                <w:szCs w:val="22"/>
              </w:rPr>
              <w:t xml:space="preserve"> puisque c’est un élément important de la santé mentale et du mieux</w:t>
            </w:r>
            <w:r w:rsidR="002A0DFE">
              <w:rPr>
                <w:rFonts w:asciiTheme="minorHAnsi" w:hAnsiTheme="minorHAnsi"/>
                <w:color w:val="auto"/>
                <w:sz w:val="22"/>
                <w:szCs w:val="22"/>
              </w:rPr>
              <w:noBreakHyphen/>
            </w:r>
            <w:r>
              <w:rPr>
                <w:rFonts w:asciiTheme="minorHAnsi" w:hAnsiTheme="minorHAnsi"/>
                <w:color w:val="auto"/>
                <w:sz w:val="22"/>
                <w:szCs w:val="22"/>
              </w:rPr>
              <w:t>être.</w:t>
            </w:r>
          </w:p>
        </w:tc>
        <w:tc>
          <w:tcPr>
            <w:tcW w:w="5605" w:type="dxa"/>
            <w:shd w:val="clear" w:color="auto" w:fill="EDF5E3" w:themeFill="accent1" w:themeFillTint="33"/>
          </w:tcPr>
          <w:p w14:paraId="2CF59569" w14:textId="77777777" w:rsidR="008C3CFE" w:rsidRPr="00386886" w:rsidRDefault="00176133" w:rsidP="00635F6C">
            <w:pPr>
              <w:rPr>
                <w:i/>
                <w:sz w:val="20"/>
              </w:rPr>
            </w:pPr>
            <w:r>
              <w:rPr>
                <w:i/>
                <w:sz w:val="20"/>
              </w:rPr>
              <w:t>Conseils</w:t>
            </w:r>
          </w:p>
          <w:p w14:paraId="64719E2E" w14:textId="2D2F99DA" w:rsidR="004F4113" w:rsidRPr="00386886" w:rsidRDefault="00EF652A" w:rsidP="004F4113">
            <w:pPr>
              <w:pStyle w:val="ListParagraph"/>
              <w:numPr>
                <w:ilvl w:val="0"/>
                <w:numId w:val="20"/>
              </w:numPr>
              <w:rPr>
                <w:i/>
                <w:sz w:val="20"/>
              </w:rPr>
            </w:pPr>
            <w:r>
              <w:rPr>
                <w:i/>
                <w:sz w:val="20"/>
              </w:rPr>
              <w:t>Déplacez-vous tout au long de la journée en fonction de vos tâches et de vos préférences.</w:t>
            </w:r>
          </w:p>
          <w:p w14:paraId="75CE3E06" w14:textId="25C03571" w:rsidR="004F4113" w:rsidRPr="004F4113" w:rsidRDefault="00EF652A" w:rsidP="00172738">
            <w:pPr>
              <w:pStyle w:val="ListParagraph"/>
              <w:numPr>
                <w:ilvl w:val="0"/>
                <w:numId w:val="20"/>
              </w:numPr>
              <w:rPr>
                <w:i/>
              </w:rPr>
            </w:pPr>
            <w:r>
              <w:rPr>
                <w:i/>
                <w:sz w:val="20"/>
              </w:rPr>
              <w:t xml:space="preserve">Vous savez comment vous travaillez le mieux et dans quel type de cadre vous êtes le plus à l’aise. Des options de mobilité et de </w:t>
            </w:r>
            <w:r w:rsidR="00172738">
              <w:rPr>
                <w:i/>
                <w:sz w:val="20"/>
              </w:rPr>
              <w:t>souplesse</w:t>
            </w:r>
            <w:r>
              <w:rPr>
                <w:i/>
                <w:sz w:val="20"/>
              </w:rPr>
              <w:t xml:space="preserve"> s’offrent à vous dans votre nouveau milieu de travail; discutez avec votre </w:t>
            </w:r>
            <w:r w:rsidR="00172738">
              <w:rPr>
                <w:i/>
                <w:sz w:val="20"/>
              </w:rPr>
              <w:t>gestionnaire</w:t>
            </w:r>
            <w:r>
              <w:rPr>
                <w:i/>
                <w:sz w:val="20"/>
              </w:rPr>
              <w:t xml:space="preserve"> de ce qui vous convient le mieux!</w:t>
            </w:r>
          </w:p>
        </w:tc>
      </w:tr>
    </w:tbl>
    <w:p w14:paraId="4D595F09" w14:textId="07C038CA" w:rsidR="001B74B2" w:rsidRDefault="001B74B2" w:rsidP="00176133">
      <w:pPr>
        <w:pStyle w:val="Heading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au des pratiques exemplaires"/>
        <w:tblDescription w:val="La colonne de gauche explique les pratiques exemplaires et la colonne de droite donne des conseils en liens avec ces pratiques."/>
      </w:tblPr>
      <w:tblGrid>
        <w:gridCol w:w="5605"/>
        <w:gridCol w:w="5605"/>
      </w:tblGrid>
      <w:tr w:rsidR="00885C6D" w14:paraId="02492CE5" w14:textId="77777777" w:rsidTr="00885C6D">
        <w:trPr>
          <w:tblHeader/>
        </w:trPr>
        <w:tc>
          <w:tcPr>
            <w:tcW w:w="11210" w:type="dxa"/>
            <w:gridSpan w:val="2"/>
          </w:tcPr>
          <w:p w14:paraId="567C86B8" w14:textId="54C23FBF" w:rsidR="00885C6D" w:rsidRPr="00885C6D" w:rsidRDefault="00885C6D" w:rsidP="00885C6D">
            <w:pPr>
              <w:pStyle w:val="Heading2"/>
            </w:pPr>
            <w:r>
              <w:t>Pratiques exemplaires</w:t>
            </w:r>
          </w:p>
        </w:tc>
      </w:tr>
      <w:tr w:rsidR="00176133" w14:paraId="234ADF9A" w14:textId="77777777" w:rsidTr="00386886">
        <w:tc>
          <w:tcPr>
            <w:tcW w:w="11210" w:type="dxa"/>
            <w:gridSpan w:val="2"/>
          </w:tcPr>
          <w:p w14:paraId="789FBE0D" w14:textId="785985AE" w:rsidR="00176133" w:rsidRPr="000E427D" w:rsidRDefault="000E427D" w:rsidP="00EB003F">
            <w:pPr>
              <w:rPr>
                <w:b/>
              </w:rPr>
            </w:pPr>
            <w:r>
              <w:rPr>
                <w:b/>
              </w:rPr>
              <w:t>Changez de place et déplacez-vous tout au long de la journée</w:t>
            </w:r>
            <w:r w:rsidR="002A0DFE">
              <w:rPr>
                <w:b/>
              </w:rPr>
              <w:t>.</w:t>
            </w:r>
          </w:p>
        </w:tc>
      </w:tr>
      <w:tr w:rsidR="00176133" w14:paraId="6644F58E" w14:textId="77777777" w:rsidTr="00386886">
        <w:tc>
          <w:tcPr>
            <w:tcW w:w="5605" w:type="dxa"/>
          </w:tcPr>
          <w:p w14:paraId="0A70D98F" w14:textId="74CCD7BE" w:rsidR="00176133" w:rsidRPr="00545A44" w:rsidRDefault="00442620" w:rsidP="002A0DFE">
            <w:pPr>
              <w:jc w:val="both"/>
            </w:pPr>
            <w:r>
              <w:t xml:space="preserve">La conception de l’espace prend en </w:t>
            </w:r>
            <w:r w:rsidR="002A0DFE">
              <w:t xml:space="preserve">compte </w:t>
            </w:r>
            <w:r>
              <w:t xml:space="preserve">les différentes activités et les besoins des utilisateurs (physiques, émotionnels et cognitifs). Utilisez les différentes options de points de travail tout au long de votre journée </w:t>
            </w:r>
            <w:r w:rsidR="00E25E7C">
              <w:t>–</w:t>
            </w:r>
            <w:r>
              <w:t xml:space="preserve"> </w:t>
            </w:r>
            <w:r w:rsidR="00172738">
              <w:t>d</w:t>
            </w:r>
            <w:r>
              <w:t xml:space="preserve">ebout, assis, bougez! </w:t>
            </w:r>
          </w:p>
        </w:tc>
        <w:tc>
          <w:tcPr>
            <w:tcW w:w="5605" w:type="dxa"/>
            <w:shd w:val="clear" w:color="auto" w:fill="EDF5E3" w:themeFill="accent1" w:themeFillTint="33"/>
          </w:tcPr>
          <w:p w14:paraId="265708C9" w14:textId="77777777" w:rsidR="00176133" w:rsidRPr="00386886" w:rsidRDefault="00176133" w:rsidP="00EB003F">
            <w:pPr>
              <w:jc w:val="both"/>
              <w:rPr>
                <w:i/>
                <w:sz w:val="20"/>
              </w:rPr>
            </w:pPr>
            <w:r>
              <w:rPr>
                <w:i/>
                <w:sz w:val="20"/>
              </w:rPr>
              <w:t>Conseils</w:t>
            </w:r>
          </w:p>
          <w:p w14:paraId="73F8C595" w14:textId="48518A6E" w:rsidR="00176133" w:rsidRPr="0043637A" w:rsidRDefault="00442620" w:rsidP="00FC265B">
            <w:pPr>
              <w:pStyle w:val="ListParagraph"/>
              <w:numPr>
                <w:ilvl w:val="0"/>
                <w:numId w:val="6"/>
              </w:numPr>
              <w:jc w:val="both"/>
              <w:rPr>
                <w:i/>
              </w:rPr>
            </w:pPr>
            <w:r>
              <w:rPr>
                <w:i/>
                <w:sz w:val="20"/>
              </w:rPr>
              <w:t xml:space="preserve">Cela peut être aussi simple que de se lever pour jeter quelque chose à la poubelle! </w:t>
            </w:r>
          </w:p>
          <w:p w14:paraId="29C0D8AC" w14:textId="77777777" w:rsidR="00E51567" w:rsidRPr="00B15734" w:rsidRDefault="00AA40A2">
            <w:pPr>
              <w:pStyle w:val="ListParagraph"/>
              <w:numPr>
                <w:ilvl w:val="0"/>
                <w:numId w:val="6"/>
              </w:numPr>
              <w:jc w:val="both"/>
              <w:rPr>
                <w:i/>
              </w:rPr>
            </w:pPr>
            <w:r>
              <w:rPr>
                <w:i/>
                <w:sz w:val="20"/>
              </w:rPr>
              <w:t>Pourquoi ne pas prévoir une « réunion en marchant » avec un collègue?</w:t>
            </w:r>
          </w:p>
        </w:tc>
      </w:tr>
      <w:tr w:rsidR="00176133" w14:paraId="469F2F36" w14:textId="77777777" w:rsidTr="00386886">
        <w:tc>
          <w:tcPr>
            <w:tcW w:w="11210" w:type="dxa"/>
            <w:gridSpan w:val="2"/>
          </w:tcPr>
          <w:p w14:paraId="7E8D35D4" w14:textId="77777777" w:rsidR="00386886" w:rsidRPr="0043637A" w:rsidRDefault="00386886" w:rsidP="00442620">
            <w:pPr>
              <w:rPr>
                <w:b/>
              </w:rPr>
            </w:pPr>
          </w:p>
          <w:p w14:paraId="0A56FFC7" w14:textId="1D6A6910" w:rsidR="00176133" w:rsidRPr="008C3CFE" w:rsidRDefault="000E427D" w:rsidP="00442620">
            <w:pPr>
              <w:rPr>
                <w:b/>
              </w:rPr>
            </w:pPr>
            <w:r>
              <w:rPr>
                <w:b/>
              </w:rPr>
              <w:t>Suivre la formation ergonomique requise</w:t>
            </w:r>
            <w:r w:rsidR="002A0DFE">
              <w:rPr>
                <w:b/>
              </w:rPr>
              <w:t>.</w:t>
            </w:r>
            <w:r>
              <w:rPr>
                <w:b/>
              </w:rPr>
              <w:t xml:space="preserve"> </w:t>
            </w:r>
          </w:p>
        </w:tc>
      </w:tr>
      <w:tr w:rsidR="00176133" w14:paraId="7ED43443" w14:textId="77777777" w:rsidTr="00386886">
        <w:tc>
          <w:tcPr>
            <w:tcW w:w="5605" w:type="dxa"/>
          </w:tcPr>
          <w:p w14:paraId="63E3141D" w14:textId="5E9552A6" w:rsidR="00176133" w:rsidRPr="008C3CFE" w:rsidRDefault="00442620" w:rsidP="00B942FD">
            <w:r>
              <w:t>Discutez avec votre gestionnaire pour en savoir davantage au sujet de la formation obligatoire en ligne sur l’ergonomie.</w:t>
            </w:r>
            <w:r>
              <w:rPr>
                <w:color w:val="000000" w:themeColor="text1"/>
              </w:rPr>
              <w:t xml:space="preserve"> Une des meilleures façons d’éviter les blessures est de comprendre ce qu’est l’ergonomie au travail.</w:t>
            </w:r>
          </w:p>
        </w:tc>
        <w:tc>
          <w:tcPr>
            <w:tcW w:w="5605" w:type="dxa"/>
            <w:shd w:val="clear" w:color="auto" w:fill="EDF5E3" w:themeFill="accent1" w:themeFillTint="33"/>
          </w:tcPr>
          <w:p w14:paraId="19879326" w14:textId="77777777" w:rsidR="00176133" w:rsidRPr="00386886" w:rsidRDefault="00176133" w:rsidP="00EB003F">
            <w:pPr>
              <w:rPr>
                <w:i/>
                <w:sz w:val="20"/>
              </w:rPr>
            </w:pPr>
            <w:r>
              <w:rPr>
                <w:i/>
                <w:sz w:val="20"/>
              </w:rPr>
              <w:t>Conseils</w:t>
            </w:r>
          </w:p>
          <w:p w14:paraId="0124E0E4" w14:textId="0F1A32FE" w:rsidR="00386886" w:rsidRPr="00386886" w:rsidRDefault="00386886" w:rsidP="00D06BE4">
            <w:pPr>
              <w:pStyle w:val="ListParagraph"/>
              <w:numPr>
                <w:ilvl w:val="0"/>
                <w:numId w:val="6"/>
              </w:numPr>
              <w:rPr>
                <w:i/>
              </w:rPr>
            </w:pPr>
            <w:r>
              <w:rPr>
                <w:i/>
                <w:sz w:val="20"/>
              </w:rPr>
              <w:t xml:space="preserve">Après cette formation, vous serez en mesure d’aménager </w:t>
            </w:r>
            <w:r w:rsidR="00D06BE4">
              <w:rPr>
                <w:i/>
                <w:sz w:val="20"/>
              </w:rPr>
              <w:t xml:space="preserve">n’importe quel </w:t>
            </w:r>
            <w:r>
              <w:rPr>
                <w:i/>
                <w:sz w:val="20"/>
              </w:rPr>
              <w:t>point de travail en fonction de vos besoins personnels.</w:t>
            </w:r>
          </w:p>
        </w:tc>
      </w:tr>
    </w:tbl>
    <w:p w14:paraId="2DE5D957" w14:textId="77777777" w:rsidR="00DD295E" w:rsidRPr="001B74B2" w:rsidRDefault="00DD295E" w:rsidP="001B74B2"/>
    <w:sectPr w:rsidR="00DD295E" w:rsidRPr="001B74B2" w:rsidSect="00DD295E">
      <w:headerReference w:type="default" r:id="rId8"/>
      <w:footerReference w:type="default" r:id="rId9"/>
      <w:pgSz w:w="12240" w:h="15840"/>
      <w:pgMar w:top="510" w:right="510" w:bottom="510" w:left="51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6393A9" w14:textId="77777777" w:rsidR="00D33EC7" w:rsidRDefault="00D33EC7" w:rsidP="00DD295E">
      <w:pPr>
        <w:spacing w:after="0" w:line="240" w:lineRule="auto"/>
      </w:pPr>
      <w:r>
        <w:separator/>
      </w:r>
    </w:p>
  </w:endnote>
  <w:endnote w:type="continuationSeparator" w:id="0">
    <w:p w14:paraId="5F6B0486" w14:textId="77777777" w:rsidR="00D33EC7" w:rsidRDefault="00D33EC7" w:rsidP="00DD2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10659"/>
      <w:gridCol w:w="561"/>
    </w:tblGrid>
    <w:tr w:rsidR="006C409B" w14:paraId="1C6628C4" w14:textId="77777777" w:rsidTr="00686387">
      <w:trPr>
        <w:jc w:val="right"/>
      </w:trPr>
      <w:tc>
        <w:tcPr>
          <w:tcW w:w="4795" w:type="dxa"/>
          <w:tcBorders>
            <w:right w:val="single" w:sz="6" w:space="0" w:color="7F7F7F" w:themeColor="text2"/>
          </w:tcBorders>
          <w:vAlign w:val="center"/>
        </w:tcPr>
        <w:p w14:paraId="3FBF36D4" w14:textId="77777777" w:rsidR="006C409B" w:rsidRPr="00D86297" w:rsidRDefault="006C409B" w:rsidP="006C409B">
          <w:pPr>
            <w:pStyle w:val="Header"/>
            <w:rPr>
              <w:caps/>
              <w:color w:val="7F7F7F" w:themeColor="text2"/>
            </w:rPr>
          </w:pPr>
          <w:r>
            <w:rPr>
              <w:caps/>
              <w:color w:val="7F7F7F" w:themeColor="text2"/>
            </w:rPr>
            <w:t>Centre d’expertise national de la gestion du changement en milieu de travail, janvier 2020</w:t>
          </w:r>
        </w:p>
      </w:tc>
      <w:tc>
        <w:tcPr>
          <w:tcW w:w="250" w:type="pct"/>
          <w:tcBorders>
            <w:left w:val="single" w:sz="6" w:space="0" w:color="7F7F7F" w:themeColor="text2"/>
          </w:tcBorders>
          <w:shd w:val="clear" w:color="auto" w:fill="auto"/>
          <w:vAlign w:val="center"/>
        </w:tcPr>
        <w:p w14:paraId="25A7409A" w14:textId="20949969" w:rsidR="006C409B" w:rsidRPr="00D86297" w:rsidRDefault="006C409B" w:rsidP="006C409B">
          <w:pPr>
            <w:pStyle w:val="Footer"/>
            <w:tabs>
              <w:tab w:val="clear" w:pos="4680"/>
              <w:tab w:val="clear" w:pos="9360"/>
            </w:tabs>
            <w:jc w:val="center"/>
            <w:rPr>
              <w:color w:val="7F7F7F" w:themeColor="text2"/>
            </w:rPr>
          </w:pPr>
          <w:r w:rsidRPr="00D86297">
            <w:rPr>
              <w:color w:val="7F7F7F" w:themeColor="text2"/>
            </w:rPr>
            <w:fldChar w:fldCharType="begin"/>
          </w:r>
          <w:r w:rsidRPr="00D86297">
            <w:rPr>
              <w:color w:val="7F7F7F" w:themeColor="text2"/>
            </w:rPr>
            <w:instrText xml:space="preserve"> PAGE   \* MERGEFORMAT </w:instrText>
          </w:r>
          <w:r w:rsidRPr="00D86297">
            <w:rPr>
              <w:color w:val="7F7F7F" w:themeColor="text2"/>
            </w:rPr>
            <w:fldChar w:fldCharType="separate"/>
          </w:r>
          <w:r w:rsidR="00885C6D">
            <w:rPr>
              <w:noProof/>
              <w:color w:val="7F7F7F" w:themeColor="text2"/>
            </w:rPr>
            <w:t>1</w:t>
          </w:r>
          <w:r w:rsidRPr="00D86297">
            <w:rPr>
              <w:color w:val="7F7F7F" w:themeColor="text2"/>
            </w:rPr>
            <w:fldChar w:fldCharType="end"/>
          </w:r>
        </w:p>
      </w:tc>
    </w:tr>
  </w:tbl>
  <w:p w14:paraId="1636B25C" w14:textId="77777777" w:rsidR="006C409B" w:rsidRDefault="006C40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595FD" w14:textId="77777777" w:rsidR="00D33EC7" w:rsidRDefault="00D33EC7" w:rsidP="00DD295E">
      <w:pPr>
        <w:spacing w:after="0" w:line="240" w:lineRule="auto"/>
      </w:pPr>
      <w:r>
        <w:separator/>
      </w:r>
    </w:p>
  </w:footnote>
  <w:footnote w:type="continuationSeparator" w:id="0">
    <w:p w14:paraId="5AB5BE3F" w14:textId="77777777" w:rsidR="00D33EC7" w:rsidRDefault="00D33EC7" w:rsidP="00DD29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B27EE" w14:textId="7456E017" w:rsidR="00DD295E" w:rsidRDefault="002B1726" w:rsidP="002B1726">
    <w:pPr>
      <w:pStyle w:val="Header"/>
      <w:jc w:val="center"/>
    </w:pPr>
    <w:r>
      <w:rPr>
        <w:noProof/>
        <w:lang w:val="en-CA" w:eastAsia="en-CA"/>
      </w:rPr>
      <w:drawing>
        <wp:inline distT="0" distB="0" distL="0" distR="0" wp14:anchorId="43DFBD94" wp14:editId="1B092AF3">
          <wp:extent cx="7064458" cy="768835"/>
          <wp:effectExtent l="0" t="0" r="3175" b="0"/>
          <wp:docPr id="2" name="Picture 2" descr="Bannière bleue pâle Milieu de travail GC" title="Bannière MIlieu de travail 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abakovi\AppData\Local\Microsoft\Windows\INetCache\Content.Word\Change Management Banner - Frenc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1078" cy="778262"/>
                  </a:xfrm>
                  <a:prstGeom prst="rect">
                    <a:avLst/>
                  </a:prstGeom>
                  <a:noFill/>
                  <a:ln>
                    <a:noFill/>
                  </a:ln>
                </pic:spPr>
              </pic:pic>
            </a:graphicData>
          </a:graphic>
        </wp:inline>
      </w:drawing>
    </w:r>
  </w:p>
  <w:p w14:paraId="5B178C02" w14:textId="77777777" w:rsidR="006C409B" w:rsidRDefault="006C40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234D"/>
    <w:multiLevelType w:val="hybridMultilevel"/>
    <w:tmpl w:val="0CC8C8EA"/>
    <w:lvl w:ilvl="0" w:tplc="1009000D">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F7159D"/>
    <w:multiLevelType w:val="hybridMultilevel"/>
    <w:tmpl w:val="CF92C3FA"/>
    <w:lvl w:ilvl="0" w:tplc="6C3CB2FE">
      <w:start w:val="1"/>
      <w:numFmt w:val="bullet"/>
      <w:lvlText w:val="R"/>
      <w:lvlJc w:val="left"/>
      <w:pPr>
        <w:ind w:left="360" w:hanging="360"/>
      </w:pPr>
      <w:rPr>
        <w:rFonts w:ascii="Calibri" w:hAnsi="Calibri" w:hint="default"/>
        <w:color w:val="000000" w:themeColor="text1"/>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C1949FF"/>
    <w:multiLevelType w:val="hybridMultilevel"/>
    <w:tmpl w:val="7156941C"/>
    <w:lvl w:ilvl="0" w:tplc="5762C19E">
      <w:start w:val="1"/>
      <w:numFmt w:val="bullet"/>
      <w:lvlText w:val=""/>
      <w:lvlJc w:val="left"/>
      <w:pPr>
        <w:ind w:left="720" w:hanging="360"/>
      </w:pPr>
      <w:rPr>
        <w:rFonts w:ascii="Wingdings" w:hAnsi="Wingdings" w:hint="default"/>
        <w:color w:val="auto"/>
      </w:rPr>
    </w:lvl>
    <w:lvl w:ilvl="1" w:tplc="10090009">
      <w:start w:val="1"/>
      <w:numFmt w:val="bullet"/>
      <w:lvlText w:val=""/>
      <w:lvlJc w:val="left"/>
      <w:pPr>
        <w:ind w:left="1440" w:hanging="360"/>
      </w:pPr>
      <w:rPr>
        <w:rFonts w:ascii="Wingdings" w:hAnsi="Wingdings"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E092855"/>
    <w:multiLevelType w:val="hybridMultilevel"/>
    <w:tmpl w:val="22047306"/>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82A31A3"/>
    <w:multiLevelType w:val="hybridMultilevel"/>
    <w:tmpl w:val="9D845B24"/>
    <w:lvl w:ilvl="0" w:tplc="6C3CB2FE">
      <w:start w:val="1"/>
      <w:numFmt w:val="bullet"/>
      <w:lvlText w:val="R"/>
      <w:lvlJc w:val="left"/>
      <w:pPr>
        <w:ind w:left="360" w:hanging="360"/>
      </w:pPr>
      <w:rPr>
        <w:rFonts w:ascii="Calibri" w:hAnsi="Calibri" w:hint="default"/>
        <w:color w:val="000000" w:themeColor="text1"/>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A421D9A"/>
    <w:multiLevelType w:val="hybridMultilevel"/>
    <w:tmpl w:val="C8EE066C"/>
    <w:lvl w:ilvl="0" w:tplc="1009000D">
      <w:start w:val="1"/>
      <w:numFmt w:val="bullet"/>
      <w:lvlText w:val=""/>
      <w:lvlJc w:val="left"/>
      <w:pPr>
        <w:ind w:left="502" w:hanging="360"/>
      </w:pPr>
      <w:rPr>
        <w:rFonts w:ascii="Wingdings" w:hAnsi="Wingdings" w:hint="default"/>
      </w:rPr>
    </w:lvl>
    <w:lvl w:ilvl="1" w:tplc="10090003">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6" w15:restartNumberingAfterBreak="0">
    <w:nsid w:val="270408D2"/>
    <w:multiLevelType w:val="hybridMultilevel"/>
    <w:tmpl w:val="007CF48E"/>
    <w:lvl w:ilvl="0" w:tplc="E7261ABA">
      <w:start w:val="1"/>
      <w:numFmt w:val="bullet"/>
      <w:lvlText w:val="A"/>
      <w:lvlJc w:val="left"/>
      <w:pPr>
        <w:ind w:left="360" w:hanging="360"/>
      </w:pPr>
      <w:rPr>
        <w:rFonts w:ascii="Calibri" w:hAnsi="Calibri" w:hint="default"/>
        <w:color w:val="000000" w:themeColor="text1"/>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D986D7D"/>
    <w:multiLevelType w:val="hybridMultilevel"/>
    <w:tmpl w:val="95A0BA1A"/>
    <w:lvl w:ilvl="0" w:tplc="83C22E6E">
      <w:numFmt w:val="bullet"/>
      <w:lvlText w:val="-"/>
      <w:lvlJc w:val="left"/>
      <w:pPr>
        <w:ind w:left="720" w:hanging="360"/>
      </w:pPr>
      <w:rPr>
        <w:rFonts w:ascii="Tw Cen MT" w:eastAsiaTheme="minorHAnsi" w:hAnsi="Tw Cen MT" w:cs="Tw Cen M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BCB1EAA"/>
    <w:multiLevelType w:val="hybridMultilevel"/>
    <w:tmpl w:val="8A7EAA8A"/>
    <w:lvl w:ilvl="0" w:tplc="6C3CB2FE">
      <w:start w:val="1"/>
      <w:numFmt w:val="bullet"/>
      <w:lvlText w:val="R"/>
      <w:lvlJc w:val="left"/>
      <w:pPr>
        <w:ind w:left="360" w:hanging="360"/>
      </w:pPr>
      <w:rPr>
        <w:rFonts w:ascii="Calibri" w:hAnsi="Calibri" w:hint="default"/>
        <w:color w:val="000000" w:themeColor="text1"/>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3C5258E5"/>
    <w:multiLevelType w:val="hybridMultilevel"/>
    <w:tmpl w:val="047451E2"/>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3C6B23F4"/>
    <w:multiLevelType w:val="hybridMultilevel"/>
    <w:tmpl w:val="D58AAE6C"/>
    <w:lvl w:ilvl="0" w:tplc="6C3CB2FE">
      <w:start w:val="1"/>
      <w:numFmt w:val="bullet"/>
      <w:lvlText w:val="R"/>
      <w:lvlJc w:val="left"/>
      <w:pPr>
        <w:ind w:left="360" w:hanging="360"/>
      </w:pPr>
      <w:rPr>
        <w:rFonts w:ascii="Calibri" w:hAnsi="Calibri" w:hint="default"/>
        <w:color w:val="000000" w:themeColor="text1"/>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E807AD5"/>
    <w:multiLevelType w:val="hybridMultilevel"/>
    <w:tmpl w:val="FA8C7A06"/>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42C840FD"/>
    <w:multiLevelType w:val="hybridMultilevel"/>
    <w:tmpl w:val="5C3260B8"/>
    <w:lvl w:ilvl="0" w:tplc="6C3CB2FE">
      <w:start w:val="1"/>
      <w:numFmt w:val="bullet"/>
      <w:lvlText w:val="R"/>
      <w:lvlJc w:val="left"/>
      <w:pPr>
        <w:ind w:left="360" w:hanging="360"/>
      </w:pPr>
      <w:rPr>
        <w:rFonts w:ascii="Calibri" w:hAnsi="Calibri" w:hint="default"/>
        <w:color w:val="000000" w:themeColor="text1"/>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49341E73"/>
    <w:multiLevelType w:val="hybridMultilevel"/>
    <w:tmpl w:val="939424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A4461CB"/>
    <w:multiLevelType w:val="hybridMultilevel"/>
    <w:tmpl w:val="3AA8873E"/>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59276511"/>
    <w:multiLevelType w:val="hybridMultilevel"/>
    <w:tmpl w:val="98381B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1E42808"/>
    <w:multiLevelType w:val="hybridMultilevel"/>
    <w:tmpl w:val="10500FA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2A94B88"/>
    <w:multiLevelType w:val="hybridMultilevel"/>
    <w:tmpl w:val="F83CCB02"/>
    <w:lvl w:ilvl="0" w:tplc="6C3CB2FE">
      <w:start w:val="1"/>
      <w:numFmt w:val="bullet"/>
      <w:lvlText w:val="R"/>
      <w:lvlJc w:val="left"/>
      <w:pPr>
        <w:ind w:left="360" w:hanging="360"/>
      </w:pPr>
      <w:rPr>
        <w:rFonts w:ascii="Calibri" w:hAnsi="Calibri" w:hint="default"/>
        <w:color w:val="000000" w:themeColor="text1"/>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66D549A9"/>
    <w:multiLevelType w:val="hybridMultilevel"/>
    <w:tmpl w:val="35186378"/>
    <w:lvl w:ilvl="0" w:tplc="E7261ABA">
      <w:start w:val="1"/>
      <w:numFmt w:val="bullet"/>
      <w:lvlText w:val="A"/>
      <w:lvlJc w:val="left"/>
      <w:pPr>
        <w:ind w:left="360" w:hanging="360"/>
      </w:pPr>
      <w:rPr>
        <w:rFonts w:ascii="Calibri" w:hAnsi="Calibri" w:hint="default"/>
        <w:color w:val="000000" w:themeColor="text1"/>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69B92C47"/>
    <w:multiLevelType w:val="hybridMultilevel"/>
    <w:tmpl w:val="CC6CBF9C"/>
    <w:lvl w:ilvl="0" w:tplc="488472C4">
      <w:start w:val="1"/>
      <w:numFmt w:val="bullet"/>
      <w:lvlText w:val="Q"/>
      <w:lvlJc w:val="left"/>
      <w:pPr>
        <w:ind w:left="360" w:hanging="360"/>
      </w:pPr>
      <w:rPr>
        <w:rFonts w:ascii="Calibri" w:hAnsi="Calibri" w:hint="default"/>
        <w:color w:val="000000" w:themeColor="text1"/>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6E481728"/>
    <w:multiLevelType w:val="hybridMultilevel"/>
    <w:tmpl w:val="565EE662"/>
    <w:lvl w:ilvl="0" w:tplc="6C3CB2FE">
      <w:start w:val="1"/>
      <w:numFmt w:val="bullet"/>
      <w:lvlText w:val="R"/>
      <w:lvlJc w:val="left"/>
      <w:pPr>
        <w:ind w:left="360" w:hanging="360"/>
      </w:pPr>
      <w:rPr>
        <w:rFonts w:ascii="Calibri" w:hAnsi="Calibri" w:hint="default"/>
        <w:color w:val="000000" w:themeColor="text1"/>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7D2128A5"/>
    <w:multiLevelType w:val="hybridMultilevel"/>
    <w:tmpl w:val="7E68D1DA"/>
    <w:lvl w:ilvl="0" w:tplc="6C3CB2FE">
      <w:start w:val="1"/>
      <w:numFmt w:val="bullet"/>
      <w:lvlText w:val="R"/>
      <w:lvlJc w:val="left"/>
      <w:pPr>
        <w:ind w:left="360" w:hanging="360"/>
      </w:pPr>
      <w:rPr>
        <w:rFonts w:ascii="Calibri" w:hAnsi="Calibri" w:hint="default"/>
        <w:color w:val="000000" w:themeColor="text1"/>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5"/>
  </w:num>
  <w:num w:numId="2">
    <w:abstractNumId w:val="13"/>
  </w:num>
  <w:num w:numId="3">
    <w:abstractNumId w:val="14"/>
  </w:num>
  <w:num w:numId="4">
    <w:abstractNumId w:val="2"/>
  </w:num>
  <w:num w:numId="5">
    <w:abstractNumId w:val="0"/>
  </w:num>
  <w:num w:numId="6">
    <w:abstractNumId w:val="5"/>
  </w:num>
  <w:num w:numId="7">
    <w:abstractNumId w:val="19"/>
  </w:num>
  <w:num w:numId="8">
    <w:abstractNumId w:val="17"/>
  </w:num>
  <w:num w:numId="9">
    <w:abstractNumId w:val="4"/>
  </w:num>
  <w:num w:numId="10">
    <w:abstractNumId w:val="10"/>
  </w:num>
  <w:num w:numId="11">
    <w:abstractNumId w:val="1"/>
  </w:num>
  <w:num w:numId="12">
    <w:abstractNumId w:val="8"/>
  </w:num>
  <w:num w:numId="13">
    <w:abstractNumId w:val="21"/>
  </w:num>
  <w:num w:numId="14">
    <w:abstractNumId w:val="6"/>
  </w:num>
  <w:num w:numId="15">
    <w:abstractNumId w:val="18"/>
  </w:num>
  <w:num w:numId="16">
    <w:abstractNumId w:val="20"/>
  </w:num>
  <w:num w:numId="17">
    <w:abstractNumId w:val="12"/>
  </w:num>
  <w:num w:numId="18">
    <w:abstractNumId w:val="7"/>
  </w:num>
  <w:num w:numId="19">
    <w:abstractNumId w:val="3"/>
  </w:num>
  <w:num w:numId="20">
    <w:abstractNumId w:val="11"/>
  </w:num>
  <w:num w:numId="21">
    <w:abstractNumId w:val="9"/>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5E"/>
    <w:rsid w:val="00052F7B"/>
    <w:rsid w:val="000834FA"/>
    <w:rsid w:val="000D7BE3"/>
    <w:rsid w:val="000E427D"/>
    <w:rsid w:val="0014135E"/>
    <w:rsid w:val="00163688"/>
    <w:rsid w:val="00172738"/>
    <w:rsid w:val="00176133"/>
    <w:rsid w:val="001956D1"/>
    <w:rsid w:val="001B2E9D"/>
    <w:rsid w:val="001B74B2"/>
    <w:rsid w:val="00235D9C"/>
    <w:rsid w:val="002A0DFE"/>
    <w:rsid w:val="002B1726"/>
    <w:rsid w:val="00326308"/>
    <w:rsid w:val="003336F8"/>
    <w:rsid w:val="00386886"/>
    <w:rsid w:val="003F2DEB"/>
    <w:rsid w:val="0043637A"/>
    <w:rsid w:val="00442620"/>
    <w:rsid w:val="00453557"/>
    <w:rsid w:val="004F4113"/>
    <w:rsid w:val="005C2C85"/>
    <w:rsid w:val="00623280"/>
    <w:rsid w:val="00635F6C"/>
    <w:rsid w:val="006C409B"/>
    <w:rsid w:val="00726F13"/>
    <w:rsid w:val="00737822"/>
    <w:rsid w:val="00781CE3"/>
    <w:rsid w:val="007907C5"/>
    <w:rsid w:val="00816A0C"/>
    <w:rsid w:val="00885C6D"/>
    <w:rsid w:val="008B67A2"/>
    <w:rsid w:val="008B6D1E"/>
    <w:rsid w:val="008C3CFE"/>
    <w:rsid w:val="009A09F8"/>
    <w:rsid w:val="00A0119C"/>
    <w:rsid w:val="00A01207"/>
    <w:rsid w:val="00AA40A2"/>
    <w:rsid w:val="00AA41C6"/>
    <w:rsid w:val="00AB40B8"/>
    <w:rsid w:val="00B030F0"/>
    <w:rsid w:val="00B31C33"/>
    <w:rsid w:val="00B942FD"/>
    <w:rsid w:val="00BD296E"/>
    <w:rsid w:val="00C1289F"/>
    <w:rsid w:val="00C1563A"/>
    <w:rsid w:val="00C462C0"/>
    <w:rsid w:val="00D068A8"/>
    <w:rsid w:val="00D06BE4"/>
    <w:rsid w:val="00D33EC7"/>
    <w:rsid w:val="00DD295E"/>
    <w:rsid w:val="00DF4ABB"/>
    <w:rsid w:val="00E222F5"/>
    <w:rsid w:val="00E25E7C"/>
    <w:rsid w:val="00E37118"/>
    <w:rsid w:val="00E51567"/>
    <w:rsid w:val="00EF652A"/>
    <w:rsid w:val="00F20527"/>
    <w:rsid w:val="00F615DF"/>
    <w:rsid w:val="00F81811"/>
    <w:rsid w:val="00FC265B"/>
    <w:rsid w:val="00FC4389"/>
    <w:rsid w:val="00FF75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7924A"/>
  <w15:chartTrackingRefBased/>
  <w15:docId w15:val="{DE15ADAA-51D3-46F7-B0DB-F9F355FD2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4B2"/>
  </w:style>
  <w:style w:type="paragraph" w:styleId="Heading1">
    <w:name w:val="heading 1"/>
    <w:basedOn w:val="Normal"/>
    <w:next w:val="Normal"/>
    <w:link w:val="Heading1Char"/>
    <w:uiPriority w:val="9"/>
    <w:qFormat/>
    <w:rsid w:val="00DD295E"/>
    <w:pPr>
      <w:keepNext/>
      <w:keepLines/>
      <w:spacing w:before="240" w:after="0"/>
      <w:outlineLvl w:val="0"/>
    </w:pPr>
    <w:rPr>
      <w:rFonts w:asciiTheme="majorHAnsi" w:eastAsiaTheme="majorEastAsia" w:hAnsiTheme="majorHAnsi" w:cstheme="majorBidi"/>
      <w:color w:val="81B23F" w:themeColor="accent1" w:themeShade="BF"/>
      <w:sz w:val="32"/>
      <w:szCs w:val="32"/>
    </w:rPr>
  </w:style>
  <w:style w:type="paragraph" w:styleId="Heading2">
    <w:name w:val="heading 2"/>
    <w:basedOn w:val="Normal"/>
    <w:next w:val="Normal"/>
    <w:link w:val="Heading2Char"/>
    <w:uiPriority w:val="9"/>
    <w:unhideWhenUsed/>
    <w:qFormat/>
    <w:rsid w:val="00DD295E"/>
    <w:pPr>
      <w:keepNext/>
      <w:keepLines/>
      <w:spacing w:before="40" w:after="0"/>
      <w:outlineLvl w:val="1"/>
    </w:pPr>
    <w:rPr>
      <w:rFonts w:asciiTheme="majorHAnsi" w:eastAsiaTheme="majorEastAsia" w:hAnsiTheme="majorHAnsi" w:cstheme="majorBidi"/>
      <w:color w:val="81B23F" w:themeColor="accent1" w:themeShade="BF"/>
      <w:sz w:val="26"/>
      <w:szCs w:val="26"/>
    </w:rPr>
  </w:style>
  <w:style w:type="paragraph" w:styleId="Heading3">
    <w:name w:val="heading 3"/>
    <w:basedOn w:val="Normal"/>
    <w:next w:val="Normal"/>
    <w:link w:val="Heading3Char"/>
    <w:uiPriority w:val="9"/>
    <w:unhideWhenUsed/>
    <w:qFormat/>
    <w:rsid w:val="00DD295E"/>
    <w:pPr>
      <w:keepNext/>
      <w:keepLines/>
      <w:spacing w:before="40" w:after="0"/>
      <w:outlineLvl w:val="2"/>
    </w:pPr>
    <w:rPr>
      <w:rFonts w:asciiTheme="majorHAnsi" w:eastAsiaTheme="majorEastAsia" w:hAnsiTheme="majorHAnsi" w:cstheme="majorBidi"/>
      <w:color w:val="55762A"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29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95E"/>
  </w:style>
  <w:style w:type="paragraph" w:styleId="Footer">
    <w:name w:val="footer"/>
    <w:basedOn w:val="Normal"/>
    <w:link w:val="FooterChar"/>
    <w:uiPriority w:val="99"/>
    <w:unhideWhenUsed/>
    <w:rsid w:val="00DD29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95E"/>
  </w:style>
  <w:style w:type="paragraph" w:styleId="Subtitle">
    <w:name w:val="Subtitle"/>
    <w:basedOn w:val="Normal"/>
    <w:next w:val="Normal"/>
    <w:link w:val="SubtitleChar"/>
    <w:uiPriority w:val="11"/>
    <w:qFormat/>
    <w:rsid w:val="00DD295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D295E"/>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D295E"/>
    <w:rPr>
      <w:rFonts w:asciiTheme="majorHAnsi" w:eastAsiaTheme="majorEastAsia" w:hAnsiTheme="majorHAnsi" w:cstheme="majorBidi"/>
      <w:color w:val="81B23F" w:themeColor="accent1" w:themeShade="BF"/>
      <w:sz w:val="32"/>
      <w:szCs w:val="32"/>
    </w:rPr>
  </w:style>
  <w:style w:type="paragraph" w:styleId="Title">
    <w:name w:val="Title"/>
    <w:basedOn w:val="Normal"/>
    <w:next w:val="Normal"/>
    <w:link w:val="TitleChar"/>
    <w:uiPriority w:val="10"/>
    <w:qFormat/>
    <w:rsid w:val="00DD29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295E"/>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DD295E"/>
    <w:rPr>
      <w:rFonts w:asciiTheme="majorHAnsi" w:eastAsiaTheme="majorEastAsia" w:hAnsiTheme="majorHAnsi" w:cstheme="majorBidi"/>
      <w:color w:val="81B23F" w:themeColor="accent1" w:themeShade="BF"/>
      <w:sz w:val="26"/>
      <w:szCs w:val="26"/>
    </w:rPr>
  </w:style>
  <w:style w:type="paragraph" w:styleId="ListParagraph">
    <w:name w:val="List Paragraph"/>
    <w:basedOn w:val="Normal"/>
    <w:uiPriority w:val="34"/>
    <w:qFormat/>
    <w:rsid w:val="00DD295E"/>
    <w:pPr>
      <w:ind w:left="720"/>
      <w:contextualSpacing/>
    </w:pPr>
  </w:style>
  <w:style w:type="character" w:customStyle="1" w:styleId="Heading3Char">
    <w:name w:val="Heading 3 Char"/>
    <w:basedOn w:val="DefaultParagraphFont"/>
    <w:link w:val="Heading3"/>
    <w:uiPriority w:val="9"/>
    <w:rsid w:val="00DD295E"/>
    <w:rPr>
      <w:rFonts w:asciiTheme="majorHAnsi" w:eastAsiaTheme="majorEastAsia" w:hAnsiTheme="majorHAnsi" w:cstheme="majorBidi"/>
      <w:color w:val="55762A" w:themeColor="accent1" w:themeShade="7F"/>
      <w:sz w:val="24"/>
      <w:szCs w:val="24"/>
    </w:rPr>
  </w:style>
  <w:style w:type="character" w:styleId="Strong">
    <w:name w:val="Strong"/>
    <w:basedOn w:val="DefaultParagraphFont"/>
    <w:uiPriority w:val="22"/>
    <w:qFormat/>
    <w:rsid w:val="00DD295E"/>
    <w:rPr>
      <w:rFonts w:asciiTheme="minorHAnsi" w:hAnsiTheme="minorHAnsi"/>
      <w:b/>
      <w:bCs/>
      <w:color w:val="auto"/>
      <w:sz w:val="22"/>
    </w:rPr>
  </w:style>
  <w:style w:type="paragraph" w:styleId="NoSpacing">
    <w:name w:val="No Spacing"/>
    <w:uiPriority w:val="1"/>
    <w:qFormat/>
    <w:rsid w:val="00DD295E"/>
    <w:pPr>
      <w:spacing w:after="0" w:line="240" w:lineRule="auto"/>
    </w:pPr>
  </w:style>
  <w:style w:type="table" w:styleId="TableGrid">
    <w:name w:val="Table Grid"/>
    <w:basedOn w:val="TableNormal"/>
    <w:uiPriority w:val="39"/>
    <w:rsid w:val="00635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6133"/>
    <w:pPr>
      <w:autoSpaceDE w:val="0"/>
      <w:autoSpaceDN w:val="0"/>
      <w:adjustRightInd w:val="0"/>
      <w:spacing w:after="0" w:line="240" w:lineRule="auto"/>
    </w:pPr>
    <w:rPr>
      <w:rFonts w:ascii="Tw Cen MT" w:hAnsi="Tw Cen MT" w:cs="Tw Cen MT"/>
      <w:color w:val="000000"/>
      <w:sz w:val="24"/>
      <w:szCs w:val="24"/>
    </w:rPr>
  </w:style>
  <w:style w:type="paragraph" w:styleId="BalloonText">
    <w:name w:val="Balloon Text"/>
    <w:basedOn w:val="Normal"/>
    <w:link w:val="BalloonTextChar"/>
    <w:uiPriority w:val="99"/>
    <w:semiHidden/>
    <w:unhideWhenUsed/>
    <w:rsid w:val="00D06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8A8"/>
    <w:rPr>
      <w:rFonts w:ascii="Segoe UI" w:hAnsi="Segoe UI" w:cs="Segoe UI"/>
      <w:sz w:val="18"/>
      <w:szCs w:val="18"/>
    </w:rPr>
  </w:style>
  <w:style w:type="character" w:styleId="CommentReference">
    <w:name w:val="annotation reference"/>
    <w:basedOn w:val="DefaultParagraphFont"/>
    <w:uiPriority w:val="99"/>
    <w:semiHidden/>
    <w:unhideWhenUsed/>
    <w:rsid w:val="00F20527"/>
    <w:rPr>
      <w:sz w:val="16"/>
      <w:szCs w:val="16"/>
    </w:rPr>
  </w:style>
  <w:style w:type="paragraph" w:styleId="CommentText">
    <w:name w:val="annotation text"/>
    <w:basedOn w:val="Normal"/>
    <w:link w:val="CommentTextChar"/>
    <w:uiPriority w:val="99"/>
    <w:semiHidden/>
    <w:unhideWhenUsed/>
    <w:rsid w:val="00F20527"/>
    <w:pPr>
      <w:spacing w:line="240" w:lineRule="auto"/>
    </w:pPr>
    <w:rPr>
      <w:sz w:val="20"/>
      <w:szCs w:val="20"/>
    </w:rPr>
  </w:style>
  <w:style w:type="character" w:customStyle="1" w:styleId="CommentTextChar">
    <w:name w:val="Comment Text Char"/>
    <w:basedOn w:val="DefaultParagraphFont"/>
    <w:link w:val="CommentText"/>
    <w:uiPriority w:val="99"/>
    <w:semiHidden/>
    <w:rsid w:val="00F20527"/>
    <w:rPr>
      <w:sz w:val="20"/>
      <w:szCs w:val="20"/>
    </w:rPr>
  </w:style>
  <w:style w:type="paragraph" w:styleId="CommentSubject">
    <w:name w:val="annotation subject"/>
    <w:basedOn w:val="CommentText"/>
    <w:next w:val="CommentText"/>
    <w:link w:val="CommentSubjectChar"/>
    <w:uiPriority w:val="99"/>
    <w:semiHidden/>
    <w:unhideWhenUsed/>
    <w:rsid w:val="00F20527"/>
    <w:rPr>
      <w:b/>
      <w:bCs/>
    </w:rPr>
  </w:style>
  <w:style w:type="character" w:customStyle="1" w:styleId="CommentSubjectChar">
    <w:name w:val="Comment Subject Char"/>
    <w:basedOn w:val="CommentTextChar"/>
    <w:link w:val="CommentSubject"/>
    <w:uiPriority w:val="99"/>
    <w:semiHidden/>
    <w:rsid w:val="00F205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7F7F7F"/>
      </a:dk2>
      <a:lt2>
        <a:srgbClr val="E7E6E6"/>
      </a:lt2>
      <a:accent1>
        <a:srgbClr val="A8CE75"/>
      </a:accent1>
      <a:accent2>
        <a:srgbClr val="4CB6A0"/>
      </a:accent2>
      <a:accent3>
        <a:srgbClr val="18853F"/>
      </a:accent3>
      <a:accent4>
        <a:srgbClr val="FFC000"/>
      </a:accent4>
      <a:accent5>
        <a:srgbClr val="023160"/>
      </a:accent5>
      <a:accent6>
        <a:srgbClr val="AEABA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4</Pages>
  <Words>1339</Words>
  <Characters>7635</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Government of Canada\Gouvernement du Canada</Company>
  <LinksUpToDate>false</LinksUpToDate>
  <CharactersWithSpaces>8957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Tabakovic</dc:creator>
  <cp:keywords/>
  <dc:description/>
  <cp:lastModifiedBy>Alexandrine Menard</cp:lastModifiedBy>
  <cp:revision>3</cp:revision>
  <dcterms:created xsi:type="dcterms:W3CDTF">2020-04-09T13:48:00Z</dcterms:created>
  <dcterms:modified xsi:type="dcterms:W3CDTF">2020-07-24T17:28:00Z</dcterms:modified>
</cp:coreProperties>
</file>