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F939" w14:textId="2D192E01" w:rsidR="00965785" w:rsidRPr="006028F7" w:rsidRDefault="00965785" w:rsidP="006028F7">
      <w:pPr>
        <w:pStyle w:val="ListParagraph"/>
        <w:ind w:left="531"/>
        <w:rPr>
          <w:rFonts w:ascii="Arial" w:hAnsi="Arial" w:cs="Arial"/>
          <w:sz w:val="18"/>
          <w:szCs w:val="18"/>
          <w:u w:val="single"/>
        </w:rPr>
      </w:pPr>
      <w:r w:rsidRPr="00F84E8A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9724" w:type="dxa"/>
        <w:tblInd w:w="171" w:type="dxa"/>
        <w:tblLook w:val="04A0" w:firstRow="1" w:lastRow="0" w:firstColumn="1" w:lastColumn="0" w:noHBand="0" w:noVBand="1"/>
      </w:tblPr>
      <w:tblGrid>
        <w:gridCol w:w="9724"/>
      </w:tblGrid>
      <w:tr w:rsidR="006028F7" w14:paraId="21CA826B" w14:textId="77777777" w:rsidTr="006028F7">
        <w:tc>
          <w:tcPr>
            <w:tcW w:w="9724" w:type="dxa"/>
            <w:shd w:val="clear" w:color="auto" w:fill="CCDD44"/>
          </w:tcPr>
          <w:p w14:paraId="5B7D598C" w14:textId="77777777" w:rsidR="006028F7" w:rsidRPr="00F84E8A" w:rsidRDefault="006028F7" w:rsidP="006028F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F84E8A">
              <w:rPr>
                <w:rFonts w:ascii="Arial" w:hAnsi="Arial" w:cs="Arial"/>
                <w:sz w:val="18"/>
                <w:szCs w:val="18"/>
              </w:rPr>
              <w:t xml:space="preserve">Furniture is a mandatory commodity, refer to </w:t>
            </w:r>
            <w:hyperlink r:id="rId7" w:history="1">
              <w:r w:rsidRPr="00F84E8A">
                <w:rPr>
                  <w:rStyle w:val="Hyperlink"/>
                  <w:rFonts w:ascii="Arial" w:hAnsi="Arial" w:cs="Arial"/>
                  <w:sz w:val="18"/>
                  <w:szCs w:val="18"/>
                </w:rPr>
                <w:t>3.5.1 Mandatory Standing Offers and Supply Arrangements</w:t>
              </w:r>
            </w:hyperlink>
            <w:r w:rsidRPr="00F84E8A">
              <w:rPr>
                <w:rFonts w:ascii="Arial" w:hAnsi="Arial" w:cs="Arial"/>
                <w:sz w:val="18"/>
                <w:szCs w:val="18"/>
              </w:rPr>
              <w:t xml:space="preserve"> of the Supply Manual found on </w:t>
            </w:r>
            <w:hyperlink r:id="rId8" w:history="1">
              <w:r w:rsidRPr="00F84E8A">
                <w:rPr>
                  <w:rStyle w:val="Hyperlink"/>
                  <w:rFonts w:ascii="Arial" w:hAnsi="Arial" w:cs="Arial"/>
                  <w:sz w:val="18"/>
                  <w:szCs w:val="18"/>
                </w:rPr>
                <w:t>buyandsell.gc.ca</w:t>
              </w:r>
            </w:hyperlink>
          </w:p>
          <w:p w14:paraId="52ABBEFB" w14:textId="584F18E6" w:rsidR="006028F7" w:rsidRPr="006028F7" w:rsidRDefault="006028F7" w:rsidP="006028F7">
            <w:pPr>
              <w:pStyle w:val="ListParagraph"/>
              <w:numPr>
                <w:ilvl w:val="0"/>
                <w:numId w:val="1"/>
              </w:numPr>
              <w:ind w:left="53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documents referenced in this “how to” are found on the </w:t>
            </w:r>
            <w:hyperlink r:id="rId9" w:history="1">
              <w:r w:rsidRPr="00F84E8A">
                <w:rPr>
                  <w:rStyle w:val="Hyperlink"/>
                  <w:rFonts w:ascii="Arial" w:hAnsi="Arial" w:cs="Arial"/>
                  <w:sz w:val="18"/>
                  <w:szCs w:val="18"/>
                </w:rPr>
                <w:t>Furniture website.</w:t>
              </w:r>
            </w:hyperlink>
            <w:r w:rsidRPr="00F84E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7E679BE" w14:textId="77777777" w:rsidR="006028F7" w:rsidRPr="006028F7" w:rsidRDefault="006028F7" w:rsidP="006028F7">
      <w:pPr>
        <w:ind w:left="171"/>
        <w:rPr>
          <w:rFonts w:ascii="Arial" w:hAnsi="Arial" w:cs="Arial"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text" w:horzAnchor="margin" w:tblpY="318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D42FD" w:rsidRPr="000A5D78" w14:paraId="32AC9AE3" w14:textId="77777777" w:rsidTr="00E7722A">
        <w:tc>
          <w:tcPr>
            <w:tcW w:w="9918" w:type="dxa"/>
          </w:tcPr>
          <w:p w14:paraId="6C23C0E9" w14:textId="77777777" w:rsidR="006D42FD" w:rsidRPr="000A5D78" w:rsidRDefault="006D42FD" w:rsidP="008B0A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5D78">
              <w:rPr>
                <w:rFonts w:ascii="Arial" w:hAnsi="Arial" w:cs="Arial"/>
                <w:sz w:val="18"/>
                <w:szCs w:val="18"/>
              </w:rPr>
              <w:t>1. Define requirement and determine estimated value</w:t>
            </w:r>
          </w:p>
        </w:tc>
      </w:tr>
      <w:tr w:rsidR="006D42FD" w:rsidRPr="000A5D78" w14:paraId="4577E38F" w14:textId="77777777" w:rsidTr="00E7722A">
        <w:tc>
          <w:tcPr>
            <w:tcW w:w="9918" w:type="dxa"/>
          </w:tcPr>
          <w:p w14:paraId="2F30406F" w14:textId="77777777" w:rsidR="00965785" w:rsidRDefault="00965785" w:rsidP="009657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066356" w14:textId="345EE290" w:rsidR="00965785" w:rsidRPr="001B15C7" w:rsidRDefault="00965785" w:rsidP="001B15C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1B15C7">
              <w:rPr>
                <w:rFonts w:ascii="Arial" w:hAnsi="Arial" w:cs="Arial"/>
                <w:b/>
                <w:sz w:val="18"/>
                <w:szCs w:val="18"/>
              </w:rPr>
              <w:t>Chair estimator</w:t>
            </w:r>
            <w:r w:rsidRPr="001B15C7">
              <w:rPr>
                <w:rFonts w:ascii="Arial" w:hAnsi="Arial" w:cs="Arial"/>
                <w:sz w:val="18"/>
                <w:szCs w:val="18"/>
              </w:rPr>
              <w:t xml:space="preserve">: Users may use this tool to estimate the value of their requirement. Note it does not contain all </w:t>
            </w:r>
            <w:r w:rsidR="00CE3E5A" w:rsidRPr="001B15C7">
              <w:rPr>
                <w:rFonts w:ascii="Arial" w:hAnsi="Arial" w:cs="Arial"/>
                <w:sz w:val="18"/>
                <w:szCs w:val="18"/>
              </w:rPr>
              <w:t>the combinations</w:t>
            </w:r>
            <w:r w:rsidRPr="001B15C7">
              <w:rPr>
                <w:rFonts w:ascii="Arial" w:hAnsi="Arial" w:cs="Arial"/>
                <w:sz w:val="18"/>
                <w:szCs w:val="18"/>
              </w:rPr>
              <w:t xml:space="preserve"> available on the SA, only some of the most common are included. It is recommended to choose the </w:t>
            </w:r>
            <w:r w:rsidR="00CE3E5A" w:rsidRPr="001B15C7">
              <w:rPr>
                <w:rFonts w:ascii="Arial" w:hAnsi="Arial" w:cs="Arial"/>
                <w:sz w:val="18"/>
                <w:szCs w:val="18"/>
              </w:rPr>
              <w:t>combination</w:t>
            </w:r>
            <w:r w:rsidRPr="001B15C7">
              <w:rPr>
                <w:rFonts w:ascii="Arial" w:hAnsi="Arial" w:cs="Arial"/>
                <w:sz w:val="18"/>
                <w:szCs w:val="18"/>
              </w:rPr>
              <w:t xml:space="preserve"> that is most closely related to the required chair. </w:t>
            </w:r>
          </w:p>
          <w:p w14:paraId="5CD15AC0" w14:textId="77777777" w:rsidR="00965785" w:rsidRDefault="00965785" w:rsidP="009657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D4BFE7" w14:textId="77777777" w:rsidR="006D42FD" w:rsidRPr="001B15C7" w:rsidRDefault="00965785" w:rsidP="001B15C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1B15C7">
              <w:rPr>
                <w:rFonts w:ascii="Arial" w:hAnsi="Arial" w:cs="Arial"/>
                <w:sz w:val="18"/>
                <w:szCs w:val="18"/>
              </w:rPr>
              <w:t xml:space="preserve">Open </w:t>
            </w:r>
            <w:r w:rsidRPr="001B15C7">
              <w:rPr>
                <w:rFonts w:ascii="Arial" w:hAnsi="Arial" w:cs="Arial"/>
                <w:b/>
                <w:sz w:val="18"/>
                <w:szCs w:val="18"/>
              </w:rPr>
              <w:t>Chair Builder</w:t>
            </w:r>
            <w:r w:rsidRPr="001B15C7">
              <w:rPr>
                <w:rFonts w:ascii="Arial" w:hAnsi="Arial" w:cs="Arial"/>
                <w:sz w:val="18"/>
                <w:szCs w:val="18"/>
              </w:rPr>
              <w:t xml:space="preserve"> and choose chair attributes/features of the required chair(s).</w:t>
            </w:r>
            <w:r w:rsidR="00CE3E5A" w:rsidRPr="001B15C7">
              <w:rPr>
                <w:rFonts w:ascii="Arial" w:hAnsi="Arial" w:cs="Arial"/>
                <w:sz w:val="18"/>
                <w:szCs w:val="18"/>
              </w:rPr>
              <w:t xml:space="preserve"> The use</w:t>
            </w:r>
            <w:r w:rsidR="005554E3" w:rsidRPr="001B15C7">
              <w:rPr>
                <w:rFonts w:ascii="Arial" w:hAnsi="Arial" w:cs="Arial"/>
                <w:sz w:val="18"/>
                <w:szCs w:val="18"/>
              </w:rPr>
              <w:t>r must complete a chair builder</w:t>
            </w:r>
            <w:r w:rsidRPr="001B15C7">
              <w:rPr>
                <w:rFonts w:ascii="Arial" w:hAnsi="Arial" w:cs="Arial"/>
                <w:sz w:val="18"/>
                <w:szCs w:val="18"/>
              </w:rPr>
              <w:t xml:space="preserve"> for each type of chair required. </w:t>
            </w:r>
            <w:r w:rsidR="00C45D3A" w:rsidRPr="001B15C7">
              <w:rPr>
                <w:rFonts w:ascii="Arial" w:hAnsi="Arial" w:cs="Arial"/>
                <w:sz w:val="18"/>
                <w:szCs w:val="18"/>
              </w:rPr>
              <w:t xml:space="preserve"> Additional attributes maybe defined including materials and finishes as long as they are generic and competitive. </w:t>
            </w:r>
          </w:p>
          <w:p w14:paraId="1D00A3CC" w14:textId="77777777" w:rsidR="001B15C7" w:rsidRPr="001B15C7" w:rsidRDefault="001B15C7" w:rsidP="001B15C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E71D33">
              <w:rPr>
                <w:rFonts w:ascii="Arial" w:hAnsi="Arial" w:cs="Arial"/>
                <w:sz w:val="18"/>
                <w:szCs w:val="18"/>
              </w:rPr>
              <w:t xml:space="preserve">For more detailed information on the specifications and recommended configurations on indented use consult the </w:t>
            </w:r>
            <w:r w:rsidRPr="00E71D33">
              <w:rPr>
                <w:rFonts w:ascii="Arial" w:hAnsi="Arial" w:cs="Arial"/>
                <w:b/>
                <w:sz w:val="18"/>
                <w:szCs w:val="18"/>
              </w:rPr>
              <w:t>Annex A: Specifications for Office Seating</w:t>
            </w:r>
            <w:r w:rsidRPr="00E71D33">
              <w:rPr>
                <w:rFonts w:ascii="Arial" w:hAnsi="Arial" w:cs="Arial"/>
                <w:sz w:val="18"/>
                <w:szCs w:val="18"/>
              </w:rPr>
              <w:t xml:space="preserve"> and th</w:t>
            </w:r>
            <w:r w:rsidRPr="00E71D33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E71D33">
              <w:rPr>
                <w:rFonts w:ascii="Arial" w:hAnsi="Arial" w:cs="Arial"/>
                <w:b/>
                <w:sz w:val="18"/>
                <w:szCs w:val="18"/>
              </w:rPr>
              <w:t xml:space="preserve"> Recommended features and specifications for general user profiles </w:t>
            </w:r>
            <w:r w:rsidRPr="00E71D33">
              <w:rPr>
                <w:rFonts w:ascii="Arial" w:hAnsi="Arial" w:cs="Arial"/>
                <w:bCs/>
                <w:sz w:val="18"/>
                <w:szCs w:val="18"/>
              </w:rPr>
              <w:t>on the furniture website.</w:t>
            </w:r>
          </w:p>
          <w:p w14:paraId="17CA42F8" w14:textId="473D7D67" w:rsidR="001B15C7" w:rsidRPr="001B15C7" w:rsidRDefault="001B15C7" w:rsidP="001B15C7">
            <w:pPr>
              <w:pStyle w:val="ListParagraph"/>
              <w:ind w:left="184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61B905" w14:textId="77777777" w:rsidR="008B0AFE" w:rsidRPr="000A5D78" w:rsidRDefault="008B0AFE" w:rsidP="008B0AFE">
      <w:pPr>
        <w:rPr>
          <w:rFonts w:ascii="Arial" w:hAnsi="Arial" w:cs="Arial"/>
          <w:b/>
          <w:sz w:val="18"/>
          <w:szCs w:val="18"/>
        </w:rPr>
      </w:pPr>
      <w:r w:rsidRPr="000A5D78">
        <w:rPr>
          <w:rFonts w:ascii="Arial" w:hAnsi="Arial" w:cs="Arial"/>
          <w:b/>
          <w:sz w:val="18"/>
          <w:szCs w:val="18"/>
        </w:rPr>
        <w:t>How do I buy furniture?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1B15C7" w:rsidRPr="000A5D78" w14:paraId="66F6A1E4" w14:textId="77777777" w:rsidTr="001B15C7">
        <w:tc>
          <w:tcPr>
            <w:tcW w:w="4531" w:type="dxa"/>
          </w:tcPr>
          <w:p w14:paraId="515A1083" w14:textId="0A81B8A7" w:rsidR="001B15C7" w:rsidRPr="001B15C7" w:rsidRDefault="001B15C7" w:rsidP="002421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15C7">
              <w:rPr>
                <w:rFonts w:ascii="Arial" w:hAnsi="Arial" w:cs="Arial"/>
                <w:b/>
                <w:bCs/>
                <w:sz w:val="18"/>
                <w:szCs w:val="18"/>
              </w:rPr>
              <w:t>TIER 2</w:t>
            </w:r>
          </w:p>
        </w:tc>
        <w:tc>
          <w:tcPr>
            <w:tcW w:w="5387" w:type="dxa"/>
          </w:tcPr>
          <w:p w14:paraId="7703C702" w14:textId="2F8CCA66" w:rsidR="001B15C7" w:rsidRPr="001B15C7" w:rsidRDefault="001B15C7" w:rsidP="002421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15C7">
              <w:rPr>
                <w:rFonts w:ascii="Arial" w:hAnsi="Arial" w:cs="Arial"/>
                <w:b/>
                <w:bCs/>
                <w:sz w:val="18"/>
                <w:szCs w:val="18"/>
              </w:rPr>
              <w:t>TIER 3</w:t>
            </w:r>
          </w:p>
        </w:tc>
      </w:tr>
      <w:tr w:rsidR="002421A3" w:rsidRPr="000A5D78" w14:paraId="177FCE38" w14:textId="77777777" w:rsidTr="001B15C7">
        <w:tc>
          <w:tcPr>
            <w:tcW w:w="4531" w:type="dxa"/>
            <w:shd w:val="clear" w:color="auto" w:fill="CCDD44"/>
          </w:tcPr>
          <w:p w14:paraId="1EADA5EF" w14:textId="77777777" w:rsidR="002421A3" w:rsidRPr="001B15C7" w:rsidRDefault="002421A3" w:rsidP="002421A3">
            <w:pPr>
              <w:jc w:val="center"/>
              <w:rPr>
                <w:rFonts w:ascii="Arial" w:hAnsi="Arial" w:cs="Arial"/>
                <w:color w:val="FF0000"/>
              </w:rPr>
            </w:pPr>
            <w:r w:rsidRPr="001B15C7">
              <w:rPr>
                <w:rFonts w:ascii="Arial" w:hAnsi="Arial" w:cs="Arial"/>
              </w:rPr>
              <w:t xml:space="preserve">Estimated Value between </w:t>
            </w:r>
            <w:r w:rsidRPr="001B15C7">
              <w:rPr>
                <w:rFonts w:ascii="Arial" w:hAnsi="Arial" w:cs="Arial"/>
                <w:b/>
              </w:rPr>
              <w:t>$25,000.00 - $399,999.99</w:t>
            </w:r>
          </w:p>
        </w:tc>
        <w:tc>
          <w:tcPr>
            <w:tcW w:w="5387" w:type="dxa"/>
            <w:shd w:val="clear" w:color="auto" w:fill="CCDD44"/>
          </w:tcPr>
          <w:p w14:paraId="06C39034" w14:textId="77777777" w:rsidR="002421A3" w:rsidRPr="001B15C7" w:rsidRDefault="002421A3" w:rsidP="002421A3">
            <w:pPr>
              <w:jc w:val="center"/>
              <w:rPr>
                <w:rFonts w:ascii="Arial" w:hAnsi="Arial" w:cs="Arial"/>
              </w:rPr>
            </w:pPr>
            <w:r w:rsidRPr="001B15C7">
              <w:rPr>
                <w:rFonts w:ascii="Arial" w:hAnsi="Arial" w:cs="Arial"/>
              </w:rPr>
              <w:t xml:space="preserve">Estimated Value </w:t>
            </w:r>
            <w:r w:rsidRPr="001B15C7">
              <w:rPr>
                <w:rFonts w:ascii="Arial" w:hAnsi="Arial" w:cs="Arial"/>
                <w:b/>
              </w:rPr>
              <w:t>$400,000.00 +</w:t>
            </w:r>
          </w:p>
        </w:tc>
      </w:tr>
    </w:tbl>
    <w:p w14:paraId="1D16FE15" w14:textId="77777777" w:rsidR="00DD4440" w:rsidRPr="0098355E" w:rsidRDefault="00E7722A" w:rsidP="00E7722A">
      <w:pPr>
        <w:tabs>
          <w:tab w:val="left" w:pos="7032"/>
        </w:tabs>
        <w:rPr>
          <w:rFonts w:ascii="Arial" w:hAnsi="Arial" w:cs="Arial"/>
          <w:sz w:val="18"/>
          <w:szCs w:val="18"/>
        </w:rPr>
      </w:pPr>
      <w:r w:rsidRPr="0098355E">
        <w:rPr>
          <w:rFonts w:ascii="Arial" w:hAnsi="Arial" w:cs="Arial"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97C5A1" wp14:editId="6DE56C88">
                <wp:simplePos x="0" y="0"/>
                <wp:positionH relativeFrom="column">
                  <wp:posOffset>4282440</wp:posOffset>
                </wp:positionH>
                <wp:positionV relativeFrom="paragraph">
                  <wp:posOffset>96520</wp:posOffset>
                </wp:positionV>
                <wp:extent cx="289560" cy="274320"/>
                <wp:effectExtent l="19050" t="0" r="15240" b="3048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74320"/>
                        </a:xfrm>
                        <a:prstGeom prst="downArrow">
                          <a:avLst/>
                        </a:prstGeom>
                        <a:solidFill>
                          <a:srgbClr val="CCDD4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8A04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337.2pt;margin-top:7.6pt;width:22.8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" adj="10800" fillcolor="#cd4" strokecolor="#1f4d78 [1604]" strokeweight="1pt"/>
            </w:pict>
          </mc:Fallback>
        </mc:AlternateContent>
      </w:r>
      <w:r w:rsidRPr="0098355E">
        <w:rPr>
          <w:rFonts w:ascii="Arial" w:hAnsi="Arial" w:cs="Arial"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EF5D7" wp14:editId="15817EE4">
                <wp:simplePos x="0" y="0"/>
                <wp:positionH relativeFrom="column">
                  <wp:posOffset>929640</wp:posOffset>
                </wp:positionH>
                <wp:positionV relativeFrom="paragraph">
                  <wp:posOffset>88900</wp:posOffset>
                </wp:positionV>
                <wp:extent cx="289560" cy="320040"/>
                <wp:effectExtent l="19050" t="0" r="15240" b="4191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320040"/>
                        </a:xfrm>
                        <a:prstGeom prst="downArrow">
                          <a:avLst/>
                        </a:prstGeom>
                        <a:solidFill>
                          <a:srgbClr val="CCDD4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4A1BD" id="Down Arrow 6" o:spid="_x0000_s1026" type="#_x0000_t67" style="position:absolute;margin-left:73.2pt;margin-top:7pt;width:22.8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" adj="11829" fillcolor="#cd4" strokecolor="#1f4d78 [1604]" strokeweight="1pt"/>
            </w:pict>
          </mc:Fallback>
        </mc:AlternateContent>
      </w:r>
      <w:r w:rsidR="008B0AFE" w:rsidRPr="0098355E">
        <w:rPr>
          <w:rFonts w:ascii="Arial" w:hAnsi="Arial" w:cs="Arial"/>
          <w:sz w:val="18"/>
          <w:szCs w:val="18"/>
        </w:rPr>
        <w:tab/>
      </w:r>
    </w:p>
    <w:tbl>
      <w:tblPr>
        <w:tblStyle w:val="TableGrid"/>
        <w:tblpPr w:leftFromText="180" w:rightFromText="180" w:vertAnchor="text" w:horzAnchor="margin" w:tblpY="274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E7722A" w:rsidRPr="0098355E" w14:paraId="7931ECB3" w14:textId="77777777" w:rsidTr="00E7722A">
        <w:tc>
          <w:tcPr>
            <w:tcW w:w="4531" w:type="dxa"/>
          </w:tcPr>
          <w:p w14:paraId="161E26E6" w14:textId="77777777" w:rsidR="00E7722A" w:rsidRPr="00E71D33" w:rsidRDefault="00E7722A" w:rsidP="00E7722A">
            <w:pPr>
              <w:rPr>
                <w:rFonts w:ascii="Arial" w:hAnsi="Arial" w:cs="Arial"/>
                <w:sz w:val="18"/>
                <w:szCs w:val="18"/>
              </w:rPr>
            </w:pPr>
            <w:r w:rsidRPr="00E71D33">
              <w:rPr>
                <w:rFonts w:ascii="Arial" w:hAnsi="Arial" w:cs="Arial"/>
                <w:sz w:val="18"/>
                <w:szCs w:val="18"/>
              </w:rPr>
              <w:t>2</w:t>
            </w:r>
            <w:r w:rsidR="00386E7B" w:rsidRPr="00E71D33">
              <w:rPr>
                <w:rFonts w:ascii="Arial" w:hAnsi="Arial" w:cs="Arial"/>
                <w:sz w:val="18"/>
                <w:szCs w:val="18"/>
              </w:rPr>
              <w:t>a</w:t>
            </w:r>
            <w:r w:rsidRPr="00E71D33">
              <w:rPr>
                <w:rFonts w:ascii="Arial" w:hAnsi="Arial" w:cs="Arial"/>
                <w:sz w:val="18"/>
                <w:szCs w:val="18"/>
              </w:rPr>
              <w:t>. Prepare and issue Solicitation</w:t>
            </w:r>
          </w:p>
        </w:tc>
        <w:tc>
          <w:tcPr>
            <w:tcW w:w="5387" w:type="dxa"/>
          </w:tcPr>
          <w:p w14:paraId="1DC71308" w14:textId="77777777" w:rsidR="00E7722A" w:rsidRPr="0098355E" w:rsidRDefault="00E7722A" w:rsidP="00E7722A">
            <w:pPr>
              <w:rPr>
                <w:rFonts w:ascii="Arial" w:hAnsi="Arial" w:cs="Arial"/>
                <w:sz w:val="18"/>
                <w:szCs w:val="18"/>
              </w:rPr>
            </w:pPr>
            <w:r w:rsidRPr="0098355E">
              <w:rPr>
                <w:rFonts w:ascii="Arial" w:hAnsi="Arial" w:cs="Arial"/>
                <w:sz w:val="18"/>
                <w:szCs w:val="18"/>
              </w:rPr>
              <w:t>2</w:t>
            </w:r>
            <w:r w:rsidR="00386E7B" w:rsidRPr="0098355E">
              <w:rPr>
                <w:rFonts w:ascii="Arial" w:hAnsi="Arial" w:cs="Arial"/>
                <w:sz w:val="18"/>
                <w:szCs w:val="18"/>
              </w:rPr>
              <w:t>b</w:t>
            </w:r>
            <w:r w:rsidRPr="0098355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86E7B" w:rsidRPr="0098355E">
              <w:rPr>
                <w:rFonts w:ascii="Arial" w:hAnsi="Arial" w:cs="Arial"/>
                <w:sz w:val="18"/>
                <w:szCs w:val="18"/>
              </w:rPr>
              <w:t>Prepare and s</w:t>
            </w:r>
            <w:r w:rsidRPr="0098355E">
              <w:rPr>
                <w:rFonts w:ascii="Arial" w:hAnsi="Arial" w:cs="Arial"/>
                <w:sz w:val="18"/>
                <w:szCs w:val="18"/>
              </w:rPr>
              <w:t>end a funded requisition</w:t>
            </w:r>
          </w:p>
        </w:tc>
      </w:tr>
      <w:tr w:rsidR="00E7722A" w:rsidRPr="0098355E" w14:paraId="06C61226" w14:textId="77777777" w:rsidTr="00E7722A">
        <w:tc>
          <w:tcPr>
            <w:tcW w:w="4531" w:type="dxa"/>
          </w:tcPr>
          <w:p w14:paraId="69B84138" w14:textId="30491E0A" w:rsidR="00CE3E5A" w:rsidRPr="00CA1403" w:rsidRDefault="00C75D58" w:rsidP="00CA140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CA1403">
              <w:rPr>
                <w:rFonts w:ascii="Arial" w:hAnsi="Arial" w:cs="Arial"/>
                <w:sz w:val="20"/>
                <w:szCs w:val="20"/>
              </w:rPr>
              <w:t>Complete the</w:t>
            </w:r>
            <w:r w:rsidR="00CE3E5A" w:rsidRPr="00CA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1403">
              <w:rPr>
                <w:rFonts w:ascii="Arial" w:hAnsi="Arial" w:cs="Arial"/>
                <w:sz w:val="20"/>
                <w:szCs w:val="20"/>
              </w:rPr>
              <w:t xml:space="preserve">solicitation </w:t>
            </w:r>
            <w:r w:rsidR="00CE3E5A" w:rsidRPr="00CA1403">
              <w:rPr>
                <w:rFonts w:ascii="Arial" w:hAnsi="Arial" w:cs="Arial"/>
                <w:sz w:val="20"/>
                <w:szCs w:val="20"/>
              </w:rPr>
              <w:t xml:space="preserve">and include the completed Chair Builder for each type of chair. </w:t>
            </w:r>
            <w:r w:rsidR="00C45D3A" w:rsidRPr="00CA1403">
              <w:rPr>
                <w:rFonts w:ascii="Arial" w:hAnsi="Arial" w:cs="Arial"/>
                <w:sz w:val="20"/>
                <w:szCs w:val="20"/>
              </w:rPr>
              <w:t>RFP Furniture MC template may be used.</w:t>
            </w:r>
          </w:p>
          <w:p w14:paraId="4187B36C" w14:textId="465BF420" w:rsidR="00CE3E5A" w:rsidRPr="00E71D33" w:rsidRDefault="00CE3E5A" w:rsidP="00E7722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E71D33">
              <w:rPr>
                <w:rFonts w:ascii="Arial" w:hAnsi="Arial" w:cs="Arial"/>
                <w:sz w:val="20"/>
                <w:szCs w:val="20"/>
              </w:rPr>
              <w:t>Prepare the Notice of Proposed Procurement (NPP)</w:t>
            </w:r>
          </w:p>
          <w:p w14:paraId="160811D9" w14:textId="50B1492A" w:rsidR="00CE3E5A" w:rsidRPr="00E71D33" w:rsidRDefault="00CE3E5A" w:rsidP="00CE3E5A">
            <w:pPr>
              <w:pStyle w:val="ListParagraph"/>
              <w:ind w:left="360"/>
              <w:rPr>
                <w:rStyle w:val="Hyperlink"/>
                <w:rFonts w:ascii="Arial" w:hAnsi="Arial" w:cs="Arial"/>
                <w:i/>
                <w:color w:val="auto"/>
                <w:sz w:val="20"/>
                <w:szCs w:val="20"/>
                <w:u w:val="none"/>
              </w:rPr>
            </w:pPr>
            <w:r w:rsidRPr="00E71D33">
              <w:rPr>
                <w:rFonts w:ascii="Arial" w:hAnsi="Arial" w:cs="Arial"/>
                <w:i/>
                <w:sz w:val="20"/>
                <w:szCs w:val="20"/>
              </w:rPr>
              <w:t xml:space="preserve">** These </w:t>
            </w:r>
            <w:r w:rsidR="00E7722A" w:rsidRPr="00E71D33">
              <w:rPr>
                <w:rFonts w:ascii="Arial" w:hAnsi="Arial" w:cs="Arial"/>
                <w:i/>
                <w:sz w:val="20"/>
                <w:szCs w:val="20"/>
              </w:rPr>
              <w:t xml:space="preserve">templates </w:t>
            </w:r>
            <w:r w:rsidRPr="00E71D33">
              <w:rPr>
                <w:rFonts w:ascii="Arial" w:hAnsi="Arial" w:cs="Arial"/>
                <w:i/>
                <w:sz w:val="20"/>
                <w:szCs w:val="20"/>
              </w:rPr>
              <w:t>are found on the</w:t>
            </w:r>
            <w:r w:rsidR="00E7722A" w:rsidRPr="00E71D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hyperlink r:id="rId10" w:history="1">
              <w:r w:rsidR="00E7722A" w:rsidRPr="00E71D33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  <w:u w:val="none"/>
                </w:rPr>
                <w:t>Furniture website</w:t>
              </w:r>
            </w:hyperlink>
            <w:r w:rsidRPr="00E71D33">
              <w:rPr>
                <w:rStyle w:val="Hyperlink"/>
                <w:rFonts w:ascii="Arial" w:hAnsi="Arial" w:cs="Arial"/>
                <w:i/>
                <w:color w:val="auto"/>
                <w:sz w:val="20"/>
                <w:szCs w:val="20"/>
                <w:u w:val="none"/>
              </w:rPr>
              <w:t>**</w:t>
            </w:r>
          </w:p>
          <w:p w14:paraId="245BAF79" w14:textId="77777777" w:rsidR="00CE3E5A" w:rsidRPr="00E71D33" w:rsidRDefault="00CE3E5A" w:rsidP="00CE3E5A">
            <w:pPr>
              <w:pStyle w:val="ListParagraph"/>
              <w:ind w:left="360"/>
              <w:rPr>
                <w:rStyle w:val="Hyperlink"/>
                <w:rFonts w:ascii="Arial" w:hAnsi="Arial" w:cs="Arial"/>
                <w:i/>
                <w:color w:val="auto"/>
                <w:sz w:val="20"/>
                <w:szCs w:val="20"/>
              </w:rPr>
            </w:pPr>
          </w:p>
          <w:p w14:paraId="2E8D459B" w14:textId="77777777" w:rsidR="00CE3E5A" w:rsidRPr="00E71D33" w:rsidRDefault="00CE3E5A" w:rsidP="00CE3E5A">
            <w:pPr>
              <w:rPr>
                <w:rStyle w:val="Hyperlink"/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71D33">
              <w:rPr>
                <w:rStyle w:val="Hyperlink"/>
                <w:rFonts w:ascii="Arial" w:hAnsi="Arial" w:cs="Arial"/>
                <w:i/>
                <w:color w:val="auto"/>
                <w:sz w:val="20"/>
                <w:szCs w:val="20"/>
              </w:rPr>
              <w:t xml:space="preserve">Alternatively, the user may use their departmental templates. </w:t>
            </w:r>
          </w:p>
          <w:p w14:paraId="0B528438" w14:textId="7CB40D18" w:rsidR="00E7722A" w:rsidRPr="00E71D33" w:rsidRDefault="00CE3E5A" w:rsidP="00CE3E5A">
            <w:pPr>
              <w:rPr>
                <w:rStyle w:val="Hyperlink"/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71D33">
              <w:rPr>
                <w:rStyle w:val="Hyperlink"/>
                <w:rFonts w:ascii="Arial" w:hAnsi="Arial" w:cs="Arial"/>
                <w:i/>
                <w:color w:val="auto"/>
                <w:sz w:val="20"/>
                <w:szCs w:val="20"/>
              </w:rPr>
              <w:t xml:space="preserve">  </w:t>
            </w:r>
          </w:p>
          <w:p w14:paraId="7B7F1218" w14:textId="50FF12F1" w:rsidR="00E7722A" w:rsidRPr="00E71D33" w:rsidRDefault="00C75D58" w:rsidP="00E7722A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ascii="Arial" w:hAnsi="Arial" w:cs="Arial"/>
                <w:i/>
                <w:color w:val="auto"/>
                <w:sz w:val="20"/>
                <w:szCs w:val="20"/>
                <w:u w:val="none"/>
              </w:rPr>
            </w:pPr>
            <w:r w:rsidRPr="00E71D33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Issue NPP and Solicitation</w:t>
            </w:r>
            <w:r w:rsidR="00E7722A" w:rsidRPr="00E71D33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on Buy and Sell</w:t>
            </w:r>
            <w:r w:rsidR="00E73BE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  <w:r w:rsidR="00E73BE4" w:rsidRPr="00E73BE4">
              <w:rPr>
                <w:rStyle w:val="Hyperlink"/>
                <w:color w:val="auto"/>
                <w:u w:val="none"/>
              </w:rPr>
              <w:t>or CanadaBuys.</w:t>
            </w:r>
          </w:p>
          <w:p w14:paraId="0993CDEE" w14:textId="77777777" w:rsidR="0039097B" w:rsidRPr="00E71D33" w:rsidRDefault="0039097B" w:rsidP="0038049B">
            <w:pPr>
              <w:pStyle w:val="ListParagraph"/>
              <w:ind w:left="360"/>
              <w:rPr>
                <w:rStyle w:val="Hyperlink"/>
                <w:rFonts w:ascii="Arial" w:hAnsi="Arial" w:cs="Arial"/>
                <w:i/>
                <w:color w:val="auto"/>
                <w:sz w:val="20"/>
                <w:szCs w:val="20"/>
                <w:u w:val="none"/>
              </w:rPr>
            </w:pPr>
          </w:p>
          <w:p w14:paraId="54E60F5D" w14:textId="77777777" w:rsidR="00E7722A" w:rsidRPr="00E71D33" w:rsidRDefault="00E7722A" w:rsidP="00E7722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71D33">
              <w:rPr>
                <w:rStyle w:val="Hyperlink"/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Minimum bidding period is 10 calendar days.</w:t>
            </w:r>
          </w:p>
        </w:tc>
        <w:tc>
          <w:tcPr>
            <w:tcW w:w="5387" w:type="dxa"/>
          </w:tcPr>
          <w:p w14:paraId="18E84B50" w14:textId="77777777" w:rsidR="00E7722A" w:rsidRPr="00CA1403" w:rsidRDefault="00E7722A" w:rsidP="00CA140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A1403">
              <w:rPr>
                <w:rFonts w:ascii="Arial" w:hAnsi="Arial" w:cs="Arial"/>
                <w:sz w:val="20"/>
                <w:szCs w:val="20"/>
              </w:rPr>
              <w:t xml:space="preserve">Send a funded requisition to PSPC Central Allocations along with the following: </w:t>
            </w:r>
          </w:p>
          <w:p w14:paraId="2DD8E140" w14:textId="77777777" w:rsidR="00C75D58" w:rsidRPr="00C75D58" w:rsidRDefault="00C75D58" w:rsidP="00E77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8CBBB2" w14:textId="4AE936F7" w:rsidR="00C75D58" w:rsidRPr="00C75D58" w:rsidRDefault="00C75D58" w:rsidP="00C75D5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C75D58">
              <w:rPr>
                <w:rFonts w:ascii="Arial" w:hAnsi="Arial" w:cs="Arial"/>
                <w:sz w:val="20"/>
                <w:szCs w:val="20"/>
              </w:rPr>
              <w:t>Completed Chair Builder for each type of chair;</w:t>
            </w:r>
          </w:p>
          <w:p w14:paraId="224F5ABE" w14:textId="2C89FA29" w:rsidR="00C75D58" w:rsidRPr="00E71D33" w:rsidRDefault="00C75D58" w:rsidP="00C75D5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E71D33">
              <w:rPr>
                <w:rFonts w:ascii="Arial" w:hAnsi="Arial" w:cs="Arial"/>
                <w:sz w:val="20"/>
                <w:szCs w:val="20"/>
              </w:rPr>
              <w:t>Advise i</w:t>
            </w:r>
            <w:r w:rsidR="00C45D3A" w:rsidRPr="00E71D33">
              <w:rPr>
                <w:rFonts w:ascii="Arial" w:hAnsi="Arial" w:cs="Arial"/>
                <w:sz w:val="20"/>
                <w:szCs w:val="20"/>
              </w:rPr>
              <w:t>f</w:t>
            </w:r>
            <w:r w:rsidRPr="00E71D33">
              <w:rPr>
                <w:rFonts w:ascii="Arial" w:hAnsi="Arial" w:cs="Arial"/>
                <w:sz w:val="20"/>
                <w:szCs w:val="20"/>
              </w:rPr>
              <w:t xml:space="preserve"> requirement is Set aside for PS</w:t>
            </w:r>
            <w:r w:rsidR="00E73BE4">
              <w:rPr>
                <w:rFonts w:ascii="Arial" w:hAnsi="Arial" w:cs="Arial"/>
                <w:sz w:val="20"/>
                <w:szCs w:val="20"/>
              </w:rPr>
              <w:t>I</w:t>
            </w:r>
            <w:r w:rsidRPr="00E71D33">
              <w:rPr>
                <w:rFonts w:ascii="Arial" w:hAnsi="Arial" w:cs="Arial"/>
                <w:sz w:val="20"/>
                <w:szCs w:val="20"/>
              </w:rPr>
              <w:t>B or a General stream procurement;</w:t>
            </w:r>
          </w:p>
          <w:p w14:paraId="5C451BB3" w14:textId="5C7F7F9C" w:rsidR="00C75D58" w:rsidRPr="00E71D33" w:rsidRDefault="00C75D58" w:rsidP="00C75D5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E71D33">
              <w:rPr>
                <w:rFonts w:ascii="Arial" w:hAnsi="Arial" w:cs="Arial"/>
                <w:sz w:val="20"/>
                <w:szCs w:val="20"/>
              </w:rPr>
              <w:t xml:space="preserve">Security clauses, if applicable. </w:t>
            </w:r>
          </w:p>
          <w:p w14:paraId="74462F23" w14:textId="5214A519" w:rsidR="00C75D58" w:rsidRPr="00C75D58" w:rsidRDefault="00C75D58" w:rsidP="00C75D5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E71D33">
              <w:rPr>
                <w:rFonts w:ascii="Arial" w:hAnsi="Arial" w:cs="Arial"/>
                <w:sz w:val="20"/>
                <w:szCs w:val="20"/>
              </w:rPr>
              <w:t>PSPC may request additional information upon rece</w:t>
            </w:r>
            <w:r w:rsidRPr="00C75D58">
              <w:rPr>
                <w:rFonts w:ascii="Arial" w:hAnsi="Arial" w:cs="Arial"/>
                <w:sz w:val="20"/>
                <w:szCs w:val="20"/>
              </w:rPr>
              <w:t xml:space="preserve">ipt of the file. </w:t>
            </w:r>
          </w:p>
          <w:p w14:paraId="31095895" w14:textId="77777777" w:rsidR="00C75D58" w:rsidRPr="00C75D58" w:rsidRDefault="00C75D58" w:rsidP="00386E7B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BECCECB" w14:textId="77777777" w:rsidR="00386E7B" w:rsidRPr="0098355E" w:rsidRDefault="00386E7B" w:rsidP="00386E7B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C75D58">
              <w:rPr>
                <w:rFonts w:ascii="Arial" w:hAnsi="Arial" w:cs="Arial"/>
                <w:i/>
                <w:sz w:val="20"/>
                <w:szCs w:val="20"/>
              </w:rPr>
              <w:t>**PSPC AB/AP performs Steps 2a and 3a**</w:t>
            </w:r>
          </w:p>
        </w:tc>
      </w:tr>
    </w:tbl>
    <w:p w14:paraId="77B2EB75" w14:textId="3A325B95" w:rsidR="00DD4440" w:rsidRPr="0098355E" w:rsidRDefault="00DD4440">
      <w:pPr>
        <w:rPr>
          <w:rFonts w:ascii="Arial" w:hAnsi="Arial" w:cs="Arial"/>
          <w:sz w:val="18"/>
          <w:szCs w:val="18"/>
        </w:rPr>
      </w:pPr>
    </w:p>
    <w:p w14:paraId="37F7E0C2" w14:textId="333F78BC" w:rsidR="00F62F64" w:rsidRDefault="001B15C7">
      <w:pPr>
        <w:rPr>
          <w:rFonts w:ascii="Arial" w:hAnsi="Arial" w:cs="Arial"/>
          <w:sz w:val="18"/>
          <w:szCs w:val="18"/>
        </w:rPr>
      </w:pPr>
      <w:r w:rsidRPr="0098355E">
        <w:rPr>
          <w:rFonts w:ascii="Arial" w:hAnsi="Arial" w:cs="Arial"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5FA3C8" wp14:editId="1ADD8EDE">
                <wp:simplePos x="0" y="0"/>
                <wp:positionH relativeFrom="margin">
                  <wp:posOffset>2638425</wp:posOffset>
                </wp:positionH>
                <wp:positionV relativeFrom="paragraph">
                  <wp:posOffset>2380615</wp:posOffset>
                </wp:positionV>
                <wp:extent cx="485775" cy="384810"/>
                <wp:effectExtent l="19050" t="0" r="28575" b="34290"/>
                <wp:wrapSquare wrapText="bothSides"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84810"/>
                        </a:xfrm>
                        <a:prstGeom prst="downArrow">
                          <a:avLst/>
                        </a:prstGeom>
                        <a:solidFill>
                          <a:srgbClr val="CCDD4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A5643" id="Down Arrow 11" o:spid="_x0000_s1026" type="#_x0000_t67" style="position:absolute;margin-left:207.75pt;margin-top:187.45pt;width:38.25pt;height:30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" adj="10800" fillcolor="#cd4" strokecolor="#1f4d78 [1604]" strokeweight="1pt">
                <w10:wrap type="square" anchorx="margin"/>
              </v:shape>
            </w:pict>
          </mc:Fallback>
        </mc:AlternateContent>
      </w:r>
    </w:p>
    <w:p w14:paraId="25FFD56D" w14:textId="3EFE0CD7" w:rsidR="006D42FD" w:rsidRPr="0098355E" w:rsidRDefault="006D42FD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918" w:type="dxa"/>
        <w:tblInd w:w="-5" w:type="dxa"/>
        <w:tblLook w:val="04A0" w:firstRow="1" w:lastRow="0" w:firstColumn="1" w:lastColumn="0" w:noHBand="0" w:noVBand="1"/>
      </w:tblPr>
      <w:tblGrid>
        <w:gridCol w:w="9918"/>
      </w:tblGrid>
      <w:tr w:rsidR="0073078D" w:rsidRPr="0098355E" w14:paraId="67C30D89" w14:textId="77777777" w:rsidTr="0098355E">
        <w:tc>
          <w:tcPr>
            <w:tcW w:w="9918" w:type="dxa"/>
          </w:tcPr>
          <w:p w14:paraId="62AB7C0E" w14:textId="77777777" w:rsidR="0073078D" w:rsidRPr="00E71D33" w:rsidRDefault="0073078D" w:rsidP="0073078D">
            <w:pPr>
              <w:rPr>
                <w:rFonts w:ascii="Arial" w:hAnsi="Arial" w:cs="Arial"/>
                <w:sz w:val="18"/>
                <w:szCs w:val="18"/>
              </w:rPr>
            </w:pPr>
            <w:r w:rsidRPr="00E71D33">
              <w:rPr>
                <w:rFonts w:ascii="Arial" w:hAnsi="Arial" w:cs="Arial"/>
                <w:sz w:val="18"/>
                <w:szCs w:val="18"/>
              </w:rPr>
              <w:t>3</w:t>
            </w:r>
            <w:r w:rsidR="00386E7B" w:rsidRPr="00E71D33">
              <w:rPr>
                <w:rFonts w:ascii="Arial" w:hAnsi="Arial" w:cs="Arial"/>
                <w:sz w:val="18"/>
                <w:szCs w:val="18"/>
              </w:rPr>
              <w:t>a</w:t>
            </w:r>
            <w:r w:rsidRPr="00E71D3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220A4" w:rsidRPr="00E71D33">
              <w:rPr>
                <w:rFonts w:ascii="Arial" w:hAnsi="Arial" w:cs="Arial"/>
                <w:sz w:val="18"/>
                <w:szCs w:val="18"/>
              </w:rPr>
              <w:t xml:space="preserve">Evaluate and </w:t>
            </w:r>
            <w:r w:rsidRPr="00E71D33">
              <w:rPr>
                <w:rFonts w:ascii="Arial" w:hAnsi="Arial" w:cs="Arial"/>
                <w:sz w:val="18"/>
                <w:szCs w:val="18"/>
              </w:rPr>
              <w:t>Award Contract</w:t>
            </w:r>
          </w:p>
        </w:tc>
      </w:tr>
      <w:tr w:rsidR="0073078D" w:rsidRPr="0098355E" w14:paraId="3812F952" w14:textId="77777777" w:rsidTr="0098355E">
        <w:trPr>
          <w:trHeight w:val="810"/>
        </w:trPr>
        <w:tc>
          <w:tcPr>
            <w:tcW w:w="9918" w:type="dxa"/>
          </w:tcPr>
          <w:p w14:paraId="40EB228D" w14:textId="5830A0E9" w:rsidR="00E220A4" w:rsidRPr="00E71D33" w:rsidRDefault="0073078D" w:rsidP="00E220A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E71D33">
              <w:rPr>
                <w:rFonts w:ascii="Arial" w:hAnsi="Arial" w:cs="Arial"/>
                <w:sz w:val="18"/>
                <w:szCs w:val="18"/>
              </w:rPr>
              <w:t xml:space="preserve">Receive </w:t>
            </w:r>
            <w:r w:rsidR="00C45D3A" w:rsidRPr="00E71D33">
              <w:rPr>
                <w:rFonts w:ascii="Arial" w:hAnsi="Arial" w:cs="Arial"/>
                <w:sz w:val="18"/>
                <w:szCs w:val="18"/>
              </w:rPr>
              <w:t xml:space="preserve">and evaluate </w:t>
            </w:r>
            <w:r w:rsidRPr="00E71D33">
              <w:rPr>
                <w:rFonts w:ascii="Arial" w:hAnsi="Arial" w:cs="Arial"/>
                <w:sz w:val="18"/>
                <w:szCs w:val="18"/>
              </w:rPr>
              <w:t>bids</w:t>
            </w:r>
            <w:r w:rsidR="00C75D58" w:rsidRPr="00E71D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4FEB17E" w14:textId="352831C8" w:rsidR="00C75D58" w:rsidRPr="00E71D33" w:rsidRDefault="00C75D58" w:rsidP="00C75D5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71D33">
              <w:rPr>
                <w:rFonts w:ascii="Arial" w:hAnsi="Arial" w:cs="Arial"/>
                <w:sz w:val="20"/>
                <w:szCs w:val="20"/>
              </w:rPr>
              <w:t>Confirm if supplier is a current SA holder and product(s) are offered by referencing the chair series and its associated minimum discount for the SA holder on the SOSA app</w:t>
            </w:r>
          </w:p>
          <w:p w14:paraId="63BBD623" w14:textId="1A9282CE" w:rsidR="00E220A4" w:rsidRPr="00E71D33" w:rsidRDefault="00435FD0" w:rsidP="00435FD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E71D33">
              <w:rPr>
                <w:rFonts w:ascii="Arial" w:hAnsi="Arial" w:cs="Arial"/>
                <w:sz w:val="18"/>
                <w:szCs w:val="18"/>
              </w:rPr>
              <w:t>A</w:t>
            </w:r>
            <w:r w:rsidRPr="00E71D33">
              <w:rPr>
                <w:rFonts w:ascii="Arial" w:hAnsi="Arial" w:cs="Arial"/>
                <w:sz w:val="20"/>
                <w:szCs w:val="20"/>
              </w:rPr>
              <w:t>ward contract on selection methodology chosen in solicitation</w:t>
            </w:r>
            <w:r w:rsidRPr="00E71D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8CDD58B" w14:textId="3B560FD0" w:rsidR="009E3676" w:rsidRDefault="009E3676" w:rsidP="00B71F80">
      <w:pPr>
        <w:rPr>
          <w:rFonts w:ascii="Arial" w:hAnsi="Arial" w:cs="Arial"/>
          <w:i/>
          <w:sz w:val="18"/>
          <w:szCs w:val="18"/>
        </w:rPr>
      </w:pPr>
    </w:p>
    <w:p w14:paraId="0E68B5CF" w14:textId="52A29A98" w:rsidR="00B71F80" w:rsidRPr="000A5D78" w:rsidRDefault="00B71F80" w:rsidP="00B71F80">
      <w:pPr>
        <w:rPr>
          <w:rFonts w:ascii="Arial" w:hAnsi="Arial" w:cs="Arial"/>
          <w:b/>
          <w:i/>
          <w:sz w:val="18"/>
          <w:szCs w:val="18"/>
        </w:rPr>
      </w:pPr>
      <w:r w:rsidRPr="0098355E">
        <w:rPr>
          <w:rFonts w:ascii="Arial" w:hAnsi="Arial" w:cs="Arial"/>
          <w:i/>
          <w:sz w:val="18"/>
          <w:szCs w:val="18"/>
        </w:rPr>
        <w:t xml:space="preserve">This is a high level process chart meant to show an overview of the Tier 2 and 3 process. For a more detailed instruction on any of the steps below, please consult the Furniture website or contact our </w:t>
      </w:r>
      <w:hyperlink r:id="rId11" w:history="1">
        <w:r w:rsidRPr="0098355E">
          <w:rPr>
            <w:rStyle w:val="Hyperlink"/>
            <w:rFonts w:ascii="Arial" w:hAnsi="Arial" w:cs="Arial"/>
            <w:i/>
            <w:sz w:val="18"/>
            <w:szCs w:val="18"/>
          </w:rPr>
          <w:t>General mailbox</w:t>
        </w:r>
      </w:hyperlink>
      <w:r w:rsidRPr="0098355E">
        <w:rPr>
          <w:rStyle w:val="Hyperlink"/>
          <w:rFonts w:ascii="Arial" w:hAnsi="Arial" w:cs="Arial"/>
          <w:i/>
          <w:sz w:val="18"/>
          <w:szCs w:val="18"/>
        </w:rPr>
        <w:t>.</w:t>
      </w:r>
    </w:p>
    <w:sectPr w:rsidR="00B71F80" w:rsidRPr="000A5D78" w:rsidSect="003640E2">
      <w:headerReference w:type="default" r:id="rId12"/>
      <w:pgSz w:w="12240" w:h="15840"/>
      <w:pgMar w:top="1440" w:right="1440" w:bottom="1440" w:left="1440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14465" w14:textId="77777777" w:rsidR="006D7CC4" w:rsidRDefault="006D7CC4" w:rsidP="008B0AFE">
      <w:pPr>
        <w:spacing w:after="0" w:line="240" w:lineRule="auto"/>
      </w:pPr>
      <w:r>
        <w:separator/>
      </w:r>
    </w:p>
  </w:endnote>
  <w:endnote w:type="continuationSeparator" w:id="0">
    <w:p w14:paraId="2AFC590C" w14:textId="77777777" w:rsidR="006D7CC4" w:rsidRDefault="006D7CC4" w:rsidP="008B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2860F" w14:textId="77777777" w:rsidR="006D7CC4" w:rsidRDefault="006D7CC4" w:rsidP="008B0AFE">
      <w:pPr>
        <w:spacing w:after="0" w:line="240" w:lineRule="auto"/>
      </w:pPr>
      <w:r>
        <w:separator/>
      </w:r>
    </w:p>
  </w:footnote>
  <w:footnote w:type="continuationSeparator" w:id="0">
    <w:p w14:paraId="7AC2A69E" w14:textId="77777777" w:rsidR="006D7CC4" w:rsidRDefault="006D7CC4" w:rsidP="008B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08B15" w14:textId="77777777" w:rsidR="00F86B2F" w:rsidRDefault="003640E2" w:rsidP="00F86B2F">
    <w:pPr>
      <w:jc w:val="center"/>
      <w:rPr>
        <w:rFonts w:ascii="Arial" w:hAnsi="Arial" w:cs="Arial"/>
        <w:b/>
        <w:sz w:val="20"/>
        <w:szCs w:val="20"/>
      </w:rPr>
    </w:pPr>
    <w:r>
      <w:tab/>
    </w:r>
    <w:r w:rsidR="00965785">
      <w:rPr>
        <w:rFonts w:ascii="Arial" w:hAnsi="Arial" w:cs="Arial"/>
        <w:b/>
        <w:sz w:val="20"/>
        <w:szCs w:val="20"/>
      </w:rPr>
      <w:t xml:space="preserve">Seating Supply Arrangement  </w:t>
    </w:r>
    <w:r w:rsidR="00F86B2F">
      <w:rPr>
        <w:rFonts w:ascii="Arial" w:hAnsi="Arial" w:cs="Arial"/>
        <w:b/>
        <w:sz w:val="20"/>
        <w:szCs w:val="20"/>
      </w:rPr>
      <w:t xml:space="preserve">- </w:t>
    </w:r>
    <w:r w:rsidR="00965785">
      <w:rPr>
        <w:rFonts w:ascii="Arial" w:hAnsi="Arial" w:cs="Arial"/>
        <w:b/>
        <w:sz w:val="20"/>
        <w:szCs w:val="20"/>
      </w:rPr>
      <w:t xml:space="preserve">Tier 2 &amp; 3 </w:t>
    </w:r>
  </w:p>
  <w:p w14:paraId="12F8368E" w14:textId="7CC11787" w:rsidR="00965785" w:rsidRPr="00A83441" w:rsidRDefault="00F86B2F" w:rsidP="00F86B2F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Step by Step - </w:t>
    </w:r>
    <w:r w:rsidR="00965785">
      <w:rPr>
        <w:rFonts w:ascii="Arial" w:hAnsi="Arial" w:cs="Arial"/>
        <w:b/>
        <w:sz w:val="20"/>
        <w:szCs w:val="20"/>
      </w:rPr>
      <w:t>How to</w:t>
    </w:r>
  </w:p>
  <w:p w14:paraId="03DE65FA" w14:textId="10291430" w:rsidR="003640E2" w:rsidRDefault="003640E2" w:rsidP="009657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674B"/>
    <w:multiLevelType w:val="hybridMultilevel"/>
    <w:tmpl w:val="093A5D1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A071D"/>
    <w:multiLevelType w:val="hybridMultilevel"/>
    <w:tmpl w:val="1094667A"/>
    <w:lvl w:ilvl="0" w:tplc="1009001B">
      <w:start w:val="1"/>
      <w:numFmt w:val="lowerRoman"/>
      <w:lvlText w:val="%1."/>
      <w:lvlJc w:val="righ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BF7F8E"/>
    <w:multiLevelType w:val="hybridMultilevel"/>
    <w:tmpl w:val="58E6D1EE"/>
    <w:lvl w:ilvl="0" w:tplc="10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2EFE7B02"/>
    <w:multiLevelType w:val="hybridMultilevel"/>
    <w:tmpl w:val="83525186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061211"/>
    <w:multiLevelType w:val="hybridMultilevel"/>
    <w:tmpl w:val="35B82FC4"/>
    <w:lvl w:ilvl="0" w:tplc="D40A02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357BFA"/>
    <w:multiLevelType w:val="hybridMultilevel"/>
    <w:tmpl w:val="EDD4A15C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023F4D"/>
    <w:multiLevelType w:val="hybridMultilevel"/>
    <w:tmpl w:val="48A68A94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403B4AFA"/>
    <w:multiLevelType w:val="hybridMultilevel"/>
    <w:tmpl w:val="806C31F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24C23"/>
    <w:multiLevelType w:val="hybridMultilevel"/>
    <w:tmpl w:val="6DC6D3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179F2"/>
    <w:multiLevelType w:val="hybridMultilevel"/>
    <w:tmpl w:val="7BE21642"/>
    <w:lvl w:ilvl="0" w:tplc="20DC1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8B0"/>
    <w:multiLevelType w:val="hybridMultilevel"/>
    <w:tmpl w:val="ED0EDAA4"/>
    <w:lvl w:ilvl="0" w:tplc="988E2F02">
      <w:start w:val="1"/>
      <w:numFmt w:val="decimal"/>
      <w:lvlText w:val="%1."/>
      <w:lvlJc w:val="left"/>
      <w:pPr>
        <w:ind w:left="501" w:hanging="360"/>
      </w:pPr>
      <w:rPr>
        <w:i w:val="0"/>
        <w:color w:val="auto"/>
      </w:rPr>
    </w:lvl>
    <w:lvl w:ilvl="1" w:tplc="4894D2F2">
      <w:start w:val="1"/>
      <w:numFmt w:val="lowerLetter"/>
      <w:lvlText w:val="%2."/>
      <w:lvlJc w:val="left"/>
      <w:pPr>
        <w:ind w:left="1221" w:hanging="360"/>
      </w:pPr>
      <w:rPr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1941" w:hanging="180"/>
      </w:pPr>
    </w:lvl>
    <w:lvl w:ilvl="3" w:tplc="1009000F" w:tentative="1">
      <w:start w:val="1"/>
      <w:numFmt w:val="decimal"/>
      <w:lvlText w:val="%4."/>
      <w:lvlJc w:val="left"/>
      <w:pPr>
        <w:ind w:left="2661" w:hanging="360"/>
      </w:pPr>
    </w:lvl>
    <w:lvl w:ilvl="4" w:tplc="10090019" w:tentative="1">
      <w:start w:val="1"/>
      <w:numFmt w:val="lowerLetter"/>
      <w:lvlText w:val="%5."/>
      <w:lvlJc w:val="left"/>
      <w:pPr>
        <w:ind w:left="3381" w:hanging="360"/>
      </w:pPr>
    </w:lvl>
    <w:lvl w:ilvl="5" w:tplc="1009001B" w:tentative="1">
      <w:start w:val="1"/>
      <w:numFmt w:val="lowerRoman"/>
      <w:lvlText w:val="%6."/>
      <w:lvlJc w:val="right"/>
      <w:pPr>
        <w:ind w:left="4101" w:hanging="180"/>
      </w:pPr>
    </w:lvl>
    <w:lvl w:ilvl="6" w:tplc="1009000F" w:tentative="1">
      <w:start w:val="1"/>
      <w:numFmt w:val="decimal"/>
      <w:lvlText w:val="%7."/>
      <w:lvlJc w:val="left"/>
      <w:pPr>
        <w:ind w:left="4821" w:hanging="360"/>
      </w:pPr>
    </w:lvl>
    <w:lvl w:ilvl="7" w:tplc="10090019" w:tentative="1">
      <w:start w:val="1"/>
      <w:numFmt w:val="lowerLetter"/>
      <w:lvlText w:val="%8."/>
      <w:lvlJc w:val="left"/>
      <w:pPr>
        <w:ind w:left="5541" w:hanging="360"/>
      </w:pPr>
    </w:lvl>
    <w:lvl w:ilvl="8" w:tplc="1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5D7D60D9"/>
    <w:multiLevelType w:val="hybridMultilevel"/>
    <w:tmpl w:val="21566476"/>
    <w:lvl w:ilvl="0" w:tplc="4650D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B60F59"/>
    <w:multiLevelType w:val="hybridMultilevel"/>
    <w:tmpl w:val="CEEEFC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0591253">
    <w:abstractNumId w:val="10"/>
  </w:num>
  <w:num w:numId="2" w16cid:durableId="2139836413">
    <w:abstractNumId w:val="8"/>
  </w:num>
  <w:num w:numId="3" w16cid:durableId="1564483216">
    <w:abstractNumId w:val="9"/>
  </w:num>
  <w:num w:numId="4" w16cid:durableId="1039626132">
    <w:abstractNumId w:val="12"/>
  </w:num>
  <w:num w:numId="5" w16cid:durableId="2012293461">
    <w:abstractNumId w:val="1"/>
  </w:num>
  <w:num w:numId="6" w16cid:durableId="683283210">
    <w:abstractNumId w:val="4"/>
  </w:num>
  <w:num w:numId="7" w16cid:durableId="1199049117">
    <w:abstractNumId w:val="5"/>
  </w:num>
  <w:num w:numId="8" w16cid:durableId="729109606">
    <w:abstractNumId w:val="11"/>
  </w:num>
  <w:num w:numId="9" w16cid:durableId="685330208">
    <w:abstractNumId w:val="0"/>
  </w:num>
  <w:num w:numId="10" w16cid:durableId="1602907921">
    <w:abstractNumId w:val="6"/>
  </w:num>
  <w:num w:numId="11" w16cid:durableId="1389256468">
    <w:abstractNumId w:val="7"/>
  </w:num>
  <w:num w:numId="12" w16cid:durableId="787360554">
    <w:abstractNumId w:val="2"/>
  </w:num>
  <w:num w:numId="13" w16cid:durableId="1735617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AEA"/>
    <w:rsid w:val="00004B62"/>
    <w:rsid w:val="0007620D"/>
    <w:rsid w:val="000901FB"/>
    <w:rsid w:val="000A5D78"/>
    <w:rsid w:val="000F00D7"/>
    <w:rsid w:val="001B15C7"/>
    <w:rsid w:val="001E5F8A"/>
    <w:rsid w:val="00206043"/>
    <w:rsid w:val="002421A3"/>
    <w:rsid w:val="002A6F2B"/>
    <w:rsid w:val="002D0724"/>
    <w:rsid w:val="00311019"/>
    <w:rsid w:val="00315C45"/>
    <w:rsid w:val="003640E2"/>
    <w:rsid w:val="0038049B"/>
    <w:rsid w:val="00386E7B"/>
    <w:rsid w:val="0039097B"/>
    <w:rsid w:val="00403630"/>
    <w:rsid w:val="00405AFF"/>
    <w:rsid w:val="00435FD0"/>
    <w:rsid w:val="0047222C"/>
    <w:rsid w:val="00500400"/>
    <w:rsid w:val="00552112"/>
    <w:rsid w:val="005554E3"/>
    <w:rsid w:val="00563D38"/>
    <w:rsid w:val="006028F7"/>
    <w:rsid w:val="00633225"/>
    <w:rsid w:val="006D42FD"/>
    <w:rsid w:val="006D7CC4"/>
    <w:rsid w:val="0072709F"/>
    <w:rsid w:val="0073078D"/>
    <w:rsid w:val="0077781C"/>
    <w:rsid w:val="007A3DC4"/>
    <w:rsid w:val="008B0AFE"/>
    <w:rsid w:val="008F09BE"/>
    <w:rsid w:val="0092081C"/>
    <w:rsid w:val="00965785"/>
    <w:rsid w:val="00970299"/>
    <w:rsid w:val="00973C8F"/>
    <w:rsid w:val="0098355E"/>
    <w:rsid w:val="00990B5F"/>
    <w:rsid w:val="009A1CB8"/>
    <w:rsid w:val="009E3676"/>
    <w:rsid w:val="00A32E4F"/>
    <w:rsid w:val="00A54314"/>
    <w:rsid w:val="00A70F95"/>
    <w:rsid w:val="00B71F80"/>
    <w:rsid w:val="00B86AD1"/>
    <w:rsid w:val="00C45D3A"/>
    <w:rsid w:val="00C55D81"/>
    <w:rsid w:val="00C6145A"/>
    <w:rsid w:val="00C75D58"/>
    <w:rsid w:val="00CA1403"/>
    <w:rsid w:val="00CE3E5A"/>
    <w:rsid w:val="00DA4347"/>
    <w:rsid w:val="00DD4440"/>
    <w:rsid w:val="00DF5703"/>
    <w:rsid w:val="00E220A4"/>
    <w:rsid w:val="00E64169"/>
    <w:rsid w:val="00E71D33"/>
    <w:rsid w:val="00E73BE4"/>
    <w:rsid w:val="00E76994"/>
    <w:rsid w:val="00E7722A"/>
    <w:rsid w:val="00EB5AEA"/>
    <w:rsid w:val="00ED4687"/>
    <w:rsid w:val="00F057DA"/>
    <w:rsid w:val="00F26AF0"/>
    <w:rsid w:val="00F62F64"/>
    <w:rsid w:val="00F8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5267B"/>
  <w15:chartTrackingRefBased/>
  <w15:docId w15:val="{64FC8F1A-C5CF-4C5B-8FD4-1D350559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0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AFE"/>
  </w:style>
  <w:style w:type="paragraph" w:styleId="Footer">
    <w:name w:val="footer"/>
    <w:basedOn w:val="Normal"/>
    <w:link w:val="FooterChar"/>
    <w:uiPriority w:val="99"/>
    <w:unhideWhenUsed/>
    <w:rsid w:val="008B0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AFE"/>
  </w:style>
  <w:style w:type="paragraph" w:styleId="ListParagraph">
    <w:name w:val="List Paragraph"/>
    <w:basedOn w:val="Normal"/>
    <w:uiPriority w:val="34"/>
    <w:qFormat/>
    <w:rsid w:val="008B0A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A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63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0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4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6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6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6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yandsell.gc.c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yandsell.gc.ca/policy-and-guidelines/supply-manual/section/3/5/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PSGC.PARCNAmeublement-APNCRFurniture.PWGSC@tpsgc-pwgsc.gc.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cpedia.gc.ca/wiki/Workspaces_Supply_Arrange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cpedia.gc.ca/wiki/Office_Furnitu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Canada/Gouvernement du Canada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Clouthier</dc:creator>
  <cp:keywords/>
  <dc:description/>
  <cp:lastModifiedBy>Sellers, Joy (SPAC/PSPC)</cp:lastModifiedBy>
  <cp:revision>8</cp:revision>
  <cp:lastPrinted>2020-03-10T18:00:00Z</cp:lastPrinted>
  <dcterms:created xsi:type="dcterms:W3CDTF">2020-05-29T16:36:00Z</dcterms:created>
  <dcterms:modified xsi:type="dcterms:W3CDTF">2023-03-29T13:41:00Z</dcterms:modified>
</cp:coreProperties>
</file>