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0" w:rsidRDefault="00BB3250" w:rsidP="00BB3250">
      <w:pPr>
        <w:pStyle w:val="Heading1"/>
      </w:pPr>
      <w:r>
        <w:t>Regulatory Costing Calculator – Hands on Training Cheat Sheets</w:t>
      </w:r>
    </w:p>
    <w:p w:rsidR="000060FF" w:rsidRDefault="000060FF" w:rsidP="000060FF">
      <w:pPr>
        <w:pStyle w:val="Heading2"/>
      </w:pPr>
      <w:r>
        <w:t>Regulation Details</w:t>
      </w:r>
    </w:p>
    <w:tbl>
      <w:tblPr>
        <w:tblW w:w="10240" w:type="dxa"/>
        <w:tblInd w:w="108" w:type="dxa"/>
        <w:tblLook w:val="04A0" w:firstRow="1" w:lastRow="0" w:firstColumn="1" w:lastColumn="0" w:noHBand="0" w:noVBand="1"/>
      </w:tblPr>
      <w:tblGrid>
        <w:gridCol w:w="4268"/>
        <w:gridCol w:w="5972"/>
      </w:tblGrid>
      <w:tr w:rsidR="000060FF" w:rsidRPr="000060FF" w:rsidTr="000060FF">
        <w:trPr>
          <w:trHeight w:val="525"/>
        </w:trPr>
        <w:tc>
          <w:tcPr>
            <w:tcW w:w="4268" w:type="dxa"/>
            <w:tcBorders>
              <w:top w:val="nil"/>
              <w:left w:val="nil"/>
              <w:bottom w:val="nil"/>
              <w:right w:val="nil"/>
            </w:tcBorders>
            <w:shd w:val="clear" w:color="000000" w:fill="EBF1DE"/>
            <w:noWrap/>
            <w:vAlign w:val="center"/>
            <w:hideMark/>
          </w:tcPr>
          <w:p w:rsidR="000060FF" w:rsidRPr="000060FF" w:rsidRDefault="000060FF" w:rsidP="000060FF">
            <w:pPr>
              <w:spacing w:after="0" w:line="240" w:lineRule="auto"/>
              <w:rPr>
                <w:rFonts w:ascii="Arial" w:eastAsia="Times New Roman" w:hAnsi="Arial" w:cs="Arial"/>
                <w:b/>
                <w:bCs/>
                <w:sz w:val="20"/>
                <w:szCs w:val="20"/>
              </w:rPr>
            </w:pPr>
            <w:r w:rsidRPr="000060FF">
              <w:rPr>
                <w:rFonts w:ascii="Arial" w:eastAsia="Times New Roman" w:hAnsi="Arial" w:cs="Arial"/>
                <w:b/>
                <w:bCs/>
                <w:sz w:val="20"/>
                <w:szCs w:val="20"/>
              </w:rPr>
              <w:t>Name of regulatory change:</w:t>
            </w:r>
          </w:p>
        </w:tc>
        <w:tc>
          <w:tcPr>
            <w:tcW w:w="5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0FF" w:rsidRPr="000060FF" w:rsidRDefault="000060FF" w:rsidP="000060FF">
            <w:pPr>
              <w:spacing w:after="0" w:line="240" w:lineRule="auto"/>
              <w:rPr>
                <w:rFonts w:ascii="Arial" w:eastAsia="Times New Roman" w:hAnsi="Arial" w:cs="Arial"/>
                <w:sz w:val="20"/>
                <w:szCs w:val="20"/>
              </w:rPr>
            </w:pPr>
            <w:bookmarkStart w:id="0" w:name="RANGE!C4"/>
            <w:r w:rsidRPr="000060FF">
              <w:rPr>
                <w:rFonts w:ascii="Arial" w:eastAsia="Times New Roman" w:hAnsi="Arial" w:cs="Arial"/>
                <w:sz w:val="20"/>
                <w:szCs w:val="20"/>
              </w:rPr>
              <w:t xml:space="preserve">Regulations Supporting the Safe International and Interprovincial Operation of Self-Driving Vehicles </w:t>
            </w:r>
            <w:bookmarkEnd w:id="0"/>
          </w:p>
        </w:tc>
      </w:tr>
      <w:tr w:rsidR="000060FF" w:rsidRPr="000060FF" w:rsidTr="000060FF">
        <w:trPr>
          <w:trHeight w:val="1320"/>
        </w:trPr>
        <w:tc>
          <w:tcPr>
            <w:tcW w:w="4268" w:type="dxa"/>
            <w:tcBorders>
              <w:top w:val="nil"/>
              <w:left w:val="nil"/>
              <w:bottom w:val="nil"/>
              <w:right w:val="nil"/>
            </w:tcBorders>
            <w:shd w:val="clear" w:color="000000" w:fill="EBF1DE"/>
            <w:noWrap/>
            <w:vAlign w:val="center"/>
            <w:hideMark/>
          </w:tcPr>
          <w:p w:rsidR="000060FF" w:rsidRPr="000060FF" w:rsidRDefault="000060FF" w:rsidP="000060FF">
            <w:pPr>
              <w:spacing w:after="0" w:line="240" w:lineRule="auto"/>
              <w:rPr>
                <w:rFonts w:ascii="Arial" w:eastAsia="Times New Roman" w:hAnsi="Arial" w:cs="Arial"/>
                <w:b/>
                <w:bCs/>
                <w:sz w:val="20"/>
                <w:szCs w:val="20"/>
              </w:rPr>
            </w:pPr>
            <w:r w:rsidRPr="000060FF">
              <w:rPr>
                <w:rFonts w:ascii="Arial" w:eastAsia="Times New Roman" w:hAnsi="Arial" w:cs="Arial"/>
                <w:b/>
                <w:bCs/>
                <w:sz w:val="20"/>
                <w:szCs w:val="20"/>
              </w:rPr>
              <w:t>Select type:</w:t>
            </w:r>
          </w:p>
        </w:tc>
        <w:tc>
          <w:tcPr>
            <w:tcW w:w="5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0FF" w:rsidRPr="000060FF" w:rsidRDefault="000060FF" w:rsidP="000060FF">
            <w:pPr>
              <w:spacing w:after="0" w:line="240" w:lineRule="auto"/>
              <w:rPr>
                <w:rFonts w:ascii="Arial" w:eastAsia="Times New Roman" w:hAnsi="Arial" w:cs="Arial"/>
                <w:sz w:val="20"/>
                <w:szCs w:val="20"/>
              </w:rPr>
            </w:pPr>
            <w:bookmarkStart w:id="1" w:name="RANGE!C6"/>
            <w:r w:rsidRPr="000060FF">
              <w:rPr>
                <w:rFonts w:ascii="Arial" w:eastAsia="Times New Roman" w:hAnsi="Arial" w:cs="Arial"/>
                <w:sz w:val="20"/>
                <w:szCs w:val="20"/>
              </w:rPr>
              <w:t>"IN" (One-for-One Rule)</w:t>
            </w:r>
            <w:bookmarkEnd w:id="1"/>
          </w:p>
        </w:tc>
      </w:tr>
      <w:tr w:rsidR="000060FF" w:rsidRPr="000060FF" w:rsidTr="000060FF">
        <w:trPr>
          <w:trHeight w:val="600"/>
        </w:trPr>
        <w:tc>
          <w:tcPr>
            <w:tcW w:w="4268" w:type="dxa"/>
            <w:tcBorders>
              <w:top w:val="nil"/>
              <w:left w:val="nil"/>
              <w:bottom w:val="nil"/>
              <w:right w:val="nil"/>
            </w:tcBorders>
            <w:shd w:val="clear" w:color="000000" w:fill="EBF1DE"/>
            <w:noWrap/>
            <w:vAlign w:val="center"/>
            <w:hideMark/>
          </w:tcPr>
          <w:p w:rsidR="000060FF" w:rsidRPr="000060FF" w:rsidRDefault="000060FF" w:rsidP="000060FF">
            <w:pPr>
              <w:spacing w:after="0" w:line="240" w:lineRule="auto"/>
              <w:rPr>
                <w:rFonts w:ascii="Arial" w:eastAsia="Times New Roman" w:hAnsi="Arial" w:cs="Arial"/>
                <w:b/>
                <w:bCs/>
                <w:sz w:val="20"/>
                <w:szCs w:val="20"/>
              </w:rPr>
            </w:pPr>
            <w:r w:rsidRPr="000060FF">
              <w:rPr>
                <w:rFonts w:ascii="Arial" w:eastAsia="Times New Roman" w:hAnsi="Arial" w:cs="Arial"/>
                <w:b/>
                <w:bCs/>
                <w:sz w:val="20"/>
                <w:szCs w:val="20"/>
              </w:rPr>
              <w:t>Responsible Department (s):</w:t>
            </w:r>
          </w:p>
        </w:tc>
        <w:tc>
          <w:tcPr>
            <w:tcW w:w="5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0FF" w:rsidRPr="000060FF" w:rsidRDefault="000060FF" w:rsidP="000060FF">
            <w:pPr>
              <w:spacing w:after="0" w:line="240" w:lineRule="auto"/>
              <w:rPr>
                <w:rFonts w:ascii="Arial" w:eastAsia="Times New Roman" w:hAnsi="Arial" w:cs="Arial"/>
                <w:sz w:val="20"/>
                <w:szCs w:val="20"/>
              </w:rPr>
            </w:pPr>
            <w:bookmarkStart w:id="2" w:name="RANGE!C8"/>
            <w:r w:rsidRPr="000060FF">
              <w:rPr>
                <w:rFonts w:ascii="Arial" w:eastAsia="Times New Roman" w:hAnsi="Arial" w:cs="Arial"/>
                <w:sz w:val="20"/>
                <w:szCs w:val="20"/>
              </w:rPr>
              <w:t>Autonomous Vehicles Agency of Canada</w:t>
            </w:r>
            <w:bookmarkEnd w:id="2"/>
          </w:p>
        </w:tc>
      </w:tr>
      <w:tr w:rsidR="000060FF" w:rsidRPr="000060FF" w:rsidTr="000060FF">
        <w:trPr>
          <w:trHeight w:val="2205"/>
        </w:trPr>
        <w:tc>
          <w:tcPr>
            <w:tcW w:w="4268" w:type="dxa"/>
            <w:tcBorders>
              <w:top w:val="nil"/>
              <w:left w:val="nil"/>
              <w:bottom w:val="nil"/>
              <w:right w:val="nil"/>
            </w:tcBorders>
            <w:shd w:val="clear" w:color="000000" w:fill="EBF1DE"/>
            <w:vAlign w:val="center"/>
            <w:hideMark/>
          </w:tcPr>
          <w:p w:rsidR="000060FF" w:rsidRPr="000060FF" w:rsidRDefault="000060FF" w:rsidP="000060FF">
            <w:pPr>
              <w:spacing w:after="0" w:line="240" w:lineRule="auto"/>
              <w:rPr>
                <w:rFonts w:ascii="Arial" w:eastAsia="Times New Roman" w:hAnsi="Arial" w:cs="Arial"/>
                <w:b/>
                <w:bCs/>
                <w:sz w:val="20"/>
                <w:szCs w:val="20"/>
              </w:rPr>
            </w:pPr>
            <w:r w:rsidRPr="000060FF">
              <w:rPr>
                <w:rFonts w:ascii="Arial" w:eastAsia="Times New Roman" w:hAnsi="Arial" w:cs="Arial"/>
                <w:b/>
                <w:bCs/>
                <w:sz w:val="20"/>
                <w:szCs w:val="20"/>
              </w:rPr>
              <w:t>Brief description of the regulation:</w:t>
            </w:r>
          </w:p>
        </w:tc>
        <w:tc>
          <w:tcPr>
            <w:tcW w:w="5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0FF" w:rsidRPr="000060FF" w:rsidRDefault="000060FF" w:rsidP="000060FF">
            <w:pPr>
              <w:spacing w:after="0" w:line="240" w:lineRule="auto"/>
              <w:rPr>
                <w:rFonts w:ascii="Arial" w:eastAsia="Times New Roman" w:hAnsi="Arial" w:cs="Arial"/>
                <w:sz w:val="20"/>
                <w:szCs w:val="20"/>
              </w:rPr>
            </w:pPr>
            <w:bookmarkStart w:id="3" w:name="RANGE!C10"/>
            <w:r w:rsidRPr="000060FF">
              <w:rPr>
                <w:rFonts w:ascii="Arial" w:eastAsia="Times New Roman" w:hAnsi="Arial" w:cs="Arial"/>
                <w:sz w:val="20"/>
                <w:szCs w:val="20"/>
              </w:rPr>
              <w:t>This regulation is intended to set guidelines for the safe operation of self-driving vehicles</w:t>
            </w:r>
            <w:r>
              <w:rPr>
                <w:rFonts w:ascii="Arial" w:eastAsia="Times New Roman" w:hAnsi="Arial" w:cs="Arial"/>
                <w:sz w:val="20"/>
                <w:szCs w:val="20"/>
              </w:rPr>
              <w:t xml:space="preserve"> (SDV)</w:t>
            </w:r>
            <w:r w:rsidRPr="000060FF">
              <w:rPr>
                <w:rFonts w:ascii="Arial" w:eastAsia="Times New Roman" w:hAnsi="Arial" w:cs="Arial"/>
                <w:sz w:val="20"/>
                <w:szCs w:val="20"/>
              </w:rPr>
              <w:t xml:space="preserve"> used for commercial purposes to transport goods between provinces and into neighboring countries.</w:t>
            </w:r>
            <w:r w:rsidRPr="000060FF">
              <w:rPr>
                <w:rFonts w:ascii="Arial" w:eastAsia="Times New Roman" w:hAnsi="Arial" w:cs="Arial"/>
                <w:sz w:val="20"/>
                <w:szCs w:val="20"/>
              </w:rPr>
              <w:br/>
            </w:r>
            <w:r w:rsidRPr="000060FF">
              <w:rPr>
                <w:rFonts w:ascii="Arial" w:eastAsia="Times New Roman" w:hAnsi="Arial" w:cs="Arial"/>
                <w:sz w:val="20"/>
                <w:szCs w:val="20"/>
              </w:rPr>
              <w:br/>
              <w:t>The regulation sets up minimal standards required for businesses to be licensed operators of such vehicles and requires retailers to provide key data before being registered as approved sellers of such vehicles.</w:t>
            </w:r>
            <w:bookmarkEnd w:id="3"/>
          </w:p>
        </w:tc>
      </w:tr>
    </w:tbl>
    <w:p w:rsidR="000060FF" w:rsidRPr="000060FF" w:rsidRDefault="000060FF" w:rsidP="000060FF"/>
    <w:p w:rsidR="00BB3250" w:rsidRPr="00BB3250" w:rsidRDefault="00BB3250" w:rsidP="00BB3250">
      <w:pPr>
        <w:pStyle w:val="Heading2"/>
      </w:pPr>
      <w:r>
        <w:t>Stakeholder Groups</w:t>
      </w:r>
    </w:p>
    <w:tbl>
      <w:tblPr>
        <w:tblStyle w:val="TableGrid"/>
        <w:tblW w:w="0" w:type="auto"/>
        <w:tblLook w:val="04A0" w:firstRow="1" w:lastRow="0" w:firstColumn="1" w:lastColumn="0" w:noHBand="0" w:noVBand="1"/>
      </w:tblPr>
      <w:tblGrid>
        <w:gridCol w:w="2527"/>
        <w:gridCol w:w="1418"/>
        <w:gridCol w:w="2025"/>
        <w:gridCol w:w="1758"/>
        <w:gridCol w:w="1848"/>
      </w:tblGrid>
      <w:tr w:rsidR="000C4F77" w:rsidRPr="00D67074" w:rsidTr="00BB3250">
        <w:tc>
          <w:tcPr>
            <w:tcW w:w="9576" w:type="dxa"/>
            <w:gridSpan w:val="5"/>
            <w:tcBorders>
              <w:bottom w:val="single" w:sz="4" w:space="0" w:color="auto"/>
            </w:tcBorders>
          </w:tcPr>
          <w:p w:rsidR="000C4F77" w:rsidRPr="00D67074" w:rsidRDefault="000C4F77" w:rsidP="002200B0">
            <w:pPr>
              <w:shd w:val="clear" w:color="auto" w:fill="FFFFFF" w:themeFill="background1"/>
              <w:jc w:val="center"/>
              <w:rPr>
                <w:rFonts w:ascii="Times New Roman" w:hAnsi="Times New Roman" w:cs="Times New Roman"/>
                <w:b/>
                <w:vanish/>
              </w:rPr>
            </w:pPr>
            <w:r w:rsidRPr="00D67074">
              <w:rPr>
                <w:rFonts w:ascii="Times New Roman" w:hAnsi="Times New Roman" w:cs="Times New Roman"/>
                <w:b/>
              </w:rPr>
              <w:t>Custom Stakeholder Groups</w:t>
            </w:r>
          </w:p>
        </w:tc>
      </w:tr>
      <w:tr w:rsidR="000C4F77" w:rsidRPr="00D67074" w:rsidTr="00BB3250">
        <w:tc>
          <w:tcPr>
            <w:tcW w:w="2527" w:type="dxa"/>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Name</w:t>
            </w:r>
          </w:p>
        </w:tc>
        <w:tc>
          <w:tcPr>
            <w:tcW w:w="1418" w:type="dxa"/>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Small</w:t>
            </w:r>
          </w:p>
        </w:tc>
        <w:tc>
          <w:tcPr>
            <w:tcW w:w="2025" w:type="dxa"/>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Medium/Large</w:t>
            </w:r>
          </w:p>
        </w:tc>
        <w:tc>
          <w:tcPr>
            <w:tcW w:w="1758" w:type="dxa"/>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Total</w:t>
            </w:r>
          </w:p>
        </w:tc>
        <w:tc>
          <w:tcPr>
            <w:tcW w:w="1848" w:type="dxa"/>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Growth Rate</w:t>
            </w:r>
          </w:p>
        </w:tc>
      </w:tr>
      <w:tr w:rsidR="000C4F77" w:rsidRPr="00D67074" w:rsidTr="00BB3250">
        <w:trPr>
          <w:trHeight w:val="452"/>
        </w:trPr>
        <w:tc>
          <w:tcPr>
            <w:tcW w:w="2527" w:type="dxa"/>
          </w:tcPr>
          <w:p w:rsidR="000C4F77" w:rsidRPr="00D67074" w:rsidRDefault="000C4F77" w:rsidP="002200B0">
            <w:pPr>
              <w:shd w:val="clear" w:color="auto" w:fill="FFFFFF" w:themeFill="background1"/>
              <w:rPr>
                <w:rFonts w:ascii="Times New Roman" w:hAnsi="Times New Roman" w:cs="Times New Roman"/>
                <w:vanish/>
              </w:rPr>
            </w:pPr>
            <w:r>
              <w:rPr>
                <w:rFonts w:ascii="Times New Roman" w:hAnsi="Times New Roman" w:cs="Times New Roman"/>
              </w:rPr>
              <w:t>Truck Transportation using SDV</w:t>
            </w:r>
          </w:p>
        </w:tc>
        <w:tc>
          <w:tcPr>
            <w:tcW w:w="1418" w:type="dxa"/>
          </w:tcPr>
          <w:p w:rsidR="000C4F77" w:rsidRPr="00D67074" w:rsidRDefault="000C4F77" w:rsidP="00127C71">
            <w:r>
              <w:t>70,269</w:t>
            </w:r>
          </w:p>
        </w:tc>
        <w:tc>
          <w:tcPr>
            <w:tcW w:w="2025" w:type="dxa"/>
          </w:tcPr>
          <w:p w:rsidR="000C4F77" w:rsidRPr="00D67074" w:rsidRDefault="000C4F77" w:rsidP="00127C71">
            <w:r>
              <w:t>212</w:t>
            </w:r>
          </w:p>
        </w:tc>
        <w:tc>
          <w:tcPr>
            <w:tcW w:w="1758" w:type="dxa"/>
          </w:tcPr>
          <w:p w:rsidR="000C4F77" w:rsidRPr="00D67074" w:rsidRDefault="000C4F77" w:rsidP="00127C71">
            <w:r>
              <w:t>70,481</w:t>
            </w:r>
          </w:p>
        </w:tc>
        <w:tc>
          <w:tcPr>
            <w:tcW w:w="1848" w:type="dxa"/>
          </w:tcPr>
          <w:p w:rsidR="000C4F77" w:rsidRPr="00D67074" w:rsidRDefault="000C4F77" w:rsidP="00127C71">
            <w:r>
              <w:t>10%</w:t>
            </w:r>
          </w:p>
        </w:tc>
      </w:tr>
      <w:tr w:rsidR="000C4F77" w:rsidRPr="00D67074" w:rsidTr="00BB3250">
        <w:tc>
          <w:tcPr>
            <w:tcW w:w="2527" w:type="dxa"/>
          </w:tcPr>
          <w:p w:rsidR="000C4F77" w:rsidRPr="00D67074" w:rsidRDefault="000C4F77" w:rsidP="002200B0">
            <w:pPr>
              <w:shd w:val="clear" w:color="auto" w:fill="FFFFFF" w:themeFill="background1"/>
              <w:rPr>
                <w:rFonts w:ascii="Times New Roman" w:hAnsi="Times New Roman" w:cs="Times New Roman"/>
                <w:vanish/>
              </w:rPr>
            </w:pPr>
            <w:r w:rsidRPr="000C4F77">
              <w:rPr>
                <w:rFonts w:ascii="Times New Roman" w:hAnsi="Times New Roman" w:cs="Times New Roman"/>
              </w:rPr>
              <w:t>Vehicle Dealers Selling SDV</w:t>
            </w:r>
          </w:p>
        </w:tc>
        <w:tc>
          <w:tcPr>
            <w:tcW w:w="1418" w:type="dxa"/>
          </w:tcPr>
          <w:p w:rsidR="000C4F77" w:rsidRPr="00D67074" w:rsidRDefault="000C4F77" w:rsidP="00127C71">
            <w:r>
              <w:t>50</w:t>
            </w:r>
          </w:p>
        </w:tc>
        <w:tc>
          <w:tcPr>
            <w:tcW w:w="2025" w:type="dxa"/>
          </w:tcPr>
          <w:p w:rsidR="000C4F77" w:rsidRPr="00D67074" w:rsidRDefault="000C4F77" w:rsidP="00127C71">
            <w:r>
              <w:t>25</w:t>
            </w:r>
          </w:p>
        </w:tc>
        <w:tc>
          <w:tcPr>
            <w:tcW w:w="1758" w:type="dxa"/>
          </w:tcPr>
          <w:p w:rsidR="000C4F77" w:rsidRPr="00D67074" w:rsidRDefault="000C4F77" w:rsidP="00127C71">
            <w:r>
              <w:t>75</w:t>
            </w:r>
          </w:p>
        </w:tc>
        <w:tc>
          <w:tcPr>
            <w:tcW w:w="1848" w:type="dxa"/>
          </w:tcPr>
          <w:p w:rsidR="000C4F77" w:rsidRPr="00D67074" w:rsidRDefault="000C4F77" w:rsidP="00127C71">
            <w:r>
              <w:t>10%</w:t>
            </w:r>
          </w:p>
        </w:tc>
      </w:tr>
      <w:tr w:rsidR="000C4F77" w:rsidRPr="00D67074" w:rsidTr="00BB3250">
        <w:tc>
          <w:tcPr>
            <w:tcW w:w="9576" w:type="dxa"/>
            <w:gridSpan w:val="5"/>
            <w:tcBorders>
              <w:bottom w:val="single" w:sz="4" w:space="0" w:color="auto"/>
            </w:tcBorders>
          </w:tcPr>
          <w:p w:rsidR="000C4F77" w:rsidRPr="00D67074" w:rsidRDefault="000C4F77" w:rsidP="002200B0">
            <w:pPr>
              <w:shd w:val="clear" w:color="auto" w:fill="FFFFFF" w:themeFill="background1"/>
              <w:jc w:val="center"/>
              <w:rPr>
                <w:rFonts w:ascii="Times New Roman" w:hAnsi="Times New Roman" w:cs="Times New Roman"/>
                <w:b/>
                <w:vanish/>
              </w:rPr>
            </w:pPr>
            <w:r w:rsidRPr="00D67074">
              <w:rPr>
                <w:rFonts w:ascii="Times New Roman" w:hAnsi="Times New Roman" w:cs="Times New Roman"/>
                <w:b/>
              </w:rPr>
              <w:t>NAICS Stakeholder Groups</w:t>
            </w:r>
            <w:r w:rsidRPr="00D67074">
              <w:rPr>
                <w:rStyle w:val="FootnoteReference"/>
                <w:rFonts w:ascii="Times New Roman" w:hAnsi="Times New Roman" w:cs="Times New Roman"/>
                <w:b/>
              </w:rPr>
              <w:footnoteReference w:id="1"/>
            </w:r>
          </w:p>
        </w:tc>
      </w:tr>
      <w:tr w:rsidR="000C4F77" w:rsidRPr="00D67074" w:rsidTr="00BB3250">
        <w:tc>
          <w:tcPr>
            <w:tcW w:w="2527" w:type="dxa"/>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Name</w:t>
            </w:r>
          </w:p>
        </w:tc>
        <w:tc>
          <w:tcPr>
            <w:tcW w:w="7049" w:type="dxa"/>
            <w:gridSpan w:val="4"/>
            <w:shd w:val="clear" w:color="auto" w:fill="D9D9D9" w:themeFill="background1" w:themeFillShade="D9"/>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Associated NAICS</w:t>
            </w:r>
          </w:p>
        </w:tc>
      </w:tr>
      <w:tr w:rsidR="000C4F77" w:rsidRPr="00D67074" w:rsidTr="00BB3250">
        <w:tc>
          <w:tcPr>
            <w:tcW w:w="2527" w:type="dxa"/>
          </w:tcPr>
          <w:p w:rsidR="000C4F77" w:rsidRPr="00D67074" w:rsidRDefault="000C4F77" w:rsidP="002200B0">
            <w:pPr>
              <w:shd w:val="clear" w:color="auto" w:fill="FFFFFF" w:themeFill="background1"/>
              <w:rPr>
                <w:rFonts w:ascii="Times New Roman" w:hAnsi="Times New Roman" w:cs="Times New Roman"/>
                <w:vanish/>
              </w:rPr>
            </w:pPr>
            <w:r w:rsidRPr="00D67074">
              <w:rPr>
                <w:rFonts w:ascii="Times New Roman" w:hAnsi="Times New Roman" w:cs="Times New Roman"/>
              </w:rPr>
              <w:t>NAICS Group 1</w:t>
            </w:r>
          </w:p>
        </w:tc>
        <w:tc>
          <w:tcPr>
            <w:tcW w:w="7049" w:type="dxa"/>
            <w:gridSpan w:val="4"/>
          </w:tcPr>
          <w:p w:rsidR="000C4F77" w:rsidRPr="000C4F77" w:rsidRDefault="00127C71" w:rsidP="000C4F77">
            <w:pPr>
              <w:shd w:val="clear" w:color="auto" w:fill="FFFFFF" w:themeFill="background1"/>
              <w:rPr>
                <w:rFonts w:ascii="Times New Roman" w:hAnsi="Times New Roman" w:cs="Times New Roman"/>
              </w:rPr>
            </w:pPr>
            <w:r w:rsidRPr="000C4F77">
              <w:rPr>
                <w:rFonts w:ascii="Times New Roman" w:hAnsi="Times New Roman" w:cs="Times New Roman"/>
              </w:rPr>
              <w:t>441110 - New Car Dealers</w:t>
            </w:r>
          </w:p>
        </w:tc>
      </w:tr>
      <w:tr w:rsidR="000C4F77" w:rsidRPr="00D67074" w:rsidTr="00BB3250">
        <w:tc>
          <w:tcPr>
            <w:tcW w:w="2527" w:type="dxa"/>
          </w:tcPr>
          <w:p w:rsidR="000C4F77" w:rsidRPr="00D67074" w:rsidRDefault="000C4F77" w:rsidP="002200B0">
            <w:pPr>
              <w:shd w:val="clear" w:color="auto" w:fill="FFFFFF" w:themeFill="background1"/>
              <w:rPr>
                <w:rFonts w:ascii="Times New Roman" w:hAnsi="Times New Roman" w:cs="Times New Roman"/>
                <w:vanish/>
              </w:rPr>
            </w:pPr>
            <w:r w:rsidRPr="00D67074">
              <w:rPr>
                <w:rFonts w:ascii="Times New Roman" w:hAnsi="Times New Roman" w:cs="Times New Roman"/>
              </w:rPr>
              <w:t>NAICS Group 2</w:t>
            </w:r>
          </w:p>
        </w:tc>
        <w:tc>
          <w:tcPr>
            <w:tcW w:w="7049" w:type="dxa"/>
            <w:gridSpan w:val="4"/>
          </w:tcPr>
          <w:p w:rsidR="000C4F77" w:rsidRPr="000C4F77" w:rsidRDefault="00127C71" w:rsidP="000C4F77">
            <w:pPr>
              <w:shd w:val="clear" w:color="auto" w:fill="FFFFFF" w:themeFill="background1"/>
              <w:rPr>
                <w:rFonts w:ascii="Times New Roman" w:hAnsi="Times New Roman" w:cs="Times New Roman"/>
              </w:rPr>
            </w:pPr>
            <w:r w:rsidRPr="000C4F77">
              <w:rPr>
                <w:rFonts w:ascii="Times New Roman" w:hAnsi="Times New Roman" w:cs="Times New Roman"/>
              </w:rPr>
              <w:t>484 - Truck Transportation</w:t>
            </w:r>
          </w:p>
        </w:tc>
      </w:tr>
    </w:tbl>
    <w:p w:rsidR="00BB3250" w:rsidRDefault="00A21CA0" w:rsidP="00A21CA0">
      <w:pPr>
        <w:pStyle w:val="Heading2"/>
      </w:pPr>
      <w:r>
        <w:t>Administrative Burden Costs</w:t>
      </w:r>
    </w:p>
    <w:tbl>
      <w:tblPr>
        <w:tblStyle w:val="TableGrid"/>
        <w:tblW w:w="0" w:type="auto"/>
        <w:tblLook w:val="04A0" w:firstRow="1" w:lastRow="0" w:firstColumn="1" w:lastColumn="0" w:noHBand="0" w:noVBand="1"/>
      </w:tblPr>
      <w:tblGrid>
        <w:gridCol w:w="1668"/>
        <w:gridCol w:w="1701"/>
        <w:gridCol w:w="1439"/>
        <w:gridCol w:w="1537"/>
        <w:gridCol w:w="2410"/>
        <w:gridCol w:w="1843"/>
      </w:tblGrid>
      <w:tr w:rsidR="0060722D" w:rsidRPr="0060722D" w:rsidTr="000060FF">
        <w:tc>
          <w:tcPr>
            <w:tcW w:w="1668" w:type="dxa"/>
            <w:tcBorders>
              <w:bottom w:val="single" w:sz="18" w:space="0" w:color="auto"/>
            </w:tcBorders>
            <w:shd w:val="clear" w:color="auto" w:fill="D9D9D9" w:themeFill="background1" w:themeFillShade="D9"/>
            <w:vAlign w:val="center"/>
          </w:tcPr>
          <w:p w:rsidR="000C4F77" w:rsidRPr="0060722D" w:rsidRDefault="000C4F77"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Activity Name</w:t>
            </w:r>
          </w:p>
        </w:tc>
        <w:tc>
          <w:tcPr>
            <w:tcW w:w="1701" w:type="dxa"/>
            <w:tcBorders>
              <w:bottom w:val="single" w:sz="18" w:space="0" w:color="auto"/>
            </w:tcBorders>
            <w:shd w:val="clear" w:color="auto" w:fill="D9D9D9" w:themeFill="background1" w:themeFillShade="D9"/>
            <w:vAlign w:val="center"/>
          </w:tcPr>
          <w:p w:rsidR="000C4F77" w:rsidRPr="0060722D" w:rsidRDefault="000C4F77"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 xml:space="preserve">Stakeholder Group </w:t>
            </w:r>
          </w:p>
        </w:tc>
        <w:tc>
          <w:tcPr>
            <w:tcW w:w="1439" w:type="dxa"/>
            <w:tcBorders>
              <w:bottom w:val="single" w:sz="18" w:space="0" w:color="auto"/>
            </w:tcBorders>
            <w:shd w:val="clear" w:color="auto" w:fill="D9D9D9" w:themeFill="background1" w:themeFillShade="D9"/>
            <w:vAlign w:val="center"/>
          </w:tcPr>
          <w:p w:rsidR="000C4F77" w:rsidRPr="0060722D" w:rsidRDefault="000C4F77"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Timing</w:t>
            </w:r>
          </w:p>
        </w:tc>
        <w:tc>
          <w:tcPr>
            <w:tcW w:w="1537" w:type="dxa"/>
            <w:tcBorders>
              <w:bottom w:val="single" w:sz="18" w:space="0" w:color="auto"/>
            </w:tcBorders>
            <w:shd w:val="clear" w:color="auto" w:fill="D9D9D9" w:themeFill="background1" w:themeFillShade="D9"/>
            <w:vAlign w:val="center"/>
          </w:tcPr>
          <w:p w:rsidR="000C4F77" w:rsidRPr="0060722D" w:rsidRDefault="000C4F77"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Time (hours) / Number of Units</w:t>
            </w:r>
          </w:p>
        </w:tc>
        <w:tc>
          <w:tcPr>
            <w:tcW w:w="2410" w:type="dxa"/>
            <w:tcBorders>
              <w:bottom w:val="single" w:sz="18" w:space="0" w:color="auto"/>
            </w:tcBorders>
            <w:shd w:val="clear" w:color="auto" w:fill="D9D9D9" w:themeFill="background1" w:themeFillShade="D9"/>
            <w:vAlign w:val="center"/>
          </w:tcPr>
          <w:p w:rsidR="000C4F77" w:rsidRPr="0060722D" w:rsidRDefault="000C4F77"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Wage/Cost per Unit</w:t>
            </w:r>
          </w:p>
        </w:tc>
        <w:tc>
          <w:tcPr>
            <w:tcW w:w="1843" w:type="dxa"/>
            <w:tcBorders>
              <w:bottom w:val="single" w:sz="18" w:space="0" w:color="auto"/>
            </w:tcBorders>
            <w:shd w:val="clear" w:color="auto" w:fill="D9D9D9" w:themeFill="background1" w:themeFillShade="D9"/>
            <w:vAlign w:val="center"/>
          </w:tcPr>
          <w:p w:rsidR="000C4F77" w:rsidRPr="0060722D" w:rsidRDefault="000C4F77"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Frequency</w:t>
            </w:r>
          </w:p>
        </w:tc>
      </w:tr>
      <w:tr w:rsidR="000C4F77" w:rsidRPr="00D67074" w:rsidTr="000060FF">
        <w:trPr>
          <w:trHeight w:val="437"/>
        </w:trPr>
        <w:tc>
          <w:tcPr>
            <w:tcW w:w="1668" w:type="dxa"/>
            <w:tcBorders>
              <w:top w:val="single" w:sz="18" w:space="0" w:color="auto"/>
            </w:tcBorders>
            <w:shd w:val="clear" w:color="auto" w:fill="auto"/>
            <w:vAlign w:val="center"/>
          </w:tcPr>
          <w:p w:rsidR="000C4F77" w:rsidRPr="004C17FB" w:rsidRDefault="004C17FB" w:rsidP="004C17FB">
            <w:pPr>
              <w:shd w:val="clear" w:color="auto" w:fill="FFFFFF" w:themeFill="background1"/>
              <w:jc w:val="center"/>
              <w:rPr>
                <w:rFonts w:ascii="Times New Roman" w:hAnsi="Times New Roman" w:cs="Times New Roman"/>
                <w:b/>
                <w:vanish/>
                <w:sz w:val="24"/>
                <w:szCs w:val="24"/>
              </w:rPr>
            </w:pPr>
            <w:r w:rsidRPr="004C17FB">
              <w:rPr>
                <w:rFonts w:ascii="Times New Roman" w:hAnsi="Times New Roman" w:cs="Times New Roman"/>
                <w:b/>
                <w:sz w:val="24"/>
                <w:szCs w:val="24"/>
              </w:rPr>
              <w:t>1.</w:t>
            </w:r>
            <w:r>
              <w:rPr>
                <w:rFonts w:ascii="Times New Roman" w:hAnsi="Times New Roman" w:cs="Times New Roman"/>
                <w:b/>
                <w:sz w:val="24"/>
                <w:szCs w:val="24"/>
              </w:rPr>
              <w:t xml:space="preserve"> </w:t>
            </w:r>
            <w:r w:rsidR="0060722D" w:rsidRPr="004C17FB">
              <w:rPr>
                <w:rFonts w:ascii="Times New Roman" w:hAnsi="Times New Roman" w:cs="Times New Roman"/>
                <w:b/>
                <w:sz w:val="24"/>
                <w:szCs w:val="24"/>
              </w:rPr>
              <w:t>Dealership Registration</w:t>
            </w:r>
          </w:p>
        </w:tc>
        <w:tc>
          <w:tcPr>
            <w:tcW w:w="1701" w:type="dxa"/>
            <w:tcBorders>
              <w:top w:val="single" w:sz="18" w:space="0" w:color="auto"/>
            </w:tcBorders>
            <w:shd w:val="clear" w:color="auto" w:fill="FFFFFF" w:themeFill="background1"/>
            <w:vAlign w:val="center"/>
          </w:tcPr>
          <w:p w:rsidR="000C4F77" w:rsidRPr="00D67074" w:rsidRDefault="000C4F77" w:rsidP="00622708">
            <w:r>
              <w:t>Vehicle Dealers</w:t>
            </w:r>
            <w:r w:rsidR="00622708">
              <w:t xml:space="preserve"> (100%</w:t>
            </w:r>
            <w:r w:rsidR="00A21CA0">
              <w:t xml:space="preserve"> - All Businesses</w:t>
            </w:r>
            <w:r w:rsidR="00622708">
              <w:t>)</w:t>
            </w:r>
          </w:p>
        </w:tc>
        <w:tc>
          <w:tcPr>
            <w:tcW w:w="1439" w:type="dxa"/>
            <w:tcBorders>
              <w:top w:val="single" w:sz="18" w:space="0" w:color="auto"/>
            </w:tcBorders>
            <w:shd w:val="clear" w:color="auto" w:fill="FFFFFF" w:themeFill="background1"/>
            <w:vAlign w:val="center"/>
          </w:tcPr>
          <w:p w:rsidR="000C4F77" w:rsidRPr="00D67074" w:rsidRDefault="000C4F77" w:rsidP="00622708">
            <w:r>
              <w:t>Upfront</w:t>
            </w:r>
            <w:r w:rsidR="00622708">
              <w:t xml:space="preserve"> + New Entrants</w:t>
            </w:r>
          </w:p>
        </w:tc>
        <w:tc>
          <w:tcPr>
            <w:tcW w:w="1537" w:type="dxa"/>
            <w:tcBorders>
              <w:top w:val="single" w:sz="18" w:space="0" w:color="auto"/>
            </w:tcBorders>
            <w:shd w:val="clear" w:color="auto" w:fill="FFFFFF" w:themeFill="background1"/>
            <w:vAlign w:val="center"/>
          </w:tcPr>
          <w:p w:rsidR="000C4F77" w:rsidRPr="00D67074" w:rsidRDefault="000C4F77" w:rsidP="00622708">
            <w:r>
              <w:t>3</w:t>
            </w:r>
            <w:r w:rsidR="004C17FB">
              <w:t xml:space="preserve"> hours</w:t>
            </w:r>
          </w:p>
        </w:tc>
        <w:tc>
          <w:tcPr>
            <w:tcW w:w="2410" w:type="dxa"/>
            <w:tcBorders>
              <w:top w:val="single" w:sz="18" w:space="0" w:color="auto"/>
            </w:tcBorders>
            <w:shd w:val="clear" w:color="auto" w:fill="FFFFFF" w:themeFill="background1"/>
            <w:vAlign w:val="center"/>
          </w:tcPr>
          <w:p w:rsidR="000C4F77" w:rsidRPr="00D67074" w:rsidRDefault="00127C71" w:rsidP="00622708">
            <w:r>
              <w:t>Canada a</w:t>
            </w:r>
            <w:r w:rsidR="000C4F77">
              <w:t>verage</w:t>
            </w:r>
          </w:p>
        </w:tc>
        <w:tc>
          <w:tcPr>
            <w:tcW w:w="1843" w:type="dxa"/>
            <w:tcBorders>
              <w:top w:val="single" w:sz="18" w:space="0" w:color="auto"/>
            </w:tcBorders>
            <w:shd w:val="clear" w:color="auto" w:fill="FFFFFF" w:themeFill="background1"/>
            <w:vAlign w:val="center"/>
          </w:tcPr>
          <w:p w:rsidR="000C4F77" w:rsidRPr="00D67074" w:rsidRDefault="000C4F77" w:rsidP="00622708">
            <w:r>
              <w:t>1</w:t>
            </w:r>
          </w:p>
        </w:tc>
      </w:tr>
      <w:tr w:rsidR="000C4F77" w:rsidRPr="00D67074" w:rsidTr="003F42FD">
        <w:trPr>
          <w:trHeight w:val="1072"/>
        </w:trPr>
        <w:tc>
          <w:tcPr>
            <w:tcW w:w="1668" w:type="dxa"/>
            <w:tcBorders>
              <w:bottom w:val="single" w:sz="4" w:space="0" w:color="auto"/>
            </w:tcBorders>
            <w:shd w:val="clear" w:color="auto" w:fill="FFFFFF" w:themeFill="background1"/>
            <w:vAlign w:val="center"/>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Activity Description</w:t>
            </w:r>
          </w:p>
        </w:tc>
        <w:tc>
          <w:tcPr>
            <w:tcW w:w="8930" w:type="dxa"/>
            <w:gridSpan w:val="5"/>
            <w:tcBorders>
              <w:bottom w:val="single" w:sz="4" w:space="0" w:color="auto"/>
            </w:tcBorders>
            <w:shd w:val="clear" w:color="auto" w:fill="FFFFFF" w:themeFill="background1"/>
            <w:vAlign w:val="center"/>
          </w:tcPr>
          <w:p w:rsidR="000C4F77" w:rsidRPr="00D67074" w:rsidRDefault="000C4F77" w:rsidP="00144657">
            <w:r w:rsidRPr="000C4F77">
              <w:t xml:space="preserve">Each dealership must register immediately when the regulation becomes law.   </w:t>
            </w:r>
            <w:r w:rsidR="00144657">
              <w:t xml:space="preserve">The requirement </w:t>
            </w:r>
            <w:r w:rsidR="00144657" w:rsidRPr="000C4F77">
              <w:t>occurs once for existing businesses and then every year for new entrants (frequency = 1).</w:t>
            </w:r>
            <w:r w:rsidRPr="000C4F77">
              <w:t xml:space="preserve"> </w:t>
            </w:r>
          </w:p>
        </w:tc>
      </w:tr>
      <w:tr w:rsidR="000C4F77" w:rsidRPr="00D67074" w:rsidTr="003F42FD">
        <w:trPr>
          <w:trHeight w:val="1062"/>
        </w:trPr>
        <w:tc>
          <w:tcPr>
            <w:tcW w:w="1668" w:type="dxa"/>
            <w:tcBorders>
              <w:bottom w:val="single" w:sz="18" w:space="0" w:color="auto"/>
            </w:tcBorders>
            <w:shd w:val="clear" w:color="auto" w:fill="FFFFFF" w:themeFill="background1"/>
            <w:vAlign w:val="center"/>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lastRenderedPageBreak/>
              <w:t>Sources &amp; Assumptions</w:t>
            </w:r>
          </w:p>
        </w:tc>
        <w:tc>
          <w:tcPr>
            <w:tcW w:w="8930" w:type="dxa"/>
            <w:gridSpan w:val="5"/>
            <w:tcBorders>
              <w:bottom w:val="single" w:sz="18" w:space="0" w:color="auto"/>
            </w:tcBorders>
            <w:shd w:val="clear" w:color="auto" w:fill="FFFFFF" w:themeFill="background1"/>
            <w:vAlign w:val="center"/>
          </w:tcPr>
          <w:p w:rsidR="000C4F77" w:rsidRPr="00D67074" w:rsidRDefault="00144657" w:rsidP="00144657">
            <w:r>
              <w:t>Data indicates that similar business registration forms in the past have taken on average</w:t>
            </w:r>
            <w:r w:rsidRPr="000C4F77">
              <w:t xml:space="preserve"> 3 hours to complet</w:t>
            </w:r>
            <w:r>
              <w:t>e.  As the forms are not overly complex it is likely that an average</w:t>
            </w:r>
            <w:r w:rsidRPr="000C4F77">
              <w:t xml:space="preserve"> Canadian </w:t>
            </w:r>
            <w:r>
              <w:t>could complete them.</w:t>
            </w:r>
          </w:p>
        </w:tc>
      </w:tr>
      <w:tr w:rsidR="000C4F77" w:rsidRPr="00D67074" w:rsidTr="000060FF">
        <w:trPr>
          <w:trHeight w:val="546"/>
        </w:trPr>
        <w:tc>
          <w:tcPr>
            <w:tcW w:w="1668" w:type="dxa"/>
            <w:tcBorders>
              <w:top w:val="single" w:sz="18" w:space="0" w:color="auto"/>
            </w:tcBorders>
            <w:shd w:val="clear" w:color="auto" w:fill="auto"/>
            <w:vAlign w:val="center"/>
          </w:tcPr>
          <w:p w:rsidR="000C4F77" w:rsidRPr="0060722D" w:rsidRDefault="004C17FB" w:rsidP="002200B0">
            <w:pPr>
              <w:shd w:val="clear" w:color="auto" w:fill="FFFFFF" w:themeFill="background1"/>
              <w:jc w:val="center"/>
              <w:rPr>
                <w:rFonts w:ascii="Times New Roman" w:hAnsi="Times New Roman" w:cs="Times New Roman"/>
                <w:b/>
                <w:vanish/>
                <w:sz w:val="24"/>
                <w:szCs w:val="24"/>
              </w:rPr>
            </w:pPr>
            <w:r>
              <w:rPr>
                <w:rFonts w:ascii="Times New Roman" w:hAnsi="Times New Roman" w:cs="Times New Roman"/>
                <w:b/>
                <w:sz w:val="24"/>
                <w:szCs w:val="24"/>
              </w:rPr>
              <w:t xml:space="preserve">2. </w:t>
            </w:r>
            <w:r w:rsidR="0060722D" w:rsidRPr="0060722D">
              <w:rPr>
                <w:rFonts w:ascii="Times New Roman" w:hAnsi="Times New Roman" w:cs="Times New Roman"/>
                <w:b/>
                <w:sz w:val="24"/>
                <w:szCs w:val="24"/>
              </w:rPr>
              <w:t>Licence Application</w:t>
            </w:r>
          </w:p>
        </w:tc>
        <w:tc>
          <w:tcPr>
            <w:tcW w:w="1701" w:type="dxa"/>
            <w:tcBorders>
              <w:top w:val="single" w:sz="18" w:space="0" w:color="auto"/>
            </w:tcBorders>
            <w:shd w:val="clear" w:color="auto" w:fill="FFFFFF" w:themeFill="background1"/>
            <w:vAlign w:val="center"/>
          </w:tcPr>
          <w:p w:rsidR="000C4F77" w:rsidRPr="00D67074" w:rsidRDefault="000C4F77" w:rsidP="00622708">
            <w:r>
              <w:t>Truck Transporter</w:t>
            </w:r>
            <w:r w:rsidR="0060722D">
              <w:t xml:space="preserve"> (10%</w:t>
            </w:r>
            <w:r w:rsidR="000060FF">
              <w:t xml:space="preserve"> - All Businesses</w:t>
            </w:r>
            <w:r w:rsidR="0060722D">
              <w:t>)</w:t>
            </w:r>
          </w:p>
        </w:tc>
        <w:tc>
          <w:tcPr>
            <w:tcW w:w="1439" w:type="dxa"/>
            <w:tcBorders>
              <w:top w:val="single" w:sz="18" w:space="0" w:color="auto"/>
            </w:tcBorders>
            <w:shd w:val="clear" w:color="auto" w:fill="FFFFFF" w:themeFill="background1"/>
            <w:vAlign w:val="center"/>
          </w:tcPr>
          <w:p w:rsidR="000C4F77" w:rsidRPr="00D67074" w:rsidRDefault="000C4F77" w:rsidP="00622708">
            <w:r>
              <w:t>Ongoing</w:t>
            </w:r>
          </w:p>
        </w:tc>
        <w:tc>
          <w:tcPr>
            <w:tcW w:w="1537" w:type="dxa"/>
            <w:tcBorders>
              <w:top w:val="single" w:sz="18" w:space="0" w:color="auto"/>
            </w:tcBorders>
            <w:shd w:val="clear" w:color="auto" w:fill="FFFFFF" w:themeFill="background1"/>
            <w:vAlign w:val="center"/>
          </w:tcPr>
          <w:p w:rsidR="000C4F77" w:rsidRPr="00D67074" w:rsidRDefault="004C17FB" w:rsidP="00622708">
            <w:r>
              <w:t>1 hour</w:t>
            </w:r>
          </w:p>
        </w:tc>
        <w:tc>
          <w:tcPr>
            <w:tcW w:w="2410" w:type="dxa"/>
            <w:tcBorders>
              <w:top w:val="single" w:sz="18" w:space="0" w:color="auto"/>
            </w:tcBorders>
            <w:shd w:val="clear" w:color="auto" w:fill="FFFFFF" w:themeFill="background1"/>
            <w:vAlign w:val="center"/>
          </w:tcPr>
          <w:p w:rsidR="000C4F77" w:rsidRPr="00D67074" w:rsidRDefault="00A21CA0" w:rsidP="00622708">
            <w:r>
              <w:t>Contractors and supervisors in trades and transportation</w:t>
            </w:r>
          </w:p>
        </w:tc>
        <w:tc>
          <w:tcPr>
            <w:tcW w:w="1843" w:type="dxa"/>
            <w:tcBorders>
              <w:top w:val="single" w:sz="18" w:space="0" w:color="auto"/>
            </w:tcBorders>
            <w:shd w:val="clear" w:color="auto" w:fill="FFFFFF" w:themeFill="background1"/>
            <w:vAlign w:val="center"/>
          </w:tcPr>
          <w:p w:rsidR="000C4F77" w:rsidRPr="00D67074" w:rsidRDefault="004C17FB" w:rsidP="00622708">
            <w:r>
              <w:t>1 time / 2 years = 0.5</w:t>
            </w:r>
          </w:p>
        </w:tc>
      </w:tr>
      <w:tr w:rsidR="000C4F77" w:rsidRPr="00D67074" w:rsidTr="003F42FD">
        <w:trPr>
          <w:trHeight w:val="670"/>
        </w:trPr>
        <w:tc>
          <w:tcPr>
            <w:tcW w:w="1668" w:type="dxa"/>
            <w:tcBorders>
              <w:bottom w:val="single" w:sz="4" w:space="0" w:color="auto"/>
            </w:tcBorders>
            <w:shd w:val="clear" w:color="auto" w:fill="FFFFFF" w:themeFill="background1"/>
            <w:vAlign w:val="center"/>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Activity Description</w:t>
            </w:r>
          </w:p>
        </w:tc>
        <w:tc>
          <w:tcPr>
            <w:tcW w:w="8930" w:type="dxa"/>
            <w:gridSpan w:val="5"/>
            <w:tcBorders>
              <w:bottom w:val="single" w:sz="4" w:space="0" w:color="auto"/>
            </w:tcBorders>
            <w:shd w:val="clear" w:color="auto" w:fill="FFFFFF" w:themeFill="background1"/>
            <w:vAlign w:val="center"/>
          </w:tcPr>
          <w:p w:rsidR="000C4F77" w:rsidRPr="00D67074" w:rsidRDefault="000C4F77" w:rsidP="00C339AD">
            <w:r w:rsidRPr="000C4F77">
              <w:t xml:space="preserve">10% of each Transporter must apply for a licence to operate SDV to transport goods.  Licenses need to be applied for every two years (Frequency = 0.5).  </w:t>
            </w:r>
          </w:p>
        </w:tc>
      </w:tr>
      <w:tr w:rsidR="000C4F77" w:rsidRPr="00D67074" w:rsidTr="003F42FD">
        <w:trPr>
          <w:trHeight w:val="844"/>
        </w:trPr>
        <w:tc>
          <w:tcPr>
            <w:tcW w:w="1668" w:type="dxa"/>
            <w:tcBorders>
              <w:bottom w:val="single" w:sz="18" w:space="0" w:color="auto"/>
            </w:tcBorders>
            <w:vAlign w:val="center"/>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Sources &amp; Assumptions</w:t>
            </w:r>
          </w:p>
        </w:tc>
        <w:tc>
          <w:tcPr>
            <w:tcW w:w="8930" w:type="dxa"/>
            <w:gridSpan w:val="5"/>
            <w:tcBorders>
              <w:bottom w:val="single" w:sz="18" w:space="0" w:color="auto"/>
            </w:tcBorders>
            <w:vAlign w:val="center"/>
          </w:tcPr>
          <w:p w:rsidR="00C339AD" w:rsidRPr="00D67074" w:rsidRDefault="00C339AD" w:rsidP="00311DB9">
            <w:r w:rsidRPr="000C4F77">
              <w:t xml:space="preserve">Internal testing has determined the licencing procedure takes an hour to complete </w:t>
            </w:r>
            <w:r w:rsidR="003E55F0" w:rsidRPr="000C4F77">
              <w:t xml:space="preserve">and </w:t>
            </w:r>
            <w:r w:rsidR="003E55F0">
              <w:t>stakeholders</w:t>
            </w:r>
            <w:r>
              <w:t xml:space="preserve"> have indicated that </w:t>
            </w:r>
            <w:r w:rsidR="00311DB9">
              <w:t>the task will need to be done by a supervisor in transportation</w:t>
            </w:r>
            <w:bookmarkStart w:id="4" w:name="_GoBack"/>
            <w:bookmarkEnd w:id="4"/>
            <w:r w:rsidRPr="000C4F77">
              <w:t>.</w:t>
            </w:r>
          </w:p>
        </w:tc>
      </w:tr>
      <w:tr w:rsidR="000C4F77" w:rsidRPr="00D67074" w:rsidTr="000060FF">
        <w:trPr>
          <w:trHeight w:val="473"/>
        </w:trPr>
        <w:tc>
          <w:tcPr>
            <w:tcW w:w="1668" w:type="dxa"/>
            <w:tcBorders>
              <w:top w:val="single" w:sz="18" w:space="0" w:color="auto"/>
            </w:tcBorders>
            <w:shd w:val="clear" w:color="auto" w:fill="auto"/>
            <w:vAlign w:val="center"/>
          </w:tcPr>
          <w:p w:rsidR="000C4F77" w:rsidRPr="0060722D" w:rsidRDefault="004C17FB" w:rsidP="002200B0">
            <w:pPr>
              <w:shd w:val="clear" w:color="auto" w:fill="FFFFFF" w:themeFill="background1"/>
              <w:jc w:val="center"/>
              <w:rPr>
                <w:rFonts w:ascii="Times New Roman" w:hAnsi="Times New Roman" w:cs="Times New Roman"/>
                <w:b/>
                <w:vanish/>
              </w:rPr>
            </w:pPr>
            <w:r>
              <w:rPr>
                <w:rFonts w:ascii="Times New Roman" w:hAnsi="Times New Roman" w:cs="Times New Roman"/>
                <w:b/>
              </w:rPr>
              <w:t xml:space="preserve">3. </w:t>
            </w:r>
            <w:r w:rsidR="0060722D" w:rsidRPr="0060722D">
              <w:rPr>
                <w:rFonts w:ascii="Times New Roman" w:hAnsi="Times New Roman" w:cs="Times New Roman"/>
                <w:b/>
              </w:rPr>
              <w:t>Event Reporting</w:t>
            </w:r>
          </w:p>
        </w:tc>
        <w:tc>
          <w:tcPr>
            <w:tcW w:w="1701" w:type="dxa"/>
            <w:tcBorders>
              <w:top w:val="single" w:sz="18" w:space="0" w:color="auto"/>
            </w:tcBorders>
            <w:shd w:val="clear" w:color="auto" w:fill="FFFFFF" w:themeFill="background1"/>
            <w:vAlign w:val="center"/>
          </w:tcPr>
          <w:p w:rsidR="000C4F77" w:rsidRDefault="0060722D" w:rsidP="00622708">
            <w:r>
              <w:t>Truck Transporter</w:t>
            </w:r>
          </w:p>
          <w:p w:rsidR="003C37AE" w:rsidRPr="00D67074" w:rsidRDefault="003C37AE" w:rsidP="00622708">
            <w:r>
              <w:t>(10%</w:t>
            </w:r>
            <w:r w:rsidR="00A21CA0">
              <w:t xml:space="preserve"> - All Businesses</w:t>
            </w:r>
            <w:r w:rsidR="000060FF">
              <w:t xml:space="preserve"> initial option mid/large flexible option </w:t>
            </w:r>
            <w:r>
              <w:t>)</w:t>
            </w:r>
          </w:p>
        </w:tc>
        <w:tc>
          <w:tcPr>
            <w:tcW w:w="1439" w:type="dxa"/>
            <w:tcBorders>
              <w:top w:val="single" w:sz="18" w:space="0" w:color="auto"/>
            </w:tcBorders>
            <w:shd w:val="clear" w:color="auto" w:fill="FFFFFF" w:themeFill="background1"/>
            <w:vAlign w:val="center"/>
          </w:tcPr>
          <w:p w:rsidR="000C4F77" w:rsidRPr="00D67074" w:rsidRDefault="0060722D" w:rsidP="00622708">
            <w:r>
              <w:t>Ongoing</w:t>
            </w:r>
          </w:p>
        </w:tc>
        <w:tc>
          <w:tcPr>
            <w:tcW w:w="1537" w:type="dxa"/>
            <w:tcBorders>
              <w:top w:val="single" w:sz="18" w:space="0" w:color="auto"/>
            </w:tcBorders>
            <w:shd w:val="clear" w:color="auto" w:fill="FFFFFF" w:themeFill="background1"/>
            <w:vAlign w:val="center"/>
          </w:tcPr>
          <w:p w:rsidR="000C4F77" w:rsidRPr="00D67074" w:rsidRDefault="004C17FB" w:rsidP="00622708">
            <w:r>
              <w:t>4 hours</w:t>
            </w:r>
          </w:p>
        </w:tc>
        <w:tc>
          <w:tcPr>
            <w:tcW w:w="2410" w:type="dxa"/>
            <w:tcBorders>
              <w:top w:val="single" w:sz="18" w:space="0" w:color="auto"/>
            </w:tcBorders>
            <w:shd w:val="clear" w:color="auto" w:fill="FFFFFF" w:themeFill="background1"/>
            <w:vAlign w:val="center"/>
          </w:tcPr>
          <w:p w:rsidR="000C4F77" w:rsidRPr="00D67074" w:rsidRDefault="00127C71" w:rsidP="00622708">
            <w:r>
              <w:t>Administrative support</w:t>
            </w:r>
          </w:p>
        </w:tc>
        <w:tc>
          <w:tcPr>
            <w:tcW w:w="1843" w:type="dxa"/>
            <w:tcBorders>
              <w:top w:val="single" w:sz="18" w:space="0" w:color="auto"/>
            </w:tcBorders>
            <w:shd w:val="clear" w:color="auto" w:fill="FFFFFF" w:themeFill="background1"/>
            <w:vAlign w:val="center"/>
          </w:tcPr>
          <w:p w:rsidR="000C4F77" w:rsidRPr="00D67074" w:rsidRDefault="004C17FB" w:rsidP="00622708">
            <w:r>
              <w:t>2 times / 1 year = 2</w:t>
            </w:r>
          </w:p>
        </w:tc>
      </w:tr>
      <w:tr w:rsidR="000C4F77" w:rsidRPr="00D67074" w:rsidTr="003F42FD">
        <w:trPr>
          <w:trHeight w:val="850"/>
        </w:trPr>
        <w:tc>
          <w:tcPr>
            <w:tcW w:w="1668" w:type="dxa"/>
            <w:tcBorders>
              <w:bottom w:val="single" w:sz="4" w:space="0" w:color="auto"/>
            </w:tcBorders>
            <w:shd w:val="clear" w:color="auto" w:fill="FFFFFF" w:themeFill="background1"/>
            <w:vAlign w:val="center"/>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Activity Description</w:t>
            </w:r>
          </w:p>
        </w:tc>
        <w:tc>
          <w:tcPr>
            <w:tcW w:w="8930" w:type="dxa"/>
            <w:gridSpan w:val="5"/>
            <w:tcBorders>
              <w:bottom w:val="single" w:sz="4" w:space="0" w:color="auto"/>
            </w:tcBorders>
            <w:shd w:val="clear" w:color="auto" w:fill="FFFFFF" w:themeFill="background1"/>
            <w:vAlign w:val="center"/>
          </w:tcPr>
          <w:p w:rsidR="000C4F77" w:rsidRPr="00D67074" w:rsidRDefault="0060722D" w:rsidP="00144657">
            <w:r w:rsidRPr="0060722D">
              <w:t>Transport compani</w:t>
            </w:r>
            <w:r>
              <w:t>es must report every 6 months (f</w:t>
            </w:r>
            <w:r w:rsidRPr="0060722D">
              <w:t xml:space="preserve">requency = 2) a summary of all accidents resulting in property damage or injury where a SDV was involved.  </w:t>
            </w:r>
          </w:p>
        </w:tc>
      </w:tr>
      <w:tr w:rsidR="000C4F77" w:rsidRPr="00D67074" w:rsidTr="003F42FD">
        <w:trPr>
          <w:trHeight w:val="760"/>
        </w:trPr>
        <w:tc>
          <w:tcPr>
            <w:tcW w:w="1668" w:type="dxa"/>
            <w:tcBorders>
              <w:bottom w:val="single" w:sz="18" w:space="0" w:color="auto"/>
            </w:tcBorders>
            <w:shd w:val="clear" w:color="auto" w:fill="FFFFFF" w:themeFill="background1"/>
            <w:vAlign w:val="center"/>
          </w:tcPr>
          <w:p w:rsidR="000C4F77" w:rsidRPr="00D67074" w:rsidRDefault="000C4F77"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Sources &amp; Assumptions</w:t>
            </w:r>
          </w:p>
        </w:tc>
        <w:tc>
          <w:tcPr>
            <w:tcW w:w="8930" w:type="dxa"/>
            <w:gridSpan w:val="5"/>
            <w:tcBorders>
              <w:bottom w:val="single" w:sz="18" w:space="0" w:color="auto"/>
            </w:tcBorders>
            <w:shd w:val="clear" w:color="auto" w:fill="FFFFFF" w:themeFill="background1"/>
            <w:vAlign w:val="center"/>
          </w:tcPr>
          <w:p w:rsidR="000C4F77" w:rsidRPr="00D67074" w:rsidRDefault="00144657" w:rsidP="00622708">
            <w:r w:rsidRPr="0060722D">
              <w:t>Surveyed companies have responded that they expect it will take about 4 hours to complete the report and will be done by administrative staff.</w:t>
            </w:r>
          </w:p>
        </w:tc>
      </w:tr>
    </w:tbl>
    <w:p w:rsidR="00BB3250" w:rsidRDefault="00BB3250" w:rsidP="00A21CA0">
      <w:pPr>
        <w:pStyle w:val="Heading2"/>
      </w:pPr>
      <w:r>
        <w:t>Compliance Costs</w:t>
      </w:r>
    </w:p>
    <w:tbl>
      <w:tblPr>
        <w:tblStyle w:val="TableGrid"/>
        <w:tblW w:w="0" w:type="auto"/>
        <w:tblLook w:val="04A0" w:firstRow="1" w:lastRow="0" w:firstColumn="1" w:lastColumn="0" w:noHBand="0" w:noVBand="1"/>
      </w:tblPr>
      <w:tblGrid>
        <w:gridCol w:w="1668"/>
        <w:gridCol w:w="1559"/>
        <w:gridCol w:w="142"/>
        <w:gridCol w:w="1439"/>
        <w:gridCol w:w="120"/>
        <w:gridCol w:w="1417"/>
        <w:gridCol w:w="2410"/>
        <w:gridCol w:w="1843"/>
      </w:tblGrid>
      <w:tr w:rsidR="000060FF" w:rsidRPr="0060722D" w:rsidTr="002200B0">
        <w:tc>
          <w:tcPr>
            <w:tcW w:w="1668" w:type="dxa"/>
            <w:tcBorders>
              <w:bottom w:val="single" w:sz="18" w:space="0" w:color="auto"/>
            </w:tcBorders>
            <w:shd w:val="clear" w:color="auto" w:fill="D9D9D9" w:themeFill="background1" w:themeFillShade="D9"/>
            <w:vAlign w:val="center"/>
          </w:tcPr>
          <w:p w:rsidR="000060FF" w:rsidRPr="0060722D" w:rsidRDefault="000060FF"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Activity Name</w:t>
            </w:r>
          </w:p>
        </w:tc>
        <w:tc>
          <w:tcPr>
            <w:tcW w:w="1701" w:type="dxa"/>
            <w:gridSpan w:val="2"/>
            <w:tcBorders>
              <w:bottom w:val="single" w:sz="18" w:space="0" w:color="auto"/>
            </w:tcBorders>
            <w:shd w:val="clear" w:color="auto" w:fill="D9D9D9" w:themeFill="background1" w:themeFillShade="D9"/>
            <w:vAlign w:val="center"/>
          </w:tcPr>
          <w:p w:rsidR="000060FF" w:rsidRPr="0060722D" w:rsidRDefault="000060FF"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 xml:space="preserve">Stakeholder Group </w:t>
            </w:r>
          </w:p>
        </w:tc>
        <w:tc>
          <w:tcPr>
            <w:tcW w:w="1439" w:type="dxa"/>
            <w:tcBorders>
              <w:bottom w:val="single" w:sz="18" w:space="0" w:color="auto"/>
            </w:tcBorders>
            <w:shd w:val="clear" w:color="auto" w:fill="D9D9D9" w:themeFill="background1" w:themeFillShade="D9"/>
            <w:vAlign w:val="center"/>
          </w:tcPr>
          <w:p w:rsidR="000060FF" w:rsidRPr="0060722D" w:rsidRDefault="000060FF"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Timing</w:t>
            </w:r>
          </w:p>
        </w:tc>
        <w:tc>
          <w:tcPr>
            <w:tcW w:w="1537" w:type="dxa"/>
            <w:gridSpan w:val="2"/>
            <w:tcBorders>
              <w:bottom w:val="single" w:sz="18" w:space="0" w:color="auto"/>
            </w:tcBorders>
            <w:shd w:val="clear" w:color="auto" w:fill="D9D9D9" w:themeFill="background1" w:themeFillShade="D9"/>
            <w:vAlign w:val="center"/>
          </w:tcPr>
          <w:p w:rsidR="000060FF" w:rsidRPr="0060722D" w:rsidRDefault="000060FF"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Time (hours) / Number of Units</w:t>
            </w:r>
          </w:p>
        </w:tc>
        <w:tc>
          <w:tcPr>
            <w:tcW w:w="2410" w:type="dxa"/>
            <w:tcBorders>
              <w:bottom w:val="single" w:sz="18" w:space="0" w:color="auto"/>
            </w:tcBorders>
            <w:shd w:val="clear" w:color="auto" w:fill="D9D9D9" w:themeFill="background1" w:themeFillShade="D9"/>
            <w:vAlign w:val="center"/>
          </w:tcPr>
          <w:p w:rsidR="000060FF" w:rsidRPr="0060722D" w:rsidRDefault="000060FF"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Wage/Cost per Unit</w:t>
            </w:r>
          </w:p>
        </w:tc>
        <w:tc>
          <w:tcPr>
            <w:tcW w:w="1843" w:type="dxa"/>
            <w:tcBorders>
              <w:bottom w:val="single" w:sz="18" w:space="0" w:color="auto"/>
            </w:tcBorders>
            <w:shd w:val="clear" w:color="auto" w:fill="D9D9D9" w:themeFill="background1" w:themeFillShade="D9"/>
            <w:vAlign w:val="center"/>
          </w:tcPr>
          <w:p w:rsidR="000060FF" w:rsidRPr="0060722D" w:rsidRDefault="000060FF" w:rsidP="002200B0">
            <w:pPr>
              <w:shd w:val="clear" w:color="auto" w:fill="FFFFFF" w:themeFill="background1"/>
              <w:jc w:val="center"/>
              <w:rPr>
                <w:rFonts w:ascii="Times New Roman" w:hAnsi="Times New Roman" w:cs="Times New Roman"/>
                <w:vanish/>
                <w14:textOutline w14:w="9525" w14:cap="rnd" w14:cmpd="sng" w14:algn="ctr">
                  <w14:solidFill>
                    <w14:srgbClr w14:val="000000"/>
                  </w14:solidFill>
                  <w14:prstDash w14:val="solid"/>
                  <w14:bevel/>
                </w14:textOutline>
              </w:rPr>
            </w:pPr>
            <w:r w:rsidRPr="0060722D">
              <w:rPr>
                <w:rFonts w:ascii="Times New Roman" w:hAnsi="Times New Roman" w:cs="Times New Roman"/>
                <w14:textOutline w14:w="9525" w14:cap="rnd" w14:cmpd="sng" w14:algn="ctr">
                  <w14:solidFill>
                    <w14:srgbClr w14:val="000000"/>
                  </w14:solidFill>
                  <w14:prstDash w14:val="solid"/>
                  <w14:bevel/>
                </w14:textOutline>
              </w:rPr>
              <w:t>Frequency</w:t>
            </w:r>
          </w:p>
        </w:tc>
      </w:tr>
      <w:tr w:rsidR="00BB3250" w:rsidRPr="00D67074" w:rsidTr="003F42FD">
        <w:trPr>
          <w:trHeight w:val="473"/>
        </w:trPr>
        <w:tc>
          <w:tcPr>
            <w:tcW w:w="1668" w:type="dxa"/>
            <w:tcBorders>
              <w:top w:val="single" w:sz="18" w:space="0" w:color="auto"/>
            </w:tcBorders>
            <w:shd w:val="clear" w:color="auto" w:fill="auto"/>
            <w:vAlign w:val="center"/>
          </w:tcPr>
          <w:p w:rsidR="00BB3250" w:rsidRPr="0060722D" w:rsidRDefault="00BB3250" w:rsidP="002200B0">
            <w:pPr>
              <w:shd w:val="clear" w:color="auto" w:fill="FFFFFF" w:themeFill="background1"/>
              <w:jc w:val="center"/>
              <w:rPr>
                <w:rFonts w:ascii="Times New Roman" w:hAnsi="Times New Roman" w:cs="Times New Roman"/>
                <w:b/>
                <w:vanish/>
              </w:rPr>
            </w:pPr>
            <w:r>
              <w:rPr>
                <w:rFonts w:ascii="Times New Roman" w:hAnsi="Times New Roman" w:cs="Times New Roman"/>
                <w:b/>
              </w:rPr>
              <w:t>4. Installation of GPS Units</w:t>
            </w:r>
          </w:p>
        </w:tc>
        <w:tc>
          <w:tcPr>
            <w:tcW w:w="1559" w:type="dxa"/>
            <w:tcBorders>
              <w:top w:val="single" w:sz="18" w:space="0" w:color="auto"/>
            </w:tcBorders>
            <w:shd w:val="clear" w:color="auto" w:fill="FFFFFF" w:themeFill="background1"/>
            <w:vAlign w:val="center"/>
          </w:tcPr>
          <w:p w:rsidR="00BB3250" w:rsidRDefault="00BB3250" w:rsidP="002200B0">
            <w:r>
              <w:t>Truck Transporter</w:t>
            </w:r>
          </w:p>
          <w:p w:rsidR="00BB3250" w:rsidRPr="00D67074" w:rsidRDefault="00BB3250" w:rsidP="002200B0">
            <w:r>
              <w:t>(10%</w:t>
            </w:r>
            <w:r w:rsidR="000060FF">
              <w:t xml:space="preserve"> - All</w:t>
            </w:r>
            <w:r w:rsidR="00A21CA0">
              <w:t xml:space="preserve"> Businesses</w:t>
            </w:r>
            <w:r>
              <w:t>)</w:t>
            </w:r>
          </w:p>
        </w:tc>
        <w:tc>
          <w:tcPr>
            <w:tcW w:w="1701" w:type="dxa"/>
            <w:gridSpan w:val="3"/>
            <w:tcBorders>
              <w:top w:val="single" w:sz="18" w:space="0" w:color="auto"/>
            </w:tcBorders>
            <w:shd w:val="clear" w:color="auto" w:fill="FFFFFF" w:themeFill="background1"/>
            <w:vAlign w:val="center"/>
          </w:tcPr>
          <w:p w:rsidR="00BB3250" w:rsidRPr="00D67074" w:rsidRDefault="00BB3250" w:rsidP="002200B0">
            <w:r>
              <w:t>Upfront + New Entrants</w:t>
            </w:r>
          </w:p>
        </w:tc>
        <w:tc>
          <w:tcPr>
            <w:tcW w:w="1417" w:type="dxa"/>
            <w:tcBorders>
              <w:top w:val="single" w:sz="18" w:space="0" w:color="auto"/>
            </w:tcBorders>
            <w:shd w:val="clear" w:color="auto" w:fill="FFFFFF" w:themeFill="background1"/>
            <w:vAlign w:val="center"/>
          </w:tcPr>
          <w:p w:rsidR="00BB3250" w:rsidRPr="00D67074" w:rsidRDefault="00BB3250" w:rsidP="002200B0">
            <w:r>
              <w:t>3 hours + 15 units</w:t>
            </w:r>
          </w:p>
        </w:tc>
        <w:tc>
          <w:tcPr>
            <w:tcW w:w="2410" w:type="dxa"/>
            <w:tcBorders>
              <w:top w:val="single" w:sz="18" w:space="0" w:color="auto"/>
            </w:tcBorders>
            <w:shd w:val="clear" w:color="auto" w:fill="FFFFFF" w:themeFill="background1"/>
            <w:vAlign w:val="center"/>
          </w:tcPr>
          <w:p w:rsidR="00BB3250" w:rsidRPr="00D67074" w:rsidRDefault="00BB3250" w:rsidP="002200B0">
            <w:r>
              <w:t>Machine operators + $340</w:t>
            </w:r>
          </w:p>
        </w:tc>
        <w:tc>
          <w:tcPr>
            <w:tcW w:w="1843" w:type="dxa"/>
            <w:tcBorders>
              <w:top w:val="single" w:sz="18" w:space="0" w:color="auto"/>
            </w:tcBorders>
            <w:shd w:val="clear" w:color="auto" w:fill="FFFFFF" w:themeFill="background1"/>
            <w:vAlign w:val="center"/>
          </w:tcPr>
          <w:p w:rsidR="00BB3250" w:rsidRPr="00D67074" w:rsidRDefault="00BB3250" w:rsidP="002200B0">
            <w:r>
              <w:t>1</w:t>
            </w:r>
          </w:p>
        </w:tc>
      </w:tr>
      <w:tr w:rsidR="00BB3250" w:rsidRPr="00D67074" w:rsidTr="003F42FD">
        <w:trPr>
          <w:trHeight w:val="605"/>
        </w:trPr>
        <w:tc>
          <w:tcPr>
            <w:tcW w:w="1668" w:type="dxa"/>
            <w:tcBorders>
              <w:bottom w:val="single" w:sz="4" w:space="0" w:color="auto"/>
            </w:tcBorders>
            <w:shd w:val="clear" w:color="auto" w:fill="FFFFFF" w:themeFill="background1"/>
            <w:vAlign w:val="center"/>
          </w:tcPr>
          <w:p w:rsidR="00BB3250" w:rsidRPr="00D67074" w:rsidRDefault="00BB3250"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Activity Description</w:t>
            </w:r>
          </w:p>
        </w:tc>
        <w:tc>
          <w:tcPr>
            <w:tcW w:w="8930" w:type="dxa"/>
            <w:gridSpan w:val="7"/>
            <w:shd w:val="clear" w:color="auto" w:fill="FFFFFF" w:themeFill="background1"/>
            <w:vAlign w:val="center"/>
          </w:tcPr>
          <w:p w:rsidR="00BB3250" w:rsidRPr="00D67074" w:rsidRDefault="00BB3250" w:rsidP="002200B0">
            <w:r>
              <w:t>C</w:t>
            </w:r>
            <w:r w:rsidRPr="0060722D">
              <w:t xml:space="preserve">ompanies </w:t>
            </w:r>
            <w:r>
              <w:t xml:space="preserve">using SDV </w:t>
            </w:r>
            <w:r w:rsidRPr="0060722D">
              <w:t>will be require</w:t>
            </w:r>
            <w:r>
              <w:t>d to install GPS tracking units</w:t>
            </w:r>
            <w:r w:rsidR="00A21CA0">
              <w:t xml:space="preserve"> on all trucks</w:t>
            </w:r>
            <w:r>
              <w:t>.</w:t>
            </w:r>
            <w:r w:rsidRPr="0060722D">
              <w:t xml:space="preserve"> </w:t>
            </w:r>
          </w:p>
        </w:tc>
      </w:tr>
      <w:tr w:rsidR="00BB3250" w:rsidRPr="00D67074" w:rsidTr="003F42FD">
        <w:trPr>
          <w:trHeight w:val="414"/>
        </w:trPr>
        <w:tc>
          <w:tcPr>
            <w:tcW w:w="1668" w:type="dxa"/>
            <w:shd w:val="clear" w:color="auto" w:fill="FFFFFF" w:themeFill="background1"/>
            <w:vAlign w:val="center"/>
          </w:tcPr>
          <w:p w:rsidR="00BB3250" w:rsidRPr="00D67074" w:rsidRDefault="00BB3250" w:rsidP="002200B0">
            <w:pPr>
              <w:shd w:val="clear" w:color="auto" w:fill="FFFFFF" w:themeFill="background1"/>
              <w:jc w:val="center"/>
              <w:rPr>
                <w:rFonts w:ascii="Times New Roman" w:hAnsi="Times New Roman" w:cs="Times New Roman"/>
                <w:vanish/>
              </w:rPr>
            </w:pPr>
            <w:r w:rsidRPr="00D67074">
              <w:rPr>
                <w:rFonts w:ascii="Times New Roman" w:hAnsi="Times New Roman" w:cs="Times New Roman"/>
              </w:rPr>
              <w:t>Sources &amp; Assumptions</w:t>
            </w:r>
          </w:p>
        </w:tc>
        <w:tc>
          <w:tcPr>
            <w:tcW w:w="8930" w:type="dxa"/>
            <w:gridSpan w:val="7"/>
            <w:shd w:val="clear" w:color="auto" w:fill="FFFFFF" w:themeFill="background1"/>
            <w:vAlign w:val="center"/>
          </w:tcPr>
          <w:p w:rsidR="00BB3250" w:rsidRPr="00D67074" w:rsidRDefault="00A21CA0" w:rsidP="00A21CA0">
            <w:r>
              <w:t xml:space="preserve">Market research reveals mid-range GPS unit costs </w:t>
            </w:r>
            <w:r w:rsidR="00BB3250" w:rsidRPr="0060722D">
              <w:t>$340</w:t>
            </w:r>
            <w:r>
              <w:t xml:space="preserve">.  </w:t>
            </w:r>
            <w:r w:rsidR="00BB3250" w:rsidRPr="0060722D">
              <w:t>an average of 15 vehicles per company.  The installation will be done by machine operators, internally employed by the companies and will take 3 hours to complete.</w:t>
            </w:r>
          </w:p>
        </w:tc>
      </w:tr>
    </w:tbl>
    <w:p w:rsidR="00BB3250" w:rsidRDefault="00BB3250" w:rsidP="00A21CA0"/>
    <w:sectPr w:rsidR="00BB3250" w:rsidSect="003F42F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77" w:rsidRDefault="000C4F77" w:rsidP="000C4F77">
      <w:pPr>
        <w:spacing w:after="0" w:line="240" w:lineRule="auto"/>
      </w:pPr>
      <w:r>
        <w:separator/>
      </w:r>
    </w:p>
  </w:endnote>
  <w:endnote w:type="continuationSeparator" w:id="0">
    <w:p w:rsidR="000C4F77" w:rsidRDefault="000C4F77" w:rsidP="000C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77" w:rsidRDefault="000C4F77" w:rsidP="000C4F77">
      <w:pPr>
        <w:spacing w:after="0" w:line="240" w:lineRule="auto"/>
      </w:pPr>
      <w:r>
        <w:separator/>
      </w:r>
    </w:p>
  </w:footnote>
  <w:footnote w:type="continuationSeparator" w:id="0">
    <w:p w:rsidR="000C4F77" w:rsidRDefault="000C4F77" w:rsidP="000C4F77">
      <w:pPr>
        <w:spacing w:after="0" w:line="240" w:lineRule="auto"/>
      </w:pPr>
      <w:r>
        <w:continuationSeparator/>
      </w:r>
    </w:p>
  </w:footnote>
  <w:footnote w:id="1">
    <w:p w:rsidR="000C4F77" w:rsidRDefault="000C4F77" w:rsidP="000C4F77">
      <w:pPr>
        <w:pStyle w:val="FootnoteText"/>
      </w:pPr>
      <w:r w:rsidRPr="00AC7CC5">
        <w:rPr>
          <w:rStyle w:val="FootnoteReference"/>
        </w:rPr>
        <w:footnoteRef/>
      </w:r>
      <w:r w:rsidRPr="00AC7CC5">
        <w:t xml:space="preserve"> </w:t>
      </w:r>
      <w:hyperlink r:id="rId1" w:history="1">
        <w:r w:rsidRPr="00AC7CC5">
          <w:rPr>
            <w:rStyle w:val="Hyperlink"/>
          </w:rPr>
          <w:t>http://www.statcan.gc.ca/subjects-sujets/standard-norme/naics-scian/2007/list-liste-eng.htm</w:t>
        </w:r>
      </w:hyperlink>
      <w:r w:rsidRPr="00AC7CC5">
        <w:t xml:space="preserve"> - In addition to the RCC refer to Statistics Canada to help find the appropriate North American Industrial Classification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E43"/>
    <w:multiLevelType w:val="hybridMultilevel"/>
    <w:tmpl w:val="5E52039C"/>
    <w:lvl w:ilvl="0" w:tplc="B2CA9F16">
      <w:start w:val="1"/>
      <w:numFmt w:val="bullet"/>
      <w:lvlText w:val="–"/>
      <w:lvlJc w:val="left"/>
      <w:pPr>
        <w:tabs>
          <w:tab w:val="num" w:pos="720"/>
        </w:tabs>
        <w:ind w:left="720" w:hanging="360"/>
      </w:pPr>
      <w:rPr>
        <w:rFonts w:ascii="Arial" w:hAnsi="Arial" w:hint="default"/>
      </w:rPr>
    </w:lvl>
    <w:lvl w:ilvl="1" w:tplc="94C0F324">
      <w:start w:val="1"/>
      <w:numFmt w:val="bullet"/>
      <w:lvlText w:val="–"/>
      <w:lvlJc w:val="left"/>
      <w:pPr>
        <w:tabs>
          <w:tab w:val="num" w:pos="1440"/>
        </w:tabs>
        <w:ind w:left="1440" w:hanging="360"/>
      </w:pPr>
      <w:rPr>
        <w:rFonts w:ascii="Arial" w:hAnsi="Arial" w:hint="default"/>
      </w:rPr>
    </w:lvl>
    <w:lvl w:ilvl="2" w:tplc="6F022546" w:tentative="1">
      <w:start w:val="1"/>
      <w:numFmt w:val="bullet"/>
      <w:lvlText w:val="–"/>
      <w:lvlJc w:val="left"/>
      <w:pPr>
        <w:tabs>
          <w:tab w:val="num" w:pos="2160"/>
        </w:tabs>
        <w:ind w:left="2160" w:hanging="360"/>
      </w:pPr>
      <w:rPr>
        <w:rFonts w:ascii="Arial" w:hAnsi="Arial" w:hint="default"/>
      </w:rPr>
    </w:lvl>
    <w:lvl w:ilvl="3" w:tplc="43EAD872" w:tentative="1">
      <w:start w:val="1"/>
      <w:numFmt w:val="bullet"/>
      <w:lvlText w:val="–"/>
      <w:lvlJc w:val="left"/>
      <w:pPr>
        <w:tabs>
          <w:tab w:val="num" w:pos="2880"/>
        </w:tabs>
        <w:ind w:left="2880" w:hanging="360"/>
      </w:pPr>
      <w:rPr>
        <w:rFonts w:ascii="Arial" w:hAnsi="Arial" w:hint="default"/>
      </w:rPr>
    </w:lvl>
    <w:lvl w:ilvl="4" w:tplc="18143684" w:tentative="1">
      <w:start w:val="1"/>
      <w:numFmt w:val="bullet"/>
      <w:lvlText w:val="–"/>
      <w:lvlJc w:val="left"/>
      <w:pPr>
        <w:tabs>
          <w:tab w:val="num" w:pos="3600"/>
        </w:tabs>
        <w:ind w:left="3600" w:hanging="360"/>
      </w:pPr>
      <w:rPr>
        <w:rFonts w:ascii="Arial" w:hAnsi="Arial" w:hint="default"/>
      </w:rPr>
    </w:lvl>
    <w:lvl w:ilvl="5" w:tplc="CF6015F2" w:tentative="1">
      <w:start w:val="1"/>
      <w:numFmt w:val="bullet"/>
      <w:lvlText w:val="–"/>
      <w:lvlJc w:val="left"/>
      <w:pPr>
        <w:tabs>
          <w:tab w:val="num" w:pos="4320"/>
        </w:tabs>
        <w:ind w:left="4320" w:hanging="360"/>
      </w:pPr>
      <w:rPr>
        <w:rFonts w:ascii="Arial" w:hAnsi="Arial" w:hint="default"/>
      </w:rPr>
    </w:lvl>
    <w:lvl w:ilvl="6" w:tplc="42309BAE" w:tentative="1">
      <w:start w:val="1"/>
      <w:numFmt w:val="bullet"/>
      <w:lvlText w:val="–"/>
      <w:lvlJc w:val="left"/>
      <w:pPr>
        <w:tabs>
          <w:tab w:val="num" w:pos="5040"/>
        </w:tabs>
        <w:ind w:left="5040" w:hanging="360"/>
      </w:pPr>
      <w:rPr>
        <w:rFonts w:ascii="Arial" w:hAnsi="Arial" w:hint="default"/>
      </w:rPr>
    </w:lvl>
    <w:lvl w:ilvl="7" w:tplc="0E680FD8" w:tentative="1">
      <w:start w:val="1"/>
      <w:numFmt w:val="bullet"/>
      <w:lvlText w:val="–"/>
      <w:lvlJc w:val="left"/>
      <w:pPr>
        <w:tabs>
          <w:tab w:val="num" w:pos="5760"/>
        </w:tabs>
        <w:ind w:left="5760" w:hanging="360"/>
      </w:pPr>
      <w:rPr>
        <w:rFonts w:ascii="Arial" w:hAnsi="Arial" w:hint="default"/>
      </w:rPr>
    </w:lvl>
    <w:lvl w:ilvl="8" w:tplc="326E1EAC" w:tentative="1">
      <w:start w:val="1"/>
      <w:numFmt w:val="bullet"/>
      <w:lvlText w:val="–"/>
      <w:lvlJc w:val="left"/>
      <w:pPr>
        <w:tabs>
          <w:tab w:val="num" w:pos="6480"/>
        </w:tabs>
        <w:ind w:left="6480" w:hanging="360"/>
      </w:pPr>
      <w:rPr>
        <w:rFonts w:ascii="Arial" w:hAnsi="Arial" w:hint="default"/>
      </w:rPr>
    </w:lvl>
  </w:abstractNum>
  <w:abstractNum w:abstractNumId="1">
    <w:nsid w:val="5A524854"/>
    <w:multiLevelType w:val="hybridMultilevel"/>
    <w:tmpl w:val="1CB23D10"/>
    <w:lvl w:ilvl="0" w:tplc="EEEC638E">
      <w:start w:val="1"/>
      <w:numFmt w:val="bullet"/>
      <w:lvlText w:val="–"/>
      <w:lvlJc w:val="left"/>
      <w:pPr>
        <w:tabs>
          <w:tab w:val="num" w:pos="720"/>
        </w:tabs>
        <w:ind w:left="720" w:hanging="360"/>
      </w:pPr>
      <w:rPr>
        <w:rFonts w:ascii="Arial" w:hAnsi="Arial" w:hint="default"/>
      </w:rPr>
    </w:lvl>
    <w:lvl w:ilvl="1" w:tplc="D7DA735E">
      <w:start w:val="1"/>
      <w:numFmt w:val="bullet"/>
      <w:lvlText w:val="–"/>
      <w:lvlJc w:val="left"/>
      <w:pPr>
        <w:tabs>
          <w:tab w:val="num" w:pos="1440"/>
        </w:tabs>
        <w:ind w:left="1440" w:hanging="360"/>
      </w:pPr>
      <w:rPr>
        <w:rFonts w:ascii="Arial" w:hAnsi="Arial" w:hint="default"/>
      </w:rPr>
    </w:lvl>
    <w:lvl w:ilvl="2" w:tplc="566E2FE2" w:tentative="1">
      <w:start w:val="1"/>
      <w:numFmt w:val="bullet"/>
      <w:lvlText w:val="–"/>
      <w:lvlJc w:val="left"/>
      <w:pPr>
        <w:tabs>
          <w:tab w:val="num" w:pos="2160"/>
        </w:tabs>
        <w:ind w:left="2160" w:hanging="360"/>
      </w:pPr>
      <w:rPr>
        <w:rFonts w:ascii="Arial" w:hAnsi="Arial" w:hint="default"/>
      </w:rPr>
    </w:lvl>
    <w:lvl w:ilvl="3" w:tplc="7B14533E" w:tentative="1">
      <w:start w:val="1"/>
      <w:numFmt w:val="bullet"/>
      <w:lvlText w:val="–"/>
      <w:lvlJc w:val="left"/>
      <w:pPr>
        <w:tabs>
          <w:tab w:val="num" w:pos="2880"/>
        </w:tabs>
        <w:ind w:left="2880" w:hanging="360"/>
      </w:pPr>
      <w:rPr>
        <w:rFonts w:ascii="Arial" w:hAnsi="Arial" w:hint="default"/>
      </w:rPr>
    </w:lvl>
    <w:lvl w:ilvl="4" w:tplc="C12ADEA0" w:tentative="1">
      <w:start w:val="1"/>
      <w:numFmt w:val="bullet"/>
      <w:lvlText w:val="–"/>
      <w:lvlJc w:val="left"/>
      <w:pPr>
        <w:tabs>
          <w:tab w:val="num" w:pos="3600"/>
        </w:tabs>
        <w:ind w:left="3600" w:hanging="360"/>
      </w:pPr>
      <w:rPr>
        <w:rFonts w:ascii="Arial" w:hAnsi="Arial" w:hint="default"/>
      </w:rPr>
    </w:lvl>
    <w:lvl w:ilvl="5" w:tplc="2D9048AC" w:tentative="1">
      <w:start w:val="1"/>
      <w:numFmt w:val="bullet"/>
      <w:lvlText w:val="–"/>
      <w:lvlJc w:val="left"/>
      <w:pPr>
        <w:tabs>
          <w:tab w:val="num" w:pos="4320"/>
        </w:tabs>
        <w:ind w:left="4320" w:hanging="360"/>
      </w:pPr>
      <w:rPr>
        <w:rFonts w:ascii="Arial" w:hAnsi="Arial" w:hint="default"/>
      </w:rPr>
    </w:lvl>
    <w:lvl w:ilvl="6" w:tplc="67943536" w:tentative="1">
      <w:start w:val="1"/>
      <w:numFmt w:val="bullet"/>
      <w:lvlText w:val="–"/>
      <w:lvlJc w:val="left"/>
      <w:pPr>
        <w:tabs>
          <w:tab w:val="num" w:pos="5040"/>
        </w:tabs>
        <w:ind w:left="5040" w:hanging="360"/>
      </w:pPr>
      <w:rPr>
        <w:rFonts w:ascii="Arial" w:hAnsi="Arial" w:hint="default"/>
      </w:rPr>
    </w:lvl>
    <w:lvl w:ilvl="7" w:tplc="DD663F64" w:tentative="1">
      <w:start w:val="1"/>
      <w:numFmt w:val="bullet"/>
      <w:lvlText w:val="–"/>
      <w:lvlJc w:val="left"/>
      <w:pPr>
        <w:tabs>
          <w:tab w:val="num" w:pos="5760"/>
        </w:tabs>
        <w:ind w:left="5760" w:hanging="360"/>
      </w:pPr>
      <w:rPr>
        <w:rFonts w:ascii="Arial" w:hAnsi="Arial" w:hint="default"/>
      </w:rPr>
    </w:lvl>
    <w:lvl w:ilvl="8" w:tplc="2CF657D4" w:tentative="1">
      <w:start w:val="1"/>
      <w:numFmt w:val="bullet"/>
      <w:lvlText w:val="–"/>
      <w:lvlJc w:val="left"/>
      <w:pPr>
        <w:tabs>
          <w:tab w:val="num" w:pos="6480"/>
        </w:tabs>
        <w:ind w:left="6480" w:hanging="360"/>
      </w:pPr>
      <w:rPr>
        <w:rFonts w:ascii="Arial" w:hAnsi="Arial" w:hint="default"/>
      </w:rPr>
    </w:lvl>
  </w:abstractNum>
  <w:abstractNum w:abstractNumId="2">
    <w:nsid w:val="5CA14B1A"/>
    <w:multiLevelType w:val="hybridMultilevel"/>
    <w:tmpl w:val="518CE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77"/>
    <w:rsid w:val="000060FF"/>
    <w:rsid w:val="000C4F77"/>
    <w:rsid w:val="001105D9"/>
    <w:rsid w:val="00127C71"/>
    <w:rsid w:val="00144657"/>
    <w:rsid w:val="002E4F16"/>
    <w:rsid w:val="002F1463"/>
    <w:rsid w:val="00311DB9"/>
    <w:rsid w:val="00354883"/>
    <w:rsid w:val="003721B1"/>
    <w:rsid w:val="003A6A18"/>
    <w:rsid w:val="003C37AE"/>
    <w:rsid w:val="003E55F0"/>
    <w:rsid w:val="003F0436"/>
    <w:rsid w:val="003F42FD"/>
    <w:rsid w:val="004C17FB"/>
    <w:rsid w:val="0060722D"/>
    <w:rsid w:val="00622708"/>
    <w:rsid w:val="00721D11"/>
    <w:rsid w:val="00804184"/>
    <w:rsid w:val="00A21CA0"/>
    <w:rsid w:val="00BB3250"/>
    <w:rsid w:val="00C339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7"/>
  </w:style>
  <w:style w:type="paragraph" w:styleId="Heading1">
    <w:name w:val="heading 1"/>
    <w:basedOn w:val="Normal"/>
    <w:next w:val="Normal"/>
    <w:link w:val="Heading1Char"/>
    <w:uiPriority w:val="9"/>
    <w:qFormat/>
    <w:rsid w:val="00BB3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4F77"/>
    <w:pPr>
      <w:spacing w:after="0" w:line="240" w:lineRule="auto"/>
    </w:pPr>
    <w:rPr>
      <w:sz w:val="20"/>
      <w:szCs w:val="20"/>
    </w:rPr>
  </w:style>
  <w:style w:type="character" w:customStyle="1" w:styleId="FootnoteTextChar">
    <w:name w:val="Footnote Text Char"/>
    <w:basedOn w:val="DefaultParagraphFont"/>
    <w:link w:val="FootnoteText"/>
    <w:uiPriority w:val="99"/>
    <w:rsid w:val="000C4F77"/>
    <w:rPr>
      <w:sz w:val="20"/>
      <w:szCs w:val="20"/>
    </w:rPr>
  </w:style>
  <w:style w:type="character" w:styleId="FootnoteReference">
    <w:name w:val="footnote reference"/>
    <w:basedOn w:val="DefaultParagraphFont"/>
    <w:uiPriority w:val="99"/>
    <w:semiHidden/>
    <w:unhideWhenUsed/>
    <w:rsid w:val="000C4F77"/>
    <w:rPr>
      <w:vertAlign w:val="superscript"/>
    </w:rPr>
  </w:style>
  <w:style w:type="table" w:styleId="TableGrid">
    <w:name w:val="Table Grid"/>
    <w:basedOn w:val="TableNormal"/>
    <w:uiPriority w:val="59"/>
    <w:rsid w:val="000C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F77"/>
    <w:rPr>
      <w:color w:val="0000FF" w:themeColor="hyperlink"/>
      <w:u w:val="single"/>
    </w:rPr>
  </w:style>
  <w:style w:type="paragraph" w:styleId="ListParagraph">
    <w:name w:val="List Paragraph"/>
    <w:basedOn w:val="Normal"/>
    <w:uiPriority w:val="34"/>
    <w:qFormat/>
    <w:rsid w:val="004C17FB"/>
    <w:pPr>
      <w:ind w:left="720"/>
      <w:contextualSpacing/>
    </w:pPr>
  </w:style>
  <w:style w:type="character" w:customStyle="1" w:styleId="Heading1Char">
    <w:name w:val="Heading 1 Char"/>
    <w:basedOn w:val="DefaultParagraphFont"/>
    <w:link w:val="Heading1"/>
    <w:uiPriority w:val="9"/>
    <w:rsid w:val="00BB32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2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77"/>
  </w:style>
  <w:style w:type="paragraph" w:styleId="Heading1">
    <w:name w:val="heading 1"/>
    <w:basedOn w:val="Normal"/>
    <w:next w:val="Normal"/>
    <w:link w:val="Heading1Char"/>
    <w:uiPriority w:val="9"/>
    <w:qFormat/>
    <w:rsid w:val="00BB3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3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4F77"/>
    <w:pPr>
      <w:spacing w:after="0" w:line="240" w:lineRule="auto"/>
    </w:pPr>
    <w:rPr>
      <w:sz w:val="20"/>
      <w:szCs w:val="20"/>
    </w:rPr>
  </w:style>
  <w:style w:type="character" w:customStyle="1" w:styleId="FootnoteTextChar">
    <w:name w:val="Footnote Text Char"/>
    <w:basedOn w:val="DefaultParagraphFont"/>
    <w:link w:val="FootnoteText"/>
    <w:uiPriority w:val="99"/>
    <w:rsid w:val="000C4F77"/>
    <w:rPr>
      <w:sz w:val="20"/>
      <w:szCs w:val="20"/>
    </w:rPr>
  </w:style>
  <w:style w:type="character" w:styleId="FootnoteReference">
    <w:name w:val="footnote reference"/>
    <w:basedOn w:val="DefaultParagraphFont"/>
    <w:uiPriority w:val="99"/>
    <w:semiHidden/>
    <w:unhideWhenUsed/>
    <w:rsid w:val="000C4F77"/>
    <w:rPr>
      <w:vertAlign w:val="superscript"/>
    </w:rPr>
  </w:style>
  <w:style w:type="table" w:styleId="TableGrid">
    <w:name w:val="Table Grid"/>
    <w:basedOn w:val="TableNormal"/>
    <w:uiPriority w:val="59"/>
    <w:rsid w:val="000C4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F77"/>
    <w:rPr>
      <w:color w:val="0000FF" w:themeColor="hyperlink"/>
      <w:u w:val="single"/>
    </w:rPr>
  </w:style>
  <w:style w:type="paragraph" w:styleId="ListParagraph">
    <w:name w:val="List Paragraph"/>
    <w:basedOn w:val="Normal"/>
    <w:uiPriority w:val="34"/>
    <w:qFormat/>
    <w:rsid w:val="004C17FB"/>
    <w:pPr>
      <w:ind w:left="720"/>
      <w:contextualSpacing/>
    </w:pPr>
  </w:style>
  <w:style w:type="character" w:customStyle="1" w:styleId="Heading1Char">
    <w:name w:val="Heading 1 Char"/>
    <w:basedOn w:val="DefaultParagraphFont"/>
    <w:link w:val="Heading1"/>
    <w:uiPriority w:val="9"/>
    <w:rsid w:val="00BB32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32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990">
      <w:bodyDiv w:val="1"/>
      <w:marLeft w:val="0"/>
      <w:marRight w:val="0"/>
      <w:marTop w:val="0"/>
      <w:marBottom w:val="0"/>
      <w:divBdr>
        <w:top w:val="none" w:sz="0" w:space="0" w:color="auto"/>
        <w:left w:val="none" w:sz="0" w:space="0" w:color="auto"/>
        <w:bottom w:val="none" w:sz="0" w:space="0" w:color="auto"/>
        <w:right w:val="none" w:sz="0" w:space="0" w:color="auto"/>
      </w:divBdr>
      <w:divsChild>
        <w:div w:id="1160004022">
          <w:marLeft w:val="1886"/>
          <w:marRight w:val="0"/>
          <w:marTop w:val="96"/>
          <w:marBottom w:val="0"/>
          <w:divBdr>
            <w:top w:val="none" w:sz="0" w:space="0" w:color="auto"/>
            <w:left w:val="none" w:sz="0" w:space="0" w:color="auto"/>
            <w:bottom w:val="none" w:sz="0" w:space="0" w:color="auto"/>
            <w:right w:val="none" w:sz="0" w:space="0" w:color="auto"/>
          </w:divBdr>
        </w:div>
      </w:divsChild>
    </w:div>
    <w:div w:id="484511967">
      <w:bodyDiv w:val="1"/>
      <w:marLeft w:val="0"/>
      <w:marRight w:val="0"/>
      <w:marTop w:val="0"/>
      <w:marBottom w:val="0"/>
      <w:divBdr>
        <w:top w:val="none" w:sz="0" w:space="0" w:color="auto"/>
        <w:left w:val="none" w:sz="0" w:space="0" w:color="auto"/>
        <w:bottom w:val="none" w:sz="0" w:space="0" w:color="auto"/>
        <w:right w:val="none" w:sz="0" w:space="0" w:color="auto"/>
      </w:divBdr>
      <w:divsChild>
        <w:div w:id="1044986204">
          <w:marLeft w:val="1886"/>
          <w:marRight w:val="0"/>
          <w:marTop w:val="96"/>
          <w:marBottom w:val="0"/>
          <w:divBdr>
            <w:top w:val="none" w:sz="0" w:space="0" w:color="auto"/>
            <w:left w:val="none" w:sz="0" w:space="0" w:color="auto"/>
            <w:bottom w:val="none" w:sz="0" w:space="0" w:color="auto"/>
            <w:right w:val="none" w:sz="0" w:space="0" w:color="auto"/>
          </w:divBdr>
        </w:div>
      </w:divsChild>
    </w:div>
    <w:div w:id="4906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can.gc.ca/subjects-sujets/standard-norme/naics-scian/2007/list-liste-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Folkins, Timothy</dc:creator>
  <cp:lastModifiedBy>Folkins, Timothy</cp:lastModifiedBy>
  <cp:revision>4</cp:revision>
  <cp:lastPrinted>2016-06-27T16:22:00Z</cp:lastPrinted>
  <dcterms:created xsi:type="dcterms:W3CDTF">2016-06-23T19:07:00Z</dcterms:created>
  <dcterms:modified xsi:type="dcterms:W3CDTF">2016-06-28T12:33:00Z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e04a05c8-0a3e-4583-bcec-e47ceaaf27d7</vt:lpwstr>
  </property>
  <property fmtid="{D5CDD505-2E9C-101B-9397-08002B2CF9AE}" pid="3" name="TBSSCTCLASSIFICATION">
    <vt:lpwstr>No Classification Selected</vt:lpwstr>
  </property>
  <property fmtid="{D5CDD505-2E9C-101B-9397-08002B2CF9AE}" pid="4" name="SECCLASS">
    <vt:lpwstr>CLASSN</vt:lpwstr>
  </property>
</Properties>
</file>