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805" w:rsidRPr="004A1851" w:rsidRDefault="00184687" w:rsidP="00184687">
      <w:pPr>
        <w:pStyle w:val="ListParagraph"/>
        <w:shd w:val="clear" w:color="auto" w:fill="F2F2F2" w:themeFill="background1" w:themeFillShade="F2"/>
        <w:ind w:hanging="360"/>
        <w:rPr>
          <w:rFonts w:asciiTheme="minorHAnsi" w:hAnsiTheme="minorHAnsi" w:cstheme="minorHAnsi"/>
        </w:rPr>
      </w:pPr>
      <w:bookmarkStart w:id="0" w:name="_GoBack"/>
      <w:bookmarkEnd w:id="0"/>
      <w:r w:rsidRPr="004A1851">
        <w:rPr>
          <w:rFonts w:asciiTheme="minorHAnsi" w:hAnsiTheme="minorHAnsi" w:cstheme="minorHAnsi"/>
          <w:b/>
        </w:rPr>
        <w:t>The Next Generation HR and Pay Initiative</w:t>
      </w:r>
      <w:r w:rsidR="00BD2805" w:rsidRPr="004A1851">
        <w:rPr>
          <w:rFonts w:asciiTheme="minorHAnsi" w:hAnsiTheme="minorHAnsi" w:cstheme="minorHAnsi"/>
        </w:rPr>
        <w:t xml:space="preserve"> </w:t>
      </w:r>
    </w:p>
    <w:p w:rsidR="00F9507D" w:rsidRPr="004A1851" w:rsidRDefault="00F9507D" w:rsidP="00F9507D">
      <w:pPr>
        <w:pStyle w:val="ListParagraph"/>
        <w:ind w:left="360"/>
        <w:rPr>
          <w:rFonts w:asciiTheme="minorHAnsi" w:hAnsiTheme="minorHAnsi" w:cstheme="minorHAnsi"/>
        </w:rPr>
      </w:pPr>
      <w:r w:rsidRPr="004A1851">
        <w:rPr>
          <w:rFonts w:asciiTheme="minorHAnsi" w:hAnsiTheme="minorHAnsi" w:cstheme="minorHAnsi"/>
          <w:lang w:val="en-US"/>
        </w:rPr>
        <w:t>B</w:t>
      </w:r>
      <w:r w:rsidR="00EA0A87" w:rsidRPr="004A1851">
        <w:rPr>
          <w:rFonts w:asciiTheme="minorHAnsi" w:hAnsiTheme="minorHAnsi" w:cstheme="minorHAnsi"/>
          <w:lang w:val="en-US"/>
        </w:rPr>
        <w:t>udget 2018 announced the Government of Canada’s</w:t>
      </w:r>
      <w:r w:rsidR="002231A9">
        <w:rPr>
          <w:rFonts w:asciiTheme="minorHAnsi" w:hAnsiTheme="minorHAnsi" w:cstheme="minorHAnsi"/>
          <w:lang w:val="en-US"/>
        </w:rPr>
        <w:t xml:space="preserve"> (GC)</w:t>
      </w:r>
      <w:r w:rsidRPr="004A1851">
        <w:rPr>
          <w:rFonts w:asciiTheme="minorHAnsi" w:hAnsiTheme="minorHAnsi" w:cstheme="minorHAnsi"/>
          <w:lang w:val="en-US"/>
        </w:rPr>
        <w:t xml:space="preserve"> intention to find options for an alternative, long-term, and sustainable next generation pay solution. A future HR and Pay system for the Government of Canada should be driven by a modern people management process and system. The government will work closely with experts, unions, technology providers, and most importantly, our employees, to accomplish our goals.</w:t>
      </w:r>
    </w:p>
    <w:p w:rsidR="00BD2805" w:rsidRPr="004A1851" w:rsidRDefault="00BD2805" w:rsidP="00EA0A87">
      <w:pPr>
        <w:rPr>
          <w:rFonts w:cstheme="minorHAnsi"/>
        </w:rPr>
      </w:pPr>
    </w:p>
    <w:p w:rsidR="00F9507D" w:rsidRPr="00394546" w:rsidRDefault="00BD2805" w:rsidP="00184687">
      <w:pPr>
        <w:pStyle w:val="ListParagraph"/>
        <w:shd w:val="clear" w:color="auto" w:fill="F2F2F2" w:themeFill="background1" w:themeFillShade="F2"/>
        <w:ind w:hanging="360"/>
        <w:rPr>
          <w:rFonts w:asciiTheme="minorHAnsi" w:hAnsiTheme="minorHAnsi" w:cstheme="minorHAnsi"/>
        </w:rPr>
      </w:pPr>
      <w:r w:rsidRPr="00394546">
        <w:rPr>
          <w:rFonts w:asciiTheme="minorHAnsi" w:hAnsiTheme="minorHAnsi" w:cstheme="minorHAnsi"/>
          <w:b/>
        </w:rPr>
        <w:t xml:space="preserve">Agile Procurement Process </w:t>
      </w:r>
      <w:r w:rsidR="00A57705" w:rsidRPr="00394546">
        <w:rPr>
          <w:rFonts w:asciiTheme="minorHAnsi" w:hAnsiTheme="minorHAnsi" w:cstheme="minorHAnsi"/>
          <w:b/>
        </w:rPr>
        <w:t>(APP)</w:t>
      </w:r>
    </w:p>
    <w:p w:rsidR="004A1851" w:rsidRPr="00D80AC9" w:rsidRDefault="004A1851" w:rsidP="004A1851">
      <w:pPr>
        <w:pStyle w:val="ListParagraph"/>
        <w:ind w:left="360"/>
        <w:rPr>
          <w:rFonts w:asciiTheme="minorHAnsi" w:hAnsiTheme="minorHAnsi" w:cstheme="minorHAnsi"/>
          <w:u w:val="single"/>
        </w:rPr>
      </w:pPr>
      <w:r w:rsidRPr="00D80AC9">
        <w:rPr>
          <w:rFonts w:asciiTheme="minorHAnsi" w:hAnsiTheme="minorHAnsi" w:cstheme="minorHAnsi"/>
          <w:u w:val="single"/>
        </w:rPr>
        <w:t>Description</w:t>
      </w:r>
    </w:p>
    <w:p w:rsidR="004A1851" w:rsidRPr="00D80AC9" w:rsidRDefault="00184687" w:rsidP="00D80AC9">
      <w:pPr>
        <w:pStyle w:val="ListParagraph"/>
        <w:ind w:left="360"/>
        <w:rPr>
          <w:rFonts w:asciiTheme="minorHAnsi" w:hAnsiTheme="minorHAnsi" w:cstheme="minorHAnsi"/>
        </w:rPr>
      </w:pPr>
      <w:r w:rsidRPr="004A1851">
        <w:rPr>
          <w:rFonts w:asciiTheme="minorHAnsi" w:hAnsiTheme="minorHAnsi" w:cstheme="minorHAnsi"/>
        </w:rPr>
        <w:t>The Next Generation HR and</w:t>
      </w:r>
      <w:r w:rsidR="00D80AC9">
        <w:rPr>
          <w:rFonts w:asciiTheme="minorHAnsi" w:hAnsiTheme="minorHAnsi" w:cstheme="minorHAnsi"/>
        </w:rPr>
        <w:t xml:space="preserve"> Pay initiative </w:t>
      </w:r>
      <w:r w:rsidR="007B2FB1">
        <w:rPr>
          <w:rFonts w:asciiTheme="minorHAnsi" w:hAnsiTheme="minorHAnsi" w:cstheme="minorHAnsi"/>
        </w:rPr>
        <w:t xml:space="preserve">(NextGen) </w:t>
      </w:r>
      <w:r w:rsidR="00D80AC9">
        <w:rPr>
          <w:rFonts w:asciiTheme="minorHAnsi" w:hAnsiTheme="minorHAnsi" w:cstheme="minorHAnsi"/>
        </w:rPr>
        <w:t>is taking a new</w:t>
      </w:r>
      <w:r w:rsidRPr="004A1851">
        <w:rPr>
          <w:rFonts w:asciiTheme="minorHAnsi" w:hAnsiTheme="minorHAnsi" w:cstheme="minorHAnsi"/>
        </w:rPr>
        <w:t xml:space="preserve"> approach to traditional </w:t>
      </w:r>
      <w:r w:rsidR="00EA0A87" w:rsidRPr="004A1851">
        <w:rPr>
          <w:rFonts w:asciiTheme="minorHAnsi" w:hAnsiTheme="minorHAnsi" w:cstheme="minorHAnsi"/>
        </w:rPr>
        <w:t xml:space="preserve">government </w:t>
      </w:r>
      <w:r w:rsidRPr="004A1851">
        <w:rPr>
          <w:rFonts w:asciiTheme="minorHAnsi" w:hAnsiTheme="minorHAnsi" w:cstheme="minorHAnsi"/>
        </w:rPr>
        <w:t>procurement.</w:t>
      </w:r>
      <w:r w:rsidR="00EA0A87" w:rsidRPr="004A1851">
        <w:rPr>
          <w:rFonts w:asciiTheme="minorHAnsi" w:hAnsiTheme="minorHAnsi" w:cstheme="minorHAnsi"/>
        </w:rPr>
        <w:t xml:space="preserve"> This approach will allow the requirements of the initiative and scope to remain flexible and allow for industry feedback to be built in throughout the process.</w:t>
      </w:r>
      <w:r w:rsidR="00E670FF" w:rsidRPr="004A1851">
        <w:rPr>
          <w:rFonts w:asciiTheme="minorHAnsi" w:hAnsiTheme="minorHAnsi" w:cstheme="minorHAnsi"/>
        </w:rPr>
        <w:t xml:space="preserve"> </w:t>
      </w:r>
      <w:r w:rsidR="00D80AC9">
        <w:rPr>
          <w:rFonts w:asciiTheme="minorHAnsi" w:hAnsiTheme="minorHAnsi" w:cstheme="minorHAnsi"/>
        </w:rPr>
        <w:t>Ke</w:t>
      </w:r>
      <w:r w:rsidR="004A1851" w:rsidRPr="00D80AC9">
        <w:rPr>
          <w:rFonts w:asciiTheme="minorHAnsi" w:hAnsiTheme="minorHAnsi" w:cstheme="minorHAnsi"/>
        </w:rPr>
        <w:t xml:space="preserve">y components </w:t>
      </w:r>
      <w:r w:rsidR="00D80AC9">
        <w:rPr>
          <w:rFonts w:asciiTheme="minorHAnsi" w:hAnsiTheme="minorHAnsi" w:cstheme="minorHAnsi"/>
        </w:rPr>
        <w:t>of</w:t>
      </w:r>
      <w:r w:rsidR="004A1851" w:rsidRPr="00D80AC9">
        <w:rPr>
          <w:rFonts w:asciiTheme="minorHAnsi" w:hAnsiTheme="minorHAnsi" w:cstheme="minorHAnsi"/>
        </w:rPr>
        <w:t xml:space="preserve"> the APP</w:t>
      </w:r>
      <w:r w:rsidR="00D80AC9">
        <w:rPr>
          <w:rFonts w:asciiTheme="minorHAnsi" w:hAnsiTheme="minorHAnsi" w:cstheme="minorHAnsi"/>
        </w:rPr>
        <w:t xml:space="preserve"> include</w:t>
      </w:r>
      <w:r w:rsidR="004A1851" w:rsidRPr="00D80AC9">
        <w:rPr>
          <w:rFonts w:asciiTheme="minorHAnsi" w:hAnsiTheme="minorHAnsi" w:cstheme="minorHAnsi"/>
        </w:rPr>
        <w:t>:</w:t>
      </w:r>
    </w:p>
    <w:p w:rsidR="004A1851" w:rsidRPr="004A1851" w:rsidRDefault="004A1851" w:rsidP="004A1851">
      <w:pPr>
        <w:pStyle w:val="ListParagraph"/>
        <w:numPr>
          <w:ilvl w:val="0"/>
          <w:numId w:val="7"/>
        </w:numPr>
        <w:rPr>
          <w:rFonts w:asciiTheme="minorHAnsi" w:hAnsiTheme="minorHAnsi" w:cstheme="minorHAnsi"/>
        </w:rPr>
      </w:pPr>
      <w:r w:rsidRPr="004A1851">
        <w:rPr>
          <w:rFonts w:asciiTheme="minorHAnsi" w:hAnsiTheme="minorHAnsi" w:cstheme="minorHAnsi"/>
          <w:b/>
        </w:rPr>
        <w:t>A series of business outcomes and capabilities</w:t>
      </w:r>
      <w:r w:rsidRPr="004A1851">
        <w:rPr>
          <w:rFonts w:asciiTheme="minorHAnsi" w:hAnsiTheme="minorHAnsi" w:cstheme="minorHAnsi"/>
        </w:rPr>
        <w:t xml:space="preserve"> have been established by the Next Generation HR and Pay Team</w:t>
      </w:r>
      <w:r w:rsidR="007B2FB1">
        <w:rPr>
          <w:rFonts w:asciiTheme="minorHAnsi" w:hAnsiTheme="minorHAnsi" w:cstheme="minorHAnsi"/>
        </w:rPr>
        <w:t xml:space="preserve"> (the NextGen team)</w:t>
      </w:r>
      <w:r w:rsidRPr="004A1851">
        <w:rPr>
          <w:rFonts w:asciiTheme="minorHAnsi" w:hAnsiTheme="minorHAnsi" w:cstheme="minorHAnsi"/>
        </w:rPr>
        <w:t>, and communicated to industry via</w:t>
      </w:r>
      <w:r w:rsidR="007B2FB1">
        <w:rPr>
          <w:rFonts w:asciiTheme="minorHAnsi" w:hAnsiTheme="minorHAnsi" w:cstheme="minorHAnsi"/>
        </w:rPr>
        <w:t xml:space="preserve"> buyandsell.gc.ca. The NextGen</w:t>
      </w:r>
      <w:r w:rsidRPr="004A1851">
        <w:rPr>
          <w:rFonts w:asciiTheme="minorHAnsi" w:hAnsiTheme="minorHAnsi" w:cstheme="minorHAnsi"/>
        </w:rPr>
        <w:t xml:space="preserve"> team’s outcome and capability based approach will allow the GC to consider commercial products without customization. </w:t>
      </w:r>
    </w:p>
    <w:p w:rsidR="00D80AC9" w:rsidRPr="00D80AC9" w:rsidRDefault="004A1851" w:rsidP="00D80AC9">
      <w:pPr>
        <w:pStyle w:val="ListParagraph"/>
        <w:numPr>
          <w:ilvl w:val="0"/>
          <w:numId w:val="8"/>
        </w:numPr>
        <w:spacing w:after="160" w:line="259" w:lineRule="auto"/>
        <w:contextualSpacing/>
      </w:pPr>
      <w:r w:rsidRPr="004A1851">
        <w:rPr>
          <w:rFonts w:asciiTheme="minorHAnsi" w:hAnsiTheme="minorHAnsi" w:cstheme="minorHAnsi"/>
          <w:b/>
        </w:rPr>
        <w:t xml:space="preserve">Engagement with </w:t>
      </w:r>
      <w:r w:rsidR="00D80AC9">
        <w:rPr>
          <w:rFonts w:asciiTheme="minorHAnsi" w:hAnsiTheme="minorHAnsi" w:cstheme="minorHAnsi"/>
          <w:b/>
        </w:rPr>
        <w:t xml:space="preserve">users </w:t>
      </w:r>
      <w:r w:rsidR="00D80AC9">
        <w:rPr>
          <w:rFonts w:asciiTheme="minorHAnsi" w:hAnsiTheme="minorHAnsi" w:cstheme="minorHAnsi"/>
        </w:rPr>
        <w:t xml:space="preserve">is central to the success of </w:t>
      </w:r>
      <w:r w:rsidR="007B2FB1">
        <w:rPr>
          <w:rFonts w:asciiTheme="minorHAnsi" w:hAnsiTheme="minorHAnsi" w:cstheme="minorHAnsi"/>
        </w:rPr>
        <w:t>NextGen</w:t>
      </w:r>
      <w:r w:rsidR="00D80AC9">
        <w:rPr>
          <w:rFonts w:asciiTheme="minorHAnsi" w:hAnsiTheme="minorHAnsi" w:cstheme="minorHAnsi"/>
        </w:rPr>
        <w:t xml:space="preserve">. </w:t>
      </w:r>
      <w:r w:rsidR="00D80AC9">
        <w:t>Users, including employees, HR practitioners, compensation advisors and managers, will be at the centre of any new HR and pay solution. They will be included at all stages of development and implementation. At this time, TBS is also keeping feedback from select employees and bargaining agents through a series of workshops focused on the business capabilities model for HR management in the public service of the future</w:t>
      </w:r>
      <w:r w:rsidR="007B2FB1">
        <w:t>.</w:t>
      </w:r>
    </w:p>
    <w:p w:rsidR="004A1851" w:rsidRPr="00D80AC9" w:rsidRDefault="00D80AC9" w:rsidP="00D80AC9">
      <w:pPr>
        <w:pStyle w:val="ListParagraph"/>
        <w:numPr>
          <w:ilvl w:val="0"/>
          <w:numId w:val="6"/>
        </w:numPr>
        <w:rPr>
          <w:rFonts w:asciiTheme="minorHAnsi" w:hAnsiTheme="minorHAnsi" w:cstheme="minorHAnsi"/>
        </w:rPr>
      </w:pPr>
      <w:r>
        <w:rPr>
          <w:rFonts w:asciiTheme="minorHAnsi" w:hAnsiTheme="minorHAnsi" w:cstheme="minorHAnsi"/>
          <w:b/>
        </w:rPr>
        <w:t>Engagement with industry</w:t>
      </w:r>
      <w:r w:rsidR="004A1851" w:rsidRPr="004A1851">
        <w:rPr>
          <w:rFonts w:asciiTheme="minorHAnsi" w:hAnsiTheme="minorHAnsi" w:cstheme="minorHAnsi"/>
        </w:rPr>
        <w:t xml:space="preserve"> </w:t>
      </w:r>
      <w:r>
        <w:rPr>
          <w:rFonts w:asciiTheme="minorHAnsi" w:hAnsiTheme="minorHAnsi" w:cstheme="minorHAnsi"/>
        </w:rPr>
        <w:t>will be</w:t>
      </w:r>
      <w:r w:rsidR="004A1851" w:rsidRPr="004A1851">
        <w:rPr>
          <w:rFonts w:asciiTheme="minorHAnsi" w:hAnsiTheme="minorHAnsi" w:cstheme="minorHAnsi"/>
        </w:rPr>
        <w:t xml:space="preserve"> tak</w:t>
      </w:r>
      <w:r>
        <w:rPr>
          <w:rFonts w:asciiTheme="minorHAnsi" w:hAnsiTheme="minorHAnsi" w:cstheme="minorHAnsi"/>
        </w:rPr>
        <w:t>ing</w:t>
      </w:r>
      <w:r w:rsidR="004A1851" w:rsidRPr="004A1851">
        <w:rPr>
          <w:rFonts w:asciiTheme="minorHAnsi" w:hAnsiTheme="minorHAnsi" w:cstheme="minorHAnsi"/>
        </w:rPr>
        <w:t xml:space="preserve"> place to establish </w:t>
      </w:r>
      <w:r w:rsidR="004A1851" w:rsidRPr="00D80AC9">
        <w:rPr>
          <w:rFonts w:asciiTheme="minorHAnsi" w:hAnsiTheme="minorHAnsi" w:cstheme="minorHAnsi"/>
        </w:rPr>
        <w:t xml:space="preserve">“the art of the possible” </w:t>
      </w:r>
      <w:r w:rsidR="00184687" w:rsidRPr="00D80AC9">
        <w:rPr>
          <w:rFonts w:asciiTheme="minorHAnsi" w:hAnsiTheme="minorHAnsi" w:cstheme="minorHAnsi"/>
        </w:rPr>
        <w:t>from the solution perspective, allowing for realistic goals based on industry feedback, best practices and existing technology with a roadmap for the future.</w:t>
      </w:r>
      <w:r w:rsidR="004A1851" w:rsidRPr="00D80AC9">
        <w:rPr>
          <w:rFonts w:asciiTheme="minorHAnsi" w:hAnsiTheme="minorHAnsi" w:cstheme="minorHAnsi"/>
        </w:rPr>
        <w:t xml:space="preserve"> This will allow the </w:t>
      </w:r>
      <w:r w:rsidR="007B2FB1">
        <w:rPr>
          <w:rFonts w:asciiTheme="minorHAnsi" w:hAnsiTheme="minorHAnsi" w:cstheme="minorHAnsi"/>
        </w:rPr>
        <w:t>NextGen team</w:t>
      </w:r>
      <w:r w:rsidR="004A1851" w:rsidRPr="00D80AC9">
        <w:rPr>
          <w:rFonts w:asciiTheme="minorHAnsi" w:hAnsiTheme="minorHAnsi" w:cstheme="minorHAnsi"/>
        </w:rPr>
        <w:t xml:space="preserve"> to state an outcome and review different offerings from Industry allowing the team to start architecting together what the end-product will be one iteration at a time.</w:t>
      </w:r>
    </w:p>
    <w:p w:rsidR="004A1851" w:rsidRDefault="004A1851" w:rsidP="004A1851">
      <w:pPr>
        <w:pStyle w:val="ListParagraph"/>
        <w:numPr>
          <w:ilvl w:val="0"/>
          <w:numId w:val="6"/>
        </w:numPr>
        <w:rPr>
          <w:rFonts w:asciiTheme="minorHAnsi" w:hAnsiTheme="minorHAnsi" w:cstheme="minorHAnsi"/>
        </w:rPr>
      </w:pPr>
      <w:r w:rsidRPr="004A1851">
        <w:rPr>
          <w:rFonts w:asciiTheme="minorHAnsi" w:hAnsiTheme="minorHAnsi" w:cstheme="minorHAnsi"/>
          <w:b/>
        </w:rPr>
        <w:t>Activities will be performed</w:t>
      </w:r>
      <w:r w:rsidRPr="004A1851">
        <w:rPr>
          <w:rFonts w:asciiTheme="minorHAnsi" w:hAnsiTheme="minorHAnsi" w:cstheme="minorHAnsi"/>
        </w:rPr>
        <w:t xml:space="preserve"> </w:t>
      </w:r>
      <w:r w:rsidRPr="004A1851">
        <w:rPr>
          <w:rFonts w:asciiTheme="minorHAnsi" w:hAnsiTheme="minorHAnsi" w:cstheme="minorHAnsi"/>
          <w:b/>
        </w:rPr>
        <w:t>in parallel</w:t>
      </w:r>
      <w:r w:rsidRPr="004A1851">
        <w:rPr>
          <w:rFonts w:asciiTheme="minorHAnsi" w:hAnsiTheme="minorHAnsi" w:cstheme="minorHAnsi"/>
        </w:rPr>
        <w:t xml:space="preserve"> to each other; this may lead to a more compressed timeline. This approach offers flexibility as once new information is discovered with vendors or users a change in requirement becomes a welcomed shi</w:t>
      </w:r>
      <w:r>
        <w:rPr>
          <w:rFonts w:asciiTheme="minorHAnsi" w:hAnsiTheme="minorHAnsi" w:cstheme="minorHAnsi"/>
        </w:rPr>
        <w:t>ft rather than a disruptive one.</w:t>
      </w:r>
    </w:p>
    <w:p w:rsidR="00D80AC9" w:rsidRPr="00D80AC9" w:rsidRDefault="00D80AC9" w:rsidP="00D80AC9">
      <w:pPr>
        <w:pStyle w:val="ListParagraph"/>
        <w:numPr>
          <w:ilvl w:val="0"/>
          <w:numId w:val="6"/>
        </w:numPr>
        <w:rPr>
          <w:rFonts w:asciiTheme="minorHAnsi" w:hAnsiTheme="minorHAnsi" w:cstheme="minorHAnsi"/>
        </w:rPr>
      </w:pPr>
      <w:r>
        <w:rPr>
          <w:rFonts w:asciiTheme="minorHAnsi" w:hAnsiTheme="minorHAnsi" w:cstheme="minorHAnsi"/>
          <w:b/>
        </w:rPr>
        <w:t>A gated approach</w:t>
      </w:r>
      <w:r>
        <w:rPr>
          <w:rFonts w:asciiTheme="minorHAnsi" w:hAnsiTheme="minorHAnsi" w:cstheme="minorHAnsi"/>
        </w:rPr>
        <w:t xml:space="preserve"> will allow for the evaluation teams to evaluate the capabilities of vendors on focused requirements during set periods. Vendors must succeed the evaluation to move to the next gate</w:t>
      </w:r>
    </w:p>
    <w:p w:rsidR="004A1851" w:rsidRPr="00D80AC9" w:rsidRDefault="004A1851" w:rsidP="00D80AC9">
      <w:pPr>
        <w:rPr>
          <w:rFonts w:cstheme="minorHAnsi"/>
        </w:rPr>
      </w:pPr>
    </w:p>
    <w:p w:rsidR="00EA0A87" w:rsidRPr="004A1851" w:rsidRDefault="00EA0A87" w:rsidP="00EA0A87">
      <w:pPr>
        <w:pStyle w:val="ListParagraph"/>
        <w:shd w:val="clear" w:color="auto" w:fill="F2F2F2" w:themeFill="background1" w:themeFillShade="F2"/>
        <w:ind w:hanging="360"/>
        <w:rPr>
          <w:rFonts w:asciiTheme="minorHAnsi" w:hAnsiTheme="minorHAnsi" w:cstheme="minorHAnsi"/>
          <w:b/>
        </w:rPr>
      </w:pPr>
      <w:r w:rsidRPr="004A1851">
        <w:rPr>
          <w:rFonts w:asciiTheme="minorHAnsi" w:hAnsiTheme="minorHAnsi" w:cstheme="minorHAnsi"/>
          <w:b/>
        </w:rPr>
        <w:t>Key Engagement Statistics</w:t>
      </w:r>
    </w:p>
    <w:p w:rsidR="00EA0A87" w:rsidRPr="004A1851" w:rsidRDefault="00EA0A87" w:rsidP="00EA0A87">
      <w:pPr>
        <w:pStyle w:val="ListParagraph"/>
        <w:ind w:left="360"/>
        <w:rPr>
          <w:rFonts w:asciiTheme="minorHAnsi" w:hAnsiTheme="minorHAnsi" w:cstheme="minorHAnsi"/>
          <w:u w:val="single"/>
        </w:rPr>
      </w:pPr>
      <w:r w:rsidRPr="004A1851">
        <w:rPr>
          <w:rFonts w:asciiTheme="minorHAnsi" w:hAnsiTheme="minorHAnsi" w:cstheme="minorHAnsi"/>
          <w:u w:val="single"/>
        </w:rPr>
        <w:t>Industry Day</w:t>
      </w:r>
    </w:p>
    <w:p w:rsidR="007B2FB1" w:rsidRDefault="00F9507D" w:rsidP="00EA0A87">
      <w:pPr>
        <w:pStyle w:val="ListParagraph"/>
        <w:ind w:left="360"/>
        <w:rPr>
          <w:rFonts w:asciiTheme="minorHAnsi" w:hAnsiTheme="minorHAnsi" w:cstheme="minorHAnsi"/>
        </w:rPr>
      </w:pPr>
      <w:r w:rsidRPr="004A1851">
        <w:rPr>
          <w:rFonts w:asciiTheme="minorHAnsi" w:hAnsiTheme="minorHAnsi" w:cstheme="minorHAnsi"/>
        </w:rPr>
        <w:t xml:space="preserve">The Next Generation HR and Pay Industry Day </w:t>
      </w:r>
      <w:r w:rsidR="007B2FB1">
        <w:rPr>
          <w:rFonts w:asciiTheme="minorHAnsi" w:hAnsiTheme="minorHAnsi" w:cstheme="minorHAnsi"/>
        </w:rPr>
        <w:t xml:space="preserve">launched </w:t>
      </w:r>
      <w:r w:rsidRPr="004A1851">
        <w:rPr>
          <w:rFonts w:asciiTheme="minorHAnsi" w:hAnsiTheme="minorHAnsi" w:cstheme="minorHAnsi"/>
        </w:rPr>
        <w:t xml:space="preserve">on </w:t>
      </w:r>
      <w:r w:rsidRPr="004A1851">
        <w:rPr>
          <w:rFonts w:asciiTheme="minorHAnsi" w:hAnsiTheme="minorHAnsi" w:cstheme="minorHAnsi"/>
          <w:u w:val="single"/>
        </w:rPr>
        <w:t>September 19</w:t>
      </w:r>
      <w:r w:rsidRPr="007B2FB1">
        <w:rPr>
          <w:rFonts w:asciiTheme="minorHAnsi" w:hAnsiTheme="minorHAnsi" w:cstheme="minorHAnsi"/>
          <w:u w:val="single"/>
          <w:vertAlign w:val="superscript"/>
        </w:rPr>
        <w:t>th</w:t>
      </w:r>
      <w:r w:rsidR="007B2FB1">
        <w:rPr>
          <w:rFonts w:asciiTheme="minorHAnsi" w:hAnsiTheme="minorHAnsi" w:cstheme="minorHAnsi"/>
        </w:rPr>
        <w:t xml:space="preserve">.  </w:t>
      </w:r>
      <w:r w:rsidRPr="004A1851">
        <w:rPr>
          <w:rFonts w:asciiTheme="minorHAnsi" w:hAnsiTheme="minorHAnsi" w:cstheme="minorHAnsi"/>
        </w:rPr>
        <w:t xml:space="preserve">The event </w:t>
      </w:r>
      <w:r w:rsidR="007B2FB1">
        <w:rPr>
          <w:rFonts w:asciiTheme="minorHAnsi" w:hAnsiTheme="minorHAnsi" w:cstheme="minorHAnsi"/>
        </w:rPr>
        <w:t>saw</w:t>
      </w:r>
      <w:r w:rsidRPr="004A1851">
        <w:rPr>
          <w:rFonts w:asciiTheme="minorHAnsi" w:hAnsiTheme="minorHAnsi" w:cstheme="minorHAnsi"/>
        </w:rPr>
        <w:t xml:space="preserve"> approximately 90 in-person industry participants, representing 46 vendors. </w:t>
      </w:r>
    </w:p>
    <w:p w:rsidR="00F9507D" w:rsidRPr="004A1851" w:rsidRDefault="00F9507D" w:rsidP="00EA0A87">
      <w:pPr>
        <w:pStyle w:val="ListParagraph"/>
        <w:ind w:left="360"/>
        <w:rPr>
          <w:rFonts w:asciiTheme="minorHAnsi" w:hAnsiTheme="minorHAnsi" w:cstheme="minorHAnsi"/>
        </w:rPr>
      </w:pPr>
      <w:r w:rsidRPr="004A1851">
        <w:rPr>
          <w:rFonts w:asciiTheme="minorHAnsi" w:hAnsiTheme="minorHAnsi" w:cstheme="minorHAnsi"/>
        </w:rPr>
        <w:t>Of these vendors:</w:t>
      </w:r>
    </w:p>
    <w:p w:rsidR="00F9507D" w:rsidRPr="004A1851" w:rsidRDefault="00F9507D" w:rsidP="00F9507D">
      <w:pPr>
        <w:pStyle w:val="ListParagraph"/>
        <w:numPr>
          <w:ilvl w:val="0"/>
          <w:numId w:val="1"/>
        </w:numPr>
        <w:spacing w:after="160"/>
        <w:contextualSpacing/>
        <w:rPr>
          <w:rFonts w:asciiTheme="minorHAnsi" w:hAnsiTheme="minorHAnsi" w:cstheme="minorHAnsi"/>
        </w:rPr>
      </w:pPr>
      <w:r w:rsidRPr="004A1851">
        <w:rPr>
          <w:rFonts w:asciiTheme="minorHAnsi" w:hAnsiTheme="minorHAnsi" w:cstheme="minorHAnsi"/>
        </w:rPr>
        <w:t>6 system integrators, including Deloitte, PwC, IBM</w:t>
      </w:r>
    </w:p>
    <w:p w:rsidR="00F9507D" w:rsidRPr="004A1851" w:rsidRDefault="00F9507D" w:rsidP="00F9507D">
      <w:pPr>
        <w:pStyle w:val="ListParagraph"/>
        <w:numPr>
          <w:ilvl w:val="0"/>
          <w:numId w:val="1"/>
        </w:numPr>
        <w:spacing w:after="160"/>
        <w:contextualSpacing/>
        <w:rPr>
          <w:rFonts w:asciiTheme="minorHAnsi" w:hAnsiTheme="minorHAnsi" w:cstheme="minorHAnsi"/>
        </w:rPr>
      </w:pPr>
      <w:r w:rsidRPr="004A1851">
        <w:rPr>
          <w:rFonts w:asciiTheme="minorHAnsi" w:hAnsiTheme="minorHAnsi" w:cstheme="minorHAnsi"/>
        </w:rPr>
        <w:lastRenderedPageBreak/>
        <w:t>8 advisory firms, including Gartner, EY, KPMG</w:t>
      </w:r>
    </w:p>
    <w:p w:rsidR="00F9507D" w:rsidRPr="004A1851" w:rsidRDefault="00F9507D" w:rsidP="00F9507D">
      <w:pPr>
        <w:pStyle w:val="ListParagraph"/>
        <w:numPr>
          <w:ilvl w:val="0"/>
          <w:numId w:val="1"/>
        </w:numPr>
        <w:spacing w:after="160"/>
        <w:contextualSpacing/>
        <w:rPr>
          <w:rFonts w:asciiTheme="minorHAnsi" w:hAnsiTheme="minorHAnsi" w:cstheme="minorHAnsi"/>
        </w:rPr>
      </w:pPr>
      <w:r w:rsidRPr="004A1851">
        <w:rPr>
          <w:rFonts w:asciiTheme="minorHAnsi" w:hAnsiTheme="minorHAnsi" w:cstheme="minorHAnsi"/>
        </w:rPr>
        <w:t>18  professional Services covering IT, HR and communications, including Systematix and Teksystems</w:t>
      </w:r>
    </w:p>
    <w:p w:rsidR="00F9507D" w:rsidRPr="004A1851" w:rsidRDefault="00F9507D" w:rsidP="00F9507D">
      <w:pPr>
        <w:pStyle w:val="ListParagraph"/>
        <w:numPr>
          <w:ilvl w:val="0"/>
          <w:numId w:val="1"/>
        </w:numPr>
        <w:spacing w:after="160"/>
        <w:contextualSpacing/>
        <w:rPr>
          <w:rFonts w:asciiTheme="minorHAnsi" w:hAnsiTheme="minorHAnsi" w:cstheme="minorHAnsi"/>
        </w:rPr>
      </w:pPr>
      <w:r w:rsidRPr="004A1851">
        <w:rPr>
          <w:rFonts w:asciiTheme="minorHAnsi" w:hAnsiTheme="minorHAnsi" w:cstheme="minorHAnsi"/>
        </w:rPr>
        <w:t>4 user experience firms, including IDEO and Normative</w:t>
      </w:r>
    </w:p>
    <w:p w:rsidR="00F9507D" w:rsidRPr="004A1851" w:rsidRDefault="00F9507D" w:rsidP="00F9507D">
      <w:pPr>
        <w:pStyle w:val="ListParagraph"/>
        <w:numPr>
          <w:ilvl w:val="0"/>
          <w:numId w:val="1"/>
        </w:numPr>
        <w:spacing w:after="160"/>
        <w:contextualSpacing/>
        <w:rPr>
          <w:rFonts w:asciiTheme="minorHAnsi" w:hAnsiTheme="minorHAnsi" w:cstheme="minorHAnsi"/>
        </w:rPr>
      </w:pPr>
      <w:r w:rsidRPr="004A1851">
        <w:rPr>
          <w:rFonts w:asciiTheme="minorHAnsi" w:hAnsiTheme="minorHAnsi" w:cstheme="minorHAnsi"/>
        </w:rPr>
        <w:t>10 enterprise resource planning companies, including Workday, Ceridian, SAP and Oracle</w:t>
      </w:r>
    </w:p>
    <w:p w:rsidR="00F9507D" w:rsidRPr="004A1851" w:rsidRDefault="00F9507D" w:rsidP="00EA0A87">
      <w:pPr>
        <w:pStyle w:val="ListParagraph"/>
        <w:ind w:left="360"/>
        <w:rPr>
          <w:rFonts w:asciiTheme="minorHAnsi" w:hAnsiTheme="minorHAnsi" w:cstheme="minorHAnsi"/>
        </w:rPr>
      </w:pPr>
      <w:r w:rsidRPr="004A1851">
        <w:rPr>
          <w:rFonts w:asciiTheme="minorHAnsi" w:hAnsiTheme="minorHAnsi" w:cstheme="minorHAnsi"/>
        </w:rPr>
        <w:t>Public servants were also involved, with approximately 25 employees from various departments participating in person including CRA, PSPC, DND, PSC, NSERC, CIHR and SSC.</w:t>
      </w:r>
    </w:p>
    <w:p w:rsidR="00F9507D" w:rsidRPr="004A1851" w:rsidRDefault="00F9507D" w:rsidP="00F9507D">
      <w:pPr>
        <w:pStyle w:val="ListParagraph"/>
        <w:ind w:left="360"/>
        <w:rPr>
          <w:rFonts w:asciiTheme="minorHAnsi" w:hAnsiTheme="minorHAnsi" w:cstheme="minorHAnsi"/>
        </w:rPr>
      </w:pPr>
    </w:p>
    <w:p w:rsidR="00F9507D" w:rsidRPr="004A1851" w:rsidRDefault="00F9507D" w:rsidP="00F9507D">
      <w:pPr>
        <w:pStyle w:val="ListParagraph"/>
        <w:ind w:left="360"/>
        <w:rPr>
          <w:rFonts w:asciiTheme="minorHAnsi" w:hAnsiTheme="minorHAnsi" w:cstheme="minorHAnsi"/>
        </w:rPr>
      </w:pPr>
      <w:r w:rsidRPr="004A1851">
        <w:rPr>
          <w:rFonts w:asciiTheme="minorHAnsi" w:hAnsiTheme="minorHAnsi" w:cstheme="minorHAnsi"/>
        </w:rPr>
        <w:t>Other participation statistics include;</w:t>
      </w:r>
    </w:p>
    <w:p w:rsidR="00F9507D" w:rsidRPr="004A1851" w:rsidRDefault="00F9507D" w:rsidP="00F9507D">
      <w:pPr>
        <w:pStyle w:val="ListParagraph"/>
        <w:numPr>
          <w:ilvl w:val="0"/>
          <w:numId w:val="1"/>
        </w:numPr>
        <w:spacing w:after="160"/>
        <w:contextualSpacing/>
        <w:rPr>
          <w:rFonts w:asciiTheme="minorHAnsi" w:hAnsiTheme="minorHAnsi" w:cstheme="minorHAnsi"/>
        </w:rPr>
      </w:pPr>
      <w:r w:rsidRPr="004A1851">
        <w:rPr>
          <w:rFonts w:asciiTheme="minorHAnsi" w:hAnsiTheme="minorHAnsi" w:cstheme="minorHAnsi"/>
        </w:rPr>
        <w:t>Over 80 users participated via WebEx</w:t>
      </w:r>
    </w:p>
    <w:p w:rsidR="00F9507D" w:rsidRPr="004A1851" w:rsidRDefault="00F9507D" w:rsidP="00F9507D">
      <w:pPr>
        <w:pStyle w:val="ListParagraph"/>
        <w:numPr>
          <w:ilvl w:val="0"/>
          <w:numId w:val="1"/>
        </w:numPr>
        <w:spacing w:after="160"/>
        <w:contextualSpacing/>
        <w:rPr>
          <w:rFonts w:asciiTheme="minorHAnsi" w:hAnsiTheme="minorHAnsi" w:cstheme="minorHAnsi"/>
        </w:rPr>
      </w:pPr>
      <w:r w:rsidRPr="004A1851">
        <w:rPr>
          <w:rFonts w:asciiTheme="minorHAnsi" w:hAnsiTheme="minorHAnsi" w:cstheme="minorHAnsi"/>
        </w:rPr>
        <w:t>Over 120 people participated via YouTube – live stream</w:t>
      </w:r>
    </w:p>
    <w:p w:rsidR="00F9507D" w:rsidRPr="004A1851" w:rsidRDefault="00F9507D" w:rsidP="00F9507D">
      <w:pPr>
        <w:pStyle w:val="ListParagraph"/>
        <w:numPr>
          <w:ilvl w:val="0"/>
          <w:numId w:val="1"/>
        </w:numPr>
        <w:spacing w:after="160"/>
        <w:contextualSpacing/>
        <w:rPr>
          <w:rFonts w:asciiTheme="minorHAnsi" w:hAnsiTheme="minorHAnsi" w:cstheme="minorHAnsi"/>
        </w:rPr>
      </w:pPr>
      <w:r w:rsidRPr="004A1851">
        <w:rPr>
          <w:rFonts w:asciiTheme="minorHAnsi" w:hAnsiTheme="minorHAnsi" w:cstheme="minorHAnsi"/>
        </w:rPr>
        <w:t>Over 880 people engaged via twitter.</w:t>
      </w:r>
    </w:p>
    <w:p w:rsidR="00F9507D" w:rsidRPr="004A1851" w:rsidRDefault="00F9507D" w:rsidP="00F9507D">
      <w:pPr>
        <w:pStyle w:val="ListParagraph"/>
        <w:numPr>
          <w:ilvl w:val="0"/>
          <w:numId w:val="1"/>
        </w:numPr>
        <w:spacing w:after="160"/>
        <w:contextualSpacing/>
        <w:rPr>
          <w:rFonts w:asciiTheme="minorHAnsi" w:hAnsiTheme="minorHAnsi" w:cstheme="minorHAnsi"/>
        </w:rPr>
      </w:pPr>
      <w:r w:rsidRPr="004A1851">
        <w:rPr>
          <w:rFonts w:asciiTheme="minorHAnsi" w:hAnsiTheme="minorHAnsi" w:cstheme="minorHAnsi"/>
        </w:rPr>
        <w:t>Over 120 people engaged via Slido</w:t>
      </w:r>
    </w:p>
    <w:p w:rsidR="00F9507D" w:rsidRPr="004A1851" w:rsidRDefault="00F9507D" w:rsidP="00F9507D">
      <w:pPr>
        <w:pStyle w:val="ListParagraph"/>
        <w:numPr>
          <w:ilvl w:val="0"/>
          <w:numId w:val="1"/>
        </w:numPr>
        <w:spacing w:after="160"/>
        <w:contextualSpacing/>
        <w:rPr>
          <w:rFonts w:asciiTheme="minorHAnsi" w:hAnsiTheme="minorHAnsi" w:cstheme="minorHAnsi"/>
        </w:rPr>
      </w:pPr>
      <w:r w:rsidRPr="004A1851">
        <w:rPr>
          <w:rFonts w:asciiTheme="minorHAnsi" w:hAnsiTheme="minorHAnsi" w:cstheme="minorHAnsi"/>
        </w:rPr>
        <w:t xml:space="preserve">Over 130 questions were received throughout the day (in-person and Slido), </w:t>
      </w:r>
      <w:r w:rsidR="002231A9">
        <w:rPr>
          <w:rFonts w:asciiTheme="minorHAnsi" w:hAnsiTheme="minorHAnsi" w:cstheme="minorHAnsi"/>
        </w:rPr>
        <w:t>will be r</w:t>
      </w:r>
      <w:r w:rsidRPr="004A1851">
        <w:rPr>
          <w:rFonts w:asciiTheme="minorHAnsi" w:hAnsiTheme="minorHAnsi" w:cstheme="minorHAnsi"/>
        </w:rPr>
        <w:t>espond</w:t>
      </w:r>
      <w:r w:rsidR="002231A9">
        <w:rPr>
          <w:rFonts w:asciiTheme="minorHAnsi" w:hAnsiTheme="minorHAnsi" w:cstheme="minorHAnsi"/>
        </w:rPr>
        <w:t>ed</w:t>
      </w:r>
      <w:r w:rsidRPr="004A1851">
        <w:rPr>
          <w:rFonts w:asciiTheme="minorHAnsi" w:hAnsiTheme="minorHAnsi" w:cstheme="minorHAnsi"/>
        </w:rPr>
        <w:t xml:space="preserve"> to by posting Qs &amp; As publically.</w:t>
      </w:r>
    </w:p>
    <w:p w:rsidR="00D80AC9" w:rsidRDefault="00D80AC9" w:rsidP="00D80AC9">
      <w:pPr>
        <w:spacing w:after="0" w:line="240" w:lineRule="auto"/>
        <w:ind w:left="360"/>
        <w:rPr>
          <w:rFonts w:cstheme="minorHAnsi"/>
          <w:u w:val="single"/>
        </w:rPr>
      </w:pPr>
      <w:r w:rsidRPr="00D80AC9">
        <w:rPr>
          <w:rFonts w:cstheme="minorHAnsi"/>
          <w:u w:val="single"/>
        </w:rPr>
        <w:t>Gate</w:t>
      </w:r>
      <w:r w:rsidR="00394546">
        <w:rPr>
          <w:rFonts w:cstheme="minorHAnsi"/>
          <w:u w:val="single"/>
        </w:rPr>
        <w:t>s</w:t>
      </w:r>
    </w:p>
    <w:p w:rsidR="00394546" w:rsidRPr="00394546" w:rsidRDefault="00394546" w:rsidP="00394546">
      <w:pPr>
        <w:spacing w:after="0" w:line="240" w:lineRule="auto"/>
        <w:ind w:left="360"/>
        <w:rPr>
          <w:rFonts w:cstheme="minorHAnsi"/>
          <w:b/>
        </w:rPr>
      </w:pPr>
      <w:r w:rsidRPr="00394546">
        <w:rPr>
          <w:rFonts w:cstheme="minorHAnsi"/>
          <w:b/>
        </w:rPr>
        <w:t>Gate One: Show Us (October 1</w:t>
      </w:r>
      <w:r w:rsidRPr="00394546">
        <w:rPr>
          <w:rFonts w:cstheme="minorHAnsi"/>
          <w:b/>
          <w:vertAlign w:val="superscript"/>
        </w:rPr>
        <w:t>st</w:t>
      </w:r>
      <w:r w:rsidRPr="00394546">
        <w:rPr>
          <w:rFonts w:cstheme="minorHAnsi"/>
          <w:b/>
        </w:rPr>
        <w:t xml:space="preserve"> – November 13</w:t>
      </w:r>
      <w:r w:rsidRPr="00394546">
        <w:rPr>
          <w:rFonts w:cstheme="minorHAnsi"/>
          <w:b/>
          <w:vertAlign w:val="superscript"/>
        </w:rPr>
        <w:t>th</w:t>
      </w:r>
      <w:r w:rsidRPr="00394546">
        <w:rPr>
          <w:rFonts w:cstheme="minorHAnsi"/>
          <w:b/>
        </w:rPr>
        <w:t>)</w:t>
      </w:r>
    </w:p>
    <w:p w:rsidR="00394546" w:rsidRPr="00394546" w:rsidRDefault="00394546" w:rsidP="00394546">
      <w:pPr>
        <w:spacing w:after="0" w:line="240" w:lineRule="auto"/>
        <w:ind w:left="360"/>
        <w:rPr>
          <w:rFonts w:cstheme="minorHAnsi"/>
        </w:rPr>
      </w:pPr>
      <w:r>
        <w:rPr>
          <w:rFonts w:cstheme="minorHAnsi"/>
        </w:rPr>
        <w:t>Ob</w:t>
      </w:r>
      <w:r w:rsidRPr="00394546">
        <w:rPr>
          <w:rFonts w:cstheme="minorHAnsi"/>
        </w:rPr>
        <w:t>jective: Confirmation that solutions comply with foundational GC Business and Technical standards and can provide the needed business capabilities</w:t>
      </w:r>
    </w:p>
    <w:p w:rsidR="00394546" w:rsidRDefault="00394546" w:rsidP="00D80AC9">
      <w:pPr>
        <w:spacing w:after="0" w:line="240" w:lineRule="auto"/>
        <w:ind w:left="360"/>
        <w:rPr>
          <w:rFonts w:cstheme="minorHAnsi"/>
        </w:rPr>
      </w:pPr>
    </w:p>
    <w:p w:rsidR="00394546" w:rsidRPr="00394546" w:rsidRDefault="00394546" w:rsidP="00D80AC9">
      <w:pPr>
        <w:spacing w:after="0" w:line="240" w:lineRule="auto"/>
        <w:ind w:left="360"/>
        <w:rPr>
          <w:rFonts w:cstheme="minorHAnsi"/>
          <w:b/>
        </w:rPr>
      </w:pPr>
      <w:r w:rsidRPr="00394546">
        <w:rPr>
          <w:rFonts w:cstheme="minorHAnsi"/>
          <w:b/>
        </w:rPr>
        <w:t>Gate Two: Let Us (November 22</w:t>
      </w:r>
      <w:r w:rsidRPr="00394546">
        <w:rPr>
          <w:rFonts w:cstheme="minorHAnsi"/>
          <w:b/>
          <w:vertAlign w:val="superscript"/>
        </w:rPr>
        <w:t>nd</w:t>
      </w:r>
      <w:r w:rsidRPr="00394546">
        <w:rPr>
          <w:rFonts w:cstheme="minorHAnsi"/>
          <w:b/>
        </w:rPr>
        <w:t xml:space="preserve"> – TBC)</w:t>
      </w:r>
    </w:p>
    <w:p w:rsidR="00394546" w:rsidRDefault="00394546" w:rsidP="00394546">
      <w:pPr>
        <w:ind w:left="360"/>
        <w:rPr>
          <w:rFonts w:cstheme="minorHAnsi"/>
        </w:rPr>
      </w:pPr>
      <w:r>
        <w:rPr>
          <w:rFonts w:cstheme="minorHAnsi"/>
        </w:rPr>
        <w:t xml:space="preserve">Objective: </w:t>
      </w:r>
      <w:r w:rsidRPr="00394546">
        <w:rPr>
          <w:rFonts w:cstheme="minorHAnsi"/>
        </w:rPr>
        <w:t>Confirmation that solutions meet detailed business and technical requirements within a Sandbox environment that has been configured to meet GC User Test Cases.</w:t>
      </w:r>
      <w:r>
        <w:rPr>
          <w:rFonts w:cstheme="minorHAnsi"/>
        </w:rPr>
        <w:t xml:space="preserve"> </w:t>
      </w:r>
      <w:r w:rsidRPr="00394546">
        <w:rPr>
          <w:rFonts w:cstheme="minorHAnsi"/>
        </w:rPr>
        <w:t>Have users validate solutions against complex and specific use cases.</w:t>
      </w:r>
    </w:p>
    <w:p w:rsidR="00394546" w:rsidRPr="00394546" w:rsidRDefault="00394546" w:rsidP="00D80AC9">
      <w:pPr>
        <w:spacing w:after="0" w:line="240" w:lineRule="auto"/>
        <w:ind w:left="360"/>
        <w:rPr>
          <w:rFonts w:cstheme="minorHAnsi"/>
          <w:b/>
        </w:rPr>
      </w:pPr>
      <w:r w:rsidRPr="00394546">
        <w:rPr>
          <w:rFonts w:cstheme="minorHAnsi"/>
          <w:b/>
        </w:rPr>
        <w:t>Gate Three: Convince Us (TBC)</w:t>
      </w:r>
    </w:p>
    <w:p w:rsidR="00394546" w:rsidRDefault="00394546" w:rsidP="00394546">
      <w:pPr>
        <w:ind w:left="360"/>
        <w:rPr>
          <w:rFonts w:cstheme="minorHAnsi"/>
        </w:rPr>
      </w:pPr>
      <w:r>
        <w:rPr>
          <w:rFonts w:cstheme="minorHAnsi"/>
        </w:rPr>
        <w:t xml:space="preserve">Objective: </w:t>
      </w:r>
      <w:r w:rsidRPr="00394546">
        <w:rPr>
          <w:rFonts w:cstheme="minorHAnsi"/>
        </w:rPr>
        <w:t>Confirm solution options, potential implementation strategies and assess interoperability maturity</w:t>
      </w:r>
    </w:p>
    <w:p w:rsidR="002231A9" w:rsidRDefault="002231A9" w:rsidP="00D80AC9">
      <w:pPr>
        <w:spacing w:after="0" w:line="240" w:lineRule="auto"/>
        <w:ind w:left="360"/>
        <w:rPr>
          <w:rFonts w:cstheme="minorHAnsi"/>
          <w:u w:val="single"/>
        </w:rPr>
      </w:pPr>
      <w:r>
        <w:rPr>
          <w:rFonts w:cstheme="minorHAnsi"/>
        </w:rPr>
        <w:t>The gating process will be completed by February 2019.</w:t>
      </w:r>
    </w:p>
    <w:p w:rsidR="00D80AC9" w:rsidRPr="00D80AC9" w:rsidRDefault="00D80AC9" w:rsidP="00D80AC9">
      <w:pPr>
        <w:spacing w:after="0" w:line="240" w:lineRule="auto"/>
        <w:ind w:left="360"/>
        <w:rPr>
          <w:rFonts w:cstheme="minorHAnsi"/>
          <w:u w:val="single"/>
        </w:rPr>
      </w:pPr>
    </w:p>
    <w:p w:rsidR="00F9507D" w:rsidRPr="004A1851" w:rsidRDefault="00A57705" w:rsidP="00F9507D">
      <w:pPr>
        <w:pStyle w:val="ListParagraph"/>
        <w:ind w:left="360"/>
        <w:rPr>
          <w:rFonts w:asciiTheme="minorHAnsi" w:hAnsiTheme="minorHAnsi" w:cstheme="minorHAnsi"/>
        </w:rPr>
      </w:pPr>
      <w:r w:rsidRPr="004A1851">
        <w:rPr>
          <w:rFonts w:asciiTheme="minorHAnsi" w:hAnsiTheme="minorHAnsi" w:cstheme="minorHAnsi"/>
          <w:u w:val="single"/>
        </w:rPr>
        <w:t xml:space="preserve">BuyandSell.gc.ca Page Views and </w:t>
      </w:r>
      <w:r w:rsidR="00EA0A87" w:rsidRPr="004A1851">
        <w:rPr>
          <w:rFonts w:asciiTheme="minorHAnsi" w:hAnsiTheme="minorHAnsi" w:cstheme="minorHAnsi"/>
          <w:u w:val="single"/>
        </w:rPr>
        <w:t>Downloads</w:t>
      </w:r>
    </w:p>
    <w:p w:rsidR="00EA0A87" w:rsidRDefault="00A57705" w:rsidP="00A57705">
      <w:pPr>
        <w:pStyle w:val="ListParagraph"/>
        <w:ind w:left="360"/>
        <w:rPr>
          <w:rFonts w:asciiTheme="minorHAnsi" w:hAnsiTheme="minorHAnsi" w:cstheme="minorHAnsi"/>
        </w:rPr>
      </w:pPr>
      <w:r w:rsidRPr="004A1851">
        <w:rPr>
          <w:rFonts w:asciiTheme="minorHAnsi" w:hAnsiTheme="minorHAnsi" w:cstheme="minorHAnsi"/>
        </w:rPr>
        <w:t>Since October 1</w:t>
      </w:r>
      <w:r w:rsidRPr="004A1851">
        <w:rPr>
          <w:rFonts w:asciiTheme="minorHAnsi" w:hAnsiTheme="minorHAnsi" w:cstheme="minorHAnsi"/>
          <w:vertAlign w:val="superscript"/>
        </w:rPr>
        <w:t>st</w:t>
      </w:r>
      <w:r w:rsidRPr="004A1851">
        <w:rPr>
          <w:rFonts w:asciiTheme="minorHAnsi" w:hAnsiTheme="minorHAnsi" w:cstheme="minorHAnsi"/>
        </w:rPr>
        <w:t xml:space="preserve">, the </w:t>
      </w:r>
      <w:r w:rsidR="00D80AC9">
        <w:rPr>
          <w:rFonts w:asciiTheme="minorHAnsi" w:hAnsiTheme="minorHAnsi" w:cstheme="minorHAnsi"/>
        </w:rPr>
        <w:t xml:space="preserve">buyandsell.gc.ca page </w:t>
      </w:r>
      <w:r w:rsidRPr="004A1851">
        <w:rPr>
          <w:rFonts w:asciiTheme="minorHAnsi" w:hAnsiTheme="minorHAnsi" w:cstheme="minorHAnsi"/>
        </w:rPr>
        <w:t xml:space="preserve">has been viewed 323 times. </w:t>
      </w:r>
      <w:r w:rsidR="00D80AC9">
        <w:rPr>
          <w:rFonts w:asciiTheme="minorHAnsi" w:hAnsiTheme="minorHAnsi" w:cstheme="minorHAnsi"/>
        </w:rPr>
        <w:t>T</w:t>
      </w:r>
      <w:r w:rsidRPr="004A1851">
        <w:rPr>
          <w:rFonts w:asciiTheme="minorHAnsi" w:hAnsiTheme="minorHAnsi" w:cstheme="minorHAnsi"/>
        </w:rPr>
        <w:t xml:space="preserve">he English </w:t>
      </w:r>
      <w:r w:rsidR="00D80AC9">
        <w:rPr>
          <w:rFonts w:asciiTheme="minorHAnsi" w:hAnsiTheme="minorHAnsi" w:cstheme="minorHAnsi"/>
        </w:rPr>
        <w:t xml:space="preserve">Gate One </w:t>
      </w:r>
      <w:r w:rsidRPr="004A1851">
        <w:rPr>
          <w:rFonts w:asciiTheme="minorHAnsi" w:hAnsiTheme="minorHAnsi" w:cstheme="minorHAnsi"/>
        </w:rPr>
        <w:t xml:space="preserve">documentation has been downloaded 101 times, and the French 11 times. </w:t>
      </w:r>
    </w:p>
    <w:p w:rsidR="00F9507D" w:rsidRPr="004A1851" w:rsidRDefault="00F9507D" w:rsidP="00F9507D">
      <w:pPr>
        <w:pStyle w:val="ListParagraph"/>
        <w:ind w:left="360"/>
        <w:rPr>
          <w:rFonts w:asciiTheme="minorHAnsi" w:hAnsiTheme="minorHAnsi" w:cstheme="minorHAnsi"/>
        </w:rPr>
      </w:pPr>
    </w:p>
    <w:p w:rsidR="00BD2805" w:rsidRPr="004A1851" w:rsidRDefault="00F9507D" w:rsidP="00184687">
      <w:pPr>
        <w:pStyle w:val="ListParagraph"/>
        <w:shd w:val="clear" w:color="auto" w:fill="F2F2F2" w:themeFill="background1" w:themeFillShade="F2"/>
        <w:ind w:hanging="360"/>
        <w:rPr>
          <w:rFonts w:asciiTheme="minorHAnsi" w:hAnsiTheme="minorHAnsi" w:cstheme="minorHAnsi"/>
        </w:rPr>
      </w:pPr>
      <w:r w:rsidRPr="004A1851">
        <w:rPr>
          <w:rFonts w:asciiTheme="minorHAnsi" w:hAnsiTheme="minorHAnsi" w:cstheme="minorHAnsi"/>
          <w:b/>
        </w:rPr>
        <w:t>Update on Budget</w:t>
      </w:r>
    </w:p>
    <w:p w:rsidR="00184687" w:rsidRPr="004A1851" w:rsidRDefault="00184687" w:rsidP="00184687">
      <w:pPr>
        <w:pStyle w:val="ListParagraph"/>
        <w:ind w:left="360"/>
        <w:rPr>
          <w:rFonts w:asciiTheme="minorHAnsi" w:hAnsiTheme="minorHAnsi" w:cstheme="minorHAnsi"/>
        </w:rPr>
      </w:pPr>
      <w:r w:rsidRPr="004A1851">
        <w:rPr>
          <w:rFonts w:asciiTheme="minorHAnsi" w:hAnsiTheme="minorHAnsi" w:cstheme="minorHAnsi"/>
        </w:rPr>
        <w:t xml:space="preserve">The </w:t>
      </w:r>
      <w:r w:rsidR="007B2FB1">
        <w:rPr>
          <w:rFonts w:asciiTheme="minorHAnsi" w:hAnsiTheme="minorHAnsi" w:cstheme="minorHAnsi"/>
        </w:rPr>
        <w:t>NextGen team</w:t>
      </w:r>
      <w:r w:rsidRPr="004A1851">
        <w:rPr>
          <w:rFonts w:asciiTheme="minorHAnsi" w:hAnsiTheme="minorHAnsi" w:cstheme="minorHAnsi"/>
        </w:rPr>
        <w:t xml:space="preserve"> is </w:t>
      </w:r>
      <w:r w:rsidR="007B2FB1">
        <w:rPr>
          <w:rFonts w:asciiTheme="minorHAnsi" w:hAnsiTheme="minorHAnsi" w:cstheme="minorHAnsi"/>
        </w:rPr>
        <w:t>ramping up</w:t>
      </w:r>
      <w:r w:rsidRPr="004A1851">
        <w:rPr>
          <w:rFonts w:asciiTheme="minorHAnsi" w:hAnsiTheme="minorHAnsi" w:cstheme="minorHAnsi"/>
        </w:rPr>
        <w:t xml:space="preserve"> operations</w:t>
      </w:r>
      <w:r w:rsidR="007B2FB1">
        <w:rPr>
          <w:rFonts w:asciiTheme="minorHAnsi" w:hAnsiTheme="minorHAnsi" w:cstheme="minorHAnsi"/>
        </w:rPr>
        <w:t xml:space="preserve"> and </w:t>
      </w:r>
      <w:r w:rsidR="002231A9">
        <w:rPr>
          <w:rFonts w:asciiTheme="minorHAnsi" w:hAnsiTheme="minorHAnsi" w:cstheme="minorHAnsi"/>
        </w:rPr>
        <w:t>forecasts</w:t>
      </w:r>
      <w:r w:rsidR="007B2FB1">
        <w:rPr>
          <w:rFonts w:asciiTheme="minorHAnsi" w:hAnsiTheme="minorHAnsi" w:cstheme="minorHAnsi"/>
        </w:rPr>
        <w:t xml:space="preserve"> to spend its 2018-19 </w:t>
      </w:r>
      <w:r w:rsidR="002231A9">
        <w:rPr>
          <w:rFonts w:asciiTheme="minorHAnsi" w:hAnsiTheme="minorHAnsi" w:cstheme="minorHAnsi"/>
        </w:rPr>
        <w:t>budget</w:t>
      </w:r>
      <w:r w:rsidRPr="004A1851">
        <w:rPr>
          <w:rFonts w:asciiTheme="minorHAnsi" w:hAnsiTheme="minorHAnsi" w:cstheme="minorHAnsi"/>
        </w:rPr>
        <w:t>. Below is a</w:t>
      </w:r>
      <w:r w:rsidR="00A57705" w:rsidRPr="004A1851">
        <w:rPr>
          <w:rFonts w:asciiTheme="minorHAnsi" w:hAnsiTheme="minorHAnsi" w:cstheme="minorHAnsi"/>
        </w:rPr>
        <w:t>n</w:t>
      </w:r>
      <w:r w:rsidRPr="004A1851">
        <w:rPr>
          <w:rFonts w:asciiTheme="minorHAnsi" w:hAnsiTheme="minorHAnsi" w:cstheme="minorHAnsi"/>
        </w:rPr>
        <w:t xml:space="preserve"> overview chart of the actual spending to date and anticipated future spending. </w:t>
      </w:r>
      <w:r w:rsidR="00A57705" w:rsidRPr="004A1851">
        <w:rPr>
          <w:rFonts w:asciiTheme="minorHAnsi" w:hAnsiTheme="minorHAnsi" w:cstheme="minorHAnsi"/>
        </w:rPr>
        <w:t>The team is for</w:t>
      </w:r>
      <w:r w:rsidR="00E670FF" w:rsidRPr="004A1851">
        <w:rPr>
          <w:rFonts w:asciiTheme="minorHAnsi" w:hAnsiTheme="minorHAnsi" w:cstheme="minorHAnsi"/>
        </w:rPr>
        <w:t>ecasting</w:t>
      </w:r>
      <w:r w:rsidR="007B2FB1">
        <w:rPr>
          <w:rFonts w:asciiTheme="minorHAnsi" w:hAnsiTheme="minorHAnsi" w:cstheme="minorHAnsi"/>
        </w:rPr>
        <w:t>:</w:t>
      </w:r>
    </w:p>
    <w:p w:rsidR="00184687" w:rsidRPr="004A1851" w:rsidRDefault="00184687" w:rsidP="00184687">
      <w:pPr>
        <w:pStyle w:val="ListParagraph"/>
        <w:ind w:left="360"/>
        <w:rPr>
          <w:rFonts w:asciiTheme="minorHAnsi" w:hAnsiTheme="minorHAnsi" w:cstheme="minorHAnsi"/>
        </w:rPr>
      </w:pPr>
    </w:p>
    <w:tbl>
      <w:tblPr>
        <w:tblStyle w:val="TableGrid"/>
        <w:tblW w:w="8991" w:type="dxa"/>
        <w:tblInd w:w="360" w:type="dxa"/>
        <w:tblLook w:val="04A0" w:firstRow="1" w:lastRow="0" w:firstColumn="1" w:lastColumn="0" w:noHBand="0" w:noVBand="1"/>
      </w:tblPr>
      <w:tblGrid>
        <w:gridCol w:w="2896"/>
        <w:gridCol w:w="3118"/>
        <w:gridCol w:w="2977"/>
      </w:tblGrid>
      <w:tr w:rsidR="00A57705" w:rsidRPr="004A1851" w:rsidTr="00E670FF">
        <w:tc>
          <w:tcPr>
            <w:tcW w:w="2896" w:type="dxa"/>
          </w:tcPr>
          <w:p w:rsidR="00A57705" w:rsidRPr="004A1851" w:rsidRDefault="00A57705" w:rsidP="00184687">
            <w:pPr>
              <w:pStyle w:val="ListParagraph"/>
              <w:ind w:left="0"/>
              <w:rPr>
                <w:rFonts w:asciiTheme="minorHAnsi" w:hAnsiTheme="minorHAnsi" w:cstheme="minorHAnsi"/>
                <w:b/>
              </w:rPr>
            </w:pPr>
            <w:r w:rsidRPr="007B2FB1">
              <w:rPr>
                <w:rFonts w:asciiTheme="minorHAnsi" w:hAnsiTheme="minorHAnsi" w:cstheme="minorHAnsi"/>
                <w:b/>
              </w:rPr>
              <w:t>Budget 2018</w:t>
            </w:r>
            <w:r w:rsidRPr="004A1851">
              <w:rPr>
                <w:rFonts w:asciiTheme="minorHAnsi" w:hAnsiTheme="minorHAnsi" w:cstheme="minorHAnsi"/>
                <w:b/>
              </w:rPr>
              <w:t xml:space="preserve"> </w:t>
            </w:r>
          </w:p>
        </w:tc>
        <w:tc>
          <w:tcPr>
            <w:tcW w:w="3118" w:type="dxa"/>
          </w:tcPr>
          <w:p w:rsidR="00A57705" w:rsidRPr="004A1851" w:rsidRDefault="00A57705" w:rsidP="00220299">
            <w:pPr>
              <w:pStyle w:val="ListParagraph"/>
              <w:ind w:left="0"/>
              <w:jc w:val="center"/>
              <w:rPr>
                <w:rFonts w:asciiTheme="minorHAnsi" w:hAnsiTheme="minorHAnsi" w:cstheme="minorHAnsi"/>
                <w:b/>
              </w:rPr>
            </w:pPr>
            <w:r w:rsidRPr="004A1851">
              <w:rPr>
                <w:rFonts w:asciiTheme="minorHAnsi" w:hAnsiTheme="minorHAnsi" w:cstheme="minorHAnsi"/>
                <w:b/>
              </w:rPr>
              <w:t>Actuals to Date (Oct 201</w:t>
            </w:r>
            <w:r w:rsidR="00220299">
              <w:rPr>
                <w:rFonts w:asciiTheme="minorHAnsi" w:hAnsiTheme="minorHAnsi" w:cstheme="minorHAnsi"/>
                <w:b/>
              </w:rPr>
              <w:t>8</w:t>
            </w:r>
            <w:r w:rsidRPr="004A1851">
              <w:rPr>
                <w:rFonts w:asciiTheme="minorHAnsi" w:hAnsiTheme="minorHAnsi" w:cstheme="minorHAnsi"/>
                <w:b/>
              </w:rPr>
              <w:t>)</w:t>
            </w:r>
          </w:p>
        </w:tc>
        <w:tc>
          <w:tcPr>
            <w:tcW w:w="2977" w:type="dxa"/>
          </w:tcPr>
          <w:p w:rsidR="00A57705" w:rsidRPr="004A1851" w:rsidRDefault="00A57705" w:rsidP="007B2FB1">
            <w:pPr>
              <w:pStyle w:val="ListParagraph"/>
              <w:ind w:left="0"/>
              <w:jc w:val="center"/>
              <w:rPr>
                <w:rFonts w:asciiTheme="minorHAnsi" w:hAnsiTheme="minorHAnsi" w:cstheme="minorHAnsi"/>
                <w:b/>
              </w:rPr>
            </w:pPr>
            <w:r w:rsidRPr="004A1851">
              <w:rPr>
                <w:rFonts w:asciiTheme="minorHAnsi" w:hAnsiTheme="minorHAnsi" w:cstheme="minorHAnsi"/>
                <w:b/>
              </w:rPr>
              <w:t>Forecasted Spending for 2018-19</w:t>
            </w:r>
          </w:p>
        </w:tc>
      </w:tr>
      <w:tr w:rsidR="00A57705" w:rsidRPr="004A1851" w:rsidTr="00E670FF">
        <w:tc>
          <w:tcPr>
            <w:tcW w:w="2896" w:type="dxa"/>
          </w:tcPr>
          <w:p w:rsidR="00A57705" w:rsidRPr="004A1851" w:rsidRDefault="00E670FF" w:rsidP="00394546">
            <w:pPr>
              <w:pStyle w:val="ListParagraph"/>
              <w:ind w:left="0"/>
              <w:rPr>
                <w:rFonts w:asciiTheme="minorHAnsi" w:hAnsiTheme="minorHAnsi" w:cstheme="minorHAnsi"/>
              </w:rPr>
            </w:pPr>
            <w:r w:rsidRPr="004A1851">
              <w:rPr>
                <w:rFonts w:asciiTheme="minorHAnsi" w:hAnsiTheme="minorHAnsi" w:cstheme="minorHAnsi"/>
              </w:rPr>
              <w:t>$8,000,000 (</w:t>
            </w:r>
            <w:r w:rsidR="00394546">
              <w:rPr>
                <w:rFonts w:asciiTheme="minorHAnsi" w:hAnsiTheme="minorHAnsi" w:cstheme="minorHAnsi"/>
              </w:rPr>
              <w:t>$7,246,362 in program expenditures)</w:t>
            </w:r>
          </w:p>
        </w:tc>
        <w:tc>
          <w:tcPr>
            <w:tcW w:w="3118" w:type="dxa"/>
          </w:tcPr>
          <w:p w:rsidR="00A57705" w:rsidRPr="004A1851" w:rsidRDefault="00E670FF" w:rsidP="007B2FB1">
            <w:pPr>
              <w:pStyle w:val="ListParagraph"/>
              <w:ind w:left="0"/>
              <w:jc w:val="center"/>
              <w:rPr>
                <w:rFonts w:asciiTheme="minorHAnsi" w:hAnsiTheme="minorHAnsi" w:cstheme="minorHAnsi"/>
              </w:rPr>
            </w:pPr>
            <w:r w:rsidRPr="004A1851">
              <w:rPr>
                <w:rFonts w:asciiTheme="minorHAnsi" w:hAnsiTheme="minorHAnsi" w:cstheme="minorHAnsi"/>
              </w:rPr>
              <w:t>$2,985,560</w:t>
            </w:r>
          </w:p>
        </w:tc>
        <w:tc>
          <w:tcPr>
            <w:tcW w:w="2977" w:type="dxa"/>
          </w:tcPr>
          <w:p w:rsidR="00A57705" w:rsidRPr="004A1851" w:rsidRDefault="00E670FF" w:rsidP="007B2FB1">
            <w:pPr>
              <w:pStyle w:val="ListParagraph"/>
              <w:ind w:left="0"/>
              <w:jc w:val="center"/>
              <w:rPr>
                <w:rFonts w:asciiTheme="minorHAnsi" w:hAnsiTheme="minorHAnsi" w:cstheme="minorHAnsi"/>
              </w:rPr>
            </w:pPr>
            <w:r w:rsidRPr="004A1851">
              <w:rPr>
                <w:rFonts w:asciiTheme="minorHAnsi" w:hAnsiTheme="minorHAnsi" w:cstheme="minorHAnsi"/>
              </w:rPr>
              <w:t>$7,246,362</w:t>
            </w:r>
          </w:p>
        </w:tc>
      </w:tr>
    </w:tbl>
    <w:p w:rsidR="00A57705" w:rsidRPr="004A1851" w:rsidRDefault="00184687" w:rsidP="00A57705">
      <w:pPr>
        <w:pStyle w:val="ListParagraph"/>
        <w:ind w:hanging="360"/>
        <w:rPr>
          <w:rFonts w:asciiTheme="minorHAnsi" w:hAnsiTheme="minorHAnsi" w:cstheme="minorHAnsi"/>
        </w:rPr>
      </w:pPr>
      <w:r w:rsidRPr="004A1851">
        <w:rPr>
          <w:rFonts w:asciiTheme="minorHAnsi" w:hAnsiTheme="minorHAnsi" w:cstheme="minorHAnsi"/>
        </w:rPr>
        <w:t xml:space="preserve"> </w:t>
      </w:r>
    </w:p>
    <w:sectPr w:rsidR="00A57705" w:rsidRPr="004A1851" w:rsidSect="007B2FB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5F1" w:rsidRDefault="00E375F1" w:rsidP="00184687">
      <w:pPr>
        <w:spacing w:after="0" w:line="240" w:lineRule="auto"/>
      </w:pPr>
      <w:r>
        <w:separator/>
      </w:r>
    </w:p>
  </w:endnote>
  <w:endnote w:type="continuationSeparator" w:id="0">
    <w:p w:rsidR="00E375F1" w:rsidRDefault="00E375F1" w:rsidP="00184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171703"/>
      <w:docPartObj>
        <w:docPartGallery w:val="Page Numbers (Bottom of Page)"/>
        <w:docPartUnique/>
      </w:docPartObj>
    </w:sdtPr>
    <w:sdtEndPr>
      <w:rPr>
        <w:noProof/>
      </w:rPr>
    </w:sdtEndPr>
    <w:sdtContent>
      <w:p w:rsidR="007B2FB1" w:rsidRDefault="007B2FB1" w:rsidP="007B2FB1">
        <w:pPr>
          <w:pStyle w:val="Footer"/>
          <w:jc w:val="right"/>
        </w:pPr>
        <w:r>
          <w:fldChar w:fldCharType="begin"/>
        </w:r>
        <w:r>
          <w:instrText xml:space="preserve"> PAGE   \* MERGEFORMAT </w:instrText>
        </w:r>
        <w:r>
          <w:fldChar w:fldCharType="separate"/>
        </w:r>
        <w:r w:rsidR="00EA0F03">
          <w:rPr>
            <w:noProof/>
          </w:rPr>
          <w:t>2</w:t>
        </w:r>
        <w:r>
          <w:rPr>
            <w:noProof/>
          </w:rPr>
          <w:fldChar w:fldCharType="end"/>
        </w:r>
      </w:p>
    </w:sdtContent>
  </w:sdt>
  <w:p w:rsidR="007B2FB1" w:rsidRDefault="007B2FB1" w:rsidP="007B2F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15043"/>
      <w:docPartObj>
        <w:docPartGallery w:val="Page Numbers (Bottom of Page)"/>
        <w:docPartUnique/>
      </w:docPartObj>
    </w:sdtPr>
    <w:sdtEndPr>
      <w:rPr>
        <w:noProof/>
      </w:rPr>
    </w:sdtEndPr>
    <w:sdtContent>
      <w:p w:rsidR="00D80AC9" w:rsidRDefault="00D80AC9">
        <w:pPr>
          <w:pStyle w:val="Footer"/>
          <w:jc w:val="right"/>
        </w:pPr>
        <w:r>
          <w:fldChar w:fldCharType="begin"/>
        </w:r>
        <w:r>
          <w:instrText xml:space="preserve"> PAGE   \* MERGEFORMAT </w:instrText>
        </w:r>
        <w:r>
          <w:fldChar w:fldCharType="separate"/>
        </w:r>
        <w:r w:rsidR="007B2FB1">
          <w:rPr>
            <w:noProof/>
          </w:rPr>
          <w:t>2</w:t>
        </w:r>
        <w:r>
          <w:rPr>
            <w:noProof/>
          </w:rPr>
          <w:fldChar w:fldCharType="end"/>
        </w:r>
      </w:p>
    </w:sdtContent>
  </w:sdt>
  <w:p w:rsidR="00D80AC9" w:rsidRDefault="00D80A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474973"/>
      <w:docPartObj>
        <w:docPartGallery w:val="Page Numbers (Bottom of Page)"/>
        <w:docPartUnique/>
      </w:docPartObj>
    </w:sdtPr>
    <w:sdtEndPr>
      <w:rPr>
        <w:noProof/>
      </w:rPr>
    </w:sdtEndPr>
    <w:sdtContent>
      <w:p w:rsidR="007B2FB1" w:rsidRDefault="007B2FB1" w:rsidP="007B2FB1">
        <w:pPr>
          <w:pStyle w:val="Footer"/>
          <w:jc w:val="right"/>
        </w:pPr>
        <w:r>
          <w:fldChar w:fldCharType="begin"/>
        </w:r>
        <w:r>
          <w:instrText xml:space="preserve"> PAGE   \* MERGEFORMAT </w:instrText>
        </w:r>
        <w:r>
          <w:fldChar w:fldCharType="separate"/>
        </w:r>
        <w:r w:rsidR="00EA0F03">
          <w:rPr>
            <w:noProof/>
          </w:rPr>
          <w:t>1</w:t>
        </w:r>
        <w:r>
          <w:rPr>
            <w:noProof/>
          </w:rPr>
          <w:fldChar w:fldCharType="end"/>
        </w:r>
      </w:p>
    </w:sdtContent>
  </w:sdt>
  <w:p w:rsidR="007B2FB1" w:rsidRDefault="007B2FB1" w:rsidP="007B2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5F1" w:rsidRDefault="00E375F1" w:rsidP="00184687">
      <w:pPr>
        <w:spacing w:after="0" w:line="240" w:lineRule="auto"/>
      </w:pPr>
      <w:r>
        <w:separator/>
      </w:r>
    </w:p>
  </w:footnote>
  <w:footnote w:type="continuationSeparator" w:id="0">
    <w:p w:rsidR="00E375F1" w:rsidRDefault="00E375F1" w:rsidP="00184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FB1" w:rsidRDefault="007B2FB1" w:rsidP="007B2FB1">
    <w:pPr>
      <w:pStyle w:val="ListParagraph"/>
      <w:ind w:hanging="360"/>
      <w:jc w:val="center"/>
      <w:rPr>
        <w:b/>
        <w:sz w:val="28"/>
      </w:rPr>
    </w:pPr>
    <w:bookmarkStart w:id="1" w:name="TITUS1HeaderEvenPages"/>
  </w:p>
  <w:bookmarkEnd w:id="1"/>
  <w:p w:rsidR="007B2FB1" w:rsidRPr="00184687" w:rsidRDefault="007B2FB1" w:rsidP="007B2FB1">
    <w:pPr>
      <w:pStyle w:val="ListParagraph"/>
      <w:ind w:hanging="360"/>
      <w:jc w:val="center"/>
      <w:rPr>
        <w:b/>
        <w:sz w:val="28"/>
      </w:rPr>
    </w:pPr>
    <w:r w:rsidRPr="00184687">
      <w:rPr>
        <w:b/>
        <w:sz w:val="28"/>
      </w:rPr>
      <w:t>FACT SHEET</w:t>
    </w:r>
  </w:p>
  <w:p w:rsidR="007B2FB1" w:rsidRPr="00184687" w:rsidRDefault="007B2FB1" w:rsidP="007B2FB1">
    <w:pPr>
      <w:pStyle w:val="ListParagraph"/>
      <w:ind w:hanging="360"/>
      <w:jc w:val="center"/>
      <w:rPr>
        <w:sz w:val="28"/>
      </w:rPr>
    </w:pPr>
    <w:r w:rsidRPr="00184687">
      <w:rPr>
        <w:sz w:val="28"/>
      </w:rPr>
      <w:t>The Next Generation Human Resources (HR) and Pay Initiative (or NextGen)</w:t>
    </w:r>
  </w:p>
  <w:p w:rsidR="007B2FB1" w:rsidRDefault="007B2FB1" w:rsidP="007B2F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FB1" w:rsidRDefault="007B2FB1" w:rsidP="007B2FB1">
    <w:pPr>
      <w:pStyle w:val="ListParagraph"/>
      <w:ind w:hanging="360"/>
      <w:jc w:val="center"/>
      <w:rPr>
        <w:b/>
        <w:sz w:val="28"/>
      </w:rPr>
    </w:pPr>
    <w:bookmarkStart w:id="2" w:name="TITUS1HeaderPrimary"/>
  </w:p>
  <w:bookmarkEnd w:id="2"/>
  <w:p w:rsidR="00D80AC9" w:rsidRPr="00184687" w:rsidRDefault="00D80AC9" w:rsidP="00184687">
    <w:pPr>
      <w:pStyle w:val="ListParagraph"/>
      <w:ind w:hanging="360"/>
      <w:jc w:val="center"/>
      <w:rPr>
        <w:b/>
        <w:sz w:val="28"/>
      </w:rPr>
    </w:pPr>
    <w:r w:rsidRPr="00184687">
      <w:rPr>
        <w:b/>
        <w:sz w:val="28"/>
      </w:rPr>
      <w:t>FACT SHEET</w:t>
    </w:r>
  </w:p>
  <w:p w:rsidR="00D80AC9" w:rsidRPr="00184687" w:rsidRDefault="00D80AC9" w:rsidP="00184687">
    <w:pPr>
      <w:pStyle w:val="ListParagraph"/>
      <w:ind w:hanging="360"/>
      <w:jc w:val="center"/>
      <w:rPr>
        <w:sz w:val="28"/>
      </w:rPr>
    </w:pPr>
    <w:r w:rsidRPr="00184687">
      <w:rPr>
        <w:sz w:val="28"/>
      </w:rPr>
      <w:t>The Next Generation Human Resources (HR) and Pay Initiative (or NextGen)</w:t>
    </w:r>
  </w:p>
  <w:p w:rsidR="00D80AC9" w:rsidRDefault="00D80A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FB1" w:rsidRDefault="007B2FB1" w:rsidP="007B2FB1">
    <w:pPr>
      <w:pStyle w:val="ListParagraph"/>
      <w:ind w:hanging="360"/>
      <w:jc w:val="center"/>
      <w:rPr>
        <w:b/>
        <w:sz w:val="28"/>
      </w:rPr>
    </w:pPr>
    <w:bookmarkStart w:id="3" w:name="TITUS1HeaderFirstPage"/>
  </w:p>
  <w:bookmarkEnd w:id="3"/>
  <w:p w:rsidR="007B2FB1" w:rsidRPr="00184687" w:rsidRDefault="007B2FB1" w:rsidP="007B2FB1">
    <w:pPr>
      <w:pStyle w:val="ListParagraph"/>
      <w:ind w:hanging="360"/>
      <w:jc w:val="center"/>
      <w:rPr>
        <w:b/>
        <w:sz w:val="28"/>
      </w:rPr>
    </w:pPr>
    <w:r w:rsidRPr="00184687">
      <w:rPr>
        <w:b/>
        <w:sz w:val="28"/>
      </w:rPr>
      <w:t>FACT SHEET</w:t>
    </w:r>
  </w:p>
  <w:p w:rsidR="007B2FB1" w:rsidRPr="00184687" w:rsidRDefault="007B2FB1" w:rsidP="007B2FB1">
    <w:pPr>
      <w:pStyle w:val="ListParagraph"/>
      <w:ind w:hanging="360"/>
      <w:jc w:val="center"/>
      <w:rPr>
        <w:sz w:val="28"/>
      </w:rPr>
    </w:pPr>
    <w:r w:rsidRPr="00184687">
      <w:rPr>
        <w:sz w:val="28"/>
      </w:rPr>
      <w:t>The Next Generation Human Resources (HR) and Pay Initiative (or NextGen)</w:t>
    </w:r>
  </w:p>
  <w:p w:rsidR="007B2FB1" w:rsidRDefault="007B2FB1" w:rsidP="007B2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116F4"/>
    <w:multiLevelType w:val="hybridMultilevel"/>
    <w:tmpl w:val="6A98A1EE"/>
    <w:lvl w:ilvl="0" w:tplc="A134F45A">
      <w:numFmt w:val="bullet"/>
      <w:lvlText w:val="-"/>
      <w:lvlJc w:val="left"/>
      <w:pPr>
        <w:ind w:left="1080" w:hanging="360"/>
      </w:pPr>
      <w:rPr>
        <w:rFonts w:ascii="Calibri" w:eastAsia="Calibr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F1C01B5"/>
    <w:multiLevelType w:val="hybridMultilevel"/>
    <w:tmpl w:val="4E4AE042"/>
    <w:lvl w:ilvl="0" w:tplc="A134F45A">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6484DFE"/>
    <w:multiLevelType w:val="hybridMultilevel"/>
    <w:tmpl w:val="A8266144"/>
    <w:lvl w:ilvl="0" w:tplc="A134F45A">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7924B94"/>
    <w:multiLevelType w:val="hybridMultilevel"/>
    <w:tmpl w:val="4BB83310"/>
    <w:lvl w:ilvl="0" w:tplc="A134F45A">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0FE31A4"/>
    <w:multiLevelType w:val="hybridMultilevel"/>
    <w:tmpl w:val="37F2C15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63D80FB1"/>
    <w:multiLevelType w:val="hybridMultilevel"/>
    <w:tmpl w:val="B7282B9C"/>
    <w:lvl w:ilvl="0" w:tplc="A134F45A">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68420709"/>
    <w:multiLevelType w:val="hybridMultilevel"/>
    <w:tmpl w:val="4E86D324"/>
    <w:lvl w:ilvl="0" w:tplc="A134F45A">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4F70082"/>
    <w:multiLevelType w:val="hybridMultilevel"/>
    <w:tmpl w:val="C2AE3408"/>
    <w:lvl w:ilvl="0" w:tplc="A134F45A">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7"/>
  </w:num>
  <w:num w:numId="4">
    <w:abstractNumId w:val="2"/>
  </w:num>
  <w:num w:numId="5">
    <w:abstractNumId w:val="0"/>
  </w:num>
  <w:num w:numId="6">
    <w:abstractNumId w:val="3"/>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805"/>
    <w:rsid w:val="000116C1"/>
    <w:rsid w:val="00184687"/>
    <w:rsid w:val="00220299"/>
    <w:rsid w:val="002231A9"/>
    <w:rsid w:val="00394546"/>
    <w:rsid w:val="003E3988"/>
    <w:rsid w:val="004A1851"/>
    <w:rsid w:val="005069A3"/>
    <w:rsid w:val="005A153D"/>
    <w:rsid w:val="00620496"/>
    <w:rsid w:val="007B2FB1"/>
    <w:rsid w:val="007D1C57"/>
    <w:rsid w:val="00813DF5"/>
    <w:rsid w:val="00A03754"/>
    <w:rsid w:val="00A57705"/>
    <w:rsid w:val="00B8503B"/>
    <w:rsid w:val="00BD2805"/>
    <w:rsid w:val="00CD0772"/>
    <w:rsid w:val="00D80AC9"/>
    <w:rsid w:val="00E375F1"/>
    <w:rsid w:val="00E670FF"/>
    <w:rsid w:val="00EA0A87"/>
    <w:rsid w:val="00EA0F03"/>
    <w:rsid w:val="00ED34BA"/>
    <w:rsid w:val="00F950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EA6A1-964E-4801-9F02-C52DF450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805"/>
    <w:pPr>
      <w:spacing w:after="0" w:line="240" w:lineRule="auto"/>
      <w:ind w:left="720"/>
    </w:pPr>
    <w:rPr>
      <w:rFonts w:ascii="Calibri" w:hAnsi="Calibri" w:cs="Calibri"/>
      <w:lang w:eastAsia="en-CA"/>
    </w:rPr>
  </w:style>
  <w:style w:type="paragraph" w:styleId="Header">
    <w:name w:val="header"/>
    <w:basedOn w:val="Normal"/>
    <w:link w:val="HeaderChar"/>
    <w:uiPriority w:val="99"/>
    <w:unhideWhenUsed/>
    <w:rsid w:val="00184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687"/>
  </w:style>
  <w:style w:type="paragraph" w:styleId="Footer">
    <w:name w:val="footer"/>
    <w:basedOn w:val="Normal"/>
    <w:link w:val="FooterChar"/>
    <w:uiPriority w:val="99"/>
    <w:unhideWhenUsed/>
    <w:rsid w:val="00184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687"/>
  </w:style>
  <w:style w:type="table" w:styleId="TableGrid">
    <w:name w:val="Table Grid"/>
    <w:basedOn w:val="TableNormal"/>
    <w:uiPriority w:val="39"/>
    <w:rsid w:val="00184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7705"/>
    <w:rPr>
      <w:color w:val="0563C1" w:themeColor="hyperlink"/>
      <w:u w:val="single"/>
    </w:rPr>
  </w:style>
  <w:style w:type="paragraph" w:styleId="BalloonText">
    <w:name w:val="Balloon Text"/>
    <w:basedOn w:val="Normal"/>
    <w:link w:val="BalloonTextChar"/>
    <w:uiPriority w:val="99"/>
    <w:semiHidden/>
    <w:unhideWhenUsed/>
    <w:rsid w:val="00620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496"/>
    <w:rPr>
      <w:rFonts w:ascii="Segoe UI" w:hAnsi="Segoe UI" w:cs="Segoe UI"/>
      <w:sz w:val="18"/>
      <w:szCs w:val="18"/>
    </w:rPr>
  </w:style>
  <w:style w:type="paragraph" w:styleId="NormalWeb">
    <w:name w:val="Normal (Web)"/>
    <w:basedOn w:val="Normal"/>
    <w:uiPriority w:val="99"/>
    <w:semiHidden/>
    <w:unhideWhenUsed/>
    <w:rsid w:val="0039454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56920">
      <w:bodyDiv w:val="1"/>
      <w:marLeft w:val="0"/>
      <w:marRight w:val="0"/>
      <w:marTop w:val="0"/>
      <w:marBottom w:val="0"/>
      <w:divBdr>
        <w:top w:val="none" w:sz="0" w:space="0" w:color="auto"/>
        <w:left w:val="none" w:sz="0" w:space="0" w:color="auto"/>
        <w:bottom w:val="none" w:sz="0" w:space="0" w:color="auto"/>
        <w:right w:val="none" w:sz="0" w:space="0" w:color="auto"/>
      </w:divBdr>
    </w:div>
    <w:div w:id="204947402">
      <w:bodyDiv w:val="1"/>
      <w:marLeft w:val="0"/>
      <w:marRight w:val="0"/>
      <w:marTop w:val="0"/>
      <w:marBottom w:val="0"/>
      <w:divBdr>
        <w:top w:val="none" w:sz="0" w:space="0" w:color="auto"/>
        <w:left w:val="none" w:sz="0" w:space="0" w:color="auto"/>
        <w:bottom w:val="none" w:sz="0" w:space="0" w:color="auto"/>
        <w:right w:val="none" w:sz="0" w:space="0" w:color="auto"/>
      </w:divBdr>
    </w:div>
    <w:div w:id="1056052030">
      <w:bodyDiv w:val="1"/>
      <w:marLeft w:val="0"/>
      <w:marRight w:val="0"/>
      <w:marTop w:val="0"/>
      <w:marBottom w:val="0"/>
      <w:divBdr>
        <w:top w:val="none" w:sz="0" w:space="0" w:color="auto"/>
        <w:left w:val="none" w:sz="0" w:space="0" w:color="auto"/>
        <w:bottom w:val="none" w:sz="0" w:space="0" w:color="auto"/>
        <w:right w:val="none" w:sz="0" w:space="0" w:color="auto"/>
      </w:divBdr>
    </w:div>
    <w:div w:id="1168132974">
      <w:bodyDiv w:val="1"/>
      <w:marLeft w:val="0"/>
      <w:marRight w:val="0"/>
      <w:marTop w:val="0"/>
      <w:marBottom w:val="0"/>
      <w:divBdr>
        <w:top w:val="none" w:sz="0" w:space="0" w:color="auto"/>
        <w:left w:val="none" w:sz="0" w:space="0" w:color="auto"/>
        <w:bottom w:val="none" w:sz="0" w:space="0" w:color="auto"/>
        <w:right w:val="none" w:sz="0" w:space="0" w:color="auto"/>
      </w:divBdr>
    </w:div>
    <w:div w:id="1237864854">
      <w:bodyDiv w:val="1"/>
      <w:marLeft w:val="0"/>
      <w:marRight w:val="0"/>
      <w:marTop w:val="0"/>
      <w:marBottom w:val="0"/>
      <w:divBdr>
        <w:top w:val="none" w:sz="0" w:space="0" w:color="auto"/>
        <w:left w:val="none" w:sz="0" w:space="0" w:color="auto"/>
        <w:bottom w:val="none" w:sz="0" w:space="0" w:color="auto"/>
        <w:right w:val="none" w:sz="0" w:space="0" w:color="auto"/>
      </w:divBdr>
    </w:div>
    <w:div w:id="1337150595">
      <w:bodyDiv w:val="1"/>
      <w:marLeft w:val="0"/>
      <w:marRight w:val="0"/>
      <w:marTop w:val="0"/>
      <w:marBottom w:val="0"/>
      <w:divBdr>
        <w:top w:val="none" w:sz="0" w:space="0" w:color="auto"/>
        <w:left w:val="none" w:sz="0" w:space="0" w:color="auto"/>
        <w:bottom w:val="none" w:sz="0" w:space="0" w:color="auto"/>
        <w:right w:val="none" w:sz="0" w:space="0" w:color="auto"/>
      </w:divBdr>
    </w:div>
    <w:div w:id="1481002240">
      <w:bodyDiv w:val="1"/>
      <w:marLeft w:val="0"/>
      <w:marRight w:val="0"/>
      <w:marTop w:val="0"/>
      <w:marBottom w:val="0"/>
      <w:divBdr>
        <w:top w:val="none" w:sz="0" w:space="0" w:color="auto"/>
        <w:left w:val="none" w:sz="0" w:space="0" w:color="auto"/>
        <w:bottom w:val="none" w:sz="0" w:space="0" w:color="auto"/>
        <w:right w:val="none" w:sz="0" w:space="0" w:color="auto"/>
      </w:divBdr>
    </w:div>
    <w:div w:id="1967200037">
      <w:bodyDiv w:val="1"/>
      <w:marLeft w:val="0"/>
      <w:marRight w:val="0"/>
      <w:marTop w:val="0"/>
      <w:marBottom w:val="0"/>
      <w:divBdr>
        <w:top w:val="none" w:sz="0" w:space="0" w:color="auto"/>
        <w:left w:val="none" w:sz="0" w:space="0" w:color="auto"/>
        <w:bottom w:val="none" w:sz="0" w:space="0" w:color="auto"/>
        <w:right w:val="none" w:sz="0" w:space="0" w:color="auto"/>
      </w:divBdr>
    </w:div>
    <w:div w:id="202030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4029</Characters>
  <Application>Microsoft Office Word</Application>
  <DocSecurity>0</DocSecurity>
  <Lines>103</Lines>
  <Paragraphs>37</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Cassandra</dc:creator>
  <cp:keywords/>
  <dc:description/>
  <cp:lastModifiedBy>Bacchi, Michelle</cp:lastModifiedBy>
  <cp:revision>2</cp:revision>
  <cp:lastPrinted>2018-10-09T14:15:00Z</cp:lastPrinted>
  <dcterms:created xsi:type="dcterms:W3CDTF">2018-12-07T19:10:00Z</dcterms:created>
  <dcterms:modified xsi:type="dcterms:W3CDTF">2018-12-07T19:10:00Z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91a09b5c-52e8-49cf-88f9-aa80823902e3</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ies>
</file>