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B6860" w14:textId="0544800C" w:rsidR="008B512C" w:rsidRPr="008B512C" w:rsidRDefault="008B512C">
      <w:pPr>
        <w:rPr>
          <w:rFonts w:ascii="Arial" w:hAnsi="Arial" w:cs="Arial"/>
          <w:b/>
          <w:sz w:val="22"/>
          <w:u w:val="single"/>
        </w:rPr>
      </w:pPr>
      <w:commentRangeStart w:id="0"/>
      <w:r w:rsidRPr="008B512C">
        <w:rPr>
          <w:rFonts w:ascii="Arial" w:hAnsi="Arial" w:cs="Arial"/>
          <w:b/>
          <w:sz w:val="22"/>
          <w:u w:val="single"/>
        </w:rPr>
        <w:t>Checklist</w:t>
      </w:r>
      <w:commentRangeEnd w:id="0"/>
      <w:r w:rsidR="00DD54EE">
        <w:rPr>
          <w:rStyle w:val="CommentReference"/>
        </w:rPr>
        <w:commentReference w:id="0"/>
      </w:r>
      <w:r w:rsidRPr="008B512C">
        <w:rPr>
          <w:rFonts w:ascii="Arial" w:hAnsi="Arial" w:cs="Arial"/>
          <w:b/>
          <w:sz w:val="22"/>
          <w:u w:val="single"/>
        </w:rPr>
        <w:t xml:space="preserve"> for assessing adherence to the GIN Principles for Disclosure of Interests and Management of Conflicts in Guidelines</w:t>
      </w:r>
    </w:p>
    <w:p w14:paraId="41E007B6" w14:textId="77777777" w:rsidR="008B512C" w:rsidRDefault="008B512C">
      <w:pPr>
        <w:rPr>
          <w:rFonts w:ascii="Arial" w:hAnsi="Arial" w:cs="Arial"/>
          <w:sz w:val="22"/>
        </w:rPr>
      </w:pPr>
    </w:p>
    <w:p w14:paraId="34A4F7DE" w14:textId="02B74B96" w:rsidR="008B512C" w:rsidRDefault="008B512C">
      <w:pPr>
        <w:rPr>
          <w:rFonts w:ascii="Arial" w:hAnsi="Arial" w:cs="Arial"/>
          <w:sz w:val="22"/>
        </w:rPr>
      </w:pPr>
      <w:r>
        <w:rPr>
          <w:rFonts w:ascii="Arial" w:hAnsi="Arial" w:cs="Arial"/>
          <w:sz w:val="22"/>
        </w:rPr>
        <w:t xml:space="preserve">Guideline title: </w:t>
      </w:r>
    </w:p>
    <w:p w14:paraId="37C5C721" w14:textId="77777777" w:rsidR="008B512C" w:rsidRPr="008B512C" w:rsidRDefault="008B512C">
      <w:pPr>
        <w:rPr>
          <w:rFonts w:ascii="Arial" w:hAnsi="Arial" w:cs="Arial"/>
          <w:sz w:val="22"/>
        </w:rPr>
      </w:pPr>
    </w:p>
    <w:p w14:paraId="4A94ACFB" w14:textId="0F232378" w:rsidR="008B512C" w:rsidRDefault="008B512C">
      <w:pPr>
        <w:rPr>
          <w:rFonts w:ascii="Arial" w:hAnsi="Arial" w:cs="Arial"/>
          <w:sz w:val="22"/>
        </w:rPr>
      </w:pPr>
      <w:r w:rsidRPr="008B512C">
        <w:rPr>
          <w:rFonts w:ascii="Arial" w:hAnsi="Arial" w:cs="Arial"/>
          <w:sz w:val="22"/>
        </w:rPr>
        <w:t>Please indicate the names of the guideline panel members:</w:t>
      </w:r>
    </w:p>
    <w:p w14:paraId="2FF0FE7D" w14:textId="77777777" w:rsidR="008B512C" w:rsidRDefault="008B512C">
      <w:pPr>
        <w:rPr>
          <w:rFonts w:ascii="Arial" w:hAnsi="Arial" w:cs="Arial"/>
          <w:sz w:val="22"/>
        </w:rPr>
      </w:pPr>
    </w:p>
    <w:p w14:paraId="4B5FC8BE" w14:textId="77777777" w:rsidR="008B512C" w:rsidRPr="008B512C" w:rsidRDefault="008B512C">
      <w:pPr>
        <w:rPr>
          <w:rFonts w:ascii="Arial" w:hAnsi="Arial" w:cs="Arial"/>
          <w:sz w:val="22"/>
        </w:rPr>
      </w:pPr>
    </w:p>
    <w:p w14:paraId="38898795" w14:textId="77777777" w:rsidR="008B512C" w:rsidRDefault="008B512C"/>
    <w:tbl>
      <w:tblPr>
        <w:tblStyle w:val="TableGrid"/>
        <w:tblW w:w="0" w:type="auto"/>
        <w:tblInd w:w="-176" w:type="dxa"/>
        <w:tblLook w:val="04A0" w:firstRow="1" w:lastRow="0" w:firstColumn="1" w:lastColumn="0" w:noHBand="0" w:noVBand="1"/>
      </w:tblPr>
      <w:tblGrid>
        <w:gridCol w:w="3243"/>
        <w:gridCol w:w="628"/>
        <w:gridCol w:w="5310"/>
        <w:gridCol w:w="459"/>
        <w:gridCol w:w="3969"/>
        <w:gridCol w:w="1183"/>
      </w:tblGrid>
      <w:tr w:rsidR="008B512C" w:rsidRPr="00AE47CA" w14:paraId="2319CF24" w14:textId="37AB533D" w:rsidTr="00196BFC">
        <w:trPr>
          <w:tblHeader/>
        </w:trPr>
        <w:tc>
          <w:tcPr>
            <w:tcW w:w="3243" w:type="dxa"/>
            <w:shd w:val="clear" w:color="auto" w:fill="EEECE1" w:themeFill="background2"/>
          </w:tcPr>
          <w:p w14:paraId="01361348" w14:textId="255C1AB9" w:rsidR="008B512C" w:rsidRPr="00EB290F" w:rsidRDefault="008B512C" w:rsidP="00884A0E">
            <w:pPr>
              <w:rPr>
                <w:rFonts w:ascii="Arial" w:hAnsi="Arial" w:cs="Arial"/>
                <w:b/>
                <w:szCs w:val="20"/>
                <w:lang w:val="fr-CA"/>
              </w:rPr>
            </w:pPr>
            <w:r w:rsidRPr="00EB290F">
              <w:rPr>
                <w:rFonts w:ascii="Arial" w:hAnsi="Arial" w:cs="Arial"/>
                <w:b/>
                <w:szCs w:val="20"/>
                <w:lang w:val="fr-CA"/>
              </w:rPr>
              <w:t xml:space="preserve">GIN </w:t>
            </w:r>
            <w:proofErr w:type="spellStart"/>
            <w:r w:rsidRPr="00EB290F">
              <w:rPr>
                <w:rFonts w:ascii="Arial" w:hAnsi="Arial" w:cs="Arial"/>
                <w:b/>
                <w:szCs w:val="20"/>
                <w:lang w:val="fr-CA"/>
              </w:rPr>
              <w:t>principles</w:t>
            </w:r>
            <w:proofErr w:type="spellEnd"/>
            <w:r>
              <w:rPr>
                <w:rFonts w:ascii="Arial" w:hAnsi="Arial" w:cs="Arial"/>
                <w:b/>
                <w:szCs w:val="20"/>
                <w:lang w:val="fr-CA"/>
              </w:rPr>
              <w:t>*</w:t>
            </w:r>
            <w:r w:rsidRPr="00EB290F">
              <w:rPr>
                <w:rFonts w:ascii="Arial" w:hAnsi="Arial" w:cs="Arial"/>
                <w:b/>
                <w:szCs w:val="20"/>
                <w:lang w:val="fr-CA"/>
              </w:rPr>
              <w:t xml:space="preserve"> </w:t>
            </w:r>
          </w:p>
        </w:tc>
        <w:tc>
          <w:tcPr>
            <w:tcW w:w="6397" w:type="dxa"/>
            <w:gridSpan w:val="3"/>
            <w:shd w:val="clear" w:color="auto" w:fill="EEECE1" w:themeFill="background2"/>
          </w:tcPr>
          <w:p w14:paraId="2BF60354" w14:textId="57AF2653" w:rsidR="008B512C" w:rsidRDefault="008B512C" w:rsidP="00305CD8">
            <w:pPr>
              <w:rPr>
                <w:rFonts w:ascii="Arial" w:hAnsi="Arial" w:cs="Arial"/>
                <w:b/>
                <w:szCs w:val="20"/>
              </w:rPr>
            </w:pPr>
            <w:r>
              <w:rPr>
                <w:rFonts w:ascii="Arial" w:hAnsi="Arial" w:cs="Arial"/>
                <w:b/>
                <w:szCs w:val="20"/>
              </w:rPr>
              <w:t>Checklist item(s)</w:t>
            </w:r>
          </w:p>
        </w:tc>
        <w:tc>
          <w:tcPr>
            <w:tcW w:w="3969" w:type="dxa"/>
            <w:shd w:val="clear" w:color="auto" w:fill="EEECE1" w:themeFill="background2"/>
          </w:tcPr>
          <w:p w14:paraId="434EC28D" w14:textId="012DF26A" w:rsidR="008B512C" w:rsidRDefault="008B512C" w:rsidP="00AC7E7E">
            <w:pPr>
              <w:rPr>
                <w:rFonts w:ascii="Arial" w:hAnsi="Arial" w:cs="Arial"/>
                <w:b/>
                <w:szCs w:val="20"/>
              </w:rPr>
            </w:pPr>
            <w:r>
              <w:rPr>
                <w:rFonts w:ascii="Arial" w:hAnsi="Arial" w:cs="Arial"/>
                <w:b/>
                <w:szCs w:val="20"/>
              </w:rPr>
              <w:t>Provide an explanation of how this item is met</w:t>
            </w:r>
            <w:r w:rsidR="00F40716">
              <w:rPr>
                <w:rFonts w:ascii="Arial" w:hAnsi="Arial" w:cs="Arial"/>
                <w:b/>
                <w:szCs w:val="20"/>
              </w:rPr>
              <w:t xml:space="preserve"> (or why not applicable)</w:t>
            </w:r>
          </w:p>
        </w:tc>
        <w:tc>
          <w:tcPr>
            <w:tcW w:w="1183" w:type="dxa"/>
            <w:shd w:val="clear" w:color="auto" w:fill="EEECE1" w:themeFill="background2"/>
          </w:tcPr>
          <w:p w14:paraId="42A50D9F" w14:textId="1084FCDB" w:rsidR="008B512C" w:rsidRDefault="008B512C" w:rsidP="00AC4442">
            <w:pPr>
              <w:rPr>
                <w:rFonts w:ascii="Arial" w:hAnsi="Arial" w:cs="Arial"/>
                <w:b/>
                <w:szCs w:val="20"/>
              </w:rPr>
            </w:pPr>
            <w:r>
              <w:rPr>
                <w:rFonts w:ascii="Arial" w:hAnsi="Arial" w:cs="Arial"/>
                <w:b/>
                <w:szCs w:val="20"/>
              </w:rPr>
              <w:t>Page reported</w:t>
            </w:r>
          </w:p>
        </w:tc>
      </w:tr>
      <w:tr w:rsidR="00405112" w:rsidRPr="00AE47CA" w14:paraId="00139E67" w14:textId="51086B05" w:rsidTr="008B512C">
        <w:trPr>
          <w:trHeight w:val="826"/>
        </w:trPr>
        <w:tc>
          <w:tcPr>
            <w:tcW w:w="3243" w:type="dxa"/>
            <w:vMerge w:val="restart"/>
          </w:tcPr>
          <w:p w14:paraId="3C7A0E35" w14:textId="77777777" w:rsidR="00405112" w:rsidRPr="00203C70" w:rsidRDefault="00405112" w:rsidP="00AC4442">
            <w:pPr>
              <w:pStyle w:val="ListParagraph"/>
              <w:numPr>
                <w:ilvl w:val="0"/>
                <w:numId w:val="1"/>
              </w:numPr>
              <w:spacing w:after="360"/>
              <w:textAlignment w:val="baseline"/>
              <w:rPr>
                <w:rFonts w:ascii="Arial" w:eastAsia="Times New Roman" w:hAnsi="Arial" w:cs="Arial"/>
                <w:i/>
                <w:iCs/>
                <w:szCs w:val="20"/>
                <w:bdr w:val="none" w:sz="0" w:space="0" w:color="auto" w:frame="1"/>
                <w:lang w:eastAsia="en-CA"/>
              </w:rPr>
            </w:pPr>
            <w:r w:rsidRPr="00203C70">
              <w:rPr>
                <w:rFonts w:ascii="Arial" w:eastAsia="Times New Roman" w:hAnsi="Arial" w:cs="Arial"/>
                <w:i/>
                <w:iCs/>
                <w:szCs w:val="20"/>
                <w:bdr w:val="none" w:sz="0" w:space="0" w:color="auto" w:frame="1"/>
                <w:lang w:eastAsia="en-CA"/>
              </w:rPr>
              <w:t xml:space="preserve">Guideline developers should make all possible efforts to not include members with direct financial or relevant indirect </w:t>
            </w:r>
            <w:proofErr w:type="gramStart"/>
            <w:r w:rsidRPr="00203C70">
              <w:rPr>
                <w:rFonts w:ascii="Arial" w:eastAsia="Times New Roman" w:hAnsi="Arial" w:cs="Arial"/>
                <w:i/>
                <w:iCs/>
                <w:szCs w:val="20"/>
                <w:bdr w:val="none" w:sz="0" w:space="0" w:color="auto" w:frame="1"/>
                <w:lang w:eastAsia="en-CA"/>
              </w:rPr>
              <w:t>COIs</w:t>
            </w:r>
            <w:proofErr w:type="gramEnd"/>
            <w:r w:rsidRPr="00203C70">
              <w:rPr>
                <w:rFonts w:ascii="Arial" w:eastAsia="Times New Roman" w:hAnsi="Arial" w:cs="Arial"/>
                <w:i/>
                <w:iCs/>
                <w:szCs w:val="20"/>
                <w:bdr w:val="none" w:sz="0" w:space="0" w:color="auto" w:frame="1"/>
                <w:lang w:eastAsia="en-CA"/>
              </w:rPr>
              <w:t>.</w:t>
            </w:r>
          </w:p>
          <w:p w14:paraId="307D7FB0" w14:textId="0DDDC5E4" w:rsidR="00405112" w:rsidRPr="00203C70" w:rsidRDefault="00405112" w:rsidP="00203C70">
            <w:pPr>
              <w:pStyle w:val="ListParagraph"/>
              <w:spacing w:after="360"/>
              <w:ind w:left="360"/>
              <w:textAlignment w:val="baseline"/>
              <w:rPr>
                <w:rFonts w:ascii="Arial" w:hAnsi="Arial"/>
                <w:bdr w:val="none" w:sz="0" w:space="0" w:color="auto" w:frame="1"/>
              </w:rPr>
            </w:pPr>
          </w:p>
        </w:tc>
        <w:tc>
          <w:tcPr>
            <w:tcW w:w="628" w:type="dxa"/>
          </w:tcPr>
          <w:p w14:paraId="7807D4C9" w14:textId="0FFD73CE" w:rsidR="00405112" w:rsidRDefault="00405112" w:rsidP="008B2BCA">
            <w:pPr>
              <w:rPr>
                <w:rFonts w:ascii="Arial" w:hAnsi="Arial" w:cs="Arial"/>
                <w:szCs w:val="20"/>
              </w:rPr>
            </w:pPr>
            <w:r>
              <w:rPr>
                <w:rFonts w:ascii="Arial" w:hAnsi="Arial" w:cs="Arial"/>
                <w:szCs w:val="20"/>
              </w:rPr>
              <w:t>1a</w:t>
            </w:r>
          </w:p>
        </w:tc>
        <w:tc>
          <w:tcPr>
            <w:tcW w:w="5310" w:type="dxa"/>
          </w:tcPr>
          <w:p w14:paraId="6DF72E15" w14:textId="2B97608E" w:rsidR="00405112" w:rsidRDefault="00405112" w:rsidP="008B2BCA">
            <w:pPr>
              <w:rPr>
                <w:rFonts w:ascii="Arial" w:hAnsi="Arial" w:cs="Arial"/>
                <w:szCs w:val="20"/>
              </w:rPr>
            </w:pPr>
            <w:r>
              <w:rPr>
                <w:rFonts w:ascii="Arial" w:hAnsi="Arial" w:cs="Arial"/>
                <w:szCs w:val="20"/>
              </w:rPr>
              <w:t>The guideline or published methods of guideline panel indicates that the group endeavors not to include members with COI when assigning members to the panel, when assembling topic-specific working groups, or both.</w:t>
            </w:r>
          </w:p>
        </w:tc>
        <w:sdt>
          <w:sdtPr>
            <w:rPr>
              <w:rFonts w:ascii="Arial" w:hAnsi="Arial" w:cs="Arial"/>
              <w:szCs w:val="20"/>
            </w:rPr>
            <w:id w:val="2125038163"/>
            <w14:checkbox>
              <w14:checked w14:val="0"/>
              <w14:checkedState w14:val="2612" w14:font="MS Gothic"/>
              <w14:uncheckedState w14:val="2610" w14:font="MS Gothic"/>
            </w14:checkbox>
          </w:sdtPr>
          <w:sdtEndPr/>
          <w:sdtContent>
            <w:tc>
              <w:tcPr>
                <w:tcW w:w="459" w:type="dxa"/>
              </w:tcPr>
              <w:p w14:paraId="1663D8C4" w14:textId="4ECD047D" w:rsidR="00405112" w:rsidRPr="00A75659" w:rsidRDefault="00730BC3" w:rsidP="00AC4442">
                <w:pPr>
                  <w:rPr>
                    <w:rFonts w:ascii="Arial" w:hAnsi="Arial" w:cs="Arial"/>
                    <w:szCs w:val="20"/>
                  </w:rPr>
                </w:pPr>
                <w:r>
                  <w:rPr>
                    <w:rFonts w:ascii="MS Gothic" w:eastAsia="MS Gothic" w:hAnsi="MS Gothic" w:cs="Arial" w:hint="eastAsia"/>
                    <w:szCs w:val="20"/>
                  </w:rPr>
                  <w:t>☐</w:t>
                </w:r>
              </w:p>
            </w:tc>
          </w:sdtContent>
        </w:sdt>
        <w:tc>
          <w:tcPr>
            <w:tcW w:w="3969" w:type="dxa"/>
          </w:tcPr>
          <w:p w14:paraId="519C22FD" w14:textId="17EA6650" w:rsidR="00405112" w:rsidRPr="00A75659" w:rsidRDefault="00405112" w:rsidP="00AC4442">
            <w:pPr>
              <w:rPr>
                <w:rFonts w:ascii="Arial" w:hAnsi="Arial" w:cs="Arial"/>
                <w:szCs w:val="20"/>
              </w:rPr>
            </w:pPr>
          </w:p>
        </w:tc>
        <w:tc>
          <w:tcPr>
            <w:tcW w:w="1183" w:type="dxa"/>
          </w:tcPr>
          <w:p w14:paraId="4AFE8BFD" w14:textId="703F909F" w:rsidR="00405112" w:rsidRPr="00A75659" w:rsidRDefault="00405112" w:rsidP="00AC4442">
            <w:pPr>
              <w:rPr>
                <w:rFonts w:ascii="Arial" w:hAnsi="Arial" w:cs="Arial"/>
                <w:szCs w:val="20"/>
              </w:rPr>
            </w:pPr>
          </w:p>
        </w:tc>
      </w:tr>
      <w:tr w:rsidR="00405112" w:rsidRPr="00AE47CA" w14:paraId="44A0BB41" w14:textId="77777777" w:rsidTr="008B512C">
        <w:trPr>
          <w:trHeight w:val="825"/>
        </w:trPr>
        <w:tc>
          <w:tcPr>
            <w:tcW w:w="3243" w:type="dxa"/>
            <w:vMerge/>
          </w:tcPr>
          <w:p w14:paraId="2A80AE90" w14:textId="77777777" w:rsidR="00405112" w:rsidRPr="00203C70" w:rsidRDefault="00405112" w:rsidP="00AC4442">
            <w:pPr>
              <w:pStyle w:val="ListParagraph"/>
              <w:numPr>
                <w:ilvl w:val="0"/>
                <w:numId w:val="1"/>
              </w:numPr>
              <w:spacing w:after="360"/>
              <w:textAlignment w:val="baseline"/>
              <w:rPr>
                <w:rFonts w:ascii="Arial" w:eastAsia="Times New Roman" w:hAnsi="Arial" w:cs="Arial"/>
                <w:i/>
                <w:iCs/>
                <w:szCs w:val="20"/>
                <w:bdr w:val="none" w:sz="0" w:space="0" w:color="auto" w:frame="1"/>
                <w:lang w:eastAsia="en-CA"/>
              </w:rPr>
            </w:pPr>
          </w:p>
        </w:tc>
        <w:tc>
          <w:tcPr>
            <w:tcW w:w="628" w:type="dxa"/>
          </w:tcPr>
          <w:p w14:paraId="3E152892" w14:textId="09504D40" w:rsidR="00405112" w:rsidRDefault="00405112" w:rsidP="008B2BCA">
            <w:pPr>
              <w:rPr>
                <w:rFonts w:ascii="Arial" w:hAnsi="Arial" w:cs="Arial"/>
                <w:szCs w:val="20"/>
              </w:rPr>
            </w:pPr>
            <w:r>
              <w:rPr>
                <w:rFonts w:ascii="Arial" w:hAnsi="Arial" w:cs="Arial"/>
                <w:szCs w:val="20"/>
              </w:rPr>
              <w:t>1b</w:t>
            </w:r>
          </w:p>
        </w:tc>
        <w:tc>
          <w:tcPr>
            <w:tcW w:w="5310" w:type="dxa"/>
          </w:tcPr>
          <w:p w14:paraId="58AD1086" w14:textId="77777777" w:rsidR="00AA4278" w:rsidRDefault="00405112" w:rsidP="008B2BCA">
            <w:pPr>
              <w:rPr>
                <w:rFonts w:ascii="Arial" w:hAnsi="Arial" w:cs="Arial"/>
                <w:szCs w:val="20"/>
              </w:rPr>
            </w:pPr>
            <w:r>
              <w:rPr>
                <w:rFonts w:ascii="Arial" w:hAnsi="Arial" w:cs="Arial"/>
                <w:szCs w:val="20"/>
              </w:rPr>
              <w:t>The guideline or published methods of the guideline panel provide an indication of how many members have COI</w:t>
            </w:r>
            <w:r w:rsidR="00675513">
              <w:rPr>
                <w:rFonts w:ascii="Arial" w:hAnsi="Arial" w:cs="Arial"/>
                <w:szCs w:val="20"/>
              </w:rPr>
              <w:t>.</w:t>
            </w:r>
            <w:r w:rsidR="00AA4278">
              <w:rPr>
                <w:rFonts w:ascii="Arial" w:hAnsi="Arial" w:cs="Arial"/>
                <w:szCs w:val="20"/>
              </w:rPr>
              <w:t xml:space="preserve"> </w:t>
            </w:r>
          </w:p>
          <w:p w14:paraId="4CC23D55" w14:textId="025FC8DD" w:rsidR="00405112" w:rsidRDefault="00AA4278" w:rsidP="008B2BCA">
            <w:pPr>
              <w:rPr>
                <w:rFonts w:ascii="Arial" w:hAnsi="Arial" w:cs="Arial"/>
                <w:szCs w:val="20"/>
              </w:rPr>
            </w:pPr>
            <w:r>
              <w:rPr>
                <w:rFonts w:ascii="Arial" w:hAnsi="Arial" w:cs="Arial"/>
                <w:szCs w:val="20"/>
              </w:rPr>
              <w:t>Less than half (i.e., a minority) of guideline panel members have a COI.</w:t>
            </w:r>
          </w:p>
        </w:tc>
        <w:sdt>
          <w:sdtPr>
            <w:rPr>
              <w:rFonts w:ascii="Arial" w:hAnsi="Arial" w:cs="Arial"/>
              <w:szCs w:val="20"/>
            </w:rPr>
            <w:id w:val="1484894722"/>
            <w14:checkbox>
              <w14:checked w14:val="0"/>
              <w14:checkedState w14:val="2612" w14:font="MS Gothic"/>
              <w14:uncheckedState w14:val="2610" w14:font="MS Gothic"/>
            </w14:checkbox>
          </w:sdtPr>
          <w:sdtEndPr/>
          <w:sdtContent>
            <w:tc>
              <w:tcPr>
                <w:tcW w:w="459" w:type="dxa"/>
              </w:tcPr>
              <w:p w14:paraId="2D0BCEF5" w14:textId="24EAE12D" w:rsidR="00405112" w:rsidRDefault="00405112" w:rsidP="008B2BCA">
                <w:pPr>
                  <w:rPr>
                    <w:rFonts w:ascii="Arial" w:hAnsi="Arial" w:cs="Arial"/>
                    <w:szCs w:val="20"/>
                  </w:rPr>
                </w:pPr>
                <w:r>
                  <w:rPr>
                    <w:rFonts w:ascii="MS Gothic" w:eastAsia="MS Gothic" w:hAnsi="MS Gothic" w:cs="Arial" w:hint="eastAsia"/>
                    <w:szCs w:val="20"/>
                  </w:rPr>
                  <w:t>☐</w:t>
                </w:r>
              </w:p>
            </w:tc>
          </w:sdtContent>
        </w:sdt>
        <w:tc>
          <w:tcPr>
            <w:tcW w:w="3969" w:type="dxa"/>
          </w:tcPr>
          <w:p w14:paraId="7E093194" w14:textId="77777777" w:rsidR="00AC7E7E" w:rsidRDefault="00AC7E7E" w:rsidP="008B2BCA">
            <w:pPr>
              <w:rPr>
                <w:rFonts w:ascii="Arial" w:hAnsi="Arial" w:cs="Arial"/>
                <w:szCs w:val="20"/>
              </w:rPr>
            </w:pPr>
          </w:p>
          <w:p w14:paraId="41BFEAC9" w14:textId="77777777" w:rsidR="00AC7E7E" w:rsidRDefault="00AC7E7E" w:rsidP="008B2BCA">
            <w:pPr>
              <w:rPr>
                <w:rFonts w:ascii="Arial" w:hAnsi="Arial" w:cs="Arial"/>
                <w:szCs w:val="20"/>
              </w:rPr>
            </w:pPr>
          </w:p>
          <w:p w14:paraId="52B7CCFB" w14:textId="1C8C114B" w:rsidR="00405112" w:rsidRDefault="00AA4278" w:rsidP="00AC7E7E">
            <w:pPr>
              <w:rPr>
                <w:rFonts w:ascii="Arial" w:hAnsi="Arial" w:cs="Arial"/>
                <w:szCs w:val="20"/>
              </w:rPr>
            </w:pPr>
            <w:r>
              <w:rPr>
                <w:rFonts w:ascii="Arial" w:hAnsi="Arial" w:cs="Arial"/>
                <w:szCs w:val="20"/>
              </w:rPr>
              <w:t>Please indicate the proportion of panelists with COI for this guideline:  ______</w:t>
            </w:r>
          </w:p>
        </w:tc>
        <w:tc>
          <w:tcPr>
            <w:tcW w:w="1183" w:type="dxa"/>
          </w:tcPr>
          <w:p w14:paraId="25B5A5A7" w14:textId="5501B8A3" w:rsidR="00405112" w:rsidRDefault="00405112" w:rsidP="008B2BCA">
            <w:pPr>
              <w:rPr>
                <w:rFonts w:ascii="Arial" w:hAnsi="Arial" w:cs="Arial"/>
                <w:szCs w:val="20"/>
              </w:rPr>
            </w:pPr>
          </w:p>
        </w:tc>
      </w:tr>
      <w:tr w:rsidR="00AA4278" w:rsidRPr="00AE47CA" w14:paraId="439BD6EB" w14:textId="77777777" w:rsidTr="008B512C">
        <w:trPr>
          <w:trHeight w:val="825"/>
        </w:trPr>
        <w:tc>
          <w:tcPr>
            <w:tcW w:w="3243" w:type="dxa"/>
            <w:vMerge/>
          </w:tcPr>
          <w:p w14:paraId="653C804E" w14:textId="42166A45" w:rsidR="00AA4278" w:rsidRPr="00203C70" w:rsidRDefault="00AA4278" w:rsidP="00AC4442">
            <w:pPr>
              <w:pStyle w:val="ListParagraph"/>
              <w:numPr>
                <w:ilvl w:val="0"/>
                <w:numId w:val="1"/>
              </w:numPr>
              <w:spacing w:after="360"/>
              <w:textAlignment w:val="baseline"/>
              <w:rPr>
                <w:rFonts w:ascii="Arial" w:eastAsia="Times New Roman" w:hAnsi="Arial" w:cs="Arial"/>
                <w:i/>
                <w:iCs/>
                <w:szCs w:val="20"/>
                <w:bdr w:val="none" w:sz="0" w:space="0" w:color="auto" w:frame="1"/>
                <w:lang w:eastAsia="en-CA"/>
              </w:rPr>
            </w:pPr>
          </w:p>
        </w:tc>
        <w:tc>
          <w:tcPr>
            <w:tcW w:w="628" w:type="dxa"/>
          </w:tcPr>
          <w:p w14:paraId="2F2E7AC9" w14:textId="12D96937" w:rsidR="00AA4278" w:rsidRDefault="00AA4278" w:rsidP="00AA4278">
            <w:pPr>
              <w:rPr>
                <w:rFonts w:ascii="Arial" w:hAnsi="Arial" w:cs="Arial"/>
                <w:szCs w:val="20"/>
              </w:rPr>
            </w:pPr>
            <w:r>
              <w:rPr>
                <w:rFonts w:ascii="Arial" w:hAnsi="Arial" w:cs="Arial"/>
                <w:szCs w:val="20"/>
              </w:rPr>
              <w:t>1c</w:t>
            </w:r>
          </w:p>
        </w:tc>
        <w:tc>
          <w:tcPr>
            <w:tcW w:w="5310" w:type="dxa"/>
          </w:tcPr>
          <w:p w14:paraId="2529476A" w14:textId="3FF211E8" w:rsidR="00AA4278" w:rsidRDefault="00AA4278" w:rsidP="008B2BCA">
            <w:pPr>
              <w:rPr>
                <w:rFonts w:ascii="Arial" w:hAnsi="Arial" w:cs="Arial"/>
                <w:szCs w:val="20"/>
              </w:rPr>
            </w:pPr>
            <w:r>
              <w:rPr>
                <w:rFonts w:ascii="Arial" w:hAnsi="Arial" w:cs="Arial"/>
                <w:szCs w:val="20"/>
              </w:rPr>
              <w:t>The guideline or published methods of the guideline panel indicates the reasons for including conflicted members on the panel.</w:t>
            </w:r>
          </w:p>
        </w:tc>
        <w:sdt>
          <w:sdtPr>
            <w:rPr>
              <w:rFonts w:ascii="Arial" w:hAnsi="Arial" w:cs="Arial"/>
              <w:szCs w:val="20"/>
            </w:rPr>
            <w:id w:val="465251207"/>
            <w14:checkbox>
              <w14:checked w14:val="0"/>
              <w14:checkedState w14:val="2612" w14:font="MS Gothic"/>
              <w14:uncheckedState w14:val="2610" w14:font="MS Gothic"/>
            </w14:checkbox>
          </w:sdtPr>
          <w:sdtEndPr/>
          <w:sdtContent>
            <w:tc>
              <w:tcPr>
                <w:tcW w:w="459" w:type="dxa"/>
              </w:tcPr>
              <w:p w14:paraId="1F92D683" w14:textId="0FDCD910" w:rsidR="00AA4278" w:rsidRDefault="00AA4278" w:rsidP="008B2BCA">
                <w:pPr>
                  <w:rPr>
                    <w:rFonts w:ascii="Arial" w:hAnsi="Arial" w:cs="Arial"/>
                    <w:szCs w:val="20"/>
                  </w:rPr>
                </w:pPr>
                <w:r>
                  <w:rPr>
                    <w:rFonts w:ascii="MS Gothic" w:eastAsia="MS Gothic" w:hAnsi="MS Gothic" w:cs="Arial" w:hint="eastAsia"/>
                    <w:szCs w:val="20"/>
                  </w:rPr>
                  <w:t>☐</w:t>
                </w:r>
              </w:p>
            </w:tc>
          </w:sdtContent>
        </w:sdt>
        <w:tc>
          <w:tcPr>
            <w:tcW w:w="3969" w:type="dxa"/>
          </w:tcPr>
          <w:p w14:paraId="3BA5718B" w14:textId="390F6B44" w:rsidR="00AA4278" w:rsidRDefault="00AA4278" w:rsidP="008B2BCA">
            <w:pPr>
              <w:rPr>
                <w:rFonts w:ascii="Arial" w:hAnsi="Arial" w:cs="Arial"/>
                <w:szCs w:val="20"/>
              </w:rPr>
            </w:pPr>
          </w:p>
        </w:tc>
        <w:tc>
          <w:tcPr>
            <w:tcW w:w="1183" w:type="dxa"/>
          </w:tcPr>
          <w:p w14:paraId="5D132C6A" w14:textId="5E243C69" w:rsidR="00AA4278" w:rsidRDefault="00AA4278" w:rsidP="008B2BCA">
            <w:pPr>
              <w:rPr>
                <w:rFonts w:ascii="Arial" w:hAnsi="Arial" w:cs="Arial"/>
                <w:szCs w:val="20"/>
              </w:rPr>
            </w:pPr>
          </w:p>
        </w:tc>
      </w:tr>
      <w:tr w:rsidR="00AA4278" w:rsidRPr="00AE47CA" w14:paraId="2F383012" w14:textId="77777777" w:rsidTr="008B512C">
        <w:trPr>
          <w:trHeight w:val="825"/>
        </w:trPr>
        <w:tc>
          <w:tcPr>
            <w:tcW w:w="3243" w:type="dxa"/>
            <w:vMerge/>
          </w:tcPr>
          <w:p w14:paraId="4C90CB3D" w14:textId="77777777" w:rsidR="00AA4278" w:rsidRPr="00203C70" w:rsidRDefault="00AA4278" w:rsidP="00AC4442">
            <w:pPr>
              <w:pStyle w:val="ListParagraph"/>
              <w:numPr>
                <w:ilvl w:val="0"/>
                <w:numId w:val="1"/>
              </w:numPr>
              <w:spacing w:after="360"/>
              <w:textAlignment w:val="baseline"/>
              <w:rPr>
                <w:rFonts w:ascii="Arial" w:eastAsia="Times New Roman" w:hAnsi="Arial" w:cs="Arial"/>
                <w:i/>
                <w:iCs/>
                <w:szCs w:val="20"/>
                <w:bdr w:val="none" w:sz="0" w:space="0" w:color="auto" w:frame="1"/>
                <w:lang w:eastAsia="en-CA"/>
              </w:rPr>
            </w:pPr>
          </w:p>
        </w:tc>
        <w:tc>
          <w:tcPr>
            <w:tcW w:w="628" w:type="dxa"/>
          </w:tcPr>
          <w:p w14:paraId="63BDCCC0" w14:textId="376CED80" w:rsidR="00AA4278" w:rsidRDefault="00AA4278" w:rsidP="00AA4278">
            <w:pPr>
              <w:rPr>
                <w:rFonts w:ascii="Arial" w:hAnsi="Arial" w:cs="Arial"/>
                <w:szCs w:val="20"/>
              </w:rPr>
            </w:pPr>
            <w:r>
              <w:rPr>
                <w:rFonts w:ascii="Arial" w:hAnsi="Arial" w:cs="Arial"/>
                <w:szCs w:val="20"/>
              </w:rPr>
              <w:t>1d</w:t>
            </w:r>
          </w:p>
        </w:tc>
        <w:tc>
          <w:tcPr>
            <w:tcW w:w="5310" w:type="dxa"/>
          </w:tcPr>
          <w:p w14:paraId="0364D239" w14:textId="4EF4513F" w:rsidR="00AA4278" w:rsidRDefault="00AA4278" w:rsidP="00405112">
            <w:pPr>
              <w:rPr>
                <w:rFonts w:ascii="Arial" w:hAnsi="Arial" w:cs="Arial"/>
                <w:szCs w:val="20"/>
              </w:rPr>
            </w:pPr>
            <w:r>
              <w:rPr>
                <w:rFonts w:ascii="Arial" w:hAnsi="Arial" w:cs="Arial"/>
                <w:szCs w:val="20"/>
              </w:rPr>
              <w:t>The guideline or published methods of the guideline panel indicates how COI were managed among members.</w:t>
            </w:r>
          </w:p>
        </w:tc>
        <w:sdt>
          <w:sdtPr>
            <w:rPr>
              <w:rFonts w:ascii="Arial" w:hAnsi="Arial" w:cs="Arial"/>
              <w:szCs w:val="20"/>
            </w:rPr>
            <w:id w:val="-1793503282"/>
            <w14:checkbox>
              <w14:checked w14:val="0"/>
              <w14:checkedState w14:val="2612" w14:font="MS Gothic"/>
              <w14:uncheckedState w14:val="2610" w14:font="MS Gothic"/>
            </w14:checkbox>
          </w:sdtPr>
          <w:sdtEndPr/>
          <w:sdtContent>
            <w:tc>
              <w:tcPr>
                <w:tcW w:w="459" w:type="dxa"/>
              </w:tcPr>
              <w:p w14:paraId="227179C9" w14:textId="6F4046DF" w:rsidR="00AA4278" w:rsidRDefault="00AA4278" w:rsidP="008B2BCA">
                <w:pPr>
                  <w:rPr>
                    <w:rFonts w:ascii="Arial" w:hAnsi="Arial" w:cs="Arial"/>
                    <w:szCs w:val="20"/>
                  </w:rPr>
                </w:pPr>
                <w:r>
                  <w:rPr>
                    <w:rFonts w:ascii="MS Gothic" w:eastAsia="MS Gothic" w:hAnsi="MS Gothic" w:cs="Arial" w:hint="eastAsia"/>
                    <w:szCs w:val="20"/>
                  </w:rPr>
                  <w:t>☐</w:t>
                </w:r>
              </w:p>
            </w:tc>
          </w:sdtContent>
        </w:sdt>
        <w:tc>
          <w:tcPr>
            <w:tcW w:w="3969" w:type="dxa"/>
          </w:tcPr>
          <w:p w14:paraId="4DE17A78" w14:textId="5F3C2C04" w:rsidR="00AA4278" w:rsidRDefault="00AA4278" w:rsidP="008B2BCA">
            <w:pPr>
              <w:rPr>
                <w:rFonts w:ascii="Arial" w:hAnsi="Arial" w:cs="Arial"/>
                <w:szCs w:val="20"/>
              </w:rPr>
            </w:pPr>
          </w:p>
        </w:tc>
        <w:tc>
          <w:tcPr>
            <w:tcW w:w="1183" w:type="dxa"/>
          </w:tcPr>
          <w:p w14:paraId="69D1C324" w14:textId="512A6DA9" w:rsidR="00AA4278" w:rsidRDefault="00AA4278" w:rsidP="008B2BCA">
            <w:pPr>
              <w:rPr>
                <w:rFonts w:ascii="Arial" w:hAnsi="Arial" w:cs="Arial"/>
                <w:szCs w:val="20"/>
              </w:rPr>
            </w:pPr>
          </w:p>
        </w:tc>
      </w:tr>
      <w:tr w:rsidR="00AA4278" w:rsidRPr="00AE47CA" w14:paraId="116CF2EF" w14:textId="224D3557" w:rsidTr="008B512C">
        <w:trPr>
          <w:trHeight w:val="903"/>
        </w:trPr>
        <w:tc>
          <w:tcPr>
            <w:tcW w:w="3243" w:type="dxa"/>
            <w:vMerge w:val="restart"/>
          </w:tcPr>
          <w:p w14:paraId="0BB07677" w14:textId="77777777" w:rsidR="00AA4278" w:rsidRPr="00C71B0B" w:rsidRDefault="00AA4278" w:rsidP="00884A0E">
            <w:pPr>
              <w:pStyle w:val="ListParagraph"/>
              <w:numPr>
                <w:ilvl w:val="0"/>
                <w:numId w:val="2"/>
              </w:numPr>
              <w:spacing w:after="360"/>
              <w:textAlignment w:val="baseline"/>
              <w:rPr>
                <w:rFonts w:ascii="Arial" w:eastAsia="Times New Roman" w:hAnsi="Arial" w:cs="Arial"/>
                <w:i/>
                <w:iCs/>
                <w:szCs w:val="20"/>
                <w:bdr w:val="none" w:sz="0" w:space="0" w:color="auto" w:frame="1"/>
                <w:lang w:eastAsia="en-CA"/>
              </w:rPr>
            </w:pPr>
            <w:r w:rsidRPr="00C71B0B">
              <w:rPr>
                <w:rFonts w:ascii="Arial" w:eastAsia="Times New Roman" w:hAnsi="Arial" w:cs="Arial"/>
                <w:i/>
                <w:iCs/>
                <w:szCs w:val="20"/>
                <w:bdr w:val="none" w:sz="0" w:space="0" w:color="auto" w:frame="1"/>
                <w:lang w:eastAsia="en-CA"/>
              </w:rPr>
              <w:t>The definition of COI and its management applies to all members of a guideline development group, regardless of the discipline or stakeholders they represent, and this should be determined before a panel is constituted.</w:t>
            </w:r>
          </w:p>
          <w:p w14:paraId="0BBD6AAF" w14:textId="77777777" w:rsidR="00AA4278" w:rsidRPr="004F7815" w:rsidRDefault="00AA4278" w:rsidP="00AC4442">
            <w:pPr>
              <w:spacing w:after="360"/>
              <w:textAlignment w:val="baseline"/>
              <w:rPr>
                <w:rFonts w:ascii="Arial" w:eastAsia="Times New Roman" w:hAnsi="Arial" w:cs="Arial"/>
                <w:iCs/>
                <w:color w:val="404040"/>
                <w:szCs w:val="20"/>
                <w:bdr w:val="none" w:sz="0" w:space="0" w:color="auto" w:frame="1"/>
                <w:lang w:eastAsia="en-CA"/>
              </w:rPr>
            </w:pPr>
          </w:p>
          <w:p w14:paraId="7CB26639" w14:textId="77777777" w:rsidR="00AA4278" w:rsidRPr="004F7815" w:rsidRDefault="00AA4278" w:rsidP="00AC4442">
            <w:pPr>
              <w:spacing w:after="360"/>
              <w:textAlignment w:val="baseline"/>
              <w:rPr>
                <w:rFonts w:ascii="Arial" w:eastAsia="Times New Roman" w:hAnsi="Arial" w:cs="Arial"/>
                <w:iCs/>
                <w:color w:val="404040"/>
                <w:szCs w:val="20"/>
                <w:bdr w:val="none" w:sz="0" w:space="0" w:color="auto" w:frame="1"/>
              </w:rPr>
            </w:pPr>
          </w:p>
        </w:tc>
        <w:tc>
          <w:tcPr>
            <w:tcW w:w="628" w:type="dxa"/>
          </w:tcPr>
          <w:p w14:paraId="55AA8E82" w14:textId="4704452F" w:rsidR="00AA4278" w:rsidRDefault="00AA4278" w:rsidP="008B512C">
            <w:pPr>
              <w:rPr>
                <w:rFonts w:ascii="Arial" w:hAnsi="Arial" w:cs="Arial"/>
                <w:szCs w:val="20"/>
              </w:rPr>
            </w:pPr>
            <w:r>
              <w:rPr>
                <w:rFonts w:ascii="Arial" w:hAnsi="Arial" w:cs="Arial"/>
                <w:szCs w:val="20"/>
              </w:rPr>
              <w:t>2a</w:t>
            </w:r>
          </w:p>
        </w:tc>
        <w:tc>
          <w:tcPr>
            <w:tcW w:w="5310" w:type="dxa"/>
          </w:tcPr>
          <w:p w14:paraId="193EAB32" w14:textId="77777777" w:rsidR="00AA4278" w:rsidRDefault="00AA4278" w:rsidP="008B512C">
            <w:pPr>
              <w:rPr>
                <w:rFonts w:ascii="Arial" w:hAnsi="Arial" w:cs="Arial"/>
                <w:szCs w:val="20"/>
              </w:rPr>
            </w:pPr>
            <w:r>
              <w:rPr>
                <w:rFonts w:ascii="Arial" w:hAnsi="Arial" w:cs="Arial"/>
                <w:szCs w:val="20"/>
              </w:rPr>
              <w:t>The guideline or published methods of guideline panel provides definitions for the types of interests collected from members, and what constitutes a COI.</w:t>
            </w:r>
          </w:p>
          <w:p w14:paraId="05C0EF57" w14:textId="77777777" w:rsidR="00AA4278" w:rsidRDefault="00AA4278" w:rsidP="008B512C">
            <w:pPr>
              <w:rPr>
                <w:rFonts w:ascii="Arial" w:hAnsi="Arial" w:cs="Arial"/>
                <w:szCs w:val="20"/>
              </w:rPr>
            </w:pPr>
          </w:p>
        </w:tc>
        <w:sdt>
          <w:sdtPr>
            <w:rPr>
              <w:rFonts w:ascii="Arial" w:hAnsi="Arial" w:cs="Arial"/>
              <w:szCs w:val="20"/>
            </w:rPr>
            <w:id w:val="1720706988"/>
            <w14:checkbox>
              <w14:checked w14:val="0"/>
              <w14:checkedState w14:val="2612" w14:font="MS Gothic"/>
              <w14:uncheckedState w14:val="2610" w14:font="MS Gothic"/>
            </w14:checkbox>
          </w:sdtPr>
          <w:sdtEndPr/>
          <w:sdtContent>
            <w:tc>
              <w:tcPr>
                <w:tcW w:w="459" w:type="dxa"/>
              </w:tcPr>
              <w:p w14:paraId="3CF107B1" w14:textId="5E651A7B" w:rsidR="00AA4278" w:rsidRDefault="00AA4278" w:rsidP="00405112">
                <w:pPr>
                  <w:rPr>
                    <w:rFonts w:ascii="Arial" w:hAnsi="Arial" w:cs="Arial"/>
                    <w:szCs w:val="20"/>
                  </w:rPr>
                </w:pPr>
                <w:r>
                  <w:rPr>
                    <w:rFonts w:ascii="MS Gothic" w:eastAsia="MS Gothic" w:hAnsi="MS Gothic" w:cs="Arial" w:hint="eastAsia"/>
                    <w:szCs w:val="20"/>
                  </w:rPr>
                  <w:t>☐</w:t>
                </w:r>
              </w:p>
            </w:tc>
          </w:sdtContent>
        </w:sdt>
        <w:tc>
          <w:tcPr>
            <w:tcW w:w="3969" w:type="dxa"/>
          </w:tcPr>
          <w:p w14:paraId="610769B4" w14:textId="0F975DAA" w:rsidR="00AA4278" w:rsidRDefault="00AA4278" w:rsidP="00405112">
            <w:pPr>
              <w:rPr>
                <w:rFonts w:ascii="Arial" w:hAnsi="Arial" w:cs="Arial"/>
                <w:szCs w:val="20"/>
              </w:rPr>
            </w:pPr>
          </w:p>
          <w:p w14:paraId="07F6513E" w14:textId="77777777" w:rsidR="00AA4278" w:rsidRDefault="00AA4278" w:rsidP="00405112">
            <w:pPr>
              <w:rPr>
                <w:rFonts w:ascii="Arial" w:hAnsi="Arial" w:cs="Arial"/>
                <w:szCs w:val="20"/>
              </w:rPr>
            </w:pPr>
          </w:p>
        </w:tc>
        <w:tc>
          <w:tcPr>
            <w:tcW w:w="1183" w:type="dxa"/>
          </w:tcPr>
          <w:p w14:paraId="07040893" w14:textId="36C4E392" w:rsidR="00AA4278" w:rsidRPr="004F7815" w:rsidRDefault="00AA4278" w:rsidP="008B512C">
            <w:pPr>
              <w:rPr>
                <w:rFonts w:ascii="Arial" w:hAnsi="Arial" w:cs="Arial"/>
                <w:szCs w:val="20"/>
              </w:rPr>
            </w:pPr>
          </w:p>
        </w:tc>
      </w:tr>
      <w:tr w:rsidR="00AA4278" w:rsidRPr="00AE47CA" w14:paraId="581554E5" w14:textId="77777777" w:rsidTr="008B512C">
        <w:trPr>
          <w:trHeight w:val="903"/>
        </w:trPr>
        <w:tc>
          <w:tcPr>
            <w:tcW w:w="3243" w:type="dxa"/>
            <w:vMerge/>
          </w:tcPr>
          <w:p w14:paraId="1203F26B" w14:textId="77777777" w:rsidR="00AA4278" w:rsidRPr="00C71B0B" w:rsidRDefault="00AA4278" w:rsidP="00884A0E">
            <w:pPr>
              <w:pStyle w:val="ListParagraph"/>
              <w:numPr>
                <w:ilvl w:val="0"/>
                <w:numId w:val="2"/>
              </w:numPr>
              <w:spacing w:after="360"/>
              <w:textAlignment w:val="baseline"/>
              <w:rPr>
                <w:rFonts w:ascii="Arial" w:eastAsia="Times New Roman" w:hAnsi="Arial" w:cs="Arial"/>
                <w:i/>
                <w:iCs/>
                <w:szCs w:val="20"/>
                <w:bdr w:val="none" w:sz="0" w:space="0" w:color="auto" w:frame="1"/>
                <w:lang w:eastAsia="en-CA"/>
              </w:rPr>
            </w:pPr>
          </w:p>
        </w:tc>
        <w:tc>
          <w:tcPr>
            <w:tcW w:w="628" w:type="dxa"/>
          </w:tcPr>
          <w:p w14:paraId="21F1B207" w14:textId="09DEF445" w:rsidR="00AA4278" w:rsidRDefault="00AA4278" w:rsidP="00405112">
            <w:pPr>
              <w:rPr>
                <w:rFonts w:ascii="Arial" w:hAnsi="Arial" w:cs="Arial"/>
                <w:szCs w:val="20"/>
              </w:rPr>
            </w:pPr>
            <w:r>
              <w:rPr>
                <w:rFonts w:ascii="Arial" w:hAnsi="Arial" w:cs="Arial"/>
                <w:szCs w:val="20"/>
              </w:rPr>
              <w:t>2b</w:t>
            </w:r>
          </w:p>
        </w:tc>
        <w:tc>
          <w:tcPr>
            <w:tcW w:w="5310" w:type="dxa"/>
          </w:tcPr>
          <w:p w14:paraId="4F3EF9B9" w14:textId="780159D1" w:rsidR="00AA4278" w:rsidRDefault="00AA4278" w:rsidP="008B512C">
            <w:pPr>
              <w:rPr>
                <w:rFonts w:ascii="Arial" w:hAnsi="Arial" w:cs="Arial"/>
                <w:szCs w:val="20"/>
              </w:rPr>
            </w:pPr>
            <w:r>
              <w:rPr>
                <w:rFonts w:ascii="Arial" w:hAnsi="Arial" w:cs="Arial"/>
                <w:szCs w:val="20"/>
              </w:rPr>
              <w:t>The guideline or published methods of guideline panel indicates the factors that are consistently assessed for all members to determine if a disclosed interest is in fact a COI.</w:t>
            </w:r>
          </w:p>
          <w:p w14:paraId="5047685F" w14:textId="77777777" w:rsidR="00AA4278" w:rsidRDefault="00AA4278" w:rsidP="00405112">
            <w:pPr>
              <w:rPr>
                <w:rFonts w:ascii="Arial" w:hAnsi="Arial" w:cs="Arial"/>
                <w:szCs w:val="20"/>
              </w:rPr>
            </w:pPr>
          </w:p>
        </w:tc>
        <w:sdt>
          <w:sdtPr>
            <w:rPr>
              <w:rFonts w:ascii="Arial" w:hAnsi="Arial" w:cs="Arial"/>
              <w:szCs w:val="20"/>
            </w:rPr>
            <w:id w:val="699283572"/>
            <w14:checkbox>
              <w14:checked w14:val="0"/>
              <w14:checkedState w14:val="2612" w14:font="MS Gothic"/>
              <w14:uncheckedState w14:val="2610" w14:font="MS Gothic"/>
            </w14:checkbox>
          </w:sdtPr>
          <w:sdtEndPr/>
          <w:sdtContent>
            <w:tc>
              <w:tcPr>
                <w:tcW w:w="459" w:type="dxa"/>
              </w:tcPr>
              <w:p w14:paraId="5E7BD655" w14:textId="6AC41EE0" w:rsidR="00AA4278" w:rsidRDefault="00AA4278" w:rsidP="00405112">
                <w:pPr>
                  <w:rPr>
                    <w:rFonts w:ascii="Arial" w:hAnsi="Arial" w:cs="Arial"/>
                    <w:szCs w:val="20"/>
                  </w:rPr>
                </w:pPr>
                <w:r>
                  <w:rPr>
                    <w:rFonts w:ascii="MS Gothic" w:eastAsia="MS Gothic" w:hAnsi="MS Gothic" w:cs="Arial" w:hint="eastAsia"/>
                    <w:szCs w:val="20"/>
                  </w:rPr>
                  <w:t>☐</w:t>
                </w:r>
              </w:p>
            </w:tc>
          </w:sdtContent>
        </w:sdt>
        <w:tc>
          <w:tcPr>
            <w:tcW w:w="3969" w:type="dxa"/>
          </w:tcPr>
          <w:p w14:paraId="4FDA6234" w14:textId="77777777" w:rsidR="00AA4278" w:rsidRDefault="00AA4278" w:rsidP="00405112">
            <w:pPr>
              <w:rPr>
                <w:rFonts w:ascii="Arial" w:hAnsi="Arial" w:cs="Arial"/>
                <w:szCs w:val="20"/>
              </w:rPr>
            </w:pPr>
          </w:p>
        </w:tc>
        <w:tc>
          <w:tcPr>
            <w:tcW w:w="1183" w:type="dxa"/>
          </w:tcPr>
          <w:p w14:paraId="3C77B987" w14:textId="59335932" w:rsidR="00AA4278" w:rsidRDefault="00AA4278" w:rsidP="00405112">
            <w:pPr>
              <w:rPr>
                <w:rFonts w:ascii="Arial" w:hAnsi="Arial" w:cs="Arial"/>
                <w:szCs w:val="20"/>
              </w:rPr>
            </w:pPr>
          </w:p>
        </w:tc>
      </w:tr>
      <w:tr w:rsidR="00AA4278" w:rsidRPr="00AE47CA" w14:paraId="12684AD3" w14:textId="77777777" w:rsidTr="008B512C">
        <w:trPr>
          <w:trHeight w:val="903"/>
        </w:trPr>
        <w:tc>
          <w:tcPr>
            <w:tcW w:w="3243" w:type="dxa"/>
            <w:vMerge/>
          </w:tcPr>
          <w:p w14:paraId="4566C1C3" w14:textId="77777777" w:rsidR="00AA4278" w:rsidRPr="00C71B0B" w:rsidRDefault="00AA4278" w:rsidP="00884A0E">
            <w:pPr>
              <w:pStyle w:val="ListParagraph"/>
              <w:numPr>
                <w:ilvl w:val="0"/>
                <w:numId w:val="2"/>
              </w:numPr>
              <w:spacing w:after="360"/>
              <w:textAlignment w:val="baseline"/>
              <w:rPr>
                <w:rFonts w:ascii="Arial" w:eastAsia="Times New Roman" w:hAnsi="Arial" w:cs="Arial"/>
                <w:i/>
                <w:iCs/>
                <w:szCs w:val="20"/>
                <w:bdr w:val="none" w:sz="0" w:space="0" w:color="auto" w:frame="1"/>
                <w:lang w:eastAsia="en-CA"/>
              </w:rPr>
            </w:pPr>
          </w:p>
        </w:tc>
        <w:tc>
          <w:tcPr>
            <w:tcW w:w="628" w:type="dxa"/>
          </w:tcPr>
          <w:p w14:paraId="4BAE24EC" w14:textId="494DA686" w:rsidR="00AA4278" w:rsidRDefault="00AA4278" w:rsidP="00405112">
            <w:pPr>
              <w:rPr>
                <w:rFonts w:ascii="Arial" w:hAnsi="Arial" w:cs="Arial"/>
                <w:szCs w:val="20"/>
              </w:rPr>
            </w:pPr>
            <w:r>
              <w:rPr>
                <w:rFonts w:ascii="Arial" w:hAnsi="Arial" w:cs="Arial"/>
                <w:szCs w:val="20"/>
              </w:rPr>
              <w:t>2c</w:t>
            </w:r>
          </w:p>
        </w:tc>
        <w:tc>
          <w:tcPr>
            <w:tcW w:w="5310" w:type="dxa"/>
          </w:tcPr>
          <w:p w14:paraId="72CB55D6" w14:textId="66DF8E1A" w:rsidR="00AA4278" w:rsidRDefault="00AA4278" w:rsidP="00405112">
            <w:pPr>
              <w:rPr>
                <w:rFonts w:ascii="Arial" w:hAnsi="Arial" w:cs="Arial"/>
                <w:szCs w:val="20"/>
              </w:rPr>
            </w:pPr>
            <w:r>
              <w:rPr>
                <w:rFonts w:ascii="Arial" w:hAnsi="Arial" w:cs="Arial"/>
                <w:szCs w:val="20"/>
              </w:rPr>
              <w:t>The guideline or published methods of guideline panel indicates how COI will be managed among members when identified.</w:t>
            </w:r>
          </w:p>
        </w:tc>
        <w:sdt>
          <w:sdtPr>
            <w:rPr>
              <w:rFonts w:ascii="Arial" w:hAnsi="Arial" w:cs="Arial"/>
              <w:szCs w:val="20"/>
            </w:rPr>
            <w:id w:val="333661581"/>
            <w14:checkbox>
              <w14:checked w14:val="0"/>
              <w14:checkedState w14:val="2612" w14:font="MS Gothic"/>
              <w14:uncheckedState w14:val="2610" w14:font="MS Gothic"/>
            </w14:checkbox>
          </w:sdtPr>
          <w:sdtEndPr/>
          <w:sdtContent>
            <w:tc>
              <w:tcPr>
                <w:tcW w:w="459" w:type="dxa"/>
              </w:tcPr>
              <w:p w14:paraId="7DA8E65A" w14:textId="54BE6AEC" w:rsidR="00AA4278" w:rsidRDefault="00AA4278" w:rsidP="00405112">
                <w:pPr>
                  <w:rPr>
                    <w:rFonts w:ascii="Arial" w:hAnsi="Arial" w:cs="Arial"/>
                    <w:szCs w:val="20"/>
                  </w:rPr>
                </w:pPr>
                <w:r>
                  <w:rPr>
                    <w:rFonts w:ascii="MS Gothic" w:eastAsia="MS Gothic" w:hAnsi="MS Gothic" w:cs="Arial" w:hint="eastAsia"/>
                    <w:szCs w:val="20"/>
                  </w:rPr>
                  <w:t>☐</w:t>
                </w:r>
              </w:p>
            </w:tc>
          </w:sdtContent>
        </w:sdt>
        <w:tc>
          <w:tcPr>
            <w:tcW w:w="3969" w:type="dxa"/>
          </w:tcPr>
          <w:p w14:paraId="539A1563" w14:textId="77777777" w:rsidR="00AA4278" w:rsidRDefault="00AA4278" w:rsidP="00405112">
            <w:pPr>
              <w:rPr>
                <w:rFonts w:ascii="Arial" w:hAnsi="Arial" w:cs="Arial"/>
                <w:szCs w:val="20"/>
              </w:rPr>
            </w:pPr>
          </w:p>
        </w:tc>
        <w:tc>
          <w:tcPr>
            <w:tcW w:w="1183" w:type="dxa"/>
          </w:tcPr>
          <w:p w14:paraId="12243740" w14:textId="5EF081BD" w:rsidR="00AA4278" w:rsidRDefault="00AA4278" w:rsidP="00405112">
            <w:pPr>
              <w:rPr>
                <w:rFonts w:ascii="Arial" w:hAnsi="Arial" w:cs="Arial"/>
                <w:szCs w:val="20"/>
              </w:rPr>
            </w:pPr>
          </w:p>
        </w:tc>
      </w:tr>
      <w:tr w:rsidR="00AA4278" w:rsidRPr="00AE47CA" w14:paraId="39433606" w14:textId="77777777" w:rsidTr="008B512C">
        <w:trPr>
          <w:trHeight w:val="903"/>
        </w:trPr>
        <w:tc>
          <w:tcPr>
            <w:tcW w:w="3243" w:type="dxa"/>
            <w:vMerge/>
          </w:tcPr>
          <w:p w14:paraId="460B3973" w14:textId="77777777" w:rsidR="00AA4278" w:rsidRPr="00C71B0B" w:rsidRDefault="00AA4278" w:rsidP="00884A0E">
            <w:pPr>
              <w:pStyle w:val="ListParagraph"/>
              <w:numPr>
                <w:ilvl w:val="0"/>
                <w:numId w:val="2"/>
              </w:numPr>
              <w:spacing w:after="360"/>
              <w:textAlignment w:val="baseline"/>
              <w:rPr>
                <w:rFonts w:ascii="Arial" w:eastAsia="Times New Roman" w:hAnsi="Arial" w:cs="Arial"/>
                <w:i/>
                <w:iCs/>
                <w:szCs w:val="20"/>
                <w:bdr w:val="none" w:sz="0" w:space="0" w:color="auto" w:frame="1"/>
                <w:lang w:eastAsia="en-CA"/>
              </w:rPr>
            </w:pPr>
          </w:p>
        </w:tc>
        <w:tc>
          <w:tcPr>
            <w:tcW w:w="628" w:type="dxa"/>
          </w:tcPr>
          <w:p w14:paraId="13C100CB" w14:textId="42FA4A02" w:rsidR="00AA4278" w:rsidRDefault="00AA4278" w:rsidP="00405112">
            <w:pPr>
              <w:rPr>
                <w:rFonts w:ascii="Arial" w:hAnsi="Arial" w:cs="Arial"/>
                <w:szCs w:val="20"/>
              </w:rPr>
            </w:pPr>
            <w:r>
              <w:rPr>
                <w:rFonts w:ascii="Arial" w:hAnsi="Arial" w:cs="Arial"/>
                <w:szCs w:val="20"/>
              </w:rPr>
              <w:t>2d</w:t>
            </w:r>
          </w:p>
        </w:tc>
        <w:tc>
          <w:tcPr>
            <w:tcW w:w="5310" w:type="dxa"/>
          </w:tcPr>
          <w:p w14:paraId="43273138" w14:textId="295B59EE" w:rsidR="00AA4278" w:rsidRDefault="00AA4278" w:rsidP="008B512C">
            <w:pPr>
              <w:rPr>
                <w:rFonts w:ascii="Arial" w:hAnsi="Arial" w:cs="Arial"/>
                <w:szCs w:val="20"/>
              </w:rPr>
            </w:pPr>
            <w:r>
              <w:rPr>
                <w:rFonts w:ascii="Arial" w:hAnsi="Arial" w:cs="Arial"/>
                <w:szCs w:val="20"/>
              </w:rPr>
              <w:t>The guideline or published methods of guideline panel indicates that the above factors (</w:t>
            </w:r>
            <w:proofErr w:type="gramStart"/>
            <w:r>
              <w:rPr>
                <w:rFonts w:ascii="Arial" w:hAnsi="Arial" w:cs="Arial"/>
                <w:szCs w:val="20"/>
              </w:rPr>
              <w:t>definitions,</w:t>
            </w:r>
            <w:proofErr w:type="gramEnd"/>
            <w:r>
              <w:rPr>
                <w:rFonts w:ascii="Arial" w:hAnsi="Arial" w:cs="Arial"/>
                <w:szCs w:val="20"/>
              </w:rPr>
              <w:t xml:space="preserve"> and how COI will be managed) applies to all members of the guideline panel consistently.</w:t>
            </w:r>
          </w:p>
          <w:p w14:paraId="6E481FF8" w14:textId="77777777" w:rsidR="00AA4278" w:rsidRDefault="00AA4278" w:rsidP="00405112">
            <w:pPr>
              <w:rPr>
                <w:rFonts w:ascii="Arial" w:hAnsi="Arial" w:cs="Arial"/>
                <w:szCs w:val="20"/>
              </w:rPr>
            </w:pPr>
          </w:p>
        </w:tc>
        <w:sdt>
          <w:sdtPr>
            <w:rPr>
              <w:rFonts w:ascii="Arial" w:hAnsi="Arial" w:cs="Arial"/>
              <w:szCs w:val="20"/>
            </w:rPr>
            <w:id w:val="-1804927462"/>
            <w14:checkbox>
              <w14:checked w14:val="0"/>
              <w14:checkedState w14:val="2612" w14:font="MS Gothic"/>
              <w14:uncheckedState w14:val="2610" w14:font="MS Gothic"/>
            </w14:checkbox>
          </w:sdtPr>
          <w:sdtEndPr/>
          <w:sdtContent>
            <w:tc>
              <w:tcPr>
                <w:tcW w:w="459" w:type="dxa"/>
              </w:tcPr>
              <w:p w14:paraId="5FFF5E16" w14:textId="32B51C2B" w:rsidR="00AA4278" w:rsidRDefault="00AA4278" w:rsidP="00405112">
                <w:pPr>
                  <w:rPr>
                    <w:rFonts w:ascii="Arial" w:hAnsi="Arial" w:cs="Arial"/>
                    <w:szCs w:val="20"/>
                  </w:rPr>
                </w:pPr>
                <w:r>
                  <w:rPr>
                    <w:rFonts w:ascii="MS Gothic" w:eastAsia="MS Gothic" w:hAnsi="MS Gothic" w:cs="Arial" w:hint="eastAsia"/>
                    <w:szCs w:val="20"/>
                  </w:rPr>
                  <w:t>☐</w:t>
                </w:r>
              </w:p>
            </w:tc>
          </w:sdtContent>
        </w:sdt>
        <w:tc>
          <w:tcPr>
            <w:tcW w:w="3969" w:type="dxa"/>
          </w:tcPr>
          <w:p w14:paraId="62C94888" w14:textId="77777777" w:rsidR="00AA4278" w:rsidRDefault="00AA4278" w:rsidP="00405112">
            <w:pPr>
              <w:rPr>
                <w:rFonts w:ascii="Arial" w:hAnsi="Arial" w:cs="Arial"/>
                <w:szCs w:val="20"/>
              </w:rPr>
            </w:pPr>
          </w:p>
        </w:tc>
        <w:tc>
          <w:tcPr>
            <w:tcW w:w="1183" w:type="dxa"/>
          </w:tcPr>
          <w:p w14:paraId="37A7BE7B" w14:textId="671B0CA5" w:rsidR="00AA4278" w:rsidRDefault="00AA4278" w:rsidP="00405112">
            <w:pPr>
              <w:rPr>
                <w:rFonts w:ascii="Arial" w:hAnsi="Arial" w:cs="Arial"/>
                <w:szCs w:val="20"/>
              </w:rPr>
            </w:pPr>
          </w:p>
        </w:tc>
      </w:tr>
      <w:tr w:rsidR="00AA4278" w:rsidRPr="00AE47CA" w14:paraId="2112903F" w14:textId="40C9AB32" w:rsidTr="008B512C">
        <w:trPr>
          <w:trHeight w:val="940"/>
        </w:trPr>
        <w:tc>
          <w:tcPr>
            <w:tcW w:w="3243" w:type="dxa"/>
          </w:tcPr>
          <w:p w14:paraId="1BB06F94" w14:textId="2C0767FD" w:rsidR="00AA4278" w:rsidRPr="00706422" w:rsidRDefault="00AA4278" w:rsidP="00884A0E">
            <w:pPr>
              <w:pStyle w:val="ListParagraph"/>
              <w:numPr>
                <w:ilvl w:val="0"/>
                <w:numId w:val="2"/>
              </w:numPr>
              <w:spacing w:after="360"/>
              <w:textAlignment w:val="baseline"/>
              <w:rPr>
                <w:rFonts w:ascii="Arial" w:eastAsia="Times New Roman" w:hAnsi="Arial" w:cs="Arial"/>
                <w:i/>
                <w:iCs/>
                <w:color w:val="404040"/>
                <w:szCs w:val="20"/>
                <w:bdr w:val="none" w:sz="0" w:space="0" w:color="auto" w:frame="1"/>
              </w:rPr>
            </w:pPr>
            <w:r w:rsidRPr="00706422">
              <w:rPr>
                <w:rFonts w:ascii="Arial" w:eastAsia="Times New Roman" w:hAnsi="Arial" w:cs="Arial"/>
                <w:i/>
                <w:iCs/>
                <w:color w:val="404040"/>
                <w:szCs w:val="20"/>
                <w:bdr w:val="none" w:sz="0" w:space="0" w:color="auto" w:frame="1"/>
                <w:lang w:eastAsia="en-CA"/>
              </w:rPr>
              <w:lastRenderedPageBreak/>
              <w:t>A guideline development group should use standardized forms for disclosure of interests.</w:t>
            </w:r>
          </w:p>
        </w:tc>
        <w:tc>
          <w:tcPr>
            <w:tcW w:w="628" w:type="dxa"/>
          </w:tcPr>
          <w:p w14:paraId="08EE8510" w14:textId="16F5F4B6" w:rsidR="00AA4278" w:rsidRPr="00A8237C" w:rsidRDefault="00AA4278" w:rsidP="00A8237C">
            <w:pPr>
              <w:rPr>
                <w:rFonts w:ascii="Arial" w:hAnsi="Arial" w:cs="Arial"/>
                <w:szCs w:val="20"/>
              </w:rPr>
            </w:pPr>
            <w:r>
              <w:rPr>
                <w:rFonts w:ascii="Arial" w:hAnsi="Arial" w:cs="Arial"/>
                <w:szCs w:val="20"/>
              </w:rPr>
              <w:t>3a</w:t>
            </w:r>
          </w:p>
        </w:tc>
        <w:tc>
          <w:tcPr>
            <w:tcW w:w="5310" w:type="dxa"/>
          </w:tcPr>
          <w:p w14:paraId="1C9BD3A1" w14:textId="3BDD755D" w:rsidR="00AA4278" w:rsidRPr="00A8237C" w:rsidRDefault="00AA4278" w:rsidP="008B2BCA">
            <w:pPr>
              <w:rPr>
                <w:rFonts w:ascii="Arial" w:hAnsi="Arial" w:cs="Arial"/>
                <w:szCs w:val="20"/>
              </w:rPr>
            </w:pPr>
            <w:r>
              <w:rPr>
                <w:rFonts w:ascii="Arial" w:hAnsi="Arial" w:cs="Arial"/>
                <w:szCs w:val="20"/>
              </w:rPr>
              <w:t xml:space="preserve">The group clearly indicates and/or demonstrates that the same form is used for disclosure of interests among all members.  </w:t>
            </w:r>
          </w:p>
        </w:tc>
        <w:sdt>
          <w:sdtPr>
            <w:rPr>
              <w:rFonts w:ascii="Arial" w:hAnsi="Arial" w:cs="Arial"/>
              <w:szCs w:val="20"/>
            </w:rPr>
            <w:id w:val="1893614882"/>
            <w14:checkbox>
              <w14:checked w14:val="0"/>
              <w14:checkedState w14:val="2612" w14:font="MS Gothic"/>
              <w14:uncheckedState w14:val="2610" w14:font="MS Gothic"/>
            </w14:checkbox>
          </w:sdtPr>
          <w:sdtEndPr/>
          <w:sdtContent>
            <w:tc>
              <w:tcPr>
                <w:tcW w:w="459" w:type="dxa"/>
              </w:tcPr>
              <w:p w14:paraId="198FFF89" w14:textId="47F03661" w:rsidR="00AA4278" w:rsidRPr="00A8237C" w:rsidRDefault="00AA4278" w:rsidP="00AC4442">
                <w:pPr>
                  <w:rPr>
                    <w:rFonts w:ascii="Arial" w:hAnsi="Arial" w:cs="Arial"/>
                    <w:szCs w:val="20"/>
                  </w:rPr>
                </w:pPr>
                <w:r>
                  <w:rPr>
                    <w:rFonts w:ascii="MS Gothic" w:eastAsia="MS Gothic" w:hAnsi="MS Gothic" w:cs="Arial" w:hint="eastAsia"/>
                    <w:szCs w:val="20"/>
                  </w:rPr>
                  <w:t>☐</w:t>
                </w:r>
              </w:p>
            </w:tc>
          </w:sdtContent>
        </w:sdt>
        <w:tc>
          <w:tcPr>
            <w:tcW w:w="3969" w:type="dxa"/>
          </w:tcPr>
          <w:p w14:paraId="017A5832" w14:textId="2DE3DC87" w:rsidR="00AA4278" w:rsidRPr="00A8237C" w:rsidRDefault="00AA4278" w:rsidP="00AC4442">
            <w:pPr>
              <w:rPr>
                <w:rFonts w:ascii="Arial" w:hAnsi="Arial" w:cs="Arial"/>
                <w:szCs w:val="20"/>
              </w:rPr>
            </w:pPr>
          </w:p>
        </w:tc>
        <w:tc>
          <w:tcPr>
            <w:tcW w:w="1183" w:type="dxa"/>
          </w:tcPr>
          <w:p w14:paraId="13B9750F" w14:textId="5784172F" w:rsidR="00AA4278" w:rsidRPr="00A8237C" w:rsidRDefault="00AA4278" w:rsidP="00AC4442">
            <w:pPr>
              <w:rPr>
                <w:rFonts w:ascii="Arial" w:hAnsi="Arial" w:cs="Arial"/>
                <w:szCs w:val="20"/>
              </w:rPr>
            </w:pPr>
          </w:p>
        </w:tc>
      </w:tr>
      <w:tr w:rsidR="00AA4278" w:rsidRPr="00AE47CA" w14:paraId="6D6DC8D7" w14:textId="4CCC7666" w:rsidTr="00BD1A94">
        <w:trPr>
          <w:trHeight w:val="616"/>
        </w:trPr>
        <w:tc>
          <w:tcPr>
            <w:tcW w:w="3243" w:type="dxa"/>
            <w:vMerge w:val="restart"/>
          </w:tcPr>
          <w:p w14:paraId="5985ECC1" w14:textId="0D0734E4" w:rsidR="00AA4278" w:rsidRPr="00BD1A94" w:rsidRDefault="00AA4278" w:rsidP="00BD1A94">
            <w:pPr>
              <w:pStyle w:val="ListParagraph"/>
              <w:numPr>
                <w:ilvl w:val="0"/>
                <w:numId w:val="2"/>
              </w:numPr>
              <w:spacing w:after="240"/>
              <w:ind w:left="357" w:hanging="357"/>
              <w:textAlignment w:val="baseline"/>
              <w:rPr>
                <w:rFonts w:ascii="Arial" w:eastAsia="Times New Roman" w:hAnsi="Arial" w:cs="Arial"/>
                <w:i/>
                <w:iCs/>
                <w:szCs w:val="20"/>
                <w:bdr w:val="none" w:sz="0" w:space="0" w:color="auto" w:frame="1"/>
                <w:lang w:eastAsia="en-CA"/>
              </w:rPr>
            </w:pPr>
            <w:r w:rsidRPr="00706422">
              <w:rPr>
                <w:rFonts w:ascii="Arial" w:eastAsia="Times New Roman" w:hAnsi="Arial" w:cs="Arial"/>
                <w:i/>
                <w:iCs/>
                <w:szCs w:val="20"/>
                <w:bdr w:val="none" w:sz="0" w:space="0" w:color="auto" w:frame="1"/>
                <w:lang w:eastAsia="en-CA"/>
              </w:rPr>
              <w:t xml:space="preserve">A guideline development group should disclose interests publicly, including all direct financial and indirect </w:t>
            </w:r>
            <w:proofErr w:type="gramStart"/>
            <w:r w:rsidRPr="00706422">
              <w:rPr>
                <w:rFonts w:ascii="Arial" w:eastAsia="Times New Roman" w:hAnsi="Arial" w:cs="Arial"/>
                <w:i/>
                <w:iCs/>
                <w:szCs w:val="20"/>
                <w:bdr w:val="none" w:sz="0" w:space="0" w:color="auto" w:frame="1"/>
                <w:lang w:eastAsia="en-CA"/>
              </w:rPr>
              <w:t>COIs</w:t>
            </w:r>
            <w:proofErr w:type="gramEnd"/>
            <w:r w:rsidRPr="00706422">
              <w:rPr>
                <w:rFonts w:ascii="Arial" w:eastAsia="Times New Roman" w:hAnsi="Arial" w:cs="Arial"/>
                <w:i/>
                <w:iCs/>
                <w:szCs w:val="20"/>
                <w:bdr w:val="none" w:sz="0" w:space="0" w:color="auto" w:frame="1"/>
                <w:lang w:eastAsia="en-CA"/>
              </w:rPr>
              <w:t>, and these should be easily accessible for users of the guideline.</w:t>
            </w:r>
          </w:p>
        </w:tc>
        <w:tc>
          <w:tcPr>
            <w:tcW w:w="628" w:type="dxa"/>
          </w:tcPr>
          <w:p w14:paraId="0FC727AF" w14:textId="0C61E43D" w:rsidR="00AA4278" w:rsidRDefault="00AA4278" w:rsidP="00AC4442">
            <w:pPr>
              <w:rPr>
                <w:rFonts w:ascii="Arial" w:hAnsi="Arial" w:cs="Arial"/>
                <w:szCs w:val="20"/>
              </w:rPr>
            </w:pPr>
            <w:r>
              <w:rPr>
                <w:rFonts w:ascii="Arial" w:hAnsi="Arial" w:cs="Arial"/>
                <w:szCs w:val="20"/>
              </w:rPr>
              <w:t>4a</w:t>
            </w:r>
          </w:p>
        </w:tc>
        <w:tc>
          <w:tcPr>
            <w:tcW w:w="5310" w:type="dxa"/>
          </w:tcPr>
          <w:p w14:paraId="5C5A1544" w14:textId="3095DB2D" w:rsidR="00AA4278" w:rsidRDefault="00AA4278" w:rsidP="00AC4442">
            <w:pPr>
              <w:rPr>
                <w:rFonts w:ascii="Arial" w:hAnsi="Arial" w:cs="Arial"/>
                <w:szCs w:val="20"/>
              </w:rPr>
            </w:pPr>
            <w:r>
              <w:rPr>
                <w:rFonts w:ascii="Arial" w:hAnsi="Arial" w:cs="Arial"/>
                <w:szCs w:val="20"/>
              </w:rPr>
              <w:t xml:space="preserve">The guideline or published methods of guideline panel indicates where disclosed interests of the guideline panel can be accessed by readers of the guideline (e.g., website </w:t>
            </w:r>
            <w:proofErr w:type="spellStart"/>
            <w:r>
              <w:rPr>
                <w:rFonts w:ascii="Arial" w:hAnsi="Arial" w:cs="Arial"/>
                <w:szCs w:val="20"/>
              </w:rPr>
              <w:t>url</w:t>
            </w:r>
            <w:proofErr w:type="spellEnd"/>
            <w:r>
              <w:rPr>
                <w:rFonts w:ascii="Arial" w:hAnsi="Arial" w:cs="Arial"/>
                <w:szCs w:val="20"/>
              </w:rPr>
              <w:t>, disclosure registry, etc.).</w:t>
            </w:r>
          </w:p>
        </w:tc>
        <w:sdt>
          <w:sdtPr>
            <w:rPr>
              <w:rFonts w:ascii="Arial" w:hAnsi="Arial" w:cs="Arial"/>
              <w:szCs w:val="20"/>
            </w:rPr>
            <w:id w:val="-1812482155"/>
            <w14:checkbox>
              <w14:checked w14:val="0"/>
              <w14:checkedState w14:val="2612" w14:font="MS Gothic"/>
              <w14:uncheckedState w14:val="2610" w14:font="MS Gothic"/>
            </w14:checkbox>
          </w:sdtPr>
          <w:sdtEndPr/>
          <w:sdtContent>
            <w:tc>
              <w:tcPr>
                <w:tcW w:w="459" w:type="dxa"/>
              </w:tcPr>
              <w:p w14:paraId="5BEE3452" w14:textId="18CBE440" w:rsidR="00AA4278" w:rsidRDefault="00AA4278" w:rsidP="00AC4442">
                <w:pPr>
                  <w:rPr>
                    <w:rFonts w:ascii="Arial" w:hAnsi="Arial" w:cs="Arial"/>
                    <w:szCs w:val="20"/>
                  </w:rPr>
                </w:pPr>
                <w:r>
                  <w:rPr>
                    <w:rFonts w:ascii="MS Gothic" w:eastAsia="MS Gothic" w:hAnsi="MS Gothic" w:cs="Arial" w:hint="eastAsia"/>
                    <w:szCs w:val="20"/>
                  </w:rPr>
                  <w:t>☐</w:t>
                </w:r>
              </w:p>
            </w:tc>
          </w:sdtContent>
        </w:sdt>
        <w:tc>
          <w:tcPr>
            <w:tcW w:w="3969" w:type="dxa"/>
          </w:tcPr>
          <w:p w14:paraId="431E7587" w14:textId="028FA65F" w:rsidR="00AA4278" w:rsidRDefault="00AA4278" w:rsidP="00AC4442">
            <w:pPr>
              <w:rPr>
                <w:rFonts w:ascii="Arial" w:hAnsi="Arial" w:cs="Arial"/>
                <w:szCs w:val="20"/>
              </w:rPr>
            </w:pPr>
          </w:p>
        </w:tc>
        <w:tc>
          <w:tcPr>
            <w:tcW w:w="1183" w:type="dxa"/>
          </w:tcPr>
          <w:p w14:paraId="5AE6F880" w14:textId="26ED1EB6" w:rsidR="00AA4278" w:rsidRDefault="00AA4278" w:rsidP="00AC4442">
            <w:pPr>
              <w:rPr>
                <w:rFonts w:ascii="Arial" w:hAnsi="Arial" w:cs="Arial"/>
                <w:szCs w:val="20"/>
                <w:highlight w:val="yellow"/>
              </w:rPr>
            </w:pPr>
          </w:p>
        </w:tc>
      </w:tr>
      <w:tr w:rsidR="00AA4278" w:rsidRPr="00AE47CA" w14:paraId="2CBEE2B1" w14:textId="77777777" w:rsidTr="00BD1A94">
        <w:trPr>
          <w:trHeight w:val="616"/>
        </w:trPr>
        <w:tc>
          <w:tcPr>
            <w:tcW w:w="3243" w:type="dxa"/>
            <w:vMerge/>
          </w:tcPr>
          <w:p w14:paraId="36447AB9" w14:textId="77777777" w:rsidR="00AA4278" w:rsidRPr="00706422" w:rsidRDefault="00AA4278" w:rsidP="00BD1A94">
            <w:pPr>
              <w:pStyle w:val="ListParagraph"/>
              <w:numPr>
                <w:ilvl w:val="0"/>
                <w:numId w:val="2"/>
              </w:numPr>
              <w:spacing w:after="240"/>
              <w:ind w:left="357" w:hanging="357"/>
              <w:textAlignment w:val="baseline"/>
              <w:rPr>
                <w:rFonts w:ascii="Arial" w:eastAsia="Times New Roman" w:hAnsi="Arial" w:cs="Arial"/>
                <w:i/>
                <w:iCs/>
                <w:szCs w:val="20"/>
                <w:bdr w:val="none" w:sz="0" w:space="0" w:color="auto" w:frame="1"/>
                <w:lang w:eastAsia="en-CA"/>
              </w:rPr>
            </w:pPr>
          </w:p>
        </w:tc>
        <w:tc>
          <w:tcPr>
            <w:tcW w:w="628" w:type="dxa"/>
          </w:tcPr>
          <w:p w14:paraId="7F192FB5" w14:textId="227DBF92" w:rsidR="00AA4278" w:rsidRDefault="00AA4278" w:rsidP="00AC4442">
            <w:pPr>
              <w:rPr>
                <w:rFonts w:ascii="Arial" w:hAnsi="Arial" w:cs="Arial"/>
                <w:szCs w:val="20"/>
              </w:rPr>
            </w:pPr>
            <w:r>
              <w:rPr>
                <w:rFonts w:ascii="Arial" w:hAnsi="Arial" w:cs="Arial"/>
                <w:szCs w:val="20"/>
              </w:rPr>
              <w:t>4b</w:t>
            </w:r>
          </w:p>
        </w:tc>
        <w:tc>
          <w:tcPr>
            <w:tcW w:w="5310" w:type="dxa"/>
          </w:tcPr>
          <w:p w14:paraId="04481EBB" w14:textId="02328AB4" w:rsidR="00AA4278" w:rsidRDefault="00AA4278" w:rsidP="00AC4442">
            <w:pPr>
              <w:rPr>
                <w:rFonts w:ascii="Arial" w:hAnsi="Arial" w:cs="Arial"/>
                <w:szCs w:val="20"/>
              </w:rPr>
            </w:pPr>
            <w:r>
              <w:rPr>
                <w:rFonts w:ascii="Arial" w:hAnsi="Arial" w:cs="Arial"/>
                <w:szCs w:val="20"/>
              </w:rPr>
              <w:t xml:space="preserve">The </w:t>
            </w:r>
            <w:commentRangeStart w:id="2"/>
            <w:r>
              <w:rPr>
                <w:rFonts w:ascii="Arial" w:hAnsi="Arial" w:cs="Arial"/>
                <w:szCs w:val="20"/>
              </w:rPr>
              <w:t xml:space="preserve">published guideline document includes a section </w:t>
            </w:r>
            <w:commentRangeEnd w:id="2"/>
            <w:r w:rsidR="00182BC7">
              <w:rPr>
                <w:rStyle w:val="CommentReference"/>
              </w:rPr>
              <w:commentReference w:id="2"/>
            </w:r>
            <w:r>
              <w:rPr>
                <w:rFonts w:ascii="Arial" w:hAnsi="Arial" w:cs="Arial"/>
                <w:szCs w:val="20"/>
              </w:rPr>
              <w:t xml:space="preserve">outlining COIs identified among members, </w:t>
            </w:r>
            <w:commentRangeStart w:id="3"/>
            <w:r w:rsidR="00182BC7">
              <w:rPr>
                <w:rFonts w:ascii="Arial" w:hAnsi="Arial" w:cs="Arial"/>
                <w:szCs w:val="20"/>
              </w:rPr>
              <w:t>[</w:t>
            </w:r>
            <w:r>
              <w:rPr>
                <w:rFonts w:ascii="Arial" w:hAnsi="Arial" w:cs="Arial"/>
                <w:szCs w:val="20"/>
              </w:rPr>
              <w:t>the rationale for including those with COI, and how COI were managed.</w:t>
            </w:r>
            <w:r w:rsidR="00182BC7">
              <w:rPr>
                <w:rFonts w:ascii="Arial" w:hAnsi="Arial" w:cs="Arial"/>
                <w:szCs w:val="20"/>
              </w:rPr>
              <w:t>]</w:t>
            </w:r>
            <w:commentRangeEnd w:id="3"/>
            <w:r w:rsidR="00182BC7">
              <w:rPr>
                <w:rStyle w:val="CommentReference"/>
              </w:rPr>
              <w:commentReference w:id="3"/>
            </w:r>
          </w:p>
        </w:tc>
        <w:sdt>
          <w:sdtPr>
            <w:rPr>
              <w:rFonts w:ascii="Arial" w:hAnsi="Arial" w:cs="Arial"/>
              <w:szCs w:val="20"/>
            </w:rPr>
            <w:id w:val="-1040203219"/>
            <w14:checkbox>
              <w14:checked w14:val="0"/>
              <w14:checkedState w14:val="2612" w14:font="MS Gothic"/>
              <w14:uncheckedState w14:val="2610" w14:font="MS Gothic"/>
            </w14:checkbox>
          </w:sdtPr>
          <w:sdtEndPr/>
          <w:sdtContent>
            <w:tc>
              <w:tcPr>
                <w:tcW w:w="459" w:type="dxa"/>
              </w:tcPr>
              <w:p w14:paraId="5DCF95AB" w14:textId="4B0761B9" w:rsidR="00AA4278" w:rsidRDefault="00AA4278" w:rsidP="00AC4442">
                <w:pPr>
                  <w:rPr>
                    <w:rFonts w:ascii="Arial" w:hAnsi="Arial" w:cs="Arial"/>
                    <w:szCs w:val="20"/>
                  </w:rPr>
                </w:pPr>
                <w:r>
                  <w:rPr>
                    <w:rFonts w:ascii="MS Gothic" w:eastAsia="MS Gothic" w:hAnsi="MS Gothic" w:cs="Arial" w:hint="eastAsia"/>
                    <w:szCs w:val="20"/>
                  </w:rPr>
                  <w:t>☐</w:t>
                </w:r>
              </w:p>
            </w:tc>
          </w:sdtContent>
        </w:sdt>
        <w:tc>
          <w:tcPr>
            <w:tcW w:w="3969" w:type="dxa"/>
          </w:tcPr>
          <w:p w14:paraId="7FADA1A0" w14:textId="77777777" w:rsidR="00AA4278" w:rsidRDefault="00AA4278" w:rsidP="00AC4442">
            <w:pPr>
              <w:rPr>
                <w:rFonts w:ascii="Arial" w:hAnsi="Arial" w:cs="Arial"/>
                <w:szCs w:val="20"/>
              </w:rPr>
            </w:pPr>
          </w:p>
        </w:tc>
        <w:tc>
          <w:tcPr>
            <w:tcW w:w="1183" w:type="dxa"/>
          </w:tcPr>
          <w:p w14:paraId="7C24D9A7" w14:textId="6B643A30" w:rsidR="00AA4278" w:rsidRDefault="00AA4278" w:rsidP="00AC4442">
            <w:pPr>
              <w:rPr>
                <w:rFonts w:ascii="Arial" w:hAnsi="Arial" w:cs="Arial"/>
                <w:szCs w:val="20"/>
              </w:rPr>
            </w:pPr>
          </w:p>
        </w:tc>
      </w:tr>
      <w:tr w:rsidR="00AA4278" w:rsidRPr="00AE47CA" w14:paraId="2A9B4169" w14:textId="77777777" w:rsidTr="00BD1A94">
        <w:trPr>
          <w:trHeight w:val="616"/>
        </w:trPr>
        <w:tc>
          <w:tcPr>
            <w:tcW w:w="3243" w:type="dxa"/>
            <w:vMerge/>
          </w:tcPr>
          <w:p w14:paraId="320B5FEB" w14:textId="77777777" w:rsidR="00AA4278" w:rsidRPr="00706422" w:rsidRDefault="00AA4278" w:rsidP="00BD1A94">
            <w:pPr>
              <w:pStyle w:val="ListParagraph"/>
              <w:numPr>
                <w:ilvl w:val="0"/>
                <w:numId w:val="2"/>
              </w:numPr>
              <w:spacing w:after="240"/>
              <w:ind w:left="357" w:hanging="357"/>
              <w:textAlignment w:val="baseline"/>
              <w:rPr>
                <w:rFonts w:ascii="Arial" w:eastAsia="Times New Roman" w:hAnsi="Arial" w:cs="Arial"/>
                <w:i/>
                <w:iCs/>
                <w:szCs w:val="20"/>
                <w:bdr w:val="none" w:sz="0" w:space="0" w:color="auto" w:frame="1"/>
                <w:lang w:eastAsia="en-CA"/>
              </w:rPr>
            </w:pPr>
          </w:p>
        </w:tc>
        <w:tc>
          <w:tcPr>
            <w:tcW w:w="628" w:type="dxa"/>
          </w:tcPr>
          <w:p w14:paraId="535FEAC5" w14:textId="4D2AFB7C" w:rsidR="00AA4278" w:rsidRDefault="00AA4278" w:rsidP="00AC4442">
            <w:pPr>
              <w:rPr>
                <w:rFonts w:ascii="Arial" w:hAnsi="Arial" w:cs="Arial"/>
                <w:szCs w:val="20"/>
              </w:rPr>
            </w:pPr>
            <w:r>
              <w:rPr>
                <w:rFonts w:ascii="Arial" w:hAnsi="Arial" w:cs="Arial"/>
                <w:szCs w:val="20"/>
              </w:rPr>
              <w:t>4c</w:t>
            </w:r>
          </w:p>
        </w:tc>
        <w:tc>
          <w:tcPr>
            <w:tcW w:w="5310" w:type="dxa"/>
          </w:tcPr>
          <w:p w14:paraId="21BE75F0" w14:textId="00060D6A" w:rsidR="00AA4278" w:rsidRDefault="00AA4278" w:rsidP="00AC4442">
            <w:pPr>
              <w:rPr>
                <w:rFonts w:ascii="Arial" w:hAnsi="Arial" w:cs="Arial"/>
                <w:szCs w:val="20"/>
              </w:rPr>
            </w:pPr>
            <w:r w:rsidRPr="00BD1A94">
              <w:rPr>
                <w:rFonts w:ascii="Arial" w:hAnsi="Arial" w:cs="Arial"/>
                <w:szCs w:val="20"/>
              </w:rPr>
              <w:t>The guideline panel discloses monetary values of financial interests (range or specific amount)</w:t>
            </w:r>
            <w:r>
              <w:rPr>
                <w:rFonts w:ascii="Arial" w:hAnsi="Arial" w:cs="Arial"/>
                <w:szCs w:val="20"/>
              </w:rPr>
              <w:t>.</w:t>
            </w:r>
          </w:p>
        </w:tc>
        <w:sdt>
          <w:sdtPr>
            <w:rPr>
              <w:rFonts w:ascii="Arial" w:hAnsi="Arial" w:cs="Arial"/>
              <w:szCs w:val="20"/>
            </w:rPr>
            <w:id w:val="-361203604"/>
            <w14:checkbox>
              <w14:checked w14:val="0"/>
              <w14:checkedState w14:val="2612" w14:font="MS Gothic"/>
              <w14:uncheckedState w14:val="2610" w14:font="MS Gothic"/>
            </w14:checkbox>
          </w:sdtPr>
          <w:sdtEndPr/>
          <w:sdtContent>
            <w:tc>
              <w:tcPr>
                <w:tcW w:w="459" w:type="dxa"/>
              </w:tcPr>
              <w:p w14:paraId="22BF4105" w14:textId="133E3B3F" w:rsidR="00AA4278" w:rsidRDefault="00AA4278" w:rsidP="00AC4442">
                <w:pPr>
                  <w:rPr>
                    <w:rFonts w:ascii="Arial" w:hAnsi="Arial" w:cs="Arial"/>
                    <w:szCs w:val="20"/>
                  </w:rPr>
                </w:pPr>
                <w:r>
                  <w:rPr>
                    <w:rFonts w:ascii="MS Gothic" w:eastAsia="MS Gothic" w:hAnsi="MS Gothic" w:cs="Arial" w:hint="eastAsia"/>
                    <w:szCs w:val="20"/>
                  </w:rPr>
                  <w:t>☐</w:t>
                </w:r>
              </w:p>
            </w:tc>
          </w:sdtContent>
        </w:sdt>
        <w:tc>
          <w:tcPr>
            <w:tcW w:w="3969" w:type="dxa"/>
          </w:tcPr>
          <w:p w14:paraId="1E2E2593" w14:textId="77777777" w:rsidR="00AA4278" w:rsidRDefault="00AA4278" w:rsidP="00AC4442">
            <w:pPr>
              <w:rPr>
                <w:rFonts w:ascii="Arial" w:hAnsi="Arial" w:cs="Arial"/>
                <w:szCs w:val="20"/>
              </w:rPr>
            </w:pPr>
          </w:p>
        </w:tc>
        <w:tc>
          <w:tcPr>
            <w:tcW w:w="1183" w:type="dxa"/>
          </w:tcPr>
          <w:p w14:paraId="796B7603" w14:textId="440A1F4F" w:rsidR="00AA4278" w:rsidRDefault="00AA4278" w:rsidP="00AC4442">
            <w:pPr>
              <w:rPr>
                <w:rFonts w:ascii="Arial" w:hAnsi="Arial" w:cs="Arial"/>
                <w:szCs w:val="20"/>
              </w:rPr>
            </w:pPr>
          </w:p>
        </w:tc>
      </w:tr>
      <w:tr w:rsidR="00AA4278" w:rsidRPr="00AE47CA" w14:paraId="1FDBF7E8" w14:textId="69D83158" w:rsidTr="00BD1A94">
        <w:trPr>
          <w:trHeight w:val="1212"/>
        </w:trPr>
        <w:tc>
          <w:tcPr>
            <w:tcW w:w="3243" w:type="dxa"/>
            <w:vMerge w:val="restart"/>
          </w:tcPr>
          <w:p w14:paraId="27BEC4E3" w14:textId="05382C03" w:rsidR="00AA4278" w:rsidRPr="003D69DB" w:rsidRDefault="00AA4278" w:rsidP="00884A0E">
            <w:pPr>
              <w:pStyle w:val="ListParagraph"/>
              <w:numPr>
                <w:ilvl w:val="0"/>
                <w:numId w:val="2"/>
              </w:numPr>
              <w:spacing w:after="360"/>
              <w:textAlignment w:val="baseline"/>
              <w:rPr>
                <w:rFonts w:ascii="Arial" w:eastAsia="Times New Roman" w:hAnsi="Arial" w:cs="Arial"/>
                <w:i/>
                <w:iCs/>
                <w:color w:val="404040"/>
                <w:szCs w:val="20"/>
                <w:bdr w:val="none" w:sz="0" w:space="0" w:color="auto" w:frame="1"/>
              </w:rPr>
            </w:pPr>
            <w:r w:rsidRPr="003D69DB">
              <w:rPr>
                <w:rFonts w:ascii="Arial" w:eastAsia="Times New Roman" w:hAnsi="Arial" w:cs="Arial"/>
                <w:i/>
                <w:iCs/>
                <w:color w:val="404040"/>
                <w:szCs w:val="20"/>
                <w:bdr w:val="none" w:sz="0" w:space="0" w:color="auto" w:frame="1"/>
                <w:lang w:eastAsia="en-CA"/>
              </w:rPr>
              <w:t xml:space="preserve">All members </w:t>
            </w:r>
            <w:r w:rsidRPr="003D69DB">
              <w:rPr>
                <w:rFonts w:ascii="Arial" w:eastAsia="Times New Roman" w:hAnsi="Arial" w:cs="Arial"/>
                <w:i/>
                <w:iCs/>
                <w:szCs w:val="20"/>
                <w:bdr w:val="none" w:sz="0" w:space="0" w:color="auto" w:frame="1"/>
                <w:lang w:eastAsia="en-CA"/>
              </w:rPr>
              <w:t>of a guideline development group should declare and update any changes in interests at each meeting of the group and at regular intervals (for example, annually for standing guideline development groups).</w:t>
            </w:r>
          </w:p>
        </w:tc>
        <w:tc>
          <w:tcPr>
            <w:tcW w:w="628" w:type="dxa"/>
          </w:tcPr>
          <w:p w14:paraId="3C5759BF" w14:textId="61CDD5DA" w:rsidR="00AA4278" w:rsidRDefault="00AA4278" w:rsidP="0092324A">
            <w:pPr>
              <w:rPr>
                <w:rFonts w:ascii="Arial" w:hAnsi="Arial" w:cs="Arial"/>
                <w:szCs w:val="20"/>
              </w:rPr>
            </w:pPr>
            <w:r>
              <w:rPr>
                <w:rFonts w:ascii="Arial" w:hAnsi="Arial" w:cs="Arial"/>
                <w:szCs w:val="20"/>
              </w:rPr>
              <w:t>5a</w:t>
            </w:r>
          </w:p>
        </w:tc>
        <w:tc>
          <w:tcPr>
            <w:tcW w:w="5310" w:type="dxa"/>
          </w:tcPr>
          <w:p w14:paraId="5CE3ED53" w14:textId="033D5A9A" w:rsidR="00AA4278" w:rsidRDefault="00AA4278" w:rsidP="0092324A">
            <w:pPr>
              <w:rPr>
                <w:rFonts w:ascii="Arial" w:hAnsi="Arial" w:cs="Arial"/>
                <w:szCs w:val="20"/>
              </w:rPr>
            </w:pPr>
            <w:r>
              <w:rPr>
                <w:rFonts w:ascii="Arial" w:hAnsi="Arial" w:cs="Arial"/>
                <w:szCs w:val="20"/>
              </w:rPr>
              <w:t>The guideline or published methods of guideline panel indicates the specific regular instances at which guideline panelists will be required to declare interests (e.g., annually when new topics are selected, at quarterly meetings, before each teleconference, etc.).</w:t>
            </w:r>
          </w:p>
        </w:tc>
        <w:sdt>
          <w:sdtPr>
            <w:rPr>
              <w:rFonts w:ascii="Arial" w:hAnsi="Arial" w:cs="Arial"/>
              <w:szCs w:val="20"/>
            </w:rPr>
            <w:id w:val="-833604502"/>
            <w14:checkbox>
              <w14:checked w14:val="0"/>
              <w14:checkedState w14:val="2612" w14:font="MS Gothic"/>
              <w14:uncheckedState w14:val="2610" w14:font="MS Gothic"/>
            </w14:checkbox>
          </w:sdtPr>
          <w:sdtEndPr/>
          <w:sdtContent>
            <w:tc>
              <w:tcPr>
                <w:tcW w:w="459" w:type="dxa"/>
              </w:tcPr>
              <w:p w14:paraId="5148474B" w14:textId="065703CB" w:rsidR="00AA4278" w:rsidRDefault="00AA4278" w:rsidP="0092324A">
                <w:pPr>
                  <w:rPr>
                    <w:rFonts w:ascii="Arial" w:hAnsi="Arial" w:cs="Arial"/>
                    <w:szCs w:val="20"/>
                  </w:rPr>
                </w:pPr>
                <w:r>
                  <w:rPr>
                    <w:rFonts w:ascii="MS Gothic" w:eastAsia="MS Gothic" w:hAnsi="MS Gothic" w:cs="Arial" w:hint="eastAsia"/>
                    <w:szCs w:val="20"/>
                  </w:rPr>
                  <w:t>☐</w:t>
                </w:r>
              </w:p>
            </w:tc>
          </w:sdtContent>
        </w:sdt>
        <w:tc>
          <w:tcPr>
            <w:tcW w:w="3969" w:type="dxa"/>
          </w:tcPr>
          <w:p w14:paraId="1BA3BCFB" w14:textId="7395B4DC" w:rsidR="00AA4278" w:rsidRDefault="00AA4278" w:rsidP="0092324A">
            <w:pPr>
              <w:rPr>
                <w:rFonts w:ascii="Arial" w:hAnsi="Arial" w:cs="Arial"/>
                <w:szCs w:val="20"/>
              </w:rPr>
            </w:pPr>
          </w:p>
        </w:tc>
        <w:tc>
          <w:tcPr>
            <w:tcW w:w="1183" w:type="dxa"/>
          </w:tcPr>
          <w:p w14:paraId="25E9FDEC" w14:textId="31F2D855" w:rsidR="00AA4278" w:rsidRDefault="00AA4278" w:rsidP="0092324A">
            <w:pPr>
              <w:rPr>
                <w:rFonts w:ascii="Arial" w:hAnsi="Arial" w:cs="Arial"/>
                <w:szCs w:val="20"/>
                <w:highlight w:val="yellow"/>
              </w:rPr>
            </w:pPr>
          </w:p>
        </w:tc>
      </w:tr>
      <w:tr w:rsidR="00AA4278" w:rsidRPr="00AE47CA" w14:paraId="79D3DC6E" w14:textId="77777777" w:rsidTr="00BD1A94">
        <w:trPr>
          <w:trHeight w:val="1212"/>
        </w:trPr>
        <w:tc>
          <w:tcPr>
            <w:tcW w:w="3243" w:type="dxa"/>
            <w:vMerge/>
          </w:tcPr>
          <w:p w14:paraId="4DD21938" w14:textId="77777777" w:rsidR="00AA4278" w:rsidRPr="003D69DB" w:rsidRDefault="00AA4278" w:rsidP="00884A0E">
            <w:pPr>
              <w:pStyle w:val="ListParagraph"/>
              <w:numPr>
                <w:ilvl w:val="0"/>
                <w:numId w:val="2"/>
              </w:numPr>
              <w:spacing w:after="360"/>
              <w:textAlignment w:val="baseline"/>
              <w:rPr>
                <w:rFonts w:ascii="Arial" w:eastAsia="Times New Roman" w:hAnsi="Arial" w:cs="Arial"/>
                <w:i/>
                <w:iCs/>
                <w:color w:val="404040"/>
                <w:szCs w:val="20"/>
                <w:bdr w:val="none" w:sz="0" w:space="0" w:color="auto" w:frame="1"/>
                <w:lang w:eastAsia="en-CA"/>
              </w:rPr>
            </w:pPr>
          </w:p>
        </w:tc>
        <w:tc>
          <w:tcPr>
            <w:tcW w:w="628" w:type="dxa"/>
          </w:tcPr>
          <w:p w14:paraId="1F00BC44" w14:textId="309204C2" w:rsidR="00AA4278" w:rsidRDefault="00AA4278" w:rsidP="0092324A">
            <w:pPr>
              <w:rPr>
                <w:rFonts w:ascii="Arial" w:hAnsi="Arial" w:cs="Arial"/>
                <w:szCs w:val="20"/>
              </w:rPr>
            </w:pPr>
            <w:r>
              <w:rPr>
                <w:rFonts w:ascii="Arial" w:hAnsi="Arial" w:cs="Arial"/>
                <w:szCs w:val="20"/>
              </w:rPr>
              <w:t>5b</w:t>
            </w:r>
          </w:p>
        </w:tc>
        <w:tc>
          <w:tcPr>
            <w:tcW w:w="5310" w:type="dxa"/>
          </w:tcPr>
          <w:p w14:paraId="7A433053" w14:textId="18F35D22" w:rsidR="00AA4278" w:rsidRDefault="00AA4278" w:rsidP="0092324A">
            <w:pPr>
              <w:rPr>
                <w:rFonts w:ascii="Arial" w:hAnsi="Arial" w:cs="Arial"/>
                <w:szCs w:val="20"/>
              </w:rPr>
            </w:pPr>
            <w:r>
              <w:rPr>
                <w:rFonts w:ascii="Arial" w:hAnsi="Arial" w:cs="Arial"/>
                <w:szCs w:val="20"/>
              </w:rPr>
              <w:t>The guideline or published methods of guideline panel indicates that the panel will also be required to complete a declaration of interests any time interests change.</w:t>
            </w:r>
          </w:p>
        </w:tc>
        <w:sdt>
          <w:sdtPr>
            <w:rPr>
              <w:rFonts w:ascii="Arial" w:hAnsi="Arial" w:cs="Arial"/>
              <w:szCs w:val="20"/>
            </w:rPr>
            <w:id w:val="376054740"/>
            <w14:checkbox>
              <w14:checked w14:val="0"/>
              <w14:checkedState w14:val="2612" w14:font="MS Gothic"/>
              <w14:uncheckedState w14:val="2610" w14:font="MS Gothic"/>
            </w14:checkbox>
          </w:sdtPr>
          <w:sdtEndPr/>
          <w:sdtContent>
            <w:tc>
              <w:tcPr>
                <w:tcW w:w="459" w:type="dxa"/>
              </w:tcPr>
              <w:p w14:paraId="7EA1E61F" w14:textId="081AB4F5" w:rsidR="00AA4278" w:rsidRDefault="00AA4278" w:rsidP="0092324A">
                <w:pPr>
                  <w:rPr>
                    <w:rFonts w:ascii="Arial" w:hAnsi="Arial" w:cs="Arial"/>
                    <w:szCs w:val="20"/>
                  </w:rPr>
                </w:pPr>
                <w:r>
                  <w:rPr>
                    <w:rFonts w:ascii="MS Gothic" w:eastAsia="MS Gothic" w:hAnsi="MS Gothic" w:cs="Arial" w:hint="eastAsia"/>
                    <w:szCs w:val="20"/>
                  </w:rPr>
                  <w:t>☐</w:t>
                </w:r>
              </w:p>
            </w:tc>
          </w:sdtContent>
        </w:sdt>
        <w:tc>
          <w:tcPr>
            <w:tcW w:w="3969" w:type="dxa"/>
          </w:tcPr>
          <w:p w14:paraId="24062AC6" w14:textId="77777777" w:rsidR="00AA4278" w:rsidRDefault="00AA4278" w:rsidP="0092324A">
            <w:pPr>
              <w:rPr>
                <w:rFonts w:ascii="Arial" w:hAnsi="Arial" w:cs="Arial"/>
                <w:szCs w:val="20"/>
              </w:rPr>
            </w:pPr>
          </w:p>
        </w:tc>
        <w:tc>
          <w:tcPr>
            <w:tcW w:w="1183" w:type="dxa"/>
          </w:tcPr>
          <w:p w14:paraId="101E69F7" w14:textId="16FA64FB" w:rsidR="00AA4278" w:rsidRDefault="00AA4278" w:rsidP="0092324A">
            <w:pPr>
              <w:rPr>
                <w:rFonts w:ascii="Arial" w:hAnsi="Arial" w:cs="Arial"/>
                <w:szCs w:val="20"/>
              </w:rPr>
            </w:pPr>
          </w:p>
        </w:tc>
      </w:tr>
      <w:tr w:rsidR="00AA4278" w:rsidRPr="00AE47CA" w14:paraId="50743F9C" w14:textId="1CBF115E" w:rsidTr="00F40716">
        <w:trPr>
          <w:trHeight w:val="1032"/>
        </w:trPr>
        <w:tc>
          <w:tcPr>
            <w:tcW w:w="3243" w:type="dxa"/>
            <w:vMerge w:val="restart"/>
          </w:tcPr>
          <w:p w14:paraId="54C23F58" w14:textId="2668EF23" w:rsidR="00AA4278" w:rsidRPr="003D69DB" w:rsidRDefault="00AA4278" w:rsidP="00884A0E">
            <w:pPr>
              <w:pStyle w:val="ListParagraph"/>
              <w:numPr>
                <w:ilvl w:val="0"/>
                <w:numId w:val="2"/>
              </w:numPr>
              <w:ind w:left="357" w:hanging="357"/>
              <w:textAlignment w:val="baseline"/>
              <w:rPr>
                <w:rFonts w:ascii="Arial" w:eastAsia="Times New Roman" w:hAnsi="Arial" w:cs="Arial"/>
                <w:i/>
                <w:iCs/>
                <w:color w:val="404040"/>
                <w:szCs w:val="20"/>
                <w:bdr w:val="none" w:sz="0" w:space="0" w:color="auto" w:frame="1"/>
                <w:lang w:eastAsia="en-CA"/>
              </w:rPr>
            </w:pPr>
            <w:r w:rsidRPr="003D69DB">
              <w:rPr>
                <w:rFonts w:ascii="Arial" w:eastAsia="Times New Roman" w:hAnsi="Arial" w:cs="Arial"/>
                <w:i/>
                <w:iCs/>
                <w:color w:val="404040"/>
                <w:szCs w:val="20"/>
                <w:bdr w:val="none" w:sz="0" w:space="0" w:color="auto" w:frame="1"/>
                <w:lang w:eastAsia="en-CA"/>
              </w:rPr>
              <w:t xml:space="preserve">Chairs of guideline development groups should have no </w:t>
            </w:r>
            <w:proofErr w:type="gramStart"/>
            <w:r w:rsidRPr="003D69DB">
              <w:rPr>
                <w:rFonts w:ascii="Arial" w:eastAsia="Times New Roman" w:hAnsi="Arial" w:cs="Arial"/>
                <w:i/>
                <w:iCs/>
                <w:color w:val="404040"/>
                <w:szCs w:val="20"/>
                <w:bdr w:val="none" w:sz="0" w:space="0" w:color="auto" w:frame="1"/>
                <w:lang w:eastAsia="en-CA"/>
              </w:rPr>
              <w:t>direct</w:t>
            </w:r>
            <w:proofErr w:type="gramEnd"/>
            <w:r w:rsidRPr="003D69DB">
              <w:rPr>
                <w:rFonts w:ascii="Arial" w:eastAsia="Times New Roman" w:hAnsi="Arial" w:cs="Arial"/>
                <w:i/>
                <w:iCs/>
                <w:color w:val="404040"/>
                <w:szCs w:val="20"/>
                <w:bdr w:val="none" w:sz="0" w:space="0" w:color="auto" w:frame="1"/>
                <w:lang w:eastAsia="en-CA"/>
              </w:rPr>
              <w:t xml:space="preserve"> financial or relevant indirect COIs. When direct or indirect COIs of a chair are unavoidable, a co-chair with no COIs who leads the guideline panel should be appointed.</w:t>
            </w:r>
          </w:p>
        </w:tc>
        <w:tc>
          <w:tcPr>
            <w:tcW w:w="628" w:type="dxa"/>
          </w:tcPr>
          <w:p w14:paraId="67DEA26C" w14:textId="12A6F6B5" w:rsidR="00AA4278" w:rsidRDefault="00AA4278" w:rsidP="008F1DF8">
            <w:pPr>
              <w:rPr>
                <w:rFonts w:ascii="Arial" w:hAnsi="Arial" w:cs="Arial"/>
                <w:szCs w:val="20"/>
              </w:rPr>
            </w:pPr>
            <w:r>
              <w:rPr>
                <w:rFonts w:ascii="Arial" w:hAnsi="Arial" w:cs="Arial"/>
                <w:szCs w:val="20"/>
              </w:rPr>
              <w:t>6a</w:t>
            </w:r>
          </w:p>
        </w:tc>
        <w:tc>
          <w:tcPr>
            <w:tcW w:w="5310" w:type="dxa"/>
          </w:tcPr>
          <w:p w14:paraId="218357DA" w14:textId="4ECDDED6" w:rsidR="00AA4278" w:rsidRDefault="00AA4278" w:rsidP="008F1DF8">
            <w:pPr>
              <w:rPr>
                <w:rFonts w:ascii="Arial" w:hAnsi="Arial" w:cs="Arial"/>
                <w:szCs w:val="20"/>
              </w:rPr>
            </w:pPr>
            <w:r>
              <w:rPr>
                <w:rFonts w:ascii="Arial" w:hAnsi="Arial" w:cs="Arial"/>
                <w:szCs w:val="20"/>
              </w:rPr>
              <w:t>The guideline or published methods of guideline panel indicates that members with COI will not be or were not permitted to chair guideline panels where possible.</w:t>
            </w:r>
          </w:p>
        </w:tc>
        <w:sdt>
          <w:sdtPr>
            <w:rPr>
              <w:rFonts w:ascii="Arial" w:hAnsi="Arial" w:cs="Arial"/>
              <w:szCs w:val="20"/>
            </w:rPr>
            <w:id w:val="284860887"/>
            <w14:checkbox>
              <w14:checked w14:val="0"/>
              <w14:checkedState w14:val="2612" w14:font="MS Gothic"/>
              <w14:uncheckedState w14:val="2610" w14:font="MS Gothic"/>
            </w14:checkbox>
          </w:sdtPr>
          <w:sdtEndPr/>
          <w:sdtContent>
            <w:tc>
              <w:tcPr>
                <w:tcW w:w="459" w:type="dxa"/>
              </w:tcPr>
              <w:p w14:paraId="02305AD4" w14:textId="44FFC7A2" w:rsidR="00AA4278" w:rsidRDefault="00AA4278" w:rsidP="00AC4442">
                <w:pPr>
                  <w:rPr>
                    <w:rFonts w:ascii="Arial" w:hAnsi="Arial" w:cs="Arial"/>
                    <w:szCs w:val="20"/>
                    <w:highlight w:val="yellow"/>
                  </w:rPr>
                </w:pPr>
                <w:r>
                  <w:rPr>
                    <w:rFonts w:ascii="MS Gothic" w:eastAsia="MS Gothic" w:hAnsi="MS Gothic" w:cs="Arial" w:hint="eastAsia"/>
                    <w:szCs w:val="20"/>
                  </w:rPr>
                  <w:t>☐</w:t>
                </w:r>
              </w:p>
            </w:tc>
          </w:sdtContent>
        </w:sdt>
        <w:tc>
          <w:tcPr>
            <w:tcW w:w="3969" w:type="dxa"/>
          </w:tcPr>
          <w:p w14:paraId="14191690" w14:textId="77777777" w:rsidR="00AA4278" w:rsidRDefault="00AA4278" w:rsidP="00AC4442">
            <w:pPr>
              <w:rPr>
                <w:rFonts w:ascii="Arial" w:hAnsi="Arial" w:cs="Arial"/>
                <w:szCs w:val="20"/>
                <w:highlight w:val="yellow"/>
              </w:rPr>
            </w:pPr>
          </w:p>
        </w:tc>
        <w:tc>
          <w:tcPr>
            <w:tcW w:w="1183" w:type="dxa"/>
          </w:tcPr>
          <w:p w14:paraId="6909F353" w14:textId="5C173A9C" w:rsidR="00AA4278" w:rsidRDefault="00AA4278" w:rsidP="00AC4442">
            <w:pPr>
              <w:rPr>
                <w:rFonts w:ascii="Arial" w:hAnsi="Arial" w:cs="Arial"/>
                <w:szCs w:val="20"/>
                <w:highlight w:val="yellow"/>
              </w:rPr>
            </w:pPr>
          </w:p>
        </w:tc>
      </w:tr>
      <w:tr w:rsidR="00AA4278" w:rsidRPr="00AE47CA" w14:paraId="007DB202" w14:textId="77777777" w:rsidTr="00F40716">
        <w:trPr>
          <w:trHeight w:val="1032"/>
        </w:trPr>
        <w:tc>
          <w:tcPr>
            <w:tcW w:w="3243" w:type="dxa"/>
            <w:vMerge/>
          </w:tcPr>
          <w:p w14:paraId="4D5C6B95" w14:textId="77777777" w:rsidR="00AA4278" w:rsidRPr="003D69DB" w:rsidRDefault="00AA4278" w:rsidP="00884A0E">
            <w:pPr>
              <w:pStyle w:val="ListParagraph"/>
              <w:numPr>
                <w:ilvl w:val="0"/>
                <w:numId w:val="2"/>
              </w:numPr>
              <w:ind w:left="357" w:hanging="357"/>
              <w:textAlignment w:val="baseline"/>
              <w:rPr>
                <w:rFonts w:ascii="Arial" w:eastAsia="Times New Roman" w:hAnsi="Arial" w:cs="Arial"/>
                <w:i/>
                <w:iCs/>
                <w:color w:val="404040"/>
                <w:szCs w:val="20"/>
                <w:bdr w:val="none" w:sz="0" w:space="0" w:color="auto" w:frame="1"/>
                <w:lang w:eastAsia="en-CA"/>
              </w:rPr>
            </w:pPr>
          </w:p>
        </w:tc>
        <w:tc>
          <w:tcPr>
            <w:tcW w:w="628" w:type="dxa"/>
          </w:tcPr>
          <w:p w14:paraId="266D5039" w14:textId="2A532B63" w:rsidR="00AA4278" w:rsidRDefault="00AA4278" w:rsidP="008F1DF8">
            <w:pPr>
              <w:rPr>
                <w:rFonts w:ascii="Arial" w:hAnsi="Arial" w:cs="Arial"/>
                <w:szCs w:val="20"/>
              </w:rPr>
            </w:pPr>
            <w:r>
              <w:rPr>
                <w:rFonts w:ascii="Arial" w:hAnsi="Arial" w:cs="Arial"/>
                <w:szCs w:val="20"/>
              </w:rPr>
              <w:t>6b</w:t>
            </w:r>
          </w:p>
        </w:tc>
        <w:tc>
          <w:tcPr>
            <w:tcW w:w="5310" w:type="dxa"/>
          </w:tcPr>
          <w:p w14:paraId="4AAB6BC7" w14:textId="48B99571" w:rsidR="00AA4278" w:rsidRDefault="00AA4278" w:rsidP="008F1DF8">
            <w:pPr>
              <w:rPr>
                <w:rFonts w:ascii="Arial" w:hAnsi="Arial" w:cs="Arial"/>
                <w:szCs w:val="20"/>
              </w:rPr>
            </w:pPr>
            <w:r>
              <w:rPr>
                <w:rFonts w:ascii="Arial" w:hAnsi="Arial" w:cs="Arial"/>
                <w:szCs w:val="20"/>
              </w:rPr>
              <w:t>(If applicable) The guideline indicates that the panel chair had a COI, and that a non-conflicted co-chair was appointed for all meetings/discussions (including name of the co-chair).</w:t>
            </w:r>
          </w:p>
        </w:tc>
        <w:sdt>
          <w:sdtPr>
            <w:rPr>
              <w:rFonts w:ascii="Arial" w:hAnsi="Arial" w:cs="Arial"/>
              <w:szCs w:val="20"/>
            </w:rPr>
            <w:id w:val="555666340"/>
            <w14:checkbox>
              <w14:checked w14:val="0"/>
              <w14:checkedState w14:val="2612" w14:font="MS Gothic"/>
              <w14:uncheckedState w14:val="2610" w14:font="MS Gothic"/>
            </w14:checkbox>
          </w:sdtPr>
          <w:sdtEndPr/>
          <w:sdtContent>
            <w:tc>
              <w:tcPr>
                <w:tcW w:w="459" w:type="dxa"/>
              </w:tcPr>
              <w:p w14:paraId="2D529FAA" w14:textId="22CF5B8B" w:rsidR="00AA4278" w:rsidRDefault="00AA4278" w:rsidP="008F1DF8">
                <w:pPr>
                  <w:rPr>
                    <w:rFonts w:ascii="Arial" w:hAnsi="Arial" w:cs="Arial"/>
                    <w:szCs w:val="20"/>
                  </w:rPr>
                </w:pPr>
                <w:r>
                  <w:rPr>
                    <w:rFonts w:ascii="MS Gothic" w:eastAsia="MS Gothic" w:hAnsi="MS Gothic" w:cs="Arial" w:hint="eastAsia"/>
                    <w:szCs w:val="20"/>
                  </w:rPr>
                  <w:t>☐</w:t>
                </w:r>
              </w:p>
            </w:tc>
          </w:sdtContent>
        </w:sdt>
        <w:tc>
          <w:tcPr>
            <w:tcW w:w="3969" w:type="dxa"/>
          </w:tcPr>
          <w:p w14:paraId="55C40596" w14:textId="77777777" w:rsidR="00AA4278" w:rsidRDefault="00AA4278" w:rsidP="008F1DF8">
            <w:pPr>
              <w:rPr>
                <w:rFonts w:ascii="Arial" w:hAnsi="Arial" w:cs="Arial"/>
                <w:szCs w:val="20"/>
              </w:rPr>
            </w:pPr>
          </w:p>
        </w:tc>
        <w:tc>
          <w:tcPr>
            <w:tcW w:w="1183" w:type="dxa"/>
          </w:tcPr>
          <w:p w14:paraId="6D9822D8" w14:textId="62565E52" w:rsidR="00AA4278" w:rsidRDefault="00AA4278" w:rsidP="008F1DF8">
            <w:pPr>
              <w:rPr>
                <w:rFonts w:ascii="Arial" w:hAnsi="Arial" w:cs="Arial"/>
                <w:szCs w:val="20"/>
              </w:rPr>
            </w:pPr>
          </w:p>
        </w:tc>
      </w:tr>
      <w:tr w:rsidR="00AA4278" w:rsidRPr="00AE47CA" w14:paraId="67D21986" w14:textId="3DC8AF7D" w:rsidTr="00675513">
        <w:trPr>
          <w:trHeight w:val="373"/>
        </w:trPr>
        <w:tc>
          <w:tcPr>
            <w:tcW w:w="3243" w:type="dxa"/>
            <w:vMerge w:val="restart"/>
          </w:tcPr>
          <w:p w14:paraId="2FEBF059" w14:textId="77777777" w:rsidR="00AA4278" w:rsidRPr="000B4125" w:rsidRDefault="00AA4278" w:rsidP="00702C3B">
            <w:pPr>
              <w:pStyle w:val="ListParagraph"/>
              <w:numPr>
                <w:ilvl w:val="0"/>
                <w:numId w:val="2"/>
              </w:numPr>
              <w:spacing w:after="240"/>
              <w:ind w:left="357" w:hanging="357"/>
              <w:textAlignment w:val="baseline"/>
              <w:rPr>
                <w:rFonts w:ascii="Arial" w:eastAsia="Times New Roman" w:hAnsi="Arial" w:cs="Arial"/>
                <w:i/>
                <w:iCs/>
                <w:szCs w:val="20"/>
                <w:bdr w:val="none" w:sz="0" w:space="0" w:color="auto" w:frame="1"/>
                <w:lang w:eastAsia="en-CA"/>
              </w:rPr>
            </w:pPr>
            <w:r w:rsidRPr="000B4125">
              <w:rPr>
                <w:rFonts w:ascii="Arial" w:eastAsia="Times New Roman" w:hAnsi="Arial" w:cs="Arial"/>
                <w:i/>
                <w:iCs/>
                <w:szCs w:val="20"/>
                <w:bdr w:val="none" w:sz="0" w:space="0" w:color="auto" w:frame="1"/>
                <w:lang w:eastAsia="en-CA"/>
              </w:rPr>
              <w:t xml:space="preserve">Experts with relevant </w:t>
            </w:r>
            <w:proofErr w:type="gramStart"/>
            <w:r w:rsidRPr="000B4125">
              <w:rPr>
                <w:rFonts w:ascii="Arial" w:eastAsia="Times New Roman" w:hAnsi="Arial" w:cs="Arial"/>
                <w:i/>
                <w:iCs/>
                <w:szCs w:val="20"/>
                <w:bdr w:val="none" w:sz="0" w:space="0" w:color="auto" w:frame="1"/>
                <w:lang w:eastAsia="en-CA"/>
              </w:rPr>
              <w:t>COIs</w:t>
            </w:r>
            <w:proofErr w:type="gramEnd"/>
            <w:r w:rsidRPr="000B4125">
              <w:rPr>
                <w:rFonts w:ascii="Arial" w:eastAsia="Times New Roman" w:hAnsi="Arial" w:cs="Arial"/>
                <w:i/>
                <w:iCs/>
                <w:szCs w:val="20"/>
                <w:bdr w:val="none" w:sz="0" w:space="0" w:color="auto" w:frame="1"/>
                <w:lang w:eastAsia="en-CA"/>
              </w:rPr>
              <w:t xml:space="preserve"> and specific knowledge or expertise may be permitted to participate in discussion of </w:t>
            </w:r>
            <w:r w:rsidRPr="000B4125">
              <w:rPr>
                <w:rFonts w:ascii="Arial" w:eastAsia="Times New Roman" w:hAnsi="Arial" w:cs="Arial"/>
                <w:i/>
                <w:iCs/>
                <w:szCs w:val="20"/>
                <w:bdr w:val="none" w:sz="0" w:space="0" w:color="auto" w:frame="1"/>
                <w:lang w:eastAsia="en-CA"/>
              </w:rPr>
              <w:lastRenderedPageBreak/>
              <w:t>individual topics, but there should be an appropriate balance of opinion among those sought to provide input.</w:t>
            </w:r>
          </w:p>
          <w:p w14:paraId="558029D7" w14:textId="5AB98441" w:rsidR="00AA4278" w:rsidRPr="00AA7CF7" w:rsidRDefault="00AA4278" w:rsidP="00AA7CF7">
            <w:pPr>
              <w:pStyle w:val="ListParagraph"/>
              <w:spacing w:after="240"/>
              <w:ind w:left="357"/>
              <w:textAlignment w:val="baseline"/>
              <w:rPr>
                <w:rFonts w:ascii="Arial" w:hAnsi="Arial"/>
                <w:bdr w:val="none" w:sz="0" w:space="0" w:color="auto" w:frame="1"/>
              </w:rPr>
            </w:pPr>
          </w:p>
        </w:tc>
        <w:tc>
          <w:tcPr>
            <w:tcW w:w="628" w:type="dxa"/>
          </w:tcPr>
          <w:p w14:paraId="4A34CE05" w14:textId="78F20FC1" w:rsidR="00AA4278" w:rsidRDefault="00AA4278" w:rsidP="00887873">
            <w:pPr>
              <w:rPr>
                <w:rFonts w:ascii="Arial" w:hAnsi="Arial" w:cs="Arial"/>
                <w:szCs w:val="20"/>
              </w:rPr>
            </w:pPr>
            <w:r>
              <w:rPr>
                <w:rFonts w:ascii="Arial" w:hAnsi="Arial" w:cs="Arial"/>
                <w:szCs w:val="20"/>
              </w:rPr>
              <w:lastRenderedPageBreak/>
              <w:t>7a</w:t>
            </w:r>
          </w:p>
        </w:tc>
        <w:tc>
          <w:tcPr>
            <w:tcW w:w="5310" w:type="dxa"/>
          </w:tcPr>
          <w:p w14:paraId="300E513D" w14:textId="77777777" w:rsidR="00AA4278" w:rsidRDefault="00AA4278" w:rsidP="00887873">
            <w:pPr>
              <w:rPr>
                <w:rFonts w:ascii="Arial" w:hAnsi="Arial" w:cs="Arial"/>
                <w:szCs w:val="20"/>
              </w:rPr>
            </w:pPr>
            <w:r>
              <w:rPr>
                <w:rFonts w:ascii="Arial" w:hAnsi="Arial" w:cs="Arial"/>
                <w:szCs w:val="20"/>
              </w:rPr>
              <w:t xml:space="preserve">The guideline or published methods of guideline panel clearly indicates how experts on the panel with COI were balanced by those without COI (e.g., by having </w:t>
            </w:r>
            <w:proofErr w:type="gramStart"/>
            <w:r>
              <w:rPr>
                <w:rFonts w:ascii="Arial" w:hAnsi="Arial" w:cs="Arial"/>
                <w:szCs w:val="20"/>
              </w:rPr>
              <w:t>them</w:t>
            </w:r>
            <w:proofErr w:type="gramEnd"/>
            <w:r>
              <w:rPr>
                <w:rFonts w:ascii="Arial" w:hAnsi="Arial" w:cs="Arial"/>
                <w:szCs w:val="20"/>
              </w:rPr>
              <w:t xml:space="preserve"> represent a minority on the panel, or including additional </w:t>
            </w:r>
            <w:r>
              <w:rPr>
                <w:rFonts w:ascii="Arial" w:hAnsi="Arial" w:cs="Arial"/>
                <w:szCs w:val="20"/>
              </w:rPr>
              <w:lastRenderedPageBreak/>
              <w:t>non-conflicted experts).</w:t>
            </w:r>
          </w:p>
          <w:p w14:paraId="304F6827" w14:textId="06FE6AF9" w:rsidR="00182BC7" w:rsidRDefault="00182BC7" w:rsidP="00887873">
            <w:pPr>
              <w:rPr>
                <w:rFonts w:ascii="Arial" w:hAnsi="Arial" w:cs="Arial"/>
                <w:szCs w:val="20"/>
              </w:rPr>
            </w:pPr>
            <w:r>
              <w:rPr>
                <w:rFonts w:ascii="Arial" w:hAnsi="Arial" w:cs="Arial"/>
                <w:szCs w:val="20"/>
              </w:rPr>
              <w:t>Or</w:t>
            </w:r>
          </w:p>
          <w:p w14:paraId="2407EDC8" w14:textId="695A918B" w:rsidR="00182BC7" w:rsidRDefault="00182BC7" w:rsidP="00887873">
            <w:pPr>
              <w:rPr>
                <w:rFonts w:ascii="Arial" w:hAnsi="Arial" w:cs="Arial"/>
                <w:szCs w:val="20"/>
              </w:rPr>
            </w:pPr>
            <w:r>
              <w:rPr>
                <w:rFonts w:ascii="Arial" w:hAnsi="Arial" w:cs="Arial"/>
                <w:szCs w:val="20"/>
              </w:rPr>
              <w:t xml:space="preserve">How they were designated as expert advisors who are </w:t>
            </w:r>
            <w:proofErr w:type="gramStart"/>
            <w:r>
              <w:rPr>
                <w:rFonts w:ascii="Arial" w:hAnsi="Arial" w:cs="Arial"/>
                <w:szCs w:val="20"/>
              </w:rPr>
              <w:t>not voting nor</w:t>
            </w:r>
            <w:proofErr w:type="gramEnd"/>
            <w:r>
              <w:rPr>
                <w:rFonts w:ascii="Arial" w:hAnsi="Arial" w:cs="Arial"/>
                <w:szCs w:val="20"/>
              </w:rPr>
              <w:t xml:space="preserve"> non-voting panel members.</w:t>
            </w:r>
          </w:p>
        </w:tc>
        <w:sdt>
          <w:sdtPr>
            <w:rPr>
              <w:rFonts w:ascii="Arial" w:hAnsi="Arial" w:cs="Arial"/>
              <w:szCs w:val="20"/>
            </w:rPr>
            <w:id w:val="1284461702"/>
            <w14:checkbox>
              <w14:checked w14:val="0"/>
              <w14:checkedState w14:val="2612" w14:font="MS Gothic"/>
              <w14:uncheckedState w14:val="2610" w14:font="MS Gothic"/>
            </w14:checkbox>
          </w:sdtPr>
          <w:sdtEndPr/>
          <w:sdtContent>
            <w:tc>
              <w:tcPr>
                <w:tcW w:w="459" w:type="dxa"/>
              </w:tcPr>
              <w:p w14:paraId="744F5F4C" w14:textId="2A6D3A4C" w:rsidR="00AA4278" w:rsidRDefault="00AA4278" w:rsidP="00887873">
                <w:pPr>
                  <w:rPr>
                    <w:rFonts w:ascii="Arial" w:hAnsi="Arial" w:cs="Arial"/>
                    <w:szCs w:val="20"/>
                  </w:rPr>
                </w:pPr>
                <w:r>
                  <w:rPr>
                    <w:rFonts w:ascii="MS Gothic" w:eastAsia="MS Gothic" w:hAnsi="MS Gothic" w:cs="Arial" w:hint="eastAsia"/>
                    <w:szCs w:val="20"/>
                  </w:rPr>
                  <w:t>☐</w:t>
                </w:r>
              </w:p>
            </w:tc>
          </w:sdtContent>
        </w:sdt>
        <w:tc>
          <w:tcPr>
            <w:tcW w:w="3969" w:type="dxa"/>
          </w:tcPr>
          <w:p w14:paraId="5C8CFC0F" w14:textId="27AEB480" w:rsidR="00AA4278" w:rsidRDefault="00AA4278" w:rsidP="00887873">
            <w:pPr>
              <w:rPr>
                <w:rFonts w:ascii="Arial" w:hAnsi="Arial" w:cs="Arial"/>
                <w:szCs w:val="20"/>
              </w:rPr>
            </w:pPr>
          </w:p>
        </w:tc>
        <w:tc>
          <w:tcPr>
            <w:tcW w:w="1183" w:type="dxa"/>
          </w:tcPr>
          <w:p w14:paraId="57011D4F" w14:textId="40840743" w:rsidR="00AA4278" w:rsidRDefault="00AA4278" w:rsidP="00887873">
            <w:pPr>
              <w:rPr>
                <w:rFonts w:ascii="Arial" w:hAnsi="Arial" w:cs="Arial"/>
                <w:szCs w:val="20"/>
                <w:highlight w:val="yellow"/>
              </w:rPr>
            </w:pPr>
          </w:p>
        </w:tc>
      </w:tr>
      <w:tr w:rsidR="00AA4278" w:rsidRPr="00AE47CA" w14:paraId="29BF3731" w14:textId="77777777" w:rsidTr="00F40716">
        <w:trPr>
          <w:trHeight w:val="768"/>
        </w:trPr>
        <w:tc>
          <w:tcPr>
            <w:tcW w:w="3243" w:type="dxa"/>
            <w:vMerge/>
          </w:tcPr>
          <w:p w14:paraId="120A7C29" w14:textId="715B7595" w:rsidR="00AA4278" w:rsidRPr="000B4125" w:rsidRDefault="00AA4278" w:rsidP="00702C3B">
            <w:pPr>
              <w:pStyle w:val="ListParagraph"/>
              <w:numPr>
                <w:ilvl w:val="0"/>
                <w:numId w:val="2"/>
              </w:numPr>
              <w:spacing w:after="240"/>
              <w:ind w:left="357" w:hanging="357"/>
              <w:textAlignment w:val="baseline"/>
              <w:rPr>
                <w:rFonts w:ascii="Arial" w:eastAsia="Times New Roman" w:hAnsi="Arial" w:cs="Arial"/>
                <w:i/>
                <w:iCs/>
                <w:szCs w:val="20"/>
                <w:bdr w:val="none" w:sz="0" w:space="0" w:color="auto" w:frame="1"/>
                <w:lang w:eastAsia="en-CA"/>
              </w:rPr>
            </w:pPr>
          </w:p>
        </w:tc>
        <w:tc>
          <w:tcPr>
            <w:tcW w:w="628" w:type="dxa"/>
          </w:tcPr>
          <w:p w14:paraId="363A1FCB" w14:textId="79534829" w:rsidR="00AA4278" w:rsidRDefault="00AA4278" w:rsidP="00887873">
            <w:pPr>
              <w:rPr>
                <w:rFonts w:ascii="Arial" w:hAnsi="Arial" w:cs="Arial"/>
                <w:szCs w:val="20"/>
              </w:rPr>
            </w:pPr>
            <w:r>
              <w:rPr>
                <w:rFonts w:ascii="Arial" w:hAnsi="Arial" w:cs="Arial"/>
                <w:szCs w:val="20"/>
              </w:rPr>
              <w:t>7b</w:t>
            </w:r>
          </w:p>
        </w:tc>
        <w:tc>
          <w:tcPr>
            <w:tcW w:w="5310" w:type="dxa"/>
          </w:tcPr>
          <w:p w14:paraId="6EE26D15" w14:textId="2FE13604" w:rsidR="00AA4278" w:rsidRDefault="00AA4278" w:rsidP="00182BC7">
            <w:pPr>
              <w:rPr>
                <w:rFonts w:ascii="Arial" w:hAnsi="Arial" w:cs="Arial"/>
                <w:szCs w:val="20"/>
              </w:rPr>
            </w:pPr>
            <w:r>
              <w:rPr>
                <w:rFonts w:ascii="Arial" w:hAnsi="Arial" w:cs="Arial"/>
                <w:szCs w:val="20"/>
              </w:rPr>
              <w:t xml:space="preserve">(If applicable) The guideline or published methods of guideline panel indicates how the panel will assess the interests of external </w:t>
            </w:r>
            <w:r w:rsidR="00182BC7">
              <w:rPr>
                <w:rFonts w:ascii="Arial" w:hAnsi="Arial" w:cs="Arial"/>
                <w:szCs w:val="20"/>
              </w:rPr>
              <w:t>advisors</w:t>
            </w:r>
            <w:r>
              <w:rPr>
                <w:rFonts w:ascii="Arial" w:hAnsi="Arial" w:cs="Arial"/>
                <w:szCs w:val="20"/>
              </w:rPr>
              <w:t xml:space="preserve"> providing input </w:t>
            </w:r>
            <w:r w:rsidR="00182BC7">
              <w:rPr>
                <w:rFonts w:ascii="Arial" w:hAnsi="Arial" w:cs="Arial"/>
                <w:szCs w:val="20"/>
              </w:rPr>
              <w:t xml:space="preserve">(as neither voting nor non-voting members) </w:t>
            </w:r>
            <w:r>
              <w:rPr>
                <w:rFonts w:ascii="Arial" w:hAnsi="Arial" w:cs="Arial"/>
                <w:szCs w:val="20"/>
              </w:rPr>
              <w:t>for the presence of COI.</w:t>
            </w:r>
          </w:p>
        </w:tc>
        <w:sdt>
          <w:sdtPr>
            <w:rPr>
              <w:rFonts w:ascii="Arial" w:hAnsi="Arial" w:cs="Arial"/>
              <w:szCs w:val="20"/>
            </w:rPr>
            <w:id w:val="-284971171"/>
            <w14:checkbox>
              <w14:checked w14:val="0"/>
              <w14:checkedState w14:val="2612" w14:font="MS Gothic"/>
              <w14:uncheckedState w14:val="2610" w14:font="MS Gothic"/>
            </w14:checkbox>
          </w:sdtPr>
          <w:sdtEndPr/>
          <w:sdtContent>
            <w:tc>
              <w:tcPr>
                <w:tcW w:w="459" w:type="dxa"/>
              </w:tcPr>
              <w:p w14:paraId="7F7FC3A0" w14:textId="3B62415D" w:rsidR="00AA4278" w:rsidRDefault="00AA4278" w:rsidP="00887873">
                <w:pPr>
                  <w:rPr>
                    <w:rFonts w:ascii="Arial" w:hAnsi="Arial" w:cs="Arial"/>
                    <w:szCs w:val="20"/>
                  </w:rPr>
                </w:pPr>
                <w:r>
                  <w:rPr>
                    <w:rFonts w:ascii="MS Gothic" w:eastAsia="MS Gothic" w:hAnsi="MS Gothic" w:cs="Arial" w:hint="eastAsia"/>
                    <w:szCs w:val="20"/>
                  </w:rPr>
                  <w:t>☐</w:t>
                </w:r>
              </w:p>
            </w:tc>
          </w:sdtContent>
        </w:sdt>
        <w:tc>
          <w:tcPr>
            <w:tcW w:w="3969" w:type="dxa"/>
          </w:tcPr>
          <w:p w14:paraId="6380BAD9" w14:textId="77777777" w:rsidR="00AA4278" w:rsidRDefault="00AA4278" w:rsidP="00887873">
            <w:pPr>
              <w:rPr>
                <w:rFonts w:ascii="Arial" w:hAnsi="Arial" w:cs="Arial"/>
                <w:szCs w:val="20"/>
              </w:rPr>
            </w:pPr>
          </w:p>
        </w:tc>
        <w:tc>
          <w:tcPr>
            <w:tcW w:w="1183" w:type="dxa"/>
          </w:tcPr>
          <w:p w14:paraId="3749EABD" w14:textId="3EE6C5AC" w:rsidR="00AA4278" w:rsidRDefault="00AA4278" w:rsidP="00887873">
            <w:pPr>
              <w:rPr>
                <w:rFonts w:ascii="Arial" w:hAnsi="Arial" w:cs="Arial"/>
                <w:szCs w:val="20"/>
              </w:rPr>
            </w:pPr>
          </w:p>
        </w:tc>
      </w:tr>
      <w:tr w:rsidR="00AA4278" w:rsidRPr="00AE47CA" w14:paraId="55517B9F" w14:textId="77777777" w:rsidTr="00F40716">
        <w:trPr>
          <w:trHeight w:val="768"/>
        </w:trPr>
        <w:tc>
          <w:tcPr>
            <w:tcW w:w="3243" w:type="dxa"/>
            <w:vMerge/>
          </w:tcPr>
          <w:p w14:paraId="27B5272C" w14:textId="77777777" w:rsidR="00AA4278" w:rsidRPr="000B4125" w:rsidRDefault="00AA4278" w:rsidP="00702C3B">
            <w:pPr>
              <w:pStyle w:val="ListParagraph"/>
              <w:numPr>
                <w:ilvl w:val="0"/>
                <w:numId w:val="2"/>
              </w:numPr>
              <w:spacing w:after="240"/>
              <w:ind w:left="357" w:hanging="357"/>
              <w:textAlignment w:val="baseline"/>
              <w:rPr>
                <w:rFonts w:ascii="Arial" w:eastAsia="Times New Roman" w:hAnsi="Arial" w:cs="Arial"/>
                <w:i/>
                <w:iCs/>
                <w:szCs w:val="20"/>
                <w:bdr w:val="none" w:sz="0" w:space="0" w:color="auto" w:frame="1"/>
                <w:lang w:eastAsia="en-CA"/>
              </w:rPr>
            </w:pPr>
          </w:p>
        </w:tc>
        <w:tc>
          <w:tcPr>
            <w:tcW w:w="628" w:type="dxa"/>
          </w:tcPr>
          <w:p w14:paraId="4AFFBD64" w14:textId="0B044010" w:rsidR="00AA4278" w:rsidRDefault="00AA4278" w:rsidP="00887873">
            <w:pPr>
              <w:rPr>
                <w:rFonts w:ascii="Arial" w:hAnsi="Arial" w:cs="Arial"/>
                <w:szCs w:val="20"/>
              </w:rPr>
            </w:pPr>
            <w:r>
              <w:rPr>
                <w:rFonts w:ascii="Arial" w:hAnsi="Arial" w:cs="Arial"/>
                <w:szCs w:val="20"/>
              </w:rPr>
              <w:t>7c</w:t>
            </w:r>
          </w:p>
        </w:tc>
        <w:tc>
          <w:tcPr>
            <w:tcW w:w="5310" w:type="dxa"/>
          </w:tcPr>
          <w:p w14:paraId="50116FBB" w14:textId="06C0570E" w:rsidR="00AA4278" w:rsidRDefault="00AA4278" w:rsidP="00F93984">
            <w:pPr>
              <w:rPr>
                <w:rFonts w:ascii="Arial" w:hAnsi="Arial" w:cs="Arial"/>
                <w:szCs w:val="20"/>
              </w:rPr>
            </w:pPr>
            <w:r>
              <w:rPr>
                <w:rFonts w:ascii="Arial" w:hAnsi="Arial" w:cs="Arial"/>
                <w:szCs w:val="20"/>
              </w:rPr>
              <w:t>(If applicable) The guideline or published methods of guideline panel indicates how the panel will manage the input of external experts with COI, where identified.</w:t>
            </w:r>
          </w:p>
        </w:tc>
        <w:sdt>
          <w:sdtPr>
            <w:rPr>
              <w:rFonts w:ascii="Arial" w:hAnsi="Arial" w:cs="Arial"/>
              <w:szCs w:val="20"/>
            </w:rPr>
            <w:id w:val="1693194050"/>
            <w14:checkbox>
              <w14:checked w14:val="0"/>
              <w14:checkedState w14:val="2612" w14:font="MS Gothic"/>
              <w14:uncheckedState w14:val="2610" w14:font="MS Gothic"/>
            </w14:checkbox>
          </w:sdtPr>
          <w:sdtEndPr/>
          <w:sdtContent>
            <w:tc>
              <w:tcPr>
                <w:tcW w:w="459" w:type="dxa"/>
              </w:tcPr>
              <w:p w14:paraId="47F840EF" w14:textId="7AD2D66A" w:rsidR="00AA4278" w:rsidRDefault="00AA4278" w:rsidP="00887873">
                <w:pPr>
                  <w:rPr>
                    <w:rFonts w:ascii="Arial" w:hAnsi="Arial" w:cs="Arial"/>
                    <w:szCs w:val="20"/>
                  </w:rPr>
                </w:pPr>
                <w:r>
                  <w:rPr>
                    <w:rFonts w:ascii="MS Gothic" w:eastAsia="MS Gothic" w:hAnsi="MS Gothic" w:cs="Arial" w:hint="eastAsia"/>
                    <w:szCs w:val="20"/>
                  </w:rPr>
                  <w:t>☐</w:t>
                </w:r>
              </w:p>
            </w:tc>
          </w:sdtContent>
        </w:sdt>
        <w:tc>
          <w:tcPr>
            <w:tcW w:w="3969" w:type="dxa"/>
          </w:tcPr>
          <w:p w14:paraId="19DFEF29" w14:textId="77777777" w:rsidR="00AA4278" w:rsidRDefault="00AA4278" w:rsidP="00887873">
            <w:pPr>
              <w:rPr>
                <w:rFonts w:ascii="Arial" w:hAnsi="Arial" w:cs="Arial"/>
                <w:szCs w:val="20"/>
              </w:rPr>
            </w:pPr>
          </w:p>
        </w:tc>
        <w:tc>
          <w:tcPr>
            <w:tcW w:w="1183" w:type="dxa"/>
          </w:tcPr>
          <w:p w14:paraId="6BAC8AB0" w14:textId="74ED3463" w:rsidR="00AA4278" w:rsidRDefault="00AA4278" w:rsidP="00887873">
            <w:pPr>
              <w:rPr>
                <w:rFonts w:ascii="Arial" w:hAnsi="Arial" w:cs="Arial"/>
                <w:szCs w:val="20"/>
              </w:rPr>
            </w:pPr>
          </w:p>
        </w:tc>
      </w:tr>
      <w:tr w:rsidR="00AA4278" w:rsidRPr="00AE47CA" w14:paraId="7D01E696" w14:textId="60CE43CD" w:rsidTr="00F40716">
        <w:trPr>
          <w:trHeight w:val="1614"/>
        </w:trPr>
        <w:tc>
          <w:tcPr>
            <w:tcW w:w="3243" w:type="dxa"/>
            <w:vMerge w:val="restart"/>
          </w:tcPr>
          <w:p w14:paraId="2C5ACE17" w14:textId="1BC00AD7" w:rsidR="00AA4278" w:rsidRPr="000B4125" w:rsidRDefault="00AA4278" w:rsidP="00702C3B">
            <w:pPr>
              <w:pStyle w:val="ListParagraph"/>
              <w:numPr>
                <w:ilvl w:val="0"/>
                <w:numId w:val="2"/>
              </w:numPr>
              <w:spacing w:after="240"/>
              <w:ind w:left="357" w:hanging="357"/>
              <w:textAlignment w:val="baseline"/>
              <w:rPr>
                <w:rFonts w:ascii="Arial" w:eastAsia="Times New Roman" w:hAnsi="Arial" w:cs="Arial"/>
                <w:i/>
                <w:iCs/>
                <w:color w:val="404040"/>
                <w:szCs w:val="20"/>
                <w:bdr w:val="none" w:sz="0" w:space="0" w:color="auto" w:frame="1"/>
                <w:lang w:eastAsia="en-CA"/>
              </w:rPr>
            </w:pPr>
            <w:r w:rsidRPr="000B4125">
              <w:rPr>
                <w:rFonts w:ascii="Arial" w:eastAsia="Times New Roman" w:hAnsi="Arial" w:cs="Arial"/>
                <w:i/>
                <w:iCs/>
                <w:color w:val="404040"/>
                <w:szCs w:val="20"/>
                <w:bdr w:val="none" w:sz="0" w:space="0" w:color="auto" w:frame="1"/>
                <w:lang w:eastAsia="en-CA"/>
              </w:rPr>
              <w:t>No member of the guideline development group deciding about the direction or strength of a recommendation should have a direct financial COI.</w:t>
            </w:r>
          </w:p>
          <w:p w14:paraId="66EC8BE7" w14:textId="77777777" w:rsidR="00AA4278" w:rsidRPr="000B4125" w:rsidRDefault="00AA4278" w:rsidP="00702C3B">
            <w:pPr>
              <w:pStyle w:val="ListParagraph"/>
              <w:spacing w:after="240"/>
              <w:ind w:left="357"/>
              <w:textAlignment w:val="baseline"/>
              <w:rPr>
                <w:rFonts w:ascii="Arial" w:eastAsia="Times New Roman" w:hAnsi="Arial" w:cs="Arial"/>
                <w:i/>
                <w:iCs/>
                <w:color w:val="404040"/>
                <w:szCs w:val="20"/>
                <w:bdr w:val="none" w:sz="0" w:space="0" w:color="auto" w:frame="1"/>
                <w:lang w:eastAsia="en-CA"/>
              </w:rPr>
            </w:pPr>
          </w:p>
          <w:p w14:paraId="2328DC38" w14:textId="1A1390DA" w:rsidR="00AA4278" w:rsidRPr="00AA7CF7" w:rsidRDefault="00AA4278" w:rsidP="00AA7CF7">
            <w:pPr>
              <w:pStyle w:val="ListParagraph"/>
              <w:spacing w:after="240"/>
              <w:ind w:left="357"/>
              <w:textAlignment w:val="baseline"/>
              <w:rPr>
                <w:rFonts w:ascii="Arial" w:hAnsi="Arial"/>
                <w:color w:val="404040"/>
                <w:bdr w:val="none" w:sz="0" w:space="0" w:color="auto" w:frame="1"/>
              </w:rPr>
            </w:pPr>
          </w:p>
        </w:tc>
        <w:tc>
          <w:tcPr>
            <w:tcW w:w="628" w:type="dxa"/>
          </w:tcPr>
          <w:p w14:paraId="076C75FC" w14:textId="0A4D0651" w:rsidR="00AA4278" w:rsidRDefault="00AA4278" w:rsidP="00F40716">
            <w:pPr>
              <w:rPr>
                <w:rFonts w:ascii="Arial" w:hAnsi="Arial" w:cs="Arial"/>
                <w:szCs w:val="20"/>
              </w:rPr>
            </w:pPr>
            <w:r>
              <w:rPr>
                <w:rFonts w:ascii="Arial" w:hAnsi="Arial" w:cs="Arial"/>
                <w:szCs w:val="20"/>
              </w:rPr>
              <w:t>8a</w:t>
            </w:r>
          </w:p>
        </w:tc>
        <w:tc>
          <w:tcPr>
            <w:tcW w:w="5310" w:type="dxa"/>
          </w:tcPr>
          <w:p w14:paraId="70B5BEFA" w14:textId="6DE1F9C3" w:rsidR="00AA4278" w:rsidRDefault="00AA4278" w:rsidP="00AC4442">
            <w:pPr>
              <w:rPr>
                <w:rFonts w:ascii="Arial" w:hAnsi="Arial" w:cs="Arial"/>
                <w:szCs w:val="20"/>
              </w:rPr>
            </w:pPr>
            <w:r>
              <w:rPr>
                <w:rFonts w:ascii="Arial" w:hAnsi="Arial" w:cs="Arial"/>
                <w:szCs w:val="20"/>
              </w:rPr>
              <w:t xml:space="preserve">The guideline or published methods of guideline panel indicates that when financial COI is identified </w:t>
            </w:r>
            <w:r w:rsidR="00182BC7">
              <w:rPr>
                <w:rFonts w:ascii="Arial" w:hAnsi="Arial" w:cs="Arial"/>
                <w:szCs w:val="20"/>
              </w:rPr>
              <w:t xml:space="preserve">(in accordance with the definition set out in 2a) </w:t>
            </w:r>
            <w:r>
              <w:rPr>
                <w:rFonts w:ascii="Arial" w:hAnsi="Arial" w:cs="Arial"/>
                <w:szCs w:val="20"/>
              </w:rPr>
              <w:t>for a particular guideline, that the individual with financial COI will, at the minimum, be absent for discussions and voting on the direction and strength of recommendations.</w:t>
            </w:r>
          </w:p>
        </w:tc>
        <w:sdt>
          <w:sdtPr>
            <w:rPr>
              <w:rFonts w:ascii="Arial" w:hAnsi="Arial" w:cs="Arial"/>
              <w:szCs w:val="20"/>
            </w:rPr>
            <w:id w:val="-1826878874"/>
            <w14:checkbox>
              <w14:checked w14:val="0"/>
              <w14:checkedState w14:val="2612" w14:font="MS Gothic"/>
              <w14:uncheckedState w14:val="2610" w14:font="MS Gothic"/>
            </w14:checkbox>
          </w:sdtPr>
          <w:sdtEndPr/>
          <w:sdtContent>
            <w:tc>
              <w:tcPr>
                <w:tcW w:w="459" w:type="dxa"/>
              </w:tcPr>
              <w:p w14:paraId="321847F0" w14:textId="005290F0" w:rsidR="00AA4278" w:rsidRPr="00F40716" w:rsidRDefault="00AA4278" w:rsidP="00F40716">
                <w:pPr>
                  <w:rPr>
                    <w:rFonts w:ascii="Arial" w:hAnsi="Arial" w:cs="Arial"/>
                    <w:szCs w:val="20"/>
                  </w:rPr>
                </w:pPr>
                <w:r>
                  <w:rPr>
                    <w:rFonts w:ascii="MS Gothic" w:eastAsia="MS Gothic" w:hAnsi="MS Gothic" w:cs="Arial" w:hint="eastAsia"/>
                    <w:szCs w:val="20"/>
                  </w:rPr>
                  <w:t>☐</w:t>
                </w:r>
              </w:p>
            </w:tc>
          </w:sdtContent>
        </w:sdt>
        <w:tc>
          <w:tcPr>
            <w:tcW w:w="3969" w:type="dxa"/>
          </w:tcPr>
          <w:p w14:paraId="61B35CB6" w14:textId="38F88BCF" w:rsidR="00AA4278" w:rsidRDefault="00AA4278" w:rsidP="00AC4442">
            <w:pPr>
              <w:rPr>
                <w:rFonts w:ascii="Arial" w:hAnsi="Arial" w:cs="Arial"/>
                <w:szCs w:val="20"/>
              </w:rPr>
            </w:pPr>
          </w:p>
        </w:tc>
        <w:tc>
          <w:tcPr>
            <w:tcW w:w="1183" w:type="dxa"/>
          </w:tcPr>
          <w:p w14:paraId="640C0316" w14:textId="36E61B99" w:rsidR="00AA4278" w:rsidRDefault="00AA4278" w:rsidP="00AC4442">
            <w:pPr>
              <w:rPr>
                <w:rFonts w:ascii="Arial" w:hAnsi="Arial" w:cs="Arial"/>
                <w:szCs w:val="20"/>
                <w:highlight w:val="yellow"/>
              </w:rPr>
            </w:pPr>
          </w:p>
        </w:tc>
      </w:tr>
      <w:tr w:rsidR="00AA4278" w:rsidRPr="00AE47CA" w14:paraId="6C48E04E" w14:textId="77777777" w:rsidTr="00F40716">
        <w:trPr>
          <w:trHeight w:val="1614"/>
        </w:trPr>
        <w:tc>
          <w:tcPr>
            <w:tcW w:w="3243" w:type="dxa"/>
            <w:vMerge/>
          </w:tcPr>
          <w:p w14:paraId="6F9E3F8A" w14:textId="77777777" w:rsidR="00AA4278" w:rsidRPr="000B4125" w:rsidRDefault="00AA4278" w:rsidP="00702C3B">
            <w:pPr>
              <w:pStyle w:val="ListParagraph"/>
              <w:numPr>
                <w:ilvl w:val="0"/>
                <w:numId w:val="2"/>
              </w:numPr>
              <w:spacing w:after="240"/>
              <w:ind w:left="357" w:hanging="357"/>
              <w:textAlignment w:val="baseline"/>
              <w:rPr>
                <w:rFonts w:ascii="Arial" w:eastAsia="Times New Roman" w:hAnsi="Arial" w:cs="Arial"/>
                <w:i/>
                <w:iCs/>
                <w:color w:val="404040"/>
                <w:szCs w:val="20"/>
                <w:bdr w:val="none" w:sz="0" w:space="0" w:color="auto" w:frame="1"/>
                <w:lang w:eastAsia="en-CA"/>
              </w:rPr>
            </w:pPr>
          </w:p>
        </w:tc>
        <w:tc>
          <w:tcPr>
            <w:tcW w:w="628" w:type="dxa"/>
          </w:tcPr>
          <w:p w14:paraId="53865118" w14:textId="47F8105E" w:rsidR="00AA4278" w:rsidRDefault="00AA4278" w:rsidP="00AC4442">
            <w:pPr>
              <w:rPr>
                <w:rFonts w:ascii="Arial" w:hAnsi="Arial" w:cs="Arial"/>
                <w:szCs w:val="20"/>
              </w:rPr>
            </w:pPr>
            <w:r>
              <w:rPr>
                <w:rFonts w:ascii="Arial" w:hAnsi="Arial" w:cs="Arial"/>
                <w:szCs w:val="20"/>
              </w:rPr>
              <w:t>8b</w:t>
            </w:r>
          </w:p>
        </w:tc>
        <w:tc>
          <w:tcPr>
            <w:tcW w:w="5310" w:type="dxa"/>
          </w:tcPr>
          <w:p w14:paraId="04D67664" w14:textId="55338644" w:rsidR="00AA4278" w:rsidRDefault="00AA4278" w:rsidP="00AC4442">
            <w:pPr>
              <w:rPr>
                <w:rFonts w:ascii="Arial" w:hAnsi="Arial" w:cs="Arial"/>
                <w:szCs w:val="20"/>
              </w:rPr>
            </w:pPr>
            <w:r>
              <w:rPr>
                <w:rFonts w:ascii="Arial" w:hAnsi="Arial" w:cs="Arial"/>
                <w:szCs w:val="20"/>
              </w:rPr>
              <w:t>The guideline document clearly indicates (if applicable) members who have financial COI</w:t>
            </w:r>
            <w:r w:rsidR="00182BC7">
              <w:rPr>
                <w:rFonts w:ascii="Arial" w:hAnsi="Arial" w:cs="Arial"/>
                <w:szCs w:val="20"/>
              </w:rPr>
              <w:t xml:space="preserve"> (in accordance with the definition set out in 2a)</w:t>
            </w:r>
            <w:r>
              <w:rPr>
                <w:rFonts w:ascii="Arial" w:hAnsi="Arial" w:cs="Arial"/>
                <w:szCs w:val="20"/>
              </w:rPr>
              <w:t xml:space="preserve">, and how their involvement was managed (e.g., by having them absent from discussions and voting on direction and strength of recommendations). </w:t>
            </w:r>
          </w:p>
          <w:p w14:paraId="62E1D7EA" w14:textId="424AF123" w:rsidR="00AA4278" w:rsidRPr="00F40716" w:rsidRDefault="00AA4278" w:rsidP="00F40716">
            <w:pPr>
              <w:pStyle w:val="ListParagraph"/>
              <w:numPr>
                <w:ilvl w:val="0"/>
                <w:numId w:val="5"/>
              </w:numPr>
              <w:rPr>
                <w:rFonts w:ascii="Arial" w:hAnsi="Arial" w:cs="Arial"/>
                <w:szCs w:val="20"/>
              </w:rPr>
            </w:pPr>
            <w:r w:rsidRPr="00F40716">
              <w:rPr>
                <w:rFonts w:ascii="Arial" w:hAnsi="Arial" w:cs="Arial"/>
                <w:szCs w:val="20"/>
              </w:rPr>
              <w:t>Specific individual instances of recusal need not be noted, but it should be specified exactly how exclusion from discussions and voting was carried out (e.g., the member did not call in to teleconferences, and left the room during relevant in-person discussion)</w:t>
            </w:r>
            <w:r>
              <w:rPr>
                <w:rFonts w:ascii="Arial" w:hAnsi="Arial" w:cs="Arial"/>
                <w:szCs w:val="20"/>
              </w:rPr>
              <w:t>.</w:t>
            </w:r>
          </w:p>
        </w:tc>
        <w:sdt>
          <w:sdtPr>
            <w:rPr>
              <w:rFonts w:ascii="Arial" w:hAnsi="Arial" w:cs="Arial"/>
              <w:szCs w:val="20"/>
            </w:rPr>
            <w:id w:val="-1420325960"/>
            <w14:checkbox>
              <w14:checked w14:val="0"/>
              <w14:checkedState w14:val="2612" w14:font="MS Gothic"/>
              <w14:uncheckedState w14:val="2610" w14:font="MS Gothic"/>
            </w14:checkbox>
          </w:sdtPr>
          <w:sdtEndPr/>
          <w:sdtContent>
            <w:tc>
              <w:tcPr>
                <w:tcW w:w="459" w:type="dxa"/>
              </w:tcPr>
              <w:p w14:paraId="0D250FD1" w14:textId="416C1748" w:rsidR="00AA4278" w:rsidRDefault="00AA4278" w:rsidP="00AC4442">
                <w:pPr>
                  <w:rPr>
                    <w:rFonts w:ascii="Arial" w:hAnsi="Arial" w:cs="Arial"/>
                    <w:szCs w:val="20"/>
                  </w:rPr>
                </w:pPr>
                <w:r>
                  <w:rPr>
                    <w:rFonts w:ascii="MS Gothic" w:eastAsia="MS Gothic" w:hAnsi="MS Gothic" w:cs="Arial" w:hint="eastAsia"/>
                    <w:szCs w:val="20"/>
                  </w:rPr>
                  <w:t>☐</w:t>
                </w:r>
              </w:p>
            </w:tc>
          </w:sdtContent>
        </w:sdt>
        <w:tc>
          <w:tcPr>
            <w:tcW w:w="3969" w:type="dxa"/>
          </w:tcPr>
          <w:p w14:paraId="61DC764D" w14:textId="77777777" w:rsidR="00AA4278" w:rsidRDefault="00AA4278" w:rsidP="00AC4442">
            <w:pPr>
              <w:rPr>
                <w:rFonts w:ascii="Arial" w:hAnsi="Arial" w:cs="Arial"/>
                <w:szCs w:val="20"/>
              </w:rPr>
            </w:pPr>
          </w:p>
        </w:tc>
        <w:tc>
          <w:tcPr>
            <w:tcW w:w="1183" w:type="dxa"/>
          </w:tcPr>
          <w:p w14:paraId="24F87FBB" w14:textId="4178D4BE" w:rsidR="00AA4278" w:rsidRDefault="00AA4278" w:rsidP="00AC4442">
            <w:pPr>
              <w:rPr>
                <w:rFonts w:ascii="Arial" w:hAnsi="Arial" w:cs="Arial"/>
                <w:szCs w:val="20"/>
              </w:rPr>
            </w:pPr>
          </w:p>
        </w:tc>
      </w:tr>
      <w:tr w:rsidR="00AA4278" w:rsidRPr="00AE47CA" w14:paraId="6DFB63CB" w14:textId="3BDF473F" w:rsidTr="00730BC3">
        <w:trPr>
          <w:trHeight w:val="459"/>
        </w:trPr>
        <w:tc>
          <w:tcPr>
            <w:tcW w:w="3243" w:type="dxa"/>
            <w:vMerge w:val="restart"/>
          </w:tcPr>
          <w:p w14:paraId="22AB3641" w14:textId="25A06315" w:rsidR="00AA4278" w:rsidRPr="000B4125" w:rsidRDefault="00AA4278" w:rsidP="00AC4442">
            <w:pPr>
              <w:pStyle w:val="ListParagraph"/>
              <w:numPr>
                <w:ilvl w:val="0"/>
                <w:numId w:val="2"/>
              </w:numPr>
              <w:rPr>
                <w:rFonts w:ascii="Arial" w:eastAsia="Times New Roman" w:hAnsi="Arial" w:cs="Arial"/>
                <w:i/>
                <w:iCs/>
                <w:szCs w:val="20"/>
                <w:bdr w:val="none" w:sz="0" w:space="0" w:color="auto" w:frame="1"/>
                <w:lang w:eastAsia="en-CA"/>
              </w:rPr>
            </w:pPr>
            <w:r w:rsidRPr="000B4125">
              <w:rPr>
                <w:rFonts w:ascii="Arial" w:eastAsia="Times New Roman" w:hAnsi="Arial" w:cs="Arial"/>
                <w:i/>
                <w:iCs/>
                <w:szCs w:val="20"/>
                <w:bdr w:val="none" w:sz="0" w:space="0" w:color="auto" w:frame="1"/>
                <w:lang w:eastAsia="en-CA"/>
              </w:rPr>
              <w:t>An oversight committee should be responsible for developing and implementing rules related to COIs.</w:t>
            </w:r>
          </w:p>
          <w:p w14:paraId="308AD40E" w14:textId="77777777" w:rsidR="00AA4278" w:rsidRPr="000B4125" w:rsidRDefault="00AA4278" w:rsidP="00AA7CF7">
            <w:pPr>
              <w:pStyle w:val="ListParagraph"/>
              <w:ind w:left="360"/>
              <w:rPr>
                <w:rFonts w:ascii="Arial" w:eastAsia="Times New Roman" w:hAnsi="Arial" w:cs="Arial"/>
                <w:i/>
                <w:iCs/>
                <w:szCs w:val="20"/>
                <w:bdr w:val="none" w:sz="0" w:space="0" w:color="auto" w:frame="1"/>
                <w:lang w:eastAsia="en-CA"/>
              </w:rPr>
            </w:pPr>
          </w:p>
          <w:p w14:paraId="700ED782" w14:textId="66C9D56F" w:rsidR="00AA4278" w:rsidRPr="00AA7CF7" w:rsidRDefault="00AA4278" w:rsidP="00AA7CF7">
            <w:pPr>
              <w:pStyle w:val="ListParagraph"/>
              <w:ind w:left="360"/>
              <w:rPr>
                <w:rFonts w:ascii="Arial" w:hAnsi="Arial"/>
                <w:bdr w:val="none" w:sz="0" w:space="0" w:color="auto" w:frame="1"/>
              </w:rPr>
            </w:pPr>
          </w:p>
        </w:tc>
        <w:tc>
          <w:tcPr>
            <w:tcW w:w="628" w:type="dxa"/>
          </w:tcPr>
          <w:p w14:paraId="6B7D48B7" w14:textId="38710EA3" w:rsidR="00AA4278" w:rsidRPr="00730BC3" w:rsidRDefault="00AA4278" w:rsidP="00730BC3">
            <w:pPr>
              <w:rPr>
                <w:rFonts w:ascii="Arial" w:hAnsi="Arial" w:cs="Arial"/>
                <w:szCs w:val="20"/>
              </w:rPr>
            </w:pPr>
            <w:r>
              <w:rPr>
                <w:rFonts w:ascii="Arial" w:hAnsi="Arial" w:cs="Arial"/>
                <w:szCs w:val="20"/>
              </w:rPr>
              <w:t>9a</w:t>
            </w:r>
          </w:p>
        </w:tc>
        <w:tc>
          <w:tcPr>
            <w:tcW w:w="5310" w:type="dxa"/>
          </w:tcPr>
          <w:p w14:paraId="2DB61D16" w14:textId="0E5D11A0" w:rsidR="00AA4278" w:rsidRPr="00730BC3" w:rsidRDefault="00AA4278" w:rsidP="00730BC3">
            <w:pPr>
              <w:rPr>
                <w:rFonts w:ascii="Arial" w:hAnsi="Arial" w:cs="Arial"/>
                <w:szCs w:val="20"/>
              </w:rPr>
            </w:pPr>
            <w:r w:rsidRPr="00730BC3">
              <w:rPr>
                <w:rFonts w:ascii="Arial" w:hAnsi="Arial" w:cs="Arial"/>
                <w:szCs w:val="20"/>
              </w:rPr>
              <w:t xml:space="preserve">The group clearly indicates in the guideline or methods documents who </w:t>
            </w:r>
            <w:r w:rsidR="006B00F4">
              <w:rPr>
                <w:rFonts w:ascii="Arial" w:hAnsi="Arial" w:cs="Arial"/>
                <w:szCs w:val="20"/>
              </w:rPr>
              <w:t>is responsible for reviewing</w:t>
            </w:r>
            <w:r w:rsidRPr="00730BC3">
              <w:rPr>
                <w:rFonts w:ascii="Arial" w:hAnsi="Arial" w:cs="Arial"/>
                <w:szCs w:val="20"/>
              </w:rPr>
              <w:t xml:space="preserve"> DOI forms to determine if COI is present</w:t>
            </w:r>
            <w:r w:rsidR="006B00F4">
              <w:rPr>
                <w:rFonts w:ascii="Arial" w:hAnsi="Arial" w:cs="Arial"/>
                <w:szCs w:val="20"/>
              </w:rPr>
              <w:t xml:space="preserve"> (i.e., who comprises the oversight committee)</w:t>
            </w:r>
            <w:r>
              <w:rPr>
                <w:rFonts w:ascii="Arial" w:hAnsi="Arial" w:cs="Arial"/>
                <w:szCs w:val="20"/>
              </w:rPr>
              <w:t>.</w:t>
            </w:r>
          </w:p>
          <w:p w14:paraId="70B85AB8" w14:textId="77777777" w:rsidR="00AA4278" w:rsidRPr="00730BC3" w:rsidRDefault="00AA4278" w:rsidP="00730BC3">
            <w:pPr>
              <w:rPr>
                <w:rFonts w:ascii="Arial" w:hAnsi="Arial" w:cs="Arial"/>
                <w:szCs w:val="20"/>
              </w:rPr>
            </w:pPr>
          </w:p>
        </w:tc>
        <w:sdt>
          <w:sdtPr>
            <w:rPr>
              <w:rFonts w:ascii="Arial" w:hAnsi="Arial" w:cs="Arial"/>
              <w:szCs w:val="20"/>
            </w:rPr>
            <w:id w:val="-1362427124"/>
            <w14:checkbox>
              <w14:checked w14:val="0"/>
              <w14:checkedState w14:val="2612" w14:font="MS Gothic"/>
              <w14:uncheckedState w14:val="2610" w14:font="MS Gothic"/>
            </w14:checkbox>
          </w:sdtPr>
          <w:sdtEndPr/>
          <w:sdtContent>
            <w:tc>
              <w:tcPr>
                <w:tcW w:w="459" w:type="dxa"/>
              </w:tcPr>
              <w:p w14:paraId="4BEA25C9" w14:textId="66710A6F" w:rsidR="00AA4278" w:rsidRPr="00730BC3" w:rsidRDefault="00AA4278" w:rsidP="008F1DF8">
                <w:pPr>
                  <w:rPr>
                    <w:rFonts w:ascii="Arial" w:hAnsi="Arial" w:cs="Arial"/>
                    <w:szCs w:val="20"/>
                  </w:rPr>
                </w:pPr>
                <w:r>
                  <w:rPr>
                    <w:rFonts w:ascii="MS Gothic" w:eastAsia="MS Gothic" w:hAnsi="MS Gothic" w:cs="Arial" w:hint="eastAsia"/>
                    <w:szCs w:val="20"/>
                  </w:rPr>
                  <w:t>☐</w:t>
                </w:r>
              </w:p>
            </w:tc>
          </w:sdtContent>
        </w:sdt>
        <w:tc>
          <w:tcPr>
            <w:tcW w:w="3969" w:type="dxa"/>
          </w:tcPr>
          <w:p w14:paraId="658F196B" w14:textId="3DCF11C9" w:rsidR="00AA4278" w:rsidRPr="00730BC3" w:rsidRDefault="00AA4278" w:rsidP="008F1DF8">
            <w:pPr>
              <w:rPr>
                <w:rFonts w:ascii="Arial" w:hAnsi="Arial" w:cs="Arial"/>
                <w:szCs w:val="20"/>
              </w:rPr>
            </w:pPr>
          </w:p>
        </w:tc>
        <w:tc>
          <w:tcPr>
            <w:tcW w:w="1183" w:type="dxa"/>
          </w:tcPr>
          <w:p w14:paraId="7FBD1712" w14:textId="710194FC" w:rsidR="00AA4278" w:rsidRDefault="00AA4278" w:rsidP="00AC4442">
            <w:pPr>
              <w:rPr>
                <w:rFonts w:ascii="Arial" w:hAnsi="Arial" w:cs="Arial"/>
                <w:szCs w:val="20"/>
                <w:highlight w:val="yellow"/>
              </w:rPr>
            </w:pPr>
          </w:p>
        </w:tc>
      </w:tr>
      <w:tr w:rsidR="00AA4278" w:rsidRPr="00AE47CA" w14:paraId="23353096" w14:textId="77777777" w:rsidTr="00730BC3">
        <w:trPr>
          <w:trHeight w:val="459"/>
        </w:trPr>
        <w:tc>
          <w:tcPr>
            <w:tcW w:w="3243" w:type="dxa"/>
            <w:vMerge/>
          </w:tcPr>
          <w:p w14:paraId="0D6A6C1C" w14:textId="77777777" w:rsidR="00AA4278" w:rsidRPr="000B4125" w:rsidRDefault="00AA4278" w:rsidP="00AC4442">
            <w:pPr>
              <w:pStyle w:val="ListParagraph"/>
              <w:numPr>
                <w:ilvl w:val="0"/>
                <w:numId w:val="2"/>
              </w:numPr>
              <w:rPr>
                <w:rFonts w:ascii="Arial" w:eastAsia="Times New Roman" w:hAnsi="Arial" w:cs="Arial"/>
                <w:i/>
                <w:iCs/>
                <w:szCs w:val="20"/>
                <w:bdr w:val="none" w:sz="0" w:space="0" w:color="auto" w:frame="1"/>
                <w:lang w:eastAsia="en-CA"/>
              </w:rPr>
            </w:pPr>
          </w:p>
        </w:tc>
        <w:tc>
          <w:tcPr>
            <w:tcW w:w="628" w:type="dxa"/>
          </w:tcPr>
          <w:p w14:paraId="5A1AF93D" w14:textId="644B4AD8" w:rsidR="00AA4278" w:rsidRPr="00730BC3" w:rsidRDefault="00AA4278" w:rsidP="00AC4442">
            <w:pPr>
              <w:rPr>
                <w:rFonts w:ascii="Arial" w:hAnsi="Arial" w:cs="Arial"/>
                <w:szCs w:val="20"/>
              </w:rPr>
            </w:pPr>
            <w:r>
              <w:rPr>
                <w:rFonts w:ascii="Arial" w:hAnsi="Arial" w:cs="Arial"/>
                <w:szCs w:val="20"/>
              </w:rPr>
              <w:t>9b</w:t>
            </w:r>
          </w:p>
        </w:tc>
        <w:tc>
          <w:tcPr>
            <w:tcW w:w="5310" w:type="dxa"/>
          </w:tcPr>
          <w:p w14:paraId="2347F900" w14:textId="1FB05FBE" w:rsidR="00AA4278" w:rsidRPr="00730BC3" w:rsidRDefault="00AA4278" w:rsidP="00730BC3">
            <w:pPr>
              <w:rPr>
                <w:rFonts w:ascii="Arial" w:hAnsi="Arial" w:cs="Arial"/>
                <w:szCs w:val="20"/>
              </w:rPr>
            </w:pPr>
            <w:r w:rsidRPr="00730BC3">
              <w:rPr>
                <w:rFonts w:ascii="Arial" w:hAnsi="Arial" w:cs="Arial"/>
                <w:szCs w:val="20"/>
              </w:rPr>
              <w:t>The group clear</w:t>
            </w:r>
            <w:r w:rsidR="006B00F4">
              <w:rPr>
                <w:rFonts w:ascii="Arial" w:hAnsi="Arial" w:cs="Arial"/>
                <w:szCs w:val="20"/>
              </w:rPr>
              <w:t>ly indicates in the guideline or</w:t>
            </w:r>
            <w:r w:rsidRPr="00730BC3">
              <w:rPr>
                <w:rFonts w:ascii="Arial" w:hAnsi="Arial" w:cs="Arial"/>
                <w:szCs w:val="20"/>
              </w:rPr>
              <w:t xml:space="preserve"> methods documents </w:t>
            </w:r>
            <w:proofErr w:type="gramStart"/>
            <w:r w:rsidRPr="00730BC3">
              <w:rPr>
                <w:rFonts w:ascii="Arial" w:hAnsi="Arial" w:cs="Arial"/>
                <w:szCs w:val="20"/>
              </w:rPr>
              <w:t>who</w:t>
            </w:r>
            <w:proofErr w:type="gramEnd"/>
            <w:r w:rsidRPr="00730BC3">
              <w:rPr>
                <w:rFonts w:ascii="Arial" w:hAnsi="Arial" w:cs="Arial"/>
                <w:szCs w:val="20"/>
              </w:rPr>
              <w:t xml:space="preserve"> is responsible for determining </w:t>
            </w:r>
            <w:r w:rsidR="006B00F4">
              <w:rPr>
                <w:rFonts w:ascii="Arial" w:hAnsi="Arial" w:cs="Arial"/>
                <w:szCs w:val="20"/>
              </w:rPr>
              <w:t xml:space="preserve">the </w:t>
            </w:r>
            <w:r w:rsidRPr="00730BC3">
              <w:rPr>
                <w:rFonts w:ascii="Arial" w:hAnsi="Arial" w:cs="Arial"/>
                <w:szCs w:val="20"/>
              </w:rPr>
              <w:t>management of COI</w:t>
            </w:r>
            <w:r w:rsidR="006B00F4">
              <w:rPr>
                <w:rFonts w:ascii="Arial" w:hAnsi="Arial" w:cs="Arial"/>
                <w:szCs w:val="20"/>
              </w:rPr>
              <w:t>, when identified</w:t>
            </w:r>
            <w:r>
              <w:rPr>
                <w:rFonts w:ascii="Arial" w:hAnsi="Arial" w:cs="Arial"/>
                <w:szCs w:val="20"/>
              </w:rPr>
              <w:t>.</w:t>
            </w:r>
          </w:p>
          <w:p w14:paraId="57D87E63" w14:textId="77777777" w:rsidR="00AA4278" w:rsidRPr="00730BC3" w:rsidRDefault="00AA4278" w:rsidP="00AC4442">
            <w:pPr>
              <w:rPr>
                <w:rFonts w:ascii="Arial" w:hAnsi="Arial" w:cs="Arial"/>
                <w:szCs w:val="20"/>
              </w:rPr>
            </w:pPr>
          </w:p>
        </w:tc>
        <w:sdt>
          <w:sdtPr>
            <w:rPr>
              <w:rFonts w:ascii="Arial" w:hAnsi="Arial" w:cs="Arial"/>
              <w:szCs w:val="20"/>
            </w:rPr>
            <w:id w:val="1375741467"/>
            <w14:checkbox>
              <w14:checked w14:val="0"/>
              <w14:checkedState w14:val="2612" w14:font="MS Gothic"/>
              <w14:uncheckedState w14:val="2610" w14:font="MS Gothic"/>
            </w14:checkbox>
          </w:sdtPr>
          <w:sdtEndPr/>
          <w:sdtContent>
            <w:tc>
              <w:tcPr>
                <w:tcW w:w="459" w:type="dxa"/>
              </w:tcPr>
              <w:p w14:paraId="27758504" w14:textId="0AD0D148" w:rsidR="00AA4278" w:rsidRPr="00730BC3" w:rsidRDefault="00AA4278" w:rsidP="00AC4442">
                <w:pPr>
                  <w:rPr>
                    <w:rFonts w:ascii="Arial" w:hAnsi="Arial" w:cs="Arial"/>
                    <w:szCs w:val="20"/>
                  </w:rPr>
                </w:pPr>
                <w:r>
                  <w:rPr>
                    <w:rFonts w:ascii="MS Gothic" w:eastAsia="MS Gothic" w:hAnsi="MS Gothic" w:cs="Arial" w:hint="eastAsia"/>
                    <w:szCs w:val="20"/>
                  </w:rPr>
                  <w:t>☐</w:t>
                </w:r>
              </w:p>
            </w:tc>
          </w:sdtContent>
        </w:sdt>
        <w:tc>
          <w:tcPr>
            <w:tcW w:w="3969" w:type="dxa"/>
          </w:tcPr>
          <w:p w14:paraId="627CB741" w14:textId="77777777" w:rsidR="00AA4278" w:rsidRPr="00730BC3" w:rsidRDefault="00AA4278" w:rsidP="00AC4442">
            <w:pPr>
              <w:rPr>
                <w:rFonts w:ascii="Arial" w:hAnsi="Arial" w:cs="Arial"/>
                <w:szCs w:val="20"/>
              </w:rPr>
            </w:pPr>
          </w:p>
        </w:tc>
        <w:tc>
          <w:tcPr>
            <w:tcW w:w="1183" w:type="dxa"/>
          </w:tcPr>
          <w:p w14:paraId="46C23341" w14:textId="6ADDCD54" w:rsidR="00AA4278" w:rsidRPr="00730BC3" w:rsidRDefault="00AA4278" w:rsidP="00AC4442">
            <w:pPr>
              <w:rPr>
                <w:rFonts w:ascii="Arial" w:hAnsi="Arial" w:cs="Arial"/>
                <w:szCs w:val="20"/>
              </w:rPr>
            </w:pPr>
          </w:p>
        </w:tc>
      </w:tr>
      <w:tr w:rsidR="00AA4278" w:rsidRPr="00AE47CA" w14:paraId="2DC144F0" w14:textId="77777777" w:rsidTr="00730BC3">
        <w:trPr>
          <w:trHeight w:val="459"/>
        </w:trPr>
        <w:tc>
          <w:tcPr>
            <w:tcW w:w="3243" w:type="dxa"/>
            <w:vMerge/>
          </w:tcPr>
          <w:p w14:paraId="4A95BA84" w14:textId="77777777" w:rsidR="00AA4278" w:rsidRPr="000B4125" w:rsidRDefault="00AA4278" w:rsidP="00AC4442">
            <w:pPr>
              <w:pStyle w:val="ListParagraph"/>
              <w:numPr>
                <w:ilvl w:val="0"/>
                <w:numId w:val="2"/>
              </w:numPr>
              <w:rPr>
                <w:rFonts w:ascii="Arial" w:eastAsia="Times New Roman" w:hAnsi="Arial" w:cs="Arial"/>
                <w:i/>
                <w:iCs/>
                <w:szCs w:val="20"/>
                <w:bdr w:val="none" w:sz="0" w:space="0" w:color="auto" w:frame="1"/>
                <w:lang w:eastAsia="en-CA"/>
              </w:rPr>
            </w:pPr>
          </w:p>
        </w:tc>
        <w:tc>
          <w:tcPr>
            <w:tcW w:w="628" w:type="dxa"/>
          </w:tcPr>
          <w:p w14:paraId="258E4046" w14:textId="3783332F" w:rsidR="00AA4278" w:rsidRPr="00730BC3" w:rsidRDefault="00AA4278" w:rsidP="00AC4442">
            <w:pPr>
              <w:rPr>
                <w:rFonts w:ascii="Arial" w:hAnsi="Arial" w:cs="Arial"/>
                <w:szCs w:val="20"/>
              </w:rPr>
            </w:pPr>
            <w:r>
              <w:rPr>
                <w:rFonts w:ascii="Arial" w:hAnsi="Arial" w:cs="Arial"/>
                <w:szCs w:val="20"/>
              </w:rPr>
              <w:t>9c</w:t>
            </w:r>
          </w:p>
        </w:tc>
        <w:tc>
          <w:tcPr>
            <w:tcW w:w="5310" w:type="dxa"/>
          </w:tcPr>
          <w:p w14:paraId="5D447BB2" w14:textId="4E37DB12" w:rsidR="00AA4278" w:rsidRPr="00730BC3" w:rsidRDefault="00AA4278" w:rsidP="00AC4442">
            <w:pPr>
              <w:rPr>
                <w:rFonts w:ascii="Arial" w:hAnsi="Arial" w:cs="Arial"/>
                <w:szCs w:val="20"/>
              </w:rPr>
            </w:pPr>
            <w:r w:rsidRPr="00730BC3">
              <w:rPr>
                <w:rFonts w:ascii="Arial" w:hAnsi="Arial" w:cs="Arial"/>
                <w:szCs w:val="20"/>
              </w:rPr>
              <w:t>The group clearly indicates under which circumstances the oversight committee addresses the COI of panelists (e.g., for all cases vs. issue of dispute only)</w:t>
            </w:r>
            <w:r>
              <w:rPr>
                <w:rFonts w:ascii="Arial" w:hAnsi="Arial" w:cs="Arial"/>
                <w:szCs w:val="20"/>
              </w:rPr>
              <w:t>.</w:t>
            </w:r>
          </w:p>
        </w:tc>
        <w:sdt>
          <w:sdtPr>
            <w:rPr>
              <w:rFonts w:ascii="Arial" w:hAnsi="Arial" w:cs="Arial"/>
              <w:szCs w:val="20"/>
            </w:rPr>
            <w:id w:val="267521908"/>
            <w14:checkbox>
              <w14:checked w14:val="0"/>
              <w14:checkedState w14:val="2612" w14:font="MS Gothic"/>
              <w14:uncheckedState w14:val="2610" w14:font="MS Gothic"/>
            </w14:checkbox>
          </w:sdtPr>
          <w:sdtEndPr/>
          <w:sdtContent>
            <w:tc>
              <w:tcPr>
                <w:tcW w:w="459" w:type="dxa"/>
              </w:tcPr>
              <w:p w14:paraId="274A3355" w14:textId="0EA594FE" w:rsidR="00AA4278" w:rsidRPr="00730BC3" w:rsidRDefault="00AA4278" w:rsidP="00AC4442">
                <w:pPr>
                  <w:rPr>
                    <w:rFonts w:ascii="Arial" w:hAnsi="Arial" w:cs="Arial"/>
                    <w:szCs w:val="20"/>
                  </w:rPr>
                </w:pPr>
                <w:r>
                  <w:rPr>
                    <w:rFonts w:ascii="MS Gothic" w:eastAsia="MS Gothic" w:hAnsi="MS Gothic" w:cs="Arial" w:hint="eastAsia"/>
                    <w:szCs w:val="20"/>
                  </w:rPr>
                  <w:t>☐</w:t>
                </w:r>
              </w:p>
            </w:tc>
          </w:sdtContent>
        </w:sdt>
        <w:tc>
          <w:tcPr>
            <w:tcW w:w="3969" w:type="dxa"/>
          </w:tcPr>
          <w:p w14:paraId="64A00B49" w14:textId="77777777" w:rsidR="00AA4278" w:rsidRPr="00730BC3" w:rsidRDefault="00AA4278" w:rsidP="00AC4442">
            <w:pPr>
              <w:rPr>
                <w:rFonts w:ascii="Arial" w:hAnsi="Arial" w:cs="Arial"/>
                <w:szCs w:val="20"/>
              </w:rPr>
            </w:pPr>
          </w:p>
        </w:tc>
        <w:tc>
          <w:tcPr>
            <w:tcW w:w="1183" w:type="dxa"/>
          </w:tcPr>
          <w:p w14:paraId="6D21337D" w14:textId="34651974" w:rsidR="00AA4278" w:rsidRPr="00730BC3" w:rsidRDefault="00AA4278" w:rsidP="00AC4442">
            <w:pPr>
              <w:rPr>
                <w:rFonts w:ascii="Arial" w:hAnsi="Arial" w:cs="Arial"/>
                <w:szCs w:val="20"/>
              </w:rPr>
            </w:pPr>
          </w:p>
        </w:tc>
      </w:tr>
    </w:tbl>
    <w:p w14:paraId="60304619" w14:textId="446A8DD5" w:rsidR="003117EE" w:rsidRDefault="00065E85" w:rsidP="00065E85">
      <w:r>
        <w:lastRenderedPageBreak/>
        <w:t xml:space="preserve">* Adapted from </w:t>
      </w:r>
      <w:proofErr w:type="spellStart"/>
      <w:r w:rsidRPr="00065E85">
        <w:t>Schünemann</w:t>
      </w:r>
      <w:proofErr w:type="spellEnd"/>
      <w:r w:rsidRPr="00065E85">
        <w:t xml:space="preserve"> H, Al-</w:t>
      </w:r>
      <w:proofErr w:type="spellStart"/>
      <w:r w:rsidRPr="00065E85">
        <w:t>Ansary</w:t>
      </w:r>
      <w:proofErr w:type="spellEnd"/>
      <w:r w:rsidRPr="00065E85">
        <w:t xml:space="preserve">, LA, </w:t>
      </w:r>
      <w:proofErr w:type="spellStart"/>
      <w:r w:rsidRPr="00065E85">
        <w:t>Forland</w:t>
      </w:r>
      <w:proofErr w:type="spellEnd"/>
      <w:r w:rsidRPr="00065E85">
        <w:t xml:space="preserve"> F, et al. Guidelines international network: Principles for disclosure of interests and management of conflicts in guidelines. Ann Intern Med. 2015</w:t>
      </w:r>
      <w:proofErr w:type="gramStart"/>
      <w:r w:rsidRPr="00065E85">
        <w:t>;163:548</w:t>
      </w:r>
      <w:proofErr w:type="gramEnd"/>
      <w:r w:rsidRPr="00065E85">
        <w:t>-55</w:t>
      </w:r>
    </w:p>
    <w:sectPr w:rsidR="003117EE" w:rsidSect="00405112">
      <w:pgSz w:w="15840" w:h="12240" w:orient="landscape" w:code="1"/>
      <w:pgMar w:top="720" w:right="720" w:bottom="720" w:left="72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Gregory Traversy" w:date="2019-12-16T17:27:00Z" w:initials="GT">
    <w:p w14:paraId="666F376D" w14:textId="2631854D" w:rsidR="00DD54EE" w:rsidRPr="00DD54EE" w:rsidRDefault="00DD54EE">
      <w:pPr>
        <w:pStyle w:val="CommentText"/>
        <w:rPr>
          <w:b/>
        </w:rPr>
      </w:pPr>
      <w:r>
        <w:rPr>
          <w:rStyle w:val="CommentReference"/>
        </w:rPr>
        <w:annotationRef/>
      </w:r>
      <w:r w:rsidRPr="00DD54EE">
        <w:rPr>
          <w:b/>
        </w:rPr>
        <w:t>Question for consideration:</w:t>
      </w:r>
    </w:p>
    <w:p w14:paraId="295B1496" w14:textId="77777777" w:rsidR="00DD54EE" w:rsidRDefault="00DD54EE">
      <w:pPr>
        <w:pStyle w:val="CommentText"/>
      </w:pPr>
    </w:p>
    <w:p w14:paraId="54D3A766" w14:textId="7793C612" w:rsidR="00DD54EE" w:rsidRDefault="00DD54EE">
      <w:pPr>
        <w:pStyle w:val="CommentText"/>
      </w:pPr>
      <w:r>
        <w:t>To what degree should this focus exclusively on GIN versus also inc</w:t>
      </w:r>
      <w:r w:rsidR="007B626B">
        <w:t>luded elements required by CMAJ beyond GIN?</w:t>
      </w:r>
      <w:bookmarkStart w:id="1" w:name="_GoBack"/>
      <w:bookmarkEnd w:id="1"/>
    </w:p>
  </w:comment>
  <w:comment w:id="2" w:author="Gregory Traversy" w:date="2019-12-16T17:19:00Z" w:initials="GT">
    <w:p w14:paraId="07300EB6" w14:textId="21C224E6" w:rsidR="00182BC7" w:rsidRDefault="00182BC7">
      <w:pPr>
        <w:pStyle w:val="CommentText"/>
      </w:pPr>
      <w:r>
        <w:rPr>
          <w:rStyle w:val="CommentReference"/>
        </w:rPr>
        <w:annotationRef/>
      </w:r>
      <w:r>
        <w:t xml:space="preserve">Including as </w:t>
      </w:r>
      <w:proofErr w:type="spellStart"/>
      <w:r>
        <w:t>pecific</w:t>
      </w:r>
      <w:proofErr w:type="spellEnd"/>
      <w:r>
        <w:t xml:space="preserve"> section in the guideline is not necessarily a GIN requirement (could publish online, for example), but is a CMAJ requirement.</w:t>
      </w:r>
    </w:p>
  </w:comment>
  <w:comment w:id="3" w:author="Gregory Traversy" w:date="2019-12-16T17:18:00Z" w:initials="GT">
    <w:p w14:paraId="5C0068B3" w14:textId="008EF3EA" w:rsidR="00182BC7" w:rsidRDefault="00182BC7">
      <w:pPr>
        <w:pStyle w:val="CommentText"/>
      </w:pPr>
      <w:r>
        <w:rPr>
          <w:rStyle w:val="CommentReference"/>
        </w:rPr>
        <w:annotationRef/>
      </w:r>
      <w:r>
        <w:t>May be duplicative of principle 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424D37" w15:done="0"/>
  <w15:commentEx w15:paraId="46C9593D" w15:done="0"/>
  <w15:commentEx w15:paraId="024AF4FB" w15:done="0"/>
  <w15:commentEx w15:paraId="6D257670" w15:done="0"/>
  <w15:commentEx w15:paraId="59B88CDB" w15:done="0"/>
  <w15:commentEx w15:paraId="258183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424D37" w16cid:durableId="2157DC65"/>
  <w16cid:commentId w16cid:paraId="46C9593D" w16cid:durableId="2157DC66"/>
  <w16cid:commentId w16cid:paraId="024AF4FB" w16cid:durableId="2157DC67"/>
  <w16cid:commentId w16cid:paraId="6D257670" w16cid:durableId="2157DC6B"/>
  <w16cid:commentId w16cid:paraId="59B88CDB" w16cid:durableId="2157DC6C"/>
  <w16cid:commentId w16cid:paraId="2581830B" w16cid:durableId="2157DC6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71388"/>
    <w:multiLevelType w:val="hybridMultilevel"/>
    <w:tmpl w:val="AF1A296C"/>
    <w:lvl w:ilvl="0" w:tplc="89061068">
      <w:start w:val="45"/>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B085014"/>
    <w:multiLevelType w:val="hybridMultilevel"/>
    <w:tmpl w:val="C952DF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3FE212EF"/>
    <w:multiLevelType w:val="hybridMultilevel"/>
    <w:tmpl w:val="FFAE76AE"/>
    <w:lvl w:ilvl="0" w:tplc="718C7E68">
      <w:start w:val="2"/>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1C44741"/>
    <w:multiLevelType w:val="hybridMultilevel"/>
    <w:tmpl w:val="8F78518A"/>
    <w:lvl w:ilvl="0" w:tplc="10090001">
      <w:start w:val="1"/>
      <w:numFmt w:val="bullet"/>
      <w:lvlText w:val=""/>
      <w:lvlJc w:val="left"/>
      <w:pPr>
        <w:ind w:left="775" w:hanging="360"/>
      </w:pPr>
      <w:rPr>
        <w:rFonts w:ascii="Symbol" w:hAnsi="Symbol" w:hint="default"/>
      </w:rPr>
    </w:lvl>
    <w:lvl w:ilvl="1" w:tplc="10090003" w:tentative="1">
      <w:start w:val="1"/>
      <w:numFmt w:val="bullet"/>
      <w:lvlText w:val="o"/>
      <w:lvlJc w:val="left"/>
      <w:pPr>
        <w:ind w:left="1495" w:hanging="360"/>
      </w:pPr>
      <w:rPr>
        <w:rFonts w:ascii="Courier New" w:hAnsi="Courier New" w:cs="Courier New" w:hint="default"/>
      </w:rPr>
    </w:lvl>
    <w:lvl w:ilvl="2" w:tplc="10090005" w:tentative="1">
      <w:start w:val="1"/>
      <w:numFmt w:val="bullet"/>
      <w:lvlText w:val=""/>
      <w:lvlJc w:val="left"/>
      <w:pPr>
        <w:ind w:left="2215" w:hanging="360"/>
      </w:pPr>
      <w:rPr>
        <w:rFonts w:ascii="Wingdings" w:hAnsi="Wingdings" w:hint="default"/>
      </w:rPr>
    </w:lvl>
    <w:lvl w:ilvl="3" w:tplc="10090001" w:tentative="1">
      <w:start w:val="1"/>
      <w:numFmt w:val="bullet"/>
      <w:lvlText w:val=""/>
      <w:lvlJc w:val="left"/>
      <w:pPr>
        <w:ind w:left="2935" w:hanging="360"/>
      </w:pPr>
      <w:rPr>
        <w:rFonts w:ascii="Symbol" w:hAnsi="Symbol" w:hint="default"/>
      </w:rPr>
    </w:lvl>
    <w:lvl w:ilvl="4" w:tplc="10090003" w:tentative="1">
      <w:start w:val="1"/>
      <w:numFmt w:val="bullet"/>
      <w:lvlText w:val="o"/>
      <w:lvlJc w:val="left"/>
      <w:pPr>
        <w:ind w:left="3655" w:hanging="360"/>
      </w:pPr>
      <w:rPr>
        <w:rFonts w:ascii="Courier New" w:hAnsi="Courier New" w:cs="Courier New" w:hint="default"/>
      </w:rPr>
    </w:lvl>
    <w:lvl w:ilvl="5" w:tplc="10090005" w:tentative="1">
      <w:start w:val="1"/>
      <w:numFmt w:val="bullet"/>
      <w:lvlText w:val=""/>
      <w:lvlJc w:val="left"/>
      <w:pPr>
        <w:ind w:left="4375" w:hanging="360"/>
      </w:pPr>
      <w:rPr>
        <w:rFonts w:ascii="Wingdings" w:hAnsi="Wingdings" w:hint="default"/>
      </w:rPr>
    </w:lvl>
    <w:lvl w:ilvl="6" w:tplc="10090001" w:tentative="1">
      <w:start w:val="1"/>
      <w:numFmt w:val="bullet"/>
      <w:lvlText w:val=""/>
      <w:lvlJc w:val="left"/>
      <w:pPr>
        <w:ind w:left="5095" w:hanging="360"/>
      </w:pPr>
      <w:rPr>
        <w:rFonts w:ascii="Symbol" w:hAnsi="Symbol" w:hint="default"/>
      </w:rPr>
    </w:lvl>
    <w:lvl w:ilvl="7" w:tplc="10090003" w:tentative="1">
      <w:start w:val="1"/>
      <w:numFmt w:val="bullet"/>
      <w:lvlText w:val="o"/>
      <w:lvlJc w:val="left"/>
      <w:pPr>
        <w:ind w:left="5815" w:hanging="360"/>
      </w:pPr>
      <w:rPr>
        <w:rFonts w:ascii="Courier New" w:hAnsi="Courier New" w:cs="Courier New" w:hint="default"/>
      </w:rPr>
    </w:lvl>
    <w:lvl w:ilvl="8" w:tplc="10090005" w:tentative="1">
      <w:start w:val="1"/>
      <w:numFmt w:val="bullet"/>
      <w:lvlText w:val=""/>
      <w:lvlJc w:val="left"/>
      <w:pPr>
        <w:ind w:left="6535" w:hanging="360"/>
      </w:pPr>
      <w:rPr>
        <w:rFonts w:ascii="Wingdings" w:hAnsi="Wingdings" w:hint="default"/>
      </w:rPr>
    </w:lvl>
  </w:abstractNum>
  <w:abstractNum w:abstractNumId="4">
    <w:nsid w:val="5A5831A3"/>
    <w:multiLevelType w:val="hybridMultilevel"/>
    <w:tmpl w:val="188C27C2"/>
    <w:lvl w:ilvl="0" w:tplc="CAAE1A02">
      <w:start w:val="1"/>
      <w:numFmt w:val="decimal"/>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ello Tonelli">
    <w15:presenceInfo w15:providerId="Windows Live" w15:userId="025679ffc2892a4a"/>
  </w15:person>
  <w15:person w15:author="Lianne Josephine Barnieh">
    <w15:presenceInfo w15:providerId="None" w15:userId="Lianne Josephine Barnie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A0E"/>
    <w:rsid w:val="000273E1"/>
    <w:rsid w:val="0003023B"/>
    <w:rsid w:val="00032775"/>
    <w:rsid w:val="00034C0A"/>
    <w:rsid w:val="00065E85"/>
    <w:rsid w:val="00070655"/>
    <w:rsid w:val="00077DFA"/>
    <w:rsid w:val="00082B59"/>
    <w:rsid w:val="00083545"/>
    <w:rsid w:val="000855C8"/>
    <w:rsid w:val="000B4125"/>
    <w:rsid w:val="000F7A19"/>
    <w:rsid w:val="00122DBD"/>
    <w:rsid w:val="001251B2"/>
    <w:rsid w:val="0012556F"/>
    <w:rsid w:val="00147EE9"/>
    <w:rsid w:val="00155CB1"/>
    <w:rsid w:val="001606B7"/>
    <w:rsid w:val="00170CF6"/>
    <w:rsid w:val="0017117E"/>
    <w:rsid w:val="0017262B"/>
    <w:rsid w:val="00182BC7"/>
    <w:rsid w:val="001832CF"/>
    <w:rsid w:val="00185A74"/>
    <w:rsid w:val="00186751"/>
    <w:rsid w:val="001A5E7E"/>
    <w:rsid w:val="001D6767"/>
    <w:rsid w:val="001E47F7"/>
    <w:rsid w:val="002034EA"/>
    <w:rsid w:val="00203C70"/>
    <w:rsid w:val="0020404A"/>
    <w:rsid w:val="00205E35"/>
    <w:rsid w:val="00213F8F"/>
    <w:rsid w:val="00230834"/>
    <w:rsid w:val="0024316E"/>
    <w:rsid w:val="002431B1"/>
    <w:rsid w:val="0024680E"/>
    <w:rsid w:val="0026585E"/>
    <w:rsid w:val="00271607"/>
    <w:rsid w:val="00272715"/>
    <w:rsid w:val="0027402A"/>
    <w:rsid w:val="00280C83"/>
    <w:rsid w:val="002854E6"/>
    <w:rsid w:val="002857E6"/>
    <w:rsid w:val="002C481C"/>
    <w:rsid w:val="002D4090"/>
    <w:rsid w:val="002D6215"/>
    <w:rsid w:val="002E19A0"/>
    <w:rsid w:val="00305CD8"/>
    <w:rsid w:val="00312A41"/>
    <w:rsid w:val="00317A44"/>
    <w:rsid w:val="00327CA7"/>
    <w:rsid w:val="003353E5"/>
    <w:rsid w:val="0034206E"/>
    <w:rsid w:val="00353487"/>
    <w:rsid w:val="0037001C"/>
    <w:rsid w:val="003713FB"/>
    <w:rsid w:val="00373DD2"/>
    <w:rsid w:val="003D30F9"/>
    <w:rsid w:val="003D69DB"/>
    <w:rsid w:val="003E2FDE"/>
    <w:rsid w:val="003E6FF6"/>
    <w:rsid w:val="00400CC2"/>
    <w:rsid w:val="00405112"/>
    <w:rsid w:val="00423CF2"/>
    <w:rsid w:val="00440019"/>
    <w:rsid w:val="00495065"/>
    <w:rsid w:val="0049652B"/>
    <w:rsid w:val="00497BA0"/>
    <w:rsid w:val="004B38EF"/>
    <w:rsid w:val="004C4524"/>
    <w:rsid w:val="004E3CB2"/>
    <w:rsid w:val="004E6134"/>
    <w:rsid w:val="004F129F"/>
    <w:rsid w:val="004F3978"/>
    <w:rsid w:val="004F7815"/>
    <w:rsid w:val="00505186"/>
    <w:rsid w:val="005076F9"/>
    <w:rsid w:val="00515D05"/>
    <w:rsid w:val="0052621A"/>
    <w:rsid w:val="005438CB"/>
    <w:rsid w:val="00544FA9"/>
    <w:rsid w:val="00546AA8"/>
    <w:rsid w:val="005672F2"/>
    <w:rsid w:val="005975D7"/>
    <w:rsid w:val="005A3018"/>
    <w:rsid w:val="005A46C2"/>
    <w:rsid w:val="005B6CF5"/>
    <w:rsid w:val="005C7605"/>
    <w:rsid w:val="0060334F"/>
    <w:rsid w:val="00613081"/>
    <w:rsid w:val="00617A9F"/>
    <w:rsid w:val="00617D7A"/>
    <w:rsid w:val="00625744"/>
    <w:rsid w:val="006338DD"/>
    <w:rsid w:val="006434B4"/>
    <w:rsid w:val="006518D4"/>
    <w:rsid w:val="00665AAB"/>
    <w:rsid w:val="00671B63"/>
    <w:rsid w:val="00675513"/>
    <w:rsid w:val="006808FD"/>
    <w:rsid w:val="006811BB"/>
    <w:rsid w:val="00683467"/>
    <w:rsid w:val="00696468"/>
    <w:rsid w:val="00697FAD"/>
    <w:rsid w:val="006A7737"/>
    <w:rsid w:val="006B00F4"/>
    <w:rsid w:val="006B6419"/>
    <w:rsid w:val="006D222D"/>
    <w:rsid w:val="006D52A3"/>
    <w:rsid w:val="00702C3B"/>
    <w:rsid w:val="00706422"/>
    <w:rsid w:val="00707492"/>
    <w:rsid w:val="00714826"/>
    <w:rsid w:val="00715E5F"/>
    <w:rsid w:val="00727DA5"/>
    <w:rsid w:val="00730BC3"/>
    <w:rsid w:val="00757D22"/>
    <w:rsid w:val="0077112D"/>
    <w:rsid w:val="007730D6"/>
    <w:rsid w:val="007A2424"/>
    <w:rsid w:val="007B626B"/>
    <w:rsid w:val="007E3014"/>
    <w:rsid w:val="007E3021"/>
    <w:rsid w:val="007E4AB7"/>
    <w:rsid w:val="007F7F70"/>
    <w:rsid w:val="00804CA2"/>
    <w:rsid w:val="008664A2"/>
    <w:rsid w:val="00871B60"/>
    <w:rsid w:val="0087775A"/>
    <w:rsid w:val="00880B3F"/>
    <w:rsid w:val="00884A0E"/>
    <w:rsid w:val="00887873"/>
    <w:rsid w:val="00896853"/>
    <w:rsid w:val="008A355B"/>
    <w:rsid w:val="008A439B"/>
    <w:rsid w:val="008B1982"/>
    <w:rsid w:val="008B2BCA"/>
    <w:rsid w:val="008B512C"/>
    <w:rsid w:val="008B73F2"/>
    <w:rsid w:val="008E7638"/>
    <w:rsid w:val="008F1DF8"/>
    <w:rsid w:val="009202F4"/>
    <w:rsid w:val="0092324A"/>
    <w:rsid w:val="0092784C"/>
    <w:rsid w:val="00954190"/>
    <w:rsid w:val="009877E7"/>
    <w:rsid w:val="009A45E1"/>
    <w:rsid w:val="009B0555"/>
    <w:rsid w:val="009D7C1F"/>
    <w:rsid w:val="009E0FB1"/>
    <w:rsid w:val="009E6D30"/>
    <w:rsid w:val="00A00BB8"/>
    <w:rsid w:val="00A077AB"/>
    <w:rsid w:val="00A241A0"/>
    <w:rsid w:val="00A2466A"/>
    <w:rsid w:val="00A334CC"/>
    <w:rsid w:val="00A37603"/>
    <w:rsid w:val="00A42648"/>
    <w:rsid w:val="00A52937"/>
    <w:rsid w:val="00A53E7E"/>
    <w:rsid w:val="00A6121E"/>
    <w:rsid w:val="00A654E6"/>
    <w:rsid w:val="00A667AF"/>
    <w:rsid w:val="00A72C20"/>
    <w:rsid w:val="00A75659"/>
    <w:rsid w:val="00A8237C"/>
    <w:rsid w:val="00A86B2F"/>
    <w:rsid w:val="00A87B55"/>
    <w:rsid w:val="00A95ED5"/>
    <w:rsid w:val="00AA4278"/>
    <w:rsid w:val="00AA7CF7"/>
    <w:rsid w:val="00AB131B"/>
    <w:rsid w:val="00AB6BB8"/>
    <w:rsid w:val="00AC7E7E"/>
    <w:rsid w:val="00AE0F4A"/>
    <w:rsid w:val="00AF3B39"/>
    <w:rsid w:val="00B0465F"/>
    <w:rsid w:val="00B36393"/>
    <w:rsid w:val="00B47F31"/>
    <w:rsid w:val="00B93FA4"/>
    <w:rsid w:val="00BA017B"/>
    <w:rsid w:val="00BA68B5"/>
    <w:rsid w:val="00BB030C"/>
    <w:rsid w:val="00BB4BB0"/>
    <w:rsid w:val="00BC0FB4"/>
    <w:rsid w:val="00BC296D"/>
    <w:rsid w:val="00BD1A94"/>
    <w:rsid w:val="00BF1A5E"/>
    <w:rsid w:val="00BF4D73"/>
    <w:rsid w:val="00BF6832"/>
    <w:rsid w:val="00C176D3"/>
    <w:rsid w:val="00C24EC3"/>
    <w:rsid w:val="00C40E81"/>
    <w:rsid w:val="00C4202C"/>
    <w:rsid w:val="00C628E3"/>
    <w:rsid w:val="00C71B0B"/>
    <w:rsid w:val="00C82D5B"/>
    <w:rsid w:val="00C85170"/>
    <w:rsid w:val="00CC2A6F"/>
    <w:rsid w:val="00CE4DDF"/>
    <w:rsid w:val="00CF0C56"/>
    <w:rsid w:val="00D37C5F"/>
    <w:rsid w:val="00D44DB3"/>
    <w:rsid w:val="00D6427C"/>
    <w:rsid w:val="00D66B30"/>
    <w:rsid w:val="00D877C1"/>
    <w:rsid w:val="00D90C2E"/>
    <w:rsid w:val="00DA355A"/>
    <w:rsid w:val="00DA6AE8"/>
    <w:rsid w:val="00DD441F"/>
    <w:rsid w:val="00DD54EE"/>
    <w:rsid w:val="00DF0C50"/>
    <w:rsid w:val="00E20443"/>
    <w:rsid w:val="00E20880"/>
    <w:rsid w:val="00E45D80"/>
    <w:rsid w:val="00E56439"/>
    <w:rsid w:val="00E66692"/>
    <w:rsid w:val="00E91E10"/>
    <w:rsid w:val="00E92086"/>
    <w:rsid w:val="00E920C8"/>
    <w:rsid w:val="00EA4BF3"/>
    <w:rsid w:val="00EA5B31"/>
    <w:rsid w:val="00EA6C44"/>
    <w:rsid w:val="00EB2071"/>
    <w:rsid w:val="00EB22CD"/>
    <w:rsid w:val="00EC0743"/>
    <w:rsid w:val="00EC1434"/>
    <w:rsid w:val="00ED0E4D"/>
    <w:rsid w:val="00ED4ED1"/>
    <w:rsid w:val="00ED6443"/>
    <w:rsid w:val="00EE1EFE"/>
    <w:rsid w:val="00EE2664"/>
    <w:rsid w:val="00EF7E44"/>
    <w:rsid w:val="00F114EE"/>
    <w:rsid w:val="00F149FB"/>
    <w:rsid w:val="00F150FE"/>
    <w:rsid w:val="00F3125B"/>
    <w:rsid w:val="00F35F0C"/>
    <w:rsid w:val="00F36D63"/>
    <w:rsid w:val="00F40716"/>
    <w:rsid w:val="00F50391"/>
    <w:rsid w:val="00F60EDF"/>
    <w:rsid w:val="00F62C51"/>
    <w:rsid w:val="00F76621"/>
    <w:rsid w:val="00F80779"/>
    <w:rsid w:val="00F8128C"/>
    <w:rsid w:val="00F92333"/>
    <w:rsid w:val="00F93984"/>
    <w:rsid w:val="00FA36BC"/>
    <w:rsid w:val="00FC4A8C"/>
    <w:rsid w:val="00FD4F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9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A0E"/>
    <w:pPr>
      <w:spacing w:after="0"/>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4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4A0E"/>
    <w:pPr>
      <w:ind w:left="720"/>
      <w:contextualSpacing/>
    </w:pPr>
  </w:style>
  <w:style w:type="character" w:styleId="CommentReference">
    <w:name w:val="annotation reference"/>
    <w:basedOn w:val="DefaultParagraphFont"/>
    <w:uiPriority w:val="99"/>
    <w:semiHidden/>
    <w:unhideWhenUsed/>
    <w:rsid w:val="00884A0E"/>
    <w:rPr>
      <w:sz w:val="16"/>
      <w:szCs w:val="16"/>
    </w:rPr>
  </w:style>
  <w:style w:type="paragraph" w:styleId="CommentText">
    <w:name w:val="annotation text"/>
    <w:basedOn w:val="Normal"/>
    <w:link w:val="CommentTextChar"/>
    <w:uiPriority w:val="99"/>
    <w:unhideWhenUsed/>
    <w:rsid w:val="00884A0E"/>
    <w:pPr>
      <w:spacing w:line="240" w:lineRule="auto"/>
    </w:pPr>
    <w:rPr>
      <w:szCs w:val="20"/>
    </w:rPr>
  </w:style>
  <w:style w:type="character" w:customStyle="1" w:styleId="CommentTextChar">
    <w:name w:val="Comment Text Char"/>
    <w:basedOn w:val="DefaultParagraphFont"/>
    <w:link w:val="CommentText"/>
    <w:uiPriority w:val="99"/>
    <w:rsid w:val="00884A0E"/>
    <w:rPr>
      <w:rFonts w:ascii="Times New Roman" w:hAnsi="Times New Roman"/>
      <w:sz w:val="20"/>
      <w:szCs w:val="20"/>
    </w:rPr>
  </w:style>
  <w:style w:type="paragraph" w:styleId="BalloonText">
    <w:name w:val="Balloon Text"/>
    <w:basedOn w:val="Normal"/>
    <w:link w:val="BalloonTextChar"/>
    <w:uiPriority w:val="99"/>
    <w:semiHidden/>
    <w:unhideWhenUsed/>
    <w:rsid w:val="00884A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A0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75659"/>
    <w:rPr>
      <w:b/>
      <w:bCs/>
    </w:rPr>
  </w:style>
  <w:style w:type="character" w:customStyle="1" w:styleId="CommentSubjectChar">
    <w:name w:val="Comment Subject Char"/>
    <w:basedOn w:val="CommentTextChar"/>
    <w:link w:val="CommentSubject"/>
    <w:uiPriority w:val="99"/>
    <w:semiHidden/>
    <w:rsid w:val="00A75659"/>
    <w:rPr>
      <w:rFonts w:ascii="Times New Roman" w:hAnsi="Times New Roman"/>
      <w:b/>
      <w:bCs/>
      <w:sz w:val="20"/>
      <w:szCs w:val="20"/>
    </w:rPr>
  </w:style>
  <w:style w:type="character" w:styleId="Hyperlink">
    <w:name w:val="Hyperlink"/>
    <w:basedOn w:val="DefaultParagraphFont"/>
    <w:uiPriority w:val="99"/>
    <w:unhideWhenUsed/>
    <w:rsid w:val="00D877C1"/>
    <w:rPr>
      <w:color w:val="0000FF" w:themeColor="hyperlink"/>
      <w:u w:val="single"/>
    </w:rPr>
  </w:style>
  <w:style w:type="paragraph" w:styleId="Revision">
    <w:name w:val="Revision"/>
    <w:hidden/>
    <w:uiPriority w:val="99"/>
    <w:semiHidden/>
    <w:rsid w:val="0024316E"/>
    <w:pPr>
      <w:spacing w:after="0" w:line="240" w:lineRule="auto"/>
    </w:pPr>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A0E"/>
    <w:pPr>
      <w:spacing w:after="0"/>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4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4A0E"/>
    <w:pPr>
      <w:ind w:left="720"/>
      <w:contextualSpacing/>
    </w:pPr>
  </w:style>
  <w:style w:type="character" w:styleId="CommentReference">
    <w:name w:val="annotation reference"/>
    <w:basedOn w:val="DefaultParagraphFont"/>
    <w:uiPriority w:val="99"/>
    <w:semiHidden/>
    <w:unhideWhenUsed/>
    <w:rsid w:val="00884A0E"/>
    <w:rPr>
      <w:sz w:val="16"/>
      <w:szCs w:val="16"/>
    </w:rPr>
  </w:style>
  <w:style w:type="paragraph" w:styleId="CommentText">
    <w:name w:val="annotation text"/>
    <w:basedOn w:val="Normal"/>
    <w:link w:val="CommentTextChar"/>
    <w:uiPriority w:val="99"/>
    <w:unhideWhenUsed/>
    <w:rsid w:val="00884A0E"/>
    <w:pPr>
      <w:spacing w:line="240" w:lineRule="auto"/>
    </w:pPr>
    <w:rPr>
      <w:szCs w:val="20"/>
    </w:rPr>
  </w:style>
  <w:style w:type="character" w:customStyle="1" w:styleId="CommentTextChar">
    <w:name w:val="Comment Text Char"/>
    <w:basedOn w:val="DefaultParagraphFont"/>
    <w:link w:val="CommentText"/>
    <w:uiPriority w:val="99"/>
    <w:rsid w:val="00884A0E"/>
    <w:rPr>
      <w:rFonts w:ascii="Times New Roman" w:hAnsi="Times New Roman"/>
      <w:sz w:val="20"/>
      <w:szCs w:val="20"/>
    </w:rPr>
  </w:style>
  <w:style w:type="paragraph" w:styleId="BalloonText">
    <w:name w:val="Balloon Text"/>
    <w:basedOn w:val="Normal"/>
    <w:link w:val="BalloonTextChar"/>
    <w:uiPriority w:val="99"/>
    <w:semiHidden/>
    <w:unhideWhenUsed/>
    <w:rsid w:val="00884A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A0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75659"/>
    <w:rPr>
      <w:b/>
      <w:bCs/>
    </w:rPr>
  </w:style>
  <w:style w:type="character" w:customStyle="1" w:styleId="CommentSubjectChar">
    <w:name w:val="Comment Subject Char"/>
    <w:basedOn w:val="CommentTextChar"/>
    <w:link w:val="CommentSubject"/>
    <w:uiPriority w:val="99"/>
    <w:semiHidden/>
    <w:rsid w:val="00A75659"/>
    <w:rPr>
      <w:rFonts w:ascii="Times New Roman" w:hAnsi="Times New Roman"/>
      <w:b/>
      <w:bCs/>
      <w:sz w:val="20"/>
      <w:szCs w:val="20"/>
    </w:rPr>
  </w:style>
  <w:style w:type="character" w:styleId="Hyperlink">
    <w:name w:val="Hyperlink"/>
    <w:basedOn w:val="DefaultParagraphFont"/>
    <w:uiPriority w:val="99"/>
    <w:unhideWhenUsed/>
    <w:rsid w:val="00D877C1"/>
    <w:rPr>
      <w:color w:val="0000FF" w:themeColor="hyperlink"/>
      <w:u w:val="single"/>
    </w:rPr>
  </w:style>
  <w:style w:type="paragraph" w:styleId="Revision">
    <w:name w:val="Revision"/>
    <w:hidden/>
    <w:uiPriority w:val="99"/>
    <w:semiHidden/>
    <w:rsid w:val="0024316E"/>
    <w:pPr>
      <w:spacing w:after="0" w:line="240" w:lineRule="auto"/>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Traversy</dc:creator>
  <cp:lastModifiedBy>Gregory Traversy</cp:lastModifiedBy>
  <cp:revision>4</cp:revision>
  <dcterms:created xsi:type="dcterms:W3CDTF">2019-12-16T22:21:00Z</dcterms:created>
  <dcterms:modified xsi:type="dcterms:W3CDTF">2019-12-16T22:27:00Z</dcterms:modified>
</cp:coreProperties>
</file>