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3F" w:rsidRDefault="0023683F" w:rsidP="00D055EB">
      <w:pPr>
        <w:spacing w:after="0" w:line="240" w:lineRule="auto"/>
        <w:jc w:val="center"/>
        <w:rPr>
          <w:rFonts w:cs="Arial"/>
          <w:b/>
          <w:sz w:val="28"/>
          <w:szCs w:val="28"/>
          <w:lang w:val="en-CA"/>
        </w:rPr>
      </w:pPr>
    </w:p>
    <w:p w:rsidR="0023683F" w:rsidRDefault="0023683F" w:rsidP="00D055EB">
      <w:pPr>
        <w:spacing w:after="0" w:line="240" w:lineRule="auto"/>
        <w:jc w:val="center"/>
        <w:rPr>
          <w:rFonts w:cs="Arial"/>
          <w:b/>
          <w:sz w:val="28"/>
          <w:szCs w:val="28"/>
          <w:lang w:val="en-CA"/>
        </w:rPr>
      </w:pPr>
      <w:r>
        <w:rPr>
          <w:rFonts w:cs="Arial"/>
          <w:b/>
          <w:sz w:val="28"/>
          <w:szCs w:val="28"/>
          <w:lang w:val="en-CA"/>
        </w:rPr>
        <w:t>Substance Use and Addictions Program</w:t>
      </w:r>
    </w:p>
    <w:p w:rsidR="0023683F" w:rsidRDefault="0023683F" w:rsidP="0023683F">
      <w:pPr>
        <w:spacing w:after="0" w:line="240" w:lineRule="auto"/>
        <w:jc w:val="center"/>
        <w:rPr>
          <w:rFonts w:cs="Arial"/>
          <w:b/>
          <w:sz w:val="28"/>
          <w:szCs w:val="28"/>
          <w:lang w:val="en-CA"/>
        </w:rPr>
      </w:pPr>
      <w:r w:rsidRPr="00D055EB">
        <w:rPr>
          <w:rFonts w:cs="Arial"/>
          <w:b/>
          <w:sz w:val="28"/>
          <w:szCs w:val="28"/>
          <w:lang w:val="en-CA"/>
        </w:rPr>
        <w:t>Backgrounder</w:t>
      </w:r>
      <w:r>
        <w:rPr>
          <w:rFonts w:cs="Arial"/>
          <w:b/>
          <w:sz w:val="28"/>
          <w:szCs w:val="28"/>
          <w:lang w:val="en-CA"/>
        </w:rPr>
        <w:t xml:space="preserve"> &amp; Program History</w:t>
      </w:r>
    </w:p>
    <w:p w:rsidR="0023683F" w:rsidRDefault="0023683F" w:rsidP="00D055EB">
      <w:pPr>
        <w:spacing w:after="0" w:line="240" w:lineRule="auto"/>
        <w:jc w:val="center"/>
        <w:rPr>
          <w:rFonts w:cs="Arial"/>
          <w:b/>
          <w:sz w:val="28"/>
          <w:szCs w:val="28"/>
          <w:lang w:val="en-CA"/>
        </w:rPr>
      </w:pPr>
    </w:p>
    <w:p w:rsidR="0023683F" w:rsidRDefault="0023683F" w:rsidP="00D055EB">
      <w:pPr>
        <w:spacing w:after="0" w:line="240" w:lineRule="auto"/>
        <w:jc w:val="center"/>
        <w:rPr>
          <w:rFonts w:cs="Arial"/>
          <w:b/>
          <w:sz w:val="28"/>
          <w:szCs w:val="28"/>
          <w:lang w:val="en-CA"/>
        </w:rPr>
      </w:pPr>
    </w:p>
    <w:sdt>
      <w:sdtPr>
        <w:rPr>
          <w:rFonts w:asciiTheme="minorHAnsi" w:eastAsiaTheme="minorHAnsi" w:hAnsiTheme="minorHAnsi" w:cstheme="minorBidi"/>
          <w:b w:val="0"/>
          <w:bCs w:val="0"/>
          <w:color w:val="auto"/>
          <w:sz w:val="22"/>
          <w:szCs w:val="22"/>
          <w:lang w:val="fr-CA" w:eastAsia="en-US"/>
        </w:rPr>
        <w:id w:val="-1567327417"/>
        <w:docPartObj>
          <w:docPartGallery w:val="Table of Contents"/>
          <w:docPartUnique/>
        </w:docPartObj>
      </w:sdtPr>
      <w:sdtEndPr>
        <w:rPr>
          <w:noProof/>
        </w:rPr>
      </w:sdtEndPr>
      <w:sdtContent>
        <w:p w:rsidR="0023683F" w:rsidRDefault="0023683F">
          <w:pPr>
            <w:pStyle w:val="TOCHeading"/>
          </w:pPr>
          <w:r>
            <w:t>Contents</w:t>
          </w:r>
        </w:p>
        <w:p w:rsidR="00DC79E5" w:rsidRDefault="0023683F">
          <w:pPr>
            <w:pStyle w:val="TOC1"/>
            <w:tabs>
              <w:tab w:val="right" w:leader="dot" w:pos="8630"/>
            </w:tabs>
            <w:rPr>
              <w:rFonts w:eastAsiaTheme="minorEastAsia"/>
              <w:noProof/>
              <w:lang w:val="en-CA" w:eastAsia="en-CA"/>
            </w:rPr>
          </w:pPr>
          <w:r>
            <w:fldChar w:fldCharType="begin"/>
          </w:r>
          <w:r>
            <w:instrText xml:space="preserve"> TOC \o "1-3" \h \z \u </w:instrText>
          </w:r>
          <w:r>
            <w:fldChar w:fldCharType="separate"/>
          </w:r>
          <w:hyperlink w:anchor="_Toc519260873" w:history="1">
            <w:r w:rsidR="00DC79E5" w:rsidRPr="004E4E70">
              <w:rPr>
                <w:rStyle w:val="Hyperlink"/>
                <w:noProof/>
                <w:lang w:val="en-CA"/>
              </w:rPr>
              <w:t>History: Government of Canada Drug Strategies and G&amp;C Programs</w:t>
            </w:r>
            <w:r w:rsidR="00DC79E5">
              <w:rPr>
                <w:noProof/>
                <w:webHidden/>
              </w:rPr>
              <w:tab/>
            </w:r>
            <w:r w:rsidR="00DC79E5">
              <w:rPr>
                <w:noProof/>
                <w:webHidden/>
              </w:rPr>
              <w:fldChar w:fldCharType="begin"/>
            </w:r>
            <w:r w:rsidR="00DC79E5">
              <w:rPr>
                <w:noProof/>
                <w:webHidden/>
              </w:rPr>
              <w:instrText xml:space="preserve"> PAGEREF _Toc519260873 \h </w:instrText>
            </w:r>
            <w:r w:rsidR="00DC79E5">
              <w:rPr>
                <w:noProof/>
                <w:webHidden/>
              </w:rPr>
            </w:r>
            <w:r w:rsidR="00DC79E5">
              <w:rPr>
                <w:noProof/>
                <w:webHidden/>
              </w:rPr>
              <w:fldChar w:fldCharType="separate"/>
            </w:r>
            <w:r w:rsidR="00DC79E5">
              <w:rPr>
                <w:noProof/>
                <w:webHidden/>
              </w:rPr>
              <w:t>2</w:t>
            </w:r>
            <w:r w:rsidR="00DC79E5">
              <w:rPr>
                <w:noProof/>
                <w:webHidden/>
              </w:rPr>
              <w:fldChar w:fldCharType="end"/>
            </w:r>
          </w:hyperlink>
        </w:p>
        <w:p w:rsidR="00DC79E5" w:rsidRDefault="00612E97">
          <w:pPr>
            <w:pStyle w:val="TOC2"/>
            <w:tabs>
              <w:tab w:val="right" w:leader="dot" w:pos="8630"/>
            </w:tabs>
            <w:rPr>
              <w:rFonts w:eastAsiaTheme="minorEastAsia"/>
              <w:noProof/>
              <w:lang w:val="en-CA" w:eastAsia="en-CA"/>
            </w:rPr>
          </w:pPr>
          <w:hyperlink w:anchor="_Toc519260874" w:history="1">
            <w:r w:rsidR="00DC79E5" w:rsidRPr="004E4E70">
              <w:rPr>
                <w:rStyle w:val="Hyperlink"/>
                <w:noProof/>
                <w:lang w:val="en-CA"/>
              </w:rPr>
              <w:t>1987-1992 National Drug Strategy (Phase 1)</w:t>
            </w:r>
            <w:r w:rsidR="00DC79E5">
              <w:rPr>
                <w:noProof/>
                <w:webHidden/>
              </w:rPr>
              <w:tab/>
            </w:r>
            <w:r w:rsidR="00DC79E5">
              <w:rPr>
                <w:noProof/>
                <w:webHidden/>
              </w:rPr>
              <w:fldChar w:fldCharType="begin"/>
            </w:r>
            <w:r w:rsidR="00DC79E5">
              <w:rPr>
                <w:noProof/>
                <w:webHidden/>
              </w:rPr>
              <w:instrText xml:space="preserve"> PAGEREF _Toc519260874 \h </w:instrText>
            </w:r>
            <w:r w:rsidR="00DC79E5">
              <w:rPr>
                <w:noProof/>
                <w:webHidden/>
              </w:rPr>
            </w:r>
            <w:r w:rsidR="00DC79E5">
              <w:rPr>
                <w:noProof/>
                <w:webHidden/>
              </w:rPr>
              <w:fldChar w:fldCharType="separate"/>
            </w:r>
            <w:r w:rsidR="00DC79E5">
              <w:rPr>
                <w:noProof/>
                <w:webHidden/>
              </w:rPr>
              <w:t>2</w:t>
            </w:r>
            <w:r w:rsidR="00DC79E5">
              <w:rPr>
                <w:noProof/>
                <w:webHidden/>
              </w:rPr>
              <w:fldChar w:fldCharType="end"/>
            </w:r>
          </w:hyperlink>
        </w:p>
        <w:p w:rsidR="00DC79E5" w:rsidRDefault="00612E97">
          <w:pPr>
            <w:pStyle w:val="TOC2"/>
            <w:tabs>
              <w:tab w:val="right" w:leader="dot" w:pos="8630"/>
            </w:tabs>
            <w:rPr>
              <w:rFonts w:eastAsiaTheme="minorEastAsia"/>
              <w:noProof/>
              <w:lang w:val="en-CA" w:eastAsia="en-CA"/>
            </w:rPr>
          </w:pPr>
          <w:hyperlink w:anchor="_Toc519260875" w:history="1">
            <w:r w:rsidR="00DC79E5" w:rsidRPr="004E4E70">
              <w:rPr>
                <w:rStyle w:val="Hyperlink"/>
                <w:noProof/>
              </w:rPr>
              <w:t>1992-1998 Canada’s Drug Strategy (Phase 2)</w:t>
            </w:r>
            <w:r w:rsidR="00DC79E5">
              <w:rPr>
                <w:noProof/>
                <w:webHidden/>
              </w:rPr>
              <w:tab/>
            </w:r>
            <w:r w:rsidR="00DC79E5">
              <w:rPr>
                <w:noProof/>
                <w:webHidden/>
              </w:rPr>
              <w:fldChar w:fldCharType="begin"/>
            </w:r>
            <w:r w:rsidR="00DC79E5">
              <w:rPr>
                <w:noProof/>
                <w:webHidden/>
              </w:rPr>
              <w:instrText xml:space="preserve"> PAGEREF _Toc519260875 \h </w:instrText>
            </w:r>
            <w:r w:rsidR="00DC79E5">
              <w:rPr>
                <w:noProof/>
                <w:webHidden/>
              </w:rPr>
            </w:r>
            <w:r w:rsidR="00DC79E5">
              <w:rPr>
                <w:noProof/>
                <w:webHidden/>
              </w:rPr>
              <w:fldChar w:fldCharType="separate"/>
            </w:r>
            <w:r w:rsidR="00DC79E5">
              <w:rPr>
                <w:noProof/>
                <w:webHidden/>
              </w:rPr>
              <w:t>2</w:t>
            </w:r>
            <w:r w:rsidR="00DC79E5">
              <w:rPr>
                <w:noProof/>
                <w:webHidden/>
              </w:rPr>
              <w:fldChar w:fldCharType="end"/>
            </w:r>
          </w:hyperlink>
        </w:p>
        <w:p w:rsidR="00DC79E5" w:rsidRDefault="00612E97">
          <w:pPr>
            <w:pStyle w:val="TOC2"/>
            <w:tabs>
              <w:tab w:val="right" w:leader="dot" w:pos="8630"/>
            </w:tabs>
            <w:rPr>
              <w:rFonts w:eastAsiaTheme="minorEastAsia"/>
              <w:noProof/>
              <w:lang w:val="en-CA" w:eastAsia="en-CA"/>
            </w:rPr>
          </w:pPr>
          <w:hyperlink w:anchor="_Toc519260876" w:history="1">
            <w:r w:rsidR="00DC79E5" w:rsidRPr="004E4E70">
              <w:rPr>
                <w:rStyle w:val="Hyperlink"/>
                <w:noProof/>
              </w:rPr>
              <w:t>2003-2007 Canada’s Drug Strategy (CDS)</w:t>
            </w:r>
            <w:r w:rsidR="00DC79E5">
              <w:rPr>
                <w:noProof/>
                <w:webHidden/>
              </w:rPr>
              <w:tab/>
            </w:r>
            <w:r w:rsidR="00DC79E5">
              <w:rPr>
                <w:noProof/>
                <w:webHidden/>
              </w:rPr>
              <w:fldChar w:fldCharType="begin"/>
            </w:r>
            <w:r w:rsidR="00DC79E5">
              <w:rPr>
                <w:noProof/>
                <w:webHidden/>
              </w:rPr>
              <w:instrText xml:space="preserve"> PAGEREF _Toc519260876 \h </w:instrText>
            </w:r>
            <w:r w:rsidR="00DC79E5">
              <w:rPr>
                <w:noProof/>
                <w:webHidden/>
              </w:rPr>
            </w:r>
            <w:r w:rsidR="00DC79E5">
              <w:rPr>
                <w:noProof/>
                <w:webHidden/>
              </w:rPr>
              <w:fldChar w:fldCharType="separate"/>
            </w:r>
            <w:r w:rsidR="00DC79E5">
              <w:rPr>
                <w:noProof/>
                <w:webHidden/>
              </w:rPr>
              <w:t>2</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77" w:history="1">
            <w:r w:rsidR="00DC79E5" w:rsidRPr="004E4E70">
              <w:rPr>
                <w:rStyle w:val="Hyperlink"/>
                <w:noProof/>
                <w:lang w:val="en-CA"/>
              </w:rPr>
              <w:t>Program : Alcohol and Drug Treatment Rehabilitation (ADTR) Program</w:t>
            </w:r>
            <w:r w:rsidR="00DC79E5">
              <w:rPr>
                <w:noProof/>
                <w:webHidden/>
              </w:rPr>
              <w:tab/>
            </w:r>
            <w:r w:rsidR="00DC79E5">
              <w:rPr>
                <w:noProof/>
                <w:webHidden/>
              </w:rPr>
              <w:fldChar w:fldCharType="begin"/>
            </w:r>
            <w:r w:rsidR="00DC79E5">
              <w:rPr>
                <w:noProof/>
                <w:webHidden/>
              </w:rPr>
              <w:instrText xml:space="preserve"> PAGEREF _Toc519260877 \h </w:instrText>
            </w:r>
            <w:r w:rsidR="00DC79E5">
              <w:rPr>
                <w:noProof/>
                <w:webHidden/>
              </w:rPr>
            </w:r>
            <w:r w:rsidR="00DC79E5">
              <w:rPr>
                <w:noProof/>
                <w:webHidden/>
              </w:rPr>
              <w:fldChar w:fldCharType="separate"/>
            </w:r>
            <w:r w:rsidR="00DC79E5">
              <w:rPr>
                <w:noProof/>
                <w:webHidden/>
              </w:rPr>
              <w:t>2</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78" w:history="1">
            <w:r w:rsidR="00DC79E5" w:rsidRPr="004E4E70">
              <w:rPr>
                <w:rStyle w:val="Hyperlink"/>
                <w:noProof/>
                <w:lang w:val="en-CA"/>
              </w:rPr>
              <w:t>Program: Drug Strategy Community Initiatives Fund (DSCIF)</w:t>
            </w:r>
            <w:r w:rsidR="00DC79E5">
              <w:rPr>
                <w:noProof/>
                <w:webHidden/>
              </w:rPr>
              <w:tab/>
            </w:r>
            <w:r w:rsidR="00DC79E5">
              <w:rPr>
                <w:noProof/>
                <w:webHidden/>
              </w:rPr>
              <w:fldChar w:fldCharType="begin"/>
            </w:r>
            <w:r w:rsidR="00DC79E5">
              <w:rPr>
                <w:noProof/>
                <w:webHidden/>
              </w:rPr>
              <w:instrText xml:space="preserve"> PAGEREF _Toc519260878 \h </w:instrText>
            </w:r>
            <w:r w:rsidR="00DC79E5">
              <w:rPr>
                <w:noProof/>
                <w:webHidden/>
              </w:rPr>
            </w:r>
            <w:r w:rsidR="00DC79E5">
              <w:rPr>
                <w:noProof/>
                <w:webHidden/>
              </w:rPr>
              <w:fldChar w:fldCharType="separate"/>
            </w:r>
            <w:r w:rsidR="00DC79E5">
              <w:rPr>
                <w:noProof/>
                <w:webHidden/>
              </w:rPr>
              <w:t>3</w:t>
            </w:r>
            <w:r w:rsidR="00DC79E5">
              <w:rPr>
                <w:noProof/>
                <w:webHidden/>
              </w:rPr>
              <w:fldChar w:fldCharType="end"/>
            </w:r>
          </w:hyperlink>
        </w:p>
        <w:p w:rsidR="00DC79E5" w:rsidRDefault="00612E97">
          <w:pPr>
            <w:pStyle w:val="TOC2"/>
            <w:tabs>
              <w:tab w:val="right" w:leader="dot" w:pos="8630"/>
            </w:tabs>
            <w:rPr>
              <w:rFonts w:eastAsiaTheme="minorEastAsia"/>
              <w:noProof/>
              <w:lang w:val="en-CA" w:eastAsia="en-CA"/>
            </w:rPr>
          </w:pPr>
          <w:hyperlink w:anchor="_Toc519260879" w:history="1">
            <w:r w:rsidR="00DC79E5" w:rsidRPr="004E4E70">
              <w:rPr>
                <w:rStyle w:val="Hyperlink"/>
                <w:rFonts w:eastAsia="Times New Roman"/>
                <w:noProof/>
                <w:lang w:val="en-CA" w:eastAsia="en-CA"/>
              </w:rPr>
              <w:t>2007-2016 National Anti-Drug Strategy (NADS)</w:t>
            </w:r>
            <w:r w:rsidR="00DC79E5">
              <w:rPr>
                <w:noProof/>
                <w:webHidden/>
              </w:rPr>
              <w:tab/>
            </w:r>
            <w:r w:rsidR="00DC79E5">
              <w:rPr>
                <w:noProof/>
                <w:webHidden/>
              </w:rPr>
              <w:fldChar w:fldCharType="begin"/>
            </w:r>
            <w:r w:rsidR="00DC79E5">
              <w:rPr>
                <w:noProof/>
                <w:webHidden/>
              </w:rPr>
              <w:instrText xml:space="preserve"> PAGEREF _Toc519260879 \h </w:instrText>
            </w:r>
            <w:r w:rsidR="00DC79E5">
              <w:rPr>
                <w:noProof/>
                <w:webHidden/>
              </w:rPr>
            </w:r>
            <w:r w:rsidR="00DC79E5">
              <w:rPr>
                <w:noProof/>
                <w:webHidden/>
              </w:rPr>
              <w:fldChar w:fldCharType="separate"/>
            </w:r>
            <w:r w:rsidR="00DC79E5">
              <w:rPr>
                <w:noProof/>
                <w:webHidden/>
              </w:rPr>
              <w:t>3</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80" w:history="1">
            <w:r w:rsidR="00DC79E5" w:rsidRPr="004E4E70">
              <w:rPr>
                <w:rStyle w:val="Hyperlink"/>
                <w:noProof/>
                <w:lang w:val="en-CA"/>
              </w:rPr>
              <w:t>Program: Drug Treatment Funding Program (DTFP)</w:t>
            </w:r>
            <w:r w:rsidR="00DC79E5">
              <w:rPr>
                <w:noProof/>
                <w:webHidden/>
              </w:rPr>
              <w:tab/>
            </w:r>
            <w:r w:rsidR="00DC79E5">
              <w:rPr>
                <w:noProof/>
                <w:webHidden/>
              </w:rPr>
              <w:fldChar w:fldCharType="begin"/>
            </w:r>
            <w:r w:rsidR="00DC79E5">
              <w:rPr>
                <w:noProof/>
                <w:webHidden/>
              </w:rPr>
              <w:instrText xml:space="preserve"> PAGEREF _Toc519260880 \h </w:instrText>
            </w:r>
            <w:r w:rsidR="00DC79E5">
              <w:rPr>
                <w:noProof/>
                <w:webHidden/>
              </w:rPr>
            </w:r>
            <w:r w:rsidR="00DC79E5">
              <w:rPr>
                <w:noProof/>
                <w:webHidden/>
              </w:rPr>
              <w:fldChar w:fldCharType="separate"/>
            </w:r>
            <w:r w:rsidR="00DC79E5">
              <w:rPr>
                <w:noProof/>
                <w:webHidden/>
              </w:rPr>
              <w:t>3</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81" w:history="1">
            <w:r w:rsidR="00DC79E5" w:rsidRPr="004E4E70">
              <w:rPr>
                <w:rStyle w:val="Hyperlink"/>
                <w:noProof/>
                <w:lang w:val="en-CA"/>
              </w:rPr>
              <w:t>Program: Drug Strategy Community Initiatives Fund (DSCIF)</w:t>
            </w:r>
            <w:r w:rsidR="00DC79E5">
              <w:rPr>
                <w:noProof/>
                <w:webHidden/>
              </w:rPr>
              <w:tab/>
            </w:r>
            <w:r w:rsidR="00DC79E5">
              <w:rPr>
                <w:noProof/>
                <w:webHidden/>
              </w:rPr>
              <w:fldChar w:fldCharType="begin"/>
            </w:r>
            <w:r w:rsidR="00DC79E5">
              <w:rPr>
                <w:noProof/>
                <w:webHidden/>
              </w:rPr>
              <w:instrText xml:space="preserve"> PAGEREF _Toc519260881 \h </w:instrText>
            </w:r>
            <w:r w:rsidR="00DC79E5">
              <w:rPr>
                <w:noProof/>
                <w:webHidden/>
              </w:rPr>
            </w:r>
            <w:r w:rsidR="00DC79E5">
              <w:rPr>
                <w:noProof/>
                <w:webHidden/>
              </w:rPr>
              <w:fldChar w:fldCharType="separate"/>
            </w:r>
            <w:r w:rsidR="00DC79E5">
              <w:rPr>
                <w:noProof/>
                <w:webHidden/>
              </w:rPr>
              <w:t>3</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82" w:history="1">
            <w:r w:rsidR="00DC79E5" w:rsidRPr="004E4E70">
              <w:rPr>
                <w:rStyle w:val="Hyperlink"/>
                <w:noProof/>
                <w:lang w:val="en-CA"/>
              </w:rPr>
              <w:t>Program: Anti-Drug Strategy Initiatives (ADSI)</w:t>
            </w:r>
            <w:r w:rsidR="00DC79E5">
              <w:rPr>
                <w:noProof/>
                <w:webHidden/>
              </w:rPr>
              <w:tab/>
            </w:r>
            <w:r w:rsidR="00DC79E5">
              <w:rPr>
                <w:noProof/>
                <w:webHidden/>
              </w:rPr>
              <w:fldChar w:fldCharType="begin"/>
            </w:r>
            <w:r w:rsidR="00DC79E5">
              <w:rPr>
                <w:noProof/>
                <w:webHidden/>
              </w:rPr>
              <w:instrText xml:space="preserve"> PAGEREF _Toc519260882 \h </w:instrText>
            </w:r>
            <w:r w:rsidR="00DC79E5">
              <w:rPr>
                <w:noProof/>
                <w:webHidden/>
              </w:rPr>
            </w:r>
            <w:r w:rsidR="00DC79E5">
              <w:rPr>
                <w:noProof/>
                <w:webHidden/>
              </w:rPr>
              <w:fldChar w:fldCharType="separate"/>
            </w:r>
            <w:r w:rsidR="00DC79E5">
              <w:rPr>
                <w:noProof/>
                <w:webHidden/>
              </w:rPr>
              <w:t>4</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83" w:history="1">
            <w:r w:rsidR="00DC79E5" w:rsidRPr="004E4E70">
              <w:rPr>
                <w:rStyle w:val="Hyperlink"/>
                <w:noProof/>
                <w:lang w:val="en-CA"/>
              </w:rPr>
              <w:t>Program: Substance Use and Addictions Program (SUAP)</w:t>
            </w:r>
            <w:r w:rsidR="00DC79E5">
              <w:rPr>
                <w:noProof/>
                <w:webHidden/>
              </w:rPr>
              <w:tab/>
            </w:r>
            <w:r w:rsidR="00DC79E5">
              <w:rPr>
                <w:noProof/>
                <w:webHidden/>
              </w:rPr>
              <w:fldChar w:fldCharType="begin"/>
            </w:r>
            <w:r w:rsidR="00DC79E5">
              <w:rPr>
                <w:noProof/>
                <w:webHidden/>
              </w:rPr>
              <w:instrText xml:space="preserve"> PAGEREF _Toc519260883 \h </w:instrText>
            </w:r>
            <w:r w:rsidR="00DC79E5">
              <w:rPr>
                <w:noProof/>
                <w:webHidden/>
              </w:rPr>
            </w:r>
            <w:r w:rsidR="00DC79E5">
              <w:rPr>
                <w:noProof/>
                <w:webHidden/>
              </w:rPr>
              <w:fldChar w:fldCharType="separate"/>
            </w:r>
            <w:r w:rsidR="00DC79E5">
              <w:rPr>
                <w:noProof/>
                <w:webHidden/>
              </w:rPr>
              <w:t>5</w:t>
            </w:r>
            <w:r w:rsidR="00DC79E5">
              <w:rPr>
                <w:noProof/>
                <w:webHidden/>
              </w:rPr>
              <w:fldChar w:fldCharType="end"/>
            </w:r>
          </w:hyperlink>
        </w:p>
        <w:p w:rsidR="00DC79E5" w:rsidRDefault="00612E97">
          <w:pPr>
            <w:pStyle w:val="TOC2"/>
            <w:tabs>
              <w:tab w:val="right" w:leader="dot" w:pos="8630"/>
            </w:tabs>
            <w:rPr>
              <w:rFonts w:eastAsiaTheme="minorEastAsia"/>
              <w:noProof/>
              <w:lang w:val="en-CA" w:eastAsia="en-CA"/>
            </w:rPr>
          </w:pPr>
          <w:hyperlink w:anchor="_Toc519260884" w:history="1">
            <w:r w:rsidR="00DC79E5" w:rsidRPr="004E4E70">
              <w:rPr>
                <w:rStyle w:val="Hyperlink"/>
                <w:noProof/>
                <w:lang w:val="en-CA"/>
              </w:rPr>
              <w:t>2016-2018 Canadian Drugs and Substances Strategy</w:t>
            </w:r>
            <w:r w:rsidR="00DC79E5">
              <w:rPr>
                <w:noProof/>
                <w:webHidden/>
              </w:rPr>
              <w:tab/>
            </w:r>
            <w:r w:rsidR="00DC79E5">
              <w:rPr>
                <w:noProof/>
                <w:webHidden/>
              </w:rPr>
              <w:fldChar w:fldCharType="begin"/>
            </w:r>
            <w:r w:rsidR="00DC79E5">
              <w:rPr>
                <w:noProof/>
                <w:webHidden/>
              </w:rPr>
              <w:instrText xml:space="preserve"> PAGEREF _Toc519260884 \h </w:instrText>
            </w:r>
            <w:r w:rsidR="00DC79E5">
              <w:rPr>
                <w:noProof/>
                <w:webHidden/>
              </w:rPr>
            </w:r>
            <w:r w:rsidR="00DC79E5">
              <w:rPr>
                <w:noProof/>
                <w:webHidden/>
              </w:rPr>
              <w:fldChar w:fldCharType="separate"/>
            </w:r>
            <w:r w:rsidR="00DC79E5">
              <w:rPr>
                <w:noProof/>
                <w:webHidden/>
              </w:rPr>
              <w:t>5</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85" w:history="1">
            <w:r w:rsidR="00DC79E5" w:rsidRPr="004E4E70">
              <w:rPr>
                <w:rStyle w:val="Hyperlink"/>
                <w:noProof/>
                <w:lang w:val="en-CA"/>
              </w:rPr>
              <w:t>Program: Substance Use and Addictions Program (SUAP)</w:t>
            </w:r>
            <w:r w:rsidR="00DC79E5">
              <w:rPr>
                <w:noProof/>
                <w:webHidden/>
              </w:rPr>
              <w:tab/>
            </w:r>
            <w:r w:rsidR="00DC79E5">
              <w:rPr>
                <w:noProof/>
                <w:webHidden/>
              </w:rPr>
              <w:fldChar w:fldCharType="begin"/>
            </w:r>
            <w:r w:rsidR="00DC79E5">
              <w:rPr>
                <w:noProof/>
                <w:webHidden/>
              </w:rPr>
              <w:instrText xml:space="preserve"> PAGEREF _Toc519260885 \h </w:instrText>
            </w:r>
            <w:r w:rsidR="00DC79E5">
              <w:rPr>
                <w:noProof/>
                <w:webHidden/>
              </w:rPr>
            </w:r>
            <w:r w:rsidR="00DC79E5">
              <w:rPr>
                <w:noProof/>
                <w:webHidden/>
              </w:rPr>
              <w:fldChar w:fldCharType="separate"/>
            </w:r>
            <w:r w:rsidR="00DC79E5">
              <w:rPr>
                <w:noProof/>
                <w:webHidden/>
              </w:rPr>
              <w:t>5</w:t>
            </w:r>
            <w:r w:rsidR="00DC79E5">
              <w:rPr>
                <w:noProof/>
                <w:webHidden/>
              </w:rPr>
              <w:fldChar w:fldCharType="end"/>
            </w:r>
          </w:hyperlink>
        </w:p>
        <w:p w:rsidR="00DC79E5" w:rsidRDefault="00612E97">
          <w:pPr>
            <w:pStyle w:val="TOC1"/>
            <w:tabs>
              <w:tab w:val="right" w:leader="dot" w:pos="8630"/>
            </w:tabs>
            <w:rPr>
              <w:rFonts w:eastAsiaTheme="minorEastAsia"/>
              <w:noProof/>
              <w:lang w:val="en-CA" w:eastAsia="en-CA"/>
            </w:rPr>
          </w:pPr>
          <w:hyperlink w:anchor="_Toc519260886" w:history="1">
            <w:r w:rsidR="00DC79E5" w:rsidRPr="004E4E70">
              <w:rPr>
                <w:rStyle w:val="Hyperlink"/>
                <w:noProof/>
                <w:lang w:val="en-CA"/>
              </w:rPr>
              <w:t>Treasury Board Submission History</w:t>
            </w:r>
            <w:r w:rsidR="00DC79E5">
              <w:rPr>
                <w:noProof/>
                <w:webHidden/>
              </w:rPr>
              <w:tab/>
            </w:r>
            <w:r w:rsidR="00DC79E5">
              <w:rPr>
                <w:noProof/>
                <w:webHidden/>
              </w:rPr>
              <w:fldChar w:fldCharType="begin"/>
            </w:r>
            <w:r w:rsidR="00DC79E5">
              <w:rPr>
                <w:noProof/>
                <w:webHidden/>
              </w:rPr>
              <w:instrText xml:space="preserve"> PAGEREF _Toc519260886 \h </w:instrText>
            </w:r>
            <w:r w:rsidR="00DC79E5">
              <w:rPr>
                <w:noProof/>
                <w:webHidden/>
              </w:rPr>
            </w:r>
            <w:r w:rsidR="00DC79E5">
              <w:rPr>
                <w:noProof/>
                <w:webHidden/>
              </w:rPr>
              <w:fldChar w:fldCharType="separate"/>
            </w:r>
            <w:r w:rsidR="00DC79E5">
              <w:rPr>
                <w:noProof/>
                <w:webHidden/>
              </w:rPr>
              <w:t>6</w:t>
            </w:r>
            <w:r w:rsidR="00DC79E5">
              <w:rPr>
                <w:noProof/>
                <w:webHidden/>
              </w:rPr>
              <w:fldChar w:fldCharType="end"/>
            </w:r>
          </w:hyperlink>
        </w:p>
        <w:p w:rsidR="00DC79E5" w:rsidRDefault="00612E97">
          <w:pPr>
            <w:pStyle w:val="TOC1"/>
            <w:tabs>
              <w:tab w:val="right" w:leader="dot" w:pos="8630"/>
            </w:tabs>
            <w:rPr>
              <w:rFonts w:eastAsiaTheme="minorEastAsia"/>
              <w:noProof/>
              <w:lang w:val="en-CA" w:eastAsia="en-CA"/>
            </w:rPr>
          </w:pPr>
          <w:hyperlink w:anchor="_Toc519260887" w:history="1">
            <w:r w:rsidR="00DC79E5" w:rsidRPr="004E4E70">
              <w:rPr>
                <w:rStyle w:val="Hyperlink"/>
                <w:noProof/>
                <w:lang w:val="en-CA"/>
              </w:rPr>
              <w:t>Terms and Conditions (Ts&amp;Cs) History</w:t>
            </w:r>
            <w:r w:rsidR="00DC79E5">
              <w:rPr>
                <w:noProof/>
                <w:webHidden/>
              </w:rPr>
              <w:tab/>
            </w:r>
            <w:r w:rsidR="00DC79E5">
              <w:rPr>
                <w:noProof/>
                <w:webHidden/>
              </w:rPr>
              <w:fldChar w:fldCharType="begin"/>
            </w:r>
            <w:r w:rsidR="00DC79E5">
              <w:rPr>
                <w:noProof/>
                <w:webHidden/>
              </w:rPr>
              <w:instrText xml:space="preserve"> PAGEREF _Toc519260887 \h </w:instrText>
            </w:r>
            <w:r w:rsidR="00DC79E5">
              <w:rPr>
                <w:noProof/>
                <w:webHidden/>
              </w:rPr>
            </w:r>
            <w:r w:rsidR="00DC79E5">
              <w:rPr>
                <w:noProof/>
                <w:webHidden/>
              </w:rPr>
              <w:fldChar w:fldCharType="separate"/>
            </w:r>
            <w:r w:rsidR="00DC79E5">
              <w:rPr>
                <w:noProof/>
                <w:webHidden/>
              </w:rPr>
              <w:t>9</w:t>
            </w:r>
            <w:r w:rsidR="00DC79E5">
              <w:rPr>
                <w:noProof/>
                <w:webHidden/>
              </w:rPr>
              <w:fldChar w:fldCharType="end"/>
            </w:r>
          </w:hyperlink>
        </w:p>
        <w:p w:rsidR="00DC79E5" w:rsidRDefault="00612E97">
          <w:pPr>
            <w:pStyle w:val="TOC1"/>
            <w:tabs>
              <w:tab w:val="right" w:leader="dot" w:pos="8630"/>
            </w:tabs>
            <w:rPr>
              <w:rFonts w:eastAsiaTheme="minorEastAsia"/>
              <w:noProof/>
              <w:lang w:val="en-CA" w:eastAsia="en-CA"/>
            </w:rPr>
          </w:pPr>
          <w:hyperlink w:anchor="_Toc519260888" w:history="1">
            <w:r w:rsidR="00DC79E5" w:rsidRPr="004E4E70">
              <w:rPr>
                <w:rStyle w:val="Hyperlink"/>
                <w:noProof/>
                <w:lang w:val="en-CA"/>
              </w:rPr>
              <w:t>Performance Measurement and Evaluation / Logic Model / Expected Results History</w:t>
            </w:r>
            <w:r w:rsidR="00DC79E5">
              <w:rPr>
                <w:noProof/>
                <w:webHidden/>
              </w:rPr>
              <w:tab/>
            </w:r>
            <w:r w:rsidR="00DC79E5">
              <w:rPr>
                <w:noProof/>
                <w:webHidden/>
              </w:rPr>
              <w:fldChar w:fldCharType="begin"/>
            </w:r>
            <w:r w:rsidR="00DC79E5">
              <w:rPr>
                <w:noProof/>
                <w:webHidden/>
              </w:rPr>
              <w:instrText xml:space="preserve"> PAGEREF _Toc519260888 \h </w:instrText>
            </w:r>
            <w:r w:rsidR="00DC79E5">
              <w:rPr>
                <w:noProof/>
                <w:webHidden/>
              </w:rPr>
            </w:r>
            <w:r w:rsidR="00DC79E5">
              <w:rPr>
                <w:noProof/>
                <w:webHidden/>
              </w:rPr>
              <w:fldChar w:fldCharType="separate"/>
            </w:r>
            <w:r w:rsidR="00DC79E5">
              <w:rPr>
                <w:noProof/>
                <w:webHidden/>
              </w:rPr>
              <w:t>13</w:t>
            </w:r>
            <w:r w:rsidR="00DC79E5">
              <w:rPr>
                <w:noProof/>
                <w:webHidden/>
              </w:rPr>
              <w:fldChar w:fldCharType="end"/>
            </w:r>
          </w:hyperlink>
        </w:p>
        <w:p w:rsidR="00DC79E5" w:rsidRDefault="00612E97">
          <w:pPr>
            <w:pStyle w:val="TOC1"/>
            <w:tabs>
              <w:tab w:val="right" w:leader="dot" w:pos="8630"/>
            </w:tabs>
            <w:rPr>
              <w:rFonts w:eastAsiaTheme="minorEastAsia"/>
              <w:noProof/>
              <w:lang w:val="en-CA" w:eastAsia="en-CA"/>
            </w:rPr>
          </w:pPr>
          <w:hyperlink w:anchor="_Toc519260889" w:history="1">
            <w:r w:rsidR="00DC79E5" w:rsidRPr="004E4E70">
              <w:rPr>
                <w:rStyle w:val="Hyperlink"/>
                <w:noProof/>
                <w:lang w:val="en-CA"/>
              </w:rPr>
              <w:t>CCSA Funding History</w:t>
            </w:r>
            <w:r w:rsidR="00DC79E5">
              <w:rPr>
                <w:noProof/>
                <w:webHidden/>
              </w:rPr>
              <w:tab/>
            </w:r>
            <w:r w:rsidR="00DC79E5">
              <w:rPr>
                <w:noProof/>
                <w:webHidden/>
              </w:rPr>
              <w:fldChar w:fldCharType="begin"/>
            </w:r>
            <w:r w:rsidR="00DC79E5">
              <w:rPr>
                <w:noProof/>
                <w:webHidden/>
              </w:rPr>
              <w:instrText xml:space="preserve"> PAGEREF _Toc519260889 \h </w:instrText>
            </w:r>
            <w:r w:rsidR="00DC79E5">
              <w:rPr>
                <w:noProof/>
                <w:webHidden/>
              </w:rPr>
            </w:r>
            <w:r w:rsidR="00DC79E5">
              <w:rPr>
                <w:noProof/>
                <w:webHidden/>
              </w:rPr>
              <w:fldChar w:fldCharType="separate"/>
            </w:r>
            <w:r w:rsidR="00DC79E5">
              <w:rPr>
                <w:noProof/>
                <w:webHidden/>
              </w:rPr>
              <w:t>14</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90" w:history="1">
            <w:r w:rsidR="00DC79E5" w:rsidRPr="004E4E70">
              <w:rPr>
                <w:rStyle w:val="Hyperlink"/>
                <w:noProof/>
                <w:lang w:val="en-CA"/>
              </w:rPr>
              <w:t>Core Funding (CCSA Act) History</w:t>
            </w:r>
            <w:r w:rsidR="00DC79E5">
              <w:rPr>
                <w:noProof/>
                <w:webHidden/>
              </w:rPr>
              <w:tab/>
            </w:r>
            <w:r w:rsidR="00DC79E5">
              <w:rPr>
                <w:noProof/>
                <w:webHidden/>
              </w:rPr>
              <w:fldChar w:fldCharType="begin"/>
            </w:r>
            <w:r w:rsidR="00DC79E5">
              <w:rPr>
                <w:noProof/>
                <w:webHidden/>
              </w:rPr>
              <w:instrText xml:space="preserve"> PAGEREF _Toc519260890 \h </w:instrText>
            </w:r>
            <w:r w:rsidR="00DC79E5">
              <w:rPr>
                <w:noProof/>
                <w:webHidden/>
              </w:rPr>
            </w:r>
            <w:r w:rsidR="00DC79E5">
              <w:rPr>
                <w:noProof/>
                <w:webHidden/>
              </w:rPr>
              <w:fldChar w:fldCharType="separate"/>
            </w:r>
            <w:r w:rsidR="00DC79E5">
              <w:rPr>
                <w:noProof/>
                <w:webHidden/>
              </w:rPr>
              <w:t>14</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91" w:history="1">
            <w:r w:rsidR="00DC79E5" w:rsidRPr="004E4E70">
              <w:rPr>
                <w:rStyle w:val="Hyperlink"/>
                <w:noProof/>
                <w:lang w:val="en-CA"/>
              </w:rPr>
              <w:t>DSCIF Funding History</w:t>
            </w:r>
            <w:r w:rsidR="00DC79E5">
              <w:rPr>
                <w:noProof/>
                <w:webHidden/>
              </w:rPr>
              <w:tab/>
            </w:r>
            <w:r w:rsidR="00DC79E5">
              <w:rPr>
                <w:noProof/>
                <w:webHidden/>
              </w:rPr>
              <w:fldChar w:fldCharType="begin"/>
            </w:r>
            <w:r w:rsidR="00DC79E5">
              <w:rPr>
                <w:noProof/>
                <w:webHidden/>
              </w:rPr>
              <w:instrText xml:space="preserve"> PAGEREF _Toc519260891 \h </w:instrText>
            </w:r>
            <w:r w:rsidR="00DC79E5">
              <w:rPr>
                <w:noProof/>
                <w:webHidden/>
              </w:rPr>
            </w:r>
            <w:r w:rsidR="00DC79E5">
              <w:rPr>
                <w:noProof/>
                <w:webHidden/>
              </w:rPr>
              <w:fldChar w:fldCharType="separate"/>
            </w:r>
            <w:r w:rsidR="00DC79E5">
              <w:rPr>
                <w:noProof/>
                <w:webHidden/>
              </w:rPr>
              <w:t>14</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92" w:history="1">
            <w:r w:rsidR="00DC79E5" w:rsidRPr="004E4E70">
              <w:rPr>
                <w:rStyle w:val="Hyperlink"/>
                <w:noProof/>
                <w:lang w:val="en-CA"/>
              </w:rPr>
              <w:t>DTFP Funding History</w:t>
            </w:r>
            <w:r w:rsidR="00DC79E5">
              <w:rPr>
                <w:noProof/>
                <w:webHidden/>
              </w:rPr>
              <w:tab/>
            </w:r>
            <w:r w:rsidR="00DC79E5">
              <w:rPr>
                <w:noProof/>
                <w:webHidden/>
              </w:rPr>
              <w:fldChar w:fldCharType="begin"/>
            </w:r>
            <w:r w:rsidR="00DC79E5">
              <w:rPr>
                <w:noProof/>
                <w:webHidden/>
              </w:rPr>
              <w:instrText xml:space="preserve"> PAGEREF _Toc519260892 \h </w:instrText>
            </w:r>
            <w:r w:rsidR="00DC79E5">
              <w:rPr>
                <w:noProof/>
                <w:webHidden/>
              </w:rPr>
            </w:r>
            <w:r w:rsidR="00DC79E5">
              <w:rPr>
                <w:noProof/>
                <w:webHidden/>
              </w:rPr>
              <w:fldChar w:fldCharType="separate"/>
            </w:r>
            <w:r w:rsidR="00DC79E5">
              <w:rPr>
                <w:noProof/>
                <w:webHidden/>
              </w:rPr>
              <w:t>15</w:t>
            </w:r>
            <w:r w:rsidR="00DC79E5">
              <w:rPr>
                <w:noProof/>
                <w:webHidden/>
              </w:rPr>
              <w:fldChar w:fldCharType="end"/>
            </w:r>
          </w:hyperlink>
        </w:p>
        <w:p w:rsidR="00DC79E5" w:rsidRDefault="00612E97">
          <w:pPr>
            <w:pStyle w:val="TOC3"/>
            <w:tabs>
              <w:tab w:val="right" w:leader="dot" w:pos="8630"/>
            </w:tabs>
            <w:rPr>
              <w:rFonts w:eastAsiaTheme="minorEastAsia"/>
              <w:noProof/>
              <w:lang w:val="en-CA" w:eastAsia="en-CA"/>
            </w:rPr>
          </w:pPr>
          <w:hyperlink w:anchor="_Toc519260893" w:history="1">
            <w:r w:rsidR="00DC79E5" w:rsidRPr="004E4E70">
              <w:rPr>
                <w:rStyle w:val="Hyperlink"/>
                <w:noProof/>
                <w:lang w:val="en-CA"/>
              </w:rPr>
              <w:t>Consolidated Funding History (ADSI/SUAP)</w:t>
            </w:r>
            <w:r w:rsidR="00DC79E5">
              <w:rPr>
                <w:noProof/>
                <w:webHidden/>
              </w:rPr>
              <w:tab/>
            </w:r>
            <w:r w:rsidR="00DC79E5">
              <w:rPr>
                <w:noProof/>
                <w:webHidden/>
              </w:rPr>
              <w:fldChar w:fldCharType="begin"/>
            </w:r>
            <w:r w:rsidR="00DC79E5">
              <w:rPr>
                <w:noProof/>
                <w:webHidden/>
              </w:rPr>
              <w:instrText xml:space="preserve"> PAGEREF _Toc519260893 \h </w:instrText>
            </w:r>
            <w:r w:rsidR="00DC79E5">
              <w:rPr>
                <w:noProof/>
                <w:webHidden/>
              </w:rPr>
            </w:r>
            <w:r w:rsidR="00DC79E5">
              <w:rPr>
                <w:noProof/>
                <w:webHidden/>
              </w:rPr>
              <w:fldChar w:fldCharType="separate"/>
            </w:r>
            <w:r w:rsidR="00DC79E5">
              <w:rPr>
                <w:noProof/>
                <w:webHidden/>
              </w:rPr>
              <w:t>15</w:t>
            </w:r>
            <w:r w:rsidR="00DC79E5">
              <w:rPr>
                <w:noProof/>
                <w:webHidden/>
              </w:rPr>
              <w:fldChar w:fldCharType="end"/>
            </w:r>
          </w:hyperlink>
        </w:p>
        <w:p w:rsidR="0023683F" w:rsidRDefault="0023683F">
          <w:r>
            <w:rPr>
              <w:b/>
              <w:bCs/>
              <w:noProof/>
            </w:rPr>
            <w:fldChar w:fldCharType="end"/>
          </w:r>
        </w:p>
      </w:sdtContent>
    </w:sdt>
    <w:p w:rsidR="00D055EB" w:rsidRDefault="00D055EB" w:rsidP="00D055EB">
      <w:pPr>
        <w:pStyle w:val="Heading1"/>
        <w:spacing w:before="0" w:line="240" w:lineRule="auto"/>
        <w:rPr>
          <w:rFonts w:asciiTheme="minorHAnsi" w:hAnsiTheme="minorHAnsi"/>
          <w:lang w:val="en-CA"/>
        </w:rPr>
      </w:pPr>
    </w:p>
    <w:p w:rsidR="0023683F" w:rsidRDefault="0023683F" w:rsidP="0023683F">
      <w:pPr>
        <w:rPr>
          <w:lang w:val="en-CA"/>
        </w:rPr>
      </w:pPr>
    </w:p>
    <w:p w:rsidR="0023683F" w:rsidRPr="0023683F" w:rsidRDefault="0023683F" w:rsidP="0023683F">
      <w:pPr>
        <w:rPr>
          <w:lang w:val="en-CA"/>
        </w:rPr>
      </w:pPr>
    </w:p>
    <w:p w:rsidR="00D051A7" w:rsidRPr="00D055EB" w:rsidRDefault="00231B93" w:rsidP="00E722E4">
      <w:pPr>
        <w:pStyle w:val="Heading1"/>
        <w:spacing w:before="0" w:line="240" w:lineRule="auto"/>
        <w:rPr>
          <w:rFonts w:asciiTheme="minorHAnsi" w:hAnsiTheme="minorHAnsi"/>
          <w:lang w:val="en-CA"/>
        </w:rPr>
      </w:pPr>
      <w:bookmarkStart w:id="0" w:name="_Toc519260873"/>
      <w:r w:rsidRPr="00D055EB">
        <w:rPr>
          <w:rFonts w:asciiTheme="minorHAnsi" w:hAnsiTheme="minorHAnsi"/>
          <w:lang w:val="en-CA"/>
        </w:rPr>
        <w:t xml:space="preserve">History: </w:t>
      </w:r>
      <w:r w:rsidR="00740ADF" w:rsidRPr="00D055EB">
        <w:rPr>
          <w:rFonts w:asciiTheme="minorHAnsi" w:hAnsiTheme="minorHAnsi"/>
          <w:lang w:val="en-CA"/>
        </w:rPr>
        <w:t xml:space="preserve">Government of Canada </w:t>
      </w:r>
      <w:r w:rsidRPr="00D055EB">
        <w:rPr>
          <w:rFonts w:asciiTheme="minorHAnsi" w:hAnsiTheme="minorHAnsi"/>
          <w:lang w:val="en-CA"/>
        </w:rPr>
        <w:t>Drug Strategies</w:t>
      </w:r>
      <w:r w:rsidR="0013345F" w:rsidRPr="00D055EB">
        <w:rPr>
          <w:rFonts w:asciiTheme="minorHAnsi" w:hAnsiTheme="minorHAnsi"/>
          <w:lang w:val="en-CA"/>
        </w:rPr>
        <w:t xml:space="preserve"> and G&amp;C Programs</w:t>
      </w:r>
      <w:bookmarkEnd w:id="0"/>
    </w:p>
    <w:p w:rsidR="00D051A7" w:rsidRPr="00D055EB" w:rsidRDefault="00D051A7" w:rsidP="00E722E4">
      <w:pPr>
        <w:spacing w:after="0" w:line="240" w:lineRule="auto"/>
        <w:rPr>
          <w:lang w:val="en-CA"/>
        </w:rPr>
      </w:pPr>
    </w:p>
    <w:p w:rsidR="00D051A7" w:rsidRPr="00D055EB" w:rsidRDefault="00D051A7" w:rsidP="00E722E4">
      <w:pPr>
        <w:spacing w:after="0" w:line="240" w:lineRule="auto"/>
        <w:rPr>
          <w:sz w:val="24"/>
          <w:szCs w:val="24"/>
          <w:lang w:val="en-CA"/>
        </w:rPr>
      </w:pPr>
      <w:r w:rsidRPr="00D055EB">
        <w:rPr>
          <w:sz w:val="24"/>
          <w:szCs w:val="24"/>
          <w:lang w:val="en-CA"/>
        </w:rPr>
        <w:t xml:space="preserve">Canada has had successive drug strategies in place since 1987 that have aimed to balance public health and public safety objectives through the key pillars of prevention, treatment, enforcement and, at times, harm reduction. </w:t>
      </w:r>
    </w:p>
    <w:p w:rsidR="00D051A7" w:rsidRPr="00D055EB" w:rsidRDefault="00D051A7" w:rsidP="00E722E4">
      <w:pPr>
        <w:spacing w:after="0" w:line="240" w:lineRule="auto"/>
        <w:rPr>
          <w:b/>
          <w:sz w:val="24"/>
          <w:szCs w:val="24"/>
          <w:lang w:val="en-CA"/>
        </w:rPr>
      </w:pPr>
    </w:p>
    <w:p w:rsidR="00231B93" w:rsidRPr="00D055EB" w:rsidRDefault="00231B93" w:rsidP="00E722E4">
      <w:pPr>
        <w:pStyle w:val="Heading2"/>
        <w:spacing w:before="0" w:line="240" w:lineRule="auto"/>
        <w:rPr>
          <w:lang w:val="en-CA"/>
        </w:rPr>
      </w:pPr>
      <w:bookmarkStart w:id="1" w:name="_Toc519260874"/>
      <w:r w:rsidRPr="00D055EB">
        <w:rPr>
          <w:lang w:val="en-CA"/>
        </w:rPr>
        <w:t xml:space="preserve">1987-1992 </w:t>
      </w:r>
      <w:r w:rsidR="00740ADF" w:rsidRPr="00D055EB">
        <w:rPr>
          <w:lang w:val="en-CA"/>
        </w:rPr>
        <w:t>National Drug Strategy (Phase 1)</w:t>
      </w:r>
      <w:bookmarkEnd w:id="1"/>
    </w:p>
    <w:p w:rsidR="00231B93" w:rsidRPr="00D055EB" w:rsidRDefault="00740ADF" w:rsidP="00E722E4">
      <w:pPr>
        <w:spacing w:after="0" w:line="240" w:lineRule="auto"/>
        <w:rPr>
          <w:b/>
          <w:sz w:val="24"/>
          <w:szCs w:val="24"/>
          <w:lang w:val="en-CA"/>
        </w:rPr>
      </w:pPr>
      <w:r w:rsidRPr="00D055EB">
        <w:rPr>
          <w:sz w:val="24"/>
          <w:szCs w:val="24"/>
          <w:lang w:val="en-CA"/>
        </w:rPr>
        <w:t>Five-year, $210 million strategy with 6 strategic components:</w:t>
      </w:r>
      <w:r w:rsidRPr="00D055EB">
        <w:rPr>
          <w:b/>
          <w:sz w:val="24"/>
          <w:szCs w:val="24"/>
          <w:lang w:val="en-CA"/>
        </w:rPr>
        <w:t xml:space="preserve">  </w:t>
      </w:r>
      <w:r w:rsidR="00231B93" w:rsidRPr="00D055EB">
        <w:rPr>
          <w:sz w:val="24"/>
          <w:szCs w:val="24"/>
          <w:lang w:val="en-CA"/>
        </w:rPr>
        <w:t xml:space="preserve">education and prevention; treatment and rehabilitation; enforcement and control; information and research; international cooperation; and a national focus (aimed at identifying drug demand reduction programs that could serve a national purpose). </w:t>
      </w:r>
    </w:p>
    <w:p w:rsidR="00740ADF" w:rsidRPr="00D055EB" w:rsidRDefault="00740ADF" w:rsidP="00E722E4">
      <w:pPr>
        <w:pStyle w:val="NormalWeb"/>
        <w:spacing w:before="0" w:beforeAutospacing="0" w:after="0" w:afterAutospacing="0"/>
        <w:rPr>
          <w:rFonts w:asciiTheme="minorHAnsi" w:hAnsiTheme="minorHAnsi"/>
          <w:b/>
        </w:rPr>
      </w:pPr>
    </w:p>
    <w:p w:rsidR="00740ADF" w:rsidRPr="0045643A" w:rsidRDefault="00740ADF" w:rsidP="00E722E4">
      <w:pPr>
        <w:pStyle w:val="Heading2"/>
        <w:spacing w:before="0" w:line="240" w:lineRule="auto"/>
        <w:rPr>
          <w:lang w:val="en-CA"/>
        </w:rPr>
      </w:pPr>
      <w:bookmarkStart w:id="2" w:name="_Toc519260875"/>
      <w:r w:rsidRPr="0045643A">
        <w:rPr>
          <w:lang w:val="en-CA"/>
        </w:rPr>
        <w:t>1992-1998 Canada’s Drug Strategy (Phase 2)</w:t>
      </w:r>
      <w:bookmarkEnd w:id="2"/>
    </w:p>
    <w:p w:rsidR="00231B93" w:rsidRPr="00D055EB" w:rsidRDefault="00231B93" w:rsidP="00E722E4">
      <w:pPr>
        <w:pStyle w:val="NormalWeb"/>
        <w:spacing w:before="0" w:beforeAutospacing="0" w:after="0" w:afterAutospacing="0"/>
        <w:rPr>
          <w:rFonts w:asciiTheme="minorHAnsi" w:hAnsiTheme="minorHAnsi"/>
        </w:rPr>
      </w:pPr>
      <w:r w:rsidRPr="00D055EB">
        <w:rPr>
          <w:rFonts w:asciiTheme="minorHAnsi" w:hAnsiTheme="minorHAnsi"/>
        </w:rPr>
        <w:t>In 1992, the federal government renewed its commitment and launched a second phase of the strategy by merging the National Strategy to Reduce Impaired Driving and the National Drug Strategy.  This initiative was named Canada’s Drug Strategy.  The continued objective was to reduce the harmful effects of substance abuse on individuals, families, and communities by addressing both the supply of and demand for licit and illicit substances.  Of the $270 million allocated to the strategy, 60% was to be directed to demand reduction and 40% to supply reduction.</w:t>
      </w:r>
      <w:r w:rsidR="00740ADF" w:rsidRPr="00D055EB">
        <w:rPr>
          <w:rFonts w:asciiTheme="minorHAnsi" w:hAnsiTheme="minorHAnsi"/>
          <w:b/>
        </w:rPr>
        <w:t xml:space="preserve"> </w:t>
      </w:r>
      <w:r w:rsidRPr="00D055EB">
        <w:rPr>
          <w:rFonts w:asciiTheme="minorHAnsi" w:hAnsiTheme="minorHAnsi"/>
        </w:rPr>
        <w:t>In 1998, the federal government reaffirmed its commitment to the principles of the</w:t>
      </w:r>
      <w:r w:rsidR="00740ADF" w:rsidRPr="00D055EB">
        <w:rPr>
          <w:rFonts w:asciiTheme="minorHAnsi" w:hAnsiTheme="minorHAnsi"/>
        </w:rPr>
        <w:t xml:space="preserve"> </w:t>
      </w:r>
      <w:r w:rsidRPr="00D055EB">
        <w:rPr>
          <w:rFonts w:asciiTheme="minorHAnsi" w:hAnsiTheme="minorHAnsi"/>
        </w:rPr>
        <w:t>CDS.  Four pillars were identified:  education and prevention; treatment and rehabilitation; harm reduction; and enforcement and control.  However, funding was significantly reduced, and many advocates involved in the field of substance use and abuse policy expressed concerns at the consequences of such financial cutbacks.  In fact, many have referred to 1997-1998 as the sunset of Canada’s Drug Strategy.</w:t>
      </w:r>
    </w:p>
    <w:p w:rsidR="00740ADF" w:rsidRPr="00D055EB" w:rsidRDefault="00740ADF" w:rsidP="00E722E4">
      <w:pPr>
        <w:pStyle w:val="NormalWeb"/>
        <w:spacing w:before="0" w:beforeAutospacing="0" w:after="0" w:afterAutospacing="0"/>
        <w:rPr>
          <w:rFonts w:asciiTheme="minorHAnsi" w:hAnsiTheme="minorHAnsi"/>
        </w:rPr>
      </w:pPr>
    </w:p>
    <w:p w:rsidR="00740ADF" w:rsidRPr="0045643A" w:rsidRDefault="00740ADF" w:rsidP="00E722E4">
      <w:pPr>
        <w:pStyle w:val="Heading2"/>
        <w:spacing w:before="0" w:line="240" w:lineRule="auto"/>
        <w:rPr>
          <w:lang w:val="en-CA"/>
        </w:rPr>
      </w:pPr>
      <w:bookmarkStart w:id="3" w:name="_Toc519260876"/>
      <w:r w:rsidRPr="0045643A">
        <w:rPr>
          <w:lang w:val="en-CA"/>
        </w:rPr>
        <w:t>2003-2007 Canada’s Drug Strategy</w:t>
      </w:r>
      <w:r w:rsidR="0023683F" w:rsidRPr="0045643A">
        <w:rPr>
          <w:lang w:val="en-CA"/>
        </w:rPr>
        <w:t xml:space="preserve"> (CDS)</w:t>
      </w:r>
      <w:bookmarkEnd w:id="3"/>
    </w:p>
    <w:p w:rsidR="00740ADF" w:rsidRDefault="00740ADF" w:rsidP="00E722E4">
      <w:pPr>
        <w:pStyle w:val="NormalWeb"/>
        <w:spacing w:before="0" w:beforeAutospacing="0" w:after="0" w:afterAutospacing="0"/>
        <w:rPr>
          <w:rFonts w:asciiTheme="minorHAnsi" w:hAnsiTheme="minorHAnsi"/>
        </w:rPr>
      </w:pPr>
      <w:r w:rsidRPr="00D055EB">
        <w:rPr>
          <w:rFonts w:asciiTheme="minorHAnsi" w:hAnsiTheme="minorHAnsi"/>
        </w:rPr>
        <w:t xml:space="preserve">The Government of Canada announced in May 2003 that it was investing $245 million over the next five years in the CDS.  This announcement followed calls for a comprehensive renewed drug strategy with dedicated resources from the Auditor General of Canada (December 2001), the Senate Special Committee on Illegal Drugs (September 2002) and the House of Commons Special Committee on Non-Medical Use of Drugs (December 2002).  The four pillars of the renewed strategy remained prevention, treatment, harm reduction and enforcement.  The Government of Canada also broadened its commitment by investing in four new areas of activity:  leadership; research and monitoring; partnerships and intervention; and modernized legislation and policy. </w:t>
      </w:r>
    </w:p>
    <w:p w:rsidR="00D055EB" w:rsidRDefault="00D055EB" w:rsidP="00E722E4">
      <w:pPr>
        <w:pStyle w:val="NormalWeb"/>
        <w:spacing w:before="0" w:beforeAutospacing="0" w:after="0" w:afterAutospacing="0"/>
        <w:rPr>
          <w:rFonts w:asciiTheme="minorHAnsi" w:hAnsiTheme="minorHAnsi"/>
        </w:rPr>
      </w:pPr>
    </w:p>
    <w:p w:rsidR="008E76AC" w:rsidRPr="00BD31F4" w:rsidRDefault="008E76AC" w:rsidP="00E722E4">
      <w:pPr>
        <w:pStyle w:val="Heading3"/>
        <w:spacing w:before="0" w:line="240" w:lineRule="auto"/>
        <w:rPr>
          <w:lang w:val="en-CA"/>
        </w:rPr>
      </w:pPr>
      <w:bookmarkStart w:id="4" w:name="_Toc519260877"/>
      <w:r w:rsidRPr="008E76AC">
        <w:rPr>
          <w:lang w:val="en-CA"/>
        </w:rPr>
        <w:t>Program : Alcohol and Drug Treatment Rehabilitation (ADTR) Program</w:t>
      </w:r>
      <w:bookmarkEnd w:id="4"/>
    </w:p>
    <w:p w:rsidR="00E722E4" w:rsidRDefault="00E722E4" w:rsidP="00E722E4">
      <w:pPr>
        <w:pStyle w:val="NormalWeb"/>
        <w:spacing w:before="0" w:beforeAutospacing="0" w:after="0" w:afterAutospacing="0"/>
        <w:rPr>
          <w:rFonts w:asciiTheme="minorHAnsi" w:hAnsiTheme="minorHAnsi"/>
        </w:rPr>
      </w:pPr>
    </w:p>
    <w:p w:rsidR="008E76AC" w:rsidRPr="008E76AC" w:rsidRDefault="0023683F" w:rsidP="00E722E4">
      <w:pPr>
        <w:pStyle w:val="NormalWeb"/>
        <w:spacing w:before="0" w:beforeAutospacing="0" w:after="0" w:afterAutospacing="0"/>
        <w:rPr>
          <w:rFonts w:asciiTheme="minorHAnsi" w:hAnsiTheme="minorHAnsi"/>
        </w:rPr>
      </w:pPr>
      <w:r w:rsidRPr="000958F2">
        <w:rPr>
          <w:rFonts w:asciiTheme="minorHAnsi" w:hAnsiTheme="minorHAnsi"/>
        </w:rPr>
        <w:t xml:space="preserve">Health Canada supported the treatment and rehabilitation pillars directly through the </w:t>
      </w:r>
      <w:r w:rsidRPr="008E76AC">
        <w:rPr>
          <w:rFonts w:asciiTheme="minorHAnsi" w:hAnsiTheme="minorHAnsi"/>
          <w:b/>
          <w:color w:val="1F497D" w:themeColor="text2"/>
        </w:rPr>
        <w:t>Alcohol and Drug Treatment Rehabilitation (ADTR) Program</w:t>
      </w:r>
      <w:r w:rsidRPr="000958F2">
        <w:rPr>
          <w:rFonts w:asciiTheme="minorHAnsi" w:hAnsiTheme="minorHAnsi"/>
        </w:rPr>
        <w:t>, a Grants and Contributions (G&amp;C) funding program that was active from 1987-2007.</w:t>
      </w:r>
      <w:r w:rsidR="000958F2" w:rsidRPr="000958F2">
        <w:rPr>
          <w:rFonts w:asciiTheme="minorHAnsi" w:hAnsiTheme="minorHAnsi"/>
        </w:rPr>
        <w:t xml:space="preserve"> All ADTR funding was allocated to provincial and territorial treatment initiatives focused on </w:t>
      </w:r>
      <w:r w:rsidR="000958F2" w:rsidRPr="008E76AC">
        <w:rPr>
          <w:rFonts w:asciiTheme="minorHAnsi" w:hAnsiTheme="minorHAnsi"/>
        </w:rPr>
        <w:t>new/innovative treatment programs targeting women and youth as well as other at risk groups requiring specialized services.</w:t>
      </w:r>
      <w:r w:rsidR="008E76AC" w:rsidRPr="008E76AC">
        <w:rPr>
          <w:rFonts w:asciiTheme="minorHAnsi" w:hAnsiTheme="minorHAnsi"/>
        </w:rPr>
        <w:t xml:space="preserve"> Funding available for the ADTR included $20M annually from 1987-1992 and $14M annually from 1992-2006.</w:t>
      </w:r>
    </w:p>
    <w:p w:rsidR="000958F2" w:rsidRDefault="000958F2" w:rsidP="00E722E4">
      <w:pPr>
        <w:pStyle w:val="Level1"/>
        <w:widowControl/>
        <w:tabs>
          <w:tab w:val="left" w:pos="-170"/>
          <w:tab w:val="left" w:pos="940"/>
          <w:tab w:val="left" w:pos="1224"/>
          <w:tab w:val="left" w:pos="3700"/>
          <w:tab w:val="left" w:pos="6670"/>
          <w:tab w:val="left" w:pos="7210"/>
          <w:tab w:val="left" w:pos="9460"/>
          <w:tab w:val="left" w:pos="10630"/>
          <w:tab w:val="left" w:pos="11350"/>
          <w:tab w:val="left" w:pos="12070"/>
          <w:tab w:val="left" w:pos="12790"/>
          <w:tab w:val="left" w:pos="13510"/>
          <w:tab w:val="left" w:pos="14230"/>
          <w:tab w:val="left" w:pos="14950"/>
          <w:tab w:val="left" w:pos="15670"/>
          <w:tab w:val="left" w:pos="16390"/>
          <w:tab w:val="left" w:pos="17110"/>
          <w:tab w:val="left" w:pos="17830"/>
          <w:tab w:val="left" w:pos="18550"/>
        </w:tabs>
        <w:ind w:right="426"/>
        <w:rPr>
          <w:rFonts w:asciiTheme="minorHAnsi" w:hAnsiTheme="minorHAnsi"/>
          <w:color w:val="000000"/>
        </w:rPr>
      </w:pPr>
    </w:p>
    <w:p w:rsidR="008E76AC" w:rsidRPr="00BD31F4" w:rsidRDefault="008E76AC" w:rsidP="00E722E4">
      <w:pPr>
        <w:pStyle w:val="Heading3"/>
        <w:spacing w:before="0" w:line="240" w:lineRule="auto"/>
        <w:rPr>
          <w:color w:val="000000"/>
          <w:szCs w:val="20"/>
          <w:lang w:val="en-US"/>
        </w:rPr>
      </w:pPr>
      <w:bookmarkStart w:id="5" w:name="_Toc519260878"/>
      <w:r>
        <w:rPr>
          <w:lang w:val="en-CA"/>
        </w:rPr>
        <w:t xml:space="preserve">Program: </w:t>
      </w:r>
      <w:r w:rsidRPr="008E76AC">
        <w:rPr>
          <w:lang w:val="en-CA"/>
        </w:rPr>
        <w:t>Drug Strategy Community Initiatives Fund (DSCIF)</w:t>
      </w:r>
      <w:bookmarkEnd w:id="5"/>
    </w:p>
    <w:p w:rsidR="00E722E4" w:rsidRPr="00EA54F3" w:rsidRDefault="00E722E4" w:rsidP="00E722E4">
      <w:pPr>
        <w:pStyle w:val="NormalWeb"/>
        <w:spacing w:before="0" w:beforeAutospacing="0" w:after="0" w:afterAutospacing="0"/>
        <w:rPr>
          <w:rFonts w:asciiTheme="minorHAnsi" w:hAnsiTheme="minorHAnsi"/>
          <w:lang w:val="en-US"/>
        </w:rPr>
      </w:pPr>
    </w:p>
    <w:p w:rsidR="00BF5953" w:rsidRPr="008E76AC" w:rsidRDefault="0023683F" w:rsidP="00E722E4">
      <w:pPr>
        <w:pStyle w:val="NormalWeb"/>
        <w:spacing w:before="0" w:beforeAutospacing="0" w:after="0" w:afterAutospacing="0"/>
        <w:rPr>
          <w:rFonts w:asciiTheme="minorHAnsi" w:hAnsiTheme="minorHAnsi"/>
        </w:rPr>
      </w:pPr>
      <w:r w:rsidRPr="008E76AC">
        <w:rPr>
          <w:rFonts w:asciiTheme="minorHAnsi" w:hAnsiTheme="minorHAnsi"/>
        </w:rPr>
        <w:t xml:space="preserve">Health Canada supported the prevention (and harm reduction) pillars directly through </w:t>
      </w:r>
      <w:r w:rsidRPr="008E76AC">
        <w:rPr>
          <w:rFonts w:asciiTheme="minorHAnsi" w:hAnsiTheme="minorHAnsi"/>
          <w:b/>
          <w:color w:val="1F497D" w:themeColor="text2"/>
        </w:rPr>
        <w:t>Drug Strategy Community Initiatives Fund (DSCIF)</w:t>
      </w:r>
      <w:r w:rsidRPr="008E76AC">
        <w:rPr>
          <w:rFonts w:asciiTheme="minorHAnsi" w:hAnsiTheme="minorHAnsi"/>
        </w:rPr>
        <w:t>, a G&amp;C funding program that was created in 2004 following the renewal of the CDS.</w:t>
      </w:r>
      <w:r w:rsidR="000958F2" w:rsidRPr="008E76AC">
        <w:rPr>
          <w:rFonts w:asciiTheme="minorHAnsi" w:hAnsiTheme="minorHAnsi"/>
        </w:rPr>
        <w:t xml:space="preserve"> T</w:t>
      </w:r>
      <w:r w:rsidR="008E76AC" w:rsidRPr="008E76AC">
        <w:rPr>
          <w:rFonts w:asciiTheme="minorHAnsi" w:hAnsiTheme="minorHAnsi"/>
        </w:rPr>
        <w:t xml:space="preserve">he DSCIF supported community-based </w:t>
      </w:r>
      <w:r w:rsidR="00603FB5" w:rsidRPr="008E76AC">
        <w:rPr>
          <w:rFonts w:asciiTheme="minorHAnsi" w:hAnsiTheme="minorHAnsi"/>
        </w:rPr>
        <w:t>initiatives to address a range of issues related to preventi</w:t>
      </w:r>
      <w:r w:rsidR="008E76AC" w:rsidRPr="008E76AC">
        <w:rPr>
          <w:rFonts w:asciiTheme="minorHAnsi" w:hAnsiTheme="minorHAnsi"/>
        </w:rPr>
        <w:t xml:space="preserve">on, health </w:t>
      </w:r>
      <w:r w:rsidR="00603FB5" w:rsidRPr="008E76AC">
        <w:rPr>
          <w:rFonts w:asciiTheme="minorHAnsi" w:hAnsiTheme="minorHAnsi"/>
        </w:rPr>
        <w:t>promot</w:t>
      </w:r>
      <w:r w:rsidR="008E76AC" w:rsidRPr="008E76AC">
        <w:rPr>
          <w:rFonts w:asciiTheme="minorHAnsi" w:hAnsiTheme="minorHAnsi"/>
        </w:rPr>
        <w:t xml:space="preserve">ion </w:t>
      </w:r>
      <w:r w:rsidR="00603FB5" w:rsidRPr="008E76AC">
        <w:rPr>
          <w:rFonts w:asciiTheme="minorHAnsi" w:hAnsiTheme="minorHAnsi"/>
        </w:rPr>
        <w:t>and harm reduction</w:t>
      </w:r>
      <w:r w:rsidR="008E76AC" w:rsidRPr="008E76AC">
        <w:rPr>
          <w:rFonts w:asciiTheme="minorHAnsi" w:hAnsiTheme="minorHAnsi"/>
        </w:rPr>
        <w:t>.</w:t>
      </w:r>
      <w:r w:rsidR="00603FB5" w:rsidRPr="008E76AC">
        <w:rPr>
          <w:rFonts w:asciiTheme="minorHAnsi" w:hAnsiTheme="minorHAnsi"/>
        </w:rPr>
        <w:t xml:space="preserve"> </w:t>
      </w:r>
      <w:r w:rsidR="000958F2" w:rsidRPr="008E76AC">
        <w:rPr>
          <w:rFonts w:asciiTheme="minorHAnsi" w:hAnsiTheme="minorHAnsi"/>
        </w:rPr>
        <w:t>The program was delivered nationally and through regional offices in British Columbia, Alberta, Manitoba-Saskatchewan, Ontario, Quebec, and the Atlantic.</w:t>
      </w:r>
      <w:r w:rsidR="008E76AC" w:rsidRPr="008E76AC">
        <w:rPr>
          <w:rFonts w:asciiTheme="minorHAnsi" w:hAnsiTheme="minorHAnsi"/>
        </w:rPr>
        <w:t xml:space="preserve"> The program had $9.8M in funding available annually. Approximately 62% of this funding was delivered regionally and the remaining 38% to national projects.</w:t>
      </w:r>
    </w:p>
    <w:p w:rsidR="00BF5953" w:rsidRPr="00D055EB" w:rsidRDefault="00BF5953" w:rsidP="00E722E4">
      <w:pPr>
        <w:spacing w:after="0" w:line="240" w:lineRule="auto"/>
        <w:rPr>
          <w:rFonts w:eastAsia="Times New Roman" w:cs="Arial"/>
          <w:b/>
          <w:sz w:val="24"/>
          <w:szCs w:val="24"/>
          <w:lang w:val="en-CA" w:eastAsia="en-CA"/>
        </w:rPr>
      </w:pPr>
    </w:p>
    <w:p w:rsidR="002D12C0" w:rsidRPr="00D055EB" w:rsidRDefault="00D051A7" w:rsidP="00E722E4">
      <w:pPr>
        <w:pStyle w:val="Heading2"/>
        <w:spacing w:before="0" w:line="240" w:lineRule="auto"/>
        <w:rPr>
          <w:rFonts w:eastAsia="Times New Roman"/>
          <w:lang w:val="en-CA" w:eastAsia="en-CA"/>
        </w:rPr>
      </w:pPr>
      <w:bookmarkStart w:id="6" w:name="_Toc519260879"/>
      <w:r w:rsidRPr="00D055EB">
        <w:rPr>
          <w:rFonts w:eastAsia="Times New Roman"/>
          <w:lang w:val="en-CA" w:eastAsia="en-CA"/>
        </w:rPr>
        <w:t xml:space="preserve">2007-2016 </w:t>
      </w:r>
      <w:r w:rsidR="002D12C0" w:rsidRPr="00D055EB">
        <w:rPr>
          <w:rFonts w:eastAsia="Times New Roman"/>
          <w:lang w:val="en-CA" w:eastAsia="en-CA"/>
        </w:rPr>
        <w:t>National Anti-Drug Strategy (NADS)</w:t>
      </w:r>
      <w:bookmarkEnd w:id="6"/>
    </w:p>
    <w:p w:rsidR="00BD31F4" w:rsidRDefault="00D051A7" w:rsidP="00E722E4">
      <w:pPr>
        <w:pStyle w:val="NormalWeb"/>
        <w:spacing w:before="0" w:beforeAutospacing="0" w:after="0" w:afterAutospacing="0"/>
        <w:rPr>
          <w:rFonts w:asciiTheme="minorHAnsi" w:hAnsiTheme="minorHAnsi"/>
        </w:rPr>
      </w:pPr>
      <w:r w:rsidRPr="00D055EB">
        <w:rPr>
          <w:rFonts w:asciiTheme="minorHAnsi" w:hAnsiTheme="minorHAnsi"/>
        </w:rPr>
        <w:t>The Government of Canada announced the National Anti-Drug Strategy on October 4, 2007, delivering on its platform commitment to “enact a national drug strategy with particular emphasis on youth”.  The NADS received five-year funding to support three Action Plans: Prevention, Treatment and Enforcement. Harm Reduction was officially removed as a pillar. The NADS was renewed in 2012.</w:t>
      </w:r>
    </w:p>
    <w:p w:rsidR="00E722E4" w:rsidRDefault="00E722E4" w:rsidP="00E722E4">
      <w:pPr>
        <w:pStyle w:val="Heading3"/>
        <w:spacing w:before="0" w:line="240" w:lineRule="auto"/>
        <w:rPr>
          <w:rFonts w:asciiTheme="minorHAnsi" w:hAnsiTheme="minorHAnsi"/>
          <w:lang w:val="en-CA"/>
        </w:rPr>
      </w:pPr>
    </w:p>
    <w:p w:rsidR="00BD31F4" w:rsidRPr="00BD31F4" w:rsidRDefault="00BD31F4" w:rsidP="00E722E4">
      <w:pPr>
        <w:pStyle w:val="Heading3"/>
        <w:spacing w:before="0" w:line="240" w:lineRule="auto"/>
        <w:rPr>
          <w:rFonts w:asciiTheme="minorHAnsi" w:hAnsiTheme="minorHAnsi"/>
          <w:lang w:val="en-CA"/>
        </w:rPr>
      </w:pPr>
      <w:bookmarkStart w:id="7" w:name="_Toc519260880"/>
      <w:r w:rsidRPr="00BD31F4">
        <w:rPr>
          <w:rFonts w:asciiTheme="minorHAnsi" w:hAnsiTheme="minorHAnsi"/>
          <w:lang w:val="en-CA"/>
        </w:rPr>
        <w:t xml:space="preserve">Program: </w:t>
      </w:r>
      <w:r w:rsidRPr="00BD31F4">
        <w:rPr>
          <w:lang w:val="en-CA"/>
        </w:rPr>
        <w:t>Drug Treatment Funding Program (DTFP)</w:t>
      </w:r>
      <w:bookmarkEnd w:id="7"/>
    </w:p>
    <w:p w:rsidR="00E722E4" w:rsidRDefault="00E722E4" w:rsidP="00E722E4">
      <w:pPr>
        <w:spacing w:after="0" w:line="240" w:lineRule="auto"/>
        <w:rPr>
          <w:sz w:val="24"/>
          <w:szCs w:val="24"/>
          <w:lang w:val="en-CA"/>
        </w:rPr>
      </w:pPr>
    </w:p>
    <w:p w:rsidR="00BD31F4" w:rsidRPr="00247DDA" w:rsidRDefault="00BD31F4" w:rsidP="00E722E4">
      <w:pPr>
        <w:spacing w:after="0" w:line="240" w:lineRule="auto"/>
        <w:rPr>
          <w:sz w:val="24"/>
          <w:szCs w:val="24"/>
          <w:lang w:val="en-CA"/>
        </w:rPr>
      </w:pPr>
      <w:r w:rsidRPr="00247DDA">
        <w:rPr>
          <w:sz w:val="24"/>
          <w:szCs w:val="24"/>
          <w:lang w:val="en-CA"/>
        </w:rPr>
        <w:t xml:space="preserve">Under the NADS Treatment Action Plan, the </w:t>
      </w:r>
      <w:r w:rsidRPr="00247DDA">
        <w:rPr>
          <w:b/>
          <w:color w:val="1F497D" w:themeColor="text2"/>
          <w:sz w:val="24"/>
          <w:szCs w:val="24"/>
          <w:lang w:val="en-CA"/>
        </w:rPr>
        <w:t>Drug Treatment Funding Program (DTFP)</w:t>
      </w:r>
      <w:r w:rsidRPr="00247DDA">
        <w:rPr>
          <w:color w:val="1F497D" w:themeColor="text2"/>
          <w:sz w:val="24"/>
          <w:szCs w:val="24"/>
          <w:lang w:val="en-CA"/>
        </w:rPr>
        <w:t xml:space="preserve"> </w:t>
      </w:r>
      <w:r w:rsidRPr="00247DDA">
        <w:rPr>
          <w:sz w:val="24"/>
          <w:szCs w:val="24"/>
          <w:lang w:val="en-CA"/>
        </w:rPr>
        <w:t>was announced/created, effective April 2008, to make Improvements to substance use treatment systems (re-oriented funding from the ADTR) and provide new five-year time-limited funding (2007-2011) to assist provincial and territorial governments in addr</w:t>
      </w:r>
      <w:r w:rsidR="00662D45" w:rsidRPr="00247DDA">
        <w:rPr>
          <w:sz w:val="24"/>
          <w:szCs w:val="24"/>
          <w:lang w:val="en-CA"/>
        </w:rPr>
        <w:t>essing critical treatment needs, primarily focused on treatment system enhancements.</w:t>
      </w:r>
      <w:r w:rsidRPr="00247DDA">
        <w:rPr>
          <w:sz w:val="24"/>
          <w:szCs w:val="24"/>
          <w:lang w:val="en-CA"/>
        </w:rPr>
        <w:t xml:space="preserve"> Relevant TB Sub: #833862 entitled </w:t>
      </w:r>
      <w:r w:rsidRPr="00247DDA">
        <w:rPr>
          <w:i/>
          <w:iCs/>
          <w:sz w:val="24"/>
          <w:szCs w:val="24"/>
          <w:lang w:val="en-CA"/>
        </w:rPr>
        <w:t xml:space="preserve">Investments in the Prevention and Treatment Action Plans of the National Anti-Drug Strategy </w:t>
      </w:r>
      <w:r w:rsidRPr="00247DDA">
        <w:rPr>
          <w:iCs/>
          <w:sz w:val="24"/>
          <w:szCs w:val="24"/>
          <w:lang w:val="en-CA"/>
        </w:rPr>
        <w:t>(2008).</w:t>
      </w:r>
      <w:r w:rsidRPr="00247DDA">
        <w:rPr>
          <w:i/>
          <w:iCs/>
          <w:sz w:val="24"/>
          <w:szCs w:val="24"/>
          <w:lang w:val="en-CA"/>
        </w:rPr>
        <w:t xml:space="preserve"> </w:t>
      </w:r>
      <w:r w:rsidR="00662D45" w:rsidRPr="00247DDA">
        <w:rPr>
          <w:iCs/>
          <w:sz w:val="24"/>
          <w:szCs w:val="24"/>
          <w:lang w:val="en-CA"/>
        </w:rPr>
        <w:t xml:space="preserve">The DTFP received approximately </w:t>
      </w:r>
      <w:r w:rsidR="00662D45" w:rsidRPr="00247DDA">
        <w:rPr>
          <w:sz w:val="24"/>
          <w:szCs w:val="24"/>
          <w:lang w:val="en-CA"/>
        </w:rPr>
        <w:t xml:space="preserve">$13.2 million annually in A-based, on-going G&amp;C funding. The TB Sub also included 5-year sun setting funding specific to treatment services as well as five-year sun setting funding specific to funding for Vancouver’s Downtown Eastside neighbourhoods. </w:t>
      </w:r>
    </w:p>
    <w:p w:rsidR="00E722E4" w:rsidRDefault="00E722E4" w:rsidP="00E722E4">
      <w:pPr>
        <w:pStyle w:val="Heading3"/>
        <w:spacing w:before="0" w:line="240" w:lineRule="auto"/>
        <w:rPr>
          <w:lang w:val="en-CA"/>
        </w:rPr>
      </w:pPr>
    </w:p>
    <w:p w:rsidR="00BD31F4" w:rsidRPr="00BD31F4" w:rsidRDefault="00BD31F4" w:rsidP="00E722E4">
      <w:pPr>
        <w:pStyle w:val="Heading3"/>
        <w:spacing w:before="0" w:line="240" w:lineRule="auto"/>
        <w:rPr>
          <w:color w:val="000000"/>
          <w:szCs w:val="20"/>
          <w:lang w:val="en-US"/>
        </w:rPr>
      </w:pPr>
      <w:bookmarkStart w:id="8" w:name="_Toc519260881"/>
      <w:r>
        <w:rPr>
          <w:lang w:val="en-CA"/>
        </w:rPr>
        <w:t xml:space="preserve">Program: </w:t>
      </w:r>
      <w:r w:rsidRPr="008E76AC">
        <w:rPr>
          <w:lang w:val="en-CA"/>
        </w:rPr>
        <w:t>Drug Strategy Community Initiatives Fund (DSCIF)</w:t>
      </w:r>
      <w:bookmarkEnd w:id="8"/>
    </w:p>
    <w:p w:rsidR="00E722E4" w:rsidRDefault="00E722E4" w:rsidP="00E722E4">
      <w:pPr>
        <w:spacing w:after="0" w:line="240" w:lineRule="auto"/>
        <w:rPr>
          <w:sz w:val="24"/>
          <w:szCs w:val="24"/>
          <w:lang w:val="en-CA"/>
        </w:rPr>
      </w:pPr>
    </w:p>
    <w:p w:rsidR="00662D45" w:rsidRPr="00BD31F4" w:rsidRDefault="00BD31F4" w:rsidP="00E722E4">
      <w:pPr>
        <w:spacing w:after="0" w:line="240" w:lineRule="auto"/>
        <w:rPr>
          <w:sz w:val="24"/>
          <w:szCs w:val="24"/>
          <w:lang w:val="en-CA"/>
        </w:rPr>
      </w:pPr>
      <w:r w:rsidRPr="00BD31F4">
        <w:rPr>
          <w:sz w:val="24"/>
          <w:szCs w:val="24"/>
          <w:lang w:val="en-CA"/>
        </w:rPr>
        <w:t xml:space="preserve">Under the NADS Prevention Action Plan, the </w:t>
      </w:r>
      <w:r w:rsidRPr="00BD31F4">
        <w:rPr>
          <w:b/>
          <w:color w:val="1F497D" w:themeColor="text2"/>
          <w:sz w:val="24"/>
          <w:szCs w:val="24"/>
          <w:lang w:val="en-CA"/>
        </w:rPr>
        <w:t>DSCIF</w:t>
      </w:r>
      <w:r w:rsidRPr="00BD31F4">
        <w:rPr>
          <w:sz w:val="24"/>
          <w:szCs w:val="24"/>
          <w:lang w:val="en-CA"/>
        </w:rPr>
        <w:t xml:space="preserve"> co</w:t>
      </w:r>
      <w:r>
        <w:rPr>
          <w:sz w:val="24"/>
          <w:szCs w:val="24"/>
          <w:lang w:val="en-CA"/>
        </w:rPr>
        <w:t>ntinued to provide G&amp;C funding with the the same funding amounts as the CDS ($9.8M in A-based, ongoing funding)</w:t>
      </w:r>
      <w:r w:rsidR="00662D45">
        <w:rPr>
          <w:sz w:val="24"/>
          <w:szCs w:val="24"/>
          <w:lang w:val="en-CA"/>
        </w:rPr>
        <w:t xml:space="preserve"> to support a mix of local, regional and national initiatives. The focus was on youth prevention. The policy authority removed the ability of the program to target alcohol or substance use harm reduction, both of which were not included in the NADS. In April 2012, as a result of the Deficit Reduction Action Plan, the program shifted from a regionally delivered program to completely national.</w:t>
      </w:r>
    </w:p>
    <w:p w:rsidR="00E722E4" w:rsidRDefault="00E722E4" w:rsidP="00E722E4">
      <w:pPr>
        <w:pStyle w:val="Heading3"/>
        <w:spacing w:before="0" w:line="240" w:lineRule="auto"/>
        <w:rPr>
          <w:lang w:val="en-CA"/>
        </w:rPr>
      </w:pPr>
    </w:p>
    <w:p w:rsidR="00662D45" w:rsidRDefault="00662D45" w:rsidP="00E722E4">
      <w:pPr>
        <w:pStyle w:val="Heading3"/>
        <w:spacing w:before="0" w:line="240" w:lineRule="auto"/>
        <w:rPr>
          <w:lang w:val="en-CA"/>
        </w:rPr>
      </w:pPr>
      <w:bookmarkStart w:id="9" w:name="_Toc519260882"/>
      <w:r>
        <w:rPr>
          <w:lang w:val="en-CA"/>
        </w:rPr>
        <w:t>Program: Anti-Drug Strategy Initiatives (ADSI)</w:t>
      </w:r>
      <w:bookmarkEnd w:id="9"/>
    </w:p>
    <w:p w:rsidR="00E722E4" w:rsidRDefault="00E722E4" w:rsidP="00E722E4">
      <w:pPr>
        <w:spacing w:after="0" w:line="240" w:lineRule="auto"/>
        <w:rPr>
          <w:sz w:val="24"/>
          <w:szCs w:val="24"/>
          <w:lang w:val="en-CA"/>
        </w:rPr>
      </w:pPr>
    </w:p>
    <w:p w:rsidR="00BD31F4" w:rsidRDefault="00BD31F4" w:rsidP="00E722E4">
      <w:pPr>
        <w:spacing w:after="0" w:line="240" w:lineRule="auto"/>
        <w:rPr>
          <w:iCs/>
          <w:sz w:val="24"/>
          <w:szCs w:val="24"/>
          <w:lang w:val="en-CA"/>
        </w:rPr>
      </w:pPr>
      <w:r w:rsidRPr="00BD31F4">
        <w:rPr>
          <w:sz w:val="24"/>
          <w:szCs w:val="24"/>
          <w:lang w:val="en-CA"/>
        </w:rPr>
        <w:t xml:space="preserve">In December 2014, the </w:t>
      </w:r>
      <w:r w:rsidRPr="00662D45">
        <w:rPr>
          <w:b/>
          <w:color w:val="1F497D" w:themeColor="text2"/>
          <w:sz w:val="24"/>
          <w:szCs w:val="24"/>
          <w:lang w:val="en-CA"/>
        </w:rPr>
        <w:t>DTFP</w:t>
      </w:r>
      <w:r w:rsidRPr="00662D45">
        <w:rPr>
          <w:color w:val="1F497D" w:themeColor="text2"/>
          <w:sz w:val="24"/>
          <w:szCs w:val="24"/>
          <w:lang w:val="en-CA"/>
        </w:rPr>
        <w:t xml:space="preserve"> </w:t>
      </w:r>
      <w:r w:rsidRPr="00BD31F4">
        <w:rPr>
          <w:sz w:val="24"/>
          <w:szCs w:val="24"/>
          <w:lang w:val="en-CA"/>
        </w:rPr>
        <w:t xml:space="preserve">and </w:t>
      </w:r>
      <w:r w:rsidRPr="00662D45">
        <w:rPr>
          <w:b/>
          <w:color w:val="1F497D" w:themeColor="text2"/>
          <w:sz w:val="24"/>
          <w:szCs w:val="24"/>
          <w:lang w:val="en-CA"/>
        </w:rPr>
        <w:t>DSCIF</w:t>
      </w:r>
      <w:r w:rsidRPr="00BD31F4">
        <w:rPr>
          <w:b/>
          <w:color w:val="FF0000"/>
          <w:sz w:val="24"/>
          <w:szCs w:val="24"/>
          <w:lang w:val="en-CA"/>
        </w:rPr>
        <w:t xml:space="preserve"> </w:t>
      </w:r>
      <w:r w:rsidRPr="00BD31F4">
        <w:rPr>
          <w:sz w:val="24"/>
          <w:szCs w:val="24"/>
          <w:lang w:val="en-CA"/>
        </w:rPr>
        <w:t xml:space="preserve">funding programs merged into a single G&amp;C funding program called the </w:t>
      </w:r>
      <w:r w:rsidRPr="00662D45">
        <w:rPr>
          <w:b/>
          <w:color w:val="1F497D" w:themeColor="text2"/>
          <w:sz w:val="24"/>
          <w:szCs w:val="24"/>
          <w:lang w:val="en-CA"/>
        </w:rPr>
        <w:t>Anti-Drug Strategy Initiatives (ADSI)</w:t>
      </w:r>
      <w:r w:rsidRPr="00662D45">
        <w:rPr>
          <w:sz w:val="24"/>
          <w:szCs w:val="24"/>
          <w:lang w:val="en-CA"/>
        </w:rPr>
        <w:t>.</w:t>
      </w:r>
      <w:r w:rsidRPr="00662D45">
        <w:rPr>
          <w:color w:val="1F497D" w:themeColor="text2"/>
          <w:sz w:val="24"/>
          <w:szCs w:val="24"/>
          <w:lang w:val="en-CA"/>
        </w:rPr>
        <w:t xml:space="preserve"> </w:t>
      </w:r>
      <w:r w:rsidRPr="00BD31F4">
        <w:rPr>
          <w:sz w:val="24"/>
          <w:szCs w:val="24"/>
          <w:lang w:val="en-CA"/>
        </w:rPr>
        <w:t xml:space="preserve">The ADSI continued to </w:t>
      </w:r>
      <w:r w:rsidRPr="00E722E4">
        <w:rPr>
          <w:sz w:val="24"/>
          <w:szCs w:val="24"/>
          <w:lang w:val="en-CA"/>
        </w:rPr>
        <w:t>support the Prevention and Treatment Action Plans of the NADS.</w:t>
      </w:r>
      <w:r w:rsidR="00662D45" w:rsidRPr="00E722E4">
        <w:rPr>
          <w:sz w:val="24"/>
          <w:szCs w:val="24"/>
          <w:lang w:val="en-CA"/>
        </w:rPr>
        <w:t xml:space="preserve"> Relevant TB Sub: </w:t>
      </w:r>
      <w:r w:rsidR="00E722E4" w:rsidRPr="00E722E4">
        <w:rPr>
          <w:i/>
          <w:iCs/>
          <w:sz w:val="24"/>
          <w:szCs w:val="24"/>
          <w:lang w:val="en-CA"/>
        </w:rPr>
        <w:t xml:space="preserve">Preventing Prescription Drug Abuse </w:t>
      </w:r>
      <w:r w:rsidR="00E722E4" w:rsidRPr="00E722E4">
        <w:rPr>
          <w:iCs/>
          <w:sz w:val="24"/>
          <w:szCs w:val="24"/>
          <w:lang w:val="en-CA"/>
        </w:rPr>
        <w:t>(2014).</w:t>
      </w:r>
    </w:p>
    <w:p w:rsidR="00F968B0" w:rsidRDefault="00F968B0" w:rsidP="00E722E4">
      <w:pPr>
        <w:spacing w:after="0" w:line="240" w:lineRule="auto"/>
        <w:rPr>
          <w:iCs/>
          <w:sz w:val="24"/>
          <w:szCs w:val="24"/>
          <w:lang w:val="en-CA"/>
        </w:rPr>
      </w:pPr>
    </w:p>
    <w:p w:rsidR="00F968B0" w:rsidRDefault="00F968B0" w:rsidP="00E722E4">
      <w:pPr>
        <w:spacing w:after="0" w:line="240" w:lineRule="auto"/>
        <w:rPr>
          <w:iCs/>
          <w:sz w:val="24"/>
          <w:szCs w:val="24"/>
          <w:lang w:val="en-CA"/>
        </w:rPr>
      </w:pPr>
      <w:r>
        <w:rPr>
          <w:iCs/>
          <w:sz w:val="24"/>
          <w:szCs w:val="24"/>
          <w:lang w:val="en-CA"/>
        </w:rPr>
        <w:t>The program did not receive additional funding in the TB Sub. Core, A-based, ongoing funding remained at approximately $26.3M inclusive of previous DSCIF, DTFP and CCSA Named Grant funding.</w:t>
      </w:r>
    </w:p>
    <w:p w:rsidR="00F968B0" w:rsidRDefault="00F968B0" w:rsidP="00E722E4">
      <w:pPr>
        <w:spacing w:after="0" w:line="240" w:lineRule="auto"/>
        <w:rPr>
          <w:iCs/>
          <w:sz w:val="24"/>
          <w:szCs w:val="24"/>
          <w:lang w:val="en-CA"/>
        </w:rPr>
      </w:pPr>
    </w:p>
    <w:p w:rsidR="00F968B0" w:rsidRDefault="00F968B0" w:rsidP="00E722E4">
      <w:pPr>
        <w:spacing w:after="0" w:line="240" w:lineRule="auto"/>
        <w:rPr>
          <w:iCs/>
          <w:sz w:val="24"/>
          <w:szCs w:val="24"/>
          <w:lang w:val="en-CA"/>
        </w:rPr>
      </w:pPr>
      <w:r>
        <w:rPr>
          <w:iCs/>
          <w:sz w:val="24"/>
          <w:szCs w:val="24"/>
          <w:lang w:val="en-CA"/>
        </w:rPr>
        <w:t>In support of the merger and in response to program evaluation, a Program Framework document was created. This document outlined a new approach to program delivery under a consolidated program.</w:t>
      </w:r>
    </w:p>
    <w:p w:rsidR="00EA54F3" w:rsidRDefault="00EA54F3" w:rsidP="00E722E4">
      <w:pPr>
        <w:spacing w:after="0" w:line="240" w:lineRule="auto"/>
        <w:rPr>
          <w:iCs/>
          <w:color w:val="FF0000"/>
          <w:sz w:val="24"/>
          <w:szCs w:val="24"/>
          <w:lang w:val="en-CA"/>
        </w:rPr>
      </w:pPr>
    </w:p>
    <w:p w:rsidR="00EA54F3" w:rsidRPr="00EA54F3" w:rsidRDefault="00EA54F3" w:rsidP="00EA54F3">
      <w:pPr>
        <w:spacing w:after="0" w:line="240" w:lineRule="auto"/>
        <w:rPr>
          <w:noProof/>
          <w:sz w:val="24"/>
          <w:szCs w:val="24"/>
          <w:lang w:val="en-CA"/>
        </w:rPr>
      </w:pPr>
      <w:r w:rsidRPr="00EA54F3">
        <w:rPr>
          <w:noProof/>
          <w:sz w:val="24"/>
          <w:szCs w:val="24"/>
          <w:lang w:val="en-CA"/>
        </w:rPr>
        <w:t>In 2015, a targeted solicitation was issued for projects focused on developing new</w:t>
      </w:r>
      <w:r w:rsidR="00AA737C">
        <w:rPr>
          <w:noProof/>
          <w:sz w:val="24"/>
          <w:szCs w:val="24"/>
          <w:lang w:val="en-CA"/>
        </w:rPr>
        <w:t xml:space="preserve"> or enhancing existing practice</w:t>
      </w:r>
      <w:r w:rsidRPr="00EA54F3">
        <w:rPr>
          <w:noProof/>
          <w:sz w:val="24"/>
          <w:szCs w:val="24"/>
          <w:lang w:val="en-CA"/>
        </w:rPr>
        <w:t xml:space="preserve"> guidelines, training and tools rel</w:t>
      </w:r>
      <w:r w:rsidR="00AA737C">
        <w:rPr>
          <w:noProof/>
          <w:sz w:val="24"/>
          <w:szCs w:val="24"/>
          <w:lang w:val="en-CA"/>
        </w:rPr>
        <w:t xml:space="preserve">ated to prescription drugs </w:t>
      </w:r>
      <w:r w:rsidRPr="00EA54F3">
        <w:rPr>
          <w:noProof/>
          <w:sz w:val="24"/>
          <w:szCs w:val="24"/>
          <w:lang w:val="en-CA"/>
        </w:rPr>
        <w:t>and prescriber education. As a result, seven multi-year (2015-17) projects were funded including:</w:t>
      </w:r>
    </w:p>
    <w:p w:rsidR="00EA54F3" w:rsidRPr="00EA54F3" w:rsidRDefault="00EA54F3" w:rsidP="00EA54F3">
      <w:pPr>
        <w:spacing w:after="0" w:line="240" w:lineRule="auto"/>
        <w:rPr>
          <w:noProof/>
          <w:sz w:val="24"/>
          <w:szCs w:val="24"/>
          <w:lang w:val="en-CA"/>
        </w:rPr>
      </w:pP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Institute for Safe Medication Practices Canada</w:t>
      </w:r>
      <w:r>
        <w:rPr>
          <w:b/>
          <w:sz w:val="24"/>
          <w:szCs w:val="24"/>
          <w:lang w:val="en-CA"/>
        </w:rPr>
        <w:t xml:space="preserve">: </w:t>
      </w:r>
      <w:r w:rsidRPr="00EA54F3">
        <w:rPr>
          <w:i/>
          <w:sz w:val="24"/>
          <w:szCs w:val="24"/>
          <w:lang w:val="en-CA"/>
        </w:rPr>
        <w:t>Safer Decisions Save Lives – Enhanced Clinical Decision Support Systems Designed to Reduce Prescriptions for Opioids (SDSL)</w:t>
      </w: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Toronto Rehabilitation Insti</w:t>
      </w:r>
      <w:r>
        <w:rPr>
          <w:b/>
          <w:sz w:val="24"/>
          <w:szCs w:val="24"/>
          <w:lang w:val="en-CA"/>
        </w:rPr>
        <w:t xml:space="preserve">tute University Health Network: </w:t>
      </w:r>
      <w:r w:rsidRPr="00EA54F3">
        <w:rPr>
          <w:i/>
          <w:sz w:val="24"/>
          <w:szCs w:val="24"/>
          <w:lang w:val="en-CA"/>
        </w:rPr>
        <w:t>Improving Canadian Family Physician Knowledge and Performance in Safe Prescribing of Opioids for Chronic Non-Cancer Pain</w:t>
      </w: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Canadian Association of Schools of Nursing</w:t>
      </w:r>
      <w:r>
        <w:rPr>
          <w:b/>
          <w:sz w:val="24"/>
          <w:szCs w:val="24"/>
          <w:lang w:val="en-CA"/>
        </w:rPr>
        <w:t xml:space="preserve">: </w:t>
      </w:r>
      <w:r w:rsidRPr="00EA54F3">
        <w:rPr>
          <w:i/>
          <w:sz w:val="24"/>
          <w:szCs w:val="24"/>
          <w:lang w:val="en-CA"/>
        </w:rPr>
        <w:t>Development and Mobilization of Appropriate Prescriber Practice Competencies for Controlled Drugs and Substances into Nurse Practitioner and Registered Nurse Education Programs</w:t>
      </w: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The University of Waterloo</w:t>
      </w:r>
      <w:r>
        <w:rPr>
          <w:b/>
          <w:sz w:val="24"/>
          <w:szCs w:val="24"/>
          <w:lang w:val="en-CA"/>
        </w:rPr>
        <w:t xml:space="preserve">: </w:t>
      </w:r>
      <w:r w:rsidRPr="00EA54F3">
        <w:rPr>
          <w:i/>
          <w:sz w:val="24"/>
          <w:szCs w:val="24"/>
          <w:lang w:val="en-CA"/>
        </w:rPr>
        <w:t>Interdisciplinary Initiative to Reduce Prescription Opioid Misuse</w:t>
      </w: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McMaster University, Faculty of Health Sciences</w:t>
      </w:r>
      <w:r>
        <w:rPr>
          <w:b/>
          <w:sz w:val="24"/>
          <w:szCs w:val="24"/>
          <w:lang w:val="en-CA"/>
        </w:rPr>
        <w:t xml:space="preserve">: </w:t>
      </w:r>
      <w:r w:rsidRPr="00EA54F3">
        <w:rPr>
          <w:i/>
          <w:sz w:val="24"/>
          <w:szCs w:val="24"/>
          <w:lang w:val="en-CA"/>
        </w:rPr>
        <w:t>Update of the Canadian Guideline for Safe and Effective Use of Opioids for Chronic Non-Cancer Pain</w:t>
      </w:r>
    </w:p>
    <w:p w:rsidR="00EA54F3" w:rsidRPr="00EA54F3" w:rsidRDefault="00EA54F3" w:rsidP="00EA54F3">
      <w:pPr>
        <w:pStyle w:val="ListParagraph"/>
        <w:numPr>
          <w:ilvl w:val="0"/>
          <w:numId w:val="12"/>
        </w:numPr>
        <w:spacing w:after="0" w:line="240" w:lineRule="auto"/>
        <w:rPr>
          <w:b/>
          <w:sz w:val="24"/>
          <w:szCs w:val="24"/>
        </w:rPr>
      </w:pPr>
      <w:r w:rsidRPr="00EA54F3">
        <w:rPr>
          <w:b/>
          <w:sz w:val="24"/>
          <w:szCs w:val="24"/>
        </w:rPr>
        <w:t>Institut national de santé publique du Québec</w:t>
      </w:r>
      <w:r>
        <w:rPr>
          <w:b/>
          <w:sz w:val="24"/>
          <w:szCs w:val="24"/>
        </w:rPr>
        <w:t xml:space="preserve"> : </w:t>
      </w:r>
      <w:r w:rsidRPr="00EA54F3">
        <w:rPr>
          <w:i/>
          <w:sz w:val="24"/>
          <w:szCs w:val="24"/>
        </w:rPr>
        <w:t>Amélioration des pratiques médicales en matière de prescription de médicaments opioïdes</w:t>
      </w:r>
    </w:p>
    <w:p w:rsidR="00EA54F3" w:rsidRPr="00EA54F3" w:rsidRDefault="00EA54F3" w:rsidP="00EA54F3">
      <w:pPr>
        <w:pStyle w:val="ListParagraph"/>
        <w:numPr>
          <w:ilvl w:val="0"/>
          <w:numId w:val="12"/>
        </w:numPr>
        <w:spacing w:after="0" w:line="240" w:lineRule="auto"/>
        <w:rPr>
          <w:b/>
          <w:sz w:val="24"/>
          <w:szCs w:val="24"/>
          <w:lang w:val="en-CA"/>
        </w:rPr>
      </w:pPr>
      <w:r w:rsidRPr="00EA54F3">
        <w:rPr>
          <w:b/>
          <w:sz w:val="24"/>
          <w:szCs w:val="24"/>
          <w:lang w:val="en-CA"/>
        </w:rPr>
        <w:t>Canadian Association of Chiefs of Police</w:t>
      </w:r>
      <w:r>
        <w:rPr>
          <w:b/>
          <w:sz w:val="24"/>
          <w:szCs w:val="24"/>
          <w:lang w:val="en-CA"/>
        </w:rPr>
        <w:t xml:space="preserve">: </w:t>
      </w:r>
      <w:r w:rsidRPr="00EA54F3">
        <w:rPr>
          <w:i/>
          <w:sz w:val="24"/>
          <w:szCs w:val="24"/>
          <w:lang w:val="en-CA"/>
        </w:rPr>
        <w:t>National Prescription Drug Drop-off Day</w:t>
      </w:r>
    </w:p>
    <w:p w:rsidR="00EA54F3" w:rsidRPr="00F968B0" w:rsidRDefault="00EA54F3" w:rsidP="00E722E4">
      <w:pPr>
        <w:spacing w:after="0" w:line="240" w:lineRule="auto"/>
        <w:rPr>
          <w:color w:val="FF0000"/>
          <w:sz w:val="24"/>
          <w:szCs w:val="24"/>
          <w:lang w:val="en-CA"/>
        </w:rPr>
      </w:pPr>
    </w:p>
    <w:p w:rsidR="00E722E4" w:rsidRDefault="00E722E4" w:rsidP="00E722E4">
      <w:pPr>
        <w:pStyle w:val="Heading3"/>
        <w:spacing w:before="0" w:line="240" w:lineRule="auto"/>
        <w:rPr>
          <w:lang w:val="en-CA"/>
        </w:rPr>
      </w:pPr>
    </w:p>
    <w:p w:rsidR="00AA737C" w:rsidRPr="00AA737C" w:rsidRDefault="00AA737C" w:rsidP="00AA737C">
      <w:pPr>
        <w:rPr>
          <w:lang w:val="en-CA"/>
        </w:rPr>
      </w:pPr>
    </w:p>
    <w:p w:rsidR="00E722E4" w:rsidRPr="00AA737C" w:rsidRDefault="00662D45" w:rsidP="00AA737C">
      <w:pPr>
        <w:pStyle w:val="Heading3"/>
        <w:spacing w:before="0" w:line="240" w:lineRule="auto"/>
        <w:rPr>
          <w:lang w:val="en-CA"/>
        </w:rPr>
      </w:pPr>
      <w:bookmarkStart w:id="10" w:name="_Toc519260883"/>
      <w:r>
        <w:rPr>
          <w:lang w:val="en-CA"/>
        </w:rPr>
        <w:t>Program: Substance Use and Addictions Program (SUAP)</w:t>
      </w:r>
      <w:bookmarkEnd w:id="10"/>
    </w:p>
    <w:p w:rsidR="00D055EB" w:rsidRPr="00E722E4" w:rsidRDefault="00BD31F4" w:rsidP="00E722E4">
      <w:pPr>
        <w:spacing w:after="0" w:line="240" w:lineRule="auto"/>
        <w:rPr>
          <w:sz w:val="24"/>
          <w:szCs w:val="24"/>
          <w:lang w:val="en-CA"/>
        </w:rPr>
      </w:pPr>
      <w:r w:rsidRPr="00662D45">
        <w:rPr>
          <w:sz w:val="24"/>
          <w:szCs w:val="24"/>
          <w:lang w:val="en-CA"/>
        </w:rPr>
        <w:t xml:space="preserve">The name of the ADSI was changed to the </w:t>
      </w:r>
      <w:r w:rsidRPr="00662D45">
        <w:rPr>
          <w:b/>
          <w:color w:val="1F497D" w:themeColor="text2"/>
          <w:sz w:val="24"/>
          <w:szCs w:val="24"/>
          <w:lang w:val="en-CA"/>
        </w:rPr>
        <w:t>Substance Use and Addictions Program (SUAP)</w:t>
      </w:r>
      <w:r w:rsidRPr="00662D45">
        <w:rPr>
          <w:color w:val="1F497D" w:themeColor="text2"/>
          <w:sz w:val="24"/>
          <w:szCs w:val="24"/>
          <w:lang w:val="en-CA"/>
        </w:rPr>
        <w:t xml:space="preserve"> </w:t>
      </w:r>
      <w:r w:rsidRPr="00662D45">
        <w:rPr>
          <w:sz w:val="24"/>
          <w:szCs w:val="24"/>
          <w:lang w:val="en-CA"/>
        </w:rPr>
        <w:t>on May 4, 2016, to align with Government policy (public health approach to substance use) and better describes the scope of the program to include l</w:t>
      </w:r>
      <w:r w:rsidR="00662D45">
        <w:rPr>
          <w:sz w:val="24"/>
          <w:szCs w:val="24"/>
          <w:lang w:val="en-CA"/>
        </w:rPr>
        <w:t>egal</w:t>
      </w:r>
      <w:r w:rsidRPr="00662D45">
        <w:rPr>
          <w:sz w:val="24"/>
          <w:szCs w:val="24"/>
          <w:lang w:val="en-CA"/>
        </w:rPr>
        <w:t xml:space="preserve"> (e.g. prescription drugs</w:t>
      </w:r>
      <w:r w:rsidR="00662D45">
        <w:rPr>
          <w:sz w:val="24"/>
          <w:szCs w:val="24"/>
          <w:lang w:val="en-CA"/>
        </w:rPr>
        <w:t xml:space="preserve"> and alcohol) as well as illegal</w:t>
      </w:r>
      <w:r w:rsidRPr="00662D45">
        <w:rPr>
          <w:sz w:val="24"/>
          <w:szCs w:val="24"/>
          <w:lang w:val="en-CA"/>
        </w:rPr>
        <w:t xml:space="preserve"> substances. This was approved by the Deputy Minister and Treasury Board Secretariat was advised.</w:t>
      </w:r>
    </w:p>
    <w:p w:rsidR="00E722E4" w:rsidRPr="0045643A" w:rsidRDefault="00E722E4" w:rsidP="00E722E4">
      <w:pPr>
        <w:pStyle w:val="Heading2"/>
        <w:spacing w:before="0" w:line="240" w:lineRule="auto"/>
        <w:rPr>
          <w:lang w:val="en-CA"/>
        </w:rPr>
      </w:pPr>
    </w:p>
    <w:p w:rsidR="002D12C0" w:rsidRPr="00E722E4" w:rsidRDefault="00E722E4" w:rsidP="00E722E4">
      <w:pPr>
        <w:pStyle w:val="Heading2"/>
        <w:spacing w:before="0" w:line="240" w:lineRule="auto"/>
        <w:rPr>
          <w:lang w:val="en-CA"/>
        </w:rPr>
      </w:pPr>
      <w:bookmarkStart w:id="11" w:name="_Toc519260884"/>
      <w:r w:rsidRPr="00E722E4">
        <w:rPr>
          <w:lang w:val="en-CA"/>
        </w:rPr>
        <w:t>2016-2018</w:t>
      </w:r>
      <w:r w:rsidR="00D051A7" w:rsidRPr="00E722E4">
        <w:rPr>
          <w:lang w:val="en-CA"/>
        </w:rPr>
        <w:t xml:space="preserve"> Canadian Drugs and Substances Strategy</w:t>
      </w:r>
      <w:bookmarkEnd w:id="11"/>
    </w:p>
    <w:p w:rsidR="00D055EB" w:rsidRDefault="00D10B1D" w:rsidP="00E722E4">
      <w:pPr>
        <w:pStyle w:val="NormalWeb"/>
        <w:spacing w:before="0" w:beforeAutospacing="0" w:after="0" w:afterAutospacing="0"/>
        <w:rPr>
          <w:rFonts w:asciiTheme="minorHAnsi" w:hAnsiTheme="minorHAnsi"/>
        </w:rPr>
      </w:pPr>
      <w:r w:rsidRPr="00D055EB">
        <w:rPr>
          <w:rFonts w:asciiTheme="minorHAnsi" w:hAnsiTheme="minorHAnsi"/>
        </w:rPr>
        <w:t xml:space="preserve">The Government of Canada committed to a comprehensive, collaborative, compassionate and evidence-based approach to drug policy, which uses a public health approach when considering and addressing drug issues. </w:t>
      </w:r>
      <w:r w:rsidR="00D051A7" w:rsidRPr="00D055EB">
        <w:rPr>
          <w:rFonts w:asciiTheme="minorHAnsi" w:hAnsiTheme="minorHAnsi"/>
        </w:rPr>
        <w:t>On December 12, 2016, the Minister of Health announced an upd</w:t>
      </w:r>
      <w:r w:rsidR="00E722E4">
        <w:rPr>
          <w:rFonts w:asciiTheme="minorHAnsi" w:hAnsiTheme="minorHAnsi"/>
        </w:rPr>
        <w:t>ated drug strategy for Canada: t</w:t>
      </w:r>
      <w:r w:rsidR="00D051A7" w:rsidRPr="00D055EB">
        <w:rPr>
          <w:rFonts w:asciiTheme="minorHAnsi" w:hAnsiTheme="minorHAnsi"/>
        </w:rPr>
        <w:t xml:space="preserve">he </w:t>
      </w:r>
      <w:r w:rsidR="00D051A7" w:rsidRPr="00E722E4">
        <w:rPr>
          <w:rFonts w:asciiTheme="minorHAnsi" w:eastAsiaTheme="minorHAnsi" w:hAnsiTheme="minorHAnsi" w:cstheme="minorBidi"/>
          <w:b/>
          <w:color w:val="1F497D" w:themeColor="text2"/>
          <w:lang w:eastAsia="en-US"/>
        </w:rPr>
        <w:t>Canadian Drugs and Substances Strategy (CDSS)</w:t>
      </w:r>
      <w:r w:rsidR="00E722E4">
        <w:rPr>
          <w:rFonts w:asciiTheme="minorHAnsi" w:hAnsiTheme="minorHAnsi"/>
        </w:rPr>
        <w:t xml:space="preserve">, a replacement to the NADS. </w:t>
      </w:r>
      <w:r w:rsidRPr="00D055EB">
        <w:rPr>
          <w:rFonts w:asciiTheme="minorHAnsi" w:hAnsiTheme="minorHAnsi"/>
        </w:rPr>
        <w:t xml:space="preserve">The new drug strategy </w:t>
      </w:r>
      <w:r w:rsidR="00E722E4">
        <w:rPr>
          <w:rFonts w:asciiTheme="minorHAnsi" w:hAnsiTheme="minorHAnsi"/>
        </w:rPr>
        <w:t xml:space="preserve">transferred leadership from the Minister of Justice to the </w:t>
      </w:r>
      <w:r w:rsidRPr="00D055EB">
        <w:rPr>
          <w:rFonts w:asciiTheme="minorHAnsi" w:hAnsiTheme="minorHAnsi"/>
        </w:rPr>
        <w:t>Mi</w:t>
      </w:r>
      <w:r w:rsidR="00E722E4">
        <w:rPr>
          <w:rFonts w:asciiTheme="minorHAnsi" w:hAnsiTheme="minorHAnsi"/>
        </w:rPr>
        <w:t xml:space="preserve">nister of Health. The CDSS </w:t>
      </w:r>
      <w:r w:rsidRPr="00D055EB">
        <w:rPr>
          <w:rFonts w:asciiTheme="minorHAnsi" w:hAnsiTheme="minorHAnsi"/>
        </w:rPr>
        <w:t>formally restore</w:t>
      </w:r>
      <w:r w:rsidR="00E722E4">
        <w:rPr>
          <w:rFonts w:asciiTheme="minorHAnsi" w:hAnsiTheme="minorHAnsi"/>
        </w:rPr>
        <w:t>d</w:t>
      </w:r>
      <w:r w:rsidRPr="00D055EB">
        <w:rPr>
          <w:rFonts w:asciiTheme="minorHAnsi" w:hAnsiTheme="minorHAnsi"/>
        </w:rPr>
        <w:t xml:space="preserve"> harm reduction as a key pillar of Canada’s drug strategy alongside the existing pillars of prevention, treatment and enforcement.</w:t>
      </w:r>
    </w:p>
    <w:p w:rsidR="00E722E4" w:rsidRDefault="00E722E4" w:rsidP="00E722E4">
      <w:pPr>
        <w:pStyle w:val="Heading3"/>
        <w:spacing w:before="0" w:line="240" w:lineRule="auto"/>
        <w:rPr>
          <w:lang w:val="en-CA"/>
        </w:rPr>
      </w:pPr>
    </w:p>
    <w:p w:rsidR="00E722E4" w:rsidRDefault="00E722E4" w:rsidP="00E722E4">
      <w:pPr>
        <w:pStyle w:val="Heading3"/>
        <w:spacing w:before="0" w:line="240" w:lineRule="auto"/>
        <w:rPr>
          <w:lang w:val="en-CA"/>
        </w:rPr>
      </w:pPr>
      <w:bookmarkStart w:id="12" w:name="_Toc519260885"/>
      <w:r>
        <w:rPr>
          <w:lang w:val="en-CA"/>
        </w:rPr>
        <w:t>Program: Substance Use and Addictions Program (SUAP)</w:t>
      </w:r>
      <w:bookmarkEnd w:id="12"/>
    </w:p>
    <w:p w:rsidR="00E722E4" w:rsidRPr="000C7170" w:rsidRDefault="00EA54F3" w:rsidP="00E722E4">
      <w:pPr>
        <w:spacing w:after="0" w:line="240" w:lineRule="auto"/>
        <w:rPr>
          <w:sz w:val="24"/>
          <w:szCs w:val="24"/>
          <w:lang w:val="en-CA"/>
        </w:rPr>
      </w:pPr>
      <w:r w:rsidRPr="000C7170">
        <w:rPr>
          <w:sz w:val="24"/>
          <w:szCs w:val="24"/>
          <w:lang w:val="en-CA"/>
        </w:rPr>
        <w:t>The SUAP closed-out existing DSCIF and D</w:t>
      </w:r>
      <w:r w:rsidR="000C7170" w:rsidRPr="000C7170">
        <w:rPr>
          <w:sz w:val="24"/>
          <w:szCs w:val="24"/>
          <w:lang w:val="en-CA"/>
        </w:rPr>
        <w:t>TFP funded projects as well as the</w:t>
      </w:r>
      <w:r w:rsidRPr="000C7170">
        <w:rPr>
          <w:sz w:val="24"/>
          <w:szCs w:val="24"/>
          <w:lang w:val="en-CA"/>
        </w:rPr>
        <w:t xml:space="preserve"> cohort of</w:t>
      </w:r>
      <w:r w:rsidR="000C7170" w:rsidRPr="000C7170">
        <w:rPr>
          <w:sz w:val="24"/>
          <w:szCs w:val="24"/>
          <w:lang w:val="en-CA"/>
        </w:rPr>
        <w:t xml:space="preserve"> prescriber education projects funded in 2015.</w:t>
      </w:r>
      <w:r w:rsidRPr="000C7170">
        <w:rPr>
          <w:sz w:val="24"/>
          <w:szCs w:val="24"/>
          <w:lang w:val="en-CA"/>
        </w:rPr>
        <w:t xml:space="preserve"> </w:t>
      </w:r>
      <w:r w:rsidR="000C7170">
        <w:rPr>
          <w:sz w:val="24"/>
          <w:szCs w:val="24"/>
          <w:lang w:val="en-CA"/>
        </w:rPr>
        <w:t xml:space="preserve">In 2016-17 the SUAP launched a targeted call for proposals and in 2017-18 launched a national, continuous-intake CFP. </w:t>
      </w:r>
    </w:p>
    <w:p w:rsidR="000958F2" w:rsidRDefault="000958F2"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D007A5" w:rsidRDefault="00D007A5" w:rsidP="000958F2">
      <w:pPr>
        <w:rPr>
          <w:lang w:val="en-CA"/>
        </w:rPr>
      </w:pPr>
    </w:p>
    <w:p w:rsidR="000958F2" w:rsidRDefault="000958F2" w:rsidP="000958F2">
      <w:pPr>
        <w:pStyle w:val="Heading1"/>
        <w:rPr>
          <w:lang w:val="en-CA"/>
        </w:rPr>
      </w:pPr>
      <w:bookmarkStart w:id="13" w:name="_Toc519260886"/>
      <w:r>
        <w:rPr>
          <w:lang w:val="en-CA"/>
        </w:rPr>
        <w:t>Treasury Board Submission</w:t>
      </w:r>
      <w:r w:rsidR="00247DDA">
        <w:rPr>
          <w:lang w:val="en-CA"/>
        </w:rPr>
        <w:t xml:space="preserve"> </w:t>
      </w:r>
      <w:r>
        <w:rPr>
          <w:lang w:val="en-CA"/>
        </w:rPr>
        <w:t>History</w:t>
      </w:r>
      <w:bookmarkEnd w:id="13"/>
      <w:r w:rsidR="001E24F5">
        <w:rPr>
          <w:lang w:val="en-CA"/>
        </w:rPr>
        <w:t xml:space="preserve"> </w:t>
      </w:r>
      <w:r>
        <w:rPr>
          <w:lang w:val="en-CA"/>
        </w:rPr>
        <w:t xml:space="preserve"> </w:t>
      </w:r>
    </w:p>
    <w:p w:rsidR="00247DDA" w:rsidRDefault="00247DDA" w:rsidP="009F05EE">
      <w:pPr>
        <w:spacing w:after="0" w:line="240" w:lineRule="auto"/>
        <w:rPr>
          <w:lang w:val="en-CA"/>
        </w:rPr>
      </w:pPr>
    </w:p>
    <w:p w:rsidR="001E24F5" w:rsidRPr="001E24F5" w:rsidRDefault="001E24F5" w:rsidP="009F05EE">
      <w:pPr>
        <w:pStyle w:val="ListParagraph"/>
        <w:numPr>
          <w:ilvl w:val="0"/>
          <w:numId w:val="11"/>
        </w:numPr>
        <w:spacing w:after="0" w:line="240" w:lineRule="auto"/>
        <w:ind w:left="357" w:hanging="357"/>
        <w:rPr>
          <w:sz w:val="24"/>
          <w:szCs w:val="24"/>
          <w:lang w:val="en-CA"/>
        </w:rPr>
      </w:pPr>
      <w:r w:rsidRPr="001E24F5">
        <w:rPr>
          <w:sz w:val="24"/>
          <w:szCs w:val="24"/>
          <w:lang w:val="en-CA"/>
        </w:rPr>
        <w:t xml:space="preserve">2005:  </w:t>
      </w:r>
      <w:hyperlink r:id="rId8" w:history="1">
        <w:r w:rsidRPr="001E24F5">
          <w:rPr>
            <w:rStyle w:val="Hyperlink"/>
            <w:rFonts w:asciiTheme="minorHAnsi" w:hAnsiTheme="minorHAnsi" w:cs="Helv"/>
            <w:i/>
            <w:lang w:val="en-CA"/>
          </w:rPr>
          <w:t>Named Grant to the Canadian Centre on Substance Abuse</w:t>
        </w:r>
      </w:hyperlink>
      <w:r w:rsidRPr="001E24F5">
        <w:rPr>
          <w:rFonts w:cs="Helv"/>
          <w:color w:val="000000"/>
          <w:sz w:val="24"/>
          <w:szCs w:val="24"/>
          <w:lang w:val="en-CA"/>
        </w:rPr>
        <w:t xml:space="preserve"> – TB Sub #832467</w:t>
      </w:r>
      <w:r>
        <w:rPr>
          <w:rFonts w:cs="Helv"/>
          <w:color w:val="000000"/>
          <w:sz w:val="24"/>
          <w:szCs w:val="24"/>
          <w:lang w:val="en-CA"/>
        </w:rPr>
        <w:t>.</w:t>
      </w:r>
      <w:r>
        <w:rPr>
          <w:rFonts w:cs="Helv"/>
          <w:b/>
          <w:color w:val="000000"/>
          <w:sz w:val="24"/>
          <w:szCs w:val="24"/>
          <w:lang w:val="en-CA"/>
        </w:rPr>
        <w:t xml:space="preserve"> </w:t>
      </w:r>
      <w:r w:rsidRPr="001E24F5">
        <w:rPr>
          <w:sz w:val="24"/>
          <w:szCs w:val="24"/>
          <w:lang w:val="en-CA"/>
        </w:rPr>
        <w:t xml:space="preserve">Set up a Named Grant to the CCSA, with payment beginning in 2006-07 and ongoing to support the CCSA’s core operations under the </w:t>
      </w:r>
      <w:r w:rsidRPr="001E24F5">
        <w:rPr>
          <w:i/>
          <w:iCs/>
          <w:sz w:val="24"/>
          <w:szCs w:val="24"/>
          <w:lang w:val="en-CA"/>
        </w:rPr>
        <w:t>CCSA Act</w:t>
      </w:r>
      <w:r w:rsidRPr="001E24F5">
        <w:rPr>
          <w:sz w:val="24"/>
          <w:szCs w:val="24"/>
          <w:lang w:val="en-CA"/>
        </w:rPr>
        <w:t>. The TB Sub was approved in October 2005. CCSA Terms &amp; Conditions were added as an appendix and were initially valid from April 1, 2006 – March 31, 2011. On March 14, 2011, the Minister of Health approved a renewal of the CCSA’s Named Grant funding for an additional five years (April 2011- March 2016).</w:t>
      </w:r>
    </w:p>
    <w:p w:rsidR="001E24F5" w:rsidRPr="001E24F5" w:rsidRDefault="001E24F5" w:rsidP="009F05EE">
      <w:pPr>
        <w:pStyle w:val="ListParagraph"/>
        <w:spacing w:after="0" w:line="240" w:lineRule="auto"/>
        <w:ind w:left="357"/>
        <w:rPr>
          <w:sz w:val="24"/>
          <w:szCs w:val="24"/>
          <w:lang w:val="en-CA"/>
        </w:rPr>
      </w:pPr>
    </w:p>
    <w:p w:rsidR="000958F2" w:rsidRPr="001E24F5" w:rsidRDefault="001E24F5" w:rsidP="009F05EE">
      <w:pPr>
        <w:pStyle w:val="ListParagraph"/>
        <w:numPr>
          <w:ilvl w:val="0"/>
          <w:numId w:val="11"/>
        </w:numPr>
        <w:spacing w:after="0" w:line="240" w:lineRule="auto"/>
        <w:ind w:left="357" w:hanging="357"/>
        <w:rPr>
          <w:sz w:val="24"/>
          <w:szCs w:val="24"/>
          <w:lang w:val="en-CA"/>
        </w:rPr>
      </w:pPr>
      <w:r w:rsidRPr="001E24F5">
        <w:rPr>
          <w:sz w:val="24"/>
          <w:szCs w:val="24"/>
          <w:lang w:val="en-CA"/>
        </w:rPr>
        <w:t xml:space="preserve">2008:  </w:t>
      </w:r>
      <w:r w:rsidRPr="001E24F5">
        <w:rPr>
          <w:rFonts w:cs="Arial"/>
          <w:i/>
          <w:sz w:val="24"/>
          <w:szCs w:val="24"/>
          <w:lang w:val="en-CA"/>
        </w:rPr>
        <w:t>Investments in the Prevention and Treatment Action Plans of the National Anti-Drug Strategy</w:t>
      </w:r>
      <w:r w:rsidRPr="001E24F5">
        <w:rPr>
          <w:sz w:val="24"/>
          <w:szCs w:val="24"/>
          <w:lang w:val="en-CA"/>
        </w:rPr>
        <w:t xml:space="preserve"> - TB Sub </w:t>
      </w:r>
      <w:r w:rsidRPr="001E24F5">
        <w:rPr>
          <w:rFonts w:cs="Arial"/>
          <w:sz w:val="24"/>
          <w:szCs w:val="24"/>
          <w:lang w:val="en-CA"/>
        </w:rPr>
        <w:t xml:space="preserve">#833862. </w:t>
      </w:r>
      <w:r w:rsidRPr="001E24F5">
        <w:rPr>
          <w:iCs/>
          <w:sz w:val="24"/>
          <w:szCs w:val="24"/>
          <w:lang w:val="en-CA"/>
        </w:rPr>
        <w:t>Impact on the program: outlined the scope and funding for the DSCIF and DTFP G&amp;C programs.</w:t>
      </w:r>
    </w:p>
    <w:p w:rsidR="001E24F5" w:rsidRPr="001E24F5" w:rsidRDefault="001E24F5" w:rsidP="009F05EE">
      <w:pPr>
        <w:pStyle w:val="ListParagraph"/>
        <w:spacing w:after="0" w:line="240" w:lineRule="auto"/>
        <w:rPr>
          <w:sz w:val="24"/>
          <w:szCs w:val="24"/>
          <w:lang w:val="en-CA"/>
        </w:rPr>
      </w:pPr>
    </w:p>
    <w:p w:rsidR="001E24F5" w:rsidRPr="00603FB5" w:rsidRDefault="001E24F5" w:rsidP="009F05EE">
      <w:pPr>
        <w:pStyle w:val="ListParagraph"/>
        <w:numPr>
          <w:ilvl w:val="0"/>
          <w:numId w:val="11"/>
        </w:numPr>
        <w:spacing w:after="0" w:line="240" w:lineRule="auto"/>
        <w:ind w:left="357" w:hanging="357"/>
        <w:rPr>
          <w:sz w:val="24"/>
          <w:szCs w:val="24"/>
          <w:lang w:val="en-CA"/>
        </w:rPr>
      </w:pPr>
      <w:r w:rsidRPr="00603FB5">
        <w:rPr>
          <w:sz w:val="24"/>
          <w:szCs w:val="24"/>
          <w:lang w:val="en-CA"/>
        </w:rPr>
        <w:t xml:space="preserve">2014:  </w:t>
      </w:r>
      <w:r w:rsidR="000958F2" w:rsidRPr="00603FB5">
        <w:rPr>
          <w:sz w:val="24"/>
          <w:szCs w:val="24"/>
          <w:lang w:val="en-CA"/>
        </w:rPr>
        <w:t xml:space="preserve">As above, the DTFP and DSCIF were consolidated into a single funding program, the ADSI, under the 2014 TB Sub entitled </w:t>
      </w:r>
      <w:hyperlink r:id="rId9" w:history="1">
        <w:r w:rsidR="000958F2" w:rsidRPr="00603FB5">
          <w:rPr>
            <w:rStyle w:val="Hyperlink"/>
            <w:rFonts w:asciiTheme="minorHAnsi" w:hAnsiTheme="minorHAnsi" w:cstheme="minorBidi"/>
            <w:i/>
            <w:iCs/>
            <w:lang w:val="en-CA"/>
          </w:rPr>
          <w:t>Preventing Prescription Drug Abuse</w:t>
        </w:r>
      </w:hyperlink>
      <w:r w:rsidR="000958F2" w:rsidRPr="00603FB5">
        <w:rPr>
          <w:i/>
          <w:iCs/>
          <w:sz w:val="24"/>
          <w:szCs w:val="24"/>
          <w:lang w:val="en-CA"/>
        </w:rPr>
        <w:t>.</w:t>
      </w:r>
      <w:r w:rsidRPr="00603FB5">
        <w:rPr>
          <w:iCs/>
          <w:sz w:val="24"/>
          <w:szCs w:val="24"/>
          <w:lang w:val="en-CA"/>
        </w:rPr>
        <w:t xml:space="preserve"> </w:t>
      </w:r>
      <w:r w:rsidR="00F968B0" w:rsidRPr="00603FB5">
        <w:rPr>
          <w:iCs/>
          <w:sz w:val="24"/>
          <w:szCs w:val="24"/>
          <w:lang w:val="en-CA"/>
        </w:rPr>
        <w:t>No additional funding was provided to the ADSI under this TB Sub.</w:t>
      </w:r>
      <w:r w:rsidR="00603FB5" w:rsidRPr="00603FB5">
        <w:rPr>
          <w:iCs/>
          <w:sz w:val="24"/>
          <w:szCs w:val="24"/>
          <w:lang w:val="en-CA"/>
        </w:rPr>
        <w:t xml:space="preserve"> The ongoing annual budget remained $22.8M (not including CCSA core funding), equivalent to the </w:t>
      </w:r>
      <w:r w:rsidR="00603FB5" w:rsidRPr="00603FB5">
        <w:rPr>
          <w:sz w:val="24"/>
          <w:szCs w:val="24"/>
          <w:lang w:val="en-CA"/>
        </w:rPr>
        <w:t>combined annual budgets of the DSCIF and DTFP</w:t>
      </w:r>
      <w:r w:rsidR="00603FB5">
        <w:rPr>
          <w:iCs/>
          <w:color w:val="FF0000"/>
          <w:sz w:val="24"/>
          <w:szCs w:val="24"/>
          <w:lang w:val="en-CA"/>
        </w:rPr>
        <w:t>.</w:t>
      </w:r>
      <w:r w:rsidR="000958F2" w:rsidRPr="00603FB5">
        <w:rPr>
          <w:i/>
          <w:iCs/>
          <w:sz w:val="24"/>
          <w:szCs w:val="24"/>
          <w:lang w:val="en-CA"/>
        </w:rPr>
        <w:t xml:space="preserve"> </w:t>
      </w:r>
    </w:p>
    <w:p w:rsidR="009F05EE" w:rsidRPr="00603FB5" w:rsidRDefault="009F05EE" w:rsidP="009F05EE">
      <w:pPr>
        <w:spacing w:after="0" w:line="240" w:lineRule="auto"/>
        <w:rPr>
          <w:sz w:val="24"/>
          <w:szCs w:val="24"/>
          <w:lang w:val="en-CA"/>
        </w:rPr>
      </w:pPr>
    </w:p>
    <w:p w:rsidR="00603FB5" w:rsidRPr="00E1101E" w:rsidRDefault="00603FB5" w:rsidP="00603FB5">
      <w:pPr>
        <w:spacing w:after="0" w:line="240" w:lineRule="auto"/>
        <w:ind w:left="357"/>
        <w:rPr>
          <w:sz w:val="24"/>
          <w:szCs w:val="24"/>
          <w:lang w:val="en-CA"/>
        </w:rPr>
      </w:pPr>
      <w:r w:rsidRPr="00E1101E">
        <w:rPr>
          <w:sz w:val="24"/>
          <w:szCs w:val="24"/>
          <w:lang w:val="en-CA"/>
        </w:rPr>
        <w:t>The TB Sub approved new Terms and Conditions for the consolidated program, including new policy cover for prescription drugs and related prevention and treatment initiatives. It also approved a new Performance Measurement Strategy Framework and Logic Model.</w:t>
      </w:r>
    </w:p>
    <w:p w:rsidR="00603FB5" w:rsidRPr="00E1101E" w:rsidRDefault="00603FB5" w:rsidP="00603FB5">
      <w:pPr>
        <w:spacing w:after="0" w:line="240" w:lineRule="auto"/>
        <w:ind w:left="357"/>
        <w:rPr>
          <w:sz w:val="24"/>
          <w:szCs w:val="24"/>
          <w:lang w:val="en-CA"/>
        </w:rPr>
      </w:pPr>
    </w:p>
    <w:p w:rsidR="00603FB5" w:rsidRPr="00E1101E" w:rsidRDefault="00603FB5" w:rsidP="00E1101E">
      <w:pPr>
        <w:spacing w:after="0" w:line="240" w:lineRule="auto"/>
        <w:ind w:left="357"/>
        <w:rPr>
          <w:sz w:val="24"/>
          <w:szCs w:val="24"/>
          <w:lang w:val="en-CA"/>
        </w:rPr>
      </w:pPr>
      <w:r w:rsidRPr="00E1101E">
        <w:rPr>
          <w:sz w:val="24"/>
          <w:szCs w:val="24"/>
          <w:lang w:val="en-CA"/>
        </w:rPr>
        <w:t xml:space="preserve">While no new funding was included, the TB Sub committed the program to issuing a call for proposals with </w:t>
      </w:r>
      <w:r w:rsidR="00E1101E" w:rsidRPr="00E1101E">
        <w:rPr>
          <w:sz w:val="24"/>
          <w:szCs w:val="24"/>
          <w:lang w:val="en-CA"/>
        </w:rPr>
        <w:t xml:space="preserve">a focus on prescriber education, seeking prevention and treatment initiatives for both legal and illegal prescription drugs. The program also support the TB Sub commitment to providing support for the </w:t>
      </w:r>
      <w:r w:rsidRPr="00E1101E">
        <w:rPr>
          <w:sz w:val="24"/>
          <w:szCs w:val="24"/>
          <w:lang w:val="en-CA"/>
        </w:rPr>
        <w:t>Canadian Association</w:t>
      </w:r>
      <w:r w:rsidR="00E1101E" w:rsidRPr="00E1101E">
        <w:rPr>
          <w:sz w:val="24"/>
          <w:szCs w:val="24"/>
          <w:lang w:val="en-CA"/>
        </w:rPr>
        <w:t xml:space="preserve"> of Chiefs of Police </w:t>
      </w:r>
      <w:r w:rsidRPr="00E1101E">
        <w:rPr>
          <w:sz w:val="24"/>
          <w:szCs w:val="24"/>
          <w:lang w:val="en-CA"/>
        </w:rPr>
        <w:t>National Prescription Drug Drop</w:t>
      </w:r>
      <w:r w:rsidR="00E1101E" w:rsidRPr="00E1101E">
        <w:rPr>
          <w:sz w:val="24"/>
          <w:szCs w:val="24"/>
          <w:lang w:val="en-CA"/>
        </w:rPr>
        <w:t>-Off Day</w:t>
      </w:r>
      <w:r w:rsidRPr="00E1101E">
        <w:rPr>
          <w:sz w:val="24"/>
          <w:szCs w:val="24"/>
          <w:lang w:val="en-CA"/>
        </w:rPr>
        <w:t xml:space="preserve">.    </w:t>
      </w:r>
    </w:p>
    <w:p w:rsidR="00603FB5" w:rsidRPr="00603FB5" w:rsidRDefault="00603FB5" w:rsidP="009F05EE">
      <w:pPr>
        <w:spacing w:after="0" w:line="240" w:lineRule="auto"/>
        <w:rPr>
          <w:sz w:val="24"/>
          <w:szCs w:val="24"/>
          <w:lang w:val="en-CA"/>
        </w:rPr>
      </w:pPr>
    </w:p>
    <w:p w:rsidR="001E24F5" w:rsidRPr="009F05EE" w:rsidRDefault="009F05EE" w:rsidP="009F05EE">
      <w:pPr>
        <w:pStyle w:val="ListParagraph"/>
        <w:numPr>
          <w:ilvl w:val="0"/>
          <w:numId w:val="8"/>
        </w:numPr>
        <w:autoSpaceDE w:val="0"/>
        <w:autoSpaceDN w:val="0"/>
        <w:adjustRightInd w:val="0"/>
        <w:spacing w:after="0" w:line="240" w:lineRule="auto"/>
        <w:rPr>
          <w:sz w:val="24"/>
          <w:szCs w:val="24"/>
          <w:lang w:val="en-CA"/>
        </w:rPr>
      </w:pPr>
      <w:r w:rsidRPr="009F05EE">
        <w:rPr>
          <w:rFonts w:cs="Helv"/>
          <w:color w:val="000000"/>
          <w:sz w:val="24"/>
          <w:szCs w:val="24"/>
          <w:lang w:val="en-CA"/>
        </w:rPr>
        <w:t>2017:</w:t>
      </w:r>
      <w:r w:rsidRPr="009F05EE">
        <w:rPr>
          <w:rFonts w:cs="Helv"/>
          <w:i/>
          <w:color w:val="000000"/>
          <w:sz w:val="24"/>
          <w:szCs w:val="24"/>
          <w:lang w:val="en-CA"/>
        </w:rPr>
        <w:t xml:space="preserve"> </w:t>
      </w:r>
      <w:hyperlink r:id="rId10" w:history="1">
        <w:r w:rsidR="001E24F5" w:rsidRPr="009F05EE">
          <w:rPr>
            <w:rStyle w:val="Hyperlink"/>
            <w:rFonts w:asciiTheme="minorHAnsi" w:hAnsiTheme="minorHAnsi" w:cs="Helv"/>
            <w:i/>
            <w:lang w:val="en-CA"/>
          </w:rPr>
          <w:t>Strengthening the Canadian Drugs and Substances Strategy</w:t>
        </w:r>
      </w:hyperlink>
      <w:r w:rsidR="001E24F5" w:rsidRPr="009F05EE">
        <w:rPr>
          <w:rFonts w:cs="Helv"/>
          <w:i/>
          <w:color w:val="000000"/>
          <w:sz w:val="24"/>
          <w:szCs w:val="24"/>
          <w:lang w:val="en-CA"/>
        </w:rPr>
        <w:t xml:space="preserve"> </w:t>
      </w:r>
      <w:r w:rsidR="001E24F5" w:rsidRPr="009F05EE">
        <w:rPr>
          <w:rFonts w:cs="Helv"/>
          <w:color w:val="000000"/>
          <w:sz w:val="24"/>
          <w:szCs w:val="24"/>
          <w:lang w:val="en-CA"/>
        </w:rPr>
        <w:t>– TB Sub #</w:t>
      </w:r>
      <w:r>
        <w:rPr>
          <w:sz w:val="24"/>
          <w:szCs w:val="24"/>
          <w:lang w:val="en-CA"/>
        </w:rPr>
        <w:t>838330.</w:t>
      </w:r>
    </w:p>
    <w:p w:rsidR="00E1101E" w:rsidRDefault="00E1101E" w:rsidP="009F05EE">
      <w:pPr>
        <w:pStyle w:val="ListParagraph"/>
        <w:autoSpaceDE w:val="0"/>
        <w:autoSpaceDN w:val="0"/>
        <w:adjustRightInd w:val="0"/>
        <w:spacing w:after="0" w:line="240" w:lineRule="auto"/>
        <w:ind w:left="360"/>
        <w:rPr>
          <w:iCs/>
          <w:color w:val="FF0000"/>
          <w:sz w:val="24"/>
          <w:szCs w:val="24"/>
          <w:lang w:val="en-CA"/>
        </w:rPr>
      </w:pPr>
    </w:p>
    <w:p w:rsidR="00E1101E" w:rsidRPr="00E1101E" w:rsidRDefault="00E1101E" w:rsidP="00E1101E">
      <w:pPr>
        <w:spacing w:after="0" w:line="240" w:lineRule="auto"/>
        <w:ind w:left="360"/>
        <w:contextualSpacing/>
        <w:rPr>
          <w:sz w:val="24"/>
          <w:szCs w:val="24"/>
          <w:lang w:val="en-CA"/>
        </w:rPr>
      </w:pPr>
      <w:r w:rsidRPr="00E1101E">
        <w:rPr>
          <w:sz w:val="24"/>
          <w:szCs w:val="24"/>
          <w:lang w:val="en-CA"/>
        </w:rPr>
        <w:t xml:space="preserve">The SUAP received $10M in new G&amp;C funding over 5 years with $3M ongoing. The new money began flowing in 2018-2019 specifically to target new opioid harm reduction initiatives. The breakdown was as follows: </w:t>
      </w:r>
    </w:p>
    <w:p w:rsidR="00E1101E" w:rsidRDefault="00E1101E" w:rsidP="00E1101E">
      <w:pPr>
        <w:spacing w:after="0" w:line="240" w:lineRule="auto"/>
        <w:ind w:firstLine="360"/>
        <w:contextualSpacing/>
        <w:rPr>
          <w:sz w:val="24"/>
          <w:szCs w:val="24"/>
          <w:lang w:val="en-CA"/>
        </w:rPr>
      </w:pPr>
    </w:p>
    <w:p w:rsidR="00E1101E" w:rsidRPr="00E1101E" w:rsidRDefault="00E1101E" w:rsidP="00E1101E">
      <w:pPr>
        <w:spacing w:after="0" w:line="240" w:lineRule="auto"/>
        <w:ind w:firstLine="360"/>
        <w:contextualSpacing/>
        <w:rPr>
          <w:sz w:val="24"/>
          <w:szCs w:val="24"/>
          <w:lang w:val="en-CA"/>
        </w:rPr>
      </w:pPr>
      <w:r w:rsidRPr="00E1101E">
        <w:rPr>
          <w:sz w:val="24"/>
          <w:szCs w:val="24"/>
          <w:lang w:val="en-CA"/>
        </w:rPr>
        <w:t>17-18: $0     18-19: $2M     19-20: $2M     20-21: $3M     21-22: $3M     Ongoing: $3M</w:t>
      </w:r>
    </w:p>
    <w:p w:rsidR="00E1101E" w:rsidRDefault="00E1101E" w:rsidP="00E1101E">
      <w:pPr>
        <w:pStyle w:val="ListParagraph"/>
        <w:autoSpaceDE w:val="0"/>
        <w:autoSpaceDN w:val="0"/>
        <w:adjustRightInd w:val="0"/>
        <w:spacing w:after="0" w:line="240" w:lineRule="auto"/>
        <w:ind w:left="360"/>
        <w:rPr>
          <w:iCs/>
          <w:color w:val="FF0000"/>
          <w:sz w:val="24"/>
          <w:szCs w:val="24"/>
          <w:lang w:val="en-CA"/>
        </w:rPr>
      </w:pPr>
    </w:p>
    <w:p w:rsidR="00E1101E" w:rsidRPr="00E1101E" w:rsidRDefault="00E1101E" w:rsidP="00E1101E">
      <w:pPr>
        <w:pStyle w:val="ListParagraph"/>
        <w:autoSpaceDE w:val="0"/>
        <w:autoSpaceDN w:val="0"/>
        <w:adjustRightInd w:val="0"/>
        <w:spacing w:after="0" w:line="240" w:lineRule="auto"/>
        <w:ind w:left="360"/>
        <w:rPr>
          <w:iCs/>
          <w:sz w:val="24"/>
          <w:szCs w:val="24"/>
          <w:lang w:val="en-CA"/>
        </w:rPr>
      </w:pPr>
      <w:r w:rsidRPr="00E1101E">
        <w:rPr>
          <w:iCs/>
          <w:sz w:val="24"/>
          <w:szCs w:val="24"/>
          <w:lang w:val="en-CA"/>
        </w:rPr>
        <w:t>This increased the total program budget to $28.3M in 18/19 and $29.3M in 20/21 and ongoing.</w:t>
      </w:r>
    </w:p>
    <w:p w:rsidR="00E1101E" w:rsidRPr="00E1101E" w:rsidRDefault="00E1101E" w:rsidP="00E1101E">
      <w:pPr>
        <w:pStyle w:val="ListParagraph"/>
        <w:autoSpaceDE w:val="0"/>
        <w:autoSpaceDN w:val="0"/>
        <w:adjustRightInd w:val="0"/>
        <w:spacing w:after="0" w:line="240" w:lineRule="auto"/>
        <w:ind w:left="360"/>
        <w:rPr>
          <w:iCs/>
          <w:color w:val="FF0000"/>
          <w:sz w:val="24"/>
          <w:szCs w:val="24"/>
          <w:lang w:val="en-CA"/>
        </w:rPr>
      </w:pPr>
    </w:p>
    <w:p w:rsidR="00E1101E" w:rsidRPr="00E1101E" w:rsidRDefault="00E1101E" w:rsidP="00E1101E">
      <w:pPr>
        <w:pStyle w:val="ListParagraph"/>
        <w:autoSpaceDE w:val="0"/>
        <w:autoSpaceDN w:val="0"/>
        <w:adjustRightInd w:val="0"/>
        <w:spacing w:after="0" w:line="240" w:lineRule="auto"/>
        <w:ind w:left="360"/>
        <w:rPr>
          <w:sz w:val="24"/>
          <w:szCs w:val="24"/>
          <w:lang w:val="en-CA"/>
        </w:rPr>
      </w:pPr>
      <w:r w:rsidRPr="00E1101E">
        <w:rPr>
          <w:iCs/>
          <w:sz w:val="24"/>
          <w:szCs w:val="24"/>
          <w:lang w:val="en-CA"/>
        </w:rPr>
        <w:t xml:space="preserve">Expected results were aligned with the </w:t>
      </w:r>
      <w:r w:rsidRPr="00E1101E">
        <w:rPr>
          <w:sz w:val="24"/>
          <w:szCs w:val="24"/>
          <w:lang w:val="en-CA"/>
        </w:rPr>
        <w:t xml:space="preserve">SUAP logic model outcomes and indicators, specifically: </w:t>
      </w:r>
    </w:p>
    <w:p w:rsidR="00E1101E" w:rsidRPr="00E1101E" w:rsidRDefault="00E1101E" w:rsidP="00E1101E">
      <w:pPr>
        <w:pStyle w:val="ListParagraph"/>
        <w:autoSpaceDE w:val="0"/>
        <w:autoSpaceDN w:val="0"/>
        <w:adjustRightInd w:val="0"/>
        <w:spacing w:after="0" w:line="240" w:lineRule="auto"/>
        <w:ind w:left="360"/>
        <w:rPr>
          <w:sz w:val="24"/>
          <w:szCs w:val="24"/>
          <w:lang w:val="en-CA"/>
        </w:rPr>
      </w:pPr>
    </w:p>
    <w:p w:rsidR="00E1101E" w:rsidRPr="00E1101E" w:rsidRDefault="00E1101E" w:rsidP="00E1101E">
      <w:pPr>
        <w:spacing w:after="0" w:line="240" w:lineRule="auto"/>
        <w:ind w:firstLine="360"/>
        <w:contextualSpacing/>
        <w:rPr>
          <w:i/>
          <w:iCs/>
          <w:sz w:val="24"/>
          <w:szCs w:val="24"/>
          <w:lang w:val="en-CA"/>
        </w:rPr>
      </w:pPr>
      <w:r w:rsidRPr="00E1101E">
        <w:rPr>
          <w:b/>
          <w:sz w:val="24"/>
          <w:szCs w:val="24"/>
          <w:lang w:val="en-CA"/>
        </w:rPr>
        <w:t>Outcome:</w:t>
      </w:r>
      <w:r>
        <w:rPr>
          <w:sz w:val="24"/>
          <w:szCs w:val="24"/>
          <w:lang w:val="en-CA"/>
        </w:rPr>
        <w:t xml:space="preserve"> </w:t>
      </w:r>
      <w:r w:rsidRPr="00E1101E">
        <w:rPr>
          <w:sz w:val="24"/>
          <w:szCs w:val="24"/>
          <w:lang w:val="en-CA"/>
        </w:rPr>
        <w:t>Reduction in risk-taking behaviour among drug and substances users</w:t>
      </w:r>
    </w:p>
    <w:p w:rsidR="00E1101E" w:rsidRPr="00E1101E" w:rsidRDefault="00E1101E" w:rsidP="00E1101E">
      <w:pPr>
        <w:spacing w:after="0" w:line="240" w:lineRule="auto"/>
        <w:ind w:left="360"/>
        <w:contextualSpacing/>
        <w:rPr>
          <w:i/>
          <w:sz w:val="24"/>
          <w:szCs w:val="24"/>
          <w:lang w:val="en-CA"/>
        </w:rPr>
      </w:pPr>
      <w:r w:rsidRPr="00E1101E">
        <w:rPr>
          <w:b/>
          <w:i/>
          <w:sz w:val="24"/>
          <w:szCs w:val="24"/>
          <w:lang w:val="en-CA"/>
        </w:rPr>
        <w:t>Indicator:</w:t>
      </w:r>
      <w:r>
        <w:rPr>
          <w:i/>
          <w:sz w:val="24"/>
          <w:szCs w:val="24"/>
          <w:lang w:val="en-CA"/>
        </w:rPr>
        <w:t xml:space="preserve"> </w:t>
      </w:r>
      <w:r w:rsidRPr="00E1101E">
        <w:rPr>
          <w:i/>
          <w:sz w:val="24"/>
          <w:szCs w:val="24"/>
          <w:lang w:val="en-CA"/>
        </w:rPr>
        <w:t>Percentage of targeted Canadians reporting they used knowledge and skills by: sex, Official Language; type of behaviour change (reduced use, safer use, not using, etc.), with Baseline to be established in 2018-19.</w:t>
      </w:r>
    </w:p>
    <w:p w:rsidR="00E1101E" w:rsidRPr="00E1101E" w:rsidRDefault="00E1101E" w:rsidP="00E1101E">
      <w:pPr>
        <w:spacing w:after="0" w:line="240" w:lineRule="auto"/>
        <w:ind w:left="360"/>
        <w:contextualSpacing/>
        <w:rPr>
          <w:i/>
          <w:iCs/>
          <w:sz w:val="24"/>
          <w:szCs w:val="24"/>
          <w:lang w:val="en-CA"/>
        </w:rPr>
      </w:pPr>
      <w:r w:rsidRPr="00E1101E">
        <w:rPr>
          <w:b/>
          <w:i/>
          <w:iCs/>
          <w:sz w:val="24"/>
          <w:szCs w:val="24"/>
          <w:lang w:val="en-CA"/>
        </w:rPr>
        <w:t>Target:</w:t>
      </w:r>
      <w:r>
        <w:rPr>
          <w:i/>
          <w:iCs/>
          <w:sz w:val="24"/>
          <w:szCs w:val="24"/>
          <w:lang w:val="en-CA"/>
        </w:rPr>
        <w:t xml:space="preserve"> </w:t>
      </w:r>
      <w:r w:rsidRPr="00E1101E">
        <w:rPr>
          <w:i/>
          <w:iCs/>
          <w:sz w:val="24"/>
          <w:szCs w:val="24"/>
          <w:lang w:val="en-CA"/>
        </w:rPr>
        <w:t xml:space="preserve"> </w:t>
      </w:r>
      <w:r w:rsidRPr="00E1101E">
        <w:rPr>
          <w:sz w:val="24"/>
          <w:szCs w:val="24"/>
          <w:lang w:val="en-CA"/>
        </w:rPr>
        <w:t>60% of targeted Canadians reporting they used knowledge and skills to take positive actions with respect to substance use behavior by 2021</w:t>
      </w:r>
    </w:p>
    <w:p w:rsidR="00E1101E" w:rsidRPr="00E1101E" w:rsidRDefault="00E1101E" w:rsidP="00E1101E">
      <w:pPr>
        <w:spacing w:after="0" w:line="240" w:lineRule="auto"/>
        <w:contextualSpacing/>
        <w:rPr>
          <w:sz w:val="24"/>
          <w:szCs w:val="24"/>
          <w:lang w:val="en-CA"/>
        </w:rPr>
      </w:pPr>
    </w:p>
    <w:p w:rsidR="00E1101E" w:rsidRPr="00E1101E" w:rsidRDefault="00E1101E" w:rsidP="00E1101E">
      <w:pPr>
        <w:spacing w:after="0" w:line="240" w:lineRule="auto"/>
        <w:ind w:left="360"/>
        <w:contextualSpacing/>
        <w:rPr>
          <w:sz w:val="24"/>
          <w:szCs w:val="24"/>
          <w:lang w:val="en-CA"/>
        </w:rPr>
      </w:pPr>
      <w:r w:rsidRPr="00E1101E">
        <w:rPr>
          <w:b/>
          <w:sz w:val="24"/>
          <w:szCs w:val="24"/>
          <w:lang w:val="en-CA"/>
        </w:rPr>
        <w:t xml:space="preserve">Outcome: </w:t>
      </w:r>
      <w:r w:rsidRPr="00E1101E">
        <w:rPr>
          <w:sz w:val="24"/>
          <w:szCs w:val="24"/>
          <w:lang w:val="en-CA"/>
        </w:rPr>
        <w:t>Data and research evidence on drugs, and emerging drug trends, are used by members of the federal Health Portfolio and their partners</w:t>
      </w:r>
    </w:p>
    <w:p w:rsidR="00E1101E" w:rsidRPr="00D02B18" w:rsidRDefault="00E1101E" w:rsidP="00D02B18">
      <w:pPr>
        <w:spacing w:after="0" w:line="240" w:lineRule="auto"/>
        <w:ind w:left="360"/>
        <w:contextualSpacing/>
        <w:rPr>
          <w:b/>
          <w:i/>
          <w:sz w:val="24"/>
          <w:szCs w:val="24"/>
          <w:lang w:val="en-CA"/>
        </w:rPr>
      </w:pPr>
      <w:r w:rsidRPr="00E1101E">
        <w:rPr>
          <w:b/>
          <w:i/>
          <w:sz w:val="24"/>
          <w:szCs w:val="24"/>
          <w:lang w:val="en-CA"/>
        </w:rPr>
        <w:t>Indicator</w:t>
      </w:r>
      <w:r w:rsidRPr="00D02B18">
        <w:rPr>
          <w:i/>
          <w:sz w:val="24"/>
          <w:szCs w:val="24"/>
          <w:lang w:val="en-CA"/>
        </w:rPr>
        <w:t>:  Percentage of targeted stakeholders re</w:t>
      </w:r>
      <w:r w:rsidR="00D02B18" w:rsidRPr="00D02B18">
        <w:rPr>
          <w:i/>
          <w:sz w:val="24"/>
          <w:szCs w:val="24"/>
          <w:lang w:val="en-CA"/>
        </w:rPr>
        <w:t xml:space="preserve">porting that they made evidence </w:t>
      </w:r>
      <w:r w:rsidRPr="00D02B18">
        <w:rPr>
          <w:i/>
          <w:sz w:val="24"/>
          <w:szCs w:val="24"/>
          <w:lang w:val="en-CA"/>
        </w:rPr>
        <w:t>informed improvements to substance use policies, programs and practice by: type of improvement, with Baseline to be established in 2018-19.</w:t>
      </w:r>
    </w:p>
    <w:p w:rsidR="00E1101E" w:rsidRPr="00D02B18" w:rsidRDefault="00D02B18" w:rsidP="00D02B18">
      <w:pPr>
        <w:spacing w:after="0" w:line="240" w:lineRule="auto"/>
        <w:ind w:left="360"/>
        <w:contextualSpacing/>
        <w:rPr>
          <w:i/>
          <w:iCs/>
          <w:sz w:val="24"/>
          <w:szCs w:val="24"/>
          <w:lang w:val="en-CA"/>
        </w:rPr>
      </w:pPr>
      <w:r>
        <w:rPr>
          <w:b/>
          <w:i/>
          <w:iCs/>
          <w:sz w:val="24"/>
          <w:szCs w:val="24"/>
          <w:lang w:val="en-CA"/>
        </w:rPr>
        <w:t xml:space="preserve">Target: </w:t>
      </w:r>
      <w:r w:rsidR="00E1101E" w:rsidRPr="00D02B18">
        <w:rPr>
          <w:i/>
          <w:iCs/>
          <w:sz w:val="24"/>
          <w:szCs w:val="24"/>
          <w:lang w:val="en-CA"/>
        </w:rPr>
        <w:t>60% of targeted stakeholders reporting evidence informed improvements to substance use policies, programs, and practices by 2021</w:t>
      </w:r>
    </w:p>
    <w:p w:rsidR="00E1101E" w:rsidRPr="00002DC6" w:rsidRDefault="00E1101E" w:rsidP="00002DC6">
      <w:pPr>
        <w:autoSpaceDE w:val="0"/>
        <w:autoSpaceDN w:val="0"/>
        <w:adjustRightInd w:val="0"/>
        <w:spacing w:after="0" w:line="240" w:lineRule="auto"/>
        <w:rPr>
          <w:iCs/>
          <w:color w:val="FF0000"/>
          <w:sz w:val="24"/>
          <w:szCs w:val="24"/>
          <w:lang w:val="en-CA"/>
        </w:rPr>
      </w:pPr>
    </w:p>
    <w:p w:rsidR="00E1101E" w:rsidRPr="00D02B18" w:rsidRDefault="00E1101E" w:rsidP="00D02B18">
      <w:pPr>
        <w:spacing w:after="0" w:line="240" w:lineRule="auto"/>
        <w:ind w:left="360"/>
        <w:contextualSpacing/>
        <w:rPr>
          <w:sz w:val="24"/>
          <w:szCs w:val="24"/>
          <w:lang w:val="en-CA"/>
        </w:rPr>
      </w:pPr>
      <w:r w:rsidRPr="00E1101E">
        <w:rPr>
          <w:sz w:val="24"/>
          <w:szCs w:val="24"/>
          <w:lang w:val="en-CA"/>
        </w:rPr>
        <w:t xml:space="preserve">Amendments were made to the SUAP Ts&amp;Cs to be consistent with other SPB funding programs; to </w:t>
      </w:r>
      <w:r w:rsidRPr="00E1101E">
        <w:rPr>
          <w:color w:val="000000"/>
          <w:sz w:val="24"/>
          <w:szCs w:val="24"/>
          <w:lang w:val="en-CA"/>
        </w:rPr>
        <w:t>correct</w:t>
      </w:r>
      <w:r w:rsidRPr="00E1101E">
        <w:rPr>
          <w:sz w:val="24"/>
          <w:szCs w:val="24"/>
          <w:lang w:val="en-CA"/>
        </w:rPr>
        <w:t xml:space="preserve"> language for consistency with a public health approach to substance use, including specific references to harm reduction; to </w:t>
      </w:r>
      <w:r w:rsidRPr="00E1101E">
        <w:rPr>
          <w:color w:val="000000"/>
          <w:sz w:val="24"/>
          <w:szCs w:val="24"/>
          <w:lang w:val="en-CA"/>
        </w:rPr>
        <w:t>amend the maximum amount payable to a recipient</w:t>
      </w:r>
      <w:r w:rsidRPr="00E1101E">
        <w:rPr>
          <w:sz w:val="24"/>
          <w:szCs w:val="24"/>
          <w:lang w:val="en-CA"/>
        </w:rPr>
        <w:t>; and, to revise the SUAP logic model (outcomes and indicators).</w:t>
      </w:r>
    </w:p>
    <w:p w:rsidR="009F05EE" w:rsidRPr="00D055EB" w:rsidRDefault="009F05EE" w:rsidP="009F05EE">
      <w:pPr>
        <w:pStyle w:val="ListParagraph"/>
        <w:autoSpaceDE w:val="0"/>
        <w:autoSpaceDN w:val="0"/>
        <w:adjustRightInd w:val="0"/>
        <w:spacing w:after="0" w:line="240" w:lineRule="auto"/>
        <w:ind w:left="360"/>
        <w:rPr>
          <w:sz w:val="24"/>
          <w:szCs w:val="24"/>
          <w:lang w:val="en-CA"/>
        </w:rPr>
      </w:pPr>
    </w:p>
    <w:p w:rsidR="001E24F5" w:rsidRPr="00D055EB" w:rsidRDefault="001E24F5" w:rsidP="009F05EE">
      <w:pPr>
        <w:pStyle w:val="ListParagraph"/>
        <w:numPr>
          <w:ilvl w:val="0"/>
          <w:numId w:val="8"/>
        </w:numPr>
        <w:autoSpaceDE w:val="0"/>
        <w:autoSpaceDN w:val="0"/>
        <w:adjustRightInd w:val="0"/>
        <w:spacing w:after="0" w:line="240" w:lineRule="auto"/>
        <w:rPr>
          <w:sz w:val="24"/>
          <w:szCs w:val="24"/>
          <w:lang w:val="en-CA"/>
        </w:rPr>
      </w:pPr>
      <w:r w:rsidRPr="00D055EB">
        <w:rPr>
          <w:rFonts w:cs="Helv"/>
          <w:b/>
          <w:i/>
          <w:color w:val="FF0000"/>
          <w:sz w:val="24"/>
          <w:szCs w:val="24"/>
          <w:lang w:val="en-CA"/>
        </w:rPr>
        <w:t xml:space="preserve">Note: </w:t>
      </w:r>
      <w:r w:rsidRPr="00D055EB">
        <w:rPr>
          <w:rFonts w:cs="Helv"/>
          <w:sz w:val="24"/>
          <w:szCs w:val="24"/>
          <w:lang w:val="en-CA"/>
        </w:rPr>
        <w:t xml:space="preserve">Budget 2017 included reference to </w:t>
      </w:r>
      <w:r w:rsidRPr="009F05EE">
        <w:rPr>
          <w:rFonts w:cs="Helv"/>
          <w:sz w:val="24"/>
          <w:szCs w:val="24"/>
          <w:lang w:val="en-CA"/>
        </w:rPr>
        <w:t>‘</w:t>
      </w:r>
      <w:r w:rsidRPr="009F05EE">
        <w:rPr>
          <w:rFonts w:cs="CenturyGothic"/>
          <w:sz w:val="24"/>
          <w:szCs w:val="24"/>
          <w:lang w:val="en-CA"/>
        </w:rPr>
        <w:t>Public Education Programming and Surveillance for Legalized Cannabis’</w:t>
      </w:r>
      <w:r w:rsidRPr="00D055EB">
        <w:rPr>
          <w:rFonts w:cs="CenturyGothic"/>
          <w:sz w:val="24"/>
          <w:szCs w:val="24"/>
          <w:lang w:val="en-CA"/>
        </w:rPr>
        <w:t xml:space="preserve">. </w:t>
      </w:r>
      <w:r w:rsidRPr="00D055EB">
        <w:rPr>
          <w:rFonts w:cs="CenturyGothic"/>
          <w:color w:val="000000"/>
          <w:sz w:val="24"/>
          <w:szCs w:val="24"/>
          <w:lang w:val="en-CA"/>
        </w:rPr>
        <w:t xml:space="preserve">As part of the Canadian Drugs and Substances Strategy, Health Canada committed to supporting cannabis public education programming and surveillance activities in advance of the Government’s plan to legalize cannabis by directing existing funding of $9.6 million over five years, with $1.0 million per year ongoing. It is not clear whether an MC or TB Sub related to this commitment were produced and when. However, Budget 2017 resulted in the SUAP committing to dedicate </w:t>
      </w:r>
      <w:r w:rsidRPr="00D055EB">
        <w:rPr>
          <w:rFonts w:cs="Arial"/>
          <w:color w:val="333333"/>
          <w:sz w:val="24"/>
          <w:szCs w:val="24"/>
          <w:lang w:val="en"/>
        </w:rPr>
        <w:t xml:space="preserve">$3M annually </w:t>
      </w:r>
      <w:r w:rsidR="00EA54F3">
        <w:rPr>
          <w:rFonts w:cs="Arial"/>
          <w:color w:val="333333"/>
          <w:sz w:val="24"/>
          <w:szCs w:val="24"/>
          <w:lang w:val="en"/>
        </w:rPr>
        <w:t xml:space="preserve">from existing SUAP funding </w:t>
      </w:r>
      <w:r w:rsidRPr="00D055EB">
        <w:rPr>
          <w:rFonts w:cs="Arial"/>
          <w:color w:val="333333"/>
          <w:sz w:val="24"/>
          <w:szCs w:val="24"/>
          <w:lang w:val="en"/>
        </w:rPr>
        <w:t>for cannabis public education and awareness initiatives. News release link:</w:t>
      </w:r>
      <w:r w:rsidRPr="00D055EB">
        <w:rPr>
          <w:rFonts w:cs="CenturyGothic"/>
          <w:color w:val="000000"/>
          <w:sz w:val="24"/>
          <w:szCs w:val="24"/>
          <w:lang w:val="en-CA"/>
        </w:rPr>
        <w:t xml:space="preserve"> </w:t>
      </w:r>
      <w:hyperlink r:id="rId11" w:history="1">
        <w:r w:rsidRPr="00D055EB">
          <w:rPr>
            <w:rStyle w:val="Hyperlink"/>
            <w:rFonts w:asciiTheme="minorHAnsi" w:hAnsiTheme="minorHAnsi"/>
            <w:lang w:val="en-CA"/>
          </w:rPr>
          <w:t>https://www.canada.ca/en/health-canada/news/2017/10/government_of_canadatoinvestincannabiseducationandawareness.html</w:t>
        </w:r>
      </w:hyperlink>
    </w:p>
    <w:p w:rsidR="001E24F5" w:rsidRPr="00D055EB" w:rsidRDefault="001E24F5" w:rsidP="009F05EE">
      <w:pPr>
        <w:pStyle w:val="ListParagraph"/>
        <w:autoSpaceDE w:val="0"/>
        <w:autoSpaceDN w:val="0"/>
        <w:adjustRightInd w:val="0"/>
        <w:spacing w:after="0" w:line="240" w:lineRule="auto"/>
        <w:ind w:left="360"/>
        <w:rPr>
          <w:rFonts w:cs="Helv"/>
          <w:b/>
          <w:i/>
          <w:color w:val="000000"/>
          <w:sz w:val="24"/>
          <w:szCs w:val="24"/>
          <w:lang w:val="en-CA"/>
        </w:rPr>
      </w:pPr>
    </w:p>
    <w:p w:rsidR="001E24F5" w:rsidRPr="009F05EE" w:rsidRDefault="009F05EE" w:rsidP="009F05EE">
      <w:pPr>
        <w:pStyle w:val="ListParagraph"/>
        <w:numPr>
          <w:ilvl w:val="0"/>
          <w:numId w:val="8"/>
        </w:numPr>
        <w:autoSpaceDE w:val="0"/>
        <w:autoSpaceDN w:val="0"/>
        <w:adjustRightInd w:val="0"/>
        <w:spacing w:after="0" w:line="240" w:lineRule="auto"/>
        <w:rPr>
          <w:rFonts w:cs="Helv"/>
          <w:color w:val="000000"/>
          <w:sz w:val="24"/>
          <w:szCs w:val="24"/>
          <w:lang w:val="en-CA"/>
        </w:rPr>
      </w:pPr>
      <w:r w:rsidRPr="009F05EE">
        <w:rPr>
          <w:rFonts w:cs="Helv"/>
          <w:color w:val="000000"/>
          <w:sz w:val="24"/>
          <w:szCs w:val="24"/>
          <w:lang w:val="en-CA"/>
        </w:rPr>
        <w:t>2018:</w:t>
      </w:r>
      <w:r w:rsidRPr="009F05EE">
        <w:rPr>
          <w:rFonts w:cs="Helv"/>
          <w:i/>
          <w:color w:val="000000"/>
          <w:sz w:val="24"/>
          <w:szCs w:val="24"/>
          <w:lang w:val="en-CA"/>
        </w:rPr>
        <w:t xml:space="preserve"> </w:t>
      </w:r>
      <w:r w:rsidR="001E24F5" w:rsidRPr="009F05EE">
        <w:rPr>
          <w:rFonts w:cs="Helv"/>
          <w:i/>
          <w:color w:val="000000"/>
          <w:sz w:val="24"/>
          <w:szCs w:val="24"/>
          <w:lang w:val="en-CA"/>
        </w:rPr>
        <w:t xml:space="preserve">Addressing the Opioid Crisis </w:t>
      </w:r>
      <w:r w:rsidRPr="009F05EE">
        <w:rPr>
          <w:rFonts w:cs="Helv"/>
          <w:color w:val="000000"/>
          <w:sz w:val="24"/>
          <w:szCs w:val="24"/>
          <w:lang w:val="en-CA"/>
        </w:rPr>
        <w:t xml:space="preserve">– TB Sub #          </w:t>
      </w: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 xml:space="preserve">If approved, the SUAP will receive an additional $13.5M </w:t>
      </w:r>
      <w:r>
        <w:rPr>
          <w:iCs/>
          <w:sz w:val="24"/>
          <w:szCs w:val="24"/>
          <w:lang w:val="en-CA"/>
        </w:rPr>
        <w:t xml:space="preserve">over five years and $4.1M ongoing </w:t>
      </w:r>
      <w:r w:rsidRPr="00002DC6">
        <w:rPr>
          <w:iCs/>
          <w:sz w:val="24"/>
          <w:szCs w:val="24"/>
          <w:lang w:val="en-CA"/>
        </w:rPr>
        <w:t xml:space="preserve">in Vote 1 and Vote 10 funding broken down as follows: </w:t>
      </w:r>
    </w:p>
    <w:p w:rsidR="00002DC6" w:rsidRDefault="00002DC6" w:rsidP="009F05EE">
      <w:pPr>
        <w:pStyle w:val="ListParagraph"/>
        <w:autoSpaceDE w:val="0"/>
        <w:autoSpaceDN w:val="0"/>
        <w:adjustRightInd w:val="0"/>
        <w:spacing w:after="0" w:line="240" w:lineRule="auto"/>
        <w:ind w:left="360"/>
        <w:rPr>
          <w:iCs/>
          <w:color w:val="FF0000"/>
          <w:sz w:val="24"/>
          <w:szCs w:val="24"/>
          <w:lang w:val="en-CA"/>
        </w:rPr>
      </w:pP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2018-19: $4.1M</w:t>
      </w: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2019-20: $3.3M</w:t>
      </w: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2020-21: $3.1M</w:t>
      </w: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2021-22: $2M</w:t>
      </w:r>
    </w:p>
    <w:p w:rsidR="00002DC6" w:rsidRPr="00002DC6" w:rsidRDefault="00002DC6" w:rsidP="009F05EE">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2022-23: $1M</w:t>
      </w:r>
    </w:p>
    <w:p w:rsidR="00002DC6" w:rsidRDefault="00002DC6" w:rsidP="00002DC6">
      <w:pPr>
        <w:pStyle w:val="ListParagraph"/>
        <w:autoSpaceDE w:val="0"/>
        <w:autoSpaceDN w:val="0"/>
        <w:adjustRightInd w:val="0"/>
        <w:spacing w:after="0" w:line="240" w:lineRule="auto"/>
        <w:ind w:left="360"/>
        <w:rPr>
          <w:iCs/>
          <w:sz w:val="24"/>
          <w:szCs w:val="24"/>
          <w:lang w:val="en-CA"/>
        </w:rPr>
      </w:pPr>
      <w:r w:rsidRPr="00002DC6">
        <w:rPr>
          <w:iCs/>
          <w:sz w:val="24"/>
          <w:szCs w:val="24"/>
          <w:lang w:val="en-CA"/>
        </w:rPr>
        <w:t>Ongoing: $4.1M</w:t>
      </w:r>
    </w:p>
    <w:p w:rsidR="00002DC6" w:rsidRDefault="00002DC6" w:rsidP="00002DC6">
      <w:pPr>
        <w:pStyle w:val="ListParagraph"/>
        <w:autoSpaceDE w:val="0"/>
        <w:autoSpaceDN w:val="0"/>
        <w:adjustRightInd w:val="0"/>
        <w:spacing w:after="0" w:line="240" w:lineRule="auto"/>
        <w:ind w:left="360"/>
        <w:rPr>
          <w:iCs/>
          <w:sz w:val="24"/>
          <w:szCs w:val="24"/>
          <w:lang w:val="en-CA"/>
        </w:rPr>
      </w:pPr>
    </w:p>
    <w:p w:rsidR="00002DC6" w:rsidRPr="00002DC6" w:rsidRDefault="00002DC6" w:rsidP="00002DC6">
      <w:pPr>
        <w:pStyle w:val="ListParagraph"/>
        <w:autoSpaceDE w:val="0"/>
        <w:autoSpaceDN w:val="0"/>
        <w:adjustRightInd w:val="0"/>
        <w:spacing w:after="0" w:line="240" w:lineRule="auto"/>
        <w:ind w:left="360"/>
        <w:rPr>
          <w:iCs/>
          <w:sz w:val="24"/>
          <w:szCs w:val="24"/>
          <w:lang w:val="en-CA"/>
        </w:rPr>
      </w:pPr>
      <w:r>
        <w:rPr>
          <w:iCs/>
          <w:sz w:val="24"/>
          <w:szCs w:val="24"/>
          <w:lang w:val="en-CA"/>
        </w:rPr>
        <w:t xml:space="preserve">Funding will be used to support Budget 2018 commitments related to expanding the SUAP to support innovative approaches to prevention and treatment specific to opioids. </w:t>
      </w:r>
    </w:p>
    <w:p w:rsidR="009F05EE" w:rsidRPr="00002DC6" w:rsidRDefault="009F05EE" w:rsidP="00002DC6">
      <w:pPr>
        <w:autoSpaceDE w:val="0"/>
        <w:autoSpaceDN w:val="0"/>
        <w:adjustRightInd w:val="0"/>
        <w:spacing w:after="0" w:line="240" w:lineRule="auto"/>
        <w:rPr>
          <w:iCs/>
          <w:color w:val="FF0000"/>
          <w:sz w:val="24"/>
          <w:szCs w:val="24"/>
          <w:lang w:val="en-CA"/>
        </w:rPr>
      </w:pPr>
    </w:p>
    <w:p w:rsidR="001E24F5" w:rsidRPr="009F05EE" w:rsidRDefault="009F05EE" w:rsidP="009F05EE">
      <w:pPr>
        <w:pStyle w:val="ListParagraph"/>
        <w:numPr>
          <w:ilvl w:val="0"/>
          <w:numId w:val="8"/>
        </w:numPr>
        <w:autoSpaceDE w:val="0"/>
        <w:autoSpaceDN w:val="0"/>
        <w:adjustRightInd w:val="0"/>
        <w:spacing w:after="0" w:line="240" w:lineRule="auto"/>
        <w:rPr>
          <w:rFonts w:cs="Helv"/>
          <w:color w:val="000000"/>
          <w:sz w:val="24"/>
          <w:szCs w:val="24"/>
          <w:lang w:val="en-CA"/>
        </w:rPr>
      </w:pPr>
      <w:r w:rsidRPr="009F05EE">
        <w:rPr>
          <w:rFonts w:cs="Helv"/>
          <w:color w:val="000000"/>
          <w:sz w:val="24"/>
          <w:szCs w:val="24"/>
          <w:lang w:val="en-CA"/>
        </w:rPr>
        <w:t>2018:</w:t>
      </w:r>
      <w:r w:rsidRPr="009F05EE">
        <w:rPr>
          <w:rFonts w:cs="Helv"/>
          <w:i/>
          <w:color w:val="000000"/>
          <w:sz w:val="24"/>
          <w:szCs w:val="24"/>
          <w:lang w:val="en-CA"/>
        </w:rPr>
        <w:t xml:space="preserve"> </w:t>
      </w:r>
      <w:r w:rsidR="001E24F5" w:rsidRPr="009F05EE">
        <w:rPr>
          <w:rFonts w:cs="Helv"/>
          <w:i/>
          <w:color w:val="000000"/>
          <w:sz w:val="24"/>
          <w:szCs w:val="24"/>
          <w:lang w:val="en-CA"/>
        </w:rPr>
        <w:t>Supporting Cannabis Public Education, Awareness and Research</w:t>
      </w:r>
      <w:r w:rsidRPr="009F05EE">
        <w:rPr>
          <w:rFonts w:cs="Helv"/>
          <w:color w:val="000000"/>
          <w:sz w:val="24"/>
          <w:szCs w:val="24"/>
          <w:lang w:val="en-CA"/>
        </w:rPr>
        <w:t xml:space="preserve"> – TB Sub #        </w:t>
      </w:r>
    </w:p>
    <w:p w:rsidR="006C34B2" w:rsidRDefault="006C34B2" w:rsidP="006C34B2">
      <w:pPr>
        <w:pStyle w:val="ListParagraph"/>
        <w:autoSpaceDE w:val="0"/>
        <w:autoSpaceDN w:val="0"/>
        <w:adjustRightInd w:val="0"/>
        <w:spacing w:after="0" w:line="240" w:lineRule="auto"/>
        <w:ind w:left="360"/>
        <w:rPr>
          <w:iCs/>
          <w:color w:val="FF0000"/>
          <w:sz w:val="24"/>
          <w:szCs w:val="24"/>
          <w:lang w:val="en-CA"/>
        </w:rPr>
      </w:pPr>
    </w:p>
    <w:p w:rsidR="00002DC6" w:rsidRPr="006C34B2" w:rsidRDefault="00002DC6" w:rsidP="006C34B2">
      <w:pPr>
        <w:pStyle w:val="ListParagraph"/>
        <w:autoSpaceDE w:val="0"/>
        <w:autoSpaceDN w:val="0"/>
        <w:adjustRightInd w:val="0"/>
        <w:spacing w:after="0" w:line="240" w:lineRule="auto"/>
        <w:ind w:left="360"/>
        <w:rPr>
          <w:iCs/>
          <w:color w:val="FF0000"/>
          <w:sz w:val="24"/>
          <w:szCs w:val="24"/>
          <w:lang w:val="en-CA"/>
        </w:rPr>
      </w:pPr>
      <w:r w:rsidRPr="006C34B2">
        <w:rPr>
          <w:rFonts w:cs="Helv"/>
          <w:color w:val="000000"/>
          <w:sz w:val="24"/>
          <w:szCs w:val="24"/>
          <w:lang w:val="en-CA"/>
        </w:rPr>
        <w:t xml:space="preserve">If approved, the SUAP will </w:t>
      </w:r>
      <w:r w:rsidR="006C34B2" w:rsidRPr="006C34B2">
        <w:rPr>
          <w:rFonts w:cs="Helv"/>
          <w:color w:val="000000"/>
          <w:sz w:val="24"/>
          <w:szCs w:val="24"/>
          <w:lang w:val="en-CA"/>
        </w:rPr>
        <w:t xml:space="preserve">receive </w:t>
      </w:r>
      <w:r w:rsidRPr="006C34B2">
        <w:rPr>
          <w:iCs/>
          <w:sz w:val="24"/>
          <w:szCs w:val="24"/>
          <w:lang w:val="en-CA"/>
        </w:rPr>
        <w:t>$62.5 million over five</w:t>
      </w:r>
      <w:r w:rsidR="006C34B2">
        <w:rPr>
          <w:iCs/>
          <w:sz w:val="24"/>
          <w:szCs w:val="24"/>
          <w:lang w:val="en-CA"/>
        </w:rPr>
        <w:t xml:space="preserve"> </w:t>
      </w:r>
      <w:r w:rsidR="006C34B2" w:rsidRPr="006C34B2">
        <w:rPr>
          <w:iCs/>
          <w:sz w:val="24"/>
          <w:szCs w:val="24"/>
          <w:lang w:val="en-CA"/>
        </w:rPr>
        <w:t xml:space="preserve">years, starting in 2018–19, to support cannabis </w:t>
      </w:r>
      <w:r w:rsidRPr="006C34B2">
        <w:rPr>
          <w:iCs/>
          <w:sz w:val="24"/>
          <w:szCs w:val="24"/>
          <w:lang w:val="en-CA"/>
        </w:rPr>
        <w:t>public education initiatives. This funding will</w:t>
      </w:r>
      <w:r w:rsidR="006C34B2" w:rsidRPr="006C34B2">
        <w:rPr>
          <w:iCs/>
          <w:sz w:val="24"/>
          <w:szCs w:val="24"/>
          <w:lang w:val="en-CA"/>
        </w:rPr>
        <w:t xml:space="preserve"> </w:t>
      </w:r>
      <w:r w:rsidRPr="006C34B2">
        <w:rPr>
          <w:iCs/>
          <w:sz w:val="24"/>
          <w:szCs w:val="24"/>
          <w:lang w:val="en-CA"/>
        </w:rPr>
        <w:t>support the involvement of community-based organizations and Indigenous</w:t>
      </w:r>
      <w:r w:rsidR="006C34B2" w:rsidRPr="006C34B2">
        <w:rPr>
          <w:iCs/>
          <w:sz w:val="24"/>
          <w:szCs w:val="24"/>
          <w:lang w:val="en-CA"/>
        </w:rPr>
        <w:t xml:space="preserve"> </w:t>
      </w:r>
      <w:r w:rsidRPr="006C34B2">
        <w:rPr>
          <w:iCs/>
          <w:sz w:val="24"/>
          <w:szCs w:val="24"/>
          <w:lang w:val="en-CA"/>
        </w:rPr>
        <w:t>organizations that are educating their communities on the risks associated</w:t>
      </w:r>
      <w:r w:rsidR="006C34B2" w:rsidRPr="006C34B2">
        <w:rPr>
          <w:iCs/>
          <w:sz w:val="24"/>
          <w:szCs w:val="24"/>
          <w:lang w:val="en-CA"/>
        </w:rPr>
        <w:t xml:space="preserve"> </w:t>
      </w:r>
      <w:r w:rsidRPr="006C34B2">
        <w:rPr>
          <w:iCs/>
          <w:sz w:val="24"/>
          <w:szCs w:val="24"/>
          <w:lang w:val="en-CA"/>
        </w:rPr>
        <w:t xml:space="preserve">with cannabis use. The </w:t>
      </w:r>
      <w:r w:rsidR="006C34B2" w:rsidRPr="006C34B2">
        <w:rPr>
          <w:iCs/>
          <w:sz w:val="24"/>
          <w:szCs w:val="24"/>
          <w:lang w:val="en-CA"/>
        </w:rPr>
        <w:t xml:space="preserve">SUAP will also receive </w:t>
      </w:r>
      <w:r w:rsidRPr="006C34B2">
        <w:rPr>
          <w:iCs/>
          <w:sz w:val="24"/>
          <w:szCs w:val="24"/>
          <w:lang w:val="en-CA"/>
        </w:rPr>
        <w:t>$10 million over</w:t>
      </w:r>
      <w:r w:rsidR="006C34B2">
        <w:rPr>
          <w:iCs/>
          <w:sz w:val="24"/>
          <w:szCs w:val="24"/>
          <w:lang w:val="en-CA"/>
        </w:rPr>
        <w:t xml:space="preserve"> </w:t>
      </w:r>
      <w:r w:rsidRPr="006C34B2">
        <w:rPr>
          <w:iCs/>
          <w:sz w:val="24"/>
          <w:szCs w:val="24"/>
          <w:lang w:val="en-CA"/>
        </w:rPr>
        <w:t>five years for the Mental Health Commission of Canada to help assess the</w:t>
      </w:r>
      <w:r w:rsidR="006C34B2">
        <w:rPr>
          <w:iCs/>
          <w:sz w:val="24"/>
          <w:szCs w:val="24"/>
          <w:lang w:val="en-CA"/>
        </w:rPr>
        <w:t xml:space="preserve"> </w:t>
      </w:r>
      <w:r w:rsidRPr="006C34B2">
        <w:rPr>
          <w:iCs/>
          <w:sz w:val="24"/>
          <w:szCs w:val="24"/>
          <w:lang w:val="en-CA"/>
        </w:rPr>
        <w:t>impact of cannabis use on the mental health of Canadians, and $10 million</w:t>
      </w:r>
      <w:r w:rsidR="006C34B2">
        <w:rPr>
          <w:iCs/>
          <w:sz w:val="24"/>
          <w:szCs w:val="24"/>
          <w:lang w:val="en-CA"/>
        </w:rPr>
        <w:t xml:space="preserve"> </w:t>
      </w:r>
      <w:r w:rsidR="006C34B2" w:rsidRPr="006C34B2">
        <w:rPr>
          <w:iCs/>
          <w:sz w:val="24"/>
          <w:szCs w:val="24"/>
          <w:lang w:val="en-CA"/>
        </w:rPr>
        <w:t>over five years for</w:t>
      </w:r>
      <w:r w:rsidRPr="006C34B2">
        <w:rPr>
          <w:iCs/>
          <w:sz w:val="24"/>
          <w:szCs w:val="24"/>
          <w:lang w:val="en-CA"/>
        </w:rPr>
        <w:t xml:space="preserve"> the Canadian Centre on Substance Use and Addiction to</w:t>
      </w:r>
      <w:r w:rsidR="006C34B2">
        <w:rPr>
          <w:iCs/>
          <w:sz w:val="24"/>
          <w:szCs w:val="24"/>
          <w:lang w:val="en-CA"/>
        </w:rPr>
        <w:t xml:space="preserve"> </w:t>
      </w:r>
      <w:r w:rsidRPr="006C34B2">
        <w:rPr>
          <w:iCs/>
          <w:sz w:val="24"/>
          <w:szCs w:val="24"/>
          <w:lang w:val="en-CA"/>
        </w:rPr>
        <w:t>support research on cannabis use in Canada.</w:t>
      </w:r>
    </w:p>
    <w:p w:rsidR="00002DC6" w:rsidRPr="00D007A5" w:rsidRDefault="00002DC6" w:rsidP="00D007A5">
      <w:pPr>
        <w:autoSpaceDE w:val="0"/>
        <w:autoSpaceDN w:val="0"/>
        <w:adjustRightInd w:val="0"/>
        <w:spacing w:after="0" w:line="240" w:lineRule="auto"/>
        <w:rPr>
          <w:rFonts w:cs="Helv"/>
          <w:color w:val="000000"/>
          <w:sz w:val="24"/>
          <w:szCs w:val="24"/>
          <w:lang w:val="en-CA"/>
        </w:rPr>
      </w:pPr>
    </w:p>
    <w:p w:rsidR="001E24F5" w:rsidRPr="009F05EE" w:rsidRDefault="009F05EE" w:rsidP="009F05EE">
      <w:pPr>
        <w:pStyle w:val="ListParagraph"/>
        <w:numPr>
          <w:ilvl w:val="0"/>
          <w:numId w:val="8"/>
        </w:numPr>
        <w:autoSpaceDE w:val="0"/>
        <w:autoSpaceDN w:val="0"/>
        <w:adjustRightInd w:val="0"/>
        <w:spacing w:after="0" w:line="240" w:lineRule="auto"/>
        <w:rPr>
          <w:rFonts w:cs="Helv"/>
          <w:color w:val="000000"/>
          <w:sz w:val="24"/>
          <w:szCs w:val="24"/>
          <w:lang w:val="en-CA"/>
        </w:rPr>
      </w:pPr>
      <w:r>
        <w:rPr>
          <w:rFonts w:cs="Helv"/>
          <w:color w:val="000000"/>
          <w:sz w:val="24"/>
          <w:szCs w:val="24"/>
          <w:lang w:val="en-CA"/>
        </w:rPr>
        <w:t xml:space="preserve">2018: </w:t>
      </w:r>
      <w:r w:rsidR="001E24F5" w:rsidRPr="009F05EE">
        <w:rPr>
          <w:rFonts w:cs="Helv"/>
          <w:color w:val="000000"/>
          <w:sz w:val="24"/>
          <w:szCs w:val="24"/>
          <w:lang w:val="en-CA"/>
        </w:rPr>
        <w:t xml:space="preserve">Tobacco (2018) </w:t>
      </w:r>
      <w:r>
        <w:rPr>
          <w:rFonts w:cs="Helv"/>
          <w:color w:val="000000"/>
          <w:sz w:val="24"/>
          <w:szCs w:val="24"/>
          <w:lang w:val="en-CA"/>
        </w:rPr>
        <w:t>–</w:t>
      </w:r>
      <w:r w:rsidR="001E24F5" w:rsidRPr="00D055EB">
        <w:rPr>
          <w:rFonts w:cs="Helv"/>
          <w:color w:val="000000"/>
          <w:sz w:val="24"/>
          <w:szCs w:val="24"/>
          <w:lang w:val="en-CA"/>
        </w:rPr>
        <w:t xml:space="preserve"> </w:t>
      </w:r>
      <w:r w:rsidR="001E24F5" w:rsidRPr="00D055EB">
        <w:rPr>
          <w:rFonts w:cs="Helv"/>
          <w:color w:val="FF0000"/>
          <w:sz w:val="24"/>
          <w:szCs w:val="24"/>
          <w:lang w:val="en-CA"/>
        </w:rPr>
        <w:t>Placeholder</w:t>
      </w:r>
    </w:p>
    <w:p w:rsidR="009F05EE" w:rsidRPr="00D007A5" w:rsidRDefault="009F05EE" w:rsidP="00D007A5">
      <w:pPr>
        <w:pStyle w:val="Heading1"/>
        <w:spacing w:before="0" w:line="240" w:lineRule="auto"/>
        <w:rPr>
          <w:rFonts w:asciiTheme="minorHAnsi" w:hAnsiTheme="minorHAnsi"/>
          <w:sz w:val="24"/>
          <w:szCs w:val="24"/>
          <w:lang w:val="en-CA"/>
        </w:rPr>
      </w:pPr>
    </w:p>
    <w:p w:rsidR="00D007A5" w:rsidRPr="00BB27B4" w:rsidRDefault="006C34B2" w:rsidP="00BB27B4">
      <w:pPr>
        <w:spacing w:after="0" w:line="240" w:lineRule="auto"/>
        <w:ind w:left="360"/>
        <w:rPr>
          <w:sz w:val="24"/>
          <w:szCs w:val="24"/>
          <w:lang w:val="en-CA"/>
        </w:rPr>
      </w:pPr>
      <w:r w:rsidRPr="00BB27B4">
        <w:rPr>
          <w:sz w:val="24"/>
          <w:szCs w:val="24"/>
          <w:lang w:val="en-CA"/>
        </w:rPr>
        <w:t xml:space="preserve">The SUAP is negotiating an MOU with HECSB – Tobacco to administer tobacco funding announced in Budget 2018. If the TB Sub under development is approved, the SUAP will administer a portion of the </w:t>
      </w:r>
      <w:r w:rsidR="00D007A5" w:rsidRPr="00BB27B4">
        <w:rPr>
          <w:sz w:val="24"/>
          <w:szCs w:val="24"/>
          <w:lang w:val="en-CA"/>
        </w:rPr>
        <w:t>funding announced under a renewed and enhanced Federal Tobacco Control Strategy (</w:t>
      </w:r>
      <w:r w:rsidRPr="00BB27B4">
        <w:rPr>
          <w:sz w:val="24"/>
          <w:szCs w:val="24"/>
          <w:lang w:val="en-CA"/>
        </w:rPr>
        <w:t>$80.5 million over five years, starting in 2018–19, with $17.7 million per year ongoing</w:t>
      </w:r>
      <w:r w:rsidR="00BB27B4" w:rsidRPr="00BB27B4">
        <w:rPr>
          <w:sz w:val="24"/>
          <w:szCs w:val="24"/>
          <w:lang w:val="en-CA"/>
        </w:rPr>
        <w:t xml:space="preserve">). Funding will be used to support </w:t>
      </w:r>
      <w:r w:rsidR="00D007A5" w:rsidRPr="00BB27B4">
        <w:rPr>
          <w:rFonts w:cs="Arial"/>
          <w:sz w:val="24"/>
          <w:szCs w:val="24"/>
          <w:lang w:val="en-CA"/>
        </w:rPr>
        <w:t>targeted</w:t>
      </w:r>
      <w:r w:rsidR="00BB27B4" w:rsidRPr="00BB27B4">
        <w:rPr>
          <w:sz w:val="24"/>
          <w:szCs w:val="24"/>
          <w:lang w:val="en-CA"/>
        </w:rPr>
        <w:t xml:space="preserve"> </w:t>
      </w:r>
      <w:r w:rsidR="00D007A5" w:rsidRPr="00BB27B4">
        <w:rPr>
          <w:rFonts w:cs="Arial"/>
          <w:sz w:val="24"/>
          <w:szCs w:val="24"/>
          <w:lang w:val="en-CA"/>
        </w:rPr>
        <w:t>actions, including in Indigenous communities, to encourage the prevention of</w:t>
      </w:r>
      <w:r w:rsidR="00BB27B4" w:rsidRPr="00BB27B4">
        <w:rPr>
          <w:sz w:val="24"/>
          <w:szCs w:val="24"/>
          <w:lang w:val="en-CA"/>
        </w:rPr>
        <w:t xml:space="preserve"> </w:t>
      </w:r>
      <w:r w:rsidR="00D007A5" w:rsidRPr="00BB27B4">
        <w:rPr>
          <w:rFonts w:cs="Arial"/>
          <w:sz w:val="24"/>
          <w:szCs w:val="24"/>
          <w:lang w:val="en-CA"/>
        </w:rPr>
        <w:t>tobacco use and help Canadians quit smoking.</w:t>
      </w:r>
    </w:p>
    <w:p w:rsidR="00D007A5" w:rsidRDefault="00D007A5" w:rsidP="00D007A5">
      <w:pPr>
        <w:rPr>
          <w:rFonts w:ascii="Calibri" w:hAnsi="Calibri"/>
          <w:color w:val="1F497D"/>
          <w:lang w:val="en-CA"/>
        </w:rPr>
      </w:pPr>
    </w:p>
    <w:p w:rsidR="00D007A5" w:rsidRPr="00D007A5" w:rsidRDefault="00D007A5" w:rsidP="00D007A5">
      <w:pPr>
        <w:rPr>
          <w:lang w:val="en-CA"/>
        </w:rPr>
      </w:pPr>
      <w:r w:rsidRPr="00D007A5">
        <w:rPr>
          <w:lang w:val="en-CA"/>
        </w:rPr>
        <w:t xml:space="preserve"> </w:t>
      </w:r>
    </w:p>
    <w:p w:rsidR="00D007A5" w:rsidRDefault="00D007A5" w:rsidP="00D055EB">
      <w:pPr>
        <w:pStyle w:val="Heading1"/>
        <w:spacing w:before="0" w:line="240" w:lineRule="auto"/>
        <w:rPr>
          <w:rFonts w:asciiTheme="minorHAnsi" w:hAnsiTheme="minorHAnsi"/>
          <w:lang w:val="en-CA"/>
        </w:rPr>
      </w:pPr>
    </w:p>
    <w:p w:rsidR="00D007A5" w:rsidRDefault="00D007A5" w:rsidP="00D055EB">
      <w:pPr>
        <w:pStyle w:val="Heading1"/>
        <w:spacing w:before="0" w:line="240" w:lineRule="auto"/>
        <w:rPr>
          <w:rFonts w:asciiTheme="minorHAnsi" w:hAnsiTheme="minorHAnsi"/>
          <w:lang w:val="en-CA"/>
        </w:rPr>
      </w:pPr>
    </w:p>
    <w:p w:rsidR="00D007A5" w:rsidRDefault="00D007A5" w:rsidP="00D055EB">
      <w:pPr>
        <w:pStyle w:val="Heading1"/>
        <w:spacing w:before="0" w:line="240" w:lineRule="auto"/>
        <w:rPr>
          <w:rFonts w:asciiTheme="minorHAnsi" w:hAnsiTheme="minorHAnsi"/>
          <w:lang w:val="en-CA"/>
        </w:rPr>
      </w:pPr>
    </w:p>
    <w:p w:rsidR="00D007A5" w:rsidRDefault="00D007A5" w:rsidP="00D055EB">
      <w:pPr>
        <w:pStyle w:val="Heading1"/>
        <w:spacing w:before="0" w:line="240" w:lineRule="auto"/>
        <w:rPr>
          <w:rFonts w:asciiTheme="minorHAnsi" w:hAnsiTheme="minorHAnsi"/>
          <w:lang w:val="en-CA"/>
        </w:rPr>
      </w:pPr>
    </w:p>
    <w:p w:rsidR="00D007A5" w:rsidRDefault="00D007A5" w:rsidP="00D055EB">
      <w:pPr>
        <w:pStyle w:val="Heading1"/>
        <w:spacing w:before="0" w:line="240" w:lineRule="auto"/>
        <w:rPr>
          <w:rFonts w:asciiTheme="minorHAnsi" w:hAnsiTheme="minorHAnsi"/>
          <w:lang w:val="en-CA"/>
        </w:rPr>
      </w:pPr>
    </w:p>
    <w:p w:rsidR="00D007A5" w:rsidRPr="00D007A5" w:rsidRDefault="00D007A5" w:rsidP="00D007A5">
      <w:pPr>
        <w:rPr>
          <w:lang w:val="en-CA"/>
        </w:rPr>
      </w:pPr>
    </w:p>
    <w:p w:rsidR="00D007A5" w:rsidRDefault="00D007A5" w:rsidP="00D055EB">
      <w:pPr>
        <w:pStyle w:val="Heading1"/>
        <w:spacing w:before="0" w:line="240" w:lineRule="auto"/>
        <w:rPr>
          <w:rFonts w:asciiTheme="minorHAnsi" w:hAnsiTheme="minorHAnsi"/>
          <w:lang w:val="en-CA"/>
        </w:rPr>
      </w:pPr>
    </w:p>
    <w:p w:rsidR="00A25586" w:rsidRDefault="00A25586" w:rsidP="00A25586">
      <w:pPr>
        <w:rPr>
          <w:lang w:val="en-CA"/>
        </w:rPr>
      </w:pPr>
    </w:p>
    <w:p w:rsidR="00A25586" w:rsidRPr="00A25586" w:rsidRDefault="00A25586" w:rsidP="00A25586">
      <w:pPr>
        <w:rPr>
          <w:lang w:val="en-CA"/>
        </w:rPr>
      </w:pPr>
    </w:p>
    <w:p w:rsidR="0074606F" w:rsidRPr="00D055EB" w:rsidRDefault="0074606F" w:rsidP="00D055EB">
      <w:pPr>
        <w:pStyle w:val="Heading1"/>
        <w:spacing w:before="0" w:line="240" w:lineRule="auto"/>
        <w:rPr>
          <w:rFonts w:asciiTheme="minorHAnsi" w:hAnsiTheme="minorHAnsi"/>
          <w:lang w:val="en-CA"/>
        </w:rPr>
      </w:pPr>
      <w:bookmarkStart w:id="14" w:name="_Toc519260887"/>
      <w:r w:rsidRPr="00D055EB">
        <w:rPr>
          <w:rFonts w:asciiTheme="minorHAnsi" w:hAnsiTheme="minorHAnsi"/>
          <w:lang w:val="en-CA"/>
        </w:rPr>
        <w:t>Terms and Conditions (Ts&amp;Cs) History</w:t>
      </w:r>
      <w:bookmarkEnd w:id="14"/>
    </w:p>
    <w:p w:rsidR="00D055EB" w:rsidRPr="00D055EB" w:rsidRDefault="00D055EB" w:rsidP="00D055EB">
      <w:pPr>
        <w:pStyle w:val="ListParagraph"/>
        <w:spacing w:after="0" w:line="240" w:lineRule="auto"/>
        <w:ind w:left="360"/>
        <w:rPr>
          <w:rFonts w:eastAsia="Times New Roman" w:cs="Times New Roman"/>
          <w:sz w:val="24"/>
          <w:szCs w:val="24"/>
          <w:lang w:val="en-CA" w:eastAsia="en-CA"/>
        </w:rPr>
      </w:pPr>
    </w:p>
    <w:p w:rsidR="0074606F" w:rsidRPr="00D055EB" w:rsidRDefault="0074606F" w:rsidP="00D055EB">
      <w:pPr>
        <w:pStyle w:val="ListParagraph"/>
        <w:numPr>
          <w:ilvl w:val="0"/>
          <w:numId w:val="5"/>
        </w:numPr>
        <w:spacing w:after="0" w:line="240" w:lineRule="auto"/>
        <w:rPr>
          <w:rFonts w:eastAsia="Times New Roman" w:cs="Times New Roman"/>
          <w:sz w:val="24"/>
          <w:szCs w:val="24"/>
          <w:lang w:val="en-CA" w:eastAsia="en-CA"/>
        </w:rPr>
      </w:pPr>
      <w:r w:rsidRPr="00D055EB">
        <w:rPr>
          <w:rFonts w:cs="Arial"/>
          <w:b/>
          <w:color w:val="000000"/>
          <w:sz w:val="24"/>
          <w:szCs w:val="24"/>
          <w:lang w:val="en-CA"/>
        </w:rPr>
        <w:t>2004:</w:t>
      </w:r>
      <w:r w:rsidRPr="00D055EB">
        <w:rPr>
          <w:rFonts w:eastAsia="PMingLiU" w:cs="Arial"/>
          <w:bCs/>
          <w:iCs/>
          <w:sz w:val="24"/>
          <w:szCs w:val="24"/>
          <w:lang w:val="en-CA"/>
        </w:rPr>
        <w:t xml:space="preserve"> The </w:t>
      </w:r>
      <w:r w:rsidRPr="00D055EB">
        <w:rPr>
          <w:rFonts w:eastAsia="PMingLiU" w:cs="Arial"/>
          <w:b/>
          <w:bCs/>
          <w:iCs/>
          <w:sz w:val="24"/>
          <w:szCs w:val="24"/>
          <w:lang w:val="en-CA"/>
        </w:rPr>
        <w:t>DSCIF</w:t>
      </w:r>
      <w:r w:rsidRPr="00D055EB">
        <w:rPr>
          <w:rFonts w:eastAsia="PMingLiU" w:cs="Arial"/>
          <w:bCs/>
          <w:iCs/>
          <w:sz w:val="24"/>
          <w:szCs w:val="24"/>
          <w:lang w:val="en-CA"/>
        </w:rPr>
        <w:t xml:space="preserve"> was created in 2004 under Canada's Drug Strategy (CDS). It is not immediately apparent, based on the records that still exist what, MC/TB sub the original DSCIF Ts&amp;Cs were attached to. The original DSCIF Ts&amp;Cs from 2004 referenced harm reduction, which was a pillar under the CDS, and were </w:t>
      </w:r>
      <w:r w:rsidRPr="00D055EB">
        <w:rPr>
          <w:rFonts w:eastAsia="PMingLiU" w:cs="Arial"/>
          <w:bCs/>
          <w:iCs/>
          <w:sz w:val="24"/>
          <w:szCs w:val="24"/>
          <w:u w:val="single"/>
          <w:lang w:val="en-CA"/>
        </w:rPr>
        <w:t>time limited to March 31, 2010</w:t>
      </w:r>
      <w:r w:rsidRPr="00D055EB">
        <w:rPr>
          <w:rFonts w:eastAsia="PMingLiU" w:cs="Arial"/>
          <w:bCs/>
          <w:iCs/>
          <w:sz w:val="24"/>
          <w:szCs w:val="24"/>
          <w:lang w:val="en-CA"/>
        </w:rPr>
        <w:t>. The DSCIF carried ove</w:t>
      </w:r>
      <w:r w:rsidR="00690866" w:rsidRPr="00D055EB">
        <w:rPr>
          <w:rFonts w:eastAsia="PMingLiU" w:cs="Arial"/>
          <w:bCs/>
          <w:iCs/>
          <w:sz w:val="24"/>
          <w:szCs w:val="24"/>
          <w:lang w:val="en-CA"/>
        </w:rPr>
        <w:t xml:space="preserve">r into the NADS in 2007. </w:t>
      </w:r>
      <w:r w:rsidRPr="00D055EB">
        <w:rPr>
          <w:rFonts w:eastAsia="PMingLiU" w:cs="Arial"/>
          <w:bCs/>
          <w:iCs/>
          <w:sz w:val="24"/>
          <w:szCs w:val="24"/>
          <w:lang w:val="en-CA"/>
        </w:rPr>
        <w:t>Note: the DSCIF Ts&amp;Cs were not amended when the NADS was launched. Rather, they were amended and renewed on March 22, 2010, at which time harm reduction was removed other than a reference to "reducing substance use and abuse and its associated harms" in the introduction.</w:t>
      </w:r>
      <w:r w:rsidRPr="00D055EB">
        <w:rPr>
          <w:rFonts w:eastAsia="Times New Roman" w:cs="Arial"/>
          <w:sz w:val="24"/>
          <w:szCs w:val="24"/>
          <w:lang w:val="en-CA" w:eastAsia="en-CA"/>
        </w:rPr>
        <w:t xml:space="preserve"> </w:t>
      </w:r>
    </w:p>
    <w:p w:rsidR="00D87030" w:rsidRPr="00D055EB" w:rsidRDefault="00D87030" w:rsidP="00D055EB">
      <w:pPr>
        <w:pStyle w:val="ListParagraph"/>
        <w:spacing w:after="0" w:line="240" w:lineRule="auto"/>
        <w:ind w:left="360"/>
        <w:rPr>
          <w:rFonts w:eastAsia="Times New Roman" w:cs="Times New Roman"/>
          <w:b/>
          <w:sz w:val="24"/>
          <w:szCs w:val="24"/>
          <w:lang w:val="en-CA" w:eastAsia="en-CA"/>
        </w:rPr>
      </w:pPr>
    </w:p>
    <w:p w:rsidR="00D87030" w:rsidRPr="00D055EB" w:rsidRDefault="00D87030" w:rsidP="00D055EB">
      <w:pPr>
        <w:pStyle w:val="ListParagraph"/>
        <w:numPr>
          <w:ilvl w:val="0"/>
          <w:numId w:val="5"/>
        </w:numPr>
        <w:spacing w:after="0" w:line="240" w:lineRule="auto"/>
        <w:rPr>
          <w:rFonts w:cs="Arial"/>
          <w:b/>
          <w:color w:val="000000"/>
          <w:sz w:val="24"/>
          <w:szCs w:val="24"/>
          <w:lang w:val="en-CA"/>
        </w:rPr>
      </w:pPr>
      <w:r w:rsidRPr="00D055EB">
        <w:rPr>
          <w:rFonts w:eastAsia="Times New Roman" w:cs="Times New Roman"/>
          <w:b/>
          <w:sz w:val="24"/>
          <w:szCs w:val="24"/>
          <w:lang w:val="en-CA" w:eastAsia="en-CA"/>
        </w:rPr>
        <w:t xml:space="preserve">2005:  </w:t>
      </w:r>
      <w:r w:rsidRPr="00D055EB">
        <w:rPr>
          <w:rFonts w:eastAsia="Times New Roman" w:cs="Times New Roman"/>
          <w:sz w:val="24"/>
          <w:szCs w:val="24"/>
          <w:lang w:val="en-CA" w:eastAsia="en-CA"/>
        </w:rPr>
        <w:t>A</w:t>
      </w:r>
      <w:r w:rsidRPr="00D055EB">
        <w:rPr>
          <w:sz w:val="24"/>
          <w:szCs w:val="24"/>
          <w:lang w:val="en-CA"/>
        </w:rPr>
        <w:t xml:space="preserve">n August 2005 TB Sub (#832467) set up a Named Grant to the Canadian Centre on Substance Abuse (CCSA), with payment beginning in 2006-07 and ongoing to support the CCSA’s core operations under the </w:t>
      </w:r>
      <w:r w:rsidRPr="00D055EB">
        <w:rPr>
          <w:i/>
          <w:sz w:val="24"/>
          <w:szCs w:val="24"/>
          <w:lang w:val="en-CA"/>
        </w:rPr>
        <w:t>CCSA Act</w:t>
      </w:r>
      <w:r w:rsidRPr="00D055EB">
        <w:rPr>
          <w:sz w:val="24"/>
          <w:szCs w:val="24"/>
          <w:lang w:val="en-CA"/>
        </w:rPr>
        <w:t xml:space="preserve">. The submission also formally changed Health Canada’s funding arrangement with the CCSA from a Contribution to a Named Grant. The TB Sub was approved in October 2005. CCSA Terms &amp; Conditions were added as Appendix A of the submission and were initially valid from April 1, 2006 – March 31, 2011. </w:t>
      </w:r>
    </w:p>
    <w:p w:rsidR="00D87030" w:rsidRPr="00D055EB" w:rsidRDefault="00D87030" w:rsidP="00D055EB">
      <w:pPr>
        <w:pStyle w:val="ListParagraph"/>
        <w:spacing w:after="0" w:line="240" w:lineRule="auto"/>
        <w:ind w:left="360"/>
        <w:rPr>
          <w:rFonts w:cs="Arial"/>
          <w:b/>
          <w:color w:val="000000"/>
          <w:sz w:val="24"/>
          <w:szCs w:val="24"/>
          <w:lang w:val="en-CA"/>
        </w:rPr>
      </w:pPr>
    </w:p>
    <w:p w:rsidR="0074606F" w:rsidRPr="00D055EB" w:rsidRDefault="0074606F" w:rsidP="00D055EB">
      <w:pPr>
        <w:pStyle w:val="ListParagraph"/>
        <w:numPr>
          <w:ilvl w:val="0"/>
          <w:numId w:val="5"/>
        </w:numPr>
        <w:spacing w:after="0" w:line="240" w:lineRule="auto"/>
        <w:rPr>
          <w:rFonts w:cs="Arial"/>
          <w:b/>
          <w:color w:val="000000"/>
          <w:sz w:val="24"/>
          <w:szCs w:val="24"/>
          <w:lang w:val="en-CA"/>
        </w:rPr>
      </w:pPr>
      <w:r w:rsidRPr="00D055EB">
        <w:rPr>
          <w:rFonts w:cs="Arial"/>
          <w:b/>
          <w:color w:val="000000"/>
          <w:sz w:val="24"/>
          <w:szCs w:val="24"/>
          <w:lang w:val="en-CA"/>
        </w:rPr>
        <w:t xml:space="preserve">2007-2008:  </w:t>
      </w:r>
      <w:r w:rsidRPr="00D055EB">
        <w:rPr>
          <w:rFonts w:eastAsia="PMingLiU" w:cs="Arial"/>
          <w:bCs/>
          <w:iCs/>
          <w:sz w:val="24"/>
          <w:szCs w:val="24"/>
          <w:lang w:val="en-CA"/>
        </w:rPr>
        <w:t>The DTFP was announced (created) in 2007 as part of the introduction of the NADS. The DTFP re-oriented funding from the Alcohol and Drug Treatment and Rehabilitation Program (the program that pre-dated the DTFP). As a result, the DTFP Ts&amp;Cs from 2007/2008 are the original version.</w:t>
      </w:r>
      <w:r w:rsidRPr="00D055EB">
        <w:rPr>
          <w:rFonts w:cs="Helv"/>
          <w:color w:val="000000"/>
          <w:sz w:val="24"/>
          <w:szCs w:val="24"/>
          <w:lang w:val="en-CA"/>
        </w:rPr>
        <w:t xml:space="preserve">  </w:t>
      </w:r>
      <w:r w:rsidRPr="00D055EB">
        <w:rPr>
          <w:rFonts w:cs="Arial"/>
          <w:color w:val="000000"/>
          <w:sz w:val="24"/>
          <w:szCs w:val="24"/>
          <w:lang w:val="en-CA"/>
        </w:rPr>
        <w:t xml:space="preserve">The Ts&amp;Cs seem connected to TB Submission #833862, </w:t>
      </w:r>
      <w:r w:rsidRPr="00D055EB">
        <w:rPr>
          <w:rFonts w:cs="Arial"/>
          <w:i/>
          <w:color w:val="000000"/>
          <w:sz w:val="24"/>
          <w:szCs w:val="24"/>
          <w:lang w:val="en-CA"/>
        </w:rPr>
        <w:t>Investments in the Prevention and Treatment Action Plans of the National Anti-Drug Strategy</w:t>
      </w:r>
      <w:r w:rsidRPr="00D055EB">
        <w:rPr>
          <w:rFonts w:cs="Arial"/>
          <w:color w:val="000000"/>
          <w:sz w:val="24"/>
          <w:szCs w:val="24"/>
          <w:lang w:val="en-CA"/>
        </w:rPr>
        <w:t>, 2008.</w:t>
      </w:r>
    </w:p>
    <w:p w:rsidR="00D055EB" w:rsidRDefault="00D055EB" w:rsidP="00D055EB">
      <w:pPr>
        <w:spacing w:after="0" w:line="240" w:lineRule="auto"/>
        <w:ind w:left="360"/>
        <w:rPr>
          <w:rFonts w:cs="Times"/>
          <w:color w:val="000000"/>
          <w:sz w:val="24"/>
          <w:szCs w:val="24"/>
          <w:lang w:val="en-CA"/>
        </w:rPr>
      </w:pPr>
    </w:p>
    <w:p w:rsidR="0074606F" w:rsidRPr="00D055EB" w:rsidRDefault="0074606F" w:rsidP="00D055EB">
      <w:pPr>
        <w:spacing w:after="0" w:line="240" w:lineRule="auto"/>
        <w:ind w:left="360"/>
        <w:rPr>
          <w:rFonts w:eastAsia="Times New Roman" w:cs="Times New Roman"/>
          <w:sz w:val="24"/>
          <w:szCs w:val="24"/>
          <w:lang w:val="en-CA" w:eastAsia="en-CA"/>
        </w:rPr>
      </w:pPr>
      <w:r w:rsidRPr="00D055EB">
        <w:rPr>
          <w:rFonts w:cs="Times"/>
          <w:color w:val="000000"/>
          <w:sz w:val="24"/>
          <w:szCs w:val="24"/>
          <w:lang w:val="en-CA"/>
        </w:rPr>
        <w:t xml:space="preserve">The original DTFP Ts&amp;Cs were effective April 2008 </w:t>
      </w:r>
      <w:r w:rsidRPr="00D055EB">
        <w:rPr>
          <w:rFonts w:eastAsia="Times New Roman" w:cs="Arial"/>
          <w:sz w:val="24"/>
          <w:szCs w:val="24"/>
          <w:lang w:val="en-CA" w:eastAsia="en-CA"/>
        </w:rPr>
        <w:t xml:space="preserve">to make Improvements to substance use treatment systems. This included re-oriented A-based funding from Health Canada's Alcohol and Drug Treatment Rehabilitation (ADTR) Program that existed from 1987-2007 and new five-year time-limited funding to assist provincial and territorial governments in addressing critical treatment (services) needs. </w:t>
      </w:r>
      <w:r w:rsidRPr="00D055EB">
        <w:rPr>
          <w:rFonts w:eastAsia="Times New Roman" w:cs="Arial"/>
          <w:b/>
          <w:bCs/>
          <w:sz w:val="24"/>
          <w:szCs w:val="24"/>
          <w:lang w:val="en-CA" w:eastAsia="en-CA"/>
        </w:rPr>
        <w:t>As the DTFP was created under the NADS, the original DTFP program Ts&amp;Cs from that time (2007-2008) did not reference harm reduction.</w:t>
      </w:r>
      <w:r w:rsidRPr="00D055EB">
        <w:rPr>
          <w:rFonts w:eastAsia="Times New Roman" w:cs="Times New Roman"/>
          <w:sz w:val="24"/>
          <w:szCs w:val="24"/>
          <w:lang w:val="en-CA" w:eastAsia="en-CA"/>
        </w:rPr>
        <w:t xml:space="preserve"> </w:t>
      </w:r>
    </w:p>
    <w:p w:rsidR="00D055EB" w:rsidRDefault="00D055EB" w:rsidP="00D055EB">
      <w:pPr>
        <w:pStyle w:val="ListParagraph"/>
        <w:spacing w:after="0" w:line="240" w:lineRule="auto"/>
        <w:ind w:left="360"/>
        <w:rPr>
          <w:rFonts w:eastAsia="Times New Roman" w:cs="Times New Roman"/>
          <w:sz w:val="24"/>
          <w:szCs w:val="24"/>
          <w:lang w:val="en-CA" w:eastAsia="en-CA"/>
        </w:rPr>
      </w:pPr>
    </w:p>
    <w:p w:rsidR="0074606F" w:rsidRPr="00D055EB" w:rsidRDefault="0074606F" w:rsidP="00D055EB">
      <w:pPr>
        <w:pStyle w:val="ListParagraph"/>
        <w:spacing w:after="0" w:line="240" w:lineRule="auto"/>
        <w:ind w:left="360"/>
        <w:rPr>
          <w:rFonts w:eastAsia="Times New Roman" w:cs="Times New Roman"/>
          <w:sz w:val="24"/>
          <w:szCs w:val="24"/>
          <w:lang w:val="en-CA" w:eastAsia="en-CA"/>
        </w:rPr>
      </w:pPr>
      <w:r w:rsidRPr="00D055EB">
        <w:rPr>
          <w:rFonts w:eastAsia="Times New Roman" w:cs="Times New Roman"/>
          <w:sz w:val="24"/>
          <w:szCs w:val="24"/>
          <w:lang w:val="en-CA" w:eastAsia="en-CA"/>
        </w:rPr>
        <w:t xml:space="preserve">The original DTFP Ts&amp;Cs were time limited for 5-years (April 1, 2008 – March 31, 2013 for treatment systems and October 2007 – March 31, 2012 for sunsetting treatment services). </w:t>
      </w:r>
    </w:p>
    <w:p w:rsidR="0074606F" w:rsidRPr="00D055EB" w:rsidRDefault="0074606F" w:rsidP="00D055EB">
      <w:pPr>
        <w:pStyle w:val="ListParagraph"/>
        <w:spacing w:after="0" w:line="240" w:lineRule="auto"/>
        <w:ind w:left="360"/>
        <w:rPr>
          <w:rFonts w:eastAsia="Times New Roman" w:cs="Times New Roman"/>
          <w:sz w:val="24"/>
          <w:szCs w:val="24"/>
          <w:lang w:val="en-CA" w:eastAsia="en-CA"/>
        </w:rPr>
      </w:pPr>
    </w:p>
    <w:p w:rsidR="0074606F" w:rsidRPr="00D055EB" w:rsidRDefault="0074606F" w:rsidP="00D055EB">
      <w:pPr>
        <w:pStyle w:val="ListParagraph"/>
        <w:numPr>
          <w:ilvl w:val="0"/>
          <w:numId w:val="6"/>
        </w:numPr>
        <w:spacing w:after="0" w:line="240" w:lineRule="auto"/>
        <w:rPr>
          <w:rFonts w:eastAsia="Times New Roman" w:cs="Times New Roman"/>
          <w:sz w:val="24"/>
          <w:szCs w:val="24"/>
          <w:lang w:val="en-CA" w:eastAsia="en-CA"/>
        </w:rPr>
      </w:pPr>
      <w:r w:rsidRPr="00D055EB">
        <w:rPr>
          <w:rFonts w:cs="Arial"/>
          <w:b/>
          <w:color w:val="000000"/>
          <w:sz w:val="24"/>
          <w:szCs w:val="24"/>
          <w:lang w:val="en-CA"/>
        </w:rPr>
        <w:t>March 22, 2010:</w:t>
      </w:r>
      <w:r w:rsidRPr="00D055EB">
        <w:rPr>
          <w:rFonts w:eastAsia="Times New Roman" w:cs="Times New Roman"/>
          <w:sz w:val="24"/>
          <w:szCs w:val="24"/>
          <w:lang w:val="en-CA" w:eastAsia="en-CA"/>
        </w:rPr>
        <w:t xml:space="preserve"> Amended, ongoing Ts&amp;Cs for the DSCIF approved.</w:t>
      </w:r>
    </w:p>
    <w:p w:rsidR="009F05EE" w:rsidRPr="009F05EE" w:rsidRDefault="009F05EE" w:rsidP="009F05EE">
      <w:pPr>
        <w:pStyle w:val="ListParagraph"/>
        <w:spacing w:after="0" w:line="240" w:lineRule="auto"/>
        <w:ind w:left="360"/>
        <w:rPr>
          <w:rFonts w:eastAsia="Times New Roman" w:cs="Times New Roman"/>
          <w:b/>
          <w:sz w:val="24"/>
          <w:szCs w:val="24"/>
          <w:lang w:val="en-CA" w:eastAsia="en-CA"/>
        </w:rPr>
      </w:pPr>
    </w:p>
    <w:p w:rsidR="00D87030" w:rsidRPr="00D055EB" w:rsidRDefault="00D87030" w:rsidP="00D055EB">
      <w:pPr>
        <w:pStyle w:val="ListParagraph"/>
        <w:numPr>
          <w:ilvl w:val="0"/>
          <w:numId w:val="6"/>
        </w:numPr>
        <w:spacing w:after="0" w:line="240" w:lineRule="auto"/>
        <w:rPr>
          <w:rFonts w:eastAsia="Times New Roman" w:cs="Times New Roman"/>
          <w:b/>
          <w:sz w:val="24"/>
          <w:szCs w:val="24"/>
          <w:lang w:val="en-CA" w:eastAsia="en-CA"/>
        </w:rPr>
      </w:pPr>
      <w:r w:rsidRPr="00D055EB">
        <w:rPr>
          <w:b/>
          <w:sz w:val="24"/>
          <w:szCs w:val="24"/>
          <w:lang w:val="en-CA"/>
        </w:rPr>
        <w:t>March 14, 2011</w:t>
      </w:r>
      <w:r w:rsidRPr="00D055EB">
        <w:rPr>
          <w:sz w:val="24"/>
          <w:szCs w:val="24"/>
          <w:lang w:val="en-CA"/>
        </w:rPr>
        <w:t>: the Minister of Health approved a renewal of the CCSA’s Named Grant funding for an additional five years (April 2011- March 2016). There appear to have been no revisions made to the CCSA Ts&amp;Cs. While not specifically mentioned in materials on file, it appears the renewal applied to the Ts&amp;Cs as well.</w:t>
      </w:r>
    </w:p>
    <w:p w:rsidR="0074606F" w:rsidRPr="00D055EB" w:rsidRDefault="0074606F" w:rsidP="00D055EB">
      <w:pPr>
        <w:pStyle w:val="ListParagraph"/>
        <w:spacing w:after="0" w:line="240" w:lineRule="auto"/>
        <w:rPr>
          <w:rFonts w:eastAsia="Times New Roman" w:cs="Times New Roman"/>
          <w:sz w:val="24"/>
          <w:szCs w:val="24"/>
          <w:lang w:val="en-CA" w:eastAsia="en-CA"/>
        </w:rPr>
      </w:pPr>
    </w:p>
    <w:p w:rsidR="0074606F" w:rsidRPr="00D055EB" w:rsidRDefault="0074606F" w:rsidP="00D055EB">
      <w:pPr>
        <w:pStyle w:val="ListParagraph"/>
        <w:numPr>
          <w:ilvl w:val="0"/>
          <w:numId w:val="6"/>
        </w:numPr>
        <w:spacing w:after="0" w:line="240" w:lineRule="auto"/>
        <w:rPr>
          <w:rFonts w:eastAsia="Times New Roman" w:cs="Times New Roman"/>
          <w:sz w:val="24"/>
          <w:szCs w:val="24"/>
          <w:lang w:val="en-CA" w:eastAsia="en-CA"/>
        </w:rPr>
      </w:pPr>
      <w:r w:rsidRPr="00D055EB">
        <w:rPr>
          <w:rFonts w:cs="Arial"/>
          <w:b/>
          <w:color w:val="000000"/>
          <w:sz w:val="24"/>
          <w:szCs w:val="24"/>
          <w:lang w:val="en-CA"/>
        </w:rPr>
        <w:t xml:space="preserve">February 27, 2013:  </w:t>
      </w:r>
      <w:r w:rsidRPr="00D055EB">
        <w:rPr>
          <w:rFonts w:eastAsia="PMingLiU" w:cs="PMingLiU"/>
          <w:sz w:val="24"/>
          <w:szCs w:val="24"/>
          <w:lang w:val="en-GB"/>
        </w:rPr>
        <w:t xml:space="preserve">Under sections 6.3.1 of the </w:t>
      </w:r>
      <w:r w:rsidRPr="00D055EB">
        <w:rPr>
          <w:rFonts w:eastAsia="PMingLiU" w:cs="PMingLiU"/>
          <w:i/>
          <w:iCs/>
          <w:sz w:val="24"/>
          <w:szCs w:val="24"/>
          <w:lang w:val="en-GB"/>
        </w:rPr>
        <w:t>Policy on Transfer Payments</w:t>
      </w:r>
      <w:r w:rsidRPr="00D055EB">
        <w:rPr>
          <w:rFonts w:eastAsia="PMingLiU" w:cs="PMingLiU"/>
          <w:sz w:val="24"/>
          <w:szCs w:val="24"/>
          <w:lang w:val="en-GB"/>
        </w:rPr>
        <w:t>, the Minister approved the continuation of the DTFP Ts&amp;Cs for one year up to March 31, 2014 without amendments.  This was to allow the program to plan for impending changes to the policy authority related to prescription drugs and to allow further exploration of combining the DSCIF and DTFP under a single program.</w:t>
      </w:r>
    </w:p>
    <w:p w:rsidR="0074606F" w:rsidRPr="00D055EB" w:rsidRDefault="0074606F" w:rsidP="00D055EB">
      <w:pPr>
        <w:pStyle w:val="ListParagraph"/>
        <w:autoSpaceDE w:val="0"/>
        <w:autoSpaceDN w:val="0"/>
        <w:adjustRightInd w:val="0"/>
        <w:spacing w:after="0" w:line="240" w:lineRule="auto"/>
        <w:ind w:left="360"/>
        <w:rPr>
          <w:rFonts w:cs="Helv"/>
          <w:color w:val="000000"/>
          <w:sz w:val="24"/>
          <w:szCs w:val="24"/>
          <w:lang w:val="en-CA"/>
        </w:rPr>
      </w:pPr>
    </w:p>
    <w:p w:rsidR="00D87030" w:rsidRPr="00D055EB" w:rsidRDefault="0074606F" w:rsidP="00D055EB">
      <w:pPr>
        <w:pStyle w:val="ListParagraph"/>
        <w:numPr>
          <w:ilvl w:val="0"/>
          <w:numId w:val="6"/>
        </w:numPr>
        <w:autoSpaceDE w:val="0"/>
        <w:autoSpaceDN w:val="0"/>
        <w:adjustRightInd w:val="0"/>
        <w:spacing w:after="0" w:line="240" w:lineRule="auto"/>
        <w:rPr>
          <w:rFonts w:cs="Helv"/>
          <w:color w:val="000000"/>
          <w:sz w:val="24"/>
          <w:szCs w:val="24"/>
          <w:lang w:val="en-CA"/>
        </w:rPr>
      </w:pPr>
      <w:r w:rsidRPr="00D055EB">
        <w:rPr>
          <w:rFonts w:cs="Helv"/>
          <w:b/>
          <w:color w:val="000000"/>
          <w:sz w:val="24"/>
          <w:szCs w:val="24"/>
          <w:lang w:val="en-CA"/>
        </w:rPr>
        <w:t xml:space="preserve">December 4, 2014: </w:t>
      </w:r>
      <w:r w:rsidRPr="00D055EB">
        <w:rPr>
          <w:rFonts w:cs="Helv"/>
          <w:color w:val="000000"/>
          <w:sz w:val="24"/>
          <w:szCs w:val="24"/>
          <w:lang w:val="en-CA"/>
        </w:rPr>
        <w:t xml:space="preserve">Submitted under the </w:t>
      </w:r>
      <w:r w:rsidR="00DB4C42" w:rsidRPr="00D055EB">
        <w:rPr>
          <w:rFonts w:cs="Helv"/>
          <w:color w:val="000000"/>
          <w:sz w:val="24"/>
          <w:szCs w:val="24"/>
          <w:lang w:val="en-CA"/>
        </w:rPr>
        <w:t xml:space="preserve">omnibus </w:t>
      </w:r>
      <w:r w:rsidRPr="00D055EB">
        <w:rPr>
          <w:rFonts w:cs="Helv"/>
          <w:color w:val="000000"/>
          <w:sz w:val="24"/>
          <w:szCs w:val="24"/>
          <w:lang w:val="en-CA"/>
        </w:rPr>
        <w:t xml:space="preserve">TB Submission </w:t>
      </w:r>
      <w:r w:rsidR="00DB4C42" w:rsidRPr="00D055EB">
        <w:rPr>
          <w:rFonts w:cs="Helv"/>
          <w:color w:val="000000"/>
          <w:sz w:val="24"/>
          <w:szCs w:val="24"/>
          <w:lang w:val="en-CA"/>
        </w:rPr>
        <w:t xml:space="preserve">entitled </w:t>
      </w:r>
      <w:r w:rsidR="00DB4C42" w:rsidRPr="00D055EB">
        <w:rPr>
          <w:rFonts w:cs="Helv"/>
          <w:i/>
          <w:color w:val="000000"/>
          <w:sz w:val="24"/>
          <w:szCs w:val="24"/>
          <w:lang w:val="en-CA"/>
        </w:rPr>
        <w:t>Preventing Prescription Drug Abuse</w:t>
      </w:r>
      <w:r w:rsidRPr="00D055EB">
        <w:rPr>
          <w:rFonts w:cs="Helv"/>
          <w:color w:val="000000"/>
          <w:sz w:val="24"/>
          <w:szCs w:val="24"/>
          <w:lang w:val="en-CA"/>
        </w:rPr>
        <w:t>, Ts&amp;Cs for the Anti-Drug Strategy Initiatives were approved by TBS.</w:t>
      </w:r>
    </w:p>
    <w:p w:rsidR="00D87030" w:rsidRPr="00D055EB" w:rsidRDefault="00D87030" w:rsidP="00D055EB">
      <w:pPr>
        <w:pStyle w:val="ListParagraph"/>
        <w:spacing w:after="0" w:line="240" w:lineRule="auto"/>
        <w:rPr>
          <w:sz w:val="24"/>
          <w:szCs w:val="24"/>
          <w:lang w:val="en-CA"/>
        </w:rPr>
      </w:pPr>
    </w:p>
    <w:p w:rsidR="00D87030" w:rsidRPr="002D03C3" w:rsidRDefault="00D87030" w:rsidP="00D055EB">
      <w:pPr>
        <w:pStyle w:val="ListParagraph"/>
        <w:autoSpaceDE w:val="0"/>
        <w:autoSpaceDN w:val="0"/>
        <w:adjustRightInd w:val="0"/>
        <w:spacing w:after="0" w:line="240" w:lineRule="auto"/>
        <w:ind w:left="360"/>
        <w:rPr>
          <w:rFonts w:cs="Helv"/>
          <w:color w:val="000000"/>
          <w:sz w:val="24"/>
          <w:szCs w:val="24"/>
          <w:lang w:val="en-CA"/>
        </w:rPr>
      </w:pPr>
      <w:r w:rsidRPr="002D03C3">
        <w:rPr>
          <w:sz w:val="24"/>
          <w:szCs w:val="24"/>
          <w:lang w:val="en-CA"/>
        </w:rPr>
        <w:t xml:space="preserve">The submission consolidated the DSCIF and DTFP programs under a single program, the ADSI, with new Ts&amp;Cs (attached to the TB Sub). The Ts&amp;Cs also added language specific to prescription drugs. The submission provided no new FTEs or funding, but committed the ADSI to a call for proposals in 2014-15 focused on prescriber education (CASN was one of the projects funded under this CFP). The submission also committed Health Canada to supporting National Prescription Drug Drop-Off Day, run by the Canadian Association of Chiefs of Police.  </w:t>
      </w:r>
      <w:r w:rsidRPr="002D03C3">
        <w:rPr>
          <w:sz w:val="24"/>
          <w:szCs w:val="24"/>
        </w:rPr>
        <w:t>This support came through an ADSI contribution agreement.</w:t>
      </w:r>
    </w:p>
    <w:p w:rsidR="0074606F" w:rsidRPr="00D055EB" w:rsidRDefault="0074606F" w:rsidP="00D055EB">
      <w:pPr>
        <w:autoSpaceDE w:val="0"/>
        <w:autoSpaceDN w:val="0"/>
        <w:adjustRightInd w:val="0"/>
        <w:spacing w:after="0" w:line="240" w:lineRule="auto"/>
        <w:rPr>
          <w:rFonts w:cs="Helv"/>
          <w:color w:val="000000"/>
          <w:sz w:val="24"/>
          <w:szCs w:val="24"/>
          <w:lang w:val="en-CA"/>
        </w:rPr>
      </w:pPr>
    </w:p>
    <w:p w:rsidR="00DB4C42" w:rsidRPr="00D055EB" w:rsidRDefault="00D642DA" w:rsidP="00D055EB">
      <w:pPr>
        <w:pStyle w:val="ListParagraph"/>
        <w:numPr>
          <w:ilvl w:val="0"/>
          <w:numId w:val="6"/>
        </w:numPr>
        <w:spacing w:after="0" w:line="240" w:lineRule="auto"/>
        <w:rPr>
          <w:rFonts w:cs="Arial"/>
          <w:sz w:val="24"/>
          <w:szCs w:val="24"/>
          <w:lang w:val="en-CA"/>
        </w:rPr>
      </w:pPr>
      <w:r w:rsidRPr="00D055EB">
        <w:rPr>
          <w:rFonts w:cs="Arial"/>
          <w:b/>
          <w:sz w:val="24"/>
          <w:szCs w:val="24"/>
          <w:lang w:val="en-CA"/>
        </w:rPr>
        <w:t>May 11,</w:t>
      </w:r>
      <w:r w:rsidR="0074606F" w:rsidRPr="00D055EB">
        <w:rPr>
          <w:rFonts w:cs="Arial"/>
          <w:b/>
          <w:sz w:val="24"/>
          <w:szCs w:val="24"/>
          <w:lang w:val="en-CA"/>
        </w:rPr>
        <w:t xml:space="preserve"> 2015: </w:t>
      </w:r>
      <w:r w:rsidR="0074606F" w:rsidRPr="00D055EB">
        <w:rPr>
          <w:rFonts w:cs="Arial"/>
          <w:sz w:val="24"/>
          <w:szCs w:val="24"/>
          <w:lang w:val="en-CA"/>
        </w:rPr>
        <w:t>Modification brought to T</w:t>
      </w:r>
      <w:r w:rsidRPr="00D055EB">
        <w:rPr>
          <w:rFonts w:cs="Arial"/>
          <w:sz w:val="24"/>
          <w:szCs w:val="24"/>
          <w:lang w:val="en-CA"/>
        </w:rPr>
        <w:t>s</w:t>
      </w:r>
      <w:r w:rsidR="0074606F" w:rsidRPr="00D055EB">
        <w:rPr>
          <w:rFonts w:cs="Arial"/>
          <w:sz w:val="24"/>
          <w:szCs w:val="24"/>
          <w:lang w:val="en-CA"/>
        </w:rPr>
        <w:t xml:space="preserve">&amp;Cs in order to increase the amount reserved for the Canadian Centre on Substance Abuse (DM Concurrence). </w:t>
      </w:r>
      <w:r w:rsidR="00DB4C42" w:rsidRPr="00D055EB">
        <w:rPr>
          <w:rFonts w:cs="Arial"/>
          <w:sz w:val="24"/>
          <w:szCs w:val="24"/>
          <w:lang w:val="en-CA"/>
        </w:rPr>
        <w:t xml:space="preserve"> The Centre of Expertise on Grants and Contributions, Chief Financial Officer Branch (CFOB) confirmed that the proposed amendment to the Ts&amp;Cs was minor and fell within the Minister’s authority to approve (delegated to the DM for concurrence).</w:t>
      </w:r>
    </w:p>
    <w:p w:rsidR="00DB4C42" w:rsidRPr="00D055EB" w:rsidRDefault="00DB4C42" w:rsidP="00D055EB">
      <w:pPr>
        <w:pStyle w:val="ListParagraph"/>
        <w:spacing w:after="0" w:line="240" w:lineRule="auto"/>
        <w:ind w:left="360"/>
        <w:rPr>
          <w:rFonts w:cs="Arial"/>
          <w:sz w:val="24"/>
          <w:szCs w:val="24"/>
          <w:lang w:val="en-CA"/>
        </w:rPr>
      </w:pPr>
    </w:p>
    <w:p w:rsidR="00DB4C42" w:rsidRPr="00D055EB" w:rsidRDefault="0074606F" w:rsidP="00D055EB">
      <w:pPr>
        <w:pStyle w:val="ListParagraph"/>
        <w:spacing w:after="0" w:line="240" w:lineRule="auto"/>
        <w:ind w:left="360"/>
        <w:rPr>
          <w:rFonts w:cs="Arial"/>
          <w:sz w:val="24"/>
          <w:szCs w:val="24"/>
          <w:lang w:val="en-CA"/>
        </w:rPr>
      </w:pPr>
      <w:r w:rsidRPr="00D055EB">
        <w:rPr>
          <w:rFonts w:cs="Arial"/>
          <w:sz w:val="24"/>
          <w:szCs w:val="24"/>
          <w:lang w:val="en-CA"/>
        </w:rPr>
        <w:t>The CCSA, created through an Act of Parliament in 1988, was receiving funding under the two pre-existing programs as well as through a grant agreement to support its core mandate for a total annual allocati</w:t>
      </w:r>
      <w:r w:rsidR="00DB4C42" w:rsidRPr="00D055EB">
        <w:rPr>
          <w:rFonts w:cs="Arial"/>
          <w:sz w:val="24"/>
          <w:szCs w:val="24"/>
          <w:lang w:val="en-CA"/>
        </w:rPr>
        <w:t>on of $6.9M. With the creation</w:t>
      </w:r>
      <w:r w:rsidRPr="00D055EB">
        <w:rPr>
          <w:rFonts w:cs="Arial"/>
          <w:sz w:val="24"/>
          <w:szCs w:val="24"/>
          <w:lang w:val="en-CA"/>
        </w:rPr>
        <w:t xml:space="preserve"> of ADSI, </w:t>
      </w:r>
      <w:r w:rsidRPr="00D055EB">
        <w:rPr>
          <w:rFonts w:cs="Arial"/>
          <w:color w:val="000000"/>
          <w:sz w:val="24"/>
          <w:szCs w:val="24"/>
          <w:lang w:val="en-CA"/>
        </w:rPr>
        <w:t>there was an opportunity to consolidate the Department’s funding arrangements with the CCSA into one agreement. To do so required an amendment to the maximum amount payable per year per</w:t>
      </w:r>
      <w:r w:rsidR="00D642DA" w:rsidRPr="00D055EB">
        <w:rPr>
          <w:rFonts w:cs="Arial"/>
          <w:color w:val="000000"/>
          <w:sz w:val="24"/>
          <w:szCs w:val="24"/>
          <w:lang w:val="en-CA"/>
        </w:rPr>
        <w:t xml:space="preserve"> recipient program TS&amp;Cs</w:t>
      </w:r>
      <w:r w:rsidRPr="00D055EB">
        <w:rPr>
          <w:rFonts w:cs="Arial"/>
          <w:color w:val="000000"/>
          <w:sz w:val="24"/>
          <w:szCs w:val="24"/>
          <w:lang w:val="en-CA"/>
        </w:rPr>
        <w:t>.</w:t>
      </w:r>
      <w:r w:rsidR="00D642DA" w:rsidRPr="00D055EB">
        <w:rPr>
          <w:rFonts w:cs="Arial"/>
          <w:color w:val="000000"/>
          <w:sz w:val="24"/>
          <w:szCs w:val="24"/>
          <w:lang w:val="en-CA"/>
        </w:rPr>
        <w:t xml:space="preserve"> A specific CCSA paragraph was added to Section 7 (Maximum Amount Payable) of the Ts&amp;Cs, increasing the maximum payable to the CCSA to $10M per year.</w:t>
      </w:r>
    </w:p>
    <w:p w:rsidR="00DB4C42" w:rsidRPr="00D055EB" w:rsidRDefault="00DB4C42" w:rsidP="00D055EB">
      <w:pPr>
        <w:pStyle w:val="ListParagraph"/>
        <w:spacing w:after="0" w:line="240" w:lineRule="auto"/>
        <w:ind w:left="360"/>
        <w:rPr>
          <w:rFonts w:cs="Arial"/>
          <w:sz w:val="24"/>
          <w:szCs w:val="24"/>
          <w:lang w:val="en-CA"/>
        </w:rPr>
      </w:pPr>
    </w:p>
    <w:p w:rsidR="0074606F" w:rsidRPr="00D055EB" w:rsidRDefault="0074606F" w:rsidP="00D055EB">
      <w:pPr>
        <w:pStyle w:val="ListParagraph"/>
        <w:numPr>
          <w:ilvl w:val="0"/>
          <w:numId w:val="2"/>
        </w:numPr>
        <w:spacing w:after="0" w:line="240" w:lineRule="auto"/>
        <w:rPr>
          <w:rFonts w:cs="Arial"/>
          <w:sz w:val="24"/>
          <w:szCs w:val="24"/>
          <w:lang w:val="en-CA"/>
        </w:rPr>
      </w:pPr>
      <w:r w:rsidRPr="00D055EB">
        <w:rPr>
          <w:rFonts w:cs="Arial"/>
          <w:b/>
          <w:color w:val="000000"/>
          <w:sz w:val="24"/>
          <w:szCs w:val="24"/>
          <w:lang w:val="en-CA"/>
        </w:rPr>
        <w:t>April 2016</w:t>
      </w:r>
      <w:r w:rsidRPr="00D055EB">
        <w:rPr>
          <w:rFonts w:cs="Arial"/>
          <w:color w:val="000000"/>
          <w:sz w:val="24"/>
          <w:szCs w:val="24"/>
          <w:lang w:val="en-CA"/>
        </w:rPr>
        <w:t>: Modification brought to T</w:t>
      </w:r>
      <w:r w:rsidR="00D642DA" w:rsidRPr="00D055EB">
        <w:rPr>
          <w:rFonts w:cs="Arial"/>
          <w:color w:val="000000"/>
          <w:sz w:val="24"/>
          <w:szCs w:val="24"/>
          <w:lang w:val="en-CA"/>
        </w:rPr>
        <w:t>s</w:t>
      </w:r>
      <w:r w:rsidRPr="00D055EB">
        <w:rPr>
          <w:rFonts w:cs="Arial"/>
          <w:color w:val="000000"/>
          <w:sz w:val="24"/>
          <w:szCs w:val="24"/>
          <w:lang w:val="en-CA"/>
        </w:rPr>
        <w:t>&amp;Cs regarding the program name (DM Concurrence), changing it from the Anti-Drug Strategy Initiatives program to the Substance Use and Addictions Program to better reflect the scope of substances that could be included under the program.</w:t>
      </w:r>
    </w:p>
    <w:p w:rsidR="0074606F" w:rsidRPr="00D055EB" w:rsidRDefault="0074606F" w:rsidP="00D055EB">
      <w:pPr>
        <w:pStyle w:val="ListParagraph"/>
        <w:spacing w:after="0" w:line="240" w:lineRule="auto"/>
        <w:ind w:left="360"/>
        <w:rPr>
          <w:rFonts w:cs="Arial"/>
          <w:sz w:val="24"/>
          <w:szCs w:val="24"/>
          <w:lang w:val="en-CA"/>
        </w:rPr>
      </w:pPr>
    </w:p>
    <w:p w:rsidR="0074606F" w:rsidRPr="00D055EB" w:rsidRDefault="003E2363" w:rsidP="00D055EB">
      <w:pPr>
        <w:pStyle w:val="ListParagraph"/>
        <w:numPr>
          <w:ilvl w:val="0"/>
          <w:numId w:val="2"/>
        </w:numPr>
        <w:spacing w:after="0" w:line="240" w:lineRule="auto"/>
        <w:rPr>
          <w:rFonts w:cs="Arial"/>
          <w:b/>
          <w:color w:val="000000"/>
          <w:sz w:val="24"/>
          <w:szCs w:val="24"/>
          <w:lang w:val="en-CA"/>
        </w:rPr>
      </w:pPr>
      <w:r w:rsidRPr="00D055EB">
        <w:rPr>
          <w:rFonts w:cs="Arial"/>
          <w:b/>
          <w:color w:val="000000"/>
          <w:sz w:val="24"/>
          <w:szCs w:val="24"/>
          <w:lang w:val="en-CA"/>
        </w:rPr>
        <w:t>September 22, 2017</w:t>
      </w:r>
      <w:r w:rsidR="0074606F" w:rsidRPr="00D055EB">
        <w:rPr>
          <w:rFonts w:cs="Arial"/>
          <w:b/>
          <w:color w:val="000000"/>
          <w:sz w:val="24"/>
          <w:szCs w:val="24"/>
          <w:lang w:val="en-CA"/>
        </w:rPr>
        <w:t xml:space="preserve">: </w:t>
      </w:r>
      <w:r w:rsidR="0074606F" w:rsidRPr="00D055EB">
        <w:rPr>
          <w:rFonts w:cs="Arial"/>
          <w:color w:val="000000"/>
          <w:sz w:val="24"/>
          <w:szCs w:val="24"/>
          <w:lang w:val="en-CA"/>
        </w:rPr>
        <w:t xml:space="preserve">Amended SUAP Ts&amp;Cs were attached to the TB Submission related to </w:t>
      </w:r>
      <w:r w:rsidR="0074606F" w:rsidRPr="00D055EB">
        <w:rPr>
          <w:i/>
          <w:sz w:val="24"/>
          <w:lang w:val="en-CA"/>
        </w:rPr>
        <w:t>Strengthening the Canadian Drugs and Substances Strategy</w:t>
      </w:r>
    </w:p>
    <w:p w:rsidR="0074606F" w:rsidRPr="00D055EB" w:rsidRDefault="0074606F" w:rsidP="00D055EB">
      <w:pPr>
        <w:autoSpaceDE w:val="0"/>
        <w:autoSpaceDN w:val="0"/>
        <w:adjustRightInd w:val="0"/>
        <w:spacing w:after="0" w:line="240" w:lineRule="auto"/>
        <w:rPr>
          <w:rFonts w:cs="Helv"/>
          <w:color w:val="000000"/>
          <w:sz w:val="24"/>
          <w:szCs w:val="24"/>
          <w:lang w:val="en-CA"/>
        </w:rPr>
      </w:pPr>
    </w:p>
    <w:p w:rsidR="0074606F" w:rsidRPr="00D055EB" w:rsidRDefault="0074606F" w:rsidP="00D055EB">
      <w:pPr>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The first draft was approved at the DG level and submitted to HECSB on April 6, 2017. Treasury Board provided comments and a second draft was approved by the DG and submitted to HECSB on June 6, 2017.</w:t>
      </w:r>
    </w:p>
    <w:p w:rsidR="0074606F" w:rsidRPr="00D055EB" w:rsidRDefault="0074606F" w:rsidP="00D055EB">
      <w:pPr>
        <w:autoSpaceDE w:val="0"/>
        <w:autoSpaceDN w:val="0"/>
        <w:adjustRightInd w:val="0"/>
        <w:spacing w:after="0" w:line="240" w:lineRule="auto"/>
        <w:rPr>
          <w:rFonts w:cs="Helv"/>
          <w:color w:val="000000"/>
          <w:sz w:val="24"/>
          <w:szCs w:val="24"/>
          <w:lang w:val="en-CA"/>
        </w:rPr>
      </w:pPr>
    </w:p>
    <w:p w:rsidR="0074606F" w:rsidRPr="00D055EB" w:rsidRDefault="0074606F" w:rsidP="00D055EB">
      <w:pPr>
        <w:pStyle w:val="ListParagraph"/>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The majority of the amendments represented minor amendments focused solely on correcting errors of language and adding clarity. The proposed amendment to the maximum amount payable to a recipient was considered a major amendment. Adding harm reduction to the objectives was considered by TBS as a possible major amendment.</w:t>
      </w:r>
    </w:p>
    <w:p w:rsidR="0074606F" w:rsidRPr="00D055EB" w:rsidRDefault="0074606F" w:rsidP="00D055EB">
      <w:pPr>
        <w:pStyle w:val="ListParagraph"/>
        <w:autoSpaceDE w:val="0"/>
        <w:autoSpaceDN w:val="0"/>
        <w:adjustRightInd w:val="0"/>
        <w:spacing w:after="0" w:line="240" w:lineRule="auto"/>
        <w:rPr>
          <w:rFonts w:cs="Helv"/>
          <w:color w:val="000000"/>
          <w:sz w:val="24"/>
          <w:szCs w:val="24"/>
          <w:lang w:val="en-CA"/>
        </w:rPr>
      </w:pPr>
    </w:p>
    <w:p w:rsidR="0074606F" w:rsidRPr="00D055EB" w:rsidRDefault="0074606F" w:rsidP="00D055EB">
      <w:pPr>
        <w:pStyle w:val="ListParagraph"/>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 xml:space="preserve">Correcting errors of language and adding clarity was necessary to: </w:t>
      </w:r>
      <w:r w:rsidRPr="00D055EB">
        <w:rPr>
          <w:sz w:val="24"/>
          <w:szCs w:val="24"/>
          <w:lang w:val="en-CA"/>
        </w:rPr>
        <w:t>reflect the current public health approach to substance use and appropriate public health language (replacing abuse with use and incorporating reference to harm reduction); update Expected Results outcome language; reflect current policy related to Official Languages and Sex-and Gender-Based Analysis;  be consist with language used in the Branch/Department in recent TB Submissions and Ts&amp;Cs documents; and support Government initiatives related to transparency.</w:t>
      </w:r>
    </w:p>
    <w:p w:rsidR="0074606F" w:rsidRPr="00D055EB" w:rsidRDefault="0074606F" w:rsidP="00D055EB">
      <w:pPr>
        <w:pStyle w:val="ListParagraph"/>
        <w:autoSpaceDE w:val="0"/>
        <w:autoSpaceDN w:val="0"/>
        <w:adjustRightInd w:val="0"/>
        <w:spacing w:after="0" w:line="240" w:lineRule="auto"/>
        <w:rPr>
          <w:rFonts w:cs="Helv"/>
          <w:color w:val="000000"/>
          <w:sz w:val="24"/>
          <w:szCs w:val="24"/>
          <w:lang w:val="en-CA"/>
        </w:rPr>
      </w:pPr>
    </w:p>
    <w:p w:rsidR="0074606F" w:rsidRPr="00D055EB" w:rsidRDefault="0074606F" w:rsidP="00D055EB">
      <w:pPr>
        <w:pStyle w:val="ListParagraph"/>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Questions raised and comments made on Draft 1 by Treasury Board raised the need for additional revisions. Responding to the comments required liaising with the Office for Gs&amp;Cs, Health Programs and Strategic Initiatives, Strategic Policy Branch (SPB). These colleagues provided language and content from recently approved Ts&amp;Cs (i.e. Ts&amp;Cs that have been revised and approved since SUAP submitted Draft 1 to TBS). Language and content was incorporated into Draft 2 to both respond to TB comments and align/be consistent with other SPB Ts&amp;Cs.</w:t>
      </w:r>
    </w:p>
    <w:p w:rsidR="0074606F" w:rsidRPr="00D055EB" w:rsidRDefault="0074606F" w:rsidP="00D055EB">
      <w:pPr>
        <w:pStyle w:val="ListParagraph"/>
        <w:autoSpaceDE w:val="0"/>
        <w:autoSpaceDN w:val="0"/>
        <w:adjustRightInd w:val="0"/>
        <w:spacing w:after="0" w:line="240" w:lineRule="auto"/>
        <w:rPr>
          <w:rFonts w:cs="Helv"/>
          <w:color w:val="000000"/>
          <w:sz w:val="24"/>
          <w:szCs w:val="24"/>
          <w:lang w:val="en-CA"/>
        </w:rPr>
      </w:pPr>
    </w:p>
    <w:p w:rsidR="0074606F" w:rsidRPr="00D055EB" w:rsidRDefault="0074606F" w:rsidP="00D055EB">
      <w:pPr>
        <w:pStyle w:val="ListParagraph"/>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Draft 2 was revised so that the numbering and order of sections aligns with other recently approved Ts&amp;Cs submitted by SPB related to Budget 2016 and Budget 2017 (i.e. for a consistent look and feel).</w:t>
      </w:r>
      <w:r w:rsidR="00DC3712" w:rsidRPr="00D055EB">
        <w:rPr>
          <w:rFonts w:cs="Helv"/>
          <w:color w:val="000000"/>
          <w:sz w:val="24"/>
          <w:szCs w:val="24"/>
          <w:lang w:val="en-CA"/>
        </w:rPr>
        <w:t xml:space="preserve"> A Summary Table was created describing the revisions.</w:t>
      </w:r>
    </w:p>
    <w:p w:rsidR="003E2363" w:rsidRPr="00D055EB" w:rsidRDefault="003E2363" w:rsidP="00D055EB">
      <w:pPr>
        <w:pStyle w:val="ListParagraph"/>
        <w:autoSpaceDE w:val="0"/>
        <w:autoSpaceDN w:val="0"/>
        <w:adjustRightInd w:val="0"/>
        <w:spacing w:after="0" w:line="240" w:lineRule="auto"/>
        <w:ind w:left="360"/>
        <w:rPr>
          <w:rFonts w:cs="Helv"/>
          <w:color w:val="000000"/>
          <w:sz w:val="24"/>
          <w:szCs w:val="24"/>
          <w:lang w:val="en-CA"/>
        </w:rPr>
      </w:pPr>
    </w:p>
    <w:p w:rsidR="003E2363" w:rsidRPr="00D055EB" w:rsidRDefault="00DC3712" w:rsidP="00D055EB">
      <w:pPr>
        <w:pStyle w:val="ListParagraph"/>
        <w:autoSpaceDE w:val="0"/>
        <w:autoSpaceDN w:val="0"/>
        <w:adjustRightInd w:val="0"/>
        <w:spacing w:after="0" w:line="240" w:lineRule="auto"/>
        <w:ind w:left="360"/>
        <w:rPr>
          <w:rFonts w:cs="Helv"/>
          <w:color w:val="000000"/>
          <w:sz w:val="24"/>
          <w:szCs w:val="24"/>
          <w:lang w:val="en-CA"/>
        </w:rPr>
      </w:pPr>
      <w:r w:rsidRPr="00D055EB">
        <w:rPr>
          <w:rFonts w:cs="Helv"/>
          <w:color w:val="000000"/>
          <w:sz w:val="24"/>
          <w:szCs w:val="24"/>
          <w:lang w:val="en-CA"/>
        </w:rPr>
        <w:t>Additional m</w:t>
      </w:r>
      <w:r w:rsidR="003E2363" w:rsidRPr="00D055EB">
        <w:rPr>
          <w:rFonts w:cs="Helv"/>
          <w:color w:val="000000"/>
          <w:sz w:val="24"/>
          <w:szCs w:val="24"/>
          <w:lang w:val="en-CA"/>
        </w:rPr>
        <w:t>inor revisions were incorporated based on Tre</w:t>
      </w:r>
      <w:r w:rsidRPr="00D055EB">
        <w:rPr>
          <w:rFonts w:cs="Helv"/>
          <w:color w:val="000000"/>
          <w:sz w:val="24"/>
          <w:szCs w:val="24"/>
          <w:lang w:val="en-CA"/>
        </w:rPr>
        <w:t>asury Board review and feedback between June – August 2017.</w:t>
      </w:r>
      <w:r w:rsidR="003E2363" w:rsidRPr="00D055EB">
        <w:rPr>
          <w:rFonts w:cs="Helv"/>
          <w:color w:val="000000"/>
          <w:sz w:val="24"/>
          <w:szCs w:val="24"/>
          <w:lang w:val="en-CA"/>
        </w:rPr>
        <w:t xml:space="preserve"> </w:t>
      </w:r>
    </w:p>
    <w:p w:rsidR="003E2363" w:rsidRPr="00D055EB" w:rsidRDefault="003E2363" w:rsidP="00D055EB">
      <w:pPr>
        <w:pStyle w:val="ListParagraph"/>
        <w:autoSpaceDE w:val="0"/>
        <w:autoSpaceDN w:val="0"/>
        <w:adjustRightInd w:val="0"/>
        <w:spacing w:after="0" w:line="240" w:lineRule="auto"/>
        <w:ind w:left="360"/>
        <w:rPr>
          <w:rFonts w:cs="Helv"/>
          <w:color w:val="000000"/>
          <w:sz w:val="24"/>
          <w:szCs w:val="24"/>
          <w:lang w:val="en-CA"/>
        </w:rPr>
      </w:pPr>
    </w:p>
    <w:p w:rsidR="003E2363" w:rsidRPr="00D055EB" w:rsidRDefault="003E2363" w:rsidP="00D055EB">
      <w:pPr>
        <w:pStyle w:val="ListParagraph"/>
        <w:autoSpaceDE w:val="0"/>
        <w:autoSpaceDN w:val="0"/>
        <w:adjustRightInd w:val="0"/>
        <w:spacing w:after="0" w:line="240" w:lineRule="auto"/>
        <w:ind w:left="360"/>
        <w:rPr>
          <w:sz w:val="24"/>
          <w:szCs w:val="24"/>
          <w:lang w:val="en-CA"/>
        </w:rPr>
      </w:pPr>
      <w:r w:rsidRPr="00D055EB">
        <w:rPr>
          <w:rFonts w:cs="Helv"/>
          <w:color w:val="000000"/>
          <w:sz w:val="24"/>
          <w:szCs w:val="24"/>
          <w:lang w:val="en-CA"/>
        </w:rPr>
        <w:t xml:space="preserve">Treasury Board met on September 21, 2017. The amended SUAP Ts&amp;Cs were approved by Treasury Board on September 22, 2017 under the overall approval of TB Sub # </w:t>
      </w:r>
      <w:r w:rsidRPr="00D055EB">
        <w:rPr>
          <w:sz w:val="24"/>
          <w:szCs w:val="24"/>
          <w:lang w:val="en-CA"/>
        </w:rPr>
        <w:t>838330.</w:t>
      </w:r>
    </w:p>
    <w:p w:rsidR="00ED63D2" w:rsidRDefault="00ED63D2" w:rsidP="00D055EB">
      <w:pPr>
        <w:pStyle w:val="ListParagraph"/>
        <w:autoSpaceDE w:val="0"/>
        <w:autoSpaceDN w:val="0"/>
        <w:adjustRightInd w:val="0"/>
        <w:spacing w:after="0" w:line="240" w:lineRule="auto"/>
        <w:ind w:left="360"/>
        <w:rPr>
          <w:sz w:val="24"/>
          <w:szCs w:val="24"/>
          <w:lang w:val="en-CA"/>
        </w:rPr>
      </w:pPr>
    </w:p>
    <w:p w:rsidR="0045643A" w:rsidRDefault="0045643A" w:rsidP="007F6BA3">
      <w:pPr>
        <w:pStyle w:val="ListParagraph"/>
        <w:numPr>
          <w:ilvl w:val="0"/>
          <w:numId w:val="6"/>
        </w:numPr>
        <w:autoSpaceDE w:val="0"/>
        <w:autoSpaceDN w:val="0"/>
        <w:adjustRightInd w:val="0"/>
        <w:spacing w:after="0" w:line="240" w:lineRule="auto"/>
        <w:rPr>
          <w:rFonts w:cs="Helv"/>
          <w:color w:val="000000"/>
          <w:sz w:val="24"/>
          <w:szCs w:val="24"/>
          <w:lang w:val="en-CA"/>
        </w:rPr>
      </w:pPr>
      <w:r w:rsidRPr="0045643A">
        <w:rPr>
          <w:rFonts w:cs="Arial"/>
          <w:b/>
          <w:color w:val="000000"/>
          <w:sz w:val="24"/>
          <w:szCs w:val="24"/>
          <w:lang w:val="en-CA"/>
        </w:rPr>
        <w:t xml:space="preserve">August 13, 2018: </w:t>
      </w:r>
      <w:r w:rsidRPr="0045643A">
        <w:rPr>
          <w:rFonts w:cs="Helv"/>
          <w:color w:val="000000"/>
          <w:sz w:val="24"/>
          <w:szCs w:val="24"/>
          <w:lang w:val="en-CA"/>
        </w:rPr>
        <w:t xml:space="preserve">Under the authorities outlined in article 6.3.4 of the </w:t>
      </w:r>
      <w:r w:rsidRPr="0045643A">
        <w:rPr>
          <w:rFonts w:cs="Helv"/>
          <w:i/>
          <w:color w:val="000000"/>
          <w:sz w:val="24"/>
          <w:szCs w:val="24"/>
          <w:lang w:val="en-CA"/>
        </w:rPr>
        <w:t>Policy on Transfer Payments</w:t>
      </w:r>
      <w:r w:rsidRPr="0045643A">
        <w:rPr>
          <w:rFonts w:cs="Helv"/>
          <w:color w:val="000000"/>
          <w:sz w:val="24"/>
          <w:szCs w:val="24"/>
          <w:lang w:val="en-CA"/>
        </w:rPr>
        <w:t>, the Minister of Health approved an amendment to Section 4.1 and 4.2 of the Ts&amp;Cs to expand the class of eligible recipients to include on-reserve organizations.</w:t>
      </w:r>
      <w:r>
        <w:rPr>
          <w:rFonts w:cs="Helv"/>
          <w:color w:val="000000"/>
          <w:sz w:val="24"/>
          <w:szCs w:val="24"/>
          <w:lang w:val="en-CA"/>
        </w:rPr>
        <w:t xml:space="preserve"> The President of the TBS was advised </w:t>
      </w:r>
      <w:r w:rsidR="007F6BA3">
        <w:rPr>
          <w:rFonts w:cs="Helv"/>
          <w:color w:val="000000"/>
          <w:sz w:val="24"/>
          <w:szCs w:val="24"/>
          <w:lang w:val="en-CA"/>
        </w:rPr>
        <w:t>of the amendment by letter (see MECS# 18-109611-374 and corporate records saved with 2018 Cannabis TB Submission documents).</w:t>
      </w:r>
    </w:p>
    <w:p w:rsidR="007F6BA3" w:rsidRPr="007F6BA3" w:rsidRDefault="007F6BA3" w:rsidP="007F6BA3">
      <w:pPr>
        <w:pStyle w:val="ListParagraph"/>
        <w:autoSpaceDE w:val="0"/>
        <w:autoSpaceDN w:val="0"/>
        <w:adjustRightInd w:val="0"/>
        <w:spacing w:after="0" w:line="240" w:lineRule="auto"/>
        <w:ind w:left="360"/>
        <w:rPr>
          <w:rFonts w:cs="Helv"/>
          <w:color w:val="000000"/>
          <w:sz w:val="24"/>
          <w:szCs w:val="24"/>
          <w:lang w:val="en-CA"/>
        </w:rPr>
      </w:pPr>
    </w:p>
    <w:p w:rsidR="00E16CE3" w:rsidRPr="00E16CE3" w:rsidRDefault="009F05EE" w:rsidP="009F05EE">
      <w:pPr>
        <w:pStyle w:val="ListParagraph"/>
        <w:numPr>
          <w:ilvl w:val="0"/>
          <w:numId w:val="6"/>
        </w:numPr>
        <w:autoSpaceDE w:val="0"/>
        <w:autoSpaceDN w:val="0"/>
        <w:adjustRightInd w:val="0"/>
        <w:spacing w:after="0" w:line="240" w:lineRule="auto"/>
        <w:rPr>
          <w:b/>
          <w:sz w:val="24"/>
          <w:szCs w:val="24"/>
          <w:lang w:val="en-CA"/>
        </w:rPr>
      </w:pPr>
      <w:r w:rsidRPr="009F05EE">
        <w:rPr>
          <w:b/>
          <w:sz w:val="24"/>
          <w:szCs w:val="24"/>
          <w:lang w:val="en-CA"/>
        </w:rPr>
        <w:t>2018</w:t>
      </w:r>
      <w:r>
        <w:rPr>
          <w:b/>
          <w:sz w:val="24"/>
          <w:szCs w:val="24"/>
          <w:lang w:val="en-CA"/>
        </w:rPr>
        <w:t xml:space="preserve">: </w:t>
      </w:r>
      <w:r w:rsidRPr="009F05EE">
        <w:rPr>
          <w:sz w:val="24"/>
          <w:szCs w:val="24"/>
          <w:lang w:val="en-CA"/>
        </w:rPr>
        <w:t xml:space="preserve">The SUAP Ts&amp;Cs will be amended as part of the cannabis related TB Sub to include on-reserve Indigenous applicants as eligible recipients as well as minor amendments related to the Departmental Results Framework and removing reference to the CDSS to expand the scope of SUAP to include tobacco (currently under the Federal Tobacco Control Strategy). </w:t>
      </w:r>
    </w:p>
    <w:p w:rsidR="00E16CE3" w:rsidRPr="00E16CE3" w:rsidRDefault="00E16CE3" w:rsidP="00E16CE3">
      <w:pPr>
        <w:pStyle w:val="ListParagraph"/>
        <w:rPr>
          <w:color w:val="FF0000"/>
          <w:sz w:val="24"/>
          <w:szCs w:val="24"/>
          <w:lang w:val="en-CA"/>
        </w:rPr>
      </w:pPr>
    </w:p>
    <w:p w:rsidR="009F05EE" w:rsidRPr="00E16CE3" w:rsidRDefault="00E16CE3" w:rsidP="009F05EE">
      <w:pPr>
        <w:pStyle w:val="ListParagraph"/>
        <w:numPr>
          <w:ilvl w:val="0"/>
          <w:numId w:val="6"/>
        </w:numPr>
        <w:autoSpaceDE w:val="0"/>
        <w:autoSpaceDN w:val="0"/>
        <w:adjustRightInd w:val="0"/>
        <w:spacing w:after="0" w:line="240" w:lineRule="auto"/>
        <w:rPr>
          <w:b/>
          <w:color w:val="000000" w:themeColor="text1"/>
          <w:sz w:val="24"/>
          <w:szCs w:val="24"/>
          <w:lang w:val="en-CA"/>
        </w:rPr>
      </w:pPr>
      <w:r w:rsidRPr="00E16CE3">
        <w:rPr>
          <w:b/>
          <w:color w:val="000000" w:themeColor="text1"/>
          <w:sz w:val="24"/>
          <w:szCs w:val="24"/>
          <w:lang w:val="en-CA"/>
        </w:rPr>
        <w:t>2019</w:t>
      </w:r>
      <w:r w:rsidRPr="00E16CE3">
        <w:rPr>
          <w:color w:val="000000" w:themeColor="text1"/>
          <w:sz w:val="24"/>
          <w:szCs w:val="24"/>
          <w:lang w:val="en-CA"/>
        </w:rPr>
        <w:t xml:space="preserve">: January 16, 2019, SUAP Ts&amp;Cs were approved as part of cannabis and tobacco TB Subs. </w:t>
      </w:r>
    </w:p>
    <w:p w:rsidR="009F05EE" w:rsidRPr="00D055EB" w:rsidRDefault="009F05EE" w:rsidP="00D055EB">
      <w:pPr>
        <w:pStyle w:val="ListParagraph"/>
        <w:autoSpaceDE w:val="0"/>
        <w:autoSpaceDN w:val="0"/>
        <w:adjustRightInd w:val="0"/>
        <w:spacing w:after="0" w:line="240" w:lineRule="auto"/>
        <w:ind w:left="360"/>
        <w:rPr>
          <w:sz w:val="24"/>
          <w:szCs w:val="24"/>
          <w:lang w:val="en-CA"/>
        </w:rPr>
      </w:pPr>
    </w:p>
    <w:p w:rsidR="009F05EE" w:rsidRPr="009F05EE" w:rsidRDefault="009F05EE" w:rsidP="009F05EE">
      <w:pPr>
        <w:autoSpaceDE w:val="0"/>
        <w:autoSpaceDN w:val="0"/>
        <w:adjustRightInd w:val="0"/>
        <w:ind w:firstLine="360"/>
        <w:rPr>
          <w:b/>
          <w:sz w:val="24"/>
          <w:szCs w:val="24"/>
          <w:lang w:val="en-CA"/>
        </w:rPr>
      </w:pPr>
      <w:r w:rsidRPr="009F05EE">
        <w:rPr>
          <w:b/>
          <w:sz w:val="24"/>
          <w:szCs w:val="24"/>
          <w:lang w:val="en-CA"/>
        </w:rPr>
        <w:t>Ts&amp;Cs Links</w:t>
      </w:r>
      <w:r>
        <w:rPr>
          <w:b/>
          <w:sz w:val="24"/>
          <w:szCs w:val="24"/>
          <w:lang w:val="en-CA"/>
        </w:rPr>
        <w:t>:</w:t>
      </w:r>
    </w:p>
    <w:p w:rsidR="009F05EE" w:rsidRPr="009F05EE" w:rsidRDefault="00612E97" w:rsidP="009F05EE">
      <w:pPr>
        <w:pStyle w:val="ListParagraph"/>
        <w:autoSpaceDE w:val="0"/>
        <w:autoSpaceDN w:val="0"/>
        <w:adjustRightInd w:val="0"/>
        <w:ind w:left="360"/>
        <w:rPr>
          <w:rFonts w:cs="Helv"/>
          <w:color w:val="000000"/>
          <w:sz w:val="24"/>
          <w:szCs w:val="24"/>
          <w:lang w:val="en-CA"/>
        </w:rPr>
      </w:pPr>
      <w:hyperlink r:id="rId12" w:history="1">
        <w:r w:rsidR="009F05EE" w:rsidRPr="009F05EE">
          <w:rPr>
            <w:rStyle w:val="Hyperlink"/>
            <w:rFonts w:asciiTheme="minorHAnsi" w:hAnsiTheme="minorHAnsi" w:cs="Helv"/>
            <w:lang w:val="en-CA"/>
          </w:rPr>
          <w:t>M:\SPB-DGPS\HPSID-DPSIS\04 DRUGS\Program Management-NADS\Program Authorities\TsCs</w:t>
        </w:r>
      </w:hyperlink>
    </w:p>
    <w:p w:rsidR="009F05EE" w:rsidRPr="009F05EE" w:rsidRDefault="009F05EE" w:rsidP="009F05EE">
      <w:pPr>
        <w:pStyle w:val="ListParagraph"/>
        <w:autoSpaceDE w:val="0"/>
        <w:autoSpaceDN w:val="0"/>
        <w:adjustRightInd w:val="0"/>
        <w:ind w:left="360"/>
        <w:rPr>
          <w:rFonts w:cs="Helv"/>
          <w:color w:val="000000"/>
          <w:sz w:val="24"/>
          <w:szCs w:val="24"/>
          <w:lang w:val="en-CA"/>
        </w:rPr>
      </w:pPr>
    </w:p>
    <w:p w:rsidR="009F05EE" w:rsidRDefault="00612E97" w:rsidP="00D007A5">
      <w:pPr>
        <w:pStyle w:val="ListParagraph"/>
        <w:autoSpaceDE w:val="0"/>
        <w:autoSpaceDN w:val="0"/>
        <w:adjustRightInd w:val="0"/>
        <w:spacing w:after="0" w:line="240" w:lineRule="auto"/>
        <w:ind w:left="360"/>
        <w:rPr>
          <w:sz w:val="24"/>
          <w:szCs w:val="24"/>
          <w:lang w:val="en-CA"/>
        </w:rPr>
      </w:pPr>
      <w:hyperlink r:id="rId13" w:history="1">
        <w:r w:rsidR="009F05EE" w:rsidRPr="009F05EE">
          <w:rPr>
            <w:rStyle w:val="Hyperlink"/>
            <w:rFonts w:asciiTheme="minorHAnsi" w:hAnsiTheme="minorHAnsi" w:cs="Helv"/>
            <w:lang w:val="en-CA"/>
          </w:rPr>
          <w:t>M:\SPB-DGPS\HPSID-DPSIS\04 DRUGS\Program Management-NADS\Program Authorities\TsCs\TsCs Archive</w:t>
        </w:r>
      </w:hyperlink>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333531">
      <w:pPr>
        <w:pStyle w:val="Heading1"/>
        <w:rPr>
          <w:lang w:val="en-CA"/>
        </w:rPr>
      </w:pPr>
    </w:p>
    <w:p w:rsidR="00D007A5" w:rsidRDefault="00D007A5" w:rsidP="00D007A5">
      <w:pPr>
        <w:pStyle w:val="Heading1"/>
        <w:rPr>
          <w:lang w:val="en-CA"/>
        </w:rPr>
      </w:pPr>
    </w:p>
    <w:p w:rsidR="00D007A5" w:rsidRDefault="00D007A5" w:rsidP="00D007A5">
      <w:pPr>
        <w:rPr>
          <w:lang w:val="en-CA"/>
        </w:rPr>
      </w:pPr>
    </w:p>
    <w:p w:rsidR="00D007A5" w:rsidRDefault="00D007A5" w:rsidP="00D007A5">
      <w:pPr>
        <w:rPr>
          <w:lang w:val="en-CA"/>
        </w:rPr>
      </w:pPr>
    </w:p>
    <w:p w:rsidR="00A25586" w:rsidRPr="00D007A5" w:rsidRDefault="00A25586" w:rsidP="00D007A5">
      <w:pPr>
        <w:rPr>
          <w:lang w:val="en-CA"/>
        </w:rPr>
      </w:pPr>
    </w:p>
    <w:p w:rsidR="00333531" w:rsidRDefault="00333531" w:rsidP="00333531">
      <w:pPr>
        <w:pStyle w:val="Heading1"/>
        <w:rPr>
          <w:lang w:val="en-CA"/>
        </w:rPr>
      </w:pPr>
      <w:bookmarkStart w:id="15" w:name="_Toc519260888"/>
      <w:r>
        <w:rPr>
          <w:lang w:val="en-CA"/>
        </w:rPr>
        <w:t>Performance Measurement and Evaluation / Logic Model / Expected Results History</w:t>
      </w:r>
      <w:bookmarkEnd w:id="15"/>
    </w:p>
    <w:p w:rsidR="00333531" w:rsidRDefault="00333531" w:rsidP="00333531">
      <w:pPr>
        <w:rPr>
          <w:lang w:val="en-CA"/>
        </w:rPr>
      </w:pPr>
    </w:p>
    <w:p w:rsidR="00333531" w:rsidRPr="00AA737C" w:rsidRDefault="00333531" w:rsidP="00333531">
      <w:pPr>
        <w:rPr>
          <w:color w:val="FF0000"/>
          <w:sz w:val="24"/>
          <w:szCs w:val="24"/>
          <w:lang w:val="en-CA"/>
        </w:rPr>
      </w:pPr>
      <w:r w:rsidRPr="00AA737C">
        <w:rPr>
          <w:color w:val="FF0000"/>
          <w:sz w:val="24"/>
          <w:szCs w:val="24"/>
          <w:lang w:val="en-CA"/>
        </w:rPr>
        <w:t xml:space="preserve">Content under development </w:t>
      </w:r>
    </w:p>
    <w:p w:rsidR="00333531" w:rsidRDefault="00333531"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D007A5" w:rsidRDefault="00D007A5" w:rsidP="00D055EB">
      <w:pPr>
        <w:autoSpaceDE w:val="0"/>
        <w:autoSpaceDN w:val="0"/>
        <w:adjustRightInd w:val="0"/>
        <w:spacing w:after="0" w:line="240" w:lineRule="auto"/>
        <w:rPr>
          <w:sz w:val="24"/>
          <w:szCs w:val="24"/>
          <w:lang w:val="en-CA"/>
        </w:rPr>
      </w:pPr>
    </w:p>
    <w:p w:rsidR="00BE62D5" w:rsidRPr="00D055EB" w:rsidRDefault="00AE273A" w:rsidP="00D055EB">
      <w:pPr>
        <w:pStyle w:val="Heading1"/>
        <w:spacing w:before="0" w:line="240" w:lineRule="auto"/>
        <w:rPr>
          <w:rFonts w:asciiTheme="minorHAnsi" w:hAnsiTheme="minorHAnsi"/>
          <w:lang w:val="en-CA"/>
        </w:rPr>
      </w:pPr>
      <w:bookmarkStart w:id="16" w:name="_Toc519260889"/>
      <w:r w:rsidRPr="00D055EB">
        <w:rPr>
          <w:rFonts w:asciiTheme="minorHAnsi" w:hAnsiTheme="minorHAnsi"/>
          <w:lang w:val="en-CA"/>
        </w:rPr>
        <w:t xml:space="preserve">CCSA </w:t>
      </w:r>
      <w:r w:rsidR="00BE62D5" w:rsidRPr="00D055EB">
        <w:rPr>
          <w:rFonts w:asciiTheme="minorHAnsi" w:hAnsiTheme="minorHAnsi"/>
          <w:lang w:val="en-CA"/>
        </w:rPr>
        <w:t>Funding History</w:t>
      </w:r>
      <w:bookmarkEnd w:id="16"/>
    </w:p>
    <w:p w:rsidR="007C535E" w:rsidRPr="00D055EB" w:rsidRDefault="007C535E" w:rsidP="00D055EB">
      <w:pPr>
        <w:spacing w:after="0" w:line="240" w:lineRule="auto"/>
        <w:rPr>
          <w:lang w:val="en-CA"/>
        </w:rPr>
      </w:pPr>
    </w:p>
    <w:p w:rsidR="005E72D2" w:rsidRPr="00D055EB" w:rsidRDefault="005E72D2" w:rsidP="00D055EB">
      <w:pPr>
        <w:spacing w:after="0" w:line="240" w:lineRule="auto"/>
        <w:rPr>
          <w:sz w:val="24"/>
          <w:szCs w:val="24"/>
          <w:lang w:val="en-CA"/>
        </w:rPr>
      </w:pPr>
      <w:r w:rsidRPr="00D055EB">
        <w:rPr>
          <w:sz w:val="24"/>
          <w:szCs w:val="24"/>
          <w:lang w:val="en-CA"/>
        </w:rPr>
        <w:t xml:space="preserve">Funding to the CCSA was traditionally split between core funding provided under a specific set-aside in the Main Estimates, and supplementary National Anti-Drug Strategy contribution funding (which was further split between prevention and treatment programs). In 2014-15 the core funding was converted to program contribution funding and a consolidated agreement was negotiated. It is important to note that </w:t>
      </w:r>
      <w:r w:rsidR="00BE62D5" w:rsidRPr="00D055EB">
        <w:rPr>
          <w:sz w:val="24"/>
          <w:szCs w:val="24"/>
          <w:lang w:val="en-CA"/>
        </w:rPr>
        <w:t xml:space="preserve">while the CCSA has a consolidated agreement, the </w:t>
      </w:r>
      <w:r w:rsidRPr="00D055EB">
        <w:rPr>
          <w:sz w:val="24"/>
          <w:szCs w:val="24"/>
          <w:lang w:val="en-CA"/>
        </w:rPr>
        <w:t>$3.56M i</w:t>
      </w:r>
      <w:r w:rsidR="00BE62D5" w:rsidRPr="00D055EB">
        <w:rPr>
          <w:sz w:val="24"/>
          <w:szCs w:val="24"/>
          <w:lang w:val="en-CA"/>
        </w:rPr>
        <w:t xml:space="preserve">n core funding is linked to the </w:t>
      </w:r>
      <w:r w:rsidR="00BE62D5" w:rsidRPr="00D055EB">
        <w:rPr>
          <w:i/>
          <w:sz w:val="24"/>
          <w:szCs w:val="24"/>
          <w:lang w:val="en-CA"/>
        </w:rPr>
        <w:t>CCSA Act</w:t>
      </w:r>
      <w:r w:rsidR="00BE62D5" w:rsidRPr="00D055EB">
        <w:rPr>
          <w:sz w:val="24"/>
          <w:szCs w:val="24"/>
          <w:lang w:val="en-CA"/>
        </w:rPr>
        <w:t xml:space="preserve"> and not connected to the </w:t>
      </w:r>
      <w:r w:rsidRPr="00D055EB">
        <w:rPr>
          <w:sz w:val="24"/>
          <w:szCs w:val="24"/>
          <w:lang w:val="en-CA"/>
        </w:rPr>
        <w:t>National Anti-Drug Strategy/Canadian Drugs and Substances Strategy</w:t>
      </w:r>
      <w:r w:rsidR="00BE62D5" w:rsidRPr="00D055EB">
        <w:rPr>
          <w:sz w:val="24"/>
          <w:szCs w:val="24"/>
          <w:lang w:val="en-CA"/>
        </w:rPr>
        <w:t xml:space="preserve"> and the expected results and related reporting requirements for these strategies</w:t>
      </w:r>
      <w:r w:rsidRPr="00D055EB">
        <w:rPr>
          <w:sz w:val="24"/>
          <w:szCs w:val="24"/>
          <w:lang w:val="en-CA"/>
        </w:rPr>
        <w:t xml:space="preserve">.    </w:t>
      </w:r>
    </w:p>
    <w:p w:rsidR="00D055EB" w:rsidRDefault="00D055EB" w:rsidP="00D055EB">
      <w:pPr>
        <w:pStyle w:val="Heading4"/>
        <w:spacing w:before="0" w:line="240" w:lineRule="auto"/>
        <w:rPr>
          <w:rFonts w:asciiTheme="minorHAnsi" w:hAnsiTheme="minorHAnsi"/>
          <w:lang w:val="en-CA"/>
        </w:rPr>
      </w:pPr>
    </w:p>
    <w:p w:rsidR="00AE273A" w:rsidRPr="00D055EB" w:rsidRDefault="00BE62D5" w:rsidP="009F05EE">
      <w:pPr>
        <w:pStyle w:val="Heading3"/>
        <w:rPr>
          <w:rFonts w:cstheme="minorBidi"/>
          <w:color w:val="auto"/>
          <w:lang w:val="en-CA"/>
        </w:rPr>
      </w:pPr>
      <w:bookmarkStart w:id="17" w:name="_Toc519260890"/>
      <w:r w:rsidRPr="00D055EB">
        <w:rPr>
          <w:lang w:val="en-CA"/>
        </w:rPr>
        <w:t>Core Funding (CCSA Act) History</w:t>
      </w:r>
      <w:bookmarkEnd w:id="17"/>
    </w:p>
    <w:p w:rsidR="00AE273A"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1988-1996:</w:t>
      </w:r>
      <w:r w:rsidRPr="00D055EB">
        <w:rPr>
          <w:rFonts w:cs="Helv"/>
          <w:color w:val="000000"/>
          <w:sz w:val="24"/>
          <w:szCs w:val="24"/>
          <w:lang w:val="en-CA"/>
        </w:rPr>
        <w:t xml:space="preserve">  $2M in funding annually.</w:t>
      </w:r>
    </w:p>
    <w:p w:rsidR="00BE62D5" w:rsidRPr="00D055EB" w:rsidRDefault="00BE62D5" w:rsidP="00D055EB">
      <w:pPr>
        <w:autoSpaceDE w:val="0"/>
        <w:autoSpaceDN w:val="0"/>
        <w:adjustRightInd w:val="0"/>
        <w:spacing w:after="0" w:line="240" w:lineRule="auto"/>
        <w:ind w:left="360"/>
        <w:rPr>
          <w:rFonts w:cs="Helv"/>
          <w:color w:val="000000"/>
          <w:sz w:val="24"/>
          <w:szCs w:val="24"/>
          <w:lang w:val="en-CA"/>
        </w:rPr>
      </w:pPr>
    </w:p>
    <w:p w:rsidR="00AE273A"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1996-2001:</w:t>
      </w:r>
      <w:r w:rsidRPr="00D055EB">
        <w:rPr>
          <w:rFonts w:cs="Helv"/>
          <w:color w:val="000000"/>
          <w:sz w:val="24"/>
          <w:szCs w:val="24"/>
          <w:lang w:val="en-CA"/>
        </w:rPr>
        <w:t xml:space="preserve">  CCSA funding was reduced to $500K annually as a result of program review.</w:t>
      </w:r>
    </w:p>
    <w:p w:rsidR="00BE62D5" w:rsidRPr="00D055EB" w:rsidRDefault="00BE62D5" w:rsidP="00D055EB">
      <w:pPr>
        <w:autoSpaceDE w:val="0"/>
        <w:autoSpaceDN w:val="0"/>
        <w:adjustRightInd w:val="0"/>
        <w:spacing w:after="0" w:line="240" w:lineRule="auto"/>
        <w:ind w:left="360"/>
        <w:rPr>
          <w:rFonts w:cs="Helv"/>
          <w:color w:val="000000"/>
          <w:sz w:val="24"/>
          <w:szCs w:val="24"/>
          <w:lang w:val="en-CA"/>
        </w:rPr>
      </w:pPr>
    </w:p>
    <w:p w:rsidR="00AE273A"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2001-2005:</w:t>
      </w:r>
      <w:r w:rsidRPr="00D055EB">
        <w:rPr>
          <w:rFonts w:cs="Helv"/>
          <w:color w:val="000000"/>
          <w:sz w:val="24"/>
          <w:szCs w:val="24"/>
          <w:lang w:val="en-CA"/>
        </w:rPr>
        <w:t xml:space="preserve">  Minister of Health announced interim funding of $1.5M annually pending a new drug strategy.</w:t>
      </w:r>
    </w:p>
    <w:p w:rsidR="00BE62D5" w:rsidRPr="00D055EB" w:rsidRDefault="00BE62D5" w:rsidP="00D055EB">
      <w:pPr>
        <w:autoSpaceDE w:val="0"/>
        <w:autoSpaceDN w:val="0"/>
        <w:adjustRightInd w:val="0"/>
        <w:spacing w:after="0" w:line="240" w:lineRule="auto"/>
        <w:ind w:left="360"/>
        <w:rPr>
          <w:rFonts w:cs="Helv"/>
          <w:color w:val="000000"/>
          <w:sz w:val="24"/>
          <w:szCs w:val="24"/>
          <w:lang w:val="en-CA"/>
        </w:rPr>
      </w:pPr>
    </w:p>
    <w:p w:rsidR="00AE273A"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2006-2011:</w:t>
      </w:r>
      <w:r w:rsidRPr="00D055EB">
        <w:rPr>
          <w:rFonts w:cs="Helv"/>
          <w:color w:val="000000"/>
          <w:sz w:val="24"/>
          <w:szCs w:val="24"/>
          <w:lang w:val="en-CA"/>
        </w:rPr>
        <w:t xml:space="preserve">  TBS approved amending the transfer payment type from a contribution to a named grant.  TBS approved $3.95M annually, but reduced to $3.75M annually as part of Health Canada's 2006 Strategic Review.  According to TBS, funding for CCSA was transitioned from contribution to named grant in 2006, reflecting the intention of Parliament for CCSA to be, and appear to be, independent of the federal government in order to fulfill its mandate under the CCSA Act.</w:t>
      </w:r>
    </w:p>
    <w:p w:rsidR="00BE62D5" w:rsidRPr="00D055EB" w:rsidRDefault="00BE62D5" w:rsidP="00D055EB">
      <w:pPr>
        <w:autoSpaceDE w:val="0"/>
        <w:autoSpaceDN w:val="0"/>
        <w:adjustRightInd w:val="0"/>
        <w:spacing w:after="0" w:line="240" w:lineRule="auto"/>
        <w:ind w:left="360"/>
        <w:rPr>
          <w:rFonts w:cs="Helv"/>
          <w:color w:val="000000"/>
          <w:sz w:val="24"/>
          <w:szCs w:val="24"/>
          <w:lang w:val="en-CA"/>
        </w:rPr>
      </w:pPr>
    </w:p>
    <w:p w:rsidR="00EA54F3" w:rsidRDefault="00AE273A" w:rsidP="00EA54F3">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2011-2016:</w:t>
      </w:r>
      <w:r w:rsidRPr="00D055EB">
        <w:rPr>
          <w:rFonts w:cs="Helv"/>
          <w:color w:val="000000"/>
          <w:sz w:val="24"/>
          <w:szCs w:val="24"/>
          <w:lang w:val="en-CA"/>
        </w:rPr>
        <w:t xml:space="preserve">  $3.75M annually as a named grant approved by TBS, but reduced to $3.56M annually as part of the Deficit Reduction Action Plan effective April 1, 2013.</w:t>
      </w:r>
    </w:p>
    <w:p w:rsidR="00EA54F3" w:rsidRPr="00EA54F3" w:rsidRDefault="00EA54F3" w:rsidP="00EA54F3">
      <w:pPr>
        <w:autoSpaceDE w:val="0"/>
        <w:autoSpaceDN w:val="0"/>
        <w:adjustRightInd w:val="0"/>
        <w:spacing w:after="0" w:line="240" w:lineRule="auto"/>
        <w:rPr>
          <w:rFonts w:cs="Helv"/>
          <w:color w:val="000000"/>
          <w:sz w:val="24"/>
          <w:szCs w:val="24"/>
          <w:lang w:val="en-CA"/>
        </w:rPr>
      </w:pPr>
    </w:p>
    <w:p w:rsidR="00AE273A" w:rsidRPr="00D055EB" w:rsidRDefault="00AE273A" w:rsidP="009F05EE">
      <w:pPr>
        <w:pStyle w:val="Heading3"/>
        <w:rPr>
          <w:lang w:val="en-CA"/>
        </w:rPr>
      </w:pPr>
      <w:bookmarkStart w:id="18" w:name="_Toc519260891"/>
      <w:r w:rsidRPr="00D055EB">
        <w:rPr>
          <w:lang w:val="en-CA"/>
        </w:rPr>
        <w:t>DSCIF Funding History</w:t>
      </w:r>
      <w:bookmarkEnd w:id="18"/>
    </w:p>
    <w:p w:rsidR="00AE273A"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2007-2012 DSCIF:</w:t>
      </w:r>
      <w:r w:rsidRPr="00D055EB">
        <w:rPr>
          <w:rFonts w:cs="Helv"/>
          <w:color w:val="000000"/>
          <w:sz w:val="24"/>
          <w:szCs w:val="24"/>
          <w:lang w:val="en-CA"/>
        </w:rPr>
        <w:t xml:space="preserve">  Under the National Anti-Drug Strategy, $10M was set aside and announced in 2007/2008 for CCSA to focus specifically on youth drug prevention.  </w:t>
      </w:r>
      <w:r w:rsidRPr="00D055EB">
        <w:rPr>
          <w:rFonts w:cs="Helv"/>
          <w:i/>
          <w:color w:val="000000"/>
          <w:sz w:val="24"/>
          <w:szCs w:val="24"/>
          <w:lang w:val="en-CA"/>
        </w:rPr>
        <w:t>A Drug Prevention Strategy for Canada's Youth</w:t>
      </w:r>
      <w:r w:rsidRPr="00D055EB">
        <w:rPr>
          <w:rFonts w:cs="Helv"/>
          <w:color w:val="000000"/>
          <w:sz w:val="24"/>
          <w:szCs w:val="24"/>
          <w:lang w:val="en-CA"/>
        </w:rPr>
        <w:t xml:space="preserve"> project ultimately </w:t>
      </w:r>
      <w:r w:rsidR="000F71E4" w:rsidRPr="00D055EB">
        <w:rPr>
          <w:rFonts w:cs="Helv"/>
          <w:color w:val="000000"/>
          <w:sz w:val="24"/>
          <w:szCs w:val="24"/>
          <w:lang w:val="en-CA"/>
        </w:rPr>
        <w:t xml:space="preserve">received $11,066,403 between </w:t>
      </w:r>
      <w:r w:rsidRPr="00D055EB">
        <w:rPr>
          <w:rFonts w:cs="Helv"/>
          <w:color w:val="000000"/>
          <w:sz w:val="24"/>
          <w:szCs w:val="24"/>
          <w:lang w:val="en-CA"/>
        </w:rPr>
        <w:t>Oc</w:t>
      </w:r>
      <w:r w:rsidR="000F71E4" w:rsidRPr="00D055EB">
        <w:rPr>
          <w:rFonts w:cs="Helv"/>
          <w:color w:val="000000"/>
          <w:sz w:val="24"/>
          <w:szCs w:val="24"/>
          <w:lang w:val="en-CA"/>
        </w:rPr>
        <w:t>tober</w:t>
      </w:r>
      <w:r w:rsidRPr="00D055EB">
        <w:rPr>
          <w:rFonts w:cs="Helv"/>
          <w:color w:val="000000"/>
          <w:sz w:val="24"/>
          <w:szCs w:val="24"/>
          <w:lang w:val="en-CA"/>
        </w:rPr>
        <w:t xml:space="preserve"> 3, 2007</w:t>
      </w:r>
      <w:r w:rsidR="000F71E4" w:rsidRPr="00D055EB">
        <w:rPr>
          <w:rFonts w:cs="Helv"/>
          <w:color w:val="000000"/>
          <w:sz w:val="24"/>
          <w:szCs w:val="24"/>
          <w:lang w:val="en-CA"/>
        </w:rPr>
        <w:t xml:space="preserve">, and </w:t>
      </w:r>
      <w:r w:rsidRPr="00D055EB">
        <w:rPr>
          <w:rFonts w:cs="Helv"/>
          <w:color w:val="000000"/>
          <w:sz w:val="24"/>
          <w:szCs w:val="24"/>
          <w:lang w:val="en-CA"/>
        </w:rPr>
        <w:t>Sept</w:t>
      </w:r>
      <w:r w:rsidR="000F71E4" w:rsidRPr="00D055EB">
        <w:rPr>
          <w:rFonts w:cs="Helv"/>
          <w:color w:val="000000"/>
          <w:sz w:val="24"/>
          <w:szCs w:val="24"/>
          <w:lang w:val="en-CA"/>
        </w:rPr>
        <w:t>ember</w:t>
      </w:r>
      <w:r w:rsidRPr="00D055EB">
        <w:rPr>
          <w:rFonts w:cs="Helv"/>
          <w:color w:val="000000"/>
          <w:sz w:val="24"/>
          <w:szCs w:val="24"/>
          <w:lang w:val="en-CA"/>
        </w:rPr>
        <w:t xml:space="preserve"> 30, 2012.</w:t>
      </w:r>
    </w:p>
    <w:p w:rsidR="00AE273A" w:rsidRPr="00D055EB" w:rsidRDefault="00AE273A" w:rsidP="00D055EB">
      <w:pPr>
        <w:autoSpaceDE w:val="0"/>
        <w:autoSpaceDN w:val="0"/>
        <w:adjustRightInd w:val="0"/>
        <w:spacing w:after="0" w:line="240" w:lineRule="auto"/>
        <w:rPr>
          <w:rFonts w:cs="Helv"/>
          <w:color w:val="000000"/>
          <w:sz w:val="24"/>
          <w:szCs w:val="24"/>
          <w:lang w:val="en-CA"/>
        </w:rPr>
      </w:pPr>
    </w:p>
    <w:p w:rsidR="000F71E4" w:rsidRPr="00D055EB" w:rsidRDefault="00AE273A"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2012-2013 DSCIF:</w:t>
      </w:r>
      <w:r w:rsidRPr="00D055EB">
        <w:rPr>
          <w:rFonts w:cs="Helv"/>
          <w:color w:val="000000"/>
          <w:sz w:val="24"/>
          <w:szCs w:val="24"/>
          <w:lang w:val="en-CA"/>
        </w:rPr>
        <w:t xml:space="preserve">  A four month project, </w:t>
      </w:r>
      <w:r w:rsidRPr="00D055EB">
        <w:rPr>
          <w:rFonts w:cs="Helv"/>
          <w:i/>
          <w:color w:val="000000"/>
          <w:sz w:val="24"/>
          <w:szCs w:val="24"/>
          <w:lang w:val="en-CA"/>
        </w:rPr>
        <w:t>Improving Drug Prevention for Canada's Youth</w:t>
      </w:r>
      <w:r w:rsidRPr="00D055EB">
        <w:rPr>
          <w:rFonts w:cs="Helv"/>
          <w:color w:val="000000"/>
          <w:sz w:val="24"/>
          <w:szCs w:val="24"/>
          <w:lang w:val="en-CA"/>
        </w:rPr>
        <w:t xml:space="preserve">, was approved for $779,675 </w:t>
      </w:r>
      <w:r w:rsidR="000F71E4" w:rsidRPr="00D055EB">
        <w:rPr>
          <w:rFonts w:cs="Helv"/>
          <w:color w:val="000000"/>
          <w:sz w:val="24"/>
          <w:szCs w:val="24"/>
          <w:lang w:val="en-CA"/>
        </w:rPr>
        <w:t xml:space="preserve">in December 2012. The project </w:t>
      </w:r>
      <w:r w:rsidRPr="00D055EB">
        <w:rPr>
          <w:rFonts w:cs="Helv"/>
          <w:color w:val="000000"/>
          <w:sz w:val="24"/>
          <w:szCs w:val="24"/>
          <w:lang w:val="en-CA"/>
        </w:rPr>
        <w:t>end</w:t>
      </w:r>
      <w:r w:rsidR="000F71E4" w:rsidRPr="00D055EB">
        <w:rPr>
          <w:rFonts w:cs="Helv"/>
          <w:color w:val="000000"/>
          <w:sz w:val="24"/>
          <w:szCs w:val="24"/>
          <w:lang w:val="en-CA"/>
        </w:rPr>
        <w:t>ed</w:t>
      </w:r>
      <w:r w:rsidRPr="00D055EB">
        <w:rPr>
          <w:rFonts w:cs="Helv"/>
          <w:color w:val="000000"/>
          <w:sz w:val="24"/>
          <w:szCs w:val="24"/>
          <w:lang w:val="en-CA"/>
        </w:rPr>
        <w:t xml:space="preserve"> on March 31, 2013.  </w:t>
      </w:r>
    </w:p>
    <w:p w:rsidR="00BE62D5" w:rsidRPr="00D055EB" w:rsidRDefault="00BE62D5" w:rsidP="00D055EB">
      <w:pPr>
        <w:autoSpaceDE w:val="0"/>
        <w:autoSpaceDN w:val="0"/>
        <w:adjustRightInd w:val="0"/>
        <w:spacing w:after="0" w:line="240" w:lineRule="auto"/>
        <w:rPr>
          <w:rFonts w:cs="Helv"/>
          <w:color w:val="000000"/>
          <w:sz w:val="24"/>
          <w:szCs w:val="24"/>
          <w:lang w:val="en-CA"/>
        </w:rPr>
      </w:pPr>
    </w:p>
    <w:p w:rsidR="000F71E4" w:rsidRPr="00D055EB" w:rsidRDefault="000F71E4"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b/>
          <w:sz w:val="24"/>
          <w:szCs w:val="24"/>
          <w:lang w:val="en-CA"/>
        </w:rPr>
        <w:t xml:space="preserve">2013-2018 DSCIF:  </w:t>
      </w:r>
      <w:r w:rsidRPr="00D055EB">
        <w:rPr>
          <w:rFonts w:cs="Helv"/>
          <w:color w:val="000000"/>
          <w:sz w:val="24"/>
          <w:szCs w:val="24"/>
          <w:lang w:val="en-CA"/>
        </w:rPr>
        <w:t xml:space="preserve">A total of $11,863,568 over five years was approved to </w:t>
      </w:r>
      <w:r w:rsidR="005E72D2" w:rsidRPr="00D055EB">
        <w:rPr>
          <w:rFonts w:cs="Helv"/>
          <w:color w:val="000000"/>
          <w:sz w:val="24"/>
          <w:szCs w:val="24"/>
          <w:lang w:val="en-CA"/>
        </w:rPr>
        <w:t xml:space="preserve">support a project entitled </w:t>
      </w:r>
      <w:r w:rsidR="005E72D2" w:rsidRPr="00D055EB">
        <w:rPr>
          <w:rFonts w:cs="Helv"/>
          <w:i/>
          <w:color w:val="000000"/>
          <w:sz w:val="24"/>
          <w:szCs w:val="24"/>
          <w:lang w:val="en-CA"/>
        </w:rPr>
        <w:t>A Health Promotion and Drug Prevention Strategy for Canada’s Youth.</w:t>
      </w:r>
    </w:p>
    <w:p w:rsidR="00BE62D5" w:rsidRPr="00D055EB" w:rsidRDefault="00BE62D5" w:rsidP="00D055EB">
      <w:pPr>
        <w:autoSpaceDE w:val="0"/>
        <w:autoSpaceDN w:val="0"/>
        <w:adjustRightInd w:val="0"/>
        <w:spacing w:after="0" w:line="240" w:lineRule="auto"/>
        <w:ind w:left="360"/>
        <w:rPr>
          <w:rFonts w:cs="Helv"/>
          <w:color w:val="000000"/>
          <w:sz w:val="24"/>
          <w:szCs w:val="24"/>
          <w:lang w:val="en-CA"/>
        </w:rPr>
      </w:pPr>
    </w:p>
    <w:p w:rsidR="00BE62D5" w:rsidRPr="00D055EB" w:rsidRDefault="00EA54F3" w:rsidP="009F05EE">
      <w:pPr>
        <w:pStyle w:val="Heading3"/>
        <w:rPr>
          <w:lang w:val="en-CA"/>
        </w:rPr>
      </w:pPr>
      <w:bookmarkStart w:id="19" w:name="_Toc519260892"/>
      <w:r>
        <w:rPr>
          <w:lang w:val="en-CA"/>
        </w:rPr>
        <w:t xml:space="preserve">DTFP </w:t>
      </w:r>
      <w:r w:rsidR="00BE62D5" w:rsidRPr="00D055EB">
        <w:rPr>
          <w:lang w:val="en-CA"/>
        </w:rPr>
        <w:t>Funding History</w:t>
      </w:r>
      <w:bookmarkEnd w:id="19"/>
      <w:r w:rsidR="00BE62D5" w:rsidRPr="00D055EB">
        <w:rPr>
          <w:lang w:val="en-CA"/>
        </w:rPr>
        <w:t xml:space="preserve"> </w:t>
      </w:r>
    </w:p>
    <w:p w:rsidR="00BE62D5" w:rsidRPr="00D055EB" w:rsidRDefault="00BE62D5" w:rsidP="00D055EB">
      <w:pPr>
        <w:numPr>
          <w:ilvl w:val="0"/>
          <w:numId w:val="3"/>
        </w:numPr>
        <w:autoSpaceDE w:val="0"/>
        <w:autoSpaceDN w:val="0"/>
        <w:adjustRightInd w:val="0"/>
        <w:spacing w:after="0" w:line="240" w:lineRule="auto"/>
        <w:ind w:left="360" w:hanging="360"/>
        <w:rPr>
          <w:rFonts w:cs="Helv"/>
          <w:color w:val="000000"/>
          <w:sz w:val="24"/>
          <w:szCs w:val="24"/>
          <w:lang w:val="en-CA"/>
        </w:rPr>
      </w:pPr>
      <w:r w:rsidRPr="00D055EB">
        <w:rPr>
          <w:rFonts w:cs="Helv"/>
          <w:b/>
          <w:bCs/>
          <w:color w:val="000000"/>
          <w:sz w:val="24"/>
          <w:szCs w:val="24"/>
          <w:lang w:val="en-CA"/>
        </w:rPr>
        <w:t>2009-2013 DTFP:</w:t>
      </w:r>
      <w:r w:rsidRPr="00D055EB">
        <w:rPr>
          <w:rFonts w:cs="Helv"/>
          <w:color w:val="000000"/>
          <w:sz w:val="24"/>
          <w:szCs w:val="24"/>
          <w:lang w:val="en-CA"/>
        </w:rPr>
        <w:t xml:space="preserve">  A treatment systems project, </w:t>
      </w:r>
      <w:r w:rsidRPr="00D055EB">
        <w:rPr>
          <w:rFonts w:cs="Helv"/>
          <w:i/>
          <w:color w:val="000000"/>
          <w:sz w:val="24"/>
          <w:szCs w:val="24"/>
          <w:lang w:val="en-CA"/>
        </w:rPr>
        <w:t>Promoting Evidence-Based System Development</w:t>
      </w:r>
      <w:r w:rsidRPr="00D055EB">
        <w:rPr>
          <w:rFonts w:cs="Helv"/>
          <w:color w:val="000000"/>
          <w:sz w:val="24"/>
          <w:szCs w:val="24"/>
          <w:lang w:val="en-CA"/>
        </w:rPr>
        <w:t>, was funded in January 2009.  A total of $3,437,205 was app</w:t>
      </w:r>
      <w:r w:rsidR="00FA79C2" w:rsidRPr="00D055EB">
        <w:rPr>
          <w:rFonts w:cs="Helv"/>
          <w:color w:val="000000"/>
          <w:sz w:val="24"/>
          <w:szCs w:val="24"/>
          <w:lang w:val="en-CA"/>
        </w:rPr>
        <w:t>roved for Jan 5, 2009 - January 5, 2014</w:t>
      </w:r>
      <w:r w:rsidRPr="00D055EB">
        <w:rPr>
          <w:rFonts w:cs="Helv"/>
          <w:color w:val="000000"/>
          <w:sz w:val="24"/>
          <w:szCs w:val="24"/>
          <w:lang w:val="en-CA"/>
        </w:rPr>
        <w:t>.</w:t>
      </w:r>
    </w:p>
    <w:p w:rsidR="00FA79C2" w:rsidRPr="00D055EB" w:rsidRDefault="00FA79C2" w:rsidP="00D055EB">
      <w:pPr>
        <w:autoSpaceDE w:val="0"/>
        <w:autoSpaceDN w:val="0"/>
        <w:adjustRightInd w:val="0"/>
        <w:spacing w:after="0" w:line="240" w:lineRule="auto"/>
        <w:rPr>
          <w:rFonts w:cs="Helv"/>
          <w:color w:val="000000"/>
          <w:sz w:val="24"/>
          <w:szCs w:val="24"/>
          <w:lang w:val="en-CA"/>
        </w:rPr>
      </w:pPr>
    </w:p>
    <w:p w:rsidR="00FA79C2" w:rsidRPr="00D055EB" w:rsidRDefault="00FA79C2" w:rsidP="00D055EB">
      <w:pPr>
        <w:pStyle w:val="ListParagraph"/>
        <w:numPr>
          <w:ilvl w:val="0"/>
          <w:numId w:val="4"/>
        </w:numPr>
        <w:autoSpaceDE w:val="0"/>
        <w:autoSpaceDN w:val="0"/>
        <w:adjustRightInd w:val="0"/>
        <w:spacing w:after="0" w:line="240" w:lineRule="auto"/>
        <w:rPr>
          <w:rFonts w:cs="Helv"/>
          <w:color w:val="000000"/>
          <w:sz w:val="24"/>
          <w:szCs w:val="24"/>
          <w:lang w:val="en-CA"/>
        </w:rPr>
      </w:pPr>
      <w:r w:rsidRPr="00D055EB">
        <w:rPr>
          <w:rFonts w:cs="Helv"/>
          <w:b/>
          <w:color w:val="000000"/>
          <w:sz w:val="24"/>
          <w:szCs w:val="24"/>
          <w:lang w:val="en-CA"/>
        </w:rPr>
        <w:t>2014-2016 DTFP:</w:t>
      </w:r>
      <w:r w:rsidRPr="00D055EB">
        <w:rPr>
          <w:rFonts w:cs="Helv"/>
          <w:color w:val="000000"/>
          <w:sz w:val="24"/>
          <w:szCs w:val="24"/>
          <w:lang w:val="en-CA"/>
        </w:rPr>
        <w:t xml:space="preserve"> A total of $1,999,846 was approved to support a project entitled </w:t>
      </w:r>
      <w:r w:rsidRPr="00D055EB">
        <w:rPr>
          <w:i/>
          <w:sz w:val="24"/>
          <w:szCs w:val="24"/>
          <w:lang w:val="en-CA"/>
        </w:rPr>
        <w:t xml:space="preserve">A </w:t>
      </w:r>
      <w:r w:rsidR="00550CAA" w:rsidRPr="00D055EB">
        <w:rPr>
          <w:i/>
          <w:sz w:val="24"/>
          <w:szCs w:val="24"/>
          <w:lang w:val="en-CA"/>
        </w:rPr>
        <w:t>Collaborative Pan</w:t>
      </w:r>
      <w:r w:rsidRPr="00D055EB">
        <w:rPr>
          <w:i/>
          <w:sz w:val="24"/>
          <w:szCs w:val="24"/>
          <w:lang w:val="en-CA"/>
        </w:rPr>
        <w:t>-Canadian Approach to Enhance Evidence-Informed Practice</w:t>
      </w:r>
      <w:r w:rsidR="00550CAA" w:rsidRPr="00D055EB">
        <w:rPr>
          <w:i/>
          <w:sz w:val="24"/>
          <w:szCs w:val="24"/>
          <w:lang w:val="en-CA"/>
        </w:rPr>
        <w:t>.</w:t>
      </w:r>
    </w:p>
    <w:p w:rsidR="00FA79C2" w:rsidRPr="00D055EB" w:rsidRDefault="00FA79C2" w:rsidP="00D055EB">
      <w:pPr>
        <w:spacing w:after="0" w:line="240" w:lineRule="auto"/>
        <w:rPr>
          <w:b/>
          <w:lang w:val="en-CA"/>
        </w:rPr>
      </w:pPr>
    </w:p>
    <w:p w:rsidR="00E7399F" w:rsidRPr="00D055EB" w:rsidRDefault="00FA79C2" w:rsidP="009F05EE">
      <w:pPr>
        <w:pStyle w:val="Heading3"/>
        <w:rPr>
          <w:lang w:val="en-CA"/>
        </w:rPr>
      </w:pPr>
      <w:bookmarkStart w:id="20" w:name="_Toc519260893"/>
      <w:r w:rsidRPr="00D055EB">
        <w:rPr>
          <w:lang w:val="en-CA"/>
        </w:rPr>
        <w:t>Consolidated Funding History (ADSI/SUAP)</w:t>
      </w:r>
      <w:bookmarkEnd w:id="20"/>
    </w:p>
    <w:p w:rsidR="00E7399F" w:rsidRPr="00D055EB" w:rsidRDefault="00E7399F" w:rsidP="00D055EB">
      <w:pPr>
        <w:pStyle w:val="ListParagraph"/>
        <w:numPr>
          <w:ilvl w:val="0"/>
          <w:numId w:val="4"/>
        </w:numPr>
        <w:spacing w:after="0" w:line="240" w:lineRule="auto"/>
        <w:rPr>
          <w:rFonts w:cs="Helv"/>
          <w:color w:val="000000"/>
          <w:sz w:val="24"/>
          <w:szCs w:val="24"/>
          <w:lang w:val="en-CA"/>
        </w:rPr>
      </w:pPr>
      <w:r w:rsidRPr="00D055EB">
        <w:rPr>
          <w:rFonts w:cs="Helv"/>
          <w:color w:val="000000"/>
          <w:sz w:val="24"/>
          <w:szCs w:val="24"/>
          <w:lang w:val="en-CA"/>
        </w:rPr>
        <w:t>On May 11, 2015, the Minister approved the Department’s proposal to streamline and consolidate CCSA funding under one CA and bring all funding under the purview of the ADSI.</w:t>
      </w:r>
    </w:p>
    <w:p w:rsidR="00D055EB" w:rsidRDefault="00D055EB" w:rsidP="00D055EB">
      <w:pPr>
        <w:pStyle w:val="ListParagraph"/>
        <w:spacing w:after="0" w:line="240" w:lineRule="auto"/>
        <w:ind w:left="360"/>
        <w:rPr>
          <w:rFonts w:cs="Helv"/>
          <w:color w:val="000000"/>
          <w:sz w:val="24"/>
          <w:szCs w:val="24"/>
          <w:lang w:val="en-CA"/>
        </w:rPr>
      </w:pPr>
    </w:p>
    <w:p w:rsidR="00781D3D" w:rsidRPr="00D055EB" w:rsidRDefault="00E7399F" w:rsidP="00D055EB">
      <w:pPr>
        <w:pStyle w:val="ListParagraph"/>
        <w:numPr>
          <w:ilvl w:val="0"/>
          <w:numId w:val="4"/>
        </w:numPr>
        <w:spacing w:after="0" w:line="240" w:lineRule="auto"/>
        <w:rPr>
          <w:rFonts w:cs="Helv"/>
          <w:color w:val="000000"/>
          <w:sz w:val="24"/>
          <w:szCs w:val="24"/>
          <w:lang w:val="en-CA"/>
        </w:rPr>
      </w:pPr>
      <w:r w:rsidRPr="00D055EB">
        <w:rPr>
          <w:rFonts w:cs="Helv"/>
          <w:color w:val="000000"/>
          <w:sz w:val="24"/>
          <w:szCs w:val="24"/>
          <w:lang w:val="en-CA"/>
        </w:rPr>
        <w:t xml:space="preserve">On September 4, 2015, the Deputy Minister of Health signed off on a consolidated agreement with the CCSA under the </w:t>
      </w:r>
      <w:r w:rsidR="00D87030" w:rsidRPr="00D055EB">
        <w:rPr>
          <w:rFonts w:cs="Helv"/>
          <w:color w:val="000000"/>
          <w:sz w:val="24"/>
          <w:szCs w:val="24"/>
          <w:lang w:val="en-CA"/>
        </w:rPr>
        <w:t>Anti-Drug Strategy Initiatives (ADSI) en</w:t>
      </w:r>
      <w:r w:rsidRPr="00D055EB">
        <w:rPr>
          <w:rFonts w:cs="Helv"/>
          <w:color w:val="000000"/>
          <w:sz w:val="24"/>
          <w:szCs w:val="24"/>
          <w:lang w:val="en-CA"/>
        </w:rPr>
        <w:t>title</w:t>
      </w:r>
      <w:r w:rsidR="00D87030" w:rsidRPr="00D055EB">
        <w:rPr>
          <w:rFonts w:cs="Helv"/>
          <w:color w:val="000000"/>
          <w:sz w:val="24"/>
          <w:szCs w:val="24"/>
          <w:lang w:val="en-CA"/>
        </w:rPr>
        <w:t>d</w:t>
      </w:r>
      <w:r w:rsidRPr="00D055EB">
        <w:rPr>
          <w:rFonts w:cs="Helv"/>
          <w:color w:val="000000"/>
          <w:sz w:val="24"/>
          <w:szCs w:val="24"/>
          <w:lang w:val="en-CA"/>
        </w:rPr>
        <w:t xml:space="preserve"> </w:t>
      </w:r>
      <w:r w:rsidRPr="00D055EB">
        <w:rPr>
          <w:rFonts w:cs="Helv"/>
          <w:i/>
          <w:color w:val="000000"/>
          <w:sz w:val="24"/>
          <w:szCs w:val="24"/>
          <w:lang w:val="en-CA"/>
        </w:rPr>
        <w:t>A Health Promotion and Drug Prevention Strategy for Canada’s Youth</w:t>
      </w:r>
      <w:r w:rsidRPr="00D055EB">
        <w:rPr>
          <w:rFonts w:cs="Helv"/>
          <w:color w:val="000000"/>
          <w:sz w:val="24"/>
          <w:szCs w:val="24"/>
          <w:lang w:val="en-CA"/>
        </w:rPr>
        <w:t>. The project was amended in</w:t>
      </w:r>
      <w:r w:rsidR="004508AA">
        <w:rPr>
          <w:rFonts w:cs="Helv"/>
          <w:color w:val="000000"/>
          <w:sz w:val="24"/>
          <w:szCs w:val="24"/>
          <w:lang w:val="en-CA"/>
        </w:rPr>
        <w:t xml:space="preserve"> September 2015</w:t>
      </w:r>
      <w:r w:rsidRPr="00D055EB">
        <w:rPr>
          <w:rFonts w:cs="Helv"/>
          <w:color w:val="000000"/>
          <w:sz w:val="24"/>
          <w:szCs w:val="24"/>
          <w:lang w:val="en-CA"/>
        </w:rPr>
        <w:t xml:space="preserve"> bringing the total funding provided to the CCSA from April 1, 2015 to March 31, 2018, to $23,719,807.</w:t>
      </w:r>
    </w:p>
    <w:p w:rsidR="00D055EB" w:rsidRDefault="00D055EB" w:rsidP="00D055EB">
      <w:pPr>
        <w:spacing w:after="0" w:line="240" w:lineRule="auto"/>
        <w:rPr>
          <w:rFonts w:cs="Arial"/>
          <w:b/>
          <w:color w:val="000000"/>
          <w:lang w:val="en-CA"/>
        </w:rPr>
      </w:pPr>
    </w:p>
    <w:p w:rsidR="00A25586" w:rsidRDefault="00A25586" w:rsidP="00A25586">
      <w:pPr>
        <w:pStyle w:val="ListParagraph"/>
        <w:numPr>
          <w:ilvl w:val="0"/>
          <w:numId w:val="4"/>
        </w:numPr>
        <w:spacing w:after="0" w:line="240" w:lineRule="auto"/>
        <w:rPr>
          <w:rFonts w:cs="Arial"/>
          <w:sz w:val="24"/>
          <w:szCs w:val="24"/>
          <w:lang w:val="en-CA"/>
        </w:rPr>
      </w:pPr>
      <w:r w:rsidRPr="00A25586">
        <w:rPr>
          <w:rFonts w:cs="Arial"/>
          <w:sz w:val="24"/>
          <w:szCs w:val="24"/>
          <w:lang w:val="en-CA"/>
        </w:rPr>
        <w:t>On March 29, 2018, a new three-year contribution agreement was signed covering the period April 1, 2018 to March 31, 2021 to support a range of key activities. Total funding includes:</w:t>
      </w:r>
    </w:p>
    <w:p w:rsidR="00A25586" w:rsidRPr="00A25586" w:rsidRDefault="00A25586" w:rsidP="00A25586">
      <w:pPr>
        <w:spacing w:after="0" w:line="240" w:lineRule="auto"/>
        <w:rPr>
          <w:rFonts w:cs="Arial"/>
          <w:sz w:val="24"/>
          <w:szCs w:val="24"/>
          <w:lang w:val="en-CA"/>
        </w:rPr>
      </w:pPr>
    </w:p>
    <w:p w:rsidR="00A25586" w:rsidRDefault="00A25586" w:rsidP="00A25586">
      <w:pPr>
        <w:pStyle w:val="ListParagraph"/>
        <w:numPr>
          <w:ilvl w:val="1"/>
          <w:numId w:val="4"/>
        </w:numPr>
        <w:spacing w:after="0" w:line="240" w:lineRule="auto"/>
        <w:rPr>
          <w:rFonts w:cs="Arial"/>
          <w:sz w:val="24"/>
          <w:szCs w:val="24"/>
          <w:lang w:val="en-CA"/>
        </w:rPr>
      </w:pPr>
      <w:r w:rsidRPr="00A25586">
        <w:rPr>
          <w:rFonts w:cs="Arial"/>
          <w:sz w:val="24"/>
          <w:szCs w:val="24"/>
          <w:lang w:val="en-CA"/>
        </w:rPr>
        <w:t>18-19:  $9,212,872</w:t>
      </w:r>
    </w:p>
    <w:p w:rsidR="00A25586" w:rsidRDefault="00A25586" w:rsidP="00A25586">
      <w:pPr>
        <w:pStyle w:val="ListParagraph"/>
        <w:numPr>
          <w:ilvl w:val="1"/>
          <w:numId w:val="4"/>
        </w:numPr>
        <w:spacing w:after="0" w:line="240" w:lineRule="auto"/>
        <w:rPr>
          <w:rFonts w:cs="Arial"/>
          <w:sz w:val="24"/>
          <w:szCs w:val="24"/>
          <w:lang w:val="en-CA"/>
        </w:rPr>
      </w:pPr>
      <w:r w:rsidRPr="00A25586">
        <w:rPr>
          <w:rFonts w:cs="Arial"/>
          <w:sz w:val="24"/>
          <w:szCs w:val="24"/>
          <w:lang w:val="en-CA"/>
        </w:rPr>
        <w:t>19-20:  $9,505,040</w:t>
      </w:r>
    </w:p>
    <w:p w:rsidR="00A25586" w:rsidRDefault="00A25586" w:rsidP="00A25586">
      <w:pPr>
        <w:pStyle w:val="ListParagraph"/>
        <w:numPr>
          <w:ilvl w:val="1"/>
          <w:numId w:val="4"/>
        </w:numPr>
        <w:spacing w:after="0" w:line="240" w:lineRule="auto"/>
        <w:rPr>
          <w:rFonts w:cs="Arial"/>
          <w:sz w:val="24"/>
          <w:szCs w:val="24"/>
          <w:lang w:val="en-CA"/>
        </w:rPr>
      </w:pPr>
      <w:r w:rsidRPr="00A25586">
        <w:rPr>
          <w:rFonts w:cs="Arial"/>
          <w:sz w:val="24"/>
          <w:szCs w:val="24"/>
          <w:lang w:val="en-CA"/>
        </w:rPr>
        <w:t>20-21:  $9,414,576</w:t>
      </w:r>
    </w:p>
    <w:p w:rsidR="00A25586" w:rsidRPr="00A25586" w:rsidRDefault="00A25586" w:rsidP="00A25586">
      <w:pPr>
        <w:pStyle w:val="ListParagraph"/>
        <w:numPr>
          <w:ilvl w:val="1"/>
          <w:numId w:val="4"/>
        </w:numPr>
        <w:spacing w:after="0" w:line="240" w:lineRule="auto"/>
        <w:rPr>
          <w:rFonts w:cs="Arial"/>
          <w:sz w:val="24"/>
          <w:szCs w:val="24"/>
          <w:lang w:val="en-CA"/>
        </w:rPr>
      </w:pPr>
      <w:r w:rsidRPr="00A25586">
        <w:rPr>
          <w:rFonts w:cs="Arial"/>
          <w:sz w:val="24"/>
          <w:szCs w:val="24"/>
          <w:lang w:val="en-CA"/>
        </w:rPr>
        <w:t>Total:  $28,132,487</w:t>
      </w:r>
    </w:p>
    <w:p w:rsidR="00282B4D" w:rsidRDefault="00282B4D" w:rsidP="00D055EB">
      <w:pPr>
        <w:spacing w:after="0" w:line="240" w:lineRule="auto"/>
        <w:rPr>
          <w:rFonts w:cs="Arial"/>
          <w:b/>
          <w:color w:val="000000"/>
          <w:lang w:val="en-CA"/>
        </w:rPr>
      </w:pPr>
    </w:p>
    <w:p w:rsidR="00781D3D" w:rsidRPr="00D055EB" w:rsidRDefault="00781D3D" w:rsidP="00D055EB">
      <w:pPr>
        <w:spacing w:after="0" w:line="240" w:lineRule="auto"/>
        <w:rPr>
          <w:rFonts w:cs="Arial"/>
          <w:b/>
          <w:color w:val="000000"/>
          <w:lang w:val="en-CA"/>
        </w:rPr>
      </w:pPr>
      <w:r w:rsidRPr="00D055EB">
        <w:rPr>
          <w:rFonts w:cs="Arial"/>
          <w:b/>
          <w:color w:val="000000"/>
          <w:lang w:val="en-CA"/>
        </w:rPr>
        <w:t>Prepared by: Michael Hunter</w:t>
      </w:r>
    </w:p>
    <w:p w:rsidR="00CC15E2" w:rsidRPr="00D055EB" w:rsidRDefault="00282B4D" w:rsidP="00D055EB">
      <w:pPr>
        <w:spacing w:after="0" w:line="240" w:lineRule="auto"/>
        <w:rPr>
          <w:rFonts w:cs="Arial"/>
          <w:b/>
          <w:color w:val="000000"/>
          <w:lang w:val="en-CA"/>
        </w:rPr>
      </w:pPr>
      <w:r>
        <w:rPr>
          <w:rFonts w:cs="Arial"/>
          <w:b/>
          <w:color w:val="000000"/>
          <w:lang w:val="en-CA"/>
        </w:rPr>
        <w:t>Updated: July</w:t>
      </w:r>
      <w:r w:rsidR="00D055EB">
        <w:rPr>
          <w:rFonts w:cs="Arial"/>
          <w:b/>
          <w:color w:val="000000"/>
          <w:lang w:val="en-CA"/>
        </w:rPr>
        <w:t xml:space="preserve"> </w:t>
      </w:r>
      <w:r w:rsidR="003E2363" w:rsidRPr="00D055EB">
        <w:rPr>
          <w:rFonts w:cs="Arial"/>
          <w:b/>
          <w:color w:val="000000"/>
          <w:lang w:val="en-CA"/>
        </w:rPr>
        <w:t>1</w:t>
      </w:r>
      <w:r>
        <w:rPr>
          <w:rFonts w:cs="Arial"/>
          <w:b/>
          <w:color w:val="000000"/>
          <w:lang w:val="en-CA"/>
        </w:rPr>
        <w:t>3</w:t>
      </w:r>
      <w:r w:rsidR="00D055EB">
        <w:rPr>
          <w:rFonts w:cs="Arial"/>
          <w:b/>
          <w:color w:val="000000"/>
          <w:lang w:val="en-CA"/>
        </w:rPr>
        <w:t>, 2018</w:t>
      </w:r>
    </w:p>
    <w:sectPr w:rsidR="00CC15E2" w:rsidRPr="00D055EB" w:rsidSect="00DC79E5">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97" w:rsidRDefault="00612E97" w:rsidP="00447E91">
      <w:pPr>
        <w:spacing w:after="0" w:line="240" w:lineRule="auto"/>
      </w:pPr>
      <w:r>
        <w:separator/>
      </w:r>
    </w:p>
  </w:endnote>
  <w:endnote w:type="continuationSeparator" w:id="0">
    <w:p w:rsidR="00612E97" w:rsidRDefault="00612E97" w:rsidP="0044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72973314"/>
      <w:docPartObj>
        <w:docPartGallery w:val="Page Numbers (Bottom of Page)"/>
        <w:docPartUnique/>
      </w:docPartObj>
    </w:sdtPr>
    <w:sdtEndPr>
      <w:rPr>
        <w:noProof/>
      </w:rPr>
    </w:sdtEndPr>
    <w:sdtContent>
      <w:p w:rsidR="00603FB5" w:rsidRDefault="00603FB5">
        <w:pPr>
          <w:pStyle w:val="Footer"/>
          <w:jc w:val="right"/>
        </w:pPr>
        <w:r>
          <w:fldChar w:fldCharType="begin"/>
        </w:r>
        <w:r>
          <w:instrText xml:space="preserve"> PAGE   \* MERGEFORMAT </w:instrText>
        </w:r>
        <w:r>
          <w:fldChar w:fldCharType="separate"/>
        </w:r>
        <w:r w:rsidR="000B5993">
          <w:rPr>
            <w:noProof/>
          </w:rPr>
          <w:t>2</w:t>
        </w:r>
        <w:r>
          <w:rPr>
            <w:noProof/>
          </w:rPr>
          <w:fldChar w:fldCharType="end"/>
        </w:r>
      </w:p>
    </w:sdtContent>
  </w:sdt>
  <w:p w:rsidR="00603FB5" w:rsidRDefault="0060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97" w:rsidRDefault="00612E97" w:rsidP="00447E91">
      <w:pPr>
        <w:spacing w:after="0" w:line="240" w:lineRule="auto"/>
      </w:pPr>
      <w:r>
        <w:separator/>
      </w:r>
    </w:p>
  </w:footnote>
  <w:footnote w:type="continuationSeparator" w:id="0">
    <w:p w:rsidR="00612E97" w:rsidRDefault="00612E97" w:rsidP="0044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4ABAF8"/>
    <w:lvl w:ilvl="0">
      <w:numFmt w:val="bullet"/>
      <w:lvlText w:val="*"/>
      <w:lvlJc w:val="left"/>
    </w:lvl>
  </w:abstractNum>
  <w:abstractNum w:abstractNumId="1" w15:restartNumberingAfterBreak="0">
    <w:nsid w:val="03115192"/>
    <w:multiLevelType w:val="hybridMultilevel"/>
    <w:tmpl w:val="0F02084A"/>
    <w:lvl w:ilvl="0" w:tplc="7CEE36C8">
      <w:start w:val="1"/>
      <w:numFmt w:val="bullet"/>
      <w:lvlText w:val=""/>
      <w:lvlJc w:val="left"/>
      <w:pPr>
        <w:tabs>
          <w:tab w:val="num" w:pos="720"/>
        </w:tabs>
        <w:ind w:left="720" w:hanging="360"/>
      </w:pPr>
      <w:rPr>
        <w:rFonts w:ascii="Wingdings" w:hAnsi="Wingdings" w:hint="default"/>
      </w:rPr>
    </w:lvl>
    <w:lvl w:ilvl="1" w:tplc="E9B434DC" w:tentative="1">
      <w:start w:val="1"/>
      <w:numFmt w:val="bullet"/>
      <w:lvlText w:val=""/>
      <w:lvlJc w:val="left"/>
      <w:pPr>
        <w:tabs>
          <w:tab w:val="num" w:pos="1440"/>
        </w:tabs>
        <w:ind w:left="1440" w:hanging="360"/>
      </w:pPr>
      <w:rPr>
        <w:rFonts w:ascii="Wingdings" w:hAnsi="Wingdings" w:hint="default"/>
      </w:rPr>
    </w:lvl>
    <w:lvl w:ilvl="2" w:tplc="38F2FEEA" w:tentative="1">
      <w:start w:val="1"/>
      <w:numFmt w:val="bullet"/>
      <w:lvlText w:val=""/>
      <w:lvlJc w:val="left"/>
      <w:pPr>
        <w:tabs>
          <w:tab w:val="num" w:pos="2160"/>
        </w:tabs>
        <w:ind w:left="2160" w:hanging="360"/>
      </w:pPr>
      <w:rPr>
        <w:rFonts w:ascii="Wingdings" w:hAnsi="Wingdings" w:hint="default"/>
      </w:rPr>
    </w:lvl>
    <w:lvl w:ilvl="3" w:tplc="E8B62E40" w:tentative="1">
      <w:start w:val="1"/>
      <w:numFmt w:val="bullet"/>
      <w:lvlText w:val=""/>
      <w:lvlJc w:val="left"/>
      <w:pPr>
        <w:tabs>
          <w:tab w:val="num" w:pos="2880"/>
        </w:tabs>
        <w:ind w:left="2880" w:hanging="360"/>
      </w:pPr>
      <w:rPr>
        <w:rFonts w:ascii="Wingdings" w:hAnsi="Wingdings" w:hint="default"/>
      </w:rPr>
    </w:lvl>
    <w:lvl w:ilvl="4" w:tplc="9160865A" w:tentative="1">
      <w:start w:val="1"/>
      <w:numFmt w:val="bullet"/>
      <w:lvlText w:val=""/>
      <w:lvlJc w:val="left"/>
      <w:pPr>
        <w:tabs>
          <w:tab w:val="num" w:pos="3600"/>
        </w:tabs>
        <w:ind w:left="3600" w:hanging="360"/>
      </w:pPr>
      <w:rPr>
        <w:rFonts w:ascii="Wingdings" w:hAnsi="Wingdings" w:hint="default"/>
      </w:rPr>
    </w:lvl>
    <w:lvl w:ilvl="5" w:tplc="C0ECAA10" w:tentative="1">
      <w:start w:val="1"/>
      <w:numFmt w:val="bullet"/>
      <w:lvlText w:val=""/>
      <w:lvlJc w:val="left"/>
      <w:pPr>
        <w:tabs>
          <w:tab w:val="num" w:pos="4320"/>
        </w:tabs>
        <w:ind w:left="4320" w:hanging="360"/>
      </w:pPr>
      <w:rPr>
        <w:rFonts w:ascii="Wingdings" w:hAnsi="Wingdings" w:hint="default"/>
      </w:rPr>
    </w:lvl>
    <w:lvl w:ilvl="6" w:tplc="ACACF79A" w:tentative="1">
      <w:start w:val="1"/>
      <w:numFmt w:val="bullet"/>
      <w:lvlText w:val=""/>
      <w:lvlJc w:val="left"/>
      <w:pPr>
        <w:tabs>
          <w:tab w:val="num" w:pos="5040"/>
        </w:tabs>
        <w:ind w:left="5040" w:hanging="360"/>
      </w:pPr>
      <w:rPr>
        <w:rFonts w:ascii="Wingdings" w:hAnsi="Wingdings" w:hint="default"/>
      </w:rPr>
    </w:lvl>
    <w:lvl w:ilvl="7" w:tplc="8B0CBA58" w:tentative="1">
      <w:start w:val="1"/>
      <w:numFmt w:val="bullet"/>
      <w:lvlText w:val=""/>
      <w:lvlJc w:val="left"/>
      <w:pPr>
        <w:tabs>
          <w:tab w:val="num" w:pos="5760"/>
        </w:tabs>
        <w:ind w:left="5760" w:hanging="360"/>
      </w:pPr>
      <w:rPr>
        <w:rFonts w:ascii="Wingdings" w:hAnsi="Wingdings" w:hint="default"/>
      </w:rPr>
    </w:lvl>
    <w:lvl w:ilvl="8" w:tplc="6FE2AF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D180F"/>
    <w:multiLevelType w:val="hybridMultilevel"/>
    <w:tmpl w:val="479EE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D12D3"/>
    <w:multiLevelType w:val="hybridMultilevel"/>
    <w:tmpl w:val="85C2D5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330FDE"/>
    <w:multiLevelType w:val="hybridMultilevel"/>
    <w:tmpl w:val="4F76B3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477EDC"/>
    <w:multiLevelType w:val="hybridMultilevel"/>
    <w:tmpl w:val="C9ECF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572BC0"/>
    <w:multiLevelType w:val="hybridMultilevel"/>
    <w:tmpl w:val="48EE49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4853F0"/>
    <w:multiLevelType w:val="hybridMultilevel"/>
    <w:tmpl w:val="E9120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5477D7E"/>
    <w:multiLevelType w:val="hybridMultilevel"/>
    <w:tmpl w:val="35429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410EF9"/>
    <w:multiLevelType w:val="hybridMultilevel"/>
    <w:tmpl w:val="9386E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65502E"/>
    <w:multiLevelType w:val="hybridMultilevel"/>
    <w:tmpl w:val="6DCA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7E223F"/>
    <w:multiLevelType w:val="hybridMultilevel"/>
    <w:tmpl w:val="0E261FE2"/>
    <w:lvl w:ilvl="0" w:tplc="1009000F">
      <w:start w:val="1"/>
      <w:numFmt w:val="decimal"/>
      <w:lvlText w:val="%1."/>
      <w:lvlJc w:val="left"/>
      <w:pPr>
        <w:ind w:left="360" w:hanging="360"/>
      </w:pPr>
      <w:rPr>
        <w:rFonts w:hint="default"/>
      </w:rPr>
    </w:lvl>
    <w:lvl w:ilvl="1" w:tplc="10090001">
      <w:start w:val="1"/>
      <w:numFmt w:val="bullet"/>
      <w:lvlText w:val=""/>
      <w:lvlJc w:val="left"/>
      <w:pPr>
        <w:ind w:left="1014" w:hanging="360"/>
      </w:pPr>
      <w:rPr>
        <w:rFonts w:ascii="Symbol" w:hAnsi="Symbol" w:hint="default"/>
      </w:r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12" w15:restartNumberingAfterBreak="0">
    <w:nsid w:val="70D14EF3"/>
    <w:multiLevelType w:val="hybridMultilevel"/>
    <w:tmpl w:val="A574F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7357E3"/>
    <w:multiLevelType w:val="hybridMultilevel"/>
    <w:tmpl w:val="ED08EA1C"/>
    <w:lvl w:ilvl="0" w:tplc="0C0C0001">
      <w:start w:val="1"/>
      <w:numFmt w:val="bullet"/>
      <w:lvlText w:val=""/>
      <w:lvlJc w:val="left"/>
      <w:pPr>
        <w:ind w:left="360" w:hanging="360"/>
      </w:pPr>
      <w:rPr>
        <w:rFonts w:ascii="Symbol" w:hAnsi="Symbol" w:hint="default"/>
      </w:rPr>
    </w:lvl>
    <w:lvl w:ilvl="1" w:tplc="CF4C3C2C">
      <w:numFmt w:val="bullet"/>
      <w:lvlText w:val="•"/>
      <w:lvlJc w:val="left"/>
      <w:pPr>
        <w:ind w:left="1425" w:hanging="705"/>
      </w:pPr>
      <w:rPr>
        <w:rFonts w:ascii="Arial" w:eastAsiaTheme="minorHAnsi" w:hAnsi="Arial"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9"/>
  </w:num>
  <w:num w:numId="6">
    <w:abstractNumId w:val="5"/>
  </w:num>
  <w:num w:numId="7">
    <w:abstractNumId w:val="12"/>
  </w:num>
  <w:num w:numId="8">
    <w:abstractNumId w:val="7"/>
  </w:num>
  <w:num w:numId="9">
    <w:abstractNumId w:val="2"/>
  </w:num>
  <w:num w:numId="10">
    <w:abstractNumId w:val="1"/>
  </w:num>
  <w:num w:numId="11">
    <w:abstractNumId w:val="8"/>
  </w:num>
  <w:num w:numId="12">
    <w:abstractNumId w:val="6"/>
  </w:num>
  <w:num w:numId="13">
    <w:abstractNumId w:val="11"/>
  </w:num>
  <w:num w:numId="14">
    <w:abstractNumId w:val="10"/>
  </w:num>
  <w:num w:numId="15">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0"/>
    <w:rsid w:val="00002DC6"/>
    <w:rsid w:val="00005D5C"/>
    <w:rsid w:val="00031FDB"/>
    <w:rsid w:val="00060CDC"/>
    <w:rsid w:val="000958F2"/>
    <w:rsid w:val="000A0834"/>
    <w:rsid w:val="000B5993"/>
    <w:rsid w:val="000C7170"/>
    <w:rsid w:val="000F71E4"/>
    <w:rsid w:val="0013345F"/>
    <w:rsid w:val="001E2249"/>
    <w:rsid w:val="001E24F5"/>
    <w:rsid w:val="00231B93"/>
    <w:rsid w:val="0023683F"/>
    <w:rsid w:val="00247DDA"/>
    <w:rsid w:val="00265C08"/>
    <w:rsid w:val="00282B4D"/>
    <w:rsid w:val="00292658"/>
    <w:rsid w:val="002A351A"/>
    <w:rsid w:val="002D03C3"/>
    <w:rsid w:val="002D12C0"/>
    <w:rsid w:val="00315EC8"/>
    <w:rsid w:val="00333531"/>
    <w:rsid w:val="003E2363"/>
    <w:rsid w:val="003E39D0"/>
    <w:rsid w:val="0043086A"/>
    <w:rsid w:val="00443A40"/>
    <w:rsid w:val="00447E91"/>
    <w:rsid w:val="004508AA"/>
    <w:rsid w:val="0045643A"/>
    <w:rsid w:val="004768B3"/>
    <w:rsid w:val="00487E07"/>
    <w:rsid w:val="004A1BF2"/>
    <w:rsid w:val="00550CAA"/>
    <w:rsid w:val="005E72D2"/>
    <w:rsid w:val="00603FB5"/>
    <w:rsid w:val="00612E97"/>
    <w:rsid w:val="00642C49"/>
    <w:rsid w:val="00662D45"/>
    <w:rsid w:val="00670026"/>
    <w:rsid w:val="00690866"/>
    <w:rsid w:val="006C34B2"/>
    <w:rsid w:val="006E1C8F"/>
    <w:rsid w:val="00740ADF"/>
    <w:rsid w:val="0074606F"/>
    <w:rsid w:val="0076419A"/>
    <w:rsid w:val="00781D3D"/>
    <w:rsid w:val="007C4910"/>
    <w:rsid w:val="007C535E"/>
    <w:rsid w:val="007F6BA3"/>
    <w:rsid w:val="00887D98"/>
    <w:rsid w:val="008D09ED"/>
    <w:rsid w:val="008E76AC"/>
    <w:rsid w:val="0090731D"/>
    <w:rsid w:val="00994C43"/>
    <w:rsid w:val="009F05EE"/>
    <w:rsid w:val="00A25586"/>
    <w:rsid w:val="00A77C81"/>
    <w:rsid w:val="00AA2411"/>
    <w:rsid w:val="00AA737C"/>
    <w:rsid w:val="00AE273A"/>
    <w:rsid w:val="00BB27B4"/>
    <w:rsid w:val="00BD31F4"/>
    <w:rsid w:val="00BE62D5"/>
    <w:rsid w:val="00BF5953"/>
    <w:rsid w:val="00C97937"/>
    <w:rsid w:val="00CC15E2"/>
    <w:rsid w:val="00D007A5"/>
    <w:rsid w:val="00D0091C"/>
    <w:rsid w:val="00D02B18"/>
    <w:rsid w:val="00D051A7"/>
    <w:rsid w:val="00D055EB"/>
    <w:rsid w:val="00D10B1D"/>
    <w:rsid w:val="00D241A5"/>
    <w:rsid w:val="00D642DA"/>
    <w:rsid w:val="00D87030"/>
    <w:rsid w:val="00DB4C42"/>
    <w:rsid w:val="00DC3712"/>
    <w:rsid w:val="00DC50FC"/>
    <w:rsid w:val="00DC79E5"/>
    <w:rsid w:val="00E1101E"/>
    <w:rsid w:val="00E16CE3"/>
    <w:rsid w:val="00E60D26"/>
    <w:rsid w:val="00E722E4"/>
    <w:rsid w:val="00E7399F"/>
    <w:rsid w:val="00EA54F3"/>
    <w:rsid w:val="00ED1FE4"/>
    <w:rsid w:val="00ED63D2"/>
    <w:rsid w:val="00EF12AB"/>
    <w:rsid w:val="00F249AB"/>
    <w:rsid w:val="00F34741"/>
    <w:rsid w:val="00F65DA4"/>
    <w:rsid w:val="00F729F9"/>
    <w:rsid w:val="00F968B0"/>
    <w:rsid w:val="00FA32F5"/>
    <w:rsid w:val="00FA7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FD018-A064-4427-8410-DE17C5C8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0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60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443A40"/>
    <w:pPr>
      <w:ind w:left="720"/>
      <w:contextualSpacing/>
    </w:pPr>
  </w:style>
  <w:style w:type="character" w:styleId="Hyperlink">
    <w:name w:val="Hyperlink"/>
    <w:basedOn w:val="DefaultParagraphFont"/>
    <w:uiPriority w:val="99"/>
    <w:unhideWhenUsed/>
    <w:rsid w:val="00231B93"/>
    <w:rPr>
      <w:rFonts w:ascii="Arial" w:hAnsi="Arial" w:cs="Arial" w:hint="default"/>
      <w:strike w:val="0"/>
      <w:dstrike w:val="0"/>
      <w:color w:val="0000FF"/>
      <w:sz w:val="24"/>
      <w:szCs w:val="24"/>
      <w:u w:val="none"/>
      <w:effect w:val="none"/>
    </w:rPr>
  </w:style>
  <w:style w:type="paragraph" w:styleId="NormalWeb">
    <w:name w:val="Normal (Web)"/>
    <w:basedOn w:val="Normal"/>
    <w:uiPriority w:val="99"/>
    <w:unhideWhenUsed/>
    <w:rsid w:val="00231B93"/>
    <w:pPr>
      <w:spacing w:before="100" w:beforeAutospacing="1" w:after="100" w:afterAutospacing="1" w:line="240" w:lineRule="auto"/>
    </w:pPr>
    <w:rPr>
      <w:rFonts w:ascii="Arial" w:eastAsia="Times New Roman" w:hAnsi="Arial" w:cs="Arial"/>
      <w:sz w:val="24"/>
      <w:szCs w:val="24"/>
      <w:lang w:val="en-CA" w:eastAsia="en-CA"/>
    </w:rPr>
  </w:style>
  <w:style w:type="character" w:customStyle="1" w:styleId="Heading1Char">
    <w:name w:val="Heading 1 Char"/>
    <w:basedOn w:val="DefaultParagraphFont"/>
    <w:link w:val="Heading1"/>
    <w:uiPriority w:val="9"/>
    <w:rsid w:val="00D051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53"/>
    <w:rPr>
      <w:rFonts w:ascii="Tahoma" w:hAnsi="Tahoma" w:cs="Tahoma"/>
      <w:sz w:val="16"/>
      <w:szCs w:val="16"/>
    </w:rPr>
  </w:style>
  <w:style w:type="paragraph" w:styleId="Header">
    <w:name w:val="header"/>
    <w:basedOn w:val="Normal"/>
    <w:link w:val="HeaderChar"/>
    <w:uiPriority w:val="99"/>
    <w:unhideWhenUsed/>
    <w:rsid w:val="00447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91"/>
  </w:style>
  <w:style w:type="paragraph" w:styleId="Footer">
    <w:name w:val="footer"/>
    <w:basedOn w:val="Normal"/>
    <w:link w:val="FooterChar"/>
    <w:uiPriority w:val="99"/>
    <w:unhideWhenUsed/>
    <w:rsid w:val="0044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91"/>
  </w:style>
  <w:style w:type="character" w:customStyle="1" w:styleId="QuickFormat1">
    <w:name w:val="QuickFormat1"/>
    <w:uiPriority w:val="99"/>
    <w:rsid w:val="000F71E4"/>
    <w:rPr>
      <w:b/>
      <w:bCs/>
      <w:sz w:val="26"/>
      <w:szCs w:val="26"/>
    </w:rPr>
  </w:style>
  <w:style w:type="character" w:customStyle="1" w:styleId="Heading2Char">
    <w:name w:val="Heading 2 Char"/>
    <w:basedOn w:val="DefaultParagraphFont"/>
    <w:link w:val="Heading2"/>
    <w:uiPriority w:val="9"/>
    <w:rsid w:val="00BE62D5"/>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table bullets Char"/>
    <w:basedOn w:val="DefaultParagraphFont"/>
    <w:link w:val="ListParagraph"/>
    <w:uiPriority w:val="34"/>
    <w:locked/>
    <w:rsid w:val="007C535E"/>
  </w:style>
  <w:style w:type="character" w:customStyle="1" w:styleId="Heading3Char">
    <w:name w:val="Heading 3 Char"/>
    <w:basedOn w:val="DefaultParagraphFont"/>
    <w:link w:val="Heading3"/>
    <w:uiPriority w:val="9"/>
    <w:rsid w:val="007460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606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D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3683F"/>
    <w:pPr>
      <w:outlineLvl w:val="9"/>
    </w:pPr>
    <w:rPr>
      <w:lang w:val="en-US" w:eastAsia="ja-JP"/>
    </w:rPr>
  </w:style>
  <w:style w:type="paragraph" w:styleId="TOC1">
    <w:name w:val="toc 1"/>
    <w:basedOn w:val="Normal"/>
    <w:next w:val="Normal"/>
    <w:autoRedefine/>
    <w:uiPriority w:val="39"/>
    <w:unhideWhenUsed/>
    <w:rsid w:val="0023683F"/>
    <w:pPr>
      <w:spacing w:after="100"/>
    </w:pPr>
  </w:style>
  <w:style w:type="paragraph" w:customStyle="1" w:styleId="Level1">
    <w:name w:val="Level 1"/>
    <w:basedOn w:val="Normal"/>
    <w:rsid w:val="000958F2"/>
    <w:pPr>
      <w:widowControl w:val="0"/>
      <w:spacing w:after="0" w:line="240" w:lineRule="auto"/>
    </w:pPr>
    <w:rPr>
      <w:rFonts w:ascii="Times New Roman" w:eastAsia="Times New Roman" w:hAnsi="Times New Roman" w:cs="Times New Roman"/>
      <w:sz w:val="24"/>
      <w:szCs w:val="20"/>
      <w:lang w:val="en-US"/>
    </w:rPr>
  </w:style>
  <w:style w:type="paragraph" w:styleId="TOC2">
    <w:name w:val="toc 2"/>
    <w:basedOn w:val="Normal"/>
    <w:next w:val="Normal"/>
    <w:autoRedefine/>
    <w:uiPriority w:val="39"/>
    <w:unhideWhenUsed/>
    <w:rsid w:val="00BD31F4"/>
    <w:pPr>
      <w:spacing w:after="100"/>
      <w:ind w:left="220"/>
    </w:pPr>
  </w:style>
  <w:style w:type="paragraph" w:styleId="TOC3">
    <w:name w:val="toc 3"/>
    <w:basedOn w:val="Normal"/>
    <w:next w:val="Normal"/>
    <w:autoRedefine/>
    <w:uiPriority w:val="39"/>
    <w:unhideWhenUsed/>
    <w:rsid w:val="00BD31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413">
      <w:bodyDiv w:val="1"/>
      <w:marLeft w:val="0"/>
      <w:marRight w:val="0"/>
      <w:marTop w:val="0"/>
      <w:marBottom w:val="0"/>
      <w:divBdr>
        <w:top w:val="none" w:sz="0" w:space="0" w:color="auto"/>
        <w:left w:val="none" w:sz="0" w:space="0" w:color="auto"/>
        <w:bottom w:val="none" w:sz="0" w:space="0" w:color="auto"/>
        <w:right w:val="none" w:sz="0" w:space="0" w:color="auto"/>
      </w:divBdr>
    </w:div>
    <w:div w:id="36204250">
      <w:bodyDiv w:val="1"/>
      <w:marLeft w:val="0"/>
      <w:marRight w:val="0"/>
      <w:marTop w:val="0"/>
      <w:marBottom w:val="0"/>
      <w:divBdr>
        <w:top w:val="none" w:sz="0" w:space="0" w:color="auto"/>
        <w:left w:val="none" w:sz="0" w:space="0" w:color="auto"/>
        <w:bottom w:val="none" w:sz="0" w:space="0" w:color="auto"/>
        <w:right w:val="none" w:sz="0" w:space="0" w:color="auto"/>
      </w:divBdr>
    </w:div>
    <w:div w:id="278147846">
      <w:bodyDiv w:val="1"/>
      <w:marLeft w:val="0"/>
      <w:marRight w:val="0"/>
      <w:marTop w:val="0"/>
      <w:marBottom w:val="0"/>
      <w:divBdr>
        <w:top w:val="none" w:sz="0" w:space="0" w:color="auto"/>
        <w:left w:val="none" w:sz="0" w:space="0" w:color="auto"/>
        <w:bottom w:val="none" w:sz="0" w:space="0" w:color="auto"/>
        <w:right w:val="none" w:sz="0" w:space="0" w:color="auto"/>
      </w:divBdr>
    </w:div>
    <w:div w:id="341589183">
      <w:bodyDiv w:val="1"/>
      <w:marLeft w:val="0"/>
      <w:marRight w:val="0"/>
      <w:marTop w:val="0"/>
      <w:marBottom w:val="0"/>
      <w:divBdr>
        <w:top w:val="none" w:sz="0" w:space="0" w:color="auto"/>
        <w:left w:val="none" w:sz="0" w:space="0" w:color="auto"/>
        <w:bottom w:val="none" w:sz="0" w:space="0" w:color="auto"/>
        <w:right w:val="none" w:sz="0" w:space="0" w:color="auto"/>
      </w:divBdr>
    </w:div>
    <w:div w:id="413550028">
      <w:bodyDiv w:val="1"/>
      <w:marLeft w:val="0"/>
      <w:marRight w:val="0"/>
      <w:marTop w:val="0"/>
      <w:marBottom w:val="0"/>
      <w:divBdr>
        <w:top w:val="none" w:sz="0" w:space="0" w:color="auto"/>
        <w:left w:val="none" w:sz="0" w:space="0" w:color="auto"/>
        <w:bottom w:val="none" w:sz="0" w:space="0" w:color="auto"/>
        <w:right w:val="none" w:sz="0" w:space="0" w:color="auto"/>
      </w:divBdr>
      <w:divsChild>
        <w:div w:id="1983345436">
          <w:marLeft w:val="720"/>
          <w:marRight w:val="0"/>
          <w:marTop w:val="115"/>
          <w:marBottom w:val="0"/>
          <w:divBdr>
            <w:top w:val="none" w:sz="0" w:space="0" w:color="auto"/>
            <w:left w:val="none" w:sz="0" w:space="0" w:color="auto"/>
            <w:bottom w:val="none" w:sz="0" w:space="0" w:color="auto"/>
            <w:right w:val="none" w:sz="0" w:space="0" w:color="auto"/>
          </w:divBdr>
        </w:div>
      </w:divsChild>
    </w:div>
    <w:div w:id="725837339">
      <w:bodyDiv w:val="1"/>
      <w:marLeft w:val="0"/>
      <w:marRight w:val="0"/>
      <w:marTop w:val="0"/>
      <w:marBottom w:val="0"/>
      <w:divBdr>
        <w:top w:val="none" w:sz="0" w:space="0" w:color="auto"/>
        <w:left w:val="none" w:sz="0" w:space="0" w:color="auto"/>
        <w:bottom w:val="none" w:sz="0" w:space="0" w:color="auto"/>
        <w:right w:val="none" w:sz="0" w:space="0" w:color="auto"/>
      </w:divBdr>
    </w:div>
    <w:div w:id="940574227">
      <w:bodyDiv w:val="1"/>
      <w:marLeft w:val="0"/>
      <w:marRight w:val="0"/>
      <w:marTop w:val="0"/>
      <w:marBottom w:val="0"/>
      <w:divBdr>
        <w:top w:val="none" w:sz="0" w:space="0" w:color="auto"/>
        <w:left w:val="none" w:sz="0" w:space="0" w:color="auto"/>
        <w:bottom w:val="none" w:sz="0" w:space="0" w:color="auto"/>
        <w:right w:val="none" w:sz="0" w:space="0" w:color="auto"/>
      </w:divBdr>
    </w:div>
    <w:div w:id="1243685830">
      <w:bodyDiv w:val="1"/>
      <w:marLeft w:val="15"/>
      <w:marRight w:val="15"/>
      <w:marTop w:val="0"/>
      <w:marBottom w:val="0"/>
      <w:divBdr>
        <w:top w:val="none" w:sz="0" w:space="0" w:color="auto"/>
        <w:left w:val="none" w:sz="0" w:space="0" w:color="auto"/>
        <w:bottom w:val="none" w:sz="0" w:space="0" w:color="auto"/>
        <w:right w:val="none" w:sz="0" w:space="0" w:color="auto"/>
      </w:divBdr>
    </w:div>
    <w:div w:id="1394504575">
      <w:bodyDiv w:val="1"/>
      <w:marLeft w:val="15"/>
      <w:marRight w:val="15"/>
      <w:marTop w:val="0"/>
      <w:marBottom w:val="0"/>
      <w:divBdr>
        <w:top w:val="none" w:sz="0" w:space="0" w:color="auto"/>
        <w:left w:val="none" w:sz="0" w:space="0" w:color="auto"/>
        <w:bottom w:val="none" w:sz="0" w:space="0" w:color="auto"/>
        <w:right w:val="none" w:sz="0" w:space="0" w:color="auto"/>
      </w:divBdr>
    </w:div>
    <w:div w:id="1792893934">
      <w:bodyDiv w:val="1"/>
      <w:marLeft w:val="0"/>
      <w:marRight w:val="0"/>
      <w:marTop w:val="0"/>
      <w:marBottom w:val="0"/>
      <w:divBdr>
        <w:top w:val="none" w:sz="0" w:space="0" w:color="auto"/>
        <w:left w:val="none" w:sz="0" w:space="0" w:color="auto"/>
        <w:bottom w:val="none" w:sz="0" w:space="0" w:color="auto"/>
        <w:right w:val="none" w:sz="0" w:space="0" w:color="auto"/>
      </w:divBdr>
    </w:div>
    <w:div w:id="1821077480">
      <w:bodyDiv w:val="1"/>
      <w:marLeft w:val="0"/>
      <w:marRight w:val="0"/>
      <w:marTop w:val="0"/>
      <w:marBottom w:val="0"/>
      <w:divBdr>
        <w:top w:val="none" w:sz="0" w:space="0" w:color="auto"/>
        <w:left w:val="none" w:sz="0" w:space="0" w:color="auto"/>
        <w:bottom w:val="none" w:sz="0" w:space="0" w:color="auto"/>
        <w:right w:val="none" w:sz="0" w:space="0" w:color="auto"/>
      </w:divBdr>
    </w:div>
    <w:div w:id="18774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SPB-DGPS\HPSID-DPSIS\04%20DRUGS\Program%20Management-NADS\Archive\DTIP%20Common-PIDT%20commun\Grants-Subvent\CCSA%20NAMED%20GRANT%2006-11%2014\TB-CCSA_Named%20Grant_Oct_2005.pdf" TargetMode="External"/><Relationship Id="rId13" Type="http://schemas.openxmlformats.org/officeDocument/2006/relationships/hyperlink" Target="file:///C:\Users\MARLAMBE\AppData\Local\Microsoft\Windows\INetCache\Content.Word\&#8226;%09M:\SPB-DGPS\HPSID-DPSIS\04%20DRUGS\Program%20Management-NADS\Program%20Authorities\TsCs\TsCs%20Arch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LAMBE\AppData\Local\Microsoft\Windows\INetCache\Content.Word\&#8226;%09M:\SPB-DGPS\HPSID-DPSIS\04%20DRUGS\Program%20Management-NADS\Program%20Authorities\Ts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news/2017/10/government_of_canadatoinvestincannabiseducationandawaren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M:\SPB-DGPS\HPSID-DPSIS\04%20DRUGS\Program%20Management-NADS\Program%20Authorities\TBSUB2017%20CDSS%20HR" TargetMode="External"/><Relationship Id="rId4" Type="http://schemas.openxmlformats.org/officeDocument/2006/relationships/settings" Target="settings.xml"/><Relationship Id="rId9" Type="http://schemas.openxmlformats.org/officeDocument/2006/relationships/hyperlink" Target="file:///M:\SPB-DGPS\HPSID-DPSIS\04%20DRUGS\Program%20Management-NADS\Archive\Anti-Drug%20Strategy%20Initiatives\TB%20Sub%202014-03%20Bckgrnd\TB%20Sub%20Draft%206%20-%20to%20TBS%20Nov%2020\PDA%20TB%20Submission_FINAL%20Oct%2031_hecsb.doc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428A-DCE6-473F-AD67-C6FC8BFC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4646</Words>
  <Characters>26485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Bellefeuille</dc:creator>
  <cp:lastModifiedBy>Mario Lambert</cp:lastModifiedBy>
  <cp:revision>1</cp:revision>
  <cp:lastPrinted>2018-07-13T22:57:00Z</cp:lastPrinted>
  <dcterms:created xsi:type="dcterms:W3CDTF">2021-07-02T16:23:00Z</dcterms:created>
  <dcterms:modified xsi:type="dcterms:W3CDTF">2021-07-02T16:23:00Z</dcterms:modified>
</cp:coreProperties>
</file>