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6E2DBD89" w:rsidR="00AD3A8F" w:rsidRPr="00DF5008" w:rsidRDefault="0098738E" w:rsidP="00D80811">
      <w:pPr>
        <w:pStyle w:val="DocumentTitle"/>
        <w:spacing w:after="120"/>
        <w:rPr>
          <w:lang w:eastAsia="en-CA"/>
        </w:rPr>
      </w:pPr>
      <w:r>
        <w:rPr>
          <w:rFonts w:ascii="Century Gothic" w:hAnsi="Century Gothic"/>
          <w:sz w:val="52"/>
        </w:rPr>
        <w:t>Cloud Discovery &amp; Migration</w:t>
      </w:r>
      <w:r w:rsidR="008A4252">
        <w:rPr>
          <w:rFonts w:ascii="Century Gothic" w:hAnsi="Century Gothic"/>
          <w:sz w:val="52"/>
        </w:rPr>
        <w:t xml:space="preserve">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20146B3E" w:rsidR="00FC5977" w:rsidRPr="00851C85" w:rsidRDefault="003E35DF" w:rsidP="001F28D1">
      <w:pPr>
        <w:pStyle w:val="DocumentCover-BoldRight"/>
        <w:spacing w:after="1080"/>
        <w:rPr>
          <w:rFonts w:ascii="Century Gothic" w:hAnsi="Century Gothic"/>
          <w:sz w:val="28"/>
          <w:szCs w:val="28"/>
        </w:rPr>
      </w:pPr>
      <w:r>
        <w:rPr>
          <w:rFonts w:ascii="Century Gothic" w:hAnsi="Century Gothic"/>
          <w:sz w:val="28"/>
          <w:szCs w:val="28"/>
        </w:rPr>
        <w:t xml:space="preserve">Version </w:t>
      </w:r>
      <w:r w:rsidR="0098738E">
        <w:rPr>
          <w:rFonts w:ascii="Century Gothic" w:hAnsi="Century Gothic"/>
          <w:sz w:val="28"/>
          <w:szCs w:val="28"/>
        </w:rPr>
        <w:t>Draft</w:t>
      </w:r>
    </w:p>
    <w:p w14:paraId="5DAF7D72" w14:textId="77777777" w:rsidR="00F00D22" w:rsidRPr="00851C85" w:rsidRDefault="00810567" w:rsidP="00794922">
      <w:pPr>
        <w:pStyle w:val="DocumentCover-BoldRight"/>
        <w:rPr>
          <w:rFonts w:ascii="Century Gothic" w:hAnsi="Century Gothic"/>
        </w:rPr>
      </w:pPr>
      <w:r w:rsidRPr="00851C85">
        <w:rPr>
          <w:rFonts w:ascii="Century Gothic" w:hAnsi="Century Gothic"/>
        </w:rPr>
        <w:t>GC</w:t>
      </w:r>
      <w:r w:rsidR="00511ED4" w:rsidRPr="00851C85">
        <w:rPr>
          <w:rFonts w:ascii="Century Gothic" w:hAnsi="Century Gothic"/>
        </w:rPr>
        <w:t>DOCS</w:t>
      </w:r>
      <w:r w:rsidRPr="00851C85">
        <w:rPr>
          <w:rFonts w:ascii="Century Gothic" w:hAnsi="Century Gothic"/>
        </w:rPr>
        <w:t xml:space="preserve"> </w:t>
      </w:r>
      <w:r w:rsidR="00FC5977" w:rsidRPr="00851C85">
        <w:rPr>
          <w:rFonts w:ascii="Century Gothic" w:hAnsi="Century Gothic"/>
        </w:rPr>
        <w:t>&lt;#</w:t>
      </w:r>
      <w:r w:rsidR="008A4252" w:rsidRPr="008A4252">
        <w:t xml:space="preserve"> </w:t>
      </w:r>
      <w:r w:rsidR="008A4252" w:rsidRPr="008A4252">
        <w:rPr>
          <w:rFonts w:ascii="Century Gothic" w:hAnsi="Century Gothic"/>
        </w:rPr>
        <w:t>68861147</w:t>
      </w:r>
      <w:r w:rsidR="00EB10D4" w:rsidRPr="00851C85">
        <w:rPr>
          <w:rFonts w:ascii="Century Gothic" w:hAnsi="Century Gothic"/>
        </w:rPr>
        <w:t>&gt;</w:t>
      </w:r>
    </w:p>
    <w:p w14:paraId="306C78EC" w14:textId="5599B97D" w:rsidR="00794922" w:rsidRPr="00851C85" w:rsidRDefault="003E35DF" w:rsidP="00794922">
      <w:pPr>
        <w:pStyle w:val="DocumentCover-BoldRight"/>
        <w:rPr>
          <w:rFonts w:ascii="Century Gothic" w:hAnsi="Century Gothic"/>
        </w:rPr>
      </w:pPr>
      <w:r>
        <w:rPr>
          <w:rFonts w:ascii="Century Gothic" w:hAnsi="Century Gothic"/>
        </w:rPr>
        <w:t>202</w:t>
      </w:r>
      <w:r w:rsidR="0098738E">
        <w:rPr>
          <w:rFonts w:ascii="Century Gothic" w:hAnsi="Century Gothic"/>
        </w:rPr>
        <w:t>1</w:t>
      </w:r>
      <w:r>
        <w:rPr>
          <w:rFonts w:ascii="Century Gothic" w:hAnsi="Century Gothic"/>
        </w:rPr>
        <w:t>-</w:t>
      </w:r>
      <w:r w:rsidR="0098738E">
        <w:rPr>
          <w:rFonts w:ascii="Century Gothic" w:hAnsi="Century Gothic"/>
        </w:rPr>
        <w:t>08</w:t>
      </w:r>
      <w:r>
        <w:rPr>
          <w:rFonts w:ascii="Century Gothic" w:hAnsi="Century Gothic"/>
        </w:rPr>
        <w:t>-</w:t>
      </w:r>
      <w:r w:rsidR="0098738E">
        <w:rPr>
          <w:rFonts w:ascii="Century Gothic" w:hAnsi="Century Gothic"/>
        </w:rPr>
        <w:t>17</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794922">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DA2796">
        <w:tc>
          <w:tcPr>
            <w:tcW w:w="506" w:type="pct"/>
          </w:tcPr>
          <w:p w14:paraId="2E4F43B2" w14:textId="77777777" w:rsidR="00794922" w:rsidRPr="00537098" w:rsidRDefault="004E1222" w:rsidP="00794922">
            <w:pPr>
              <w:pStyle w:val="TableTextCenter"/>
            </w:pPr>
            <w:r>
              <w:t>1.0</w:t>
            </w:r>
          </w:p>
        </w:tc>
        <w:tc>
          <w:tcPr>
            <w:tcW w:w="2516" w:type="pct"/>
          </w:tcPr>
          <w:p w14:paraId="31E4C72D" w14:textId="5FF4ADE3" w:rsidR="00794922" w:rsidRPr="00537098" w:rsidRDefault="004E1222" w:rsidP="007D5B15">
            <w:pPr>
              <w:pStyle w:val="TableTextLeft"/>
            </w:pPr>
            <w:r>
              <w:t>Original Version</w:t>
            </w:r>
          </w:p>
        </w:tc>
        <w:tc>
          <w:tcPr>
            <w:tcW w:w="865" w:type="pct"/>
          </w:tcPr>
          <w:p w14:paraId="30B9D613" w14:textId="71B31285" w:rsidR="00794922" w:rsidRPr="00537098" w:rsidRDefault="0098738E" w:rsidP="00794922">
            <w:pPr>
              <w:pStyle w:val="TableTextLeft"/>
            </w:pPr>
            <w:r>
              <w:t>2021-08-17</w:t>
            </w:r>
          </w:p>
        </w:tc>
        <w:tc>
          <w:tcPr>
            <w:tcW w:w="1113" w:type="pct"/>
          </w:tcPr>
          <w:p w14:paraId="645670BD" w14:textId="1BB78DD6" w:rsidR="00794922" w:rsidRPr="00537098" w:rsidRDefault="004E1222" w:rsidP="00D57046">
            <w:pPr>
              <w:pStyle w:val="TableTextLeft"/>
            </w:pPr>
            <w:r>
              <w:t>TBS</w:t>
            </w:r>
            <w:r w:rsidR="003802B4">
              <w:t xml:space="preserve"> OCIO</w:t>
            </w:r>
            <w:r w:rsidR="0098738E">
              <w:t>/SSC CPM</w:t>
            </w:r>
            <w:r w:rsidR="00E3198E">
              <w:t>S</w:t>
            </w:r>
          </w:p>
        </w:tc>
      </w:tr>
      <w:tr w:rsidR="00794922" w:rsidRPr="00537098" w14:paraId="7D114ABF" w14:textId="77777777" w:rsidTr="00DA2796">
        <w:tc>
          <w:tcPr>
            <w:tcW w:w="506" w:type="pct"/>
          </w:tcPr>
          <w:p w14:paraId="159CC208" w14:textId="77777777" w:rsidR="00794922" w:rsidRPr="00537098" w:rsidRDefault="00794922" w:rsidP="00794922">
            <w:pPr>
              <w:pStyle w:val="TableTextCenter"/>
            </w:pPr>
          </w:p>
        </w:tc>
        <w:tc>
          <w:tcPr>
            <w:tcW w:w="2516" w:type="pct"/>
          </w:tcPr>
          <w:p w14:paraId="39CC5F55" w14:textId="77777777" w:rsidR="00794922" w:rsidRPr="00537098" w:rsidRDefault="00794922" w:rsidP="00794922">
            <w:pPr>
              <w:pStyle w:val="TableTextLeft"/>
            </w:pPr>
          </w:p>
        </w:tc>
        <w:tc>
          <w:tcPr>
            <w:tcW w:w="865" w:type="pct"/>
          </w:tcPr>
          <w:p w14:paraId="70722315" w14:textId="77777777" w:rsidR="00794922" w:rsidRPr="00537098" w:rsidRDefault="00794922" w:rsidP="00794922">
            <w:pPr>
              <w:pStyle w:val="TableTextLeft"/>
            </w:pPr>
          </w:p>
        </w:tc>
        <w:tc>
          <w:tcPr>
            <w:tcW w:w="1113" w:type="pct"/>
          </w:tcPr>
          <w:p w14:paraId="65B8C959" w14:textId="77777777" w:rsidR="00794922" w:rsidRPr="00537098" w:rsidRDefault="00794922" w:rsidP="00794922">
            <w:pPr>
              <w:pStyle w:val="TableTextLeft"/>
            </w:pPr>
          </w:p>
        </w:tc>
      </w:tr>
    </w:tbl>
    <w:p w14:paraId="58AF35B3" w14:textId="69C6DBF8" w:rsidR="007371CE" w:rsidRPr="00F53A4E" w:rsidRDefault="00794922" w:rsidP="0097245F">
      <w:pPr>
        <w:pStyle w:val="BodyText"/>
        <w:rPr>
          <w:b/>
        </w:rPr>
      </w:pPr>
      <w:r w:rsidRPr="00D72F02">
        <w:br w:type="page"/>
      </w:r>
      <w:r w:rsidR="0097245F" w:rsidRPr="00F53A4E">
        <w:rPr>
          <w:b/>
        </w:rPr>
        <w:lastRenderedPageBreak/>
        <w:t xml:space="preserve"> </w:t>
      </w:r>
    </w:p>
    <w:p w14:paraId="54ABF881" w14:textId="77777777" w:rsidR="001D6922" w:rsidRDefault="001D6922" w:rsidP="007371CE">
      <w:pPr>
        <w:pStyle w:val="HeadingLeft"/>
        <w:spacing w:before="0"/>
        <w:jc w:val="right"/>
        <w:rPr>
          <w:lang w:val="en-US"/>
        </w:rPr>
      </w:pPr>
    </w:p>
    <w:p w14:paraId="64695CF4" w14:textId="0CF1A5D1" w:rsidR="00A911B8" w:rsidRDefault="00A911B8" w:rsidP="001D6922">
      <w:pPr>
        <w:rPr>
          <w:lang w:val="en-US"/>
        </w:rPr>
      </w:pPr>
    </w:p>
    <w:p w14:paraId="391FF2A7" w14:textId="77777777" w:rsidR="00794922" w:rsidRPr="003F62FC" w:rsidRDefault="00794922" w:rsidP="00E867A3">
      <w:pPr>
        <w:pStyle w:val="HeadingLeft"/>
        <w:jc w:val="center"/>
      </w:pPr>
      <w:r w:rsidRPr="00577D2B">
        <w:t>Table of Contents</w:t>
      </w:r>
    </w:p>
    <w:p w14:paraId="35FB6EFA" w14:textId="28AD178F" w:rsidR="003711D0"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80103402" w:history="1">
        <w:r w:rsidR="003711D0" w:rsidRPr="004E7A14">
          <w:rPr>
            <w:rStyle w:val="Hyperlink"/>
          </w:rPr>
          <w:t>1</w:t>
        </w:r>
        <w:r w:rsidR="003711D0">
          <w:rPr>
            <w:rFonts w:asciiTheme="minorHAnsi" w:eastAsiaTheme="minorEastAsia" w:hAnsiTheme="minorHAnsi" w:cstheme="minorBidi"/>
            <w:b w:val="0"/>
            <w:bCs w:val="0"/>
            <w:caps w:val="0"/>
            <w:sz w:val="22"/>
            <w:szCs w:val="22"/>
            <w:lang w:eastAsia="en-CA" w:bidi="ar-SA"/>
          </w:rPr>
          <w:tab/>
        </w:r>
        <w:r w:rsidR="003711D0" w:rsidRPr="004E7A14">
          <w:rPr>
            <w:rStyle w:val="Hyperlink"/>
          </w:rPr>
          <w:t>Purpose</w:t>
        </w:r>
        <w:r w:rsidR="003711D0">
          <w:rPr>
            <w:webHidden/>
          </w:rPr>
          <w:tab/>
        </w:r>
        <w:r w:rsidR="003711D0">
          <w:rPr>
            <w:webHidden/>
          </w:rPr>
          <w:fldChar w:fldCharType="begin"/>
        </w:r>
        <w:r w:rsidR="003711D0">
          <w:rPr>
            <w:webHidden/>
          </w:rPr>
          <w:instrText xml:space="preserve"> PAGEREF _Toc80103402 \h </w:instrText>
        </w:r>
        <w:r w:rsidR="003711D0">
          <w:rPr>
            <w:webHidden/>
          </w:rPr>
        </w:r>
        <w:r w:rsidR="003711D0">
          <w:rPr>
            <w:webHidden/>
          </w:rPr>
          <w:fldChar w:fldCharType="separate"/>
        </w:r>
        <w:r w:rsidR="003711D0">
          <w:rPr>
            <w:webHidden/>
          </w:rPr>
          <w:t>1</w:t>
        </w:r>
        <w:r w:rsidR="003711D0">
          <w:rPr>
            <w:webHidden/>
          </w:rPr>
          <w:fldChar w:fldCharType="end"/>
        </w:r>
      </w:hyperlink>
    </w:p>
    <w:p w14:paraId="09DD4BD5" w14:textId="6EF22B9E"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03" w:history="1">
        <w:r w:rsidRPr="004E7A14">
          <w:rPr>
            <w:rStyle w:val="Hyperlink"/>
          </w:rPr>
          <w:t>1.1</w:t>
        </w:r>
        <w:r>
          <w:rPr>
            <w:rFonts w:asciiTheme="minorHAnsi" w:eastAsiaTheme="minorEastAsia" w:hAnsiTheme="minorHAnsi" w:cstheme="minorBidi"/>
            <w:smallCaps w:val="0"/>
            <w:sz w:val="22"/>
            <w:szCs w:val="22"/>
            <w:lang w:eastAsia="en-CA" w:bidi="ar-SA"/>
          </w:rPr>
          <w:tab/>
        </w:r>
        <w:r w:rsidRPr="004E7A14">
          <w:rPr>
            <w:rStyle w:val="Hyperlink"/>
          </w:rPr>
          <w:t xml:space="preserve">What </w:t>
        </w:r>
        <w:r w:rsidRPr="004E7A14">
          <w:rPr>
            <w:rStyle w:val="Hyperlink"/>
            <w:lang w:val="en-US"/>
          </w:rPr>
          <w:t>A</w:t>
        </w:r>
        <w:r w:rsidRPr="004E7A14">
          <w:rPr>
            <w:rStyle w:val="Hyperlink"/>
          </w:rPr>
          <w:t>re Discovery and Migration Services?</w:t>
        </w:r>
        <w:r>
          <w:rPr>
            <w:webHidden/>
          </w:rPr>
          <w:tab/>
        </w:r>
        <w:r>
          <w:rPr>
            <w:webHidden/>
          </w:rPr>
          <w:fldChar w:fldCharType="begin"/>
        </w:r>
        <w:r>
          <w:rPr>
            <w:webHidden/>
          </w:rPr>
          <w:instrText xml:space="preserve"> PAGEREF _Toc80103403 \h </w:instrText>
        </w:r>
        <w:r>
          <w:rPr>
            <w:webHidden/>
          </w:rPr>
        </w:r>
        <w:r>
          <w:rPr>
            <w:webHidden/>
          </w:rPr>
          <w:fldChar w:fldCharType="separate"/>
        </w:r>
        <w:r>
          <w:rPr>
            <w:webHidden/>
          </w:rPr>
          <w:t>1</w:t>
        </w:r>
        <w:r>
          <w:rPr>
            <w:webHidden/>
          </w:rPr>
          <w:fldChar w:fldCharType="end"/>
        </w:r>
      </w:hyperlink>
    </w:p>
    <w:p w14:paraId="09B2EA26" w14:textId="4FED7ACC"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04" w:history="1">
        <w:r w:rsidRPr="004E7A14">
          <w:rPr>
            <w:rStyle w:val="Hyperlink"/>
          </w:rPr>
          <w:t>1.2</w:t>
        </w:r>
        <w:r>
          <w:rPr>
            <w:rFonts w:asciiTheme="minorHAnsi" w:eastAsiaTheme="minorEastAsia" w:hAnsiTheme="minorHAnsi" w:cstheme="minorBidi"/>
            <w:smallCaps w:val="0"/>
            <w:sz w:val="22"/>
            <w:szCs w:val="22"/>
            <w:lang w:eastAsia="en-CA" w:bidi="ar-SA"/>
          </w:rPr>
          <w:tab/>
        </w:r>
        <w:r w:rsidRPr="004E7A14">
          <w:rPr>
            <w:rStyle w:val="Hyperlink"/>
          </w:rPr>
          <w:t>High-Level Architecture</w:t>
        </w:r>
        <w:r>
          <w:rPr>
            <w:webHidden/>
          </w:rPr>
          <w:tab/>
        </w:r>
        <w:r>
          <w:rPr>
            <w:webHidden/>
          </w:rPr>
          <w:fldChar w:fldCharType="begin"/>
        </w:r>
        <w:r>
          <w:rPr>
            <w:webHidden/>
          </w:rPr>
          <w:instrText xml:space="preserve"> PAGEREF _Toc80103404 \h </w:instrText>
        </w:r>
        <w:r>
          <w:rPr>
            <w:webHidden/>
          </w:rPr>
        </w:r>
        <w:r>
          <w:rPr>
            <w:webHidden/>
          </w:rPr>
          <w:fldChar w:fldCharType="separate"/>
        </w:r>
        <w:r>
          <w:rPr>
            <w:webHidden/>
          </w:rPr>
          <w:t>2</w:t>
        </w:r>
        <w:r>
          <w:rPr>
            <w:webHidden/>
          </w:rPr>
          <w:fldChar w:fldCharType="end"/>
        </w:r>
      </w:hyperlink>
    </w:p>
    <w:p w14:paraId="2FCD5706" w14:textId="3C4727D3" w:rsidR="003711D0" w:rsidRDefault="003711D0">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80103405" w:history="1">
        <w:r w:rsidRPr="004E7A14">
          <w:rPr>
            <w:rStyle w:val="Hyperlink"/>
          </w:rPr>
          <w:t>2</w:t>
        </w:r>
        <w:r>
          <w:rPr>
            <w:rFonts w:asciiTheme="minorHAnsi" w:eastAsiaTheme="minorEastAsia" w:hAnsiTheme="minorHAnsi" w:cstheme="minorBidi"/>
            <w:b w:val="0"/>
            <w:bCs w:val="0"/>
            <w:caps w:val="0"/>
            <w:sz w:val="22"/>
            <w:szCs w:val="22"/>
            <w:lang w:eastAsia="en-CA" w:bidi="ar-SA"/>
          </w:rPr>
          <w:tab/>
        </w:r>
        <w:r w:rsidRPr="004E7A14">
          <w:rPr>
            <w:rStyle w:val="Hyperlink"/>
            <w:lang w:val="en-US"/>
          </w:rPr>
          <w:t xml:space="preserve">Application Discovery Readiness </w:t>
        </w:r>
        <w:r w:rsidRPr="004E7A14">
          <w:rPr>
            <w:rStyle w:val="Hyperlink"/>
          </w:rPr>
          <w:t>Process Overview</w:t>
        </w:r>
        <w:r>
          <w:rPr>
            <w:webHidden/>
          </w:rPr>
          <w:tab/>
        </w:r>
        <w:r>
          <w:rPr>
            <w:webHidden/>
          </w:rPr>
          <w:fldChar w:fldCharType="begin"/>
        </w:r>
        <w:r>
          <w:rPr>
            <w:webHidden/>
          </w:rPr>
          <w:instrText xml:space="preserve"> PAGEREF _Toc80103405 \h </w:instrText>
        </w:r>
        <w:r>
          <w:rPr>
            <w:webHidden/>
          </w:rPr>
        </w:r>
        <w:r>
          <w:rPr>
            <w:webHidden/>
          </w:rPr>
          <w:fldChar w:fldCharType="separate"/>
        </w:r>
        <w:r>
          <w:rPr>
            <w:webHidden/>
          </w:rPr>
          <w:t>3</w:t>
        </w:r>
        <w:r>
          <w:rPr>
            <w:webHidden/>
          </w:rPr>
          <w:fldChar w:fldCharType="end"/>
        </w:r>
      </w:hyperlink>
    </w:p>
    <w:p w14:paraId="739042E4" w14:textId="0B96522F"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06" w:history="1">
        <w:r w:rsidRPr="004E7A14">
          <w:rPr>
            <w:rStyle w:val="Hyperlink"/>
          </w:rPr>
          <w:t>2.1</w:t>
        </w:r>
        <w:r>
          <w:rPr>
            <w:rFonts w:asciiTheme="minorHAnsi" w:eastAsiaTheme="minorEastAsia" w:hAnsiTheme="minorHAnsi" w:cstheme="minorBidi"/>
            <w:smallCaps w:val="0"/>
            <w:sz w:val="22"/>
            <w:szCs w:val="22"/>
            <w:lang w:eastAsia="en-CA" w:bidi="ar-SA"/>
          </w:rPr>
          <w:tab/>
        </w:r>
        <w:r w:rsidRPr="004E7A14">
          <w:rPr>
            <w:rStyle w:val="Hyperlink"/>
          </w:rPr>
          <w:t>Obtain Cloud Account</w:t>
        </w:r>
        <w:r>
          <w:rPr>
            <w:webHidden/>
          </w:rPr>
          <w:tab/>
        </w:r>
        <w:r>
          <w:rPr>
            <w:webHidden/>
          </w:rPr>
          <w:fldChar w:fldCharType="begin"/>
        </w:r>
        <w:r>
          <w:rPr>
            <w:webHidden/>
          </w:rPr>
          <w:instrText xml:space="preserve"> PAGEREF _Toc80103406 \h </w:instrText>
        </w:r>
        <w:r>
          <w:rPr>
            <w:webHidden/>
          </w:rPr>
        </w:r>
        <w:r>
          <w:rPr>
            <w:webHidden/>
          </w:rPr>
          <w:fldChar w:fldCharType="separate"/>
        </w:r>
        <w:r>
          <w:rPr>
            <w:webHidden/>
          </w:rPr>
          <w:t>4</w:t>
        </w:r>
        <w:r>
          <w:rPr>
            <w:webHidden/>
          </w:rPr>
          <w:fldChar w:fldCharType="end"/>
        </w:r>
      </w:hyperlink>
    </w:p>
    <w:p w14:paraId="00630A23" w14:textId="567117B3"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07" w:history="1">
        <w:r w:rsidRPr="004E7A14">
          <w:rPr>
            <w:rStyle w:val="Hyperlink"/>
          </w:rPr>
          <w:t>2.2</w:t>
        </w:r>
        <w:r>
          <w:rPr>
            <w:rFonts w:asciiTheme="minorHAnsi" w:eastAsiaTheme="minorEastAsia" w:hAnsiTheme="minorHAnsi" w:cstheme="minorBidi"/>
            <w:smallCaps w:val="0"/>
            <w:sz w:val="22"/>
            <w:szCs w:val="22"/>
            <w:lang w:eastAsia="en-CA" w:bidi="ar-SA"/>
          </w:rPr>
          <w:tab/>
        </w:r>
        <w:r w:rsidRPr="004E7A14">
          <w:rPr>
            <w:rStyle w:val="Hyperlink"/>
          </w:rPr>
          <w:t>Apply Guardrails</w:t>
        </w:r>
        <w:r>
          <w:rPr>
            <w:webHidden/>
          </w:rPr>
          <w:tab/>
        </w:r>
        <w:r>
          <w:rPr>
            <w:webHidden/>
          </w:rPr>
          <w:fldChar w:fldCharType="begin"/>
        </w:r>
        <w:r>
          <w:rPr>
            <w:webHidden/>
          </w:rPr>
          <w:instrText xml:space="preserve"> PAGEREF _Toc80103407 \h </w:instrText>
        </w:r>
        <w:r>
          <w:rPr>
            <w:webHidden/>
          </w:rPr>
        </w:r>
        <w:r>
          <w:rPr>
            <w:webHidden/>
          </w:rPr>
          <w:fldChar w:fldCharType="separate"/>
        </w:r>
        <w:r>
          <w:rPr>
            <w:webHidden/>
          </w:rPr>
          <w:t>4</w:t>
        </w:r>
        <w:r>
          <w:rPr>
            <w:webHidden/>
          </w:rPr>
          <w:fldChar w:fldCharType="end"/>
        </w:r>
      </w:hyperlink>
    </w:p>
    <w:p w14:paraId="72888401" w14:textId="7081D09C"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08" w:history="1">
        <w:r w:rsidRPr="004E7A14">
          <w:rPr>
            <w:rStyle w:val="Hyperlink"/>
          </w:rPr>
          <w:t>2.3</w:t>
        </w:r>
        <w:r>
          <w:rPr>
            <w:rFonts w:asciiTheme="minorHAnsi" w:eastAsiaTheme="minorEastAsia" w:hAnsiTheme="minorHAnsi" w:cstheme="minorBidi"/>
            <w:smallCaps w:val="0"/>
            <w:sz w:val="22"/>
            <w:szCs w:val="22"/>
            <w:lang w:eastAsia="en-CA" w:bidi="ar-SA"/>
          </w:rPr>
          <w:tab/>
        </w:r>
        <w:r w:rsidRPr="004E7A14">
          <w:rPr>
            <w:rStyle w:val="Hyperlink"/>
          </w:rPr>
          <w:t xml:space="preserve">Obtain Cloud </w:t>
        </w:r>
        <w:r w:rsidRPr="004E7A14">
          <w:rPr>
            <w:rStyle w:val="Hyperlink"/>
            <w:lang w:val="en-US"/>
          </w:rPr>
          <w:t>Discovery Service</w:t>
        </w:r>
        <w:r w:rsidRPr="004E7A14">
          <w:rPr>
            <w:rStyle w:val="Hyperlink"/>
          </w:rPr>
          <w:t xml:space="preserve"> ATO</w:t>
        </w:r>
        <w:r>
          <w:rPr>
            <w:webHidden/>
          </w:rPr>
          <w:tab/>
        </w:r>
        <w:r>
          <w:rPr>
            <w:webHidden/>
          </w:rPr>
          <w:fldChar w:fldCharType="begin"/>
        </w:r>
        <w:r>
          <w:rPr>
            <w:webHidden/>
          </w:rPr>
          <w:instrText xml:space="preserve"> PAGEREF _Toc80103408 \h </w:instrText>
        </w:r>
        <w:r>
          <w:rPr>
            <w:webHidden/>
          </w:rPr>
        </w:r>
        <w:r>
          <w:rPr>
            <w:webHidden/>
          </w:rPr>
          <w:fldChar w:fldCharType="separate"/>
        </w:r>
        <w:r>
          <w:rPr>
            <w:webHidden/>
          </w:rPr>
          <w:t>5</w:t>
        </w:r>
        <w:r>
          <w:rPr>
            <w:webHidden/>
          </w:rPr>
          <w:fldChar w:fldCharType="end"/>
        </w:r>
      </w:hyperlink>
    </w:p>
    <w:p w14:paraId="7A3D0968" w14:textId="3F334BDE"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09" w:history="1">
        <w:r w:rsidRPr="004E7A14">
          <w:rPr>
            <w:rStyle w:val="Hyperlink"/>
          </w:rPr>
          <w:t>2.4</w:t>
        </w:r>
        <w:r>
          <w:rPr>
            <w:rFonts w:asciiTheme="minorHAnsi" w:eastAsiaTheme="minorEastAsia" w:hAnsiTheme="minorHAnsi" w:cstheme="minorBidi"/>
            <w:smallCaps w:val="0"/>
            <w:sz w:val="22"/>
            <w:szCs w:val="22"/>
            <w:lang w:eastAsia="en-CA" w:bidi="ar-SA"/>
          </w:rPr>
          <w:tab/>
        </w:r>
        <w:r w:rsidRPr="004E7A14">
          <w:rPr>
            <w:rStyle w:val="Hyperlink"/>
            <w:lang w:val="en-US"/>
          </w:rPr>
          <w:t>Discovery</w:t>
        </w:r>
        <w:r w:rsidRPr="004E7A14">
          <w:rPr>
            <w:rStyle w:val="Hyperlink"/>
          </w:rPr>
          <w:t xml:space="preserve"> Readiness</w:t>
        </w:r>
        <w:r>
          <w:rPr>
            <w:webHidden/>
          </w:rPr>
          <w:tab/>
        </w:r>
        <w:r>
          <w:rPr>
            <w:webHidden/>
          </w:rPr>
          <w:fldChar w:fldCharType="begin"/>
        </w:r>
        <w:r>
          <w:rPr>
            <w:webHidden/>
          </w:rPr>
          <w:instrText xml:space="preserve"> PAGEREF _Toc80103409 \h </w:instrText>
        </w:r>
        <w:r>
          <w:rPr>
            <w:webHidden/>
          </w:rPr>
        </w:r>
        <w:r>
          <w:rPr>
            <w:webHidden/>
          </w:rPr>
          <w:fldChar w:fldCharType="separate"/>
        </w:r>
        <w:r>
          <w:rPr>
            <w:webHidden/>
          </w:rPr>
          <w:t>5</w:t>
        </w:r>
        <w:r>
          <w:rPr>
            <w:webHidden/>
          </w:rPr>
          <w:fldChar w:fldCharType="end"/>
        </w:r>
      </w:hyperlink>
    </w:p>
    <w:p w14:paraId="129ECA5A" w14:textId="0F385671" w:rsidR="003711D0" w:rsidRDefault="003711D0">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80103410" w:history="1">
        <w:r w:rsidRPr="004E7A14">
          <w:rPr>
            <w:rStyle w:val="Hyperlink"/>
          </w:rPr>
          <w:t>2.4.1</w:t>
        </w:r>
        <w:r>
          <w:rPr>
            <w:rFonts w:asciiTheme="minorHAnsi" w:eastAsiaTheme="minorEastAsia" w:hAnsiTheme="minorHAnsi" w:cstheme="minorBidi"/>
            <w:i w:val="0"/>
            <w:iCs w:val="0"/>
            <w:sz w:val="22"/>
            <w:szCs w:val="22"/>
            <w:lang w:eastAsia="en-CA" w:bidi="ar-SA"/>
          </w:rPr>
          <w:tab/>
        </w:r>
        <w:r w:rsidRPr="004E7A14">
          <w:rPr>
            <w:rStyle w:val="Hyperlink"/>
            <w:lang w:val="en-US"/>
          </w:rPr>
          <w:t>Request COM Application Discovery Service</w:t>
        </w:r>
        <w:r>
          <w:rPr>
            <w:webHidden/>
          </w:rPr>
          <w:tab/>
        </w:r>
        <w:r>
          <w:rPr>
            <w:webHidden/>
          </w:rPr>
          <w:fldChar w:fldCharType="begin"/>
        </w:r>
        <w:r>
          <w:rPr>
            <w:webHidden/>
          </w:rPr>
          <w:instrText xml:space="preserve"> PAGEREF _Toc80103410 \h </w:instrText>
        </w:r>
        <w:r>
          <w:rPr>
            <w:webHidden/>
          </w:rPr>
        </w:r>
        <w:r>
          <w:rPr>
            <w:webHidden/>
          </w:rPr>
          <w:fldChar w:fldCharType="separate"/>
        </w:r>
        <w:r>
          <w:rPr>
            <w:webHidden/>
          </w:rPr>
          <w:t>5</w:t>
        </w:r>
        <w:r>
          <w:rPr>
            <w:webHidden/>
          </w:rPr>
          <w:fldChar w:fldCharType="end"/>
        </w:r>
      </w:hyperlink>
    </w:p>
    <w:p w14:paraId="70C5A400" w14:textId="50F3995B"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11" w:history="1">
        <w:r w:rsidRPr="004E7A14">
          <w:rPr>
            <w:rStyle w:val="Hyperlink"/>
          </w:rPr>
          <w:t>2.5</w:t>
        </w:r>
        <w:r>
          <w:rPr>
            <w:rFonts w:asciiTheme="minorHAnsi" w:eastAsiaTheme="minorEastAsia" w:hAnsiTheme="minorHAnsi" w:cstheme="minorBidi"/>
            <w:smallCaps w:val="0"/>
            <w:sz w:val="22"/>
            <w:szCs w:val="22"/>
            <w:lang w:eastAsia="en-CA" w:bidi="ar-SA"/>
          </w:rPr>
          <w:tab/>
        </w:r>
        <w:r w:rsidRPr="004E7A14">
          <w:rPr>
            <w:rStyle w:val="Hyperlink"/>
          </w:rPr>
          <w:t>Deploy Cloud</w:t>
        </w:r>
        <w:r w:rsidRPr="004E7A14">
          <w:rPr>
            <w:rStyle w:val="Hyperlink"/>
            <w:lang w:val="en-US"/>
          </w:rPr>
          <w:t xml:space="preserve"> Discovery</w:t>
        </w:r>
        <w:r w:rsidRPr="004E7A14">
          <w:rPr>
            <w:rStyle w:val="Hyperlink"/>
          </w:rPr>
          <w:t xml:space="preserve"> S</w:t>
        </w:r>
        <w:r w:rsidRPr="004E7A14">
          <w:rPr>
            <w:rStyle w:val="Hyperlink"/>
            <w:lang w:val="en-US"/>
          </w:rPr>
          <w:t>ervice</w:t>
        </w:r>
        <w:r>
          <w:rPr>
            <w:webHidden/>
          </w:rPr>
          <w:tab/>
        </w:r>
        <w:r>
          <w:rPr>
            <w:webHidden/>
          </w:rPr>
          <w:fldChar w:fldCharType="begin"/>
        </w:r>
        <w:r>
          <w:rPr>
            <w:webHidden/>
          </w:rPr>
          <w:instrText xml:space="preserve"> PAGEREF _Toc80103411 \h </w:instrText>
        </w:r>
        <w:r>
          <w:rPr>
            <w:webHidden/>
          </w:rPr>
        </w:r>
        <w:r>
          <w:rPr>
            <w:webHidden/>
          </w:rPr>
          <w:fldChar w:fldCharType="separate"/>
        </w:r>
        <w:r>
          <w:rPr>
            <w:webHidden/>
          </w:rPr>
          <w:t>5</w:t>
        </w:r>
        <w:r>
          <w:rPr>
            <w:webHidden/>
          </w:rPr>
          <w:fldChar w:fldCharType="end"/>
        </w:r>
      </w:hyperlink>
    </w:p>
    <w:p w14:paraId="693194E0" w14:textId="3796F864" w:rsidR="003711D0" w:rsidRDefault="003711D0">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80103412" w:history="1">
        <w:r w:rsidRPr="004E7A14">
          <w:rPr>
            <w:rStyle w:val="Hyperlink"/>
          </w:rPr>
          <w:t>2.5.1</w:t>
        </w:r>
        <w:r>
          <w:rPr>
            <w:rFonts w:asciiTheme="minorHAnsi" w:eastAsiaTheme="minorEastAsia" w:hAnsiTheme="minorHAnsi" w:cstheme="minorBidi"/>
            <w:i w:val="0"/>
            <w:iCs w:val="0"/>
            <w:sz w:val="22"/>
            <w:szCs w:val="22"/>
            <w:lang w:eastAsia="en-CA" w:bidi="ar-SA"/>
          </w:rPr>
          <w:tab/>
        </w:r>
        <w:r w:rsidRPr="004E7A14">
          <w:rPr>
            <w:rStyle w:val="Hyperlink"/>
          </w:rPr>
          <w:t>Provision Discovery Service</w:t>
        </w:r>
        <w:r>
          <w:rPr>
            <w:webHidden/>
          </w:rPr>
          <w:tab/>
        </w:r>
        <w:r>
          <w:rPr>
            <w:webHidden/>
          </w:rPr>
          <w:fldChar w:fldCharType="begin"/>
        </w:r>
        <w:r>
          <w:rPr>
            <w:webHidden/>
          </w:rPr>
          <w:instrText xml:space="preserve"> PAGEREF _Toc80103412 \h </w:instrText>
        </w:r>
        <w:r>
          <w:rPr>
            <w:webHidden/>
          </w:rPr>
        </w:r>
        <w:r>
          <w:rPr>
            <w:webHidden/>
          </w:rPr>
          <w:fldChar w:fldCharType="separate"/>
        </w:r>
        <w:r>
          <w:rPr>
            <w:webHidden/>
          </w:rPr>
          <w:t>5</w:t>
        </w:r>
        <w:r>
          <w:rPr>
            <w:webHidden/>
          </w:rPr>
          <w:fldChar w:fldCharType="end"/>
        </w:r>
      </w:hyperlink>
    </w:p>
    <w:p w14:paraId="2E293F66" w14:textId="4D7D2CB7" w:rsidR="003711D0" w:rsidRDefault="003711D0">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80103413" w:history="1">
        <w:r w:rsidRPr="004E7A14">
          <w:rPr>
            <w:rStyle w:val="Hyperlink"/>
          </w:rPr>
          <w:t>2.5.2</w:t>
        </w:r>
        <w:r>
          <w:rPr>
            <w:rFonts w:asciiTheme="minorHAnsi" w:eastAsiaTheme="minorEastAsia" w:hAnsiTheme="minorHAnsi" w:cstheme="minorBidi"/>
            <w:i w:val="0"/>
            <w:iCs w:val="0"/>
            <w:sz w:val="22"/>
            <w:szCs w:val="22"/>
            <w:lang w:eastAsia="en-CA" w:bidi="ar-SA"/>
          </w:rPr>
          <w:tab/>
        </w:r>
        <w:r w:rsidRPr="004E7A14">
          <w:rPr>
            <w:rStyle w:val="Hyperlink"/>
          </w:rPr>
          <w:t>Configure API Endpoints</w:t>
        </w:r>
        <w:r>
          <w:rPr>
            <w:webHidden/>
          </w:rPr>
          <w:tab/>
        </w:r>
        <w:r>
          <w:rPr>
            <w:webHidden/>
          </w:rPr>
          <w:fldChar w:fldCharType="begin"/>
        </w:r>
        <w:r>
          <w:rPr>
            <w:webHidden/>
          </w:rPr>
          <w:instrText xml:space="preserve"> PAGEREF _Toc80103413 \h </w:instrText>
        </w:r>
        <w:r>
          <w:rPr>
            <w:webHidden/>
          </w:rPr>
        </w:r>
        <w:r>
          <w:rPr>
            <w:webHidden/>
          </w:rPr>
          <w:fldChar w:fldCharType="separate"/>
        </w:r>
        <w:r>
          <w:rPr>
            <w:webHidden/>
          </w:rPr>
          <w:t>6</w:t>
        </w:r>
        <w:r>
          <w:rPr>
            <w:webHidden/>
          </w:rPr>
          <w:fldChar w:fldCharType="end"/>
        </w:r>
      </w:hyperlink>
    </w:p>
    <w:p w14:paraId="7F7206B7" w14:textId="68CABF68"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14" w:history="1">
        <w:r w:rsidRPr="004E7A14">
          <w:rPr>
            <w:rStyle w:val="Hyperlink"/>
          </w:rPr>
          <w:t>2.6</w:t>
        </w:r>
        <w:r>
          <w:rPr>
            <w:rFonts w:asciiTheme="minorHAnsi" w:eastAsiaTheme="minorEastAsia" w:hAnsiTheme="minorHAnsi" w:cstheme="minorBidi"/>
            <w:smallCaps w:val="0"/>
            <w:sz w:val="22"/>
            <w:szCs w:val="22"/>
            <w:lang w:eastAsia="en-CA" w:bidi="ar-SA"/>
          </w:rPr>
          <w:tab/>
        </w:r>
        <w:r w:rsidRPr="004E7A14">
          <w:rPr>
            <w:rStyle w:val="Hyperlink"/>
            <w:lang w:val="en-US"/>
          </w:rPr>
          <w:t>Run Discovery and Analysis</w:t>
        </w:r>
        <w:r>
          <w:rPr>
            <w:webHidden/>
          </w:rPr>
          <w:tab/>
        </w:r>
        <w:r>
          <w:rPr>
            <w:webHidden/>
          </w:rPr>
          <w:fldChar w:fldCharType="begin"/>
        </w:r>
        <w:r>
          <w:rPr>
            <w:webHidden/>
          </w:rPr>
          <w:instrText xml:space="preserve"> PAGEREF _Toc80103414 \h </w:instrText>
        </w:r>
        <w:r>
          <w:rPr>
            <w:webHidden/>
          </w:rPr>
        </w:r>
        <w:r>
          <w:rPr>
            <w:webHidden/>
          </w:rPr>
          <w:fldChar w:fldCharType="separate"/>
        </w:r>
        <w:r>
          <w:rPr>
            <w:webHidden/>
          </w:rPr>
          <w:t>6</w:t>
        </w:r>
        <w:r>
          <w:rPr>
            <w:webHidden/>
          </w:rPr>
          <w:fldChar w:fldCharType="end"/>
        </w:r>
      </w:hyperlink>
    </w:p>
    <w:p w14:paraId="54789271" w14:textId="20719EB3" w:rsidR="003711D0" w:rsidRDefault="003711D0">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80103415" w:history="1">
        <w:r w:rsidRPr="004E7A14">
          <w:rPr>
            <w:rStyle w:val="Hyperlink"/>
          </w:rPr>
          <w:t>3</w:t>
        </w:r>
        <w:r>
          <w:rPr>
            <w:rFonts w:asciiTheme="minorHAnsi" w:eastAsiaTheme="minorEastAsia" w:hAnsiTheme="minorHAnsi" w:cstheme="minorBidi"/>
            <w:b w:val="0"/>
            <w:bCs w:val="0"/>
            <w:caps w:val="0"/>
            <w:sz w:val="22"/>
            <w:szCs w:val="22"/>
            <w:lang w:eastAsia="en-CA" w:bidi="ar-SA"/>
          </w:rPr>
          <w:tab/>
        </w:r>
        <w:r w:rsidRPr="004E7A14">
          <w:rPr>
            <w:rStyle w:val="Hyperlink"/>
          </w:rPr>
          <w:t xml:space="preserve">Application </w:t>
        </w:r>
        <w:r w:rsidRPr="004E7A14">
          <w:rPr>
            <w:rStyle w:val="Hyperlink"/>
            <w:lang w:val="en-US"/>
          </w:rPr>
          <w:t>Migration</w:t>
        </w:r>
        <w:r w:rsidRPr="004E7A14">
          <w:rPr>
            <w:rStyle w:val="Hyperlink"/>
          </w:rPr>
          <w:t xml:space="preserve"> Readiness Process Overview</w:t>
        </w:r>
        <w:r>
          <w:rPr>
            <w:webHidden/>
          </w:rPr>
          <w:tab/>
        </w:r>
        <w:r>
          <w:rPr>
            <w:webHidden/>
          </w:rPr>
          <w:fldChar w:fldCharType="begin"/>
        </w:r>
        <w:r>
          <w:rPr>
            <w:webHidden/>
          </w:rPr>
          <w:instrText xml:space="preserve"> PAGEREF _Toc80103415 \h </w:instrText>
        </w:r>
        <w:r>
          <w:rPr>
            <w:webHidden/>
          </w:rPr>
        </w:r>
        <w:r>
          <w:rPr>
            <w:webHidden/>
          </w:rPr>
          <w:fldChar w:fldCharType="separate"/>
        </w:r>
        <w:r>
          <w:rPr>
            <w:webHidden/>
          </w:rPr>
          <w:t>6</w:t>
        </w:r>
        <w:r>
          <w:rPr>
            <w:webHidden/>
          </w:rPr>
          <w:fldChar w:fldCharType="end"/>
        </w:r>
      </w:hyperlink>
    </w:p>
    <w:p w14:paraId="3096CB8C" w14:textId="3993D6D7"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16" w:history="1">
        <w:r w:rsidRPr="004E7A14">
          <w:rPr>
            <w:rStyle w:val="Hyperlink"/>
          </w:rPr>
          <w:t>3.1</w:t>
        </w:r>
        <w:r>
          <w:rPr>
            <w:rFonts w:asciiTheme="minorHAnsi" w:eastAsiaTheme="minorEastAsia" w:hAnsiTheme="minorHAnsi" w:cstheme="minorBidi"/>
            <w:smallCaps w:val="0"/>
            <w:sz w:val="22"/>
            <w:szCs w:val="22"/>
            <w:lang w:eastAsia="en-CA" w:bidi="ar-SA"/>
          </w:rPr>
          <w:tab/>
        </w:r>
        <w:r w:rsidRPr="004E7A14">
          <w:rPr>
            <w:rStyle w:val="Hyperlink"/>
          </w:rPr>
          <w:t xml:space="preserve">Obtain Cloud </w:t>
        </w:r>
        <w:r w:rsidRPr="004E7A14">
          <w:rPr>
            <w:rStyle w:val="Hyperlink"/>
            <w:lang w:val="en-US"/>
          </w:rPr>
          <w:t>Platform</w:t>
        </w:r>
        <w:r w:rsidRPr="004E7A14">
          <w:rPr>
            <w:rStyle w:val="Hyperlink"/>
          </w:rPr>
          <w:t xml:space="preserve"> ATO</w:t>
        </w:r>
        <w:r>
          <w:rPr>
            <w:webHidden/>
          </w:rPr>
          <w:tab/>
        </w:r>
        <w:r>
          <w:rPr>
            <w:webHidden/>
          </w:rPr>
          <w:fldChar w:fldCharType="begin"/>
        </w:r>
        <w:r>
          <w:rPr>
            <w:webHidden/>
          </w:rPr>
          <w:instrText xml:space="preserve"> PAGEREF _Toc80103416 \h </w:instrText>
        </w:r>
        <w:r>
          <w:rPr>
            <w:webHidden/>
          </w:rPr>
        </w:r>
        <w:r>
          <w:rPr>
            <w:webHidden/>
          </w:rPr>
          <w:fldChar w:fldCharType="separate"/>
        </w:r>
        <w:r>
          <w:rPr>
            <w:webHidden/>
          </w:rPr>
          <w:t>7</w:t>
        </w:r>
        <w:r>
          <w:rPr>
            <w:webHidden/>
          </w:rPr>
          <w:fldChar w:fldCharType="end"/>
        </w:r>
      </w:hyperlink>
    </w:p>
    <w:p w14:paraId="240B932D" w14:textId="2599B1A6"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17" w:history="1">
        <w:r w:rsidRPr="004E7A14">
          <w:rPr>
            <w:rStyle w:val="Hyperlink"/>
          </w:rPr>
          <w:t>3.2</w:t>
        </w:r>
        <w:r>
          <w:rPr>
            <w:rFonts w:asciiTheme="minorHAnsi" w:eastAsiaTheme="minorEastAsia" w:hAnsiTheme="minorHAnsi" w:cstheme="minorBidi"/>
            <w:smallCaps w:val="0"/>
            <w:sz w:val="22"/>
            <w:szCs w:val="22"/>
            <w:lang w:eastAsia="en-CA" w:bidi="ar-SA"/>
          </w:rPr>
          <w:tab/>
        </w:r>
        <w:r w:rsidRPr="004E7A14">
          <w:rPr>
            <w:rStyle w:val="Hyperlink"/>
            <w:lang w:val="en-US"/>
          </w:rPr>
          <w:t>Migration</w:t>
        </w:r>
        <w:r w:rsidRPr="004E7A14">
          <w:rPr>
            <w:rStyle w:val="Hyperlink"/>
          </w:rPr>
          <w:t xml:space="preserve"> Readiness</w:t>
        </w:r>
        <w:r>
          <w:rPr>
            <w:webHidden/>
          </w:rPr>
          <w:tab/>
        </w:r>
        <w:r>
          <w:rPr>
            <w:webHidden/>
          </w:rPr>
          <w:fldChar w:fldCharType="begin"/>
        </w:r>
        <w:r>
          <w:rPr>
            <w:webHidden/>
          </w:rPr>
          <w:instrText xml:space="preserve"> PAGEREF _Toc80103417 \h </w:instrText>
        </w:r>
        <w:r>
          <w:rPr>
            <w:webHidden/>
          </w:rPr>
        </w:r>
        <w:r>
          <w:rPr>
            <w:webHidden/>
          </w:rPr>
          <w:fldChar w:fldCharType="separate"/>
        </w:r>
        <w:r>
          <w:rPr>
            <w:webHidden/>
          </w:rPr>
          <w:t>8</w:t>
        </w:r>
        <w:r>
          <w:rPr>
            <w:webHidden/>
          </w:rPr>
          <w:fldChar w:fldCharType="end"/>
        </w:r>
      </w:hyperlink>
    </w:p>
    <w:p w14:paraId="6B19EC9A" w14:textId="192FA378" w:rsidR="003711D0" w:rsidRDefault="003711D0">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80103418" w:history="1">
        <w:r w:rsidRPr="004E7A14">
          <w:rPr>
            <w:rStyle w:val="Hyperlink"/>
          </w:rPr>
          <w:t>3.2.1</w:t>
        </w:r>
        <w:r>
          <w:rPr>
            <w:rFonts w:asciiTheme="minorHAnsi" w:eastAsiaTheme="minorEastAsia" w:hAnsiTheme="minorHAnsi" w:cstheme="minorBidi"/>
            <w:i w:val="0"/>
            <w:iCs w:val="0"/>
            <w:sz w:val="22"/>
            <w:szCs w:val="22"/>
            <w:lang w:eastAsia="en-CA" w:bidi="ar-SA"/>
          </w:rPr>
          <w:tab/>
        </w:r>
        <w:r w:rsidRPr="004E7A14">
          <w:rPr>
            <w:rStyle w:val="Hyperlink"/>
            <w:lang w:val="en-US"/>
          </w:rPr>
          <w:t>Formal WLM Engagement</w:t>
        </w:r>
        <w:r>
          <w:rPr>
            <w:webHidden/>
          </w:rPr>
          <w:tab/>
        </w:r>
        <w:r>
          <w:rPr>
            <w:webHidden/>
          </w:rPr>
          <w:fldChar w:fldCharType="begin"/>
        </w:r>
        <w:r>
          <w:rPr>
            <w:webHidden/>
          </w:rPr>
          <w:instrText xml:space="preserve"> PAGEREF _Toc80103418 \h </w:instrText>
        </w:r>
        <w:r>
          <w:rPr>
            <w:webHidden/>
          </w:rPr>
        </w:r>
        <w:r>
          <w:rPr>
            <w:webHidden/>
          </w:rPr>
          <w:fldChar w:fldCharType="separate"/>
        </w:r>
        <w:r>
          <w:rPr>
            <w:webHidden/>
          </w:rPr>
          <w:t>8</w:t>
        </w:r>
        <w:r>
          <w:rPr>
            <w:webHidden/>
          </w:rPr>
          <w:fldChar w:fldCharType="end"/>
        </w:r>
      </w:hyperlink>
    </w:p>
    <w:p w14:paraId="5C96C62E" w14:textId="169A3545" w:rsidR="003711D0" w:rsidRDefault="003711D0">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80103419" w:history="1">
        <w:r w:rsidRPr="004E7A14">
          <w:rPr>
            <w:rStyle w:val="Hyperlink"/>
            <w:lang w:val="en-US"/>
          </w:rPr>
          <w:t>3.2.2</w:t>
        </w:r>
        <w:r>
          <w:rPr>
            <w:rFonts w:asciiTheme="minorHAnsi" w:eastAsiaTheme="minorEastAsia" w:hAnsiTheme="minorHAnsi" w:cstheme="minorBidi"/>
            <w:i w:val="0"/>
            <w:iCs w:val="0"/>
            <w:sz w:val="22"/>
            <w:szCs w:val="22"/>
            <w:lang w:eastAsia="en-CA" w:bidi="ar-SA"/>
          </w:rPr>
          <w:tab/>
        </w:r>
        <w:r w:rsidRPr="004E7A14">
          <w:rPr>
            <w:rStyle w:val="Hyperlink"/>
            <w:lang w:val="en-US"/>
          </w:rPr>
          <w:t>Request COM Cloud Migration Service Request</w:t>
        </w:r>
        <w:r>
          <w:rPr>
            <w:webHidden/>
          </w:rPr>
          <w:tab/>
        </w:r>
        <w:r>
          <w:rPr>
            <w:webHidden/>
          </w:rPr>
          <w:fldChar w:fldCharType="begin"/>
        </w:r>
        <w:r>
          <w:rPr>
            <w:webHidden/>
          </w:rPr>
          <w:instrText xml:space="preserve"> PAGEREF _Toc80103419 \h </w:instrText>
        </w:r>
        <w:r>
          <w:rPr>
            <w:webHidden/>
          </w:rPr>
        </w:r>
        <w:r>
          <w:rPr>
            <w:webHidden/>
          </w:rPr>
          <w:fldChar w:fldCharType="separate"/>
        </w:r>
        <w:r>
          <w:rPr>
            <w:webHidden/>
          </w:rPr>
          <w:t>8</w:t>
        </w:r>
        <w:r>
          <w:rPr>
            <w:webHidden/>
          </w:rPr>
          <w:fldChar w:fldCharType="end"/>
        </w:r>
      </w:hyperlink>
    </w:p>
    <w:p w14:paraId="1F3DC4D4" w14:textId="4790E73F"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20" w:history="1">
        <w:r w:rsidRPr="004E7A14">
          <w:rPr>
            <w:rStyle w:val="Hyperlink"/>
          </w:rPr>
          <w:t>3.3</w:t>
        </w:r>
        <w:r>
          <w:rPr>
            <w:rFonts w:asciiTheme="minorHAnsi" w:eastAsiaTheme="minorEastAsia" w:hAnsiTheme="minorHAnsi" w:cstheme="minorBidi"/>
            <w:smallCaps w:val="0"/>
            <w:sz w:val="22"/>
            <w:szCs w:val="22"/>
            <w:lang w:eastAsia="en-CA" w:bidi="ar-SA"/>
          </w:rPr>
          <w:tab/>
        </w:r>
        <w:r w:rsidRPr="004E7A14">
          <w:rPr>
            <w:rStyle w:val="Hyperlink"/>
          </w:rPr>
          <w:t xml:space="preserve">Deploy Cloud </w:t>
        </w:r>
        <w:r w:rsidRPr="004E7A14">
          <w:rPr>
            <w:rStyle w:val="Hyperlink"/>
            <w:lang w:val="en-US"/>
          </w:rPr>
          <w:t>Migration Service</w:t>
        </w:r>
        <w:r>
          <w:rPr>
            <w:webHidden/>
          </w:rPr>
          <w:tab/>
        </w:r>
        <w:r>
          <w:rPr>
            <w:webHidden/>
          </w:rPr>
          <w:fldChar w:fldCharType="begin"/>
        </w:r>
        <w:r>
          <w:rPr>
            <w:webHidden/>
          </w:rPr>
          <w:instrText xml:space="preserve"> PAGEREF _Toc80103420 \h </w:instrText>
        </w:r>
        <w:r>
          <w:rPr>
            <w:webHidden/>
          </w:rPr>
        </w:r>
        <w:r>
          <w:rPr>
            <w:webHidden/>
          </w:rPr>
          <w:fldChar w:fldCharType="separate"/>
        </w:r>
        <w:r>
          <w:rPr>
            <w:webHidden/>
          </w:rPr>
          <w:t>8</w:t>
        </w:r>
        <w:r>
          <w:rPr>
            <w:webHidden/>
          </w:rPr>
          <w:fldChar w:fldCharType="end"/>
        </w:r>
      </w:hyperlink>
    </w:p>
    <w:p w14:paraId="1FB4C4FF" w14:textId="4DEC0A05" w:rsidR="003711D0" w:rsidRDefault="003711D0">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80103421" w:history="1">
        <w:r w:rsidRPr="004E7A14">
          <w:rPr>
            <w:rStyle w:val="Hyperlink"/>
          </w:rPr>
          <w:t>3.4</w:t>
        </w:r>
        <w:r>
          <w:rPr>
            <w:rFonts w:asciiTheme="minorHAnsi" w:eastAsiaTheme="minorEastAsia" w:hAnsiTheme="minorHAnsi" w:cstheme="minorBidi"/>
            <w:smallCaps w:val="0"/>
            <w:sz w:val="22"/>
            <w:szCs w:val="22"/>
            <w:lang w:eastAsia="en-CA" w:bidi="ar-SA"/>
          </w:rPr>
          <w:tab/>
        </w:r>
        <w:r w:rsidRPr="004E7A14">
          <w:rPr>
            <w:rStyle w:val="Hyperlink"/>
            <w:lang w:val="en-US"/>
          </w:rPr>
          <w:t>Execute Migrations</w:t>
        </w:r>
        <w:r>
          <w:rPr>
            <w:webHidden/>
          </w:rPr>
          <w:tab/>
        </w:r>
        <w:r>
          <w:rPr>
            <w:webHidden/>
          </w:rPr>
          <w:fldChar w:fldCharType="begin"/>
        </w:r>
        <w:r>
          <w:rPr>
            <w:webHidden/>
          </w:rPr>
          <w:instrText xml:space="preserve"> PAGEREF _Toc80103421 \h </w:instrText>
        </w:r>
        <w:r>
          <w:rPr>
            <w:webHidden/>
          </w:rPr>
        </w:r>
        <w:r>
          <w:rPr>
            <w:webHidden/>
          </w:rPr>
          <w:fldChar w:fldCharType="separate"/>
        </w:r>
        <w:r>
          <w:rPr>
            <w:webHidden/>
          </w:rPr>
          <w:t>8</w:t>
        </w:r>
        <w:r>
          <w:rPr>
            <w:webHidden/>
          </w:rPr>
          <w:fldChar w:fldCharType="end"/>
        </w:r>
      </w:hyperlink>
    </w:p>
    <w:p w14:paraId="74F62527" w14:textId="1F65B43A" w:rsidR="003711D0" w:rsidRDefault="003711D0">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80103422" w:history="1">
        <w:r w:rsidRPr="004E7A14">
          <w:rPr>
            <w:rStyle w:val="Hyperlink"/>
          </w:rPr>
          <w:t>Appendix A – Acronyms and Glossary</w:t>
        </w:r>
        <w:r>
          <w:rPr>
            <w:webHidden/>
          </w:rPr>
          <w:tab/>
        </w:r>
        <w:r>
          <w:rPr>
            <w:webHidden/>
          </w:rPr>
          <w:fldChar w:fldCharType="begin"/>
        </w:r>
        <w:r>
          <w:rPr>
            <w:webHidden/>
          </w:rPr>
          <w:instrText xml:space="preserve"> PAGEREF _Toc80103422 \h </w:instrText>
        </w:r>
        <w:r>
          <w:rPr>
            <w:webHidden/>
          </w:rPr>
        </w:r>
        <w:r>
          <w:rPr>
            <w:webHidden/>
          </w:rPr>
          <w:fldChar w:fldCharType="separate"/>
        </w:r>
        <w:r>
          <w:rPr>
            <w:webHidden/>
          </w:rPr>
          <w:t>9</w:t>
        </w:r>
        <w:r>
          <w:rPr>
            <w:webHidden/>
          </w:rPr>
          <w:fldChar w:fldCharType="end"/>
        </w:r>
      </w:hyperlink>
    </w:p>
    <w:p w14:paraId="21FC440D" w14:textId="36917182" w:rsidR="003711D0" w:rsidRDefault="003711D0">
      <w:pPr>
        <w:pStyle w:val="TOC2"/>
        <w:tabs>
          <w:tab w:val="right" w:leader="dot" w:pos="9350"/>
        </w:tabs>
        <w:rPr>
          <w:rFonts w:asciiTheme="minorHAnsi" w:eastAsiaTheme="minorEastAsia" w:hAnsiTheme="minorHAnsi" w:cstheme="minorBidi"/>
          <w:smallCaps w:val="0"/>
          <w:sz w:val="22"/>
          <w:szCs w:val="22"/>
          <w:lang w:eastAsia="en-CA" w:bidi="ar-SA"/>
        </w:rPr>
      </w:pPr>
      <w:hyperlink w:anchor="_Toc80103423" w:history="1">
        <w:r w:rsidRPr="004E7A14">
          <w:rPr>
            <w:rStyle w:val="Hyperlink"/>
          </w:rPr>
          <w:t>List of Acronyms</w:t>
        </w:r>
        <w:r>
          <w:rPr>
            <w:webHidden/>
          </w:rPr>
          <w:tab/>
        </w:r>
        <w:r>
          <w:rPr>
            <w:webHidden/>
          </w:rPr>
          <w:fldChar w:fldCharType="begin"/>
        </w:r>
        <w:r>
          <w:rPr>
            <w:webHidden/>
          </w:rPr>
          <w:instrText xml:space="preserve"> PAGEREF _Toc80103423 \h </w:instrText>
        </w:r>
        <w:r>
          <w:rPr>
            <w:webHidden/>
          </w:rPr>
        </w:r>
        <w:r>
          <w:rPr>
            <w:webHidden/>
          </w:rPr>
          <w:fldChar w:fldCharType="separate"/>
        </w:r>
        <w:r>
          <w:rPr>
            <w:webHidden/>
          </w:rPr>
          <w:t>10</w:t>
        </w:r>
        <w:r>
          <w:rPr>
            <w:webHidden/>
          </w:rPr>
          <w:fldChar w:fldCharType="end"/>
        </w:r>
      </w:hyperlink>
    </w:p>
    <w:p w14:paraId="06604E16" w14:textId="65CB7C5D"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3" w:name="_Toc80103402"/>
      <w:r w:rsidRPr="007E48CD">
        <w:lastRenderedPageBreak/>
        <w:t>Purpose</w:t>
      </w:r>
      <w:bookmarkEnd w:id="0"/>
      <w:bookmarkEnd w:id="1"/>
      <w:bookmarkEnd w:id="3"/>
    </w:p>
    <w:p w14:paraId="64E43C7C" w14:textId="77777777" w:rsidR="00DE576B" w:rsidRDefault="00987DEF" w:rsidP="00DE576B">
      <w:pPr>
        <w:pStyle w:val="BodyText"/>
        <w:rPr>
          <w:b/>
        </w:rPr>
      </w:pPr>
      <w:r w:rsidRPr="00987DEF">
        <w:t>Departments want better information on their current application portfolio, their architecture, and hosting costs before deciding what applications to migrate to public cloud services. Similarly, when departments have decided to proceed with migration, they seek automation to make the process as frictionless as possible.</w:t>
      </w:r>
    </w:p>
    <w:p w14:paraId="6C383839" w14:textId="2F90E66A" w:rsidR="00987DEF" w:rsidRPr="00987DEF" w:rsidRDefault="00987DEF" w:rsidP="00DE576B">
      <w:pPr>
        <w:pStyle w:val="BodyText"/>
      </w:pPr>
      <w:r w:rsidRPr="00987DEF">
        <w:t xml:space="preserve">Hyperscale I/PaaS providers typically provide include application discovery &amp; migration services as part of their service offerings. How each provider implements these services may differ, but the outcome is the same; provide data to inform migration decisions and automate migration activities. These services are hybrid IT services as they span both the public cloud and data centre services. </w:t>
      </w:r>
    </w:p>
    <w:p w14:paraId="3AE8FE1D" w14:textId="77777777" w:rsidR="00DE576B" w:rsidRDefault="00987DEF" w:rsidP="00DE576B">
      <w:pPr>
        <w:pStyle w:val="BodyText"/>
      </w:pPr>
      <w:r w:rsidRPr="00987DEF">
        <w:t>This guide is meant to describe the readiness activities departments must undertake before deploying cloud-based discovery and migration services. It is not meant to be a comprehensive application migration guide. Discovery and migration services are described in a generic way and is not provider specific. This guide represents one piece of a larger migration puzzle.</w:t>
      </w:r>
    </w:p>
    <w:p w14:paraId="41C36900" w14:textId="77777777" w:rsidR="00DE576B" w:rsidRDefault="00DE576B" w:rsidP="00DE576B">
      <w:pPr>
        <w:pStyle w:val="BodyText"/>
      </w:pPr>
    </w:p>
    <w:p w14:paraId="2BB4B3EF" w14:textId="4099E158" w:rsidR="00DE576B" w:rsidRPr="00DE576B" w:rsidRDefault="00DE576B" w:rsidP="00ED7743">
      <w:pPr>
        <w:pStyle w:val="Heading2"/>
      </w:pPr>
      <w:bookmarkStart w:id="4" w:name="_Toc80103403"/>
      <w:r>
        <w:t xml:space="preserve">What </w:t>
      </w:r>
      <w:r>
        <w:rPr>
          <w:lang w:val="en-US"/>
        </w:rPr>
        <w:t>A</w:t>
      </w:r>
      <w:r>
        <w:t>re Discovery and Migration Services?</w:t>
      </w:r>
      <w:bookmarkEnd w:id="4"/>
    </w:p>
    <w:p w14:paraId="4E67AF57" w14:textId="77777777" w:rsidR="00DE576B" w:rsidRDefault="00DE576B" w:rsidP="00DE576B">
      <w:pPr>
        <w:rPr>
          <w:lang w:val="en-US"/>
        </w:rPr>
      </w:pPr>
    </w:p>
    <w:p w14:paraId="7ABE7C6F" w14:textId="7C17BD1C" w:rsidR="00DE576B" w:rsidRDefault="00DE576B" w:rsidP="00DE576B">
      <w:pPr>
        <w:rPr>
          <w:lang w:val="en-US"/>
        </w:rPr>
      </w:pPr>
      <w:r>
        <w:rPr>
          <w:lang w:val="en-US"/>
        </w:rPr>
        <w:t>All major P/IaaS hyperscale cloud providers offer services for discovering your current application deployment. Data collected includes, but not limited to:</w:t>
      </w:r>
    </w:p>
    <w:p w14:paraId="78B8BABD" w14:textId="77777777" w:rsidR="00DE576B" w:rsidRDefault="00DE576B" w:rsidP="00DE576B">
      <w:pPr>
        <w:pStyle w:val="ListParagraph"/>
        <w:numPr>
          <w:ilvl w:val="0"/>
          <w:numId w:val="21"/>
        </w:numPr>
        <w:spacing w:after="160" w:line="259" w:lineRule="auto"/>
        <w:rPr>
          <w:lang w:val="en-US"/>
        </w:rPr>
      </w:pPr>
      <w:r>
        <w:rPr>
          <w:lang w:val="en-US"/>
        </w:rPr>
        <w:t xml:space="preserve">Technology </w:t>
      </w:r>
      <w:proofErr w:type="spellStart"/>
      <w:r>
        <w:rPr>
          <w:lang w:val="en-US"/>
        </w:rPr>
        <w:t>stacks</w:t>
      </w:r>
      <w:proofErr w:type="spellEnd"/>
      <w:r>
        <w:rPr>
          <w:lang w:val="en-US"/>
        </w:rPr>
        <w:t>; software, versions, libraries</w:t>
      </w:r>
    </w:p>
    <w:p w14:paraId="61E0CDC8" w14:textId="77777777" w:rsidR="00DE576B" w:rsidRDefault="00DE576B" w:rsidP="00DE576B">
      <w:pPr>
        <w:pStyle w:val="ListParagraph"/>
        <w:numPr>
          <w:ilvl w:val="0"/>
          <w:numId w:val="21"/>
        </w:numPr>
        <w:spacing w:after="160" w:line="259" w:lineRule="auto"/>
        <w:rPr>
          <w:lang w:val="en-US"/>
        </w:rPr>
      </w:pPr>
      <w:r>
        <w:rPr>
          <w:lang w:val="en-US"/>
        </w:rPr>
        <w:t>Resource usage; storage and compute</w:t>
      </w:r>
    </w:p>
    <w:p w14:paraId="08436BDE" w14:textId="77777777" w:rsidR="00DE576B" w:rsidRDefault="00DE576B" w:rsidP="00DE576B">
      <w:pPr>
        <w:pStyle w:val="ListParagraph"/>
        <w:numPr>
          <w:ilvl w:val="0"/>
          <w:numId w:val="21"/>
        </w:numPr>
        <w:spacing w:after="160" w:line="259" w:lineRule="auto"/>
        <w:rPr>
          <w:lang w:val="en-US"/>
        </w:rPr>
      </w:pPr>
      <w:proofErr w:type="gramStart"/>
      <w:r>
        <w:rPr>
          <w:lang w:val="en-US"/>
        </w:rPr>
        <w:t>Dependencies;</w:t>
      </w:r>
      <w:proofErr w:type="gramEnd"/>
      <w:r>
        <w:rPr>
          <w:lang w:val="en-US"/>
        </w:rPr>
        <w:t xml:space="preserve"> which applications communicate with other applications</w:t>
      </w:r>
    </w:p>
    <w:p w14:paraId="1D8DE0F1" w14:textId="77777777" w:rsidR="00DE576B" w:rsidRDefault="00DE576B" w:rsidP="00DE576B">
      <w:pPr>
        <w:rPr>
          <w:lang w:val="en-US"/>
        </w:rPr>
      </w:pPr>
      <w:r>
        <w:rPr>
          <w:lang w:val="en-US"/>
        </w:rPr>
        <w:t>The collected data can be used to provide:</w:t>
      </w:r>
    </w:p>
    <w:p w14:paraId="66FB475A" w14:textId="77777777" w:rsidR="00DE576B" w:rsidRDefault="00DE576B" w:rsidP="00DE576B">
      <w:pPr>
        <w:pStyle w:val="ListParagraph"/>
        <w:numPr>
          <w:ilvl w:val="0"/>
          <w:numId w:val="22"/>
        </w:numPr>
        <w:spacing w:after="160" w:line="259" w:lineRule="auto"/>
        <w:rPr>
          <w:lang w:val="en-US"/>
        </w:rPr>
      </w:pPr>
      <w:r>
        <w:rPr>
          <w:lang w:val="en-US"/>
        </w:rPr>
        <w:t>Cloud hosting cost estimate</w:t>
      </w:r>
    </w:p>
    <w:p w14:paraId="50ED44AD" w14:textId="77777777" w:rsidR="00DE576B" w:rsidRDefault="00DE576B" w:rsidP="00DE576B">
      <w:pPr>
        <w:pStyle w:val="ListParagraph"/>
        <w:numPr>
          <w:ilvl w:val="0"/>
          <w:numId w:val="22"/>
        </w:numPr>
        <w:spacing w:after="160" w:line="259" w:lineRule="auto"/>
        <w:rPr>
          <w:lang w:val="en-US"/>
        </w:rPr>
      </w:pPr>
      <w:r>
        <w:rPr>
          <w:lang w:val="en-US"/>
        </w:rPr>
        <w:t>Resource optimization recommendations</w:t>
      </w:r>
    </w:p>
    <w:p w14:paraId="397079CA" w14:textId="77777777" w:rsidR="00DE576B" w:rsidRDefault="00DE576B" w:rsidP="00DE576B">
      <w:pPr>
        <w:pStyle w:val="ListParagraph"/>
        <w:numPr>
          <w:ilvl w:val="0"/>
          <w:numId w:val="22"/>
        </w:numPr>
        <w:spacing w:after="160" w:line="259" w:lineRule="auto"/>
        <w:rPr>
          <w:lang w:val="en-US"/>
        </w:rPr>
      </w:pPr>
      <w:r>
        <w:rPr>
          <w:lang w:val="en-US"/>
        </w:rPr>
        <w:t>Application groupings</w:t>
      </w:r>
    </w:p>
    <w:p w14:paraId="2AFD052A" w14:textId="77777777" w:rsidR="00DE576B" w:rsidRDefault="00DE576B" w:rsidP="00DE576B">
      <w:pPr>
        <w:pStyle w:val="ListParagraph"/>
        <w:numPr>
          <w:ilvl w:val="0"/>
          <w:numId w:val="22"/>
        </w:numPr>
        <w:spacing w:after="160" w:line="259" w:lineRule="auto"/>
        <w:rPr>
          <w:lang w:val="en-US"/>
        </w:rPr>
      </w:pPr>
      <w:r>
        <w:rPr>
          <w:lang w:val="en-US"/>
        </w:rPr>
        <w:t>Security recommendations</w:t>
      </w:r>
    </w:p>
    <w:p w14:paraId="47BBDA60" w14:textId="77777777" w:rsidR="00DE576B" w:rsidRDefault="00DE576B" w:rsidP="00DE576B">
      <w:pPr>
        <w:rPr>
          <w:lang w:val="en-US"/>
        </w:rPr>
      </w:pPr>
    </w:p>
    <w:p w14:paraId="0CB55E9C" w14:textId="065D97DC" w:rsidR="00DE576B" w:rsidRDefault="00DE576B" w:rsidP="00DE576B">
      <w:pPr>
        <w:jc w:val="center"/>
        <w:rPr>
          <w:lang w:val="en-US"/>
        </w:rPr>
      </w:pPr>
    </w:p>
    <w:p w14:paraId="24FB2FF6" w14:textId="77777777" w:rsidR="00DE576B" w:rsidRDefault="00DE576B" w:rsidP="00DE576B">
      <w:pPr>
        <w:rPr>
          <w:lang w:val="en-US"/>
        </w:rPr>
      </w:pPr>
      <w:r>
        <w:rPr>
          <w:lang w:val="en-US"/>
        </w:rPr>
        <w:t>The discovery services collect and analyze data about your current application portfolio. Migration services are used when an organization is ready to migrate applications to the cloud. The decisions made during the discovery phase help inform migration decisions such as:</w:t>
      </w:r>
    </w:p>
    <w:p w14:paraId="536BA710" w14:textId="77777777" w:rsidR="00DE576B" w:rsidRDefault="00DE576B" w:rsidP="00DE576B">
      <w:pPr>
        <w:pStyle w:val="ListParagraph"/>
        <w:numPr>
          <w:ilvl w:val="0"/>
          <w:numId w:val="23"/>
        </w:numPr>
        <w:spacing w:after="160" w:line="259" w:lineRule="auto"/>
        <w:rPr>
          <w:lang w:val="en-US"/>
        </w:rPr>
      </w:pPr>
      <w:r>
        <w:rPr>
          <w:lang w:val="en-US"/>
        </w:rPr>
        <w:t>What portion of the application portfolio will migrate to cloud, which will not?</w:t>
      </w:r>
    </w:p>
    <w:p w14:paraId="63F50194" w14:textId="77777777" w:rsidR="00DE576B" w:rsidRDefault="00DE576B" w:rsidP="00DE576B">
      <w:pPr>
        <w:pStyle w:val="ListParagraph"/>
        <w:numPr>
          <w:ilvl w:val="0"/>
          <w:numId w:val="23"/>
        </w:numPr>
        <w:spacing w:after="160" w:line="259" w:lineRule="auto"/>
        <w:rPr>
          <w:lang w:val="en-US"/>
        </w:rPr>
      </w:pPr>
      <w:r>
        <w:rPr>
          <w:lang w:val="en-US"/>
        </w:rPr>
        <w:t>Level of resource optimization required</w:t>
      </w:r>
    </w:p>
    <w:p w14:paraId="494A72C4" w14:textId="77777777" w:rsidR="00DE576B" w:rsidRDefault="00DE576B" w:rsidP="00DE576B">
      <w:pPr>
        <w:pStyle w:val="ListParagraph"/>
        <w:numPr>
          <w:ilvl w:val="0"/>
          <w:numId w:val="23"/>
        </w:numPr>
        <w:spacing w:after="160" w:line="259" w:lineRule="auto"/>
        <w:rPr>
          <w:lang w:val="en-US"/>
        </w:rPr>
      </w:pPr>
      <w:r>
        <w:rPr>
          <w:lang w:val="en-US"/>
        </w:rPr>
        <w:t xml:space="preserve">Technology </w:t>
      </w:r>
      <w:proofErr w:type="spellStart"/>
      <w:r>
        <w:rPr>
          <w:lang w:val="en-US"/>
        </w:rPr>
        <w:t>stacks</w:t>
      </w:r>
      <w:proofErr w:type="spellEnd"/>
      <w:r>
        <w:rPr>
          <w:lang w:val="en-US"/>
        </w:rPr>
        <w:t xml:space="preserve"> that may be difficult to migrate or require refactoring</w:t>
      </w:r>
    </w:p>
    <w:p w14:paraId="4821A78A" w14:textId="77777777" w:rsidR="00DE576B" w:rsidRDefault="00DE576B" w:rsidP="00DE576B">
      <w:pPr>
        <w:pStyle w:val="ListParagraph"/>
        <w:numPr>
          <w:ilvl w:val="0"/>
          <w:numId w:val="23"/>
        </w:numPr>
        <w:spacing w:after="160" w:line="259" w:lineRule="auto"/>
        <w:rPr>
          <w:lang w:val="en-US"/>
        </w:rPr>
      </w:pPr>
      <w:r>
        <w:rPr>
          <w:lang w:val="en-US"/>
        </w:rPr>
        <w:t>Migration groups comprised of applications grouped with a dimension of affinity</w:t>
      </w:r>
    </w:p>
    <w:p w14:paraId="4E2526E8" w14:textId="77777777" w:rsidR="00DE576B" w:rsidRDefault="00DE576B" w:rsidP="00DE576B">
      <w:pPr>
        <w:pStyle w:val="ListParagraph"/>
        <w:numPr>
          <w:ilvl w:val="0"/>
          <w:numId w:val="23"/>
        </w:numPr>
        <w:spacing w:after="160" w:line="259" w:lineRule="auto"/>
        <w:rPr>
          <w:lang w:val="en-US"/>
        </w:rPr>
      </w:pPr>
      <w:r>
        <w:rPr>
          <w:lang w:val="en-US"/>
        </w:rPr>
        <w:t>Security attributes and mapping network architecture to a cloud landing zone</w:t>
      </w:r>
    </w:p>
    <w:p w14:paraId="025280F4" w14:textId="77777777" w:rsidR="00DE576B" w:rsidRDefault="00DE576B" w:rsidP="00DE576B">
      <w:pPr>
        <w:rPr>
          <w:lang w:val="en-US"/>
        </w:rPr>
      </w:pPr>
      <w:r>
        <w:rPr>
          <w:lang w:val="en-US"/>
        </w:rPr>
        <w:lastRenderedPageBreak/>
        <w:t>Migration services, again, rely of the deployment of the same/similar soft appliance with access to VMWare APIs. The migration service, typically, allows migration groups to be created and will execute on those migration groups.</w:t>
      </w:r>
    </w:p>
    <w:p w14:paraId="3229CEFB" w14:textId="77777777" w:rsidR="00DE576B" w:rsidRDefault="00DE576B" w:rsidP="00DE576B">
      <w:pPr>
        <w:rPr>
          <w:lang w:val="en-US"/>
        </w:rPr>
      </w:pPr>
    </w:p>
    <w:p w14:paraId="34AD5972" w14:textId="77777777" w:rsidR="00102E8C" w:rsidRDefault="00DE576B" w:rsidP="00102E8C">
      <w:pPr>
        <w:keepNext/>
      </w:pPr>
      <w:r w:rsidRPr="00C32409">
        <w:rPr>
          <w:lang w:val="en-US"/>
        </w:rPr>
        <w:drawing>
          <wp:inline distT="0" distB="0" distL="0" distR="0" wp14:anchorId="7E0A17A6" wp14:editId="643A331D">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08F651D3" w14:textId="098FEB7F" w:rsidR="00DE576B" w:rsidRDefault="007B5B8B" w:rsidP="00102E8C">
      <w:pPr>
        <w:pStyle w:val="Caption"/>
        <w:jc w:val="left"/>
        <w:rPr>
          <w:lang w:val="en-US"/>
        </w:rPr>
      </w:pPr>
      <w:r>
        <w:t>Discover and Migration Service Lifecycle</w:t>
      </w:r>
    </w:p>
    <w:p w14:paraId="6CADBF93" w14:textId="77777777" w:rsidR="00DE576B" w:rsidRDefault="00DE576B" w:rsidP="00DE576B">
      <w:pPr>
        <w:rPr>
          <w:lang w:val="en-US"/>
        </w:rPr>
      </w:pPr>
    </w:p>
    <w:p w14:paraId="609B65E2" w14:textId="77777777" w:rsidR="00DE576B" w:rsidRDefault="00DE576B" w:rsidP="00DE576B">
      <w:pPr>
        <w:rPr>
          <w:lang w:val="en-US"/>
        </w:rPr>
      </w:pPr>
      <w:r>
        <w:rPr>
          <w:lang w:val="en-US"/>
        </w:rPr>
        <w:t xml:space="preserve">From a high-level view, discovery services can be used to inform the business case &amp; application portfolio strategy. IF the decision is made to proceed with a migration of applications </w:t>
      </w:r>
      <w:proofErr w:type="spellStart"/>
      <w:r>
        <w:rPr>
          <w:lang w:val="en-US"/>
        </w:rPr>
        <w:t>ot</w:t>
      </w:r>
      <w:proofErr w:type="spellEnd"/>
      <w:r>
        <w:rPr>
          <w:lang w:val="en-US"/>
        </w:rPr>
        <w:t xml:space="preserve"> the cloud and the organization does not already have foundational elements such as a landing zone deployed or connectivity to the cloud exchange point (CXP), the department will proceed with those foundational pieces. </w:t>
      </w:r>
    </w:p>
    <w:p w14:paraId="44A07621" w14:textId="77777777" w:rsidR="00DE576B" w:rsidRDefault="00DE576B" w:rsidP="00DE576B">
      <w:pPr>
        <w:rPr>
          <w:lang w:val="en-US"/>
        </w:rPr>
      </w:pPr>
      <w:r>
        <w:rPr>
          <w:lang w:val="en-US"/>
        </w:rPr>
        <w:t>Once the department has formally started a workload migration project with SSC, they can proceed with application migration services.</w:t>
      </w:r>
    </w:p>
    <w:p w14:paraId="5AE0A076" w14:textId="0AFA0ABA" w:rsidR="00DE576B" w:rsidRDefault="00DE576B" w:rsidP="00DE576B">
      <w:pPr>
        <w:rPr>
          <w:lang w:val="en-US"/>
        </w:rPr>
      </w:pPr>
      <w:r>
        <w:rPr>
          <w:lang w:val="en-US"/>
        </w:rPr>
        <w:t>Finally, once workloads are migrated to the cloud, the department begins cloud operations and the process of continuous modernization of the application portfolio. The migration to cloud rarely provides adequate time to modernize the application portfolio. The migration to cloud should be viewed as the beginning of a continuously modernization, but the cloud provides more modernization options to departments.</w:t>
      </w:r>
    </w:p>
    <w:p w14:paraId="7678ABDA" w14:textId="7C024D1F" w:rsidR="00DE576B" w:rsidRDefault="00DE576B" w:rsidP="00DE576B">
      <w:pPr>
        <w:rPr>
          <w:lang w:val="en-US"/>
        </w:rPr>
      </w:pPr>
    </w:p>
    <w:p w14:paraId="7F558715" w14:textId="7FD32398" w:rsidR="00ED7743" w:rsidRDefault="00ED7743" w:rsidP="00ED7743">
      <w:pPr>
        <w:pStyle w:val="Heading2"/>
      </w:pPr>
      <w:bookmarkStart w:id="5" w:name="_Toc80103404"/>
      <w:r>
        <w:t>High-Level Architecture</w:t>
      </w:r>
      <w:bookmarkEnd w:id="5"/>
    </w:p>
    <w:p w14:paraId="62097BCD" w14:textId="27A9B4B1" w:rsidR="00ED7743" w:rsidRDefault="00ED7743" w:rsidP="00ED7743">
      <w:pPr>
        <w:pStyle w:val="BodyText"/>
        <w:rPr>
          <w:lang w:val="en-US"/>
        </w:rPr>
      </w:pPr>
      <w:r>
        <w:rPr>
          <w:lang w:val="en-US"/>
        </w:rPr>
        <w:t xml:space="preserve">While the exact implementation of cloud-based discovery service </w:t>
      </w:r>
      <w:r w:rsidR="00E81D35">
        <w:rPr>
          <w:lang w:val="en-US"/>
        </w:rPr>
        <w:t>differs</w:t>
      </w:r>
      <w:r>
        <w:rPr>
          <w:lang w:val="en-US"/>
        </w:rPr>
        <w:t xml:space="preserve"> from one provider to the next, generally, these are considered</w:t>
      </w:r>
      <w:r>
        <w:rPr>
          <w:lang w:val="en-US"/>
        </w:rPr>
        <w:t xml:space="preserve"> hybrid IT </w:t>
      </w:r>
      <w:r>
        <w:rPr>
          <w:lang w:val="en-US"/>
        </w:rPr>
        <w:t>because as</w:t>
      </w:r>
      <w:r>
        <w:rPr>
          <w:lang w:val="en-US"/>
        </w:rPr>
        <w:t xml:space="preserve"> virtual appliance is deployed in the data </w:t>
      </w:r>
      <w:proofErr w:type="spellStart"/>
      <w:r>
        <w:rPr>
          <w:lang w:val="en-US"/>
        </w:rPr>
        <w:t>centre</w:t>
      </w:r>
      <w:proofErr w:type="spellEnd"/>
      <w:r>
        <w:rPr>
          <w:lang w:val="en-US"/>
        </w:rPr>
        <w:t xml:space="preserve"> and </w:t>
      </w:r>
      <w:r>
        <w:rPr>
          <w:lang w:val="en-US"/>
        </w:rPr>
        <w:lastRenderedPageBreak/>
        <w:t>given access to VMWare APIs that collects data and sends that data to the cloud for processing and analysis.</w:t>
      </w:r>
      <w:r w:rsidR="000A02FA">
        <w:rPr>
          <w:lang w:val="en-US"/>
        </w:rPr>
        <w:t xml:space="preserve"> Because these services interact with VMWare, the scope of visibility is limited to virtualized workloads. </w:t>
      </w:r>
      <w:proofErr w:type="gramStart"/>
      <w:r w:rsidR="00157C0B">
        <w:rPr>
          <w:lang w:val="en-US"/>
        </w:rPr>
        <w:t>Other, non-virtualized workloads,</w:t>
      </w:r>
      <w:proofErr w:type="gramEnd"/>
      <w:r w:rsidR="00157C0B">
        <w:rPr>
          <w:lang w:val="en-US"/>
        </w:rPr>
        <w:t xml:space="preserve"> will require a different strategy.</w:t>
      </w:r>
    </w:p>
    <w:p w14:paraId="4CAEC1C6" w14:textId="77777777" w:rsidR="007B5B8B" w:rsidRDefault="00ED7743" w:rsidP="007B5B8B">
      <w:pPr>
        <w:pStyle w:val="BodyText"/>
        <w:keepNext/>
        <w:jc w:val="center"/>
      </w:pPr>
      <w:r w:rsidRPr="00C102FD">
        <w:rPr>
          <w:lang w:val="en-US"/>
        </w:rPr>
        <w:drawing>
          <wp:inline distT="0" distB="0" distL="0" distR="0" wp14:anchorId="1FEF9CCA" wp14:editId="465EB44B">
            <wp:extent cx="4371975" cy="18712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227" t="32763" r="11199" b="11254"/>
                    <a:stretch/>
                  </pic:blipFill>
                  <pic:spPr bwMode="auto">
                    <a:xfrm>
                      <a:off x="0" y="0"/>
                      <a:ext cx="4372944" cy="1871663"/>
                    </a:xfrm>
                    <a:prstGeom prst="rect">
                      <a:avLst/>
                    </a:prstGeom>
                    <a:ln>
                      <a:noFill/>
                    </a:ln>
                    <a:extLst>
                      <a:ext uri="{53640926-AAD7-44D8-BBD7-CCE9431645EC}">
                        <a14:shadowObscured xmlns:a14="http://schemas.microsoft.com/office/drawing/2010/main"/>
                      </a:ext>
                    </a:extLst>
                  </pic:spPr>
                </pic:pic>
              </a:graphicData>
            </a:graphic>
          </wp:inline>
        </w:drawing>
      </w:r>
    </w:p>
    <w:p w14:paraId="2ACD242A" w14:textId="4ECBDB4B" w:rsidR="00ED7743" w:rsidRDefault="007B5B8B" w:rsidP="007B5B8B">
      <w:pPr>
        <w:pStyle w:val="Caption"/>
        <w:rPr>
          <w:lang w:val="en-US"/>
        </w:rPr>
      </w:pPr>
      <w:r>
        <w:t>Generic Cloud-based Discovery Service Architecture</w:t>
      </w:r>
    </w:p>
    <w:p w14:paraId="50FF912C" w14:textId="3EE4C920" w:rsidR="00ED7743" w:rsidRPr="00ED7743" w:rsidRDefault="00ED7743" w:rsidP="00ED7743">
      <w:pPr>
        <w:pStyle w:val="BodyText"/>
      </w:pPr>
      <w:r>
        <w:rPr>
          <w:lang w:val="en-US"/>
        </w:rPr>
        <w:t xml:space="preserve">Typically, the discovery service itself and the data collected is stored within a department’s cloud tenant. Communication between the service and the virtual appliance is through secure API endpoints. Encrypted communication can be over the internet or using dedicated connectivity. For discovery, it is recommended the internet be used. For migration, </w:t>
      </w:r>
      <w:r w:rsidR="00A07E25">
        <w:rPr>
          <w:lang w:val="en-US"/>
        </w:rPr>
        <w:t>dedicated connectivity is recommended as to not saturate internet gateways.</w:t>
      </w:r>
    </w:p>
    <w:p w14:paraId="08E73A53" w14:textId="24136C56" w:rsidR="00987DEF" w:rsidRPr="00DE576B" w:rsidRDefault="00987DEF" w:rsidP="00987DEF">
      <w:pPr>
        <w:pStyle w:val="BodyText"/>
        <w:rPr>
          <w:lang w:val="en-US"/>
        </w:rPr>
      </w:pPr>
    </w:p>
    <w:p w14:paraId="7636A96E" w14:textId="4C6704E5" w:rsidR="005D75C6" w:rsidRDefault="00A07E25" w:rsidP="00564A4F">
      <w:pPr>
        <w:pStyle w:val="Heading1"/>
        <w:ind w:left="0"/>
      </w:pPr>
      <w:bookmarkStart w:id="6" w:name="_Toc80103405"/>
      <w:r>
        <w:rPr>
          <w:lang w:val="en-US"/>
        </w:rPr>
        <w:t xml:space="preserve">Application Discovery Readiness </w:t>
      </w:r>
      <w:r w:rsidR="005D75C6">
        <w:t>Process Overview</w:t>
      </w:r>
      <w:bookmarkEnd w:id="6"/>
    </w:p>
    <w:p w14:paraId="6B0E516E" w14:textId="1999B94B" w:rsidR="003412E4" w:rsidRDefault="003412E4" w:rsidP="00564A4F">
      <w:pPr>
        <w:rPr>
          <w:bCs/>
        </w:rPr>
      </w:pPr>
      <w:r w:rsidRPr="003412E4">
        <w:rPr>
          <w:bCs/>
        </w:rPr>
        <w:t xml:space="preserve">The deployment of a cloud discovery service requires the co-operation between SSC Cloud Operating Model and the department requesting the service. The deployment is further supported by the Canadian Centre for Cyber Security (CCCS) and Treasury Board of Canada Secretariat (TBS). Figure </w:t>
      </w:r>
      <w:r w:rsidR="007B5B8B">
        <w:rPr>
          <w:bCs/>
        </w:rPr>
        <w:t>3</w:t>
      </w:r>
      <w:r w:rsidRPr="003412E4">
        <w:rPr>
          <w:bCs/>
        </w:rPr>
        <w:t xml:space="preserve"> below provides a high-level overview of the activities leading to readiness to deploy the service. </w:t>
      </w:r>
    </w:p>
    <w:p w14:paraId="636CCB50" w14:textId="702B668E" w:rsidR="003412E4" w:rsidRDefault="003412E4" w:rsidP="00564A4F">
      <w:pPr>
        <w:rPr>
          <w:bCs/>
        </w:rPr>
      </w:pPr>
    </w:p>
    <w:p w14:paraId="62DA3D0A" w14:textId="69648BC3" w:rsidR="00A07E25" w:rsidRDefault="00A07E25" w:rsidP="00564A4F">
      <w:pPr>
        <w:rPr>
          <w:bCs/>
        </w:rPr>
      </w:pPr>
    </w:p>
    <w:p w14:paraId="51529D97" w14:textId="69749D51" w:rsidR="00A07E25" w:rsidRDefault="00A07E25" w:rsidP="00564A4F">
      <w:pPr>
        <w:rPr>
          <w:bCs/>
        </w:rPr>
      </w:pPr>
    </w:p>
    <w:p w14:paraId="39C4291B" w14:textId="3569D43D" w:rsidR="00A07E25" w:rsidRDefault="00A07E25" w:rsidP="00564A4F">
      <w:pPr>
        <w:rPr>
          <w:bCs/>
        </w:rPr>
      </w:pPr>
    </w:p>
    <w:p w14:paraId="3800036C" w14:textId="73902936" w:rsidR="00A07E25" w:rsidRDefault="00A07E25" w:rsidP="00564A4F">
      <w:pPr>
        <w:rPr>
          <w:bCs/>
        </w:rPr>
      </w:pPr>
    </w:p>
    <w:p w14:paraId="7C89FACB" w14:textId="54673974" w:rsidR="00A07E25" w:rsidRDefault="00A07E25" w:rsidP="00564A4F">
      <w:pPr>
        <w:rPr>
          <w:bCs/>
        </w:rPr>
      </w:pPr>
    </w:p>
    <w:p w14:paraId="1713ECC9" w14:textId="77777777" w:rsidR="00A07E25" w:rsidRDefault="00A07E25" w:rsidP="00564A4F">
      <w:pPr>
        <w:rPr>
          <w:bCs/>
        </w:rPr>
      </w:pPr>
    </w:p>
    <w:p w14:paraId="5C41BF14" w14:textId="77777777" w:rsidR="007B5B8B" w:rsidRDefault="00A07E25" w:rsidP="007B5B8B">
      <w:pPr>
        <w:keepNext/>
      </w:pPr>
      <w:r w:rsidRPr="00455207">
        <w:rPr>
          <w:lang w:bidi="ar-SA"/>
        </w:rPr>
        <w:lastRenderedPageBreak/>
        <w:drawing>
          <wp:inline distT="0" distB="0" distL="0" distR="0" wp14:anchorId="20039853" wp14:editId="7D737CC8">
            <wp:extent cx="5943600" cy="32867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286760"/>
                    </a:xfrm>
                    <a:prstGeom prst="rect">
                      <a:avLst/>
                    </a:prstGeom>
                    <a:noFill/>
                    <a:ln>
                      <a:noFill/>
                    </a:ln>
                  </pic:spPr>
                </pic:pic>
              </a:graphicData>
            </a:graphic>
          </wp:inline>
        </w:drawing>
      </w:r>
    </w:p>
    <w:p w14:paraId="614C4A57" w14:textId="496741C4" w:rsidR="007B5B8B" w:rsidRDefault="007B5B8B" w:rsidP="007B5B8B">
      <w:pPr>
        <w:pStyle w:val="Caption"/>
        <w:jc w:val="left"/>
      </w:pPr>
      <w:r>
        <w:t>Application Discovery Service Readiness - Summary of Responsibilities</w:t>
      </w:r>
    </w:p>
    <w:p w14:paraId="5AB66A1A" w14:textId="685500B2" w:rsidR="00564A4F" w:rsidRDefault="00564A4F" w:rsidP="00564A4F">
      <w:pPr>
        <w:pStyle w:val="BodyText"/>
        <w:rPr>
          <w:noProof/>
          <w:lang w:eastAsia="en-CA" w:bidi="ar-SA"/>
        </w:rPr>
      </w:pPr>
    </w:p>
    <w:p w14:paraId="34356994" w14:textId="002020EC" w:rsidR="00DE576B" w:rsidRDefault="00DE576B" w:rsidP="00564A4F">
      <w:pPr>
        <w:pStyle w:val="BodyText"/>
        <w:rPr>
          <w:bCs/>
          <w:lang w:val="en-CA"/>
        </w:rPr>
      </w:pPr>
    </w:p>
    <w:p w14:paraId="6B9B9C27" w14:textId="77777777" w:rsidR="00DE576B" w:rsidRPr="001A051A" w:rsidRDefault="00DE576B" w:rsidP="00564A4F">
      <w:pPr>
        <w:pStyle w:val="BodyText"/>
        <w:rPr>
          <w:lang w:val="en-CA"/>
        </w:rPr>
      </w:pPr>
    </w:p>
    <w:p w14:paraId="691932A5" w14:textId="77777777" w:rsidR="005D75C6" w:rsidRPr="005D75C6" w:rsidRDefault="005D75C6" w:rsidP="005D75C6">
      <w:pPr>
        <w:pStyle w:val="Heading2"/>
      </w:pPr>
      <w:bookmarkStart w:id="7" w:name="_Toc80103406"/>
      <w:r>
        <w:t>Obtain Cloud Account</w:t>
      </w:r>
      <w:bookmarkEnd w:id="7"/>
    </w:p>
    <w:p w14:paraId="06B8D397" w14:textId="359FBA6D" w:rsidR="005D75C6" w:rsidRDefault="005D75C6" w:rsidP="005D75C6">
      <w:r>
        <w:t>The department submits a request to obtain a cloud account for IaaS/PaaS clo</w:t>
      </w:r>
      <w:r w:rsidR="00AA77CA">
        <w:t>ud services with a GC-approved Cloud Service P</w:t>
      </w:r>
      <w:r>
        <w:t xml:space="preserve">rovider (CSP) via the </w:t>
      </w:r>
      <w:hyperlink r:id="rId16" w:history="1">
        <w:r w:rsidRPr="009C1500">
          <w:rPr>
            <w:rStyle w:val="Hyperlink"/>
          </w:rPr>
          <w:t>GC Cloud Broker</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44161261" w:rsidR="003802B8" w:rsidRPr="00725AEF" w:rsidRDefault="003802B8" w:rsidP="005D75C6">
      <w:r>
        <w:t xml:space="preserve">Departments can request a range of IP addresses to be assigned to them, as per SSC </w:t>
      </w:r>
      <w:hyperlink r:id="rId17" w:history="1">
        <w:r w:rsidRPr="00314417">
          <w:rPr>
            <w:rStyle w:val="Hyperlink"/>
          </w:rPr>
          <w:t>Cloud IPAM Strategy</w:t>
        </w:r>
      </w:hyperlink>
      <w:r>
        <w:t>.</w:t>
      </w:r>
      <w:r w:rsidR="001632B4">
        <w:t xml:space="preserve"> </w:t>
      </w:r>
      <w:r w:rsidR="001632B4" w:rsidRPr="001632B4">
        <w:t>It is critical that departments integrate the IP Addresses provided into their future designs as this will facilitate network routing between their cloud environment and GC networks.</w:t>
      </w:r>
    </w:p>
    <w:p w14:paraId="5B409516" w14:textId="77777777" w:rsidR="005D75C6" w:rsidRDefault="005D75C6" w:rsidP="005D75C6">
      <w:pPr>
        <w:pStyle w:val="Heading2"/>
      </w:pPr>
      <w:bookmarkStart w:id="8" w:name="_Toc80103407"/>
      <w:r w:rsidRPr="00725AEF">
        <w:t>Apply Guardrails</w:t>
      </w:r>
      <w:bookmarkEnd w:id="8"/>
    </w:p>
    <w:p w14:paraId="57A45B83" w14:textId="77777777" w:rsidR="005D75C6" w:rsidRPr="00F26436" w:rsidRDefault="005D75C6" w:rsidP="005D75C6">
      <w:r>
        <w:rPr>
          <w:bCs/>
        </w:rPr>
        <w:t>As per the Cloud</w:t>
      </w:r>
      <w:r w:rsidR="006F3924">
        <w:rPr>
          <w:bCs/>
        </w:rPr>
        <w:t xml:space="preserve"> PB</w:t>
      </w:r>
      <w:r>
        <w:rPr>
          <w:bCs/>
        </w:rPr>
        <w:t xml:space="preserve"> Operationalization Framework, depa</w:t>
      </w:r>
      <w:r w:rsidR="006F3924">
        <w:rPr>
          <w:bCs/>
        </w:rPr>
        <w:t>rtments and agencies who are in-</w:t>
      </w:r>
      <w:r>
        <w:rPr>
          <w:bCs/>
        </w:rPr>
        <w:t xml:space="preserve">scope of the </w:t>
      </w:r>
      <w:hyperlink r:id="rId18" w:history="1">
        <w:r w:rsidRPr="00426DC1">
          <w:rPr>
            <w:rStyle w:val="Hyperlink"/>
            <w:bCs/>
          </w:rPr>
          <w:t>Policy on Service and Digital</w:t>
        </w:r>
      </w:hyperlink>
      <w:r>
        <w:rPr>
          <w:bCs/>
        </w:rPr>
        <w:t xml:space="preserve">, must implement the enterprise-wide mandatory, minimum, </w:t>
      </w:r>
      <w:r w:rsidRPr="00725AEF">
        <w:t xml:space="preserve">initial 30-day </w:t>
      </w:r>
      <w:hyperlink r:id="rId19" w:history="1">
        <w:r w:rsidRPr="00E41EBF">
          <w:rPr>
            <w:rStyle w:val="Hyperlink"/>
          </w:rPr>
          <w:t>GC Cloud Guardrails</w:t>
        </w:r>
      </w:hyperlink>
      <w:r>
        <w:rPr>
          <w:bCs/>
        </w:rPr>
        <w:t xml:space="preserve">. </w:t>
      </w:r>
    </w:p>
    <w:p w14:paraId="5757875B" w14:textId="77777777" w:rsidR="00E41EBF" w:rsidRDefault="005D75C6" w:rsidP="005D75C6">
      <w:r>
        <w:t xml:space="preserve">The guardrails are a subset of the recommended baseline controls for cloud, in accordance with the </w:t>
      </w:r>
      <w:hyperlink r:id="rId20" w:history="1">
        <w:r w:rsidRPr="00B97662">
          <w:rPr>
            <w:rStyle w:val="Hyperlink"/>
          </w:rPr>
          <w:t>Direction on the Secure Use of Commercial Cloud Services: SPIN 2017-02</w:t>
        </w:r>
      </w:hyperlink>
      <w:r>
        <w:t xml:space="preserve"> and the </w:t>
      </w:r>
      <w:hyperlink r:id="rId21" w:history="1">
        <w:r w:rsidRPr="00B97662">
          <w:rPr>
            <w:rStyle w:val="Hyperlink"/>
          </w:rPr>
          <w:t>GC Security Control Profile for</w:t>
        </w:r>
        <w:r>
          <w:rPr>
            <w:rStyle w:val="Hyperlink"/>
          </w:rPr>
          <w:t xml:space="preserve"> Cloud-based GC Solutions for </w:t>
        </w:r>
        <w:r w:rsidRPr="00B97662">
          <w:rPr>
            <w:rStyle w:val="Hyperlink"/>
          </w:rPr>
          <w:t>Protected B, Medium Integrity, Medium Availability (PBMM)</w:t>
        </w:r>
      </w:hyperlink>
      <w:r>
        <w:t xml:space="preserve">. </w:t>
      </w:r>
    </w:p>
    <w:p w14:paraId="53F094EF" w14:textId="77777777" w:rsidR="005D75C6" w:rsidRDefault="005D75C6" w:rsidP="005D75C6">
      <w:r>
        <w:lastRenderedPageBreak/>
        <w:t xml:space="preserve">The guardrails should be applied based on </w:t>
      </w:r>
      <w:hyperlink r:id="rId22" w:history="1">
        <w:r w:rsidRPr="00A32377">
          <w:rPr>
            <w:rStyle w:val="Hyperlink"/>
          </w:rPr>
          <w:t>cloud usage profiles</w:t>
        </w:r>
      </w:hyperlink>
      <w:r>
        <w:t>. Where possible, GC approved templates</w:t>
      </w:r>
      <w:r w:rsidR="006F3924">
        <w:t xml:space="preserve"> (</w:t>
      </w:r>
      <w:proofErr w:type="gramStart"/>
      <w:r w:rsidR="006F3924">
        <w:t>i.e.</w:t>
      </w:r>
      <w:proofErr w:type="gramEnd"/>
      <w:r w:rsidR="006F3924">
        <w:t xml:space="preserve"> GC Accelerators) </w:t>
      </w:r>
      <w:r>
        <w:t>should be leveraged. Using the GC Accelerators will aid in deploying Infrastructure as Code</w:t>
      </w:r>
      <w:r w:rsidR="00A32377">
        <w:t xml:space="preserve"> (</w:t>
      </w:r>
      <w:proofErr w:type="spellStart"/>
      <w:r w:rsidR="00A32377">
        <w:t>IaC</w:t>
      </w:r>
      <w:proofErr w:type="spellEnd"/>
      <w:r w:rsidR="00A32377">
        <w:t>)</w:t>
      </w:r>
      <w:r>
        <w:t xml:space="preserve"> which incorporates required technical guardrails.</w:t>
      </w:r>
    </w:p>
    <w:p w14:paraId="6F732DAD" w14:textId="6060D6F3" w:rsidR="005D75C6" w:rsidRDefault="005D75C6" w:rsidP="005D75C6">
      <w:r>
        <w:t>Verification that the guardrails have been implemented is conducted by</w:t>
      </w:r>
      <w:r w:rsidRPr="00725AEF">
        <w:t xml:space="preserve"> SSC Cloud Operations</w:t>
      </w:r>
      <w:r>
        <w:t>. Tools to support automated compl</w:t>
      </w:r>
      <w:r w:rsidR="00A32377">
        <w:t xml:space="preserve">iance checks are available in the </w:t>
      </w:r>
      <w:proofErr w:type="spellStart"/>
      <w:r w:rsidR="00A32377">
        <w:t>git</w:t>
      </w:r>
      <w:r w:rsidR="00E41EBF">
        <w:t>hub</w:t>
      </w:r>
      <w:proofErr w:type="spellEnd"/>
      <w:r w:rsidR="00E41EBF">
        <w:t xml:space="preserve"> repositories</w:t>
      </w:r>
      <w:r w:rsidR="00A32377">
        <w:t xml:space="preserve"> referenced above.</w:t>
      </w:r>
    </w:p>
    <w:p w14:paraId="7E231D3D" w14:textId="21D245A1" w:rsidR="009216A8" w:rsidRDefault="009216A8" w:rsidP="005D75C6">
      <w:r w:rsidRPr="009216A8">
        <w:t>Specifically for Guardrail 8</w:t>
      </w:r>
      <w:r>
        <w:t>,</w:t>
      </w:r>
      <w:r w:rsidRPr="009216A8">
        <w:t xml:space="preserve"> </w:t>
      </w:r>
      <w:hyperlink r:id="rId23" w:history="1">
        <w:r w:rsidRPr="009216A8">
          <w:rPr>
            <w:rStyle w:val="Hyperlink"/>
            <w:i/>
            <w:iCs/>
          </w:rPr>
          <w:t>Segment and Separate</w:t>
        </w:r>
      </w:hyperlink>
      <w:r w:rsidRPr="009216A8">
        <w:t xml:space="preserve">, a firewall must be selected that has Virtual Private Network (VPN) capabilities including encryption algorithms compliant with the </w:t>
      </w:r>
      <w:hyperlink r:id="rId24" w:history="1">
        <w:r w:rsidRPr="009216A8">
          <w:rPr>
            <w:rStyle w:val="Hyperlink"/>
            <w:i/>
            <w:iCs/>
          </w:rPr>
          <w:t>GC Encryption Standards</w:t>
        </w:r>
      </w:hyperlink>
      <w:r w:rsidRPr="009216A8">
        <w:t>. Having a firewall or Unified Threat Management (UTM) device with this capability is a prerequisite for connectivity to the SSC Secure Cloud-to-Ground Service (GC TIP and GC CAP). Several offerings which satisfy this requirement can be found in the GC Cloud Marketplace.</w:t>
      </w:r>
    </w:p>
    <w:p w14:paraId="1AC5F2C1" w14:textId="44D242EF" w:rsidR="00170F33" w:rsidRPr="006F3924" w:rsidRDefault="00170F33" w:rsidP="005D75C6">
      <w:r w:rsidRPr="00170F33">
        <w:t>To satisfy this requirement, clients must first procure licences through existing GC contracting vehicles. Next, a “Bring your own licence (BYOL)” request must be sent to the GC Cloud Brokering Service for licence activation in the public cloud tenancy. Clients will be asked to provide information on the contracting vehicle they used to procure the licences. For more information on BYOL, please contact ssc.cloud-infonuagique.spc@canada.ca.</w:t>
      </w:r>
    </w:p>
    <w:p w14:paraId="30AC26BB" w14:textId="38D7270E" w:rsidR="005D75C6" w:rsidRPr="00EA5CC8" w:rsidRDefault="005D75C6" w:rsidP="005D75C6">
      <w:pPr>
        <w:pStyle w:val="Heading2"/>
      </w:pPr>
      <w:bookmarkStart w:id="9" w:name="_Toc80103408"/>
      <w:r w:rsidRPr="00EA5CC8">
        <w:t xml:space="preserve">Obtain Cloud </w:t>
      </w:r>
      <w:r w:rsidR="00B27702">
        <w:rPr>
          <w:lang w:val="en-US"/>
        </w:rPr>
        <w:t>Discovery Service</w:t>
      </w:r>
      <w:r w:rsidRPr="00EA5CC8">
        <w:t xml:space="preserve"> ATO</w:t>
      </w:r>
      <w:bookmarkEnd w:id="9"/>
    </w:p>
    <w:p w14:paraId="5756A887" w14:textId="77777777" w:rsidR="005D75C6" w:rsidRDefault="005D75C6" w:rsidP="005D75C6">
      <w:r>
        <w:t xml:space="preserve">Departments are expected to continue to apply </w:t>
      </w:r>
      <w:r w:rsidRPr="000717DF">
        <w:t xml:space="preserve">graduated safeguards that are commensurate with the risks to their information and IT assets, with more rigorous safeguards as asset values, service delivery requirements, and threats to confidentiality, </w:t>
      </w:r>
      <w:proofErr w:type="gramStart"/>
      <w:r w:rsidRPr="000717DF">
        <w:t>availability</w:t>
      </w:r>
      <w:proofErr w:type="gramEnd"/>
      <w:r w:rsidRPr="000717DF">
        <w:t xml:space="preserve"> or integrity increase</w:t>
      </w:r>
      <w:r>
        <w:t xml:space="preserve">. </w:t>
      </w:r>
    </w:p>
    <w:p w14:paraId="6E84C025" w14:textId="365E5D9D" w:rsidR="00866937" w:rsidRDefault="00003087" w:rsidP="005D75C6">
      <w:r>
        <w:t>T</w:t>
      </w:r>
      <w:r w:rsidR="005D75C6">
        <w:t>his assessment must be signed-off by the appropriate authorities within the organization</w:t>
      </w:r>
    </w:p>
    <w:p w14:paraId="08AC55C6" w14:textId="5D3A22D4" w:rsidR="005D75C6" w:rsidRDefault="00866937" w:rsidP="005D75C6">
      <w:r w:rsidRPr="00866937">
        <w:rPr>
          <w:highlight w:val="yellow"/>
        </w:rPr>
        <w:t xml:space="preserve">Template assessment material can be found here based upon the Statistics Canada </w:t>
      </w:r>
      <w:commentRangeStart w:id="10"/>
      <w:r w:rsidRPr="00866937">
        <w:rPr>
          <w:highlight w:val="yellow"/>
        </w:rPr>
        <w:t>security</w:t>
      </w:r>
      <w:commentRangeEnd w:id="10"/>
      <w:r w:rsidR="00ED7743">
        <w:rPr>
          <w:rStyle w:val="CommentReference"/>
          <w:lang w:val="x-none"/>
        </w:rPr>
        <w:commentReference w:id="10"/>
      </w:r>
      <w:r w:rsidRPr="00866937">
        <w:rPr>
          <w:highlight w:val="yellow"/>
        </w:rPr>
        <w:t xml:space="preserve"> assessment of Azure Migrate</w:t>
      </w:r>
      <w:r w:rsidR="005D75C6">
        <w:t xml:space="preserve">. </w:t>
      </w:r>
    </w:p>
    <w:p w14:paraId="1A571435" w14:textId="315F3271" w:rsidR="00003087" w:rsidRDefault="00003087" w:rsidP="005D75C6">
      <w:r>
        <w:t xml:space="preserve">The department is expected to assess the cloud discovery service and the controls/configuration the department puts in place to safeguard the data collected and analyzed by the discovery service. </w:t>
      </w:r>
    </w:p>
    <w:p w14:paraId="2C1ED72B" w14:textId="46F866B9" w:rsidR="004766E2" w:rsidRDefault="004766E2" w:rsidP="005D75C6">
      <w:r>
        <w:t>T</w:t>
      </w:r>
      <w:r w:rsidR="003C055E">
        <w:t xml:space="preserve">he </w:t>
      </w:r>
      <w:r w:rsidR="00997E95">
        <w:t xml:space="preserve">cloud-based </w:t>
      </w:r>
      <w:r w:rsidR="003C055E">
        <w:t xml:space="preserve">discovery service </w:t>
      </w:r>
      <w:r w:rsidR="00997E95">
        <w:t>should be assessed by CCCS. If not, the department will be required to accept that risk and deepen its security assessment activities.</w:t>
      </w:r>
    </w:p>
    <w:p w14:paraId="4CCD3EF8" w14:textId="4B533506" w:rsidR="005D75C6" w:rsidRDefault="00003087" w:rsidP="005D75C6">
      <w:pPr>
        <w:pStyle w:val="Heading2"/>
      </w:pPr>
      <w:bookmarkStart w:id="11" w:name="_Toc80103409"/>
      <w:r>
        <w:rPr>
          <w:lang w:val="en-US"/>
        </w:rPr>
        <w:t>Discovery</w:t>
      </w:r>
      <w:r w:rsidR="005D75C6" w:rsidRPr="00725AEF">
        <w:t xml:space="preserve"> Readiness</w:t>
      </w:r>
      <w:bookmarkEnd w:id="11"/>
    </w:p>
    <w:p w14:paraId="78F57CD1" w14:textId="3A7A42C7" w:rsidR="005D75C6" w:rsidRDefault="005D75C6" w:rsidP="005D75C6">
      <w:r>
        <w:t xml:space="preserve">This activity requires that the appropriate agreements are </w:t>
      </w:r>
      <w:proofErr w:type="gramStart"/>
      <w:r>
        <w:t>signed</w:t>
      </w:r>
      <w:proofErr w:type="gramEnd"/>
      <w:r>
        <w:t xml:space="preserve"> and </w:t>
      </w:r>
      <w:r w:rsidR="0032774E">
        <w:t>API endpoint</w:t>
      </w:r>
      <w:r>
        <w:t xml:space="preserve"> flow details are provided. </w:t>
      </w:r>
    </w:p>
    <w:p w14:paraId="7CC25E20" w14:textId="703E52C2" w:rsidR="007C59DB" w:rsidRDefault="005F7BBE" w:rsidP="007C59DB">
      <w:pPr>
        <w:pStyle w:val="Heading3"/>
      </w:pPr>
      <w:bookmarkStart w:id="12" w:name="_Toc80103410"/>
      <w:r>
        <w:rPr>
          <w:lang w:val="en-US"/>
        </w:rPr>
        <w:t>Request COM Application Discovery Service</w:t>
      </w:r>
      <w:bookmarkEnd w:id="12"/>
    </w:p>
    <w:p w14:paraId="30E0F030" w14:textId="43132F89" w:rsidR="0032774E" w:rsidRPr="005F7BBE" w:rsidRDefault="005F7BBE" w:rsidP="0032774E">
      <w:pPr>
        <w:pStyle w:val="BodyText"/>
        <w:rPr>
          <w:lang w:val="en-US"/>
        </w:rPr>
      </w:pPr>
      <w:r w:rsidRPr="005F7BBE">
        <w:rPr>
          <w:highlight w:val="yellow"/>
          <w:lang w:val="en-US"/>
        </w:rPr>
        <w:t xml:space="preserve">Go to the cloud brokering portal and enter </w:t>
      </w:r>
      <w:proofErr w:type="gramStart"/>
      <w:r w:rsidRPr="005F7BBE">
        <w:rPr>
          <w:highlight w:val="yellow"/>
          <w:lang w:val="en-US"/>
        </w:rPr>
        <w:t>a</w:t>
      </w:r>
      <w:proofErr w:type="gramEnd"/>
      <w:r w:rsidRPr="005F7BBE">
        <w:rPr>
          <w:highlight w:val="yellow"/>
          <w:lang w:val="en-US"/>
        </w:rPr>
        <w:t xml:space="preserve"> application discovery service </w:t>
      </w:r>
      <w:commentRangeStart w:id="13"/>
      <w:r w:rsidRPr="005F7BBE">
        <w:rPr>
          <w:highlight w:val="yellow"/>
          <w:lang w:val="en-US"/>
        </w:rPr>
        <w:t>request</w:t>
      </w:r>
      <w:commentRangeEnd w:id="13"/>
      <w:r>
        <w:rPr>
          <w:rStyle w:val="CommentReference"/>
        </w:rPr>
        <w:commentReference w:id="13"/>
      </w:r>
      <w:r w:rsidRPr="005F7BBE">
        <w:rPr>
          <w:highlight w:val="yellow"/>
          <w:lang w:val="en-US"/>
        </w:rPr>
        <w:t>???</w:t>
      </w:r>
    </w:p>
    <w:p w14:paraId="2DE91840" w14:textId="3834E489" w:rsidR="00491420" w:rsidRDefault="00491420" w:rsidP="00491420">
      <w:pPr>
        <w:pStyle w:val="Heading2"/>
      </w:pPr>
      <w:bookmarkStart w:id="14" w:name="_Toc80103411"/>
      <w:r>
        <w:t>Deploy Cloud</w:t>
      </w:r>
      <w:r w:rsidR="005F7BBE">
        <w:rPr>
          <w:lang w:val="en-US"/>
        </w:rPr>
        <w:t xml:space="preserve"> Discovery</w:t>
      </w:r>
      <w:r>
        <w:t xml:space="preserve"> S</w:t>
      </w:r>
      <w:r w:rsidR="005F7BBE">
        <w:rPr>
          <w:lang w:val="en-US"/>
        </w:rPr>
        <w:t>ervice</w:t>
      </w:r>
      <w:bookmarkEnd w:id="14"/>
    </w:p>
    <w:p w14:paraId="62541C20" w14:textId="15066C06" w:rsidR="00491420" w:rsidRDefault="00491420" w:rsidP="00491420">
      <w:r>
        <w:t xml:space="preserve">At this point </w:t>
      </w:r>
      <w:r w:rsidR="005F7BBE">
        <w:t xml:space="preserve">hybrid deployment of the service </w:t>
      </w:r>
      <w:r>
        <w:t xml:space="preserve">will start, or if there is insufficient capacity to perform capacity, you will be prioritized and scheduled </w:t>
      </w:r>
      <w:r w:rsidR="005F7BBE">
        <w:t>discovery onboarding</w:t>
      </w:r>
      <w:r>
        <w:t>.</w:t>
      </w:r>
    </w:p>
    <w:p w14:paraId="326AE9E3" w14:textId="4A9B7CC9" w:rsidR="00ED7743" w:rsidRDefault="00ED7743" w:rsidP="00491420"/>
    <w:p w14:paraId="4A0F0442" w14:textId="44B69036" w:rsidR="00ED7743" w:rsidRPr="00ED7743" w:rsidRDefault="00ED7743" w:rsidP="00ED7743">
      <w:pPr>
        <w:pStyle w:val="Heading3"/>
      </w:pPr>
      <w:bookmarkStart w:id="15" w:name="_Toc80103412"/>
      <w:r w:rsidRPr="00ED7743">
        <w:lastRenderedPageBreak/>
        <w:t>Provision Discovery Service</w:t>
      </w:r>
      <w:bookmarkEnd w:id="15"/>
    </w:p>
    <w:p w14:paraId="2AC72EBA" w14:textId="7E02DAD5" w:rsidR="00ED7743" w:rsidRDefault="00ED7743" w:rsidP="00491420">
      <w:r>
        <w:t>Form your cloud management console or API calls, provision the discovery service if you have not already done so. Details on provisioning the service can be found from your respective provider.</w:t>
      </w:r>
    </w:p>
    <w:p w14:paraId="3900104E" w14:textId="77777777" w:rsidR="00ED7743" w:rsidRDefault="00ED7743" w:rsidP="00491420"/>
    <w:p w14:paraId="7621EA11" w14:textId="4EF31C51" w:rsidR="00ED7743" w:rsidRDefault="00ED7743" w:rsidP="00ED7743">
      <w:pPr>
        <w:pStyle w:val="Heading3"/>
      </w:pPr>
      <w:bookmarkStart w:id="16" w:name="_Toc80103413"/>
      <w:r>
        <w:t>Configure API Endpoints</w:t>
      </w:r>
      <w:bookmarkEnd w:id="16"/>
    </w:p>
    <w:p w14:paraId="5F923B79" w14:textId="1C7DCF58" w:rsidR="00ED7743" w:rsidRDefault="00ED7743" w:rsidP="00491420">
      <w:r>
        <w:t>Working with SSC, configure the API endpoints to communicate with the virtual appliance deployed in the data centre.</w:t>
      </w:r>
    </w:p>
    <w:p w14:paraId="2521BE08" w14:textId="1A8401D0" w:rsidR="00ED7743" w:rsidRDefault="00ED7743" w:rsidP="00491420"/>
    <w:p w14:paraId="55465849" w14:textId="77777777" w:rsidR="00ED7743" w:rsidRDefault="00ED7743" w:rsidP="00491420"/>
    <w:p w14:paraId="4FC7DF66" w14:textId="0C9109CE" w:rsidR="005D75C6" w:rsidRPr="00231902" w:rsidRDefault="00ED7743" w:rsidP="005D75C6">
      <w:pPr>
        <w:pStyle w:val="Heading2"/>
      </w:pPr>
      <w:bookmarkStart w:id="17" w:name="_Toc80103414"/>
      <w:r>
        <w:rPr>
          <w:lang w:val="en-US"/>
        </w:rPr>
        <w:t>Run Discovery and Analysis</w:t>
      </w:r>
      <w:bookmarkEnd w:id="17"/>
    </w:p>
    <w:p w14:paraId="646DC998" w14:textId="5BBA4865" w:rsidR="005D75C6" w:rsidRDefault="00ED7743" w:rsidP="005D75C6">
      <w:pPr>
        <w:rPr>
          <w:lang w:val="en"/>
        </w:rPr>
      </w:pPr>
      <w:r>
        <w:rPr>
          <w:lang w:val="en"/>
        </w:rPr>
        <w:t xml:space="preserve">At this point, you should start receiving data about your current application portfolio, resource usage, and application affinities. </w:t>
      </w:r>
    </w:p>
    <w:p w14:paraId="147835B1" w14:textId="24CBBBA7" w:rsidR="00ED7743" w:rsidRDefault="00ED7743" w:rsidP="005D75C6">
      <w:pPr>
        <w:rPr>
          <w:lang w:val="en"/>
        </w:rPr>
      </w:pPr>
      <w:r>
        <w:rPr>
          <w:lang w:val="en"/>
        </w:rPr>
        <w:t>This data will allow for a full discovery of the technology stack currently deployed and make decisions regarding your migration strategy.</w:t>
      </w:r>
    </w:p>
    <w:p w14:paraId="2F35DF1D" w14:textId="77777777" w:rsidR="00A07E25" w:rsidRDefault="00ED7743" w:rsidP="005D75C6">
      <w:pPr>
        <w:rPr>
          <w:lang w:val="en"/>
        </w:rPr>
      </w:pPr>
      <w:r>
        <w:rPr>
          <w:lang w:val="en"/>
        </w:rPr>
        <w:t>Similarly, the collected data will support cloud hosting costs and optimization decisions.</w:t>
      </w:r>
      <w:r w:rsidR="00A07E25">
        <w:rPr>
          <w:lang w:val="en"/>
        </w:rPr>
        <w:t xml:space="preserve"> </w:t>
      </w:r>
    </w:p>
    <w:p w14:paraId="326B3B71" w14:textId="77777777" w:rsidR="00A07E25" w:rsidRDefault="00A07E25" w:rsidP="005D75C6">
      <w:pPr>
        <w:rPr>
          <w:lang w:val="en"/>
        </w:rPr>
      </w:pPr>
    </w:p>
    <w:p w14:paraId="7439ADBC" w14:textId="3D21E9E1" w:rsidR="00A07E25" w:rsidRPr="00A07E25" w:rsidRDefault="00A07E25" w:rsidP="009472CF">
      <w:pPr>
        <w:pStyle w:val="Heading1"/>
        <w:rPr>
          <w:u w:val="single"/>
        </w:rPr>
      </w:pPr>
      <w:bookmarkStart w:id="18" w:name="_Toc80103415"/>
      <w:r w:rsidRPr="00A07E25">
        <w:t xml:space="preserve">Application </w:t>
      </w:r>
      <w:r>
        <w:rPr>
          <w:lang w:val="en-US"/>
        </w:rPr>
        <w:t>Migrat</w:t>
      </w:r>
      <w:r w:rsidR="00C600BE">
        <w:rPr>
          <w:lang w:val="en-US"/>
        </w:rPr>
        <w:t>i</w:t>
      </w:r>
      <w:r>
        <w:rPr>
          <w:lang w:val="en-US"/>
        </w:rPr>
        <w:t>on</w:t>
      </w:r>
      <w:r w:rsidRPr="00A07E25">
        <w:t xml:space="preserve"> Readiness Process Overview</w:t>
      </w:r>
      <w:bookmarkEnd w:id="18"/>
    </w:p>
    <w:p w14:paraId="4109B210" w14:textId="4F37EFDB" w:rsidR="00C600BE" w:rsidRDefault="00C600BE" w:rsidP="00C600BE">
      <w:pPr>
        <w:rPr>
          <w:bCs/>
        </w:rPr>
      </w:pPr>
      <w:r>
        <w:rPr>
          <w:bCs/>
        </w:rPr>
        <w:t>Like the deployment of the discovery service, t</w:t>
      </w:r>
      <w:r w:rsidRPr="003412E4">
        <w:rPr>
          <w:bCs/>
        </w:rPr>
        <w:t xml:space="preserve">he deployment of a cloud </w:t>
      </w:r>
      <w:r>
        <w:rPr>
          <w:bCs/>
        </w:rPr>
        <w:t xml:space="preserve">migration </w:t>
      </w:r>
      <w:r w:rsidRPr="003412E4">
        <w:rPr>
          <w:bCs/>
        </w:rPr>
        <w:t>service r</w:t>
      </w:r>
      <w:r>
        <w:rPr>
          <w:bCs/>
        </w:rPr>
        <w:t>equires readiness activities. Depending upon the provider, the service may be the same as the discovery service or may be a different service, but similar architecture.</w:t>
      </w:r>
    </w:p>
    <w:p w14:paraId="2FF98644" w14:textId="68A131B2" w:rsidR="00C600BE" w:rsidRDefault="00C600BE" w:rsidP="00C600BE">
      <w:pPr>
        <w:rPr>
          <w:bCs/>
        </w:rPr>
      </w:pPr>
      <w:r>
        <w:rPr>
          <w:bCs/>
        </w:rPr>
        <w:t>At this point, it is assumed that the department has made migration decisions regarding its portfolio, cost analysis, engaged with the Workload Migration (WLM) project, and deployed foundational cloud pieces such as a landing zone and dedicated connectivity.</w:t>
      </w:r>
    </w:p>
    <w:p w14:paraId="42338259" w14:textId="4D1C5D0F" w:rsidR="00C600BE" w:rsidRDefault="00C600BE" w:rsidP="00C600BE">
      <w:pPr>
        <w:rPr>
          <w:bCs/>
        </w:rPr>
      </w:pPr>
    </w:p>
    <w:p w14:paraId="0BBE043B" w14:textId="77777777" w:rsidR="007B5B8B" w:rsidRDefault="00611AC4" w:rsidP="007B5B8B">
      <w:pPr>
        <w:keepNext/>
      </w:pPr>
      <w:r w:rsidRPr="00611AC4">
        <w:lastRenderedPageBreak/>
        <w:drawing>
          <wp:inline distT="0" distB="0" distL="0" distR="0" wp14:anchorId="3D9B02EF" wp14:editId="7CCE7AE6">
            <wp:extent cx="5943600" cy="3286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3286125"/>
                    </a:xfrm>
                    <a:prstGeom prst="rect">
                      <a:avLst/>
                    </a:prstGeom>
                    <a:noFill/>
                    <a:ln>
                      <a:noFill/>
                    </a:ln>
                  </pic:spPr>
                </pic:pic>
              </a:graphicData>
            </a:graphic>
          </wp:inline>
        </w:drawing>
      </w:r>
    </w:p>
    <w:p w14:paraId="542AE24A" w14:textId="51C271FF" w:rsidR="00C600BE" w:rsidRDefault="007B5B8B" w:rsidP="007B5B8B">
      <w:pPr>
        <w:pStyle w:val="Caption"/>
        <w:jc w:val="left"/>
        <w:rPr>
          <w:bCs w:val="0"/>
        </w:rPr>
      </w:pPr>
      <w:r w:rsidRPr="00BB365B">
        <w:t xml:space="preserve"> Application </w:t>
      </w:r>
      <w:r>
        <w:t>Migration</w:t>
      </w:r>
      <w:r w:rsidRPr="00BB365B">
        <w:t xml:space="preserve"> Service Readiness - Summary of Responsibilities</w:t>
      </w:r>
    </w:p>
    <w:p w14:paraId="0BDDC928" w14:textId="77777777" w:rsidR="003161D2" w:rsidRDefault="003161D2" w:rsidP="003161D2"/>
    <w:p w14:paraId="567ACA43" w14:textId="1F4052EA" w:rsidR="003161D2" w:rsidRDefault="003161D2" w:rsidP="003161D2">
      <w:pPr>
        <w:pStyle w:val="Heading2"/>
      </w:pPr>
      <w:bookmarkStart w:id="19" w:name="_Toc80103416"/>
      <w:r>
        <w:rPr>
          <w:b w:val="0"/>
          <w:bCs w:val="0"/>
        </w:rPr>
        <w:t xml:space="preserve">Obtain Cloud </w:t>
      </w:r>
      <w:r>
        <w:rPr>
          <w:b w:val="0"/>
          <w:bCs w:val="0"/>
          <w:lang w:val="en-US"/>
        </w:rPr>
        <w:t>Platform</w:t>
      </w:r>
      <w:r>
        <w:rPr>
          <w:b w:val="0"/>
          <w:bCs w:val="0"/>
        </w:rPr>
        <w:t xml:space="preserve"> ATO</w:t>
      </w:r>
      <w:bookmarkEnd w:id="19"/>
    </w:p>
    <w:p w14:paraId="3FAE5829" w14:textId="77777777" w:rsidR="003161D2" w:rsidRDefault="003161D2" w:rsidP="003161D2">
      <w:r>
        <w:t xml:space="preserve">Departments are expected to continue to apply graduated safeguards that are commensurate with the risks to their information and IT assets, with more rigorous safeguards as asset values, service delivery requirements, and threats to confidentiality, </w:t>
      </w:r>
      <w:proofErr w:type="gramStart"/>
      <w:r>
        <w:t>availability</w:t>
      </w:r>
      <w:proofErr w:type="gramEnd"/>
      <w:r>
        <w:t xml:space="preserve"> or integrity increase. </w:t>
      </w:r>
    </w:p>
    <w:p w14:paraId="1E790559" w14:textId="77777777" w:rsidR="003161D2" w:rsidRDefault="003161D2" w:rsidP="003161D2">
      <w:r>
        <w:t xml:space="preserve">An initial starting point for the security controls for the cloud platform layer (your cloud environment), as a subset of the GC Cloud PBMM profile, will be </w:t>
      </w:r>
      <w:commentRangeStart w:id="20"/>
      <w:r>
        <w:t>made</w:t>
      </w:r>
      <w:commentRangeEnd w:id="20"/>
      <w:r w:rsidR="00E3198E">
        <w:rPr>
          <w:rStyle w:val="CommentReference"/>
          <w:lang w:val="x-none"/>
        </w:rPr>
        <w:commentReference w:id="20"/>
      </w:r>
      <w:r>
        <w:t xml:space="preserve"> available to departments:</w:t>
      </w:r>
    </w:p>
    <w:p w14:paraId="23CEE2C1" w14:textId="77777777" w:rsidR="003161D2" w:rsidRDefault="003161D2" w:rsidP="003161D2">
      <w:pPr>
        <w:numPr>
          <w:ilvl w:val="0"/>
          <w:numId w:val="24"/>
        </w:numPr>
      </w:pPr>
      <w:r>
        <w:t xml:space="preserve">For Azure, the starting point is made available via the </w:t>
      </w:r>
      <w:hyperlink r:id="rId30" w:history="1">
        <w:r>
          <w:rPr>
            <w:rStyle w:val="Hyperlink"/>
          </w:rPr>
          <w:t>Canada PBMM Blueprint</w:t>
        </w:r>
      </w:hyperlink>
      <w:r>
        <w:t>.</w:t>
      </w:r>
    </w:p>
    <w:p w14:paraId="52DDBB29" w14:textId="77777777" w:rsidR="003161D2" w:rsidRDefault="003161D2" w:rsidP="003161D2">
      <w:pPr>
        <w:numPr>
          <w:ilvl w:val="0"/>
          <w:numId w:val="24"/>
        </w:numPr>
      </w:pPr>
      <w:r>
        <w:t xml:space="preserve">For AWS, the </w:t>
      </w:r>
      <w:r>
        <w:rPr>
          <w:b/>
          <w:i/>
        </w:rPr>
        <w:t>Landing Zone</w:t>
      </w:r>
      <w:r>
        <w:t xml:space="preserve"> is pre-configured by the vendor for all GC clients.</w:t>
      </w:r>
    </w:p>
    <w:p w14:paraId="1F6204D0" w14:textId="77777777" w:rsidR="003161D2" w:rsidRDefault="003161D2" w:rsidP="003161D2">
      <w:r>
        <w:t xml:space="preserve">An iterative approach to designing, building, and assessing your cloud environment is expected. As part of this systems engineering activities, evidence will be generated to provide assurance for the implementation of the controls. </w:t>
      </w:r>
    </w:p>
    <w:p w14:paraId="7E3767CE" w14:textId="3E230418" w:rsidR="003161D2" w:rsidRDefault="003161D2" w:rsidP="003161D2">
      <w:r>
        <w:t xml:space="preserve">Performing a Security Assessment and Authorization (SA&amp;A) of the cloud </w:t>
      </w:r>
      <w:r>
        <w:t>platform</w:t>
      </w:r>
      <w:r>
        <w:t xml:space="preserve"> will facilitate a security inheritance model that can be leveraged by future information system deployments. This assessment must be signed-off by the appropriate authorities within the organization. </w:t>
      </w:r>
    </w:p>
    <w:p w14:paraId="54F126D5" w14:textId="77777777" w:rsidR="003161D2" w:rsidRDefault="003161D2" w:rsidP="003161D2">
      <w:pPr>
        <w:rPr>
          <w:rStyle w:val="Hyperlink"/>
          <w:lang w:val="en-US"/>
        </w:rPr>
      </w:pPr>
      <w:r>
        <w:t xml:space="preserve">Treasury Board Secretariat has made some of their Azure </w:t>
      </w:r>
      <w:hyperlink r:id="rId31" w:history="1">
        <w:r>
          <w:rPr>
            <w:rStyle w:val="Hyperlink"/>
          </w:rPr>
          <w:t>security assessment documentation</w:t>
        </w:r>
      </w:hyperlink>
      <w:r>
        <w:t xml:space="preserve"> available for other departments to leverage.</w:t>
      </w:r>
    </w:p>
    <w:p w14:paraId="426B9B3C" w14:textId="0D657D28" w:rsidR="003161D2" w:rsidRDefault="003161D2" w:rsidP="003161D2">
      <w:pPr>
        <w:pStyle w:val="Heading2"/>
      </w:pPr>
      <w:bookmarkStart w:id="21" w:name="_Toc80103417"/>
      <w:r>
        <w:rPr>
          <w:b w:val="0"/>
          <w:bCs w:val="0"/>
          <w:lang w:val="en-US"/>
        </w:rPr>
        <w:t>Migration</w:t>
      </w:r>
      <w:r>
        <w:rPr>
          <w:b w:val="0"/>
          <w:bCs w:val="0"/>
        </w:rPr>
        <w:t xml:space="preserve"> Readiness</w:t>
      </w:r>
      <w:bookmarkEnd w:id="21"/>
    </w:p>
    <w:p w14:paraId="352F2F2E" w14:textId="2665CF08" w:rsidR="003161D2" w:rsidRDefault="003161D2" w:rsidP="003161D2">
      <w:r>
        <w:t xml:space="preserve">This activity requires that the </w:t>
      </w:r>
      <w:r>
        <w:t>pre-requisite activities have been completed</w:t>
      </w:r>
      <w:r>
        <w:t xml:space="preserve">. </w:t>
      </w:r>
    </w:p>
    <w:p w14:paraId="6E31BE24" w14:textId="35AD445B" w:rsidR="003161D2" w:rsidRDefault="003161D2" w:rsidP="003161D2">
      <w:pPr>
        <w:pStyle w:val="Heading3"/>
      </w:pPr>
      <w:bookmarkStart w:id="22" w:name="_Toc80103418"/>
      <w:r>
        <w:rPr>
          <w:b w:val="0"/>
          <w:bCs w:val="0"/>
          <w:lang w:val="en-US"/>
        </w:rPr>
        <w:lastRenderedPageBreak/>
        <w:t>Formal WLM Engagement</w:t>
      </w:r>
      <w:bookmarkEnd w:id="22"/>
    </w:p>
    <w:p w14:paraId="2A9D0BFA" w14:textId="5AC72759" w:rsidR="003161D2" w:rsidRDefault="003161D2" w:rsidP="003161D2">
      <w:pPr>
        <w:rPr>
          <w:b/>
        </w:rPr>
      </w:pPr>
      <w:r>
        <w:t>I</w:t>
      </w:r>
      <w:r w:rsidR="0005183A">
        <w:t xml:space="preserve">t </w:t>
      </w:r>
      <w:r>
        <w:t xml:space="preserve">is assumed that your department or data centre is in scope of the workload </w:t>
      </w:r>
      <w:r w:rsidR="0005183A">
        <w:t>migration project. This engagement will ensure the governance is in place to escalate issues and gain SSC support for migrations.</w:t>
      </w:r>
    </w:p>
    <w:p w14:paraId="65E136B5" w14:textId="185A1890" w:rsidR="003161D2" w:rsidRDefault="003161D2" w:rsidP="003161D2">
      <w:pPr>
        <w:pStyle w:val="Heading3"/>
        <w:rPr>
          <w:b w:val="0"/>
          <w:bCs w:val="0"/>
          <w:lang w:val="en-US"/>
        </w:rPr>
      </w:pPr>
      <w:bookmarkStart w:id="23" w:name="_Toc80103419"/>
      <w:r>
        <w:rPr>
          <w:b w:val="0"/>
          <w:bCs w:val="0"/>
          <w:lang w:val="en-US"/>
        </w:rPr>
        <w:t>Request COM Cloud Migration Service Request</w:t>
      </w:r>
      <w:bookmarkEnd w:id="23"/>
    </w:p>
    <w:p w14:paraId="176FBC20" w14:textId="6F05A32E" w:rsidR="003161D2" w:rsidRPr="005F7BBE" w:rsidRDefault="003161D2" w:rsidP="003161D2">
      <w:pPr>
        <w:pStyle w:val="BodyText"/>
        <w:rPr>
          <w:lang w:val="en-US"/>
        </w:rPr>
      </w:pPr>
      <w:r w:rsidRPr="005F7BBE">
        <w:rPr>
          <w:highlight w:val="yellow"/>
          <w:lang w:val="en-US"/>
        </w:rPr>
        <w:t xml:space="preserve">Go to the cloud brokering portal and enter </w:t>
      </w:r>
      <w:proofErr w:type="spellStart"/>
      <w:proofErr w:type="gramStart"/>
      <w:r w:rsidRPr="005F7BBE">
        <w:rPr>
          <w:highlight w:val="yellow"/>
          <w:lang w:val="en-US"/>
        </w:rPr>
        <w:t>a</w:t>
      </w:r>
      <w:proofErr w:type="spellEnd"/>
      <w:proofErr w:type="gramEnd"/>
      <w:r w:rsidRPr="005F7BBE">
        <w:rPr>
          <w:highlight w:val="yellow"/>
          <w:lang w:val="en-US"/>
        </w:rPr>
        <w:t xml:space="preserve"> application </w:t>
      </w:r>
      <w:r>
        <w:rPr>
          <w:highlight w:val="yellow"/>
          <w:lang w:val="en-US"/>
        </w:rPr>
        <w:t>migration</w:t>
      </w:r>
      <w:r w:rsidRPr="005F7BBE">
        <w:rPr>
          <w:highlight w:val="yellow"/>
          <w:lang w:val="en-US"/>
        </w:rPr>
        <w:t xml:space="preserve"> service </w:t>
      </w:r>
      <w:commentRangeStart w:id="24"/>
      <w:r w:rsidRPr="005F7BBE">
        <w:rPr>
          <w:highlight w:val="yellow"/>
          <w:lang w:val="en-US"/>
        </w:rPr>
        <w:t>request</w:t>
      </w:r>
      <w:commentRangeEnd w:id="24"/>
      <w:r>
        <w:rPr>
          <w:rStyle w:val="CommentReference"/>
        </w:rPr>
        <w:commentReference w:id="24"/>
      </w:r>
      <w:r w:rsidRPr="005F7BBE">
        <w:rPr>
          <w:highlight w:val="yellow"/>
          <w:lang w:val="en-US"/>
        </w:rPr>
        <w:t>???</w:t>
      </w:r>
    </w:p>
    <w:p w14:paraId="536CFE97" w14:textId="77777777" w:rsidR="003161D2" w:rsidRPr="003161D2" w:rsidRDefault="003161D2" w:rsidP="003161D2">
      <w:pPr>
        <w:pStyle w:val="BodyText"/>
        <w:rPr>
          <w:lang w:val="en-US"/>
        </w:rPr>
      </w:pPr>
    </w:p>
    <w:p w14:paraId="064EA87E" w14:textId="458E35EE" w:rsidR="003161D2" w:rsidRDefault="003161D2" w:rsidP="003161D2">
      <w:pPr>
        <w:pStyle w:val="Heading2"/>
      </w:pPr>
      <w:bookmarkStart w:id="25" w:name="_Toc80103420"/>
      <w:r>
        <w:rPr>
          <w:b w:val="0"/>
          <w:bCs w:val="0"/>
        </w:rPr>
        <w:t xml:space="preserve">Deploy Cloud </w:t>
      </w:r>
      <w:r w:rsidR="0005183A">
        <w:rPr>
          <w:b w:val="0"/>
          <w:bCs w:val="0"/>
          <w:lang w:val="en-US"/>
        </w:rPr>
        <w:t>Migration Service</w:t>
      </w:r>
      <w:bookmarkEnd w:id="25"/>
    </w:p>
    <w:p w14:paraId="12A2965C" w14:textId="05F84793" w:rsidR="003161D2" w:rsidRDefault="003161D2" w:rsidP="003161D2">
      <w:r>
        <w:t xml:space="preserve">At this </w:t>
      </w:r>
      <w:r w:rsidR="0005183A">
        <w:t xml:space="preserve">the deployment of the migration service will start, or if the migration service is the same as the discovery service, no additional </w:t>
      </w:r>
      <w:r w:rsidR="00F858D7">
        <w:t>activities</w:t>
      </w:r>
      <w:r w:rsidR="0005183A">
        <w:t xml:space="preserve"> may be required. It is highly recommended that for migration</w:t>
      </w:r>
      <w:r w:rsidR="00F858D7">
        <w:t xml:space="preserve"> API-endpoints are routed through dedicated connectivity between GC WAN and the cloud provider instead of the internet.</w:t>
      </w:r>
    </w:p>
    <w:p w14:paraId="026EFDD3" w14:textId="7CF37014" w:rsidR="003161D2" w:rsidRDefault="00F858D7" w:rsidP="003161D2">
      <w:pPr>
        <w:pStyle w:val="Heading2"/>
      </w:pPr>
      <w:bookmarkStart w:id="26" w:name="_Toc80103421"/>
      <w:r>
        <w:rPr>
          <w:b w:val="0"/>
          <w:bCs w:val="0"/>
          <w:lang w:val="en-US"/>
        </w:rPr>
        <w:t>Execute Migrations</w:t>
      </w:r>
      <w:bookmarkEnd w:id="26"/>
    </w:p>
    <w:p w14:paraId="40FABB9C" w14:textId="0A790D36" w:rsidR="003161D2" w:rsidRDefault="00F858D7" w:rsidP="00F858D7">
      <w:pPr>
        <w:rPr>
          <w:lang w:val="en"/>
        </w:rPr>
      </w:pPr>
      <w:r>
        <w:rPr>
          <w:lang w:val="en"/>
        </w:rPr>
        <w:t>Using the migration groups created, test migrations can begin.</w:t>
      </w:r>
    </w:p>
    <w:p w14:paraId="6DFC2D2E" w14:textId="77777777" w:rsidR="003161D2" w:rsidRDefault="003161D2" w:rsidP="003161D2">
      <w:pPr>
        <w:rPr>
          <w:u w:val="single"/>
        </w:rPr>
      </w:pPr>
    </w:p>
    <w:p w14:paraId="7E5E31EC" w14:textId="77777777" w:rsidR="003161D2" w:rsidRDefault="003161D2" w:rsidP="003161D2">
      <w:pPr>
        <w:rPr>
          <w:b/>
          <w:u w:val="single"/>
        </w:rPr>
      </w:pPr>
      <w:r>
        <w:rPr>
          <w:b/>
          <w:u w:val="single"/>
        </w:rPr>
        <w:br w:type="page"/>
      </w:r>
    </w:p>
    <w:p w14:paraId="62DBB8DD" w14:textId="6EAA133C" w:rsidR="005D75C6" w:rsidRDefault="005D75C6" w:rsidP="00A07E25">
      <w:pPr>
        <w:pStyle w:val="Heading1"/>
        <w:numPr>
          <w:ilvl w:val="0"/>
          <w:numId w:val="0"/>
        </w:numPr>
        <w:ind w:left="652"/>
        <w:rPr>
          <w:u w:val="single"/>
        </w:rPr>
      </w:pPr>
      <w:r w:rsidRPr="00A07E25">
        <w:rPr>
          <w:u w:val="single"/>
        </w:rPr>
        <w:lastRenderedPageBreak/>
        <w:br w:type="page"/>
      </w:r>
    </w:p>
    <w:p w14:paraId="131E2859" w14:textId="77777777" w:rsidR="00C600BE" w:rsidRPr="00C600BE" w:rsidRDefault="00C600BE" w:rsidP="00C600BE">
      <w:pPr>
        <w:pStyle w:val="BodyText"/>
      </w:pPr>
    </w:p>
    <w:p w14:paraId="02CF2F24" w14:textId="144C4C1E" w:rsidR="005F205C" w:rsidRPr="0024441B" w:rsidRDefault="00FB15CE" w:rsidP="00D33C9F">
      <w:pPr>
        <w:pStyle w:val="Heading1"/>
        <w:numPr>
          <w:ilvl w:val="0"/>
          <w:numId w:val="0"/>
        </w:numPr>
        <w:rPr>
          <w:lang w:val="en-CA"/>
        </w:rPr>
      </w:pPr>
      <w:bookmarkStart w:id="27" w:name="_Toc343256523"/>
      <w:bookmarkStart w:id="28" w:name="_Toc80103422"/>
      <w:r>
        <w:rPr>
          <w:lang w:val="en-CA"/>
        </w:rPr>
        <w:t>Appendix</w:t>
      </w:r>
      <w:r w:rsidR="005F205C" w:rsidRPr="007E48CD">
        <w:t xml:space="preserve"> </w:t>
      </w:r>
      <w:r w:rsidR="003711D0">
        <w:rPr>
          <w:lang w:val="en-CA"/>
        </w:rPr>
        <w:t>A</w:t>
      </w:r>
      <w:r w:rsidR="005F205C">
        <w:t xml:space="preserve"> –</w:t>
      </w:r>
      <w:r w:rsidR="005F205C" w:rsidRPr="007E48CD">
        <w:t xml:space="preserve"> </w:t>
      </w:r>
      <w:r w:rsidR="005F205C">
        <w:t>Acronyms and Glossary</w:t>
      </w:r>
      <w:bookmarkEnd w:id="28"/>
    </w:p>
    <w:p w14:paraId="15BDBDE1" w14:textId="77777777" w:rsidR="008A0530" w:rsidRDefault="008A0530" w:rsidP="008A0530">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lastRenderedPageBreak/>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1E4DB7" w:rsidRPr="0073261D" w14:paraId="23B68CD5" w14:textId="77777777" w:rsidTr="00C92324">
        <w:trPr>
          <w:trHeight w:val="283"/>
        </w:trPr>
        <w:tc>
          <w:tcPr>
            <w:tcW w:w="2552" w:type="dxa"/>
            <w:shd w:val="clear" w:color="auto" w:fill="D9D9D9"/>
            <w:vAlign w:val="center"/>
          </w:tcPr>
          <w:p w14:paraId="2B2A2214" w14:textId="77777777" w:rsidR="001E4DB7" w:rsidRPr="001E4DB7" w:rsidRDefault="001E4DB7" w:rsidP="008C3E3B">
            <w:pPr>
              <w:pStyle w:val="BodyText"/>
              <w:rPr>
                <w:b/>
              </w:rPr>
            </w:pPr>
            <w:r w:rsidRPr="001E4DB7">
              <w:rPr>
                <w:b/>
                <w:lang w:val="fr-CA"/>
              </w:rPr>
              <w:t>Te</w:t>
            </w:r>
            <w:r w:rsidRPr="001E4DB7">
              <w:rPr>
                <w:b/>
              </w:rPr>
              <w:t>rm</w:t>
            </w:r>
          </w:p>
        </w:tc>
        <w:tc>
          <w:tcPr>
            <w:tcW w:w="6688" w:type="dxa"/>
            <w:shd w:val="clear" w:color="auto" w:fill="D9D9D9"/>
            <w:vAlign w:val="center"/>
          </w:tcPr>
          <w:p w14:paraId="0A6A1BBB" w14:textId="77777777" w:rsidR="001E4DB7" w:rsidRPr="001E4DB7" w:rsidRDefault="001E4DB7" w:rsidP="008C3E3B">
            <w:pPr>
              <w:pStyle w:val="BodyText"/>
              <w:rPr>
                <w:b/>
              </w:rPr>
            </w:pPr>
            <w:r w:rsidRPr="001E4DB7">
              <w:rPr>
                <w:b/>
              </w:rPr>
              <w:t>Definition</w:t>
            </w:r>
          </w:p>
        </w:tc>
      </w:tr>
      <w:tr w:rsidR="00A41BCF" w:rsidRPr="0073261D" w14:paraId="51FE0760" w14:textId="77777777" w:rsidTr="00C92324">
        <w:trPr>
          <w:trHeight w:val="283"/>
        </w:trPr>
        <w:tc>
          <w:tcPr>
            <w:tcW w:w="2552" w:type="dxa"/>
          </w:tcPr>
          <w:p w14:paraId="05B238BA" w14:textId="77777777" w:rsidR="00A41BCF" w:rsidRPr="002E5E61" w:rsidRDefault="00A41BCF" w:rsidP="008C3E3B">
            <w:pPr>
              <w:pStyle w:val="BodyText"/>
              <w:rPr>
                <w:lang w:val="en-CA"/>
              </w:rPr>
            </w:pPr>
            <w:r>
              <w:rPr>
                <w:lang w:val="en-CA"/>
              </w:rPr>
              <w:t>CXP</w:t>
            </w:r>
          </w:p>
        </w:tc>
        <w:tc>
          <w:tcPr>
            <w:tcW w:w="6688" w:type="dxa"/>
          </w:tcPr>
          <w:p w14:paraId="2136E50E" w14:textId="77777777" w:rsidR="00A41BCF" w:rsidRPr="002E5E61" w:rsidRDefault="00A41BCF" w:rsidP="008C3E3B">
            <w:pPr>
              <w:pStyle w:val="BodyText"/>
              <w:rPr>
                <w:rFonts w:eastAsia="Calibri"/>
                <w:lang w:val="en-CA"/>
              </w:rPr>
            </w:pPr>
            <w:r>
              <w:rPr>
                <w:rFonts w:eastAsia="Calibri"/>
                <w:lang w:val="en-CA"/>
              </w:rPr>
              <w:t xml:space="preserve">Cloud </w:t>
            </w:r>
            <w:proofErr w:type="spellStart"/>
            <w:r>
              <w:rPr>
                <w:rFonts w:eastAsia="Calibri"/>
                <w:lang w:val="en-CA"/>
              </w:rPr>
              <w:t>eXchange</w:t>
            </w:r>
            <w:proofErr w:type="spellEnd"/>
            <w:r>
              <w:rPr>
                <w:rFonts w:eastAsia="Calibri"/>
                <w:lang w:val="en-CA"/>
              </w:rPr>
              <w:t xml:space="preserv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A41BCF" w:rsidRPr="0073261D" w14:paraId="4BF8B9FA" w14:textId="77777777" w:rsidTr="00C92324">
        <w:trPr>
          <w:trHeight w:val="283"/>
        </w:trPr>
        <w:tc>
          <w:tcPr>
            <w:tcW w:w="2552" w:type="dxa"/>
          </w:tcPr>
          <w:p w14:paraId="196DDE0C" w14:textId="77777777" w:rsidR="00A41BCF" w:rsidRPr="006D7A3F" w:rsidRDefault="00A41BCF" w:rsidP="008C3E3B">
            <w:pPr>
              <w:pStyle w:val="BodyText"/>
              <w:rPr>
                <w:lang w:val="en-CA"/>
              </w:rPr>
            </w:pPr>
            <w:r>
              <w:rPr>
                <w:lang w:val="en-CA"/>
              </w:rPr>
              <w:t>IaaS</w:t>
            </w:r>
          </w:p>
        </w:tc>
        <w:tc>
          <w:tcPr>
            <w:tcW w:w="6688" w:type="dxa"/>
          </w:tcPr>
          <w:p w14:paraId="26EC229D" w14:textId="77777777" w:rsidR="00A41BCF" w:rsidRPr="0073261D" w:rsidRDefault="00A41BCF" w:rsidP="008C3E3B">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A41BCF" w:rsidRPr="0073261D" w14:paraId="03141F8C" w14:textId="77777777" w:rsidTr="00C92324">
        <w:trPr>
          <w:trHeight w:val="283"/>
        </w:trPr>
        <w:tc>
          <w:tcPr>
            <w:tcW w:w="2552" w:type="dxa"/>
          </w:tcPr>
          <w:p w14:paraId="2003769A" w14:textId="77777777" w:rsidR="00A41BCF" w:rsidRDefault="00A41BCF" w:rsidP="008C3E3B">
            <w:pPr>
              <w:pStyle w:val="BodyText"/>
              <w:rPr>
                <w:lang w:val="en-CA"/>
              </w:rPr>
            </w:pPr>
            <w:r>
              <w:rPr>
                <w:lang w:val="en-CA"/>
              </w:rPr>
              <w:t>PaaS</w:t>
            </w:r>
          </w:p>
        </w:tc>
        <w:tc>
          <w:tcPr>
            <w:tcW w:w="6688" w:type="dxa"/>
          </w:tcPr>
          <w:p w14:paraId="3FE9B010" w14:textId="77777777" w:rsidR="00A41BCF" w:rsidRDefault="00A41BCF" w:rsidP="008C3E3B">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A41BCF" w:rsidRPr="0073261D" w14:paraId="005A5D46" w14:textId="77777777" w:rsidTr="00C92324">
        <w:trPr>
          <w:trHeight w:val="283"/>
        </w:trPr>
        <w:tc>
          <w:tcPr>
            <w:tcW w:w="2552" w:type="dxa"/>
          </w:tcPr>
          <w:p w14:paraId="360AE725" w14:textId="77777777" w:rsidR="00A41BCF" w:rsidRPr="00D819B8" w:rsidRDefault="00A41BCF" w:rsidP="008C3E3B">
            <w:pPr>
              <w:pStyle w:val="BodyText"/>
              <w:rPr>
                <w:lang w:val="en-CA"/>
              </w:rPr>
            </w:pPr>
            <w:r>
              <w:rPr>
                <w:lang w:val="en-CA"/>
              </w:rPr>
              <w:t>Private Cloud</w:t>
            </w:r>
          </w:p>
        </w:tc>
        <w:tc>
          <w:tcPr>
            <w:tcW w:w="6688" w:type="dxa"/>
          </w:tcPr>
          <w:p w14:paraId="5B525381" w14:textId="77777777" w:rsidR="00A41BCF" w:rsidRPr="00750F78" w:rsidRDefault="00A41BCF" w:rsidP="00750F78">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A41BCF" w:rsidRPr="0073261D" w14:paraId="4B5D3AFB" w14:textId="77777777" w:rsidTr="00C92324">
        <w:trPr>
          <w:trHeight w:val="283"/>
        </w:trPr>
        <w:tc>
          <w:tcPr>
            <w:tcW w:w="2552" w:type="dxa"/>
          </w:tcPr>
          <w:p w14:paraId="25B8FF01" w14:textId="77777777" w:rsidR="00A41BCF" w:rsidRPr="00D819B8" w:rsidRDefault="00A41BCF" w:rsidP="008C3E3B">
            <w:pPr>
              <w:pStyle w:val="BodyText"/>
              <w:rPr>
                <w:lang w:val="en-CA"/>
              </w:rPr>
            </w:pPr>
            <w:r>
              <w:rPr>
                <w:lang w:val="en-CA"/>
              </w:rPr>
              <w:t>Public Cloud</w:t>
            </w:r>
          </w:p>
        </w:tc>
        <w:tc>
          <w:tcPr>
            <w:tcW w:w="6688" w:type="dxa"/>
          </w:tcPr>
          <w:p w14:paraId="451B8229" w14:textId="77777777" w:rsidR="00A41BCF" w:rsidRPr="0073261D" w:rsidRDefault="00A41BCF" w:rsidP="008C3E3B">
            <w:pPr>
              <w:pStyle w:val="BodyText"/>
            </w:pPr>
            <w:r w:rsidRPr="00D819B8">
              <w:t>The public cloud is defined as computing services offered by third-party providers over the public Internet, making them available to anyone who wants to use or purchase them.</w:t>
            </w:r>
          </w:p>
        </w:tc>
      </w:tr>
      <w:tr w:rsidR="00A41BCF" w:rsidRPr="0073261D" w14:paraId="19379D5C" w14:textId="77777777" w:rsidTr="00C92324">
        <w:trPr>
          <w:trHeight w:val="283"/>
        </w:trPr>
        <w:tc>
          <w:tcPr>
            <w:tcW w:w="2552" w:type="dxa"/>
          </w:tcPr>
          <w:p w14:paraId="52AC9217" w14:textId="77777777" w:rsidR="00A41BCF" w:rsidRDefault="00A41BCF" w:rsidP="008C3E3B">
            <w:pPr>
              <w:pStyle w:val="BodyText"/>
              <w:rPr>
                <w:lang w:val="en-CA"/>
              </w:rPr>
            </w:pPr>
            <w:r>
              <w:rPr>
                <w:lang w:val="en-CA"/>
              </w:rPr>
              <w:t>SaaS</w:t>
            </w:r>
          </w:p>
        </w:tc>
        <w:tc>
          <w:tcPr>
            <w:tcW w:w="6688" w:type="dxa"/>
          </w:tcPr>
          <w:p w14:paraId="416D4D34" w14:textId="77777777" w:rsidR="00A41BCF" w:rsidRDefault="00A41BCF" w:rsidP="008C3E3B">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40C50A8F" w14:textId="77777777" w:rsidR="001E4DB7" w:rsidRPr="00D819B8" w:rsidRDefault="001E4DB7" w:rsidP="005F205C">
      <w:pPr>
        <w:pStyle w:val="BodyText"/>
        <w:rPr>
          <w:lang w:val="en-CA"/>
        </w:rPr>
      </w:pPr>
    </w:p>
    <w:p w14:paraId="6232F134" w14:textId="77777777" w:rsidR="008A0530" w:rsidRPr="00797B31" w:rsidRDefault="008A0530" w:rsidP="008A0530">
      <w:pPr>
        <w:pStyle w:val="Heading2"/>
        <w:numPr>
          <w:ilvl w:val="0"/>
          <w:numId w:val="0"/>
        </w:numPr>
        <w:spacing w:before="120"/>
        <w:rPr>
          <w:sz w:val="28"/>
          <w:szCs w:val="28"/>
        </w:rPr>
      </w:pPr>
      <w:bookmarkStart w:id="29" w:name="_Toc348439120"/>
      <w:bookmarkStart w:id="30" w:name="_Toc389030267"/>
      <w:bookmarkStart w:id="31" w:name="_Toc428366002"/>
      <w:bookmarkStart w:id="32" w:name="_Toc80103423"/>
      <w:r w:rsidRPr="00797B31">
        <w:rPr>
          <w:sz w:val="28"/>
          <w:szCs w:val="28"/>
        </w:rPr>
        <w:t>List of Acronyms</w:t>
      </w:r>
      <w:bookmarkEnd w:id="29"/>
      <w:bookmarkEnd w:id="30"/>
      <w:bookmarkEnd w:id="31"/>
      <w:bookmarkEnd w:id="32"/>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1E4DB7" w:rsidRPr="006F1F22" w14:paraId="77D2A09E" w14:textId="77777777" w:rsidTr="008C3E3B">
        <w:trPr>
          <w:cantSplit/>
          <w:trHeight w:val="283"/>
          <w:tblHeader/>
        </w:trPr>
        <w:tc>
          <w:tcPr>
            <w:tcW w:w="1200" w:type="pct"/>
            <w:shd w:val="clear" w:color="auto" w:fill="D9D9D9"/>
            <w:vAlign w:val="center"/>
          </w:tcPr>
          <w:bookmarkEnd w:id="2"/>
          <w:bookmarkEnd w:id="27"/>
          <w:p w14:paraId="575C4F40"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0B5931A8"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B70BB9" w:rsidRPr="00537098" w14:paraId="5FA30542" w14:textId="77777777" w:rsidTr="008C3E3B">
        <w:trPr>
          <w:trHeight w:val="283"/>
        </w:trPr>
        <w:tc>
          <w:tcPr>
            <w:tcW w:w="1200" w:type="pct"/>
          </w:tcPr>
          <w:p w14:paraId="4BF5F6BE" w14:textId="77777777" w:rsidR="00B70BB9" w:rsidRPr="00537098" w:rsidRDefault="00B70BB9" w:rsidP="008C3E3B">
            <w:pPr>
              <w:pStyle w:val="TableTextCenter"/>
              <w:spacing w:before="0" w:after="120"/>
            </w:pPr>
            <w:r>
              <w:t>CCNE</w:t>
            </w:r>
          </w:p>
        </w:tc>
        <w:tc>
          <w:tcPr>
            <w:tcW w:w="3800" w:type="pct"/>
          </w:tcPr>
          <w:p w14:paraId="3607ADCB" w14:textId="77777777" w:rsidR="00B70BB9" w:rsidRPr="00537098" w:rsidRDefault="00B70BB9" w:rsidP="008C3E3B">
            <w:pPr>
              <w:pStyle w:val="TableTextLeft"/>
              <w:spacing w:before="0" w:after="120"/>
            </w:pPr>
            <w:r w:rsidRPr="00564A4F">
              <w:rPr>
                <w:bCs/>
              </w:rPr>
              <w:t>Cloud and Computing Network of Expertise</w:t>
            </w:r>
          </w:p>
        </w:tc>
      </w:tr>
      <w:tr w:rsidR="00B70BB9" w:rsidRPr="00537098" w14:paraId="07222000" w14:textId="77777777" w:rsidTr="008C3E3B">
        <w:trPr>
          <w:trHeight w:val="283"/>
        </w:trPr>
        <w:tc>
          <w:tcPr>
            <w:tcW w:w="1200" w:type="pct"/>
          </w:tcPr>
          <w:p w14:paraId="0C0D9DE1" w14:textId="77777777" w:rsidR="00B70BB9" w:rsidRPr="00537098" w:rsidRDefault="00B70BB9" w:rsidP="008C3E3B">
            <w:pPr>
              <w:pStyle w:val="TableTextCenter"/>
              <w:spacing w:before="0" w:after="120"/>
            </w:pPr>
            <w:r>
              <w:t>CSP</w:t>
            </w:r>
          </w:p>
        </w:tc>
        <w:tc>
          <w:tcPr>
            <w:tcW w:w="3800" w:type="pct"/>
          </w:tcPr>
          <w:p w14:paraId="016E7F9B" w14:textId="77777777" w:rsidR="00B70BB9" w:rsidRPr="00537098" w:rsidRDefault="00B70BB9" w:rsidP="008C3E3B">
            <w:pPr>
              <w:pStyle w:val="TableTextLeft"/>
              <w:spacing w:before="0" w:after="120"/>
            </w:pPr>
            <w:r>
              <w:t>Cloud Service Provider</w:t>
            </w:r>
          </w:p>
        </w:tc>
      </w:tr>
      <w:tr w:rsidR="00B70BB9" w:rsidRPr="00537098" w14:paraId="77DC6CCC" w14:textId="77777777" w:rsidTr="008C3E3B">
        <w:trPr>
          <w:trHeight w:val="283"/>
        </w:trPr>
        <w:tc>
          <w:tcPr>
            <w:tcW w:w="1200" w:type="pct"/>
          </w:tcPr>
          <w:p w14:paraId="43324671" w14:textId="77777777" w:rsidR="00B70BB9" w:rsidRPr="00537098" w:rsidRDefault="00B70BB9" w:rsidP="008C3E3B">
            <w:pPr>
              <w:pStyle w:val="TableTextCenter"/>
              <w:spacing w:before="0" w:after="120"/>
            </w:pPr>
            <w:r>
              <w:t>CXP</w:t>
            </w:r>
          </w:p>
        </w:tc>
        <w:tc>
          <w:tcPr>
            <w:tcW w:w="3800" w:type="pct"/>
          </w:tcPr>
          <w:p w14:paraId="7AC522FE" w14:textId="77777777" w:rsidR="00B70BB9" w:rsidRPr="00537098" w:rsidRDefault="00B70BB9" w:rsidP="008C3E3B">
            <w:pPr>
              <w:pStyle w:val="TableTextLeft"/>
              <w:spacing w:before="0" w:after="120"/>
            </w:pPr>
            <w:r>
              <w:rPr>
                <w:bCs/>
              </w:rPr>
              <w:t xml:space="preserve">Cloud </w:t>
            </w:r>
            <w:proofErr w:type="spellStart"/>
            <w:r>
              <w:rPr>
                <w:bCs/>
              </w:rPr>
              <w:t>eXchange</w:t>
            </w:r>
            <w:proofErr w:type="spellEnd"/>
            <w:r>
              <w:rPr>
                <w:bCs/>
              </w:rPr>
              <w:t xml:space="preserve"> Provider</w:t>
            </w:r>
          </w:p>
        </w:tc>
      </w:tr>
      <w:tr w:rsidR="00B70BB9" w:rsidRPr="00537098" w14:paraId="1E0609EC" w14:textId="77777777" w:rsidTr="008C3E3B">
        <w:trPr>
          <w:trHeight w:val="283"/>
        </w:trPr>
        <w:tc>
          <w:tcPr>
            <w:tcW w:w="1200" w:type="pct"/>
          </w:tcPr>
          <w:p w14:paraId="5E46B822" w14:textId="77777777" w:rsidR="00B70BB9" w:rsidRPr="00537098" w:rsidRDefault="00B70BB9" w:rsidP="008C3E3B">
            <w:pPr>
              <w:pStyle w:val="TableTextCenter"/>
              <w:spacing w:before="0" w:after="120"/>
            </w:pPr>
            <w:r>
              <w:t>GC EARB</w:t>
            </w:r>
          </w:p>
        </w:tc>
        <w:tc>
          <w:tcPr>
            <w:tcW w:w="3800" w:type="pct"/>
          </w:tcPr>
          <w:p w14:paraId="5A12CB17" w14:textId="77777777" w:rsidR="00B70BB9" w:rsidRPr="00537098" w:rsidRDefault="00B70BB9" w:rsidP="008C3E3B">
            <w:pPr>
              <w:pStyle w:val="TableTextLeft"/>
              <w:spacing w:before="0" w:after="120"/>
            </w:pPr>
            <w:r>
              <w:rPr>
                <w:bCs/>
              </w:rPr>
              <w:t>Government of Canada Enterprise Architecture Review Board</w:t>
            </w:r>
          </w:p>
        </w:tc>
      </w:tr>
      <w:tr w:rsidR="001E4DB7" w:rsidRPr="00537098" w14:paraId="45BDEE7F" w14:textId="77777777" w:rsidTr="008C3E3B">
        <w:trPr>
          <w:trHeight w:val="283"/>
        </w:trPr>
        <w:tc>
          <w:tcPr>
            <w:tcW w:w="1200" w:type="pct"/>
          </w:tcPr>
          <w:p w14:paraId="042BE477" w14:textId="6C82280F" w:rsidR="001E4DB7" w:rsidRPr="00537098" w:rsidRDefault="001B60F6" w:rsidP="008C3E3B">
            <w:pPr>
              <w:pStyle w:val="TableTextCenter"/>
              <w:spacing w:before="0" w:after="120"/>
            </w:pPr>
            <w:proofErr w:type="spellStart"/>
            <w:r>
              <w:t>IaC</w:t>
            </w:r>
            <w:proofErr w:type="spellEnd"/>
          </w:p>
        </w:tc>
        <w:tc>
          <w:tcPr>
            <w:tcW w:w="3800" w:type="pct"/>
          </w:tcPr>
          <w:p w14:paraId="22E852D1" w14:textId="51E4A5A7" w:rsidR="001E4DB7" w:rsidRPr="00537098" w:rsidRDefault="001B60F6" w:rsidP="008C3E3B">
            <w:pPr>
              <w:pStyle w:val="TableTextLeft"/>
              <w:spacing w:before="0" w:after="120"/>
            </w:pPr>
            <w:r>
              <w:t>Infrastructure as Code</w:t>
            </w:r>
          </w:p>
        </w:tc>
      </w:tr>
      <w:tr w:rsidR="001E4DB7" w:rsidRPr="00537098" w14:paraId="1B85C4C3" w14:textId="77777777" w:rsidTr="008C3E3B">
        <w:trPr>
          <w:trHeight w:val="283"/>
        </w:trPr>
        <w:tc>
          <w:tcPr>
            <w:tcW w:w="1200" w:type="pct"/>
          </w:tcPr>
          <w:p w14:paraId="22735E6C" w14:textId="7F52BDA1" w:rsidR="001E4DB7" w:rsidRPr="00537098" w:rsidRDefault="00AD4081" w:rsidP="008C3E3B">
            <w:pPr>
              <w:pStyle w:val="TableTextCenter"/>
              <w:spacing w:before="0" w:after="120"/>
            </w:pPr>
            <w:r>
              <w:t>PaaS</w:t>
            </w:r>
          </w:p>
        </w:tc>
        <w:tc>
          <w:tcPr>
            <w:tcW w:w="3800" w:type="pct"/>
          </w:tcPr>
          <w:p w14:paraId="3EFA185F" w14:textId="2D5740D5" w:rsidR="001E4DB7" w:rsidRPr="00537098" w:rsidRDefault="00AD4081" w:rsidP="008C3E3B">
            <w:pPr>
              <w:pStyle w:val="TableTextLeft"/>
              <w:spacing w:before="0" w:after="120"/>
            </w:pPr>
            <w:r>
              <w:t>Platform as a Service</w:t>
            </w:r>
          </w:p>
        </w:tc>
      </w:tr>
      <w:tr w:rsidR="001E4DB7" w:rsidRPr="00537098" w14:paraId="0F06797B" w14:textId="77777777" w:rsidTr="008C3E3B">
        <w:trPr>
          <w:trHeight w:val="283"/>
        </w:trPr>
        <w:tc>
          <w:tcPr>
            <w:tcW w:w="1200" w:type="pct"/>
          </w:tcPr>
          <w:p w14:paraId="75DA34EB" w14:textId="43418F7F" w:rsidR="001E4DB7" w:rsidRPr="00537098" w:rsidRDefault="00AD4081" w:rsidP="008C3E3B">
            <w:pPr>
              <w:pStyle w:val="TableTextCenter"/>
              <w:spacing w:before="0" w:after="120"/>
            </w:pPr>
            <w:r>
              <w:t>IaaS</w:t>
            </w:r>
          </w:p>
        </w:tc>
        <w:tc>
          <w:tcPr>
            <w:tcW w:w="3800" w:type="pct"/>
          </w:tcPr>
          <w:p w14:paraId="4F2D1188" w14:textId="39BDC4F2" w:rsidR="001E4DB7" w:rsidRPr="00537098" w:rsidRDefault="00AD4081" w:rsidP="008C3E3B">
            <w:pPr>
              <w:pStyle w:val="TableTextLeft"/>
              <w:spacing w:before="0" w:after="120"/>
            </w:pPr>
            <w:r>
              <w:t>Infrastructure as a Service</w:t>
            </w:r>
          </w:p>
        </w:tc>
      </w:tr>
      <w:tr w:rsidR="00AD4081" w:rsidRPr="00537098" w14:paraId="1375B0A8" w14:textId="77777777" w:rsidTr="008C3E3B">
        <w:trPr>
          <w:trHeight w:val="283"/>
        </w:trPr>
        <w:tc>
          <w:tcPr>
            <w:tcW w:w="1200" w:type="pct"/>
          </w:tcPr>
          <w:p w14:paraId="5193E254" w14:textId="6B60130A" w:rsidR="00AD4081" w:rsidRDefault="00AD4081" w:rsidP="008C3E3B">
            <w:pPr>
              <w:pStyle w:val="TableTextCenter"/>
              <w:spacing w:before="0" w:after="120"/>
            </w:pPr>
            <w:r>
              <w:t>SaaS</w:t>
            </w:r>
          </w:p>
        </w:tc>
        <w:tc>
          <w:tcPr>
            <w:tcW w:w="3800" w:type="pct"/>
          </w:tcPr>
          <w:p w14:paraId="315E8DE1" w14:textId="6F17DE29" w:rsidR="00AD4081" w:rsidRDefault="00AD4081" w:rsidP="008C3E3B">
            <w:pPr>
              <w:pStyle w:val="TableTextLeft"/>
              <w:spacing w:before="0" w:after="120"/>
            </w:pPr>
            <w:r>
              <w:t>Software as a Service</w:t>
            </w:r>
          </w:p>
        </w:tc>
      </w:tr>
      <w:tr w:rsidR="00372B10" w:rsidRPr="00537098" w14:paraId="4DCB879A" w14:textId="77777777" w:rsidTr="008C3E3B">
        <w:trPr>
          <w:trHeight w:val="283"/>
        </w:trPr>
        <w:tc>
          <w:tcPr>
            <w:tcW w:w="1200" w:type="pct"/>
          </w:tcPr>
          <w:p w14:paraId="105F9F28" w14:textId="31EFEFA0" w:rsidR="00372B10" w:rsidRDefault="00372B10" w:rsidP="008C3E3B">
            <w:pPr>
              <w:pStyle w:val="TableTextCenter"/>
              <w:spacing w:before="0" w:after="120"/>
            </w:pPr>
            <w:r>
              <w:t>SA&amp;A</w:t>
            </w:r>
          </w:p>
        </w:tc>
        <w:tc>
          <w:tcPr>
            <w:tcW w:w="3800" w:type="pct"/>
          </w:tcPr>
          <w:p w14:paraId="3F6982CB" w14:textId="33877846" w:rsidR="00372B10" w:rsidRDefault="00372B10" w:rsidP="008C3E3B">
            <w:pPr>
              <w:pStyle w:val="TableTextLeft"/>
              <w:spacing w:before="0" w:after="120"/>
            </w:pPr>
            <w:r>
              <w:t>Security Assessment and A</w:t>
            </w:r>
            <w:r w:rsidRPr="000717DF">
              <w:t>uthorization</w:t>
            </w:r>
          </w:p>
        </w:tc>
      </w:tr>
    </w:tbl>
    <w:p w14:paraId="066F2CD1" w14:textId="77777777" w:rsidR="00CE2101" w:rsidRPr="00B931A9" w:rsidRDefault="00CE2101" w:rsidP="00CE2101">
      <w:pPr>
        <w:pStyle w:val="BodyText"/>
      </w:pPr>
    </w:p>
    <w:sectPr w:rsidR="00CE2101" w:rsidRPr="00B931A9" w:rsidSect="00C92324">
      <w:pgSz w:w="12240" w:h="15840"/>
      <w:pgMar w:top="1440" w:right="1440" w:bottom="1440" w:left="1440" w:header="720" w:footer="48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Levac, Scott" w:date="2021-08-17T13:50:00Z" w:initials="LS">
    <w:p w14:paraId="1440BCF2" w14:textId="28F411C2" w:rsidR="00ED7743" w:rsidRPr="00ED7743" w:rsidRDefault="00ED7743">
      <w:pPr>
        <w:pStyle w:val="CommentText"/>
        <w:rPr>
          <w:lang w:val="en-US"/>
        </w:rPr>
      </w:pPr>
      <w:r>
        <w:rPr>
          <w:rStyle w:val="CommentReference"/>
        </w:rPr>
        <w:annotationRef/>
      </w:r>
      <w:r>
        <w:rPr>
          <w:lang w:val="en-US"/>
        </w:rPr>
        <w:t>Obtain materials from StatsCan</w:t>
      </w:r>
    </w:p>
  </w:comment>
  <w:comment w:id="13" w:author="Levac, Scott" w:date="2021-08-17T13:46:00Z" w:initials="LS">
    <w:p w14:paraId="512242AF" w14:textId="75B88320" w:rsidR="005F7BBE" w:rsidRPr="005F7BBE" w:rsidRDefault="005F7BBE">
      <w:pPr>
        <w:pStyle w:val="CommentText"/>
        <w:rPr>
          <w:lang w:val="en-US"/>
        </w:rPr>
      </w:pPr>
      <w:r>
        <w:rPr>
          <w:rStyle w:val="CommentReference"/>
        </w:rPr>
        <w:annotationRef/>
      </w:r>
      <w:r>
        <w:rPr>
          <w:lang w:val="en-US"/>
        </w:rPr>
        <w:t>How will this work? Does a department enter a BRD? Do they go to the cloud brokering portal and fill out information which then creates the BRD? Is this a no BRD service?</w:t>
      </w:r>
    </w:p>
  </w:comment>
  <w:comment w:id="20" w:author="Levac, Scott" w:date="2021-08-17T14:42:00Z" w:initials="LS">
    <w:p w14:paraId="43E89B40" w14:textId="1C4D5D9A" w:rsidR="00E3198E" w:rsidRPr="00E3198E" w:rsidRDefault="00E3198E">
      <w:pPr>
        <w:pStyle w:val="CommentText"/>
        <w:rPr>
          <w:lang w:val="en-US"/>
        </w:rPr>
      </w:pPr>
      <w:r>
        <w:rPr>
          <w:rStyle w:val="CommentReference"/>
        </w:rPr>
        <w:annotationRef/>
      </w:r>
      <w:r>
        <w:rPr>
          <w:lang w:val="en-US"/>
        </w:rPr>
        <w:t>May want to update this with information about how departments access the SSC COM landing zone services.</w:t>
      </w:r>
    </w:p>
  </w:comment>
  <w:comment w:id="24" w:author="Levac, Scott" w:date="2021-08-17T13:46:00Z" w:initials="LS">
    <w:p w14:paraId="3490E63A" w14:textId="77777777" w:rsidR="003161D2" w:rsidRPr="005F7BBE" w:rsidRDefault="003161D2" w:rsidP="003161D2">
      <w:pPr>
        <w:pStyle w:val="CommentText"/>
        <w:rPr>
          <w:lang w:val="en-US"/>
        </w:rPr>
      </w:pPr>
      <w:r>
        <w:rPr>
          <w:rStyle w:val="CommentReference"/>
        </w:rPr>
        <w:annotationRef/>
      </w:r>
      <w:r>
        <w:rPr>
          <w:lang w:val="en-US"/>
        </w:rPr>
        <w:t>How will this work? Does a department enter a BRD? Do they go to the cloud brokering portal and fill out information which then creates the BRD? Is this a no BRD service?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40BCF2" w15:done="0"/>
  <w15:commentEx w15:paraId="512242AF" w15:done="0"/>
  <w15:commentEx w15:paraId="43E89B40" w15:done="0"/>
  <w15:commentEx w15:paraId="3490E6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3D10" w16cex:dateUtc="2021-08-17T17:50:00Z"/>
  <w16cex:commentExtensible w16cex:durableId="24C63C45" w16cex:dateUtc="2021-08-17T17:46:00Z"/>
  <w16cex:commentExtensible w16cex:durableId="24C64967" w16cex:dateUtc="2021-08-17T18:42:00Z"/>
  <w16cex:commentExtensible w16cex:durableId="24C64423" w16cex:dateUtc="2021-08-17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40BCF2" w16cid:durableId="24C63D10"/>
  <w16cid:commentId w16cid:paraId="512242AF" w16cid:durableId="24C63C45"/>
  <w16cid:commentId w16cid:paraId="43E89B40" w16cid:durableId="24C64967"/>
  <w16cid:commentId w16cid:paraId="3490E63A" w16cid:durableId="24C644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62B0" w14:textId="77777777" w:rsidR="00E002DA" w:rsidRDefault="00E002DA" w:rsidP="00D86090">
      <w:r>
        <w:separator/>
      </w:r>
    </w:p>
  </w:endnote>
  <w:endnote w:type="continuationSeparator" w:id="0">
    <w:p w14:paraId="47637765" w14:textId="77777777" w:rsidR="00E002DA" w:rsidRDefault="00E002DA"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7DA3" w14:textId="77777777" w:rsidR="005F7BBE" w:rsidRDefault="005F7BBE"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F656" w14:textId="2470649A" w:rsidR="005F7BBE" w:rsidRPr="00F16081" w:rsidRDefault="005F7BBE" w:rsidP="00C92324">
    <w:pPr>
      <w:pStyle w:val="Footer"/>
      <w:tabs>
        <w:tab w:val="clear" w:pos="4320"/>
        <w:tab w:val="clear" w:pos="10800"/>
        <w:tab w:val="center" w:pos="4820"/>
        <w:tab w:val="right" w:pos="9356"/>
      </w:tabs>
      <w:rPr>
        <w:lang w:val="en-CA"/>
      </w:rPr>
    </w:pPr>
    <w:r>
      <w:rPr>
        <w:lang w:val="en-CA"/>
      </w:rPr>
      <w:t xml:space="preserve">GCDOCS </w:t>
    </w:r>
    <w:r w:rsidRPr="00F16081">
      <w:rPr>
        <w:lang w:val="en-CA"/>
      </w:rPr>
      <w:t>&lt;</w:t>
    </w:r>
    <w:r>
      <w:rPr>
        <w:lang w:val="en-CA"/>
      </w:rPr>
      <w:t>#</w:t>
    </w:r>
    <w:r w:rsidRPr="00F16081">
      <w:rPr>
        <w:lang w:val="en-CA"/>
      </w:rPr>
      <w:t>&gt;</w:t>
    </w:r>
    <w:r>
      <w:rPr>
        <w:lang w:val="en-CA"/>
      </w:rPr>
      <w:t xml:space="preserve"> &lt;Version #</w:t>
    </w:r>
    <w:r w:rsidR="008E0916">
      <w:rPr>
        <w:lang w:val="en-CA"/>
      </w:rPr>
      <w:t>Draft</w:t>
    </w:r>
    <w:r>
      <w:rPr>
        <w:lang w:val="en-CA"/>
      </w:rPr>
      <w:t>&gt;</w:t>
    </w:r>
    <w:r>
      <w:tab/>
    </w:r>
    <w:r>
      <w:fldChar w:fldCharType="begin"/>
    </w:r>
    <w:r>
      <w:instrText xml:space="preserve"> PAGE   \* MERGEFORMAT </w:instrText>
    </w:r>
    <w:r>
      <w:fldChar w:fldCharType="separate"/>
    </w:r>
    <w:r>
      <w:rPr>
        <w:noProof/>
      </w:rPr>
      <w:t>iv</w:t>
    </w:r>
    <w:r>
      <w:fldChar w:fldCharType="end"/>
    </w:r>
    <w:r>
      <w:tab/>
    </w:r>
    <w:r>
      <w:rPr>
        <w:lang w:val="en-CA"/>
      </w:rPr>
      <w:t>202</w:t>
    </w:r>
    <w:r w:rsidR="003B1121">
      <w:rPr>
        <w:lang w:val="en-CA"/>
      </w:rPr>
      <w:t>1</w:t>
    </w:r>
    <w:r>
      <w:rPr>
        <w:lang w:val="en-CA"/>
      </w:rPr>
      <w:t>-</w:t>
    </w:r>
    <w:r w:rsidR="008E0916">
      <w:rPr>
        <w:lang w:val="en-CA"/>
      </w:rPr>
      <w:t>08</w:t>
    </w:r>
    <w:r>
      <w:rPr>
        <w:lang w:val="en-CA"/>
      </w:rPr>
      <w:t>-1</w:t>
    </w:r>
    <w:r w:rsidR="008E0916">
      <w:rPr>
        <w:lang w:val="en-C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ECA77" w14:textId="77777777" w:rsidR="00E002DA" w:rsidRDefault="00E002DA" w:rsidP="00D86090">
      <w:r>
        <w:separator/>
      </w:r>
    </w:p>
  </w:footnote>
  <w:footnote w:type="continuationSeparator" w:id="0">
    <w:p w14:paraId="7450A3D2" w14:textId="77777777" w:rsidR="00E002DA" w:rsidRDefault="00E002DA"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9184" w14:textId="7285F85E" w:rsidR="005F7BBE" w:rsidRPr="00883D9D" w:rsidRDefault="005F7BBE" w:rsidP="00794922">
    <w:pPr>
      <w:pStyle w:val="Header"/>
      <w:tabs>
        <w:tab w:val="clear" w:pos="4320"/>
        <w:tab w:val="clear" w:pos="10773"/>
      </w:tabs>
    </w:pPr>
    <w:r>
      <w:rPr>
        <w:noProof/>
      </w:rPr>
      <mc:AlternateContent>
        <mc:Choice Requires="wps">
          <w:drawing>
            <wp:anchor distT="0" distB="0" distL="114300" distR="114300" simplePos="0" relativeHeight="251659264" behindDoc="0" locked="0" layoutInCell="0" allowOverlap="1" wp14:anchorId="189635B2" wp14:editId="586C2DEF">
              <wp:simplePos x="0" y="0"/>
              <wp:positionH relativeFrom="page">
                <wp:posOffset>0</wp:posOffset>
              </wp:positionH>
              <wp:positionV relativeFrom="page">
                <wp:posOffset>190500</wp:posOffset>
              </wp:positionV>
              <wp:extent cx="7772400" cy="252095"/>
              <wp:effectExtent l="0" t="0" r="0" b="14605"/>
              <wp:wrapNone/>
              <wp:docPr id="4" name="MSIPCM7442403bb427a3fe30dd46ef"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51E8B" w14:textId="1A538E76" w:rsidR="005F7BBE" w:rsidRPr="00A60119" w:rsidRDefault="005F7BBE" w:rsidP="00A60119">
                          <w:pPr>
                            <w:spacing w:after="0"/>
                            <w:jc w:val="right"/>
                            <w:rPr>
                              <w:rFonts w:ascii="Arial" w:hAnsi="Arial" w:cs="Arial"/>
                              <w:color w:val="000000"/>
                              <w:sz w:val="24"/>
                            </w:rPr>
                          </w:pPr>
                          <w:r w:rsidRPr="00A60119">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9635B2" id="_x0000_t202" coordsize="21600,21600" o:spt="202" path="m,l,21600r21600,l21600,xe">
              <v:stroke joinstyle="miter"/>
              <v:path gradientshapeok="t" o:connecttype="rect"/>
            </v:shapetype>
            <v:shape id="MSIPCM7442403bb427a3fe30dd46ef" o:spid="_x0000_s1026"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" o:allowincell="f" filled="f" stroked="f" strokeweight=".5pt">
              <v:fill o:detectmouseclick="t"/>
              <v:textbox inset=",0,20pt,0">
                <w:txbxContent>
                  <w:p w14:paraId="14B51E8B" w14:textId="1A538E76" w:rsidR="005F7BBE" w:rsidRPr="00A60119" w:rsidRDefault="005F7BBE" w:rsidP="00A60119">
                    <w:pPr>
                      <w:spacing w:after="0"/>
                      <w:jc w:val="right"/>
                      <w:rPr>
                        <w:rFonts w:ascii="Arial" w:hAnsi="Arial" w:cs="Arial"/>
                        <w:color w:val="000000"/>
                        <w:sz w:val="24"/>
                      </w:rPr>
                    </w:pPr>
                    <w:r w:rsidRPr="00A60119">
                      <w:rPr>
                        <w:rFonts w:ascii="Arial" w:hAnsi="Arial" w:cs="Arial"/>
                        <w:color w:val="000000"/>
                        <w:sz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12" w:space="0" w:color="1F497D"/>
      </w:tblBorders>
      <w:tblLook w:val="04A0" w:firstRow="1" w:lastRow="0" w:firstColumn="1" w:lastColumn="0" w:noHBand="0" w:noVBand="1"/>
    </w:tblPr>
    <w:tblGrid>
      <w:gridCol w:w="3964"/>
      <w:gridCol w:w="1341"/>
      <w:gridCol w:w="3947"/>
    </w:tblGrid>
    <w:tr w:rsidR="003B1121" w:rsidRPr="006D2BB5" w14:paraId="28DA5DF2" w14:textId="77777777" w:rsidTr="0055704D">
      <w:tc>
        <w:tcPr>
          <w:tcW w:w="4536" w:type="dxa"/>
          <w:vAlign w:val="center"/>
        </w:tcPr>
        <w:p w14:paraId="60B09D8B" w14:textId="5C78578F" w:rsidR="005F7BBE" w:rsidRPr="008A4252" w:rsidRDefault="005F7BBE" w:rsidP="006D2BB5">
          <w:pPr>
            <w:pStyle w:val="Header"/>
            <w:rPr>
              <w:color w:val="1F497D"/>
              <w:lang w:val="en-CA"/>
            </w:rPr>
          </w:pPr>
          <w:r w:rsidRPr="006D2BB5">
            <w:rPr>
              <w:color w:val="1F497D"/>
              <w:sz w:val="20"/>
              <w:lang w:val="en-CA"/>
            </w:rPr>
            <w:t>C</w:t>
          </w:r>
          <w:r>
            <w:rPr>
              <w:color w:val="1F497D"/>
              <w:sz w:val="20"/>
              <w:lang w:val="en-CA"/>
            </w:rPr>
            <w:t xml:space="preserve">loud </w:t>
          </w:r>
          <w:r w:rsidR="003B1121">
            <w:rPr>
              <w:color w:val="1F497D"/>
              <w:sz w:val="20"/>
              <w:lang w:val="en-CA"/>
            </w:rPr>
            <w:t>Discovery &amp; Migration</w:t>
          </w:r>
          <w:r w:rsidRPr="006D2BB5">
            <w:rPr>
              <w:color w:val="1F497D"/>
              <w:sz w:val="20"/>
              <w:lang w:val="en-CA"/>
            </w:rPr>
            <w:t xml:space="preserve"> Readiness</w:t>
          </w:r>
        </w:p>
      </w:tc>
      <w:tc>
        <w:tcPr>
          <w:tcW w:w="1560" w:type="dxa"/>
          <w:vAlign w:val="center"/>
        </w:tcPr>
        <w:p w14:paraId="7298D946" w14:textId="77777777" w:rsidR="005F7BBE" w:rsidRPr="006D2BB5" w:rsidRDefault="005F7BBE" w:rsidP="0055704D">
          <w:pPr>
            <w:pStyle w:val="Header"/>
            <w:rPr>
              <w:b w:val="0"/>
              <w:color w:val="1F497D"/>
              <w:lang w:val="en-CA"/>
            </w:rPr>
          </w:pPr>
        </w:p>
      </w:tc>
      <w:tc>
        <w:tcPr>
          <w:tcW w:w="4677" w:type="dxa"/>
          <w:vAlign w:val="center"/>
        </w:tcPr>
        <w:p w14:paraId="6CD45554" w14:textId="77777777" w:rsidR="005F7BBE" w:rsidRPr="006D2BB5" w:rsidRDefault="005F7BBE" w:rsidP="00966AE4">
          <w:pPr>
            <w:pStyle w:val="Header"/>
            <w:jc w:val="right"/>
            <w:rPr>
              <w:color w:val="1F497D"/>
              <w:lang w:val="en-CA"/>
            </w:rPr>
          </w:pPr>
        </w:p>
      </w:tc>
    </w:tr>
  </w:tbl>
  <w:p w14:paraId="5C52CC14" w14:textId="4BC663D2" w:rsidR="005F7BBE" w:rsidRPr="00554A1E" w:rsidRDefault="005F7BBE"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50567E"/>
    <w:multiLevelType w:val="hybridMultilevel"/>
    <w:tmpl w:val="E7A8A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10"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1E626E"/>
    <w:multiLevelType w:val="hybridMultilevel"/>
    <w:tmpl w:val="E184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DE4189"/>
    <w:multiLevelType w:val="hybridMultilevel"/>
    <w:tmpl w:val="DB2CA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0"/>
  </w:num>
  <w:num w:numId="5">
    <w:abstractNumId w:val="18"/>
  </w:num>
  <w:num w:numId="6">
    <w:abstractNumId w:val="13"/>
  </w:num>
  <w:num w:numId="7">
    <w:abstractNumId w:val="16"/>
  </w:num>
  <w:num w:numId="8">
    <w:abstractNumId w:val="5"/>
  </w:num>
  <w:num w:numId="9">
    <w:abstractNumId w:val="14"/>
  </w:num>
  <w:num w:numId="10">
    <w:abstractNumId w:val="20"/>
  </w:num>
  <w:num w:numId="11">
    <w:abstractNumId w:val="15"/>
  </w:num>
  <w:num w:numId="12">
    <w:abstractNumId w:val="4"/>
  </w:num>
  <w:num w:numId="13">
    <w:abstractNumId w:val="9"/>
  </w:num>
  <w:num w:numId="14">
    <w:abstractNumId w:val="3"/>
  </w:num>
  <w:num w:numId="15">
    <w:abstractNumId w:val="2"/>
  </w:num>
  <w:num w:numId="16">
    <w:abstractNumId w:val="8"/>
  </w:num>
  <w:num w:numId="17">
    <w:abstractNumId w:val="6"/>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9"/>
  </w:num>
  <w:num w:numId="23">
    <w:abstractNumId w:val="17"/>
  </w:num>
  <w:num w:numId="24">
    <w:abstractNumId w:val="6"/>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vac, Scott">
    <w15:presenceInfo w15:providerId="AD" w15:userId="S::SLEVAC@tbs-sct.gc.ca::3d01e1c6-3884-4a04-8111-a4466d92c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087"/>
    <w:rsid w:val="00003979"/>
    <w:rsid w:val="00004D93"/>
    <w:rsid w:val="00011018"/>
    <w:rsid w:val="000125B7"/>
    <w:rsid w:val="00013309"/>
    <w:rsid w:val="000149B3"/>
    <w:rsid w:val="00017C50"/>
    <w:rsid w:val="00021264"/>
    <w:rsid w:val="00022DE7"/>
    <w:rsid w:val="0002343E"/>
    <w:rsid w:val="000307BE"/>
    <w:rsid w:val="000340AB"/>
    <w:rsid w:val="0003595C"/>
    <w:rsid w:val="00043172"/>
    <w:rsid w:val="000507FC"/>
    <w:rsid w:val="0005183A"/>
    <w:rsid w:val="00055D19"/>
    <w:rsid w:val="00063EAE"/>
    <w:rsid w:val="00065F3F"/>
    <w:rsid w:val="00066B37"/>
    <w:rsid w:val="00067FD4"/>
    <w:rsid w:val="0007074B"/>
    <w:rsid w:val="00072BCE"/>
    <w:rsid w:val="00085C77"/>
    <w:rsid w:val="00086E9A"/>
    <w:rsid w:val="00087D3C"/>
    <w:rsid w:val="00090935"/>
    <w:rsid w:val="00095208"/>
    <w:rsid w:val="00096E71"/>
    <w:rsid w:val="000A02FA"/>
    <w:rsid w:val="000A6A8B"/>
    <w:rsid w:val="000B3A51"/>
    <w:rsid w:val="000B3E71"/>
    <w:rsid w:val="000B7BD5"/>
    <w:rsid w:val="000C16D7"/>
    <w:rsid w:val="000C374F"/>
    <w:rsid w:val="000C5C74"/>
    <w:rsid w:val="000D0C93"/>
    <w:rsid w:val="000D1C99"/>
    <w:rsid w:val="000D20BD"/>
    <w:rsid w:val="000D68B9"/>
    <w:rsid w:val="000E0D16"/>
    <w:rsid w:val="000E5EFF"/>
    <w:rsid w:val="000F07AB"/>
    <w:rsid w:val="000F0D83"/>
    <w:rsid w:val="000F12E4"/>
    <w:rsid w:val="000F1A59"/>
    <w:rsid w:val="000F4DE0"/>
    <w:rsid w:val="000F5048"/>
    <w:rsid w:val="000F626A"/>
    <w:rsid w:val="000F7227"/>
    <w:rsid w:val="00100150"/>
    <w:rsid w:val="00102414"/>
    <w:rsid w:val="00102E8C"/>
    <w:rsid w:val="001172C4"/>
    <w:rsid w:val="001272C1"/>
    <w:rsid w:val="00132369"/>
    <w:rsid w:val="00133DF9"/>
    <w:rsid w:val="001404C9"/>
    <w:rsid w:val="00141DC0"/>
    <w:rsid w:val="0014254B"/>
    <w:rsid w:val="0014481D"/>
    <w:rsid w:val="00144F97"/>
    <w:rsid w:val="00154B8D"/>
    <w:rsid w:val="0015759B"/>
    <w:rsid w:val="00157C0B"/>
    <w:rsid w:val="001611A0"/>
    <w:rsid w:val="001632B4"/>
    <w:rsid w:val="001668AF"/>
    <w:rsid w:val="00166EF3"/>
    <w:rsid w:val="00170095"/>
    <w:rsid w:val="00170F33"/>
    <w:rsid w:val="00171429"/>
    <w:rsid w:val="00172588"/>
    <w:rsid w:val="00173293"/>
    <w:rsid w:val="001805E6"/>
    <w:rsid w:val="00182EA2"/>
    <w:rsid w:val="0018322C"/>
    <w:rsid w:val="00184E61"/>
    <w:rsid w:val="00191189"/>
    <w:rsid w:val="00191925"/>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D05B8"/>
    <w:rsid w:val="001D0D00"/>
    <w:rsid w:val="001D1271"/>
    <w:rsid w:val="001D1B13"/>
    <w:rsid w:val="001D6922"/>
    <w:rsid w:val="001E4DB7"/>
    <w:rsid w:val="001E5066"/>
    <w:rsid w:val="001E5CA6"/>
    <w:rsid w:val="001F0A8B"/>
    <w:rsid w:val="001F126F"/>
    <w:rsid w:val="001F28D1"/>
    <w:rsid w:val="001F34CE"/>
    <w:rsid w:val="001F54E0"/>
    <w:rsid w:val="002031C7"/>
    <w:rsid w:val="00204D71"/>
    <w:rsid w:val="002072E0"/>
    <w:rsid w:val="00211FBB"/>
    <w:rsid w:val="00214CC8"/>
    <w:rsid w:val="0021661D"/>
    <w:rsid w:val="0021717B"/>
    <w:rsid w:val="00224B60"/>
    <w:rsid w:val="00225544"/>
    <w:rsid w:val="00226CC8"/>
    <w:rsid w:val="00227C72"/>
    <w:rsid w:val="002304EF"/>
    <w:rsid w:val="002334B0"/>
    <w:rsid w:val="0023367B"/>
    <w:rsid w:val="0023604E"/>
    <w:rsid w:val="00240073"/>
    <w:rsid w:val="00240834"/>
    <w:rsid w:val="00241682"/>
    <w:rsid w:val="0024441B"/>
    <w:rsid w:val="00247694"/>
    <w:rsid w:val="00247B0E"/>
    <w:rsid w:val="00251827"/>
    <w:rsid w:val="00251E69"/>
    <w:rsid w:val="00252158"/>
    <w:rsid w:val="002526A9"/>
    <w:rsid w:val="00256F7A"/>
    <w:rsid w:val="00257F9F"/>
    <w:rsid w:val="00260B63"/>
    <w:rsid w:val="00264616"/>
    <w:rsid w:val="00265801"/>
    <w:rsid w:val="00271E58"/>
    <w:rsid w:val="00277D26"/>
    <w:rsid w:val="00281DB3"/>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5E61"/>
    <w:rsid w:val="002F0581"/>
    <w:rsid w:val="002F1AB2"/>
    <w:rsid w:val="002F3A52"/>
    <w:rsid w:val="002F48EB"/>
    <w:rsid w:val="003001D6"/>
    <w:rsid w:val="00301884"/>
    <w:rsid w:val="0030351F"/>
    <w:rsid w:val="00303732"/>
    <w:rsid w:val="00313901"/>
    <w:rsid w:val="00313BD6"/>
    <w:rsid w:val="00314417"/>
    <w:rsid w:val="003161D2"/>
    <w:rsid w:val="0031686C"/>
    <w:rsid w:val="00317B71"/>
    <w:rsid w:val="00320DCF"/>
    <w:rsid w:val="0032128C"/>
    <w:rsid w:val="0032666D"/>
    <w:rsid w:val="00327447"/>
    <w:rsid w:val="00327554"/>
    <w:rsid w:val="0032774E"/>
    <w:rsid w:val="00330616"/>
    <w:rsid w:val="00331D27"/>
    <w:rsid w:val="003326FC"/>
    <w:rsid w:val="00334749"/>
    <w:rsid w:val="0033582C"/>
    <w:rsid w:val="00335DA9"/>
    <w:rsid w:val="0033627A"/>
    <w:rsid w:val="003374E0"/>
    <w:rsid w:val="00340196"/>
    <w:rsid w:val="003412E4"/>
    <w:rsid w:val="00342305"/>
    <w:rsid w:val="003459BA"/>
    <w:rsid w:val="003500A3"/>
    <w:rsid w:val="0035125F"/>
    <w:rsid w:val="00357BF9"/>
    <w:rsid w:val="00360D50"/>
    <w:rsid w:val="00361423"/>
    <w:rsid w:val="00370CA9"/>
    <w:rsid w:val="003711D0"/>
    <w:rsid w:val="00372703"/>
    <w:rsid w:val="00372B10"/>
    <w:rsid w:val="00373EDF"/>
    <w:rsid w:val="003741CD"/>
    <w:rsid w:val="003742AB"/>
    <w:rsid w:val="00376AB5"/>
    <w:rsid w:val="003802B4"/>
    <w:rsid w:val="003802B8"/>
    <w:rsid w:val="00380D5E"/>
    <w:rsid w:val="00384E18"/>
    <w:rsid w:val="00387D7D"/>
    <w:rsid w:val="00396AAB"/>
    <w:rsid w:val="00397325"/>
    <w:rsid w:val="00397BD8"/>
    <w:rsid w:val="00397D4D"/>
    <w:rsid w:val="003A06CD"/>
    <w:rsid w:val="003A06CE"/>
    <w:rsid w:val="003A0C3B"/>
    <w:rsid w:val="003A13A2"/>
    <w:rsid w:val="003A300A"/>
    <w:rsid w:val="003B1121"/>
    <w:rsid w:val="003B1852"/>
    <w:rsid w:val="003B2BB1"/>
    <w:rsid w:val="003B562C"/>
    <w:rsid w:val="003C055E"/>
    <w:rsid w:val="003C09B2"/>
    <w:rsid w:val="003C377A"/>
    <w:rsid w:val="003C3797"/>
    <w:rsid w:val="003C51C6"/>
    <w:rsid w:val="003C53B5"/>
    <w:rsid w:val="003C64D6"/>
    <w:rsid w:val="003D224E"/>
    <w:rsid w:val="003D3963"/>
    <w:rsid w:val="003E0E34"/>
    <w:rsid w:val="003E12D4"/>
    <w:rsid w:val="003E35DF"/>
    <w:rsid w:val="003E5CB7"/>
    <w:rsid w:val="003E6403"/>
    <w:rsid w:val="003E6DD8"/>
    <w:rsid w:val="003F0BF4"/>
    <w:rsid w:val="00402630"/>
    <w:rsid w:val="00406A9B"/>
    <w:rsid w:val="00407B90"/>
    <w:rsid w:val="00415B7E"/>
    <w:rsid w:val="004203A2"/>
    <w:rsid w:val="0042564F"/>
    <w:rsid w:val="00426CD9"/>
    <w:rsid w:val="004301EE"/>
    <w:rsid w:val="00431F12"/>
    <w:rsid w:val="00433538"/>
    <w:rsid w:val="0043365D"/>
    <w:rsid w:val="004358D5"/>
    <w:rsid w:val="004359F9"/>
    <w:rsid w:val="0044020A"/>
    <w:rsid w:val="00440C48"/>
    <w:rsid w:val="00444ECB"/>
    <w:rsid w:val="00445A40"/>
    <w:rsid w:val="0045333D"/>
    <w:rsid w:val="00455207"/>
    <w:rsid w:val="00456A8B"/>
    <w:rsid w:val="0045785A"/>
    <w:rsid w:val="00460C8C"/>
    <w:rsid w:val="004631C3"/>
    <w:rsid w:val="00465EFA"/>
    <w:rsid w:val="0047036C"/>
    <w:rsid w:val="0047361D"/>
    <w:rsid w:val="004766E2"/>
    <w:rsid w:val="00483C0C"/>
    <w:rsid w:val="004845CB"/>
    <w:rsid w:val="00486F92"/>
    <w:rsid w:val="00487261"/>
    <w:rsid w:val="004872E3"/>
    <w:rsid w:val="00491420"/>
    <w:rsid w:val="0049313C"/>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253D"/>
    <w:rsid w:val="004E4F1C"/>
    <w:rsid w:val="00500119"/>
    <w:rsid w:val="0050040E"/>
    <w:rsid w:val="00502E12"/>
    <w:rsid w:val="00506145"/>
    <w:rsid w:val="00506E36"/>
    <w:rsid w:val="005075E6"/>
    <w:rsid w:val="00511089"/>
    <w:rsid w:val="00511ED4"/>
    <w:rsid w:val="005138A6"/>
    <w:rsid w:val="00516BC2"/>
    <w:rsid w:val="00517991"/>
    <w:rsid w:val="00522213"/>
    <w:rsid w:val="00522271"/>
    <w:rsid w:val="005232B5"/>
    <w:rsid w:val="0052508D"/>
    <w:rsid w:val="00526D0B"/>
    <w:rsid w:val="0053160D"/>
    <w:rsid w:val="005316F1"/>
    <w:rsid w:val="00533D7E"/>
    <w:rsid w:val="00533DAE"/>
    <w:rsid w:val="00537098"/>
    <w:rsid w:val="00537D54"/>
    <w:rsid w:val="00542997"/>
    <w:rsid w:val="00544CA8"/>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D2C"/>
    <w:rsid w:val="005754CA"/>
    <w:rsid w:val="0057559D"/>
    <w:rsid w:val="0057574A"/>
    <w:rsid w:val="00577D2B"/>
    <w:rsid w:val="005818BE"/>
    <w:rsid w:val="005854D0"/>
    <w:rsid w:val="00587BDF"/>
    <w:rsid w:val="00590DF3"/>
    <w:rsid w:val="00593323"/>
    <w:rsid w:val="00593EB2"/>
    <w:rsid w:val="005978F5"/>
    <w:rsid w:val="00597DCB"/>
    <w:rsid w:val="005A2C4E"/>
    <w:rsid w:val="005A4441"/>
    <w:rsid w:val="005A6AA4"/>
    <w:rsid w:val="005B64DF"/>
    <w:rsid w:val="005B7FD7"/>
    <w:rsid w:val="005C0557"/>
    <w:rsid w:val="005C05F2"/>
    <w:rsid w:val="005D468E"/>
    <w:rsid w:val="005D75C6"/>
    <w:rsid w:val="005E0021"/>
    <w:rsid w:val="005E22E0"/>
    <w:rsid w:val="005E4B57"/>
    <w:rsid w:val="005E6AC0"/>
    <w:rsid w:val="005E7365"/>
    <w:rsid w:val="005F0440"/>
    <w:rsid w:val="005F205C"/>
    <w:rsid w:val="005F5EBA"/>
    <w:rsid w:val="005F7AF1"/>
    <w:rsid w:val="005F7BBE"/>
    <w:rsid w:val="00600DE4"/>
    <w:rsid w:val="00602A77"/>
    <w:rsid w:val="006062E1"/>
    <w:rsid w:val="00611AC4"/>
    <w:rsid w:val="00613AB1"/>
    <w:rsid w:val="00614143"/>
    <w:rsid w:val="0061485F"/>
    <w:rsid w:val="0061555E"/>
    <w:rsid w:val="0061793A"/>
    <w:rsid w:val="00620EDC"/>
    <w:rsid w:val="00623A96"/>
    <w:rsid w:val="0062589C"/>
    <w:rsid w:val="00631CFF"/>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911C4"/>
    <w:rsid w:val="0069371E"/>
    <w:rsid w:val="00693A08"/>
    <w:rsid w:val="00693EA4"/>
    <w:rsid w:val="006966B2"/>
    <w:rsid w:val="006976DE"/>
    <w:rsid w:val="006A1813"/>
    <w:rsid w:val="006A1A3A"/>
    <w:rsid w:val="006A1FCA"/>
    <w:rsid w:val="006A4506"/>
    <w:rsid w:val="006A7021"/>
    <w:rsid w:val="006A7A5F"/>
    <w:rsid w:val="006A7DC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5A6E"/>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174D"/>
    <w:rsid w:val="0077030C"/>
    <w:rsid w:val="00770868"/>
    <w:rsid w:val="00775E69"/>
    <w:rsid w:val="00783365"/>
    <w:rsid w:val="00785B7A"/>
    <w:rsid w:val="00786FA7"/>
    <w:rsid w:val="00787DE0"/>
    <w:rsid w:val="0079108D"/>
    <w:rsid w:val="00793BD0"/>
    <w:rsid w:val="00794300"/>
    <w:rsid w:val="00794922"/>
    <w:rsid w:val="00797163"/>
    <w:rsid w:val="007B2C33"/>
    <w:rsid w:val="007B4373"/>
    <w:rsid w:val="007B472E"/>
    <w:rsid w:val="007B5B8B"/>
    <w:rsid w:val="007B622A"/>
    <w:rsid w:val="007C0353"/>
    <w:rsid w:val="007C1964"/>
    <w:rsid w:val="007C59DB"/>
    <w:rsid w:val="007C78FC"/>
    <w:rsid w:val="007C7F54"/>
    <w:rsid w:val="007D189A"/>
    <w:rsid w:val="007D18B4"/>
    <w:rsid w:val="007D5B15"/>
    <w:rsid w:val="007E204D"/>
    <w:rsid w:val="007E21A0"/>
    <w:rsid w:val="007E3F99"/>
    <w:rsid w:val="007E48CD"/>
    <w:rsid w:val="007E5E16"/>
    <w:rsid w:val="007F0429"/>
    <w:rsid w:val="007F7AFA"/>
    <w:rsid w:val="007F7EAC"/>
    <w:rsid w:val="008003D2"/>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1507"/>
    <w:rsid w:val="008619A3"/>
    <w:rsid w:val="00862019"/>
    <w:rsid w:val="00866937"/>
    <w:rsid w:val="00866B11"/>
    <w:rsid w:val="0087038D"/>
    <w:rsid w:val="008740CF"/>
    <w:rsid w:val="00880045"/>
    <w:rsid w:val="00880378"/>
    <w:rsid w:val="008810EE"/>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0916"/>
    <w:rsid w:val="008E412D"/>
    <w:rsid w:val="008F069F"/>
    <w:rsid w:val="008F0C6E"/>
    <w:rsid w:val="008F27C6"/>
    <w:rsid w:val="008F726E"/>
    <w:rsid w:val="00902CAB"/>
    <w:rsid w:val="00905FEB"/>
    <w:rsid w:val="009069AE"/>
    <w:rsid w:val="00907005"/>
    <w:rsid w:val="00912836"/>
    <w:rsid w:val="00912A45"/>
    <w:rsid w:val="00915E29"/>
    <w:rsid w:val="009216A8"/>
    <w:rsid w:val="0092220E"/>
    <w:rsid w:val="009230AD"/>
    <w:rsid w:val="00923928"/>
    <w:rsid w:val="00931D29"/>
    <w:rsid w:val="00931E04"/>
    <w:rsid w:val="00932896"/>
    <w:rsid w:val="00933B93"/>
    <w:rsid w:val="00936945"/>
    <w:rsid w:val="00936EBE"/>
    <w:rsid w:val="00941E02"/>
    <w:rsid w:val="00944297"/>
    <w:rsid w:val="009472CF"/>
    <w:rsid w:val="009510C2"/>
    <w:rsid w:val="00953CE1"/>
    <w:rsid w:val="00955082"/>
    <w:rsid w:val="00956F98"/>
    <w:rsid w:val="009647DA"/>
    <w:rsid w:val="00966AE4"/>
    <w:rsid w:val="00967ED6"/>
    <w:rsid w:val="00971E6D"/>
    <w:rsid w:val="009721D6"/>
    <w:rsid w:val="00972424"/>
    <w:rsid w:val="0097245F"/>
    <w:rsid w:val="00974221"/>
    <w:rsid w:val="009759C5"/>
    <w:rsid w:val="009766B8"/>
    <w:rsid w:val="0098731D"/>
    <w:rsid w:val="0098738E"/>
    <w:rsid w:val="00987DEF"/>
    <w:rsid w:val="00990F11"/>
    <w:rsid w:val="00992D69"/>
    <w:rsid w:val="009939B8"/>
    <w:rsid w:val="00994917"/>
    <w:rsid w:val="00994CC8"/>
    <w:rsid w:val="00994D9D"/>
    <w:rsid w:val="00996CC6"/>
    <w:rsid w:val="00996F74"/>
    <w:rsid w:val="00997E95"/>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07E25"/>
    <w:rsid w:val="00A1231F"/>
    <w:rsid w:val="00A235D5"/>
    <w:rsid w:val="00A269F7"/>
    <w:rsid w:val="00A3164A"/>
    <w:rsid w:val="00A32377"/>
    <w:rsid w:val="00A37F2D"/>
    <w:rsid w:val="00A41BCF"/>
    <w:rsid w:val="00A44FC8"/>
    <w:rsid w:val="00A464D2"/>
    <w:rsid w:val="00A476F4"/>
    <w:rsid w:val="00A501E1"/>
    <w:rsid w:val="00A53B5B"/>
    <w:rsid w:val="00A53B61"/>
    <w:rsid w:val="00A54353"/>
    <w:rsid w:val="00A54BE8"/>
    <w:rsid w:val="00A60119"/>
    <w:rsid w:val="00A67B4D"/>
    <w:rsid w:val="00A70E9F"/>
    <w:rsid w:val="00A714EF"/>
    <w:rsid w:val="00A7158B"/>
    <w:rsid w:val="00A750DB"/>
    <w:rsid w:val="00A83D2B"/>
    <w:rsid w:val="00A8551B"/>
    <w:rsid w:val="00A878C7"/>
    <w:rsid w:val="00A91184"/>
    <w:rsid w:val="00A911B8"/>
    <w:rsid w:val="00A918E6"/>
    <w:rsid w:val="00A9507F"/>
    <w:rsid w:val="00AA0659"/>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27702"/>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3B19"/>
    <w:rsid w:val="00B83C7F"/>
    <w:rsid w:val="00B86E4F"/>
    <w:rsid w:val="00B931A9"/>
    <w:rsid w:val="00BA36B0"/>
    <w:rsid w:val="00BA459F"/>
    <w:rsid w:val="00BA65FD"/>
    <w:rsid w:val="00BB1A26"/>
    <w:rsid w:val="00BB2CFC"/>
    <w:rsid w:val="00BB3EBB"/>
    <w:rsid w:val="00BB4EF4"/>
    <w:rsid w:val="00BC3809"/>
    <w:rsid w:val="00BD24DC"/>
    <w:rsid w:val="00BD386D"/>
    <w:rsid w:val="00BD403D"/>
    <w:rsid w:val="00BD4798"/>
    <w:rsid w:val="00BE4BF6"/>
    <w:rsid w:val="00BE560C"/>
    <w:rsid w:val="00BE6F6C"/>
    <w:rsid w:val="00BF1948"/>
    <w:rsid w:val="00BF1CBC"/>
    <w:rsid w:val="00BF33A7"/>
    <w:rsid w:val="00BF3956"/>
    <w:rsid w:val="00BF3C99"/>
    <w:rsid w:val="00BF507B"/>
    <w:rsid w:val="00BF5352"/>
    <w:rsid w:val="00BF7B3F"/>
    <w:rsid w:val="00C009D7"/>
    <w:rsid w:val="00C0312E"/>
    <w:rsid w:val="00C050ED"/>
    <w:rsid w:val="00C06269"/>
    <w:rsid w:val="00C07D54"/>
    <w:rsid w:val="00C11941"/>
    <w:rsid w:val="00C12CE8"/>
    <w:rsid w:val="00C20095"/>
    <w:rsid w:val="00C214CA"/>
    <w:rsid w:val="00C23759"/>
    <w:rsid w:val="00C26BFF"/>
    <w:rsid w:val="00C31F7A"/>
    <w:rsid w:val="00C33511"/>
    <w:rsid w:val="00C3525C"/>
    <w:rsid w:val="00C35CC3"/>
    <w:rsid w:val="00C36606"/>
    <w:rsid w:val="00C37A1C"/>
    <w:rsid w:val="00C40B61"/>
    <w:rsid w:val="00C4391D"/>
    <w:rsid w:val="00C47A56"/>
    <w:rsid w:val="00C529F4"/>
    <w:rsid w:val="00C56802"/>
    <w:rsid w:val="00C600BE"/>
    <w:rsid w:val="00C60238"/>
    <w:rsid w:val="00C62777"/>
    <w:rsid w:val="00C66EBD"/>
    <w:rsid w:val="00C72DA9"/>
    <w:rsid w:val="00C74A11"/>
    <w:rsid w:val="00C7680C"/>
    <w:rsid w:val="00C77E42"/>
    <w:rsid w:val="00C77E78"/>
    <w:rsid w:val="00C852EC"/>
    <w:rsid w:val="00C92324"/>
    <w:rsid w:val="00CA08D6"/>
    <w:rsid w:val="00CA4A20"/>
    <w:rsid w:val="00CA53D7"/>
    <w:rsid w:val="00CA64AE"/>
    <w:rsid w:val="00CB4D8D"/>
    <w:rsid w:val="00CB50CD"/>
    <w:rsid w:val="00CB7D8D"/>
    <w:rsid w:val="00CC0698"/>
    <w:rsid w:val="00CC1455"/>
    <w:rsid w:val="00CC4970"/>
    <w:rsid w:val="00CD297C"/>
    <w:rsid w:val="00CD3051"/>
    <w:rsid w:val="00CE2101"/>
    <w:rsid w:val="00CE56B1"/>
    <w:rsid w:val="00CF30C1"/>
    <w:rsid w:val="00D001AE"/>
    <w:rsid w:val="00D00C9C"/>
    <w:rsid w:val="00D046F6"/>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80811"/>
    <w:rsid w:val="00D819B8"/>
    <w:rsid w:val="00D81AE8"/>
    <w:rsid w:val="00D843AA"/>
    <w:rsid w:val="00D86090"/>
    <w:rsid w:val="00D86B91"/>
    <w:rsid w:val="00D87261"/>
    <w:rsid w:val="00D92B95"/>
    <w:rsid w:val="00D96806"/>
    <w:rsid w:val="00D97AD0"/>
    <w:rsid w:val="00DA2796"/>
    <w:rsid w:val="00DB3846"/>
    <w:rsid w:val="00DC0580"/>
    <w:rsid w:val="00DC2572"/>
    <w:rsid w:val="00DC3185"/>
    <w:rsid w:val="00DC3EB3"/>
    <w:rsid w:val="00DC3FAB"/>
    <w:rsid w:val="00DC432C"/>
    <w:rsid w:val="00DC461A"/>
    <w:rsid w:val="00DC58EA"/>
    <w:rsid w:val="00DC77D4"/>
    <w:rsid w:val="00DC7D35"/>
    <w:rsid w:val="00DD0694"/>
    <w:rsid w:val="00DD0BF3"/>
    <w:rsid w:val="00DD291D"/>
    <w:rsid w:val="00DD74EE"/>
    <w:rsid w:val="00DE2822"/>
    <w:rsid w:val="00DE5094"/>
    <w:rsid w:val="00DE576B"/>
    <w:rsid w:val="00DE6737"/>
    <w:rsid w:val="00DF0621"/>
    <w:rsid w:val="00DF21B4"/>
    <w:rsid w:val="00DF5008"/>
    <w:rsid w:val="00DF664E"/>
    <w:rsid w:val="00E002DA"/>
    <w:rsid w:val="00E01E06"/>
    <w:rsid w:val="00E0200C"/>
    <w:rsid w:val="00E02050"/>
    <w:rsid w:val="00E14EB8"/>
    <w:rsid w:val="00E1720B"/>
    <w:rsid w:val="00E20A8E"/>
    <w:rsid w:val="00E27310"/>
    <w:rsid w:val="00E277DC"/>
    <w:rsid w:val="00E304CA"/>
    <w:rsid w:val="00E30548"/>
    <w:rsid w:val="00E30EEF"/>
    <w:rsid w:val="00E3198E"/>
    <w:rsid w:val="00E35CE0"/>
    <w:rsid w:val="00E373BA"/>
    <w:rsid w:val="00E40C92"/>
    <w:rsid w:val="00E41EBF"/>
    <w:rsid w:val="00E42827"/>
    <w:rsid w:val="00E4791A"/>
    <w:rsid w:val="00E537F0"/>
    <w:rsid w:val="00E60C9B"/>
    <w:rsid w:val="00E713DA"/>
    <w:rsid w:val="00E71A75"/>
    <w:rsid w:val="00E75510"/>
    <w:rsid w:val="00E76153"/>
    <w:rsid w:val="00E761CD"/>
    <w:rsid w:val="00E768A2"/>
    <w:rsid w:val="00E77989"/>
    <w:rsid w:val="00E81D35"/>
    <w:rsid w:val="00E840EF"/>
    <w:rsid w:val="00E867A3"/>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2A4"/>
    <w:rsid w:val="00EC0ADF"/>
    <w:rsid w:val="00EC22EC"/>
    <w:rsid w:val="00EC5B7B"/>
    <w:rsid w:val="00EC74E4"/>
    <w:rsid w:val="00EC7C61"/>
    <w:rsid w:val="00ED0FD1"/>
    <w:rsid w:val="00ED49B0"/>
    <w:rsid w:val="00ED5925"/>
    <w:rsid w:val="00ED627E"/>
    <w:rsid w:val="00ED7743"/>
    <w:rsid w:val="00EF03CB"/>
    <w:rsid w:val="00EF2714"/>
    <w:rsid w:val="00EF2793"/>
    <w:rsid w:val="00EF681B"/>
    <w:rsid w:val="00EF75C3"/>
    <w:rsid w:val="00F00D22"/>
    <w:rsid w:val="00F05D2A"/>
    <w:rsid w:val="00F0623E"/>
    <w:rsid w:val="00F0647A"/>
    <w:rsid w:val="00F0715C"/>
    <w:rsid w:val="00F07964"/>
    <w:rsid w:val="00F12462"/>
    <w:rsid w:val="00F1250D"/>
    <w:rsid w:val="00F12F09"/>
    <w:rsid w:val="00F1511A"/>
    <w:rsid w:val="00F16081"/>
    <w:rsid w:val="00F210B8"/>
    <w:rsid w:val="00F2267E"/>
    <w:rsid w:val="00F22D37"/>
    <w:rsid w:val="00F248CA"/>
    <w:rsid w:val="00F25955"/>
    <w:rsid w:val="00F26079"/>
    <w:rsid w:val="00F27114"/>
    <w:rsid w:val="00F373E9"/>
    <w:rsid w:val="00F410F0"/>
    <w:rsid w:val="00F43EBB"/>
    <w:rsid w:val="00F446F2"/>
    <w:rsid w:val="00F45953"/>
    <w:rsid w:val="00F52181"/>
    <w:rsid w:val="00F5241E"/>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858D7"/>
    <w:rsid w:val="00F910C3"/>
    <w:rsid w:val="00F941C1"/>
    <w:rsid w:val="00F97CA7"/>
    <w:rsid w:val="00FA1B58"/>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D2BF1"/>
    <w:rsid w:val="00FE2917"/>
    <w:rsid w:val="00FE632B"/>
    <w:rsid w:val="00FF1DD6"/>
    <w:rsid w:val="00FF3ACA"/>
    <w:rsid w:val="00FF5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B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9472CF"/>
    <w:pPr>
      <w:keepNext/>
      <w:keepLines/>
      <w:numPr>
        <w:numId w:val="2"/>
      </w:numPr>
      <w:spacing w:before="480" w:after="240"/>
      <w:ind w:left="432"/>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9472CF"/>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styleId="UnresolvedMention">
    <w:name w:val="Unresolved Mention"/>
    <w:basedOn w:val="DefaultParagraphFont"/>
    <w:uiPriority w:val="99"/>
    <w:semiHidden/>
    <w:unhideWhenUsed/>
    <w:rsid w:val="00921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9574">
      <w:bodyDiv w:val="1"/>
      <w:marLeft w:val="0"/>
      <w:marRight w:val="0"/>
      <w:marTop w:val="0"/>
      <w:marBottom w:val="0"/>
      <w:divBdr>
        <w:top w:val="none" w:sz="0" w:space="0" w:color="auto"/>
        <w:left w:val="none" w:sz="0" w:space="0" w:color="auto"/>
        <w:bottom w:val="none" w:sz="0" w:space="0" w:color="auto"/>
        <w:right w:val="none" w:sz="0" w:space="0" w:color="auto"/>
      </w:divBdr>
    </w:div>
    <w:div w:id="108667523">
      <w:bodyDiv w:val="1"/>
      <w:marLeft w:val="0"/>
      <w:marRight w:val="0"/>
      <w:marTop w:val="0"/>
      <w:marBottom w:val="0"/>
      <w:divBdr>
        <w:top w:val="none" w:sz="0" w:space="0" w:color="auto"/>
        <w:left w:val="none" w:sz="0" w:space="0" w:color="auto"/>
        <w:bottom w:val="none" w:sz="0" w:space="0" w:color="auto"/>
        <w:right w:val="none" w:sz="0" w:space="0" w:color="auto"/>
      </w:divBdr>
    </w:div>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147169485">
      <w:bodyDiv w:val="1"/>
      <w:marLeft w:val="0"/>
      <w:marRight w:val="0"/>
      <w:marTop w:val="0"/>
      <w:marBottom w:val="0"/>
      <w:divBdr>
        <w:top w:val="none" w:sz="0" w:space="0" w:color="auto"/>
        <w:left w:val="none" w:sz="0" w:space="0" w:color="auto"/>
        <w:bottom w:val="none" w:sz="0" w:space="0" w:color="auto"/>
        <w:right w:val="none" w:sz="0" w:space="0" w:color="auto"/>
      </w:divBdr>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255084">
      <w:bodyDiv w:val="1"/>
      <w:marLeft w:val="0"/>
      <w:marRight w:val="0"/>
      <w:marTop w:val="0"/>
      <w:marBottom w:val="0"/>
      <w:divBdr>
        <w:top w:val="none" w:sz="0" w:space="0" w:color="auto"/>
        <w:left w:val="none" w:sz="0" w:space="0" w:color="auto"/>
        <w:bottom w:val="none" w:sz="0" w:space="0" w:color="auto"/>
        <w:right w:val="none" w:sz="0" w:space="0" w:color="auto"/>
      </w:divBdr>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 w:id="199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tbs-sct.gc.ca/pol/doc-eng.aspx?id=32603"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cloud-services/government-canada-security-control-profile-cloud-based-it-service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ccollab.ca/file/view/3690502/encloud-internet-protocol-address-management-cloud-ipamfrgestion-des-adresses-de-protocole-internet-dans-le-cloud-cloud-ipam"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loud-broker.canada.ca/" TargetMode="External"/><Relationship Id="rId20" Type="http://schemas.openxmlformats.org/officeDocument/2006/relationships/hyperlink" Target="https://www.canada.ca/en/government/system/digital-government/modern-emerging-technologies/direction-secure-use-commercial-cloud-services-spin.html"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yber.gc.ca/en/guidance/cryptographic-algorithms-unclassified-protected-and-protected-b-information-itsp401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github.com/canada-ca/cloud-guardrails/blob/master/EN/08_Segmentation.md" TargetMode="Externa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s://github.com/canada-ca/cloud-guardrails" TargetMode="External"/><Relationship Id="rId31" Type="http://schemas.openxmlformats.org/officeDocument/2006/relationships/hyperlink" Target="https://gccode.ssc-spc.gc.ca/GCCloudEnablement/Microsoft/tree/master/TBS%20Cloud%20Environ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s://www.gcpedia.gc.ca/gcwiki/images/8/84/GC_Cloud_Guardrails.pdf" TargetMode="External"/><Relationship Id="rId27" Type="http://schemas.microsoft.com/office/2016/09/relationships/commentsIds" Target="commentsIds.xml"/><Relationship Id="rId30" Type="http://schemas.openxmlformats.org/officeDocument/2006/relationships/hyperlink" Target="https://azure.microsoft.com/en-ca/updates/new-canada-federal-pbmm-azure-blueprint-is-now-available/"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1E48-ED36-42ED-B88E-30DAB144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17951</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Levac, Scott</cp:lastModifiedBy>
  <cp:revision>35</cp:revision>
  <cp:lastPrinted>2013-06-03T13:38:00Z</cp:lastPrinted>
  <dcterms:created xsi:type="dcterms:W3CDTF">2021-08-17T17:33:00Z</dcterms:created>
  <dcterms:modified xsi:type="dcterms:W3CDTF">2021-08-17T18:43:00Z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d0ca00b-3f0e-465a-aac7-1a6a22fcea40_Enabled">
    <vt:lpwstr>true</vt:lpwstr>
  </property>
  <property fmtid="{D5CDD505-2E9C-101B-9397-08002B2CF9AE}" pid="4" name="MSIP_Label_3d0ca00b-3f0e-465a-aac7-1a6a22fcea40_SetDate">
    <vt:lpwstr>2021-08-17T18:17:02Z</vt:lpwstr>
  </property>
  <property fmtid="{D5CDD505-2E9C-101B-9397-08002B2CF9AE}" pid="5" name="MSIP_Label_3d0ca00b-3f0e-465a-aac7-1a6a22fcea40_Method">
    <vt:lpwstr>Privileged</vt:lpwstr>
  </property>
  <property fmtid="{D5CDD505-2E9C-101B-9397-08002B2CF9AE}" pid="6" name="MSIP_Label_3d0ca00b-3f0e-465a-aac7-1a6a22fcea40_Name">
    <vt:lpwstr>3d0ca00b-3f0e-465a-aac7-1a6a22fcea40</vt:lpwstr>
  </property>
  <property fmtid="{D5CDD505-2E9C-101B-9397-08002B2CF9AE}" pid="7" name="MSIP_Label_3d0ca00b-3f0e-465a-aac7-1a6a22fcea40_SiteId">
    <vt:lpwstr>6397df10-4595-4047-9c4f-03311282152b</vt:lpwstr>
  </property>
  <property fmtid="{D5CDD505-2E9C-101B-9397-08002B2CF9AE}" pid="8" name="MSIP_Label_3d0ca00b-3f0e-465a-aac7-1a6a22fcea40_ActionId">
    <vt:lpwstr>2273a1ba-a5f3-4243-8c24-e8540b232d3c</vt:lpwstr>
  </property>
  <property fmtid="{D5CDD505-2E9C-101B-9397-08002B2CF9AE}" pid="9" name="MSIP_Label_3d0ca00b-3f0e-465a-aac7-1a6a22fcea40_ContentBits">
    <vt:lpwstr>1</vt:lpwstr>
  </property>
</Properties>
</file>