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3E5D" w14:textId="1FC3643A" w:rsidR="00CE0DFB" w:rsidRDefault="00CE0DFB" w:rsidP="00CE0DFB">
      <w:pPr>
        <w:spacing w:after="0"/>
        <w:jc w:val="center"/>
        <w:rPr>
          <w:rFonts w:ascii="Calibri" w:hAnsi="Calibri" w:cs="Calibri"/>
          <w:b/>
          <w:bCs/>
          <w:sz w:val="32"/>
          <w:szCs w:val="32"/>
          <w:lang w:val="fr-CA"/>
        </w:rPr>
      </w:pPr>
      <w:r w:rsidRPr="00CE0DFB">
        <w:rPr>
          <w:rFonts w:ascii="Calibri" w:hAnsi="Calibri" w:cs="Calibri"/>
          <w:b/>
          <w:bCs/>
          <w:sz w:val="32"/>
          <w:szCs w:val="32"/>
          <w:lang w:val="fr-CA"/>
        </w:rPr>
        <w:t>Points à retenir – Discussion ad hoc sur les stratégies de systèmes de réservation</w:t>
      </w:r>
    </w:p>
    <w:p w14:paraId="393A7AD2" w14:textId="13869A9D" w:rsidR="00CE0DFB" w:rsidRPr="00CE0DFB" w:rsidRDefault="00CE0DFB" w:rsidP="00CE0DFB">
      <w:pPr>
        <w:jc w:val="center"/>
        <w:rPr>
          <w:rFonts w:ascii="Calibri" w:hAnsi="Calibri" w:cs="Calibri"/>
          <w:b/>
          <w:bCs/>
          <w:sz w:val="28"/>
          <w:szCs w:val="28"/>
          <w:lang w:val="fr-CA"/>
        </w:rPr>
      </w:pPr>
      <w:r w:rsidRPr="00CE0DFB">
        <w:rPr>
          <w:rFonts w:ascii="Calibri" w:hAnsi="Calibri" w:cs="Calibri"/>
          <w:b/>
          <w:bCs/>
          <w:sz w:val="28"/>
          <w:szCs w:val="28"/>
          <w:lang w:val="fr-CA"/>
        </w:rPr>
        <w:t>Communauté de pratique de la gestion du changement en milieu de travail</w:t>
      </w:r>
    </w:p>
    <w:p w14:paraId="26F32E0F" w14:textId="77777777" w:rsidR="00CE0DFB" w:rsidRPr="00CE0DFB" w:rsidRDefault="00CE0DFB" w:rsidP="00CE0DFB">
      <w:pPr>
        <w:spacing w:after="0"/>
        <w:rPr>
          <w:rFonts w:ascii="Calibri" w:hAnsi="Calibri" w:cs="Calibri"/>
          <w:sz w:val="24"/>
          <w:szCs w:val="24"/>
          <w:lang w:val="fr-CA"/>
        </w:rPr>
      </w:pPr>
    </w:p>
    <w:p w14:paraId="5A3AB8BC" w14:textId="2DDB4E4B"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Le principal sujet abordé a été la manière d'amener les employés à adopter les nouveaux comportements, que ce soit d'utiliser un système de réservation, de réserver un point de travail dans leurs voisinages respectifs, de ne pas réserver le même point de travail à chaque fois, etc. Voici quelques-unes des meilleures pratiques et des leçons apprises :</w:t>
      </w:r>
      <w:r w:rsidR="00B54C19">
        <w:rPr>
          <w:rFonts w:ascii="Calibri" w:hAnsi="Calibri" w:cs="Calibri"/>
          <w:sz w:val="24"/>
          <w:szCs w:val="24"/>
          <w:lang w:val="fr-CA"/>
        </w:rPr>
        <w:t xml:space="preserve"> </w:t>
      </w:r>
    </w:p>
    <w:p w14:paraId="19CDE27C" w14:textId="77777777" w:rsidR="00CE0DFB" w:rsidRPr="00CE0DFB" w:rsidRDefault="00CE0DFB" w:rsidP="00CE0DFB">
      <w:pPr>
        <w:spacing w:after="0"/>
        <w:jc w:val="both"/>
        <w:rPr>
          <w:rFonts w:ascii="Calibri" w:hAnsi="Calibri" w:cs="Calibri"/>
          <w:sz w:val="24"/>
          <w:szCs w:val="24"/>
          <w:lang w:val="fr-CA"/>
        </w:rPr>
      </w:pPr>
    </w:p>
    <w:p w14:paraId="0A766EE4" w14:textId="77777777" w:rsidR="00CE0DFB" w:rsidRPr="00CE0DFB" w:rsidRDefault="00CE0DFB" w:rsidP="00CE0DFB">
      <w:pPr>
        <w:pStyle w:val="ListParagraph"/>
        <w:numPr>
          <w:ilvl w:val="0"/>
          <w:numId w:val="1"/>
        </w:numPr>
        <w:spacing w:after="0"/>
        <w:jc w:val="both"/>
        <w:rPr>
          <w:rFonts w:ascii="Calibri" w:hAnsi="Calibri" w:cs="Calibri"/>
          <w:sz w:val="24"/>
          <w:szCs w:val="24"/>
          <w:lang w:val="fr-CA"/>
        </w:rPr>
      </w:pPr>
      <w:r w:rsidRPr="00CE0DFB">
        <w:rPr>
          <w:rFonts w:ascii="Calibri" w:hAnsi="Calibri" w:cs="Calibri"/>
          <w:sz w:val="24"/>
          <w:szCs w:val="24"/>
          <w:lang w:val="fr-CA"/>
        </w:rPr>
        <w:t>Il faut s'attendre à une période d'adaptation au début, pendant laquelle les employés essaieront de revenir à leurs anciennes méthodes de travail (comme toujours réserver  le même point de travail) et il faut s'y attendre. Avec l'expérience, les employés sauront quel type de point de travail ils ont besoin, quand et pour quelle durée. Ils comprendront également quand ils doivent réserver et quand ils ne doivent pas le faire. Le concept d'admission générale présenté par le groupe conseil stratégique pour le milieu de travail (SWAG) pourrait être utile, car vous ne réservez pas un poste de travail spécifique, mais plutôt votre présence sur un étage.</w:t>
      </w:r>
    </w:p>
    <w:p w14:paraId="7C88CB02" w14:textId="77777777" w:rsidR="00CE0DFB" w:rsidRPr="00CE0DFB" w:rsidRDefault="00CE0DFB" w:rsidP="00CE0DFB">
      <w:pPr>
        <w:pStyle w:val="ListParagraph"/>
        <w:spacing w:after="0"/>
        <w:jc w:val="both"/>
        <w:rPr>
          <w:rFonts w:ascii="Calibri" w:hAnsi="Calibri" w:cs="Calibri"/>
          <w:sz w:val="24"/>
          <w:szCs w:val="24"/>
          <w:lang w:val="fr-CA"/>
        </w:rPr>
      </w:pPr>
    </w:p>
    <w:p w14:paraId="26E1160C" w14:textId="77777777" w:rsidR="00CE0DFB" w:rsidRPr="00CE0DFB" w:rsidRDefault="00CE0DFB" w:rsidP="00CE0DFB">
      <w:pPr>
        <w:pStyle w:val="ListParagraph"/>
        <w:numPr>
          <w:ilvl w:val="0"/>
          <w:numId w:val="1"/>
        </w:numPr>
        <w:spacing w:after="0"/>
        <w:jc w:val="both"/>
        <w:rPr>
          <w:rFonts w:ascii="Calibri" w:hAnsi="Calibri" w:cs="Calibri"/>
          <w:sz w:val="24"/>
          <w:szCs w:val="24"/>
          <w:lang w:val="fr-CA"/>
        </w:rPr>
      </w:pPr>
      <w:r w:rsidRPr="00CE0DFB">
        <w:rPr>
          <w:rFonts w:ascii="Calibri" w:hAnsi="Calibri" w:cs="Calibri"/>
          <w:sz w:val="24"/>
          <w:szCs w:val="24"/>
          <w:lang w:val="fr-CA"/>
        </w:rPr>
        <w:t>Le renforcement des comportements souhaités est essentiel pour continuer à promouvoir le changement. Utilisez diverses méthodes et canaux (infolettres, intranet, canal MS Teams) pour réitérer les concepts importants : le leadership doit démontrer les comportements, les gestionnaires peuvent en parler avec leurs employés lors des réunions hebdomadaires, mettre en place une étiquette dans le milieu de travail ou des normes communautaires. Vous pouvez également fournir des repères visuels tels que la signalisation et l'orientation pour indiquer les salles réservables ou non réservables, ou même inclure un code QR.</w:t>
      </w:r>
    </w:p>
    <w:p w14:paraId="241789D3" w14:textId="77777777" w:rsidR="00CE0DFB" w:rsidRPr="00CE0DFB" w:rsidRDefault="00CE0DFB" w:rsidP="00CE0DFB">
      <w:pPr>
        <w:pStyle w:val="ListParagraph"/>
        <w:jc w:val="both"/>
        <w:rPr>
          <w:rFonts w:ascii="Calibri" w:hAnsi="Calibri" w:cs="Calibri"/>
          <w:sz w:val="24"/>
          <w:szCs w:val="24"/>
          <w:lang w:val="fr-CA"/>
        </w:rPr>
      </w:pPr>
    </w:p>
    <w:p w14:paraId="360F37B9" w14:textId="77777777" w:rsidR="00CE0DFB" w:rsidRPr="00CE0DFB" w:rsidRDefault="00CE0DFB" w:rsidP="00CE0DFB">
      <w:pPr>
        <w:pStyle w:val="ListParagraph"/>
        <w:spacing w:after="0"/>
        <w:jc w:val="both"/>
        <w:rPr>
          <w:rFonts w:ascii="Calibri" w:hAnsi="Calibri" w:cs="Calibri"/>
          <w:sz w:val="24"/>
          <w:szCs w:val="24"/>
          <w:lang w:val="fr-CA"/>
        </w:rPr>
      </w:pPr>
    </w:p>
    <w:p w14:paraId="00D98668" w14:textId="77777777"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 xml:space="preserve">Au cours de la séance, SWAG a partagé sa présentation sur les stratégies de systèmes de réservation. Vous pouvez la consulter ici : </w:t>
      </w:r>
      <w:r w:rsidR="00000000">
        <w:fldChar w:fldCharType="begin"/>
      </w:r>
      <w:r w:rsidR="00000000" w:rsidRPr="00B54C19">
        <w:rPr>
          <w:lang w:val="fr-CA"/>
        </w:rPr>
        <w:instrText xml:space="preserve"> HYPERLINK "https://wiki.gccollab.ca/images/0/0c/Utilisation_du_milieu_de_travail_et_consid%C3%A9ration_de_r%C3%A9servation_-_Mars_2023.pdf" </w:instrText>
      </w:r>
      <w:r w:rsidR="00000000">
        <w:fldChar w:fldCharType="separate"/>
      </w:r>
      <w:r w:rsidRPr="00CE0DFB">
        <w:rPr>
          <w:rStyle w:val="Hyperlink"/>
          <w:rFonts w:ascii="Calibri" w:hAnsi="Calibri" w:cs="Calibri"/>
          <w:sz w:val="24"/>
          <w:szCs w:val="24"/>
          <w:lang w:val="fr-CA"/>
        </w:rPr>
        <w:t>Présentation de SWAG</w:t>
      </w:r>
      <w:r w:rsidR="00000000">
        <w:rPr>
          <w:rStyle w:val="Hyperlink"/>
          <w:rFonts w:ascii="Calibri" w:hAnsi="Calibri" w:cs="Calibri"/>
          <w:sz w:val="24"/>
          <w:szCs w:val="24"/>
          <w:lang w:val="fr-CA"/>
        </w:rPr>
        <w:fldChar w:fldCharType="end"/>
      </w:r>
      <w:r w:rsidRPr="00CE0DFB">
        <w:rPr>
          <w:rFonts w:ascii="Calibri" w:hAnsi="Calibri" w:cs="Calibri"/>
          <w:sz w:val="24"/>
          <w:szCs w:val="24"/>
          <w:lang w:val="fr-CA"/>
        </w:rPr>
        <w:t>.</w:t>
      </w:r>
    </w:p>
    <w:p w14:paraId="34060139" w14:textId="77777777" w:rsidR="00CE0DFB" w:rsidRPr="00CE0DFB" w:rsidRDefault="00CE0DFB" w:rsidP="00CE0DFB">
      <w:pPr>
        <w:spacing w:after="0"/>
        <w:jc w:val="both"/>
        <w:rPr>
          <w:rFonts w:ascii="Calibri" w:hAnsi="Calibri" w:cs="Calibri"/>
          <w:sz w:val="24"/>
          <w:szCs w:val="24"/>
          <w:lang w:val="fr-CA"/>
        </w:rPr>
      </w:pPr>
    </w:p>
    <w:p w14:paraId="6569BF73" w14:textId="77777777"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 xml:space="preserve">Nous avons également entendu Martine Renaud, Gestionnaire, Gestion du changement et Communications, Évolution du Milieu de travail (EMT) à SPAC, au sujet de son expérience dans le cadre du projet pilote pour </w:t>
      </w:r>
      <w:proofErr w:type="spellStart"/>
      <w:r w:rsidRPr="00CE0DFB">
        <w:rPr>
          <w:rFonts w:ascii="Calibri" w:hAnsi="Calibri" w:cs="Calibri"/>
          <w:sz w:val="24"/>
          <w:szCs w:val="24"/>
          <w:lang w:val="fr-CA"/>
        </w:rPr>
        <w:t>Archibus</w:t>
      </w:r>
      <w:proofErr w:type="spellEnd"/>
      <w:r w:rsidRPr="00CE0DFB">
        <w:rPr>
          <w:rFonts w:ascii="Calibri" w:hAnsi="Calibri" w:cs="Calibri"/>
          <w:sz w:val="24"/>
          <w:szCs w:val="24"/>
          <w:lang w:val="fr-CA"/>
        </w:rPr>
        <w:t>. Elle a partagé quelques leçons sur la mise en œuvre :</w:t>
      </w:r>
    </w:p>
    <w:p w14:paraId="24E278A8" w14:textId="77777777" w:rsidR="00CE0DFB" w:rsidRPr="00CE0DFB" w:rsidRDefault="00CE0DFB" w:rsidP="00CE0DFB">
      <w:pPr>
        <w:spacing w:after="0"/>
        <w:jc w:val="both"/>
        <w:rPr>
          <w:rFonts w:ascii="Calibri" w:hAnsi="Calibri" w:cs="Calibri"/>
          <w:sz w:val="24"/>
          <w:szCs w:val="24"/>
          <w:lang w:val="fr-CA"/>
        </w:rPr>
      </w:pPr>
    </w:p>
    <w:p w14:paraId="1F3B86F8"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Utilisez une approche progressive pour le déploiement auprès des 11 000 employés de la RCN, en fournissant un nom d'utilisateur et un mot de passe à tous pour l'accès initial.</w:t>
      </w:r>
    </w:p>
    <w:p w14:paraId="49B5ABF0"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Surmontez les obstacles - beaucoup de communications pour gérer certains irritants :</w:t>
      </w:r>
    </w:p>
    <w:p w14:paraId="5991F9D7"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Les employés ont dit que c'était trop difficile à utiliser</w:t>
      </w:r>
    </w:p>
    <w:p w14:paraId="502A9D46"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lastRenderedPageBreak/>
        <w:t>Ils ont fourni une formation pour surmonter ce problème (8-9 sessions; 8 000 des 11 000 employés ont participé).</w:t>
      </w:r>
    </w:p>
    <w:p w14:paraId="0DE05D0D"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Les employés réservent mais ne se présentent pas</w:t>
      </w:r>
    </w:p>
    <w:p w14:paraId="735E6E4C"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Mettez l'accent sur le message d'annulation si vous n'utilisez pas le service.</w:t>
      </w:r>
    </w:p>
    <w:p w14:paraId="08BA4AC1"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Utilisez un bouton rouge en gras pour l'annulation sur la plateforme afin de le rendre évident.</w:t>
      </w:r>
    </w:p>
    <w:p w14:paraId="6DD28C60"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Conseil envoyé aux employés qui oublient leur réservation : inscrivez-la dans votre calendrier Outlook.</w:t>
      </w:r>
    </w:p>
    <w:p w14:paraId="41603CE8"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Recommandation pour ceux qui cherchent à mettre en place un système de réservation : Mettez en œuvre la fonction et le comportement d'enregistrement (check-in) dès le début pour éviter que les employés ne se présentent pas.</w:t>
      </w:r>
    </w:p>
    <w:p w14:paraId="059595D4" w14:textId="77777777" w:rsidR="00183A4B" w:rsidRPr="00CE0DFB" w:rsidRDefault="00183A4B" w:rsidP="00CE0DFB">
      <w:pPr>
        <w:jc w:val="both"/>
        <w:rPr>
          <w:rFonts w:ascii="Calibri" w:hAnsi="Calibri" w:cs="Calibri"/>
          <w:lang w:val="fr-CA"/>
        </w:rPr>
      </w:pPr>
    </w:p>
    <w:sectPr w:rsidR="00183A4B" w:rsidRPr="00CE0DFB">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DA43" w14:textId="77777777" w:rsidR="00BD4393" w:rsidRDefault="00BD4393" w:rsidP="00CE0DFB">
      <w:pPr>
        <w:spacing w:after="0" w:line="240" w:lineRule="auto"/>
      </w:pPr>
      <w:r>
        <w:separator/>
      </w:r>
    </w:p>
  </w:endnote>
  <w:endnote w:type="continuationSeparator" w:id="0">
    <w:p w14:paraId="65C6CA1C" w14:textId="77777777" w:rsidR="00BD4393" w:rsidRDefault="00BD4393" w:rsidP="00C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E2C3" w14:textId="77777777" w:rsidR="00BD4393" w:rsidRDefault="00BD4393" w:rsidP="00CE0DFB">
      <w:pPr>
        <w:spacing w:after="0" w:line="240" w:lineRule="auto"/>
      </w:pPr>
      <w:r>
        <w:separator/>
      </w:r>
    </w:p>
  </w:footnote>
  <w:footnote w:type="continuationSeparator" w:id="0">
    <w:p w14:paraId="6917A8C9" w14:textId="77777777" w:rsidR="00BD4393" w:rsidRDefault="00BD4393" w:rsidP="00CE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55AC" w14:textId="77777777" w:rsidR="00CE0DFB" w:rsidRDefault="00CE0DFB">
    <w:pPr>
      <w:pStyle w:val="Header"/>
    </w:pPr>
    <w:r>
      <w:rPr>
        <w:noProof/>
      </w:rPr>
      <mc:AlternateContent>
        <mc:Choice Requires="wps">
          <w:drawing>
            <wp:anchor distT="0" distB="0" distL="0" distR="0" simplePos="0" relativeHeight="251659264" behindDoc="0" locked="0" layoutInCell="1" allowOverlap="1" wp14:anchorId="7B0C7A85" wp14:editId="28C52792">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FF42D"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B0C7A85"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4FF42D"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A121" w14:textId="66000850" w:rsidR="00CE0DFB" w:rsidRDefault="00CE0DFB">
    <w:pPr>
      <w:pStyle w:val="Header"/>
    </w:pPr>
    <w:r>
      <w:rPr>
        <w:noProof/>
      </w:rPr>
      <mc:AlternateContent>
        <mc:Choice Requires="wps">
          <w:drawing>
            <wp:anchor distT="0" distB="0" distL="0" distR="0" simplePos="0" relativeHeight="251660288" behindDoc="0" locked="0" layoutInCell="1" allowOverlap="1" wp14:anchorId="2E8BCB34" wp14:editId="43FF6873">
              <wp:simplePos x="635" y="63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85924"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E8BCB34"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8985924"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597A" w14:textId="77777777" w:rsidR="00CE0DFB" w:rsidRDefault="00CE0DFB">
    <w:pPr>
      <w:pStyle w:val="Header"/>
    </w:pPr>
    <w:r>
      <w:rPr>
        <w:noProof/>
      </w:rPr>
      <mc:AlternateContent>
        <mc:Choice Requires="wps">
          <w:drawing>
            <wp:anchor distT="0" distB="0" distL="0" distR="0" simplePos="0" relativeHeight="251658240" behindDoc="0" locked="0" layoutInCell="1" allowOverlap="1" wp14:anchorId="3856E675" wp14:editId="78D3F8CF">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D0306"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856E675"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76FD0306"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1F9"/>
    <w:multiLevelType w:val="hybridMultilevel"/>
    <w:tmpl w:val="52562DE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FC3BE4"/>
    <w:multiLevelType w:val="hybridMultilevel"/>
    <w:tmpl w:val="5600B718"/>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8B348E6"/>
    <w:multiLevelType w:val="hybridMultilevel"/>
    <w:tmpl w:val="90D028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4843759">
    <w:abstractNumId w:val="0"/>
  </w:num>
  <w:num w:numId="2" w16cid:durableId="951667752">
    <w:abstractNumId w:val="2"/>
  </w:num>
  <w:num w:numId="3" w16cid:durableId="159462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FB"/>
    <w:rsid w:val="00183A4B"/>
    <w:rsid w:val="00B54C19"/>
    <w:rsid w:val="00BB54D4"/>
    <w:rsid w:val="00BD4393"/>
    <w:rsid w:val="00CE0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F20F7"/>
  <w15:chartTrackingRefBased/>
  <w15:docId w15:val="{CC3A2A4F-6DEB-4E46-9A1B-B799361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FB"/>
  </w:style>
  <w:style w:type="paragraph" w:styleId="Footer">
    <w:name w:val="footer"/>
    <w:basedOn w:val="Normal"/>
    <w:link w:val="FooterChar"/>
    <w:uiPriority w:val="99"/>
    <w:unhideWhenUsed/>
    <w:rsid w:val="00CE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FB"/>
  </w:style>
  <w:style w:type="paragraph" w:styleId="ListParagraph">
    <w:name w:val="List Paragraph"/>
    <w:basedOn w:val="Normal"/>
    <w:uiPriority w:val="34"/>
    <w:qFormat/>
    <w:rsid w:val="00CE0DFB"/>
    <w:pPr>
      <w:ind w:left="720"/>
      <w:contextualSpacing/>
    </w:pPr>
  </w:style>
  <w:style w:type="paragraph" w:styleId="NormalWeb">
    <w:name w:val="Normal (Web)"/>
    <w:basedOn w:val="Normal"/>
    <w:uiPriority w:val="99"/>
    <w:semiHidden/>
    <w:unhideWhenUsed/>
    <w:rsid w:val="00CE0D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E0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 Sophie (SPAC/PSPC) (elle-la / she-her)</dc:creator>
  <cp:keywords/>
  <dc:description/>
  <cp:lastModifiedBy>Genereux, Sophie (SPAC/PSPC) (elle-la / she-her)</cp:lastModifiedBy>
  <cp:revision>2</cp:revision>
  <dcterms:created xsi:type="dcterms:W3CDTF">2023-03-06T17:59:00Z</dcterms:created>
  <dcterms:modified xsi:type="dcterms:W3CDTF">2023-03-06T19:16:00Z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2023-03-06T17:59:38Z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2780b896-afd8-4d00-913d-05bf7d3b9095</vt:lpwstr>
  </property>
  <property fmtid="{D5CDD505-2E9C-101B-9397-08002B2CF9AE}" pid="11" name="MSIP_Label_834ed4f5-eae4-40c7-82be-b1cdf720a1b9_ContentBits">
    <vt:lpwstr>1</vt:lpwstr>
  </property>
</Properties>
</file>