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78A5" w:rsidR="00C87726" w:rsidP="00C178A5" w:rsidRDefault="006B56A3" w14:paraId="1366EC79" w14:textId="12A92D27">
      <w:pPr>
        <w:pStyle w:val="Heading1"/>
        <w:rPr>
          <w:b/>
          <w:bCs/>
          <w:lang w:val="fr-CA"/>
        </w:rPr>
      </w:pPr>
      <w:r w:rsidRPr="54C85B55" w:rsidR="006B56A3">
        <w:rPr>
          <w:b w:val="1"/>
          <w:bCs w:val="1"/>
          <w:lang w:val="fr-FR"/>
        </w:rPr>
        <w:t xml:space="preserve">Comment </w:t>
      </w:r>
      <w:r w:rsidRPr="54C85B55" w:rsidR="007B5D34">
        <w:rPr>
          <w:b w:val="1"/>
          <w:bCs w:val="1"/>
          <w:lang w:val="fr-FR"/>
        </w:rPr>
        <w:t>prioriser</w:t>
      </w:r>
      <w:r w:rsidRPr="54C85B55" w:rsidR="00A42985">
        <w:rPr>
          <w:b w:val="1"/>
          <w:bCs w:val="1"/>
          <w:lang w:val="fr-FR"/>
        </w:rPr>
        <w:t xml:space="preserve"> </w:t>
      </w:r>
      <w:r w:rsidRPr="54C85B55" w:rsidR="006B56A3">
        <w:rPr>
          <w:b w:val="1"/>
          <w:bCs w:val="1"/>
          <w:lang w:val="fr-FR"/>
        </w:rPr>
        <w:t>l’accès à la</w:t>
      </w:r>
      <w:r w:rsidRPr="54C85B55" w:rsidR="00A42985">
        <w:rPr>
          <w:b w:val="1"/>
          <w:bCs w:val="1"/>
          <w:lang w:val="fr-FR"/>
        </w:rPr>
        <w:t xml:space="preserve"> formation linguistique</w:t>
      </w:r>
      <w:r w:rsidRPr="54C85B55" w:rsidR="00C87726">
        <w:rPr>
          <w:b w:val="1"/>
          <w:bCs w:val="1"/>
          <w:lang w:val="fr-FR"/>
        </w:rPr>
        <w:t xml:space="preserve"> </w:t>
      </w:r>
    </w:p>
    <w:p w:rsidR="1EA6A10B" w:rsidP="54C85B55" w:rsidRDefault="1EA6A10B" w14:paraId="22E46924" w14:textId="4FC09F55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</w:pPr>
      <w:r w:rsidRPr="54C85B55" w:rsidR="1EA6A10B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Voici quelques exigences et éléments à considérer lorsque vous décidez qui doit suivre une formation linguistique.</w:t>
      </w:r>
    </w:p>
    <w:p w:rsidR="1EA6A10B" w:rsidP="54C85B55" w:rsidRDefault="1EA6A10B" w14:paraId="7E374D42" w14:textId="11CDCF05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</w:pPr>
      <w:r w:rsidRPr="54C85B55" w:rsidR="1EA6A10B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L’intégration de la formation linguistique à votre plan de ressources humaines est essentielle au maintien du bilinguisme dans la fonction publique.</w:t>
      </w:r>
    </w:p>
    <w:p w:rsidR="1EA6A10B" w:rsidP="54C85B55" w:rsidRDefault="1EA6A10B" w14:paraId="1C6EE1A3" w14:textId="0F188BFC">
      <w:pPr>
        <w:pStyle w:val="Heading2"/>
        <w:suppressLineNumbers w:val="0"/>
        <w:bidi w:val="0"/>
        <w:spacing w:before="40" w:beforeAutospacing="off" w:after="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  <w:r w:rsidRPr="54C85B55" w:rsidR="1EA6A10B">
        <w:rPr>
          <w:b w:val="1"/>
          <w:bCs w:val="1"/>
          <w:noProof w:val="0"/>
          <w:u w:val="single"/>
          <w:lang w:val="fr-CA"/>
        </w:rPr>
        <w:t>Exigences législatives et politiques</w:t>
      </w:r>
    </w:p>
    <w:p w:rsidR="1EA6A10B" w:rsidP="54C85B55" w:rsidRDefault="1EA6A10B" w14:paraId="2364586A" w14:textId="28626305">
      <w:pPr>
        <w:spacing w:line="39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</w:pPr>
      <w:r w:rsidRPr="54C85B55" w:rsidR="1EA6A1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Les personnes qui ont été nommées de façon non impérative à un poste bilingue avec l'engagement de devenir bilingue au cours d’une période de deux ans, conformément au </w:t>
      </w:r>
      <w:hyperlink r:id="Rb5ea5bfacfb64ae2">
        <w:r w:rsidRPr="54C85B55" w:rsidR="1EA6A10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fr-CA"/>
          </w:rPr>
          <w:t>Décret d'exemption concernant les langues officielles dans la fonction publique</w:t>
        </w:r>
      </w:hyperlink>
      <w:r w:rsidRPr="54C85B55" w:rsidR="1EA6A1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 (DELOFP), devraient être inscrits en formation linguistique sans délai.</w:t>
      </w:r>
    </w:p>
    <w:p w:rsidRPr="00A8195A" w:rsidR="00C87726" w:rsidP="00C178A5" w:rsidRDefault="00456AFA" w14:paraId="70491468" w14:textId="2057F0AE">
      <w:pPr>
        <w:pStyle w:val="Heading2"/>
        <w:rPr>
          <w:b/>
          <w:bCs/>
          <w:u w:val="single"/>
          <w:lang w:val="fr-CA"/>
        </w:rPr>
      </w:pPr>
      <w:r w:rsidRPr="54C85B55" w:rsidR="00456AFA">
        <w:rPr>
          <w:b w:val="1"/>
          <w:bCs w:val="1"/>
          <w:u w:val="single"/>
          <w:lang w:val="fr-CA"/>
        </w:rPr>
        <w:t xml:space="preserve">Éléments </w:t>
      </w:r>
      <w:r w:rsidRPr="54C85B55" w:rsidR="00712FDB">
        <w:rPr>
          <w:b w:val="1"/>
          <w:bCs w:val="1"/>
          <w:u w:val="single"/>
          <w:lang w:val="fr-CA"/>
        </w:rPr>
        <w:t>relatifs aux ressources humaines</w:t>
      </w:r>
    </w:p>
    <w:p w:rsidR="3054FE2F" w:rsidP="54C85B55" w:rsidRDefault="3054FE2F" w14:paraId="14385CCC" w14:textId="2F2FEC9E">
      <w:pPr>
        <w:pStyle w:val="Normal"/>
        <w:suppressLineNumbers w:val="0"/>
        <w:bidi w:val="0"/>
        <w:spacing w:before="0" w:beforeAutospacing="off" w:after="160" w:afterAutospacing="off" w:line="390" w:lineRule="exact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fr-CA"/>
        </w:rPr>
      </w:pPr>
      <w:r w:rsidRPr="54C85B55" w:rsidR="3054FE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fr-CA"/>
        </w:rPr>
        <w:t>Les éléments sont présentés sans ordre particulier.</w:t>
      </w:r>
    </w:p>
    <w:p w:rsidRPr="00C178A5" w:rsidR="00C87726" w:rsidP="00C178A5" w:rsidRDefault="00C87726" w14:paraId="581E8BCB" w14:textId="201D47DB">
      <w:pPr>
        <w:pStyle w:val="Heading3"/>
        <w:rPr>
          <w:lang w:val="fr-FR"/>
        </w:rPr>
      </w:pPr>
      <w:r w:rsidRPr="00C87726">
        <w:rPr>
          <w:lang w:val="fr-FR"/>
        </w:rPr>
        <w:t>Équité en matière d’emploi</w:t>
      </w:r>
    </w:p>
    <w:p w:rsidRPr="00C178A5" w:rsidR="00C87726" w:rsidP="00C178A5" w:rsidRDefault="00C87726" w14:paraId="3A3DDDF5" w14:textId="1E5A66D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C87726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Représentation des groupes</w:t>
      </w:r>
      <w:r w:rsidRPr="54C85B55" w:rsidR="0023037E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</w:t>
      </w:r>
      <w:r w:rsidRPr="54C85B55" w:rsidR="00712FDB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visés par l</w:t>
      </w:r>
      <w:r w:rsidRPr="54C85B55" w:rsidR="0023037E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’équité en matière d’emploi</w:t>
      </w:r>
    </w:p>
    <w:p w:rsidRPr="00C178A5" w:rsidR="00C87726" w:rsidP="00C178A5" w:rsidRDefault="00C87726" w14:paraId="75CB08BB" w14:textId="64A8263A">
      <w:pPr>
        <w:pStyle w:val="Heading3"/>
        <w:rPr>
          <w:lang w:val="fr-CA"/>
        </w:rPr>
      </w:pPr>
      <w:r w:rsidRPr="00C178A5">
        <w:rPr>
          <w:lang w:val="fr-CA"/>
        </w:rPr>
        <w:t>Planification de la relève</w:t>
      </w:r>
    </w:p>
    <w:p w:rsidRPr="00C178A5" w:rsidR="00C87726" w:rsidP="00C178A5" w:rsidRDefault="00BD302C" w14:paraId="6432BC26" w14:textId="09CCC46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BD302C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B</w:t>
      </w:r>
      <w:r w:rsidRPr="54C85B55" w:rsidR="00712FDB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ilingu</w:t>
      </w:r>
      <w:r w:rsidRPr="54C85B55" w:rsidR="00342AB8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ism</w:t>
      </w:r>
      <w:r w:rsidRPr="54C85B55" w:rsidR="00FC0A04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e</w:t>
      </w:r>
      <w:r w:rsidRPr="54C85B55" w:rsidR="00BD302C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nécessaire</w:t>
      </w:r>
      <w:r w:rsidRPr="54C85B55" w:rsidR="00712FDB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</w:t>
      </w:r>
      <w:r w:rsidRPr="54C85B55" w:rsidR="00384E12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pour répondre aux besoins </w:t>
      </w:r>
      <w:r w:rsidRPr="54C85B55" w:rsidR="00C87726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futur</w:t>
      </w:r>
      <w:r w:rsidRPr="54C85B55" w:rsidR="00384E12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s</w:t>
      </w:r>
    </w:p>
    <w:p w:rsidRPr="00C178A5" w:rsidR="00C87726" w:rsidP="00C178A5" w:rsidRDefault="00C87726" w14:paraId="21CF7862" w14:textId="3FA23B4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C87726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Nécessité de </w:t>
      </w:r>
      <w:r w:rsidRPr="54C85B55" w:rsidR="0039657F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perfectionner</w:t>
      </w:r>
      <w:r w:rsidRPr="54C85B55" w:rsidR="0039657F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</w:t>
      </w:r>
      <w:r w:rsidRPr="54C85B55" w:rsidR="00712FDB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le bilinguisme</w:t>
      </w:r>
      <w:r w:rsidRPr="54C85B55" w:rsidR="00C87726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des groupes de relève</w:t>
      </w:r>
    </w:p>
    <w:p w:rsidR="7B834B59" w:rsidP="54C85B55" w:rsidRDefault="7B834B59" w14:paraId="16E50BE0" w14:textId="5F32DF16">
      <w:pPr>
        <w:pStyle w:val="Heading3"/>
        <w:suppressLineNumbers w:val="0"/>
        <w:bidi w:val="0"/>
        <w:spacing w:before="40" w:beforeAutospacing="off" w:after="0" w:afterAutospacing="off" w:line="259" w:lineRule="auto"/>
        <w:ind w:left="0" w:right="0"/>
        <w:jc w:val="left"/>
        <w:rPr>
          <w:lang w:val="fr-CA"/>
        </w:rPr>
      </w:pPr>
      <w:r w:rsidRPr="54C85B55" w:rsidR="7B834B59">
        <w:rPr>
          <w:lang w:val="fr-CA"/>
        </w:rPr>
        <w:t>Préparation à l'avancement</w:t>
      </w:r>
    </w:p>
    <w:p w:rsidR="7B834B59" w:rsidP="54C85B55" w:rsidRDefault="7B834B59" w14:paraId="1D62D734" w14:textId="511E37FA">
      <w:pPr>
        <w:pStyle w:val="Normal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  <w:noProof w:val="0"/>
          <w:sz w:val="24"/>
          <w:szCs w:val="24"/>
          <w:lang w:val="fr-CA"/>
        </w:rPr>
      </w:pPr>
      <w:r w:rsidRPr="54C85B55" w:rsidR="7B834B59">
        <w:rPr>
          <w:rFonts w:ascii="Calibri" w:hAnsi="Calibri" w:cs="Calibri" w:asciiTheme="minorAscii" w:hAnsiTheme="minorAscii" w:cstheme="minorAscii"/>
          <w:noProof w:val="0"/>
          <w:sz w:val="24"/>
          <w:szCs w:val="24"/>
          <w:lang w:val="fr-CA"/>
        </w:rPr>
        <w:t>Niveau de bilinguisme des personnes prêtes à l'avancement</w:t>
      </w:r>
    </w:p>
    <w:p w:rsidRPr="00C178A5" w:rsidR="00C178A5" w:rsidP="00C178A5" w:rsidRDefault="00C178A5" w14:paraId="0EC60DE6" w14:textId="23D0DA8F">
      <w:pPr>
        <w:pStyle w:val="Heading3"/>
        <w:rPr>
          <w:lang w:val="fr-CA"/>
        </w:rPr>
      </w:pPr>
      <w:r w:rsidRPr="00C178A5">
        <w:rPr>
          <w:lang w:val="fr-CA"/>
        </w:rPr>
        <w:t>Perfectionnement professionnel</w:t>
      </w:r>
    </w:p>
    <w:p w:rsidRPr="00C178A5" w:rsidR="00C178A5" w:rsidP="00C178A5" w:rsidRDefault="00C178A5" w14:paraId="1E5D54A0" w14:textId="636AE15B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C178A5">
        <w:rPr>
          <w:rFonts w:asciiTheme="minorHAnsi" w:hAnsiTheme="minorHAnsi" w:cstheme="minorHAnsi"/>
          <w:sz w:val="24"/>
          <w:szCs w:val="24"/>
          <w:lang w:val="fr-FR"/>
        </w:rPr>
        <w:t>Possibilité</w:t>
      </w:r>
      <w:r w:rsidR="001F16A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F5D29">
        <w:rPr>
          <w:rFonts w:asciiTheme="minorHAnsi" w:hAnsiTheme="minorHAnsi" w:cstheme="minorHAnsi"/>
          <w:sz w:val="24"/>
          <w:szCs w:val="24"/>
          <w:lang w:val="fr-FR"/>
        </w:rPr>
        <w:t>de formation linguistique</w:t>
      </w:r>
      <w:r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D51BD">
        <w:rPr>
          <w:rFonts w:asciiTheme="minorHAnsi" w:hAnsiTheme="minorHAnsi" w:cstheme="minorHAnsi"/>
          <w:sz w:val="24"/>
          <w:szCs w:val="24"/>
          <w:lang w:val="fr-FR"/>
        </w:rPr>
        <w:t>en</w:t>
      </w:r>
      <w:r w:rsidRPr="00C178A5" w:rsidR="005D51B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début de carrière </w:t>
      </w:r>
    </w:p>
    <w:p w:rsidRPr="00A8195A" w:rsidR="00C178A5" w:rsidP="00C178A5" w:rsidRDefault="00456AFA" w14:paraId="4B5FB315" w14:textId="66FA1495">
      <w:pPr>
        <w:pStyle w:val="Heading2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Éléments</w:t>
      </w:r>
      <w:r w:rsidRPr="00A8195A">
        <w:rPr>
          <w:b/>
          <w:bCs/>
          <w:u w:val="single"/>
          <w:lang w:val="fr-CA"/>
        </w:rPr>
        <w:t xml:space="preserve"> </w:t>
      </w:r>
      <w:r w:rsidRPr="00A8195A" w:rsidR="00C178A5">
        <w:rPr>
          <w:b/>
          <w:bCs/>
          <w:u w:val="single"/>
          <w:lang w:val="fr-CA"/>
        </w:rPr>
        <w:t>généra</w:t>
      </w:r>
      <w:r w:rsidR="005D51BD">
        <w:rPr>
          <w:b/>
          <w:bCs/>
          <w:u w:val="single"/>
          <w:lang w:val="fr-CA"/>
        </w:rPr>
        <w:t>ux</w:t>
      </w:r>
    </w:p>
    <w:p w:rsidR="00C178A5" w:rsidP="00C178A5" w:rsidRDefault="00C178A5" w14:paraId="50904AC6" w14:textId="2C331228">
      <w:pPr>
        <w:pStyle w:val="Heading3"/>
        <w:rPr>
          <w:lang w:val="fr-CA"/>
        </w:rPr>
      </w:pPr>
      <w:r>
        <w:rPr>
          <w:lang w:val="fr-CA"/>
        </w:rPr>
        <w:t>Coûts</w:t>
      </w:r>
    </w:p>
    <w:p w:rsidR="00C178A5" w:rsidP="00C178A5" w:rsidRDefault="00C178A5" w14:paraId="3E4C5050" w14:textId="6B29D2B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Frais de formation</w:t>
      </w:r>
      <w:r w:rsidRPr="54C85B55" w:rsidR="00AD5F90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linguistique</w:t>
      </w:r>
    </w:p>
    <w:p w:rsidRPr="00372E32" w:rsidR="00372E32" w:rsidP="00372E32" w:rsidRDefault="00372E32" w14:paraId="338C95EE" w14:textId="37EA871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372E32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Frais de remplacement du </w:t>
      </w:r>
      <w:r w:rsidRPr="54C85B55" w:rsidR="00AD5F90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personnel</w:t>
      </w:r>
      <w:r w:rsidRPr="54C85B55" w:rsidR="00AD5F90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</w:t>
      </w:r>
      <w:r w:rsidRPr="54C85B55" w:rsidR="00372E32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pendant </w:t>
      </w:r>
      <w:r w:rsidRPr="54C85B55" w:rsidR="00AD5F90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l</w:t>
      </w:r>
      <w:r w:rsidRPr="54C85B55" w:rsidR="00AD5F90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a formation linguistique</w:t>
      </w:r>
    </w:p>
    <w:p w:rsidR="00C178A5" w:rsidP="00C178A5" w:rsidRDefault="00BD302C" w14:paraId="14053CD1" w14:textId="3B4D5B64">
      <w:pPr>
        <w:pStyle w:val="Heading3"/>
        <w:rPr>
          <w:lang w:val="fr-CA"/>
        </w:rPr>
      </w:pPr>
      <w:r>
        <w:rPr>
          <w:lang w:val="fr-CA"/>
        </w:rPr>
        <w:t xml:space="preserve">Répercussions </w:t>
      </w:r>
      <w:r w:rsidR="00C178A5">
        <w:rPr>
          <w:lang w:val="fr-CA"/>
        </w:rPr>
        <w:t>opérationnel</w:t>
      </w:r>
      <w:r>
        <w:rPr>
          <w:lang w:val="fr-CA"/>
        </w:rPr>
        <w:t>le</w:t>
      </w:r>
      <w:r w:rsidR="00C178A5">
        <w:rPr>
          <w:lang w:val="fr-CA"/>
        </w:rPr>
        <w:t>s</w:t>
      </w:r>
    </w:p>
    <w:p w:rsidRPr="00C178A5" w:rsidR="00C178A5" w:rsidP="00C178A5" w:rsidRDefault="00C178A5" w14:paraId="225856B6" w14:textId="22F47F4F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Capacité de l</w:t>
      </w:r>
      <w:r w:rsidRPr="54C85B55" w:rsidR="00551E98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’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organisation à absorber la charge de travail pendant </w:t>
      </w:r>
      <w:r w:rsidRPr="54C85B55" w:rsidR="00454EDC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l</w:t>
      </w:r>
      <w:r w:rsidRPr="54C85B55" w:rsidR="00454EDC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a formation linguistique</w:t>
      </w:r>
      <w:r w:rsidRPr="54C85B55" w:rsidR="00454EDC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du personnel</w:t>
      </w:r>
    </w:p>
    <w:p w:rsidR="00C178A5" w:rsidP="00C178A5" w:rsidRDefault="00C178A5" w14:paraId="406474CC" w14:textId="7669F038">
      <w:pPr>
        <w:pStyle w:val="Heading3"/>
        <w:rPr>
          <w:lang w:val="fr-CA"/>
        </w:rPr>
      </w:pPr>
      <w:r>
        <w:rPr>
          <w:lang w:val="fr-CA"/>
        </w:rPr>
        <w:t>Efforts déployés</w:t>
      </w:r>
    </w:p>
    <w:p w:rsidRPr="00C178A5" w:rsidR="00C178A5" w:rsidP="00C178A5" w:rsidRDefault="00C178A5" w14:paraId="593178E5" w14:textId="1A95E1D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Initiative</w:t>
      </w:r>
      <w:r w:rsidRPr="54C85B55" w:rsidR="002B5104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s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prise</w:t>
      </w:r>
      <w:r w:rsidRPr="54C85B55" w:rsidR="002B5104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s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</w:t>
      </w:r>
      <w:r w:rsidRPr="54C85B55" w:rsidR="00570367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par le personnel 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pour utiliser des ressources d</w:t>
      </w:r>
      <w:r w:rsidRPr="54C85B55" w:rsidR="00BD302C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’apprentissage </w:t>
      </w:r>
      <w:r w:rsidRPr="54C85B55" w:rsidR="00456AFA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autonome d’une langue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(p</w:t>
      </w:r>
      <w:r w:rsidRPr="54C85B55" w:rsidR="00570367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ar 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ex</w:t>
      </w:r>
      <w:r w:rsidRPr="54C85B55" w:rsidR="00570367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emple l’application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Mauril, </w:t>
      </w:r>
      <w:r w:rsidRPr="54C85B55" w:rsidR="00241E31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les cours offerts par l</w:t>
      </w:r>
      <w:r w:rsidRPr="54C85B55" w:rsidR="00551E98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’</w:t>
      </w:r>
      <w:r w:rsidRPr="54C85B55" w:rsidR="00241E31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École de la fonction publique du Canada, les</w:t>
      </w:r>
      <w:r w:rsidRPr="54C85B55" w:rsidR="00241E31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applications et les</w:t>
      </w:r>
      <w:r w:rsidRPr="54C85B55" w:rsidR="00241E31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 sites Web gratuits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)</w:t>
      </w:r>
    </w:p>
    <w:p w:rsidR="00C178A5" w:rsidP="00C178A5" w:rsidRDefault="00241E31" w14:paraId="1568A8E3" w14:textId="2DF50F8D">
      <w:pPr>
        <w:pStyle w:val="Heading3"/>
        <w:rPr>
          <w:lang w:val="fr-CA"/>
        </w:rPr>
      </w:pPr>
      <w:r>
        <w:rPr>
          <w:lang w:val="fr-CA"/>
        </w:rPr>
        <w:lastRenderedPageBreak/>
        <w:t>Style de formation</w:t>
      </w:r>
    </w:p>
    <w:p w:rsidRPr="00C178A5" w:rsidR="00C178A5" w:rsidP="00C178A5" w:rsidRDefault="00C178A5" w14:paraId="0C30C387" w14:textId="03061CF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Type de formation linguistique qui répond le mieux aux besoins </w:t>
      </w:r>
      <w:r w:rsidRPr="54C85B55" w:rsidR="00241E31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du personnel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, </w:t>
      </w:r>
      <w:r w:rsidRPr="54C85B55" w:rsidR="00241E31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 xml:space="preserve">y compris </w:t>
      </w:r>
      <w:r w:rsidRPr="54C85B55" w:rsidR="00C178A5">
        <w:rPr>
          <w:rFonts w:ascii="Calibri" w:hAnsi="Calibri" w:cs="Calibri" w:asciiTheme="minorAscii" w:hAnsiTheme="minorAscii" w:cstheme="minorAscii"/>
          <w:sz w:val="24"/>
          <w:szCs w:val="24"/>
          <w:lang w:val="fr-CA"/>
        </w:rPr>
        <w:t>les demandes de mesures d’adaptation</w:t>
      </w:r>
    </w:p>
    <w:sectPr w:rsidRPr="00C178A5" w:rsidR="00C17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CC1" w:rsidP="00C178A5" w:rsidRDefault="00677CC1" w14:paraId="3667CB61" w14:textId="77777777">
      <w:pPr>
        <w:spacing w:after="0" w:line="240" w:lineRule="auto"/>
      </w:pPr>
      <w:r>
        <w:separator/>
      </w:r>
    </w:p>
  </w:endnote>
  <w:endnote w:type="continuationSeparator" w:id="0">
    <w:p w:rsidR="00677CC1" w:rsidP="00C178A5" w:rsidRDefault="00677CC1" w14:paraId="522EE9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BAB" w:rsidRDefault="00AE3BAB" w14:paraId="34BBA8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BAB" w:rsidRDefault="00AE3BAB" w14:paraId="01DB00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BAB" w:rsidRDefault="00AE3BAB" w14:paraId="1BC51B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CC1" w:rsidP="00C178A5" w:rsidRDefault="00677CC1" w14:paraId="43AC0C2F" w14:textId="77777777">
      <w:pPr>
        <w:spacing w:after="0" w:line="240" w:lineRule="auto"/>
      </w:pPr>
      <w:r>
        <w:separator/>
      </w:r>
    </w:p>
  </w:footnote>
  <w:footnote w:type="continuationSeparator" w:id="0">
    <w:p w:rsidR="00677CC1" w:rsidP="00C178A5" w:rsidRDefault="00677CC1" w14:paraId="7FEE25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BAB" w:rsidRDefault="00AE3BAB" w14:paraId="750157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BAB" w:rsidRDefault="00AE3BAB" w14:paraId="28AF3B4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BAB" w:rsidRDefault="00AE3BAB" w14:paraId="4414EE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4EAA"/>
    <w:multiLevelType w:val="hybridMultilevel"/>
    <w:tmpl w:val="45CAB7D0"/>
    <w:lvl w:ilvl="0" w:tplc="49C8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1C8E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854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C30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626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AEE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56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BAC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BEE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32076C2"/>
    <w:multiLevelType w:val="hybridMultilevel"/>
    <w:tmpl w:val="C7E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0A6670"/>
    <w:multiLevelType w:val="hybridMultilevel"/>
    <w:tmpl w:val="54CC82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AB6D9C"/>
    <w:multiLevelType w:val="hybridMultilevel"/>
    <w:tmpl w:val="7924C67C"/>
    <w:lvl w:ilvl="0" w:tplc="06E2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C64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2C8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8E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97C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19C1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5FE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872C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AB8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6AC83D46"/>
    <w:multiLevelType w:val="hybridMultilevel"/>
    <w:tmpl w:val="B18CBDE2"/>
    <w:lvl w:ilvl="0" w:tplc="0EE4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0F2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E2E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CD0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A04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162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AF0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E7E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8D6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597908254">
    <w:abstractNumId w:val="3"/>
  </w:num>
  <w:num w:numId="2" w16cid:durableId="647133854">
    <w:abstractNumId w:val="2"/>
  </w:num>
  <w:num w:numId="3" w16cid:durableId="858397932">
    <w:abstractNumId w:val="0"/>
  </w:num>
  <w:num w:numId="4" w16cid:durableId="868493626">
    <w:abstractNumId w:val="4"/>
  </w:num>
  <w:num w:numId="5" w16cid:durableId="64234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6"/>
    <w:rsid w:val="00047F40"/>
    <w:rsid w:val="000766D1"/>
    <w:rsid w:val="001539DC"/>
    <w:rsid w:val="00190C3C"/>
    <w:rsid w:val="001F16A8"/>
    <w:rsid w:val="0023037E"/>
    <w:rsid w:val="00234885"/>
    <w:rsid w:val="00241E31"/>
    <w:rsid w:val="00247F93"/>
    <w:rsid w:val="002B5104"/>
    <w:rsid w:val="002E1F16"/>
    <w:rsid w:val="00314EC2"/>
    <w:rsid w:val="00342AB8"/>
    <w:rsid w:val="00372E32"/>
    <w:rsid w:val="00384E12"/>
    <w:rsid w:val="0039657F"/>
    <w:rsid w:val="003B18A4"/>
    <w:rsid w:val="003C13B1"/>
    <w:rsid w:val="00454EDC"/>
    <w:rsid w:val="00456AFA"/>
    <w:rsid w:val="004B2B58"/>
    <w:rsid w:val="00551534"/>
    <w:rsid w:val="00551E98"/>
    <w:rsid w:val="00570367"/>
    <w:rsid w:val="005B251C"/>
    <w:rsid w:val="005D51BD"/>
    <w:rsid w:val="005F3F2A"/>
    <w:rsid w:val="00617574"/>
    <w:rsid w:val="00677CC1"/>
    <w:rsid w:val="006A469F"/>
    <w:rsid w:val="006B56A3"/>
    <w:rsid w:val="007011FD"/>
    <w:rsid w:val="00712FDB"/>
    <w:rsid w:val="007166F3"/>
    <w:rsid w:val="00786687"/>
    <w:rsid w:val="007B5D34"/>
    <w:rsid w:val="0081531D"/>
    <w:rsid w:val="0086427B"/>
    <w:rsid w:val="00925FEA"/>
    <w:rsid w:val="00955237"/>
    <w:rsid w:val="00A327D6"/>
    <w:rsid w:val="00A42985"/>
    <w:rsid w:val="00A61EDA"/>
    <w:rsid w:val="00A8195A"/>
    <w:rsid w:val="00AD5F90"/>
    <w:rsid w:val="00AD6667"/>
    <w:rsid w:val="00AE3BAB"/>
    <w:rsid w:val="00B467A1"/>
    <w:rsid w:val="00BD302C"/>
    <w:rsid w:val="00BD7852"/>
    <w:rsid w:val="00BF7D50"/>
    <w:rsid w:val="00C178A5"/>
    <w:rsid w:val="00C87726"/>
    <w:rsid w:val="00C91809"/>
    <w:rsid w:val="00C92D35"/>
    <w:rsid w:val="00C93D86"/>
    <w:rsid w:val="00CE665C"/>
    <w:rsid w:val="00D47FA7"/>
    <w:rsid w:val="00D87042"/>
    <w:rsid w:val="00DB5362"/>
    <w:rsid w:val="00DE716D"/>
    <w:rsid w:val="00DF5D29"/>
    <w:rsid w:val="00FC0A04"/>
    <w:rsid w:val="0EEC23A8"/>
    <w:rsid w:val="13A66C6E"/>
    <w:rsid w:val="1EA6A10B"/>
    <w:rsid w:val="3054FE2F"/>
    <w:rsid w:val="4E5919D1"/>
    <w:rsid w:val="4FF4EA32"/>
    <w:rsid w:val="54C85B55"/>
    <w:rsid w:val="7B834B59"/>
    <w:rsid w:val="7F7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4EC62"/>
  <w15:chartTrackingRefBased/>
  <w15:docId w15:val="{A6C30D05-1F5A-4A78-98B2-320A8CCD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8A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8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178A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178A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178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6B56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B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3BAB"/>
  </w:style>
  <w:style w:type="paragraph" w:styleId="Footer">
    <w:name w:val="footer"/>
    <w:basedOn w:val="Normal"/>
    <w:link w:val="FooterChar"/>
    <w:uiPriority w:val="99"/>
    <w:unhideWhenUsed/>
    <w:rsid w:val="00AE3B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3BAB"/>
  </w:style>
  <w:style w:type="character" w:styleId="CommentReference">
    <w:name w:val="annotation reference"/>
    <w:basedOn w:val="DefaultParagraphFont"/>
    <w:uiPriority w:val="99"/>
    <w:semiHidden/>
    <w:unhideWhenUsed/>
    <w:rsid w:val="005F3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F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F3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3F2A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canada.ca/fr/commission-fonction-publique/services/guides-embauche-fonction-publique/decret-exemption-concernant-langues-officielles.html" TargetMode="External" Id="Rb5ea5bfacfb64a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B52AFF39-E890-4CAC-B2A6-CCA09C4B119B}"/>
</file>

<file path=customXml/itemProps2.xml><?xml version="1.0" encoding="utf-8"?>
<ds:datastoreItem xmlns:ds="http://schemas.openxmlformats.org/officeDocument/2006/customXml" ds:itemID="{4396EB4E-C2B8-45D5-917B-1B7C375172AE}"/>
</file>

<file path=customXml/itemProps3.xml><?xml version="1.0" encoding="utf-8"?>
<ds:datastoreItem xmlns:ds="http://schemas.openxmlformats.org/officeDocument/2006/customXml" ds:itemID="{855D17D8-78A4-4F17-94B9-F22E3D5D33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TBS-SCT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Weller, Danielle</cp:lastModifiedBy>
  <cp:revision>21</cp:revision>
  <dcterms:created xsi:type="dcterms:W3CDTF">2023-07-11T13:31:00Z</dcterms:created>
  <dcterms:modified xsi:type="dcterms:W3CDTF">2023-11-27T16:19:07Z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2023-03-09T13:02:19Z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24194d37-b096-4055-80ad-abd7cd863001</vt:lpwstr>
  </property>
  <property fmtid="{D5CDD505-2E9C-101B-9397-08002B2CF9AE}" pid="8" name="MSIP_Label_3515d617-256d-4284-aedb-1064be1c4b48_ContentBits">
    <vt:lpwstr>0</vt:lpwstr>
  </property>
  <property fmtid="{D5CDD505-2E9C-101B-9397-08002B2CF9AE}" pid="9" name="MSIP_Label_834ed4f5-eae4-40c7-82be-b1cdf720a1b9_Enabled">
    <vt:lpwstr>true</vt:lpwstr>
  </property>
  <property fmtid="{D5CDD505-2E9C-101B-9397-08002B2CF9AE}" pid="10" name="MSIP_Label_834ed4f5-eae4-40c7-82be-b1cdf720a1b9_SetDate">
    <vt:lpwstr>2023-08-03T16:12:04Z</vt:lpwstr>
  </property>
  <property fmtid="{D5CDD505-2E9C-101B-9397-08002B2CF9AE}" pid="11" name="MSIP_Label_834ed4f5-eae4-40c7-82be-b1cdf720a1b9_Method">
    <vt:lpwstr>Standard</vt:lpwstr>
  </property>
  <property fmtid="{D5CDD505-2E9C-101B-9397-08002B2CF9AE}" pid="12" name="MSIP_Label_834ed4f5-eae4-40c7-82be-b1cdf720a1b9_Name">
    <vt:lpwstr>Unclassified - Non classifié</vt:lpwstr>
  </property>
  <property fmtid="{D5CDD505-2E9C-101B-9397-08002B2CF9AE}" pid="13" name="MSIP_Label_834ed4f5-eae4-40c7-82be-b1cdf720a1b9_SiteId">
    <vt:lpwstr>e0d54a3c-7bbe-4a64-9d46-f9f84a41c833</vt:lpwstr>
  </property>
  <property fmtid="{D5CDD505-2E9C-101B-9397-08002B2CF9AE}" pid="14" name="MSIP_Label_834ed4f5-eae4-40c7-82be-b1cdf720a1b9_ActionId">
    <vt:lpwstr>73aab916-aa75-4177-9278-fa28983e465b</vt:lpwstr>
  </property>
  <property fmtid="{D5CDD505-2E9C-101B-9397-08002B2CF9AE}" pid="15" name="MSIP_Label_834ed4f5-eae4-40c7-82be-b1cdf720a1b9_ContentBits">
    <vt:lpwstr>0</vt:lpwstr>
  </property>
  <property fmtid="{D5CDD505-2E9C-101B-9397-08002B2CF9AE}" pid="16" name="_AdHocReviewCycleID">
    <vt:i4>1208843298</vt:i4>
  </property>
  <property fmtid="{D5CDD505-2E9C-101B-9397-08002B2CF9AE}" pid="17" name="_NewReviewCycle">
    <vt:lpwstr/>
  </property>
  <property fmtid="{D5CDD505-2E9C-101B-9397-08002B2CF9AE}" pid="18" name="_EmailSubject">
    <vt:lpwstr>Texte</vt:lpwstr>
  </property>
  <property fmtid="{D5CDD505-2E9C-101B-9397-08002B2CF9AE}" pid="19" name="_AuthorEmail">
    <vt:lpwstr>Antoine.Hersberger@tpsgc-pwgsc.gc.ca</vt:lpwstr>
  </property>
  <property fmtid="{D5CDD505-2E9C-101B-9397-08002B2CF9AE}" pid="20" name="_AuthorEmailDisplayName">
    <vt:lpwstr>Hersberger, Antoine (SPAC/PSPC) (il-lui / he-him)</vt:lpwstr>
  </property>
  <property fmtid="{D5CDD505-2E9C-101B-9397-08002B2CF9AE}" pid="21" name="_ReviewingToolsShownOnce">
    <vt:lpwstr/>
  </property>
  <property fmtid="{D5CDD505-2E9C-101B-9397-08002B2CF9AE}" pid="22" name="ContentTypeId">
    <vt:lpwstr>0x0101004A5956F70BDDC24D9F26FE0B6518F153</vt:lpwstr>
  </property>
  <property fmtid="{D5CDD505-2E9C-101B-9397-08002B2CF9AE}" pid="23" name="MediaServiceImageTags">
    <vt:lpwstr/>
  </property>
</Properties>
</file>