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8FE" w:rsidRDefault="004C2B71" w:rsidP="000E08FE">
      <w:pPr>
        <w:spacing w:before="240"/>
        <w:rPr>
          <w:lang w:val="en-US"/>
        </w:rPr>
      </w:pPr>
      <w:r w:rsidRPr="000E08FE">
        <w:rPr>
          <w:rFonts w:cs="Helvetica"/>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577850</wp:posOffset>
                </wp:positionV>
                <wp:extent cx="7181850" cy="622300"/>
                <wp:effectExtent l="0" t="0" r="0" b="0"/>
                <wp:wrapTight wrapText="bothSides">
                  <wp:wrapPolygon edited="0">
                    <wp:start x="115" y="1984"/>
                    <wp:lineTo x="115" y="19176"/>
                    <wp:lineTo x="21428" y="19176"/>
                    <wp:lineTo x="21428" y="1984"/>
                    <wp:lineTo x="115" y="1984"/>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22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000000" w:rsidRPr="004C2B71" w:rsidRDefault="00B9682F" w:rsidP="004C2B71">
                            <w:pPr>
                              <w:pStyle w:val="Title1"/>
                              <w:rPr>
                                <w:sz w:val="52"/>
                                <w:lang w:val="fr-CA"/>
                              </w:rPr>
                            </w:pPr>
                            <w:r w:rsidRPr="004C2B71">
                              <w:rPr>
                                <w:bCs/>
                                <w:sz w:val="52"/>
                                <w:lang w:val="fr-CA"/>
                              </w:rPr>
                              <w:t>Guide de configuration du travail à domicile</w:t>
                            </w:r>
                          </w:p>
                          <w:p w:rsidR="00CA47A9" w:rsidRPr="004C2B71" w:rsidRDefault="00CA47A9" w:rsidP="000E08FE">
                            <w:pPr>
                              <w:pStyle w:val="Title1"/>
                              <w:rPr>
                                <w:sz w:val="52"/>
                                <w:lang w:val="fr-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5pt;width:565.5pt;height:49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" filled="f" stroked="f">
                <v:textbox inset=",7.2pt,,7.2pt">
                  <w:txbxContent>
                    <w:p w:rsidR="00000000" w:rsidRPr="004C2B71" w:rsidRDefault="00B9682F" w:rsidP="004C2B71">
                      <w:pPr>
                        <w:pStyle w:val="Title1"/>
                        <w:rPr>
                          <w:sz w:val="52"/>
                          <w:lang w:val="fr-CA"/>
                        </w:rPr>
                      </w:pPr>
                      <w:r w:rsidRPr="004C2B71">
                        <w:rPr>
                          <w:bCs/>
                          <w:sz w:val="52"/>
                          <w:lang w:val="fr-CA"/>
                        </w:rPr>
                        <w:t>Guide de configuration du travail à domicile</w:t>
                      </w:r>
                    </w:p>
                    <w:p w:rsidR="00CA47A9" w:rsidRPr="004C2B71" w:rsidRDefault="00CA47A9" w:rsidP="000E08FE">
                      <w:pPr>
                        <w:pStyle w:val="Title1"/>
                        <w:rPr>
                          <w:sz w:val="52"/>
                          <w:lang w:val="fr-CA"/>
                        </w:rPr>
                      </w:pPr>
                    </w:p>
                  </w:txbxContent>
                </v:textbox>
                <w10:wrap type="tight" anchorx="margin" anchory="page"/>
              </v:shape>
            </w:pict>
          </mc:Fallback>
        </mc:AlternateContent>
      </w:r>
      <w:r w:rsidR="00EA6CD8">
        <w:rPr>
          <w:lang w:val="en-US"/>
        </w:rPr>
        <w:t xml:space="preserve">You should have received your computer, docking station (for tablet computers), monitor(s), mouse, keyboard, and all necessary cables to your mailing address before your first day of work. </w:t>
      </w:r>
    </w:p>
    <w:p w:rsidR="005C2123" w:rsidRDefault="00EA6CD8" w:rsidP="000E08FE">
      <w:pPr>
        <w:spacing w:before="240"/>
        <w:rPr>
          <w:lang w:val="en-US"/>
        </w:rPr>
      </w:pPr>
      <w:r>
        <w:rPr>
          <w:lang w:val="en-US"/>
        </w:rPr>
        <w:t>Every indeterminate employee or employee on terms greater than 3 months are entitled to $500 of office equipment as well as office supplies (no $ limit). Casual employees, students, or employees on a term less th</w:t>
      </w:r>
      <w:r w:rsidR="005C2123">
        <w:rPr>
          <w:lang w:val="en-US"/>
        </w:rPr>
        <w:t xml:space="preserve">an 3 months may qualify under exceptional circumstances.  </w:t>
      </w:r>
    </w:p>
    <w:p w:rsidR="00EA6CD8" w:rsidRDefault="005C2123" w:rsidP="000E08FE">
      <w:pPr>
        <w:spacing w:before="240"/>
        <w:rPr>
          <w:lang w:val="en-US"/>
        </w:rPr>
      </w:pPr>
      <w:r>
        <w:rPr>
          <w:lang w:val="en-US"/>
        </w:rPr>
        <w:t>The following Request Form can be used to order office equipment and office supplies:</w:t>
      </w:r>
    </w:p>
    <w:p w:rsidR="005C2123" w:rsidRDefault="004C2B71" w:rsidP="000E08FE">
      <w:pPr>
        <w:spacing w:before="240"/>
        <w:rPr>
          <w:lang w:val="en-US"/>
        </w:rPr>
      </w:pPr>
      <w:r>
        <w:rPr>
          <w:lang w:val="en-US"/>
        </w:rPr>
        <w:object w:dxaOrig="1505" w:dyaOrig="982">
          <v:shape id="_x0000_i1041" type="#_x0000_t75" style="width:75.5pt;height:49pt" o:ole="">
            <v:imagedata r:id="rId8" o:title=""/>
          </v:shape>
          <o:OLEObject Type="Embed" ProgID="FoxitPhantomPDF.Document" ShapeID="_x0000_i1041" DrawAspect="Icon" ObjectID="_1706017239" r:id="rId9"/>
        </w:object>
      </w:r>
    </w:p>
    <w:p w:rsidR="005C2123" w:rsidRDefault="005C2123" w:rsidP="000E08FE">
      <w:pPr>
        <w:spacing w:before="240"/>
        <w:rPr>
          <w:lang w:val="en-US"/>
        </w:rPr>
      </w:pPr>
      <w:r>
        <w:rPr>
          <w:lang w:val="en-US"/>
        </w:rPr>
        <w:t xml:space="preserve">More details can be found at the link below on what qualifies as essential equipment that can be ordered, as well as how to order the equipment and supplies. Employees are encouraged to have a discussion with their Cost Centre Manager in order to determine the most appropriate method of procurement depending on what is being ordered. </w:t>
      </w:r>
    </w:p>
    <w:p w:rsidR="004C2B71" w:rsidRPr="004C2B71" w:rsidRDefault="004C2B71" w:rsidP="000E08FE">
      <w:pPr>
        <w:spacing w:before="240"/>
        <w:rPr>
          <w:color w:val="0070C0"/>
          <w:lang w:val="fr-CA"/>
        </w:rPr>
      </w:pPr>
      <w:hyperlink r:id="rId10" w:history="1">
        <w:r w:rsidRPr="004C2B71">
          <w:rPr>
            <w:rStyle w:val="Hyperlink"/>
            <w:color w:val="0070C0"/>
            <w:lang w:val="fr-CA"/>
          </w:rPr>
          <w:t>Document d’orientation concernant l’équipement des employés qui travaillent à distance pendant les restrictions liées à la COVID-19 | Intranet de Santé Canada ASPC (hc-sc.gc.ca)</w:t>
        </w:r>
      </w:hyperlink>
    </w:p>
    <w:p w:rsidR="00087842" w:rsidRDefault="001906A7" w:rsidP="000E08FE">
      <w:pPr>
        <w:spacing w:before="240"/>
      </w:pPr>
      <w:r>
        <w:t xml:space="preserve">Office Equipment and Office Supplies for accommodation needs are purchased separately by the Workplace Wellness Service Centre. See the below link for more information and instructions </w:t>
      </w:r>
      <w:r w:rsidR="00402992">
        <w:t xml:space="preserve">on </w:t>
      </w:r>
      <w:r>
        <w:t xml:space="preserve">the Central Accommodations Fund: </w:t>
      </w:r>
    </w:p>
    <w:p w:rsidR="005C2123" w:rsidRDefault="005C2123" w:rsidP="000E08FE">
      <w:pPr>
        <w:pStyle w:val="NoSpacing"/>
        <w:rPr>
          <w:rFonts w:ascii="Helvetica" w:eastAsia="Times New Roman" w:hAnsi="Helvetica" w:cs="Times New Roman"/>
          <w:szCs w:val="24"/>
          <w:lang w:eastAsia="en-CA"/>
        </w:rPr>
      </w:pPr>
    </w:p>
    <w:p w:rsidR="001906A7" w:rsidRPr="004C2B71" w:rsidRDefault="004C2B71" w:rsidP="000E08FE">
      <w:pPr>
        <w:pStyle w:val="NoSpacing"/>
        <w:rPr>
          <w:color w:val="0070C0"/>
          <w:lang w:val="fr-CA"/>
        </w:rPr>
      </w:pPr>
      <w:hyperlink r:id="rId11" w:history="1">
        <w:r w:rsidRPr="004C2B71">
          <w:rPr>
            <w:rStyle w:val="Hyperlink"/>
            <w:color w:val="0070C0"/>
            <w:lang w:val="fr-CA"/>
          </w:rPr>
          <w:t>Fonds centralisé pour les mesures d’adaptation (FCMA) : personnes handicapées | Intranet de Santé Canada ASPC (hc-sc.gc.ca)</w:t>
        </w:r>
      </w:hyperlink>
    </w:p>
    <w:p w:rsidR="004C2B71" w:rsidRPr="004C2B71" w:rsidRDefault="004C2B71" w:rsidP="000E08FE">
      <w:pPr>
        <w:pStyle w:val="NoSpacing"/>
        <w:rPr>
          <w:rFonts w:ascii="Helvetica" w:eastAsia="Times New Roman" w:hAnsi="Helvetica" w:cs="Times New Roman"/>
          <w:szCs w:val="24"/>
          <w:lang w:val="fr-CA" w:eastAsia="en-CA"/>
        </w:rPr>
      </w:pPr>
    </w:p>
    <w:p w:rsidR="000E08FE" w:rsidRPr="000E08FE" w:rsidRDefault="000E08FE" w:rsidP="000E08FE">
      <w:pPr>
        <w:pStyle w:val="NoSpacing"/>
        <w:rPr>
          <w:rFonts w:ascii="Helvetica" w:hAnsi="Helvetica" w:cs="Helvetica"/>
        </w:rPr>
      </w:pPr>
      <w:r w:rsidRPr="000E08FE">
        <w:rPr>
          <w:rFonts w:ascii="Helvetica" w:hAnsi="Helvetica" w:cs="Helvetica"/>
        </w:rPr>
        <w:t>Th</w:t>
      </w:r>
      <w:r w:rsidR="006726D0">
        <w:rPr>
          <w:rFonts w:ascii="Helvetica" w:hAnsi="Helvetica" w:cs="Helvetica"/>
        </w:rPr>
        <w:t>e following</w:t>
      </w:r>
      <w:r w:rsidRPr="000E08FE">
        <w:rPr>
          <w:rFonts w:ascii="Helvetica" w:hAnsi="Helvetica" w:cs="Helvetica"/>
        </w:rPr>
        <w:t xml:space="preserve"> video will </w:t>
      </w:r>
      <w:r>
        <w:rPr>
          <w:rFonts w:ascii="Helvetica" w:hAnsi="Helvetica" w:cs="Helvetica"/>
        </w:rPr>
        <w:t>provide</w:t>
      </w:r>
      <w:r w:rsidRPr="000E08FE">
        <w:rPr>
          <w:rFonts w:ascii="Helvetica" w:hAnsi="Helvetica" w:cs="Helvetica"/>
        </w:rPr>
        <w:t xml:space="preserve"> security and wellness tips to help improve your </w:t>
      </w:r>
      <w:r>
        <w:rPr>
          <w:rFonts w:ascii="Helvetica" w:hAnsi="Helvetica" w:cs="Helvetica"/>
        </w:rPr>
        <w:t>remote work</w:t>
      </w:r>
      <w:r w:rsidRPr="000E08FE">
        <w:rPr>
          <w:rFonts w:ascii="Helvetica" w:hAnsi="Helvetica" w:cs="Helvetica"/>
        </w:rPr>
        <w:t xml:space="preserve"> set up.</w:t>
      </w:r>
      <w:r w:rsidR="006726D0">
        <w:rPr>
          <w:rFonts w:ascii="Helvetica" w:hAnsi="Helvetica" w:cs="Helvetica"/>
        </w:rPr>
        <w:t xml:space="preserve"> </w:t>
      </w:r>
      <w:r w:rsidRPr="000E08FE">
        <w:rPr>
          <w:rFonts w:ascii="Helvetica" w:hAnsi="Helvetica" w:cs="Helvetica"/>
        </w:rPr>
        <w:t xml:space="preserve">It can be accessed through </w:t>
      </w:r>
      <w:proofErr w:type="spellStart"/>
      <w:r w:rsidRPr="000E08FE">
        <w:rPr>
          <w:rFonts w:ascii="Helvetica" w:hAnsi="Helvetica" w:cs="Helvetica"/>
        </w:rPr>
        <w:t>Youtube</w:t>
      </w:r>
      <w:proofErr w:type="spellEnd"/>
      <w:r w:rsidRPr="000E08FE">
        <w:rPr>
          <w:rFonts w:ascii="Helvetica" w:hAnsi="Helvetica" w:cs="Helvetica"/>
        </w:rPr>
        <w:t xml:space="preserve"> at the link below:</w:t>
      </w:r>
    </w:p>
    <w:p w:rsidR="004C2B71" w:rsidRPr="004C2B71" w:rsidRDefault="004C2B71" w:rsidP="000E08FE">
      <w:pPr>
        <w:spacing w:before="240"/>
        <w:rPr>
          <w:b/>
          <w:color w:val="0070C0"/>
          <w:u w:val="single"/>
        </w:rPr>
      </w:pPr>
      <w:hyperlink r:id="rId12" w:history="1">
        <w:proofErr w:type="spellStart"/>
        <w:r w:rsidRPr="004C2B71">
          <w:rPr>
            <w:rStyle w:val="Hyperlink"/>
            <w:b/>
            <w:color w:val="0070C0"/>
          </w:rPr>
          <w:t>Travailler</w:t>
        </w:r>
        <w:proofErr w:type="spellEnd"/>
        <w:r w:rsidRPr="004C2B71">
          <w:rPr>
            <w:rStyle w:val="Hyperlink"/>
            <w:b/>
            <w:color w:val="0070C0"/>
          </w:rPr>
          <w:t xml:space="preserve"> à</w:t>
        </w:r>
        <w:r w:rsidRPr="004C2B71">
          <w:rPr>
            <w:rStyle w:val="Hyperlink"/>
            <w:b/>
            <w:color w:val="0070C0"/>
          </w:rPr>
          <w:t xml:space="preserve"> </w:t>
        </w:r>
        <w:r w:rsidRPr="004C2B71">
          <w:rPr>
            <w:rStyle w:val="Hyperlink"/>
            <w:b/>
            <w:color w:val="0070C0"/>
          </w:rPr>
          <w:t>d</w:t>
        </w:r>
        <w:r w:rsidRPr="004C2B71">
          <w:rPr>
            <w:rStyle w:val="Hyperlink"/>
            <w:b/>
            <w:color w:val="0070C0"/>
          </w:rPr>
          <w:t>i</w:t>
        </w:r>
        <w:r w:rsidRPr="004C2B71">
          <w:rPr>
            <w:rStyle w:val="Hyperlink"/>
            <w:b/>
            <w:color w:val="0070C0"/>
          </w:rPr>
          <w:t>s</w:t>
        </w:r>
        <w:r w:rsidRPr="004C2B71">
          <w:rPr>
            <w:rStyle w:val="Hyperlink"/>
            <w:b/>
            <w:color w:val="0070C0"/>
          </w:rPr>
          <w:t>t</w:t>
        </w:r>
        <w:r w:rsidRPr="004C2B71">
          <w:rPr>
            <w:rStyle w:val="Hyperlink"/>
            <w:b/>
            <w:color w:val="0070C0"/>
          </w:rPr>
          <w:t>a</w:t>
        </w:r>
        <w:r w:rsidRPr="004C2B71">
          <w:rPr>
            <w:rStyle w:val="Hyperlink"/>
            <w:b/>
            <w:color w:val="0070C0"/>
          </w:rPr>
          <w:t>n</w:t>
        </w:r>
        <w:r w:rsidRPr="004C2B71">
          <w:rPr>
            <w:rStyle w:val="Hyperlink"/>
            <w:b/>
            <w:color w:val="0070C0"/>
          </w:rPr>
          <w:t>ce</w:t>
        </w:r>
      </w:hyperlink>
    </w:p>
    <w:p w:rsidR="005C2123" w:rsidRDefault="000E08FE" w:rsidP="000E08FE">
      <w:pPr>
        <w:spacing w:before="240"/>
      </w:pPr>
      <w:r>
        <w:t xml:space="preserve">Once you have watched the video, the </w:t>
      </w:r>
      <w:r w:rsidR="006726D0">
        <w:t>infographic</w:t>
      </w:r>
      <w:r>
        <w:t xml:space="preserve"> below will provide additional information on ergonomics and </w:t>
      </w:r>
      <w:r w:rsidR="006726D0">
        <w:t>tips</w:t>
      </w:r>
      <w:r>
        <w:t xml:space="preserve"> to help you make the most of your remote work set up:</w:t>
      </w:r>
    </w:p>
    <w:p w:rsidR="006726D0" w:rsidRDefault="006726D0" w:rsidP="000E08FE">
      <w:pPr>
        <w:spacing w:before="240"/>
      </w:pPr>
      <w:r>
        <w:object w:dxaOrig="1505" w:dyaOrig="982">
          <v:shape id="_x0000_i1035" type="#_x0000_t75" style="width:75.5pt;height:49pt" o:ole="">
            <v:imagedata r:id="rId13" o:title=""/>
          </v:shape>
          <o:OLEObject Type="Embed" ProgID="FoxitPhantomPDF.Document" ShapeID="_x0000_i1035" DrawAspect="Icon" ObjectID="_1706017240" r:id="rId14"/>
        </w:object>
      </w:r>
    </w:p>
    <w:p w:rsidR="006726D0" w:rsidRDefault="006726D0" w:rsidP="000E08FE">
      <w:pPr>
        <w:spacing w:before="240"/>
      </w:pPr>
    </w:p>
    <w:p w:rsidR="006726D0" w:rsidRDefault="006726D0" w:rsidP="000E08FE">
      <w:pPr>
        <w:spacing w:before="240"/>
      </w:pPr>
    </w:p>
    <w:p w:rsidR="006726D0" w:rsidRDefault="006726D0" w:rsidP="000E08FE">
      <w:pPr>
        <w:spacing w:before="240"/>
      </w:pPr>
      <w:r>
        <w:lastRenderedPageBreak/>
        <w:t>For a full guide on ergonomics and teleworking as well as some simple exercises you can do to liven up your work experience, see the below guide for more details:</w:t>
      </w:r>
    </w:p>
    <w:p w:rsidR="006726D0" w:rsidRDefault="004C2B71" w:rsidP="000E08FE">
      <w:pPr>
        <w:spacing w:before="240"/>
      </w:pPr>
      <w:r>
        <w:object w:dxaOrig="1505" w:dyaOrig="982">
          <v:shape id="_x0000_i1043" type="#_x0000_t75" style="width:75.5pt;height:49pt" o:ole="">
            <v:imagedata r:id="rId15" o:title=""/>
          </v:shape>
          <o:OLEObject Type="Embed" ProgID="FoxitPhantomPDF.Document" ShapeID="_x0000_i1043" DrawAspect="Icon" ObjectID="_1706017241" r:id="rId16"/>
        </w:object>
      </w:r>
    </w:p>
    <w:p w:rsidR="00EB1FF9" w:rsidRDefault="00EB1FF9" w:rsidP="000E08FE">
      <w:pPr>
        <w:spacing w:before="240"/>
      </w:pPr>
      <w:r>
        <w:t>For mental health tips for working from home, consult the document below:</w:t>
      </w:r>
    </w:p>
    <w:p w:rsidR="00972B80" w:rsidRDefault="00972B80" w:rsidP="000E08FE">
      <w:pPr>
        <w:spacing w:before="240"/>
      </w:pPr>
      <w:r>
        <w:object w:dxaOrig="1505" w:dyaOrig="982">
          <v:shape id="_x0000_i1045" type="#_x0000_t75" style="width:75.5pt;height:49pt" o:ole="">
            <v:imagedata r:id="rId17" o:title=""/>
          </v:shape>
          <o:OLEObject Type="Embed" ProgID="FoxitPhantomPDF.Document" ShapeID="_x0000_i1045" DrawAspect="Icon" ObjectID="_1706017242" r:id="rId18"/>
        </w:object>
      </w:r>
    </w:p>
    <w:p w:rsidR="00E042E9" w:rsidRPr="00972B80" w:rsidRDefault="00E042E9" w:rsidP="000E08FE">
      <w:pPr>
        <w:spacing w:before="240"/>
      </w:pPr>
      <w:proofErr w:type="spellStart"/>
      <w:r w:rsidRPr="00EB1FF9">
        <w:rPr>
          <w:lang w:val="fr-CA"/>
        </w:rPr>
        <w:t>Procurement</w:t>
      </w:r>
      <w:proofErr w:type="spellEnd"/>
      <w:r w:rsidRPr="00EB1FF9">
        <w:rPr>
          <w:lang w:val="fr-CA"/>
        </w:rPr>
        <w:t xml:space="preserve"> </w:t>
      </w:r>
      <w:proofErr w:type="spellStart"/>
      <w:r w:rsidRPr="00EB1FF9">
        <w:rPr>
          <w:lang w:val="fr-CA"/>
        </w:rPr>
        <w:t>Inquiries</w:t>
      </w:r>
      <w:proofErr w:type="spellEnd"/>
      <w:r w:rsidRPr="00EB1FF9">
        <w:rPr>
          <w:lang w:val="fr-CA"/>
        </w:rPr>
        <w:t>:</w:t>
      </w:r>
    </w:p>
    <w:p w:rsidR="00E042E9" w:rsidRPr="00EB1FF9" w:rsidRDefault="00B9682F" w:rsidP="000E08FE">
      <w:pPr>
        <w:spacing w:before="240"/>
        <w:rPr>
          <w:lang w:val="fr-CA"/>
        </w:rPr>
      </w:pPr>
      <w:hyperlink r:id="rId19" w:history="1">
        <w:r w:rsidR="00E042E9" w:rsidRPr="00EB1FF9">
          <w:rPr>
            <w:rStyle w:val="Hyperlink"/>
            <w:color w:val="0070C0"/>
            <w:lang w:val="fr-CA"/>
          </w:rPr>
          <w:t>hc.contracts.east-est.contrats.sc@canada.ca</w:t>
        </w:r>
      </w:hyperlink>
      <w:r w:rsidR="00E042E9" w:rsidRPr="00EB1FF9">
        <w:rPr>
          <w:color w:val="0070C0"/>
          <w:lang w:val="fr-CA"/>
        </w:rPr>
        <w:t xml:space="preserve"> </w:t>
      </w:r>
    </w:p>
    <w:p w:rsidR="00E042E9" w:rsidRDefault="00E042E9" w:rsidP="000E08FE">
      <w:pPr>
        <w:spacing w:before="240"/>
      </w:pPr>
      <w:r>
        <w:t>Reimbursement Inquiries:</w:t>
      </w:r>
    </w:p>
    <w:p w:rsidR="00E042E9" w:rsidRPr="00E042E9" w:rsidRDefault="00B9682F" w:rsidP="000E08FE">
      <w:pPr>
        <w:spacing w:before="240"/>
        <w:rPr>
          <w:color w:val="0070C0"/>
        </w:rPr>
      </w:pPr>
      <w:hyperlink r:id="rId20" w:history="1">
        <w:r w:rsidR="00E042E9" w:rsidRPr="00E042E9">
          <w:rPr>
            <w:rStyle w:val="Hyperlink"/>
            <w:color w:val="0070C0"/>
            <w:lang w:val="en"/>
          </w:rPr>
          <w:t>hc.payment.east-est.paiements.sc@canada.ca</w:t>
        </w:r>
      </w:hyperlink>
    </w:p>
    <w:p w:rsidR="00E042E9" w:rsidRDefault="00E042E9" w:rsidP="000E08FE">
      <w:pPr>
        <w:spacing w:before="240"/>
      </w:pPr>
      <w:r>
        <w:t>Duty to Accommodate and Ergonomics:</w:t>
      </w:r>
    </w:p>
    <w:p w:rsidR="00E042E9" w:rsidRPr="00E042E9" w:rsidRDefault="00B9682F" w:rsidP="000E08FE">
      <w:pPr>
        <w:spacing w:before="240"/>
        <w:rPr>
          <w:color w:val="0070C0"/>
        </w:rPr>
      </w:pPr>
      <w:hyperlink r:id="rId21" w:history="1">
        <w:r w:rsidR="00E042E9" w:rsidRPr="00E042E9">
          <w:rPr>
            <w:rStyle w:val="Hyperlink"/>
            <w:color w:val="0070C0"/>
            <w:lang w:val="en"/>
          </w:rPr>
          <w:t>WW.Service.Centre.des.services.de.ME@canada.ca</w:t>
        </w:r>
      </w:hyperlink>
      <w:r w:rsidR="00E042E9" w:rsidRPr="00E042E9">
        <w:rPr>
          <w:color w:val="0070C0"/>
          <w:lang w:val="en"/>
        </w:rPr>
        <w:t xml:space="preserve"> or 1-844-423-4763</w:t>
      </w:r>
    </w:p>
    <w:p w:rsidR="00E042E9" w:rsidRDefault="00E042E9" w:rsidP="000E08FE">
      <w:pPr>
        <w:spacing w:before="240"/>
      </w:pPr>
      <w:r>
        <w:t>Transferring an Adjustable Work Surface and/or Other Equipment:</w:t>
      </w:r>
    </w:p>
    <w:p w:rsidR="00E042E9" w:rsidRPr="00E042E9" w:rsidRDefault="00B9682F" w:rsidP="000E08FE">
      <w:pPr>
        <w:spacing w:before="240"/>
        <w:rPr>
          <w:color w:val="0070C0"/>
        </w:rPr>
      </w:pPr>
      <w:hyperlink r:id="rId22" w:history="1">
        <w:r w:rsidR="00E042E9" w:rsidRPr="00E042E9">
          <w:rPr>
            <w:rStyle w:val="Hyperlink"/>
            <w:color w:val="0070C0"/>
            <w:lang w:val="en"/>
          </w:rPr>
          <w:t>hc.nationalintakeoffice-bureaunationaldaccueil.sc@canada.ca</w:t>
        </w:r>
      </w:hyperlink>
      <w:r w:rsidR="00E042E9" w:rsidRPr="00E042E9">
        <w:rPr>
          <w:color w:val="0070C0"/>
          <w:lang w:val="en"/>
        </w:rPr>
        <w:t xml:space="preserve"> </w:t>
      </w:r>
    </w:p>
    <w:p w:rsidR="00E042E9" w:rsidRDefault="00E042E9" w:rsidP="000E08FE">
      <w:pPr>
        <w:spacing w:before="240"/>
      </w:pPr>
      <w:r>
        <w:t>Other Questions:</w:t>
      </w:r>
    </w:p>
    <w:p w:rsidR="000E08FE" w:rsidRDefault="00B9682F" w:rsidP="000E08FE">
      <w:pPr>
        <w:spacing w:before="240"/>
      </w:pPr>
      <w:hyperlink r:id="rId23" w:history="1">
        <w:r w:rsidR="00E042E9" w:rsidRPr="00E042E9">
          <w:rPr>
            <w:rStyle w:val="Hyperlink"/>
            <w:color w:val="0070C0"/>
            <w:lang w:val="en"/>
          </w:rPr>
          <w:t>hc.financial.policy-politique.financiere.sc@canada.ca</w:t>
        </w:r>
      </w:hyperlink>
      <w:r w:rsidR="005C2123">
        <w:br w:type="textWrapping" w:clear="all"/>
      </w:r>
    </w:p>
    <w:p w:rsidR="00E042E9" w:rsidRDefault="00E042E9" w:rsidP="000E08FE">
      <w:pPr>
        <w:spacing w:before="240"/>
      </w:pPr>
    </w:p>
    <w:p w:rsidR="006726D0" w:rsidRDefault="006726D0" w:rsidP="000E08FE">
      <w:pPr>
        <w:spacing w:before="240"/>
      </w:pPr>
    </w:p>
    <w:p w:rsidR="004A486B" w:rsidRPr="000E08FE" w:rsidRDefault="004A486B" w:rsidP="000E08FE">
      <w:pPr>
        <w:spacing w:before="240"/>
      </w:pPr>
      <w:bookmarkStart w:id="0" w:name="_GoBack"/>
      <w:bookmarkEnd w:id="0"/>
    </w:p>
    <w:sectPr w:rsidR="004A486B" w:rsidRPr="000E08FE" w:rsidSect="006110C1">
      <w:headerReference w:type="default" r:id="rId24"/>
      <w:footerReference w:type="default" r:id="rId25"/>
      <w:headerReference w:type="first" r:id="rId26"/>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82F" w:rsidRDefault="00B9682F">
      <w:r>
        <w:separator/>
      </w:r>
    </w:p>
  </w:endnote>
  <w:endnote w:type="continuationSeparator" w:id="0">
    <w:p w:rsidR="00B9682F" w:rsidRDefault="00B96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NeueLT Std Cn">
    <w:charset w:val="00"/>
    <w:family w:val="auto"/>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972B80" w:rsidRDefault="00CA47A9" w:rsidP="008600BC">
    <w:pPr>
      <w:pStyle w:val="Header"/>
      <w:jc w:val="right"/>
      <w:rPr>
        <w:sz w:val="18"/>
        <w:szCs w:val="18"/>
        <w:lang w:val="fr-CA"/>
      </w:rPr>
    </w:pPr>
    <w:r w:rsidRPr="00972B80">
      <w:rPr>
        <w:rStyle w:val="PageNumber"/>
        <w:color w:val="DDDDDD"/>
        <w:sz w:val="18"/>
        <w:szCs w:val="18"/>
        <w:lang w:val="fr-CA"/>
      </w:rPr>
      <w:t xml:space="preserve"> </w:t>
    </w:r>
    <w:r w:rsidR="00972B80" w:rsidRPr="00972B80">
      <w:rPr>
        <w:rStyle w:val="PageNumber"/>
        <w:color w:val="DDDDDD"/>
        <w:sz w:val="18"/>
        <w:szCs w:val="18"/>
        <w:lang w:val="fr-CA"/>
      </w:rPr>
      <w:t>Guide de configuration du travail à domicile</w:t>
    </w:r>
    <w:r w:rsidRPr="00972B80">
      <w:rPr>
        <w:rStyle w:val="PageNumber"/>
        <w:color w:val="DDDDDD"/>
        <w:sz w:val="18"/>
        <w:szCs w:val="18"/>
        <w:lang w:val="fr-CA"/>
      </w:rPr>
      <w:t xml:space="preserve"> &gt; </w:t>
    </w:r>
    <w:r w:rsidRPr="008600BC">
      <w:rPr>
        <w:rStyle w:val="PageNumber"/>
        <w:color w:val="DDDDDD"/>
        <w:sz w:val="18"/>
        <w:szCs w:val="18"/>
      </w:rPr>
      <w:fldChar w:fldCharType="begin"/>
    </w:r>
    <w:r w:rsidRPr="00972B80">
      <w:rPr>
        <w:rStyle w:val="PageNumber"/>
        <w:color w:val="DDDDDD"/>
        <w:sz w:val="18"/>
        <w:szCs w:val="18"/>
        <w:lang w:val="fr-CA"/>
      </w:rPr>
      <w:instrText xml:space="preserve"> PAGE </w:instrText>
    </w:r>
    <w:r w:rsidRPr="008600BC">
      <w:rPr>
        <w:rStyle w:val="PageNumber"/>
        <w:color w:val="DDDDDD"/>
        <w:sz w:val="18"/>
        <w:szCs w:val="18"/>
      </w:rPr>
      <w:fldChar w:fldCharType="separate"/>
    </w:r>
    <w:r w:rsidR="00972B80" w:rsidRPr="00972B80">
      <w:rPr>
        <w:rStyle w:val="PageNumber"/>
        <w:noProof/>
        <w:color w:val="DDDDDD"/>
        <w:sz w:val="18"/>
        <w:szCs w:val="18"/>
        <w:lang w:val="fr-CA"/>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82F" w:rsidRDefault="00B9682F">
      <w:r>
        <w:separator/>
      </w:r>
    </w:p>
  </w:footnote>
  <w:footnote w:type="continuationSeparator" w:id="0">
    <w:p w:rsidR="00B9682F" w:rsidRDefault="00B96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F8390"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8" type="#_x0000_t75" style="width:3in;height:3in" o:bullet="t"/>
    </w:pict>
  </w:numPicBullet>
  <w:numPicBullet w:numPicBulletId="1">
    <w:pict>
      <v:shape id="_x0000_i1279" type="#_x0000_t75" style="width:3in;height:3in" o:bullet="t"/>
    </w:pict>
  </w:numPicBullet>
  <w:numPicBullet w:numPicBulletId="2">
    <w:pict>
      <v:shape id="_x0000_i1280" type="#_x0000_t75" style="width:3in;height:3in" o:bullet="t"/>
    </w:pict>
  </w:numPicBullet>
  <w:numPicBullet w:numPicBulletId="3">
    <w:pict>
      <v:shape id="_x0000_i1281" type="#_x0000_t75" style="width:3in;height:3in" o:bullet="t"/>
    </w:pict>
  </w:numPicBullet>
  <w:numPicBullet w:numPicBulletId="4">
    <w:pict>
      <v:shape id="_x0000_i1282" type="#_x0000_t75" style="width:3in;height:3in" o:bullet="t"/>
    </w:pict>
  </w:numPicBullet>
  <w:numPicBullet w:numPicBulletId="5">
    <w:pict>
      <v:shape id="_x0000_i1283" type="#_x0000_t75" style="width:3in;height:3in" o:bullet="t"/>
    </w:pict>
  </w:numPicBullet>
  <w:numPicBullet w:numPicBulletId="6">
    <w:pict>
      <v:shape id="_x0000_i1284" type="#_x0000_t75" style="width:3in;height:3in" o:bullet="t"/>
    </w:pict>
  </w:numPicBullet>
  <w:numPicBullet w:numPicBulletId="7">
    <w:pict>
      <v:shape id="_x0000_i1285" type="#_x0000_t75" style="width:3in;height:3in" o:bullet="t"/>
    </w:pict>
  </w:numPicBullet>
  <w:numPicBullet w:numPicBulletId="8">
    <w:pict>
      <v:shape id="_x0000_i1286"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2"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8"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3B466E3"/>
    <w:multiLevelType w:val="hybridMultilevel"/>
    <w:tmpl w:val="CA22F12A"/>
    <w:lvl w:ilvl="0" w:tplc="8D243B1A">
      <w:start w:val="1"/>
      <w:numFmt w:val="bullet"/>
      <w:lvlText w:val="•"/>
      <w:lvlJc w:val="left"/>
      <w:pPr>
        <w:tabs>
          <w:tab w:val="num" w:pos="720"/>
        </w:tabs>
        <w:ind w:left="720" w:hanging="360"/>
      </w:pPr>
      <w:rPr>
        <w:rFonts w:ascii="Times New Roman" w:hAnsi="Times New Roman" w:hint="default"/>
      </w:rPr>
    </w:lvl>
    <w:lvl w:ilvl="1" w:tplc="AEB01BA2" w:tentative="1">
      <w:start w:val="1"/>
      <w:numFmt w:val="bullet"/>
      <w:lvlText w:val="•"/>
      <w:lvlJc w:val="left"/>
      <w:pPr>
        <w:tabs>
          <w:tab w:val="num" w:pos="1440"/>
        </w:tabs>
        <w:ind w:left="1440" w:hanging="360"/>
      </w:pPr>
      <w:rPr>
        <w:rFonts w:ascii="Times New Roman" w:hAnsi="Times New Roman" w:hint="default"/>
      </w:rPr>
    </w:lvl>
    <w:lvl w:ilvl="2" w:tplc="71C61AE4" w:tentative="1">
      <w:start w:val="1"/>
      <w:numFmt w:val="bullet"/>
      <w:lvlText w:val="•"/>
      <w:lvlJc w:val="left"/>
      <w:pPr>
        <w:tabs>
          <w:tab w:val="num" w:pos="2160"/>
        </w:tabs>
        <w:ind w:left="2160" w:hanging="360"/>
      </w:pPr>
      <w:rPr>
        <w:rFonts w:ascii="Times New Roman" w:hAnsi="Times New Roman" w:hint="default"/>
      </w:rPr>
    </w:lvl>
    <w:lvl w:ilvl="3" w:tplc="1C6A55A4" w:tentative="1">
      <w:start w:val="1"/>
      <w:numFmt w:val="bullet"/>
      <w:lvlText w:val="•"/>
      <w:lvlJc w:val="left"/>
      <w:pPr>
        <w:tabs>
          <w:tab w:val="num" w:pos="2880"/>
        </w:tabs>
        <w:ind w:left="2880" w:hanging="360"/>
      </w:pPr>
      <w:rPr>
        <w:rFonts w:ascii="Times New Roman" w:hAnsi="Times New Roman" w:hint="default"/>
      </w:rPr>
    </w:lvl>
    <w:lvl w:ilvl="4" w:tplc="02585762" w:tentative="1">
      <w:start w:val="1"/>
      <w:numFmt w:val="bullet"/>
      <w:lvlText w:val="•"/>
      <w:lvlJc w:val="left"/>
      <w:pPr>
        <w:tabs>
          <w:tab w:val="num" w:pos="3600"/>
        </w:tabs>
        <w:ind w:left="3600" w:hanging="360"/>
      </w:pPr>
      <w:rPr>
        <w:rFonts w:ascii="Times New Roman" w:hAnsi="Times New Roman" w:hint="default"/>
      </w:rPr>
    </w:lvl>
    <w:lvl w:ilvl="5" w:tplc="9B8E3CD6" w:tentative="1">
      <w:start w:val="1"/>
      <w:numFmt w:val="bullet"/>
      <w:lvlText w:val="•"/>
      <w:lvlJc w:val="left"/>
      <w:pPr>
        <w:tabs>
          <w:tab w:val="num" w:pos="4320"/>
        </w:tabs>
        <w:ind w:left="4320" w:hanging="360"/>
      </w:pPr>
      <w:rPr>
        <w:rFonts w:ascii="Times New Roman" w:hAnsi="Times New Roman" w:hint="default"/>
      </w:rPr>
    </w:lvl>
    <w:lvl w:ilvl="6" w:tplc="61A2F476" w:tentative="1">
      <w:start w:val="1"/>
      <w:numFmt w:val="bullet"/>
      <w:lvlText w:val="•"/>
      <w:lvlJc w:val="left"/>
      <w:pPr>
        <w:tabs>
          <w:tab w:val="num" w:pos="5040"/>
        </w:tabs>
        <w:ind w:left="5040" w:hanging="360"/>
      </w:pPr>
      <w:rPr>
        <w:rFonts w:ascii="Times New Roman" w:hAnsi="Times New Roman" w:hint="default"/>
      </w:rPr>
    </w:lvl>
    <w:lvl w:ilvl="7" w:tplc="1D82771E" w:tentative="1">
      <w:start w:val="1"/>
      <w:numFmt w:val="bullet"/>
      <w:lvlText w:val="•"/>
      <w:lvlJc w:val="left"/>
      <w:pPr>
        <w:tabs>
          <w:tab w:val="num" w:pos="5760"/>
        </w:tabs>
        <w:ind w:left="5760" w:hanging="360"/>
      </w:pPr>
      <w:rPr>
        <w:rFonts w:ascii="Times New Roman" w:hAnsi="Times New Roman" w:hint="default"/>
      </w:rPr>
    </w:lvl>
    <w:lvl w:ilvl="8" w:tplc="3E6648A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4"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1"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1"/>
  </w:num>
  <w:num w:numId="2">
    <w:abstractNumId w:val="40"/>
  </w:num>
  <w:num w:numId="3">
    <w:abstractNumId w:val="9"/>
  </w:num>
  <w:num w:numId="4">
    <w:abstractNumId w:val="31"/>
  </w:num>
  <w:num w:numId="5">
    <w:abstractNumId w:val="41"/>
  </w:num>
  <w:num w:numId="6">
    <w:abstractNumId w:val="23"/>
  </w:num>
  <w:num w:numId="7">
    <w:abstractNumId w:val="25"/>
  </w:num>
  <w:num w:numId="8">
    <w:abstractNumId w:val="43"/>
  </w:num>
  <w:num w:numId="9">
    <w:abstractNumId w:val="36"/>
  </w:num>
  <w:num w:numId="10">
    <w:abstractNumId w:val="4"/>
  </w:num>
  <w:num w:numId="11">
    <w:abstractNumId w:val="38"/>
  </w:num>
  <w:num w:numId="12">
    <w:abstractNumId w:val="22"/>
  </w:num>
  <w:num w:numId="13">
    <w:abstractNumId w:val="16"/>
  </w:num>
  <w:num w:numId="14">
    <w:abstractNumId w:val="1"/>
  </w:num>
  <w:num w:numId="15">
    <w:abstractNumId w:val="33"/>
  </w:num>
  <w:num w:numId="16">
    <w:abstractNumId w:val="41"/>
    <w:lvlOverride w:ilvl="0">
      <w:startOverride w:val="1"/>
    </w:lvlOverride>
  </w:num>
  <w:num w:numId="17">
    <w:abstractNumId w:val="42"/>
  </w:num>
  <w:num w:numId="18">
    <w:abstractNumId w:val="7"/>
  </w:num>
  <w:num w:numId="19">
    <w:abstractNumId w:val="39"/>
  </w:num>
  <w:num w:numId="20">
    <w:abstractNumId w:val="8"/>
  </w:num>
  <w:num w:numId="21">
    <w:abstractNumId w:val="5"/>
  </w:num>
  <w:num w:numId="22">
    <w:abstractNumId w:val="13"/>
  </w:num>
  <w:num w:numId="23">
    <w:abstractNumId w:val="24"/>
  </w:num>
  <w:num w:numId="24">
    <w:abstractNumId w:val="20"/>
  </w:num>
  <w:num w:numId="25">
    <w:abstractNumId w:val="28"/>
  </w:num>
  <w:num w:numId="26">
    <w:abstractNumId w:val="19"/>
  </w:num>
  <w:num w:numId="27">
    <w:abstractNumId w:val="37"/>
  </w:num>
  <w:num w:numId="28">
    <w:abstractNumId w:val="18"/>
  </w:num>
  <w:num w:numId="29">
    <w:abstractNumId w:val="21"/>
  </w:num>
  <w:num w:numId="30">
    <w:abstractNumId w:val="6"/>
  </w:num>
  <w:num w:numId="31">
    <w:abstractNumId w:val="3"/>
  </w:num>
  <w:num w:numId="32">
    <w:abstractNumId w:val="27"/>
  </w:num>
  <w:num w:numId="33">
    <w:abstractNumId w:val="26"/>
  </w:num>
  <w:num w:numId="34">
    <w:abstractNumId w:val="34"/>
  </w:num>
  <w:num w:numId="35">
    <w:abstractNumId w:val="10"/>
  </w:num>
  <w:num w:numId="36">
    <w:abstractNumId w:val="2"/>
  </w:num>
  <w:num w:numId="37">
    <w:abstractNumId w:val="12"/>
  </w:num>
  <w:num w:numId="38">
    <w:abstractNumId w:val="14"/>
  </w:num>
  <w:num w:numId="39">
    <w:abstractNumId w:val="29"/>
  </w:num>
  <w:num w:numId="40">
    <w:abstractNumId w:val="15"/>
  </w:num>
  <w:num w:numId="41">
    <w:abstractNumId w:val="17"/>
  </w:num>
  <w:num w:numId="42">
    <w:abstractNumId w:val="35"/>
  </w:num>
  <w:num w:numId="43">
    <w:abstractNumId w:val="32"/>
  </w:num>
  <w:num w:numId="44">
    <w:abstractNumId w:val="0"/>
  </w:num>
  <w:num w:numId="45">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8FE"/>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42"/>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7D04"/>
    <w:rsid w:val="000D093E"/>
    <w:rsid w:val="000D1A8A"/>
    <w:rsid w:val="000D2BCC"/>
    <w:rsid w:val="000D2E5C"/>
    <w:rsid w:val="000D409A"/>
    <w:rsid w:val="000D41AC"/>
    <w:rsid w:val="000D43D9"/>
    <w:rsid w:val="000D68AF"/>
    <w:rsid w:val="000D6BB3"/>
    <w:rsid w:val="000D7A93"/>
    <w:rsid w:val="000E08FE"/>
    <w:rsid w:val="000E1800"/>
    <w:rsid w:val="000E191B"/>
    <w:rsid w:val="000E1963"/>
    <w:rsid w:val="000E2136"/>
    <w:rsid w:val="000E2A80"/>
    <w:rsid w:val="000E2C9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6A7"/>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B6DD1"/>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0790B"/>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2992"/>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A50"/>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2B71"/>
    <w:rsid w:val="004C42E7"/>
    <w:rsid w:val="004C4CCF"/>
    <w:rsid w:val="004C4F34"/>
    <w:rsid w:val="004C5964"/>
    <w:rsid w:val="004C79F2"/>
    <w:rsid w:val="004D1B90"/>
    <w:rsid w:val="004D1F8F"/>
    <w:rsid w:val="004D239A"/>
    <w:rsid w:val="004D2E2D"/>
    <w:rsid w:val="004D3E4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2123"/>
    <w:rsid w:val="005C3151"/>
    <w:rsid w:val="005C3A68"/>
    <w:rsid w:val="005C5298"/>
    <w:rsid w:val="005C6351"/>
    <w:rsid w:val="005C6444"/>
    <w:rsid w:val="005C696E"/>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0"/>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0D9C"/>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B80"/>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9682F"/>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5831"/>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42E9"/>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2266"/>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6CD8"/>
    <w:rsid w:val="00EA7477"/>
    <w:rsid w:val="00EA79BF"/>
    <w:rsid w:val="00EA7EAF"/>
    <w:rsid w:val="00EB030E"/>
    <w:rsid w:val="00EB1968"/>
    <w:rsid w:val="00EB1FBB"/>
    <w:rsid w:val="00EB1FF9"/>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66D89926"/>
  <w15:docId w15:val="{54A74EEB-58DE-4BC3-BFE8-A96B5AC2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5"/>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5C21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09657">
      <w:bodyDiv w:val="1"/>
      <w:marLeft w:val="0"/>
      <w:marRight w:val="0"/>
      <w:marTop w:val="0"/>
      <w:marBottom w:val="0"/>
      <w:divBdr>
        <w:top w:val="none" w:sz="0" w:space="0" w:color="auto"/>
        <w:left w:val="none" w:sz="0" w:space="0" w:color="auto"/>
        <w:bottom w:val="none" w:sz="0" w:space="0" w:color="auto"/>
        <w:right w:val="none" w:sz="0" w:space="0" w:color="auto"/>
      </w:divBdr>
      <w:divsChild>
        <w:div w:id="1163279243">
          <w:marLeft w:val="547"/>
          <w:marRight w:val="0"/>
          <w:marTop w:val="0"/>
          <w:marBottom w:val="0"/>
          <w:divBdr>
            <w:top w:val="none" w:sz="0" w:space="0" w:color="auto"/>
            <w:left w:val="none" w:sz="0" w:space="0" w:color="auto"/>
            <w:bottom w:val="none" w:sz="0" w:space="0" w:color="auto"/>
            <w:right w:val="none" w:sz="0" w:space="0" w:color="auto"/>
          </w:divBdr>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WW.Service.Centre.des.services.de.ME@canada.ca" TargetMode="External"/><Relationship Id="rId7" Type="http://schemas.openxmlformats.org/officeDocument/2006/relationships/endnotes" Target="endnotes.xml"/><Relationship Id="rId12" Type="http://schemas.openxmlformats.org/officeDocument/2006/relationships/hyperlink" Target="http://mysource.hc-sc.gc.ca/fra/sp/programmes-services/biens-immobiliers-securite/videos-real-property-and-security/travailler-a"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hc.payment.east-est.paiements.sc@canad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ysource.hc-sc.gc.ca/fra/sp/mon-milieu-de-travail/diversite-et-equite-en-emploi/fonds-ministeriel-centralise-pour-les-mesur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hc.financial.policy-politique.financiere.sc@canada.ca" TargetMode="External"/><Relationship Id="rId28" Type="http://schemas.openxmlformats.org/officeDocument/2006/relationships/theme" Target="theme/theme1.xml"/><Relationship Id="rId10" Type="http://schemas.openxmlformats.org/officeDocument/2006/relationships/hyperlink" Target="http://mysource.hc-sc.gc.ca/fra/sp/programmes-services/operations-financieres/a-a-z-liste-politiques-financieres-sujet/document" TargetMode="External"/><Relationship Id="rId19" Type="http://schemas.openxmlformats.org/officeDocument/2006/relationships/hyperlink" Target="mailto:hc.contracts.east-est.contrats.sc@canada.c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hyperlink" Target="mailto:hc.nationalintakeoffice-bureaunationaldaccueil.sc@canada.c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ACAF2-0E2E-468A-91C6-AEE5807B6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17</TotalTime>
  <Pages>2</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3379</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3</cp:revision>
  <cp:lastPrinted>2012-06-14T18:09:00Z</cp:lastPrinted>
  <dcterms:created xsi:type="dcterms:W3CDTF">2022-02-10T21:36:00Z</dcterms:created>
  <dcterms:modified xsi:type="dcterms:W3CDTF">2022-02-10T21:53:00Z</dcterms:modified>
</cp:coreProperties>
</file>