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BAE3" w14:textId="77777777" w:rsidR="00B91619" w:rsidRPr="00FA558D" w:rsidRDefault="00B91619" w:rsidP="00B91619">
      <w:pPr>
        <w:spacing w:line="240" w:lineRule="auto"/>
        <w:ind w:left="-720"/>
        <w:jc w:val="center"/>
        <w:rPr>
          <w:color w:val="004D71"/>
          <w:sz w:val="72"/>
          <w:szCs w:val="144"/>
          <w:lang w:val="fr-CA"/>
        </w:rPr>
      </w:pPr>
    </w:p>
    <w:p w14:paraId="315D64EA" w14:textId="77777777" w:rsidR="00B91619" w:rsidRPr="00FA558D" w:rsidRDefault="00B91619" w:rsidP="00B91619">
      <w:pPr>
        <w:spacing w:line="240" w:lineRule="auto"/>
        <w:ind w:left="-720"/>
        <w:jc w:val="center"/>
        <w:rPr>
          <w:color w:val="000000" w:themeColor="text1"/>
          <w:sz w:val="48"/>
          <w:szCs w:val="48"/>
          <w:lang w:val="fr-CA"/>
        </w:rPr>
      </w:pPr>
      <w:r w:rsidRPr="00FA558D">
        <w:rPr>
          <w:color w:val="004D71"/>
          <w:sz w:val="72"/>
          <w:szCs w:val="144"/>
          <w:lang w:val="fr-CA"/>
        </w:rPr>
        <w:t>Guide sur la limitation du fardeau réglementaire sur les entreprises</w:t>
      </w:r>
      <w:r w:rsidRPr="00FA558D">
        <w:rPr>
          <w:color w:val="004D71"/>
          <w:sz w:val="144"/>
          <w:szCs w:val="144"/>
          <w:lang w:val="fr-CA"/>
        </w:rPr>
        <w:br/>
      </w:r>
    </w:p>
    <w:p w14:paraId="66F545AA" w14:textId="6982D231" w:rsidR="00B91619" w:rsidRDefault="00B91619" w:rsidP="00B91619">
      <w:pPr>
        <w:spacing w:line="240" w:lineRule="auto"/>
        <w:ind w:left="-720"/>
        <w:jc w:val="center"/>
        <w:rPr>
          <w:color w:val="000000" w:themeColor="text1"/>
          <w:sz w:val="48"/>
          <w:szCs w:val="48"/>
          <w:lang w:val="fr-CA"/>
        </w:rPr>
      </w:pPr>
      <w:r>
        <w:rPr>
          <w:color w:val="000000" w:themeColor="text1"/>
          <w:sz w:val="48"/>
          <w:szCs w:val="48"/>
          <w:lang w:val="fr-CA"/>
        </w:rPr>
        <w:t>Septemb</w:t>
      </w:r>
      <w:r w:rsidRPr="00FA558D">
        <w:rPr>
          <w:color w:val="000000" w:themeColor="text1"/>
          <w:sz w:val="48"/>
          <w:szCs w:val="48"/>
          <w:lang w:val="fr-CA"/>
        </w:rPr>
        <w:t>r</w:t>
      </w:r>
      <w:r>
        <w:rPr>
          <w:color w:val="000000" w:themeColor="text1"/>
          <w:sz w:val="48"/>
          <w:szCs w:val="48"/>
          <w:lang w:val="fr-CA"/>
        </w:rPr>
        <w:t>e</w:t>
      </w:r>
      <w:r w:rsidRPr="00FA558D">
        <w:rPr>
          <w:color w:val="000000" w:themeColor="text1"/>
          <w:sz w:val="48"/>
          <w:szCs w:val="48"/>
          <w:lang w:val="fr-CA"/>
        </w:rPr>
        <w:t> 2018</w:t>
      </w:r>
    </w:p>
    <w:p w14:paraId="5AC68DC5" w14:textId="35A7B6E6" w:rsidR="00AE7920" w:rsidRPr="00AE7920" w:rsidRDefault="00AE7920" w:rsidP="00B91619">
      <w:pPr>
        <w:spacing w:line="240" w:lineRule="auto"/>
        <w:ind w:left="-720"/>
        <w:jc w:val="center"/>
        <w:rPr>
          <w:color w:val="004D71"/>
          <w:sz w:val="32"/>
          <w:szCs w:val="32"/>
          <w:lang w:val="fr-CA"/>
        </w:rPr>
      </w:pPr>
      <w:r w:rsidRPr="00AE7920">
        <w:rPr>
          <w:color w:val="000000" w:themeColor="text1"/>
          <w:sz w:val="32"/>
          <w:szCs w:val="32"/>
          <w:lang w:val="fr-CA"/>
        </w:rPr>
        <w:t>(</w:t>
      </w:r>
      <w:proofErr w:type="gramStart"/>
      <w:r w:rsidRPr="00AE7920">
        <w:rPr>
          <w:color w:val="000000" w:themeColor="text1"/>
          <w:sz w:val="32"/>
          <w:szCs w:val="32"/>
          <w:lang w:val="fr-CA"/>
        </w:rPr>
        <w:t>mis</w:t>
      </w:r>
      <w:proofErr w:type="gramEnd"/>
      <w:r w:rsidRPr="00AE7920">
        <w:rPr>
          <w:color w:val="000000" w:themeColor="text1"/>
          <w:sz w:val="32"/>
          <w:szCs w:val="32"/>
          <w:lang w:val="fr-CA"/>
        </w:rPr>
        <w:t xml:space="preserve"> à jour </w:t>
      </w:r>
      <w:r w:rsidR="00D14090">
        <w:rPr>
          <w:color w:val="000000" w:themeColor="text1"/>
          <w:sz w:val="32"/>
          <w:szCs w:val="32"/>
          <w:lang w:val="fr-CA"/>
        </w:rPr>
        <w:t xml:space="preserve">en </w:t>
      </w:r>
      <w:r w:rsidRPr="00AE7920">
        <w:rPr>
          <w:color w:val="000000" w:themeColor="text1"/>
          <w:sz w:val="32"/>
          <w:szCs w:val="32"/>
          <w:lang w:val="fr-CA"/>
        </w:rPr>
        <w:t>avril</w:t>
      </w:r>
      <w:r w:rsidR="00571953">
        <w:rPr>
          <w:color w:val="000000" w:themeColor="text1"/>
          <w:sz w:val="32"/>
          <w:szCs w:val="32"/>
          <w:lang w:val="fr-CA"/>
        </w:rPr>
        <w:t> </w:t>
      </w:r>
      <w:r w:rsidRPr="00AE7920">
        <w:rPr>
          <w:color w:val="000000" w:themeColor="text1"/>
          <w:sz w:val="32"/>
          <w:szCs w:val="32"/>
          <w:lang w:val="fr-CA"/>
        </w:rPr>
        <w:t>2021)</w:t>
      </w:r>
    </w:p>
    <w:p w14:paraId="6A7E70BC" w14:textId="77777777" w:rsidR="00B91619" w:rsidRPr="00FA558D" w:rsidRDefault="00B91619" w:rsidP="00B91619">
      <w:pPr>
        <w:rPr>
          <w:lang w:val="fr-CA"/>
        </w:rPr>
      </w:pPr>
    </w:p>
    <w:p w14:paraId="0FB7BE4E" w14:textId="77777777" w:rsidR="00B91619" w:rsidRPr="00FA558D" w:rsidRDefault="00B91619" w:rsidP="00B91619">
      <w:pPr>
        <w:rPr>
          <w:lang w:val="fr-CA"/>
        </w:rPr>
      </w:pPr>
    </w:p>
    <w:p w14:paraId="170C804B" w14:textId="77777777" w:rsidR="00B91619" w:rsidRPr="00FA558D" w:rsidRDefault="00B91619" w:rsidP="00B91619">
      <w:pPr>
        <w:rPr>
          <w:lang w:val="fr-CA"/>
        </w:rPr>
      </w:pPr>
    </w:p>
    <w:p w14:paraId="55A27B70" w14:textId="77777777" w:rsidR="00B91619" w:rsidRPr="00FA558D" w:rsidRDefault="00B91619" w:rsidP="00B91619">
      <w:pPr>
        <w:rPr>
          <w:lang w:val="fr-CA"/>
        </w:rPr>
      </w:pPr>
    </w:p>
    <w:p w14:paraId="55664862" w14:textId="77777777" w:rsidR="00B91619" w:rsidRPr="00FA558D" w:rsidRDefault="00B91619" w:rsidP="00B91619">
      <w:pPr>
        <w:jc w:val="center"/>
        <w:rPr>
          <w:lang w:val="fr-CA"/>
        </w:rPr>
      </w:pPr>
    </w:p>
    <w:p w14:paraId="4FF3C97E" w14:textId="77777777" w:rsidR="00B91619" w:rsidRPr="00FA558D" w:rsidRDefault="00B91619" w:rsidP="00B91619">
      <w:pPr>
        <w:rPr>
          <w:lang w:val="fr-CA"/>
        </w:rPr>
      </w:pPr>
    </w:p>
    <w:p w14:paraId="5685C435" w14:textId="77777777" w:rsidR="00B91619" w:rsidRPr="00FA558D" w:rsidRDefault="00B91619" w:rsidP="00B91619">
      <w:pPr>
        <w:rPr>
          <w:lang w:val="fr-CA"/>
        </w:rPr>
        <w:sectPr w:rsidR="00B91619" w:rsidRPr="00FA558D" w:rsidSect="00D3606A">
          <w:headerReference w:type="even" r:id="rId8"/>
          <w:headerReference w:type="default" r:id="rId9"/>
          <w:footerReference w:type="even" r:id="rId10"/>
          <w:footerReference w:type="default" r:id="rId11"/>
          <w:headerReference w:type="first" r:id="rId12"/>
          <w:footerReference w:type="first" r:id="rId13"/>
          <w:pgSz w:w="12240" w:h="15840" w:code="1"/>
          <w:pgMar w:top="3600" w:right="450" w:bottom="1440" w:left="1440" w:header="706" w:footer="706" w:gutter="0"/>
          <w:pgNumType w:start="1"/>
          <w:cols w:space="708"/>
          <w:titlePg/>
          <w:docGrid w:linePitch="360"/>
        </w:sectPr>
      </w:pPr>
    </w:p>
    <w:bookmarkStart w:id="3" w:name="_Toc525308654" w:displacedByCustomXml="next"/>
    <w:sdt>
      <w:sdtPr>
        <w:rPr>
          <w:lang w:val="fr-CA"/>
        </w:rPr>
        <w:id w:val="250393673"/>
        <w:docPartObj>
          <w:docPartGallery w:val="Table of Contents"/>
          <w:docPartUnique/>
        </w:docPartObj>
      </w:sdtPr>
      <w:sdtEndPr>
        <w:rPr>
          <w:b/>
          <w:bCs/>
          <w:noProof/>
        </w:rPr>
      </w:sdtEndPr>
      <w:sdtContent>
        <w:bookmarkStart w:id="4" w:name="_Toc525731630" w:displacedByCustomXml="prev"/>
        <w:p w14:paraId="64C5127F" w14:textId="2CFA9041" w:rsidR="00B91619" w:rsidRPr="00FA558D" w:rsidRDefault="000438BD" w:rsidP="00B91619">
          <w:pPr>
            <w:rPr>
              <w:lang w:val="fr-CA"/>
            </w:rPr>
          </w:pPr>
          <w:r>
            <w:rPr>
              <w:lang w:val="fr-CA"/>
            </w:rPr>
            <w:t>Table des matières</w:t>
          </w:r>
          <w:bookmarkEnd w:id="3"/>
          <w:bookmarkEnd w:id="4"/>
        </w:p>
        <w:p w14:paraId="30E8E7C6" w14:textId="7A36E306" w:rsidR="000117F2" w:rsidRDefault="00B91619">
          <w:pPr>
            <w:pStyle w:val="TOC1"/>
            <w:rPr>
              <w:rFonts w:eastAsiaTheme="minorEastAsia"/>
              <w:noProof/>
              <w:lang w:eastAsia="en-CA"/>
            </w:rPr>
          </w:pPr>
          <w:r w:rsidRPr="00FA558D">
            <w:rPr>
              <w:noProof/>
              <w:lang w:val="fr-CA"/>
            </w:rPr>
            <w:fldChar w:fldCharType="begin"/>
          </w:r>
          <w:r w:rsidRPr="00FA558D">
            <w:rPr>
              <w:noProof/>
              <w:lang w:val="fr-CA"/>
            </w:rPr>
            <w:instrText xml:space="preserve"> TOC \o "1-3" \h \z \u </w:instrText>
          </w:r>
          <w:r w:rsidRPr="00FA558D">
            <w:rPr>
              <w:noProof/>
              <w:lang w:val="fr-CA"/>
            </w:rPr>
            <w:fldChar w:fldCharType="separate"/>
          </w:r>
          <w:hyperlink w:anchor="_Toc69891040" w:history="1">
            <w:r w:rsidR="000117F2" w:rsidRPr="000E315D">
              <w:rPr>
                <w:rStyle w:val="Hyperlink"/>
                <w:noProof/>
                <w:lang w:val="fr-CA"/>
              </w:rPr>
              <w:t>1.</w:t>
            </w:r>
            <w:r w:rsidR="000117F2">
              <w:rPr>
                <w:rFonts w:eastAsiaTheme="minorEastAsia"/>
                <w:noProof/>
                <w:lang w:eastAsia="en-CA"/>
              </w:rPr>
              <w:tab/>
            </w:r>
            <w:r w:rsidR="000117F2" w:rsidRPr="000E315D">
              <w:rPr>
                <w:rStyle w:val="Hyperlink"/>
                <w:noProof/>
                <w:lang w:val="fr-CA"/>
              </w:rPr>
              <w:t>Introduction</w:t>
            </w:r>
            <w:r w:rsidR="000117F2">
              <w:rPr>
                <w:noProof/>
                <w:webHidden/>
              </w:rPr>
              <w:tab/>
            </w:r>
            <w:r w:rsidR="000117F2">
              <w:rPr>
                <w:noProof/>
                <w:webHidden/>
              </w:rPr>
              <w:fldChar w:fldCharType="begin"/>
            </w:r>
            <w:r w:rsidR="000117F2">
              <w:rPr>
                <w:noProof/>
                <w:webHidden/>
              </w:rPr>
              <w:instrText xml:space="preserve"> PAGEREF _Toc69891040 \h </w:instrText>
            </w:r>
            <w:r w:rsidR="000117F2">
              <w:rPr>
                <w:noProof/>
                <w:webHidden/>
              </w:rPr>
            </w:r>
            <w:r w:rsidR="000117F2">
              <w:rPr>
                <w:noProof/>
                <w:webHidden/>
              </w:rPr>
              <w:fldChar w:fldCharType="separate"/>
            </w:r>
            <w:r w:rsidR="000117F2">
              <w:rPr>
                <w:noProof/>
                <w:webHidden/>
              </w:rPr>
              <w:t>1</w:t>
            </w:r>
            <w:r w:rsidR="000117F2">
              <w:rPr>
                <w:noProof/>
                <w:webHidden/>
              </w:rPr>
              <w:fldChar w:fldCharType="end"/>
            </w:r>
          </w:hyperlink>
        </w:p>
        <w:p w14:paraId="7210726A" w14:textId="7443AAA1" w:rsidR="000117F2" w:rsidRDefault="000117F2">
          <w:pPr>
            <w:pStyle w:val="TOC1"/>
            <w:rPr>
              <w:rFonts w:eastAsiaTheme="minorEastAsia"/>
              <w:noProof/>
              <w:lang w:eastAsia="en-CA"/>
            </w:rPr>
          </w:pPr>
          <w:hyperlink w:anchor="_Toc69891041" w:history="1">
            <w:r w:rsidRPr="000E315D">
              <w:rPr>
                <w:rStyle w:val="Hyperlink"/>
                <w:noProof/>
                <w:lang w:val="fr-CA"/>
              </w:rPr>
              <w:t>2.</w:t>
            </w:r>
            <w:r>
              <w:rPr>
                <w:rFonts w:eastAsiaTheme="minorEastAsia"/>
                <w:noProof/>
                <w:lang w:eastAsia="en-CA"/>
              </w:rPr>
              <w:tab/>
            </w:r>
            <w:r w:rsidRPr="000E315D">
              <w:rPr>
                <w:rStyle w:val="Hyperlink"/>
                <w:noProof/>
                <w:lang w:val="fr-CA"/>
              </w:rPr>
              <w:t>Définitions (section 5)</w:t>
            </w:r>
            <w:r>
              <w:rPr>
                <w:noProof/>
                <w:webHidden/>
              </w:rPr>
              <w:tab/>
            </w:r>
            <w:r>
              <w:rPr>
                <w:noProof/>
                <w:webHidden/>
              </w:rPr>
              <w:fldChar w:fldCharType="begin"/>
            </w:r>
            <w:r>
              <w:rPr>
                <w:noProof/>
                <w:webHidden/>
              </w:rPr>
              <w:instrText xml:space="preserve"> PAGEREF _Toc69891041 \h </w:instrText>
            </w:r>
            <w:r>
              <w:rPr>
                <w:noProof/>
                <w:webHidden/>
              </w:rPr>
            </w:r>
            <w:r>
              <w:rPr>
                <w:noProof/>
                <w:webHidden/>
              </w:rPr>
              <w:fldChar w:fldCharType="separate"/>
            </w:r>
            <w:r>
              <w:rPr>
                <w:noProof/>
                <w:webHidden/>
              </w:rPr>
              <w:t>1</w:t>
            </w:r>
            <w:r>
              <w:rPr>
                <w:noProof/>
                <w:webHidden/>
              </w:rPr>
              <w:fldChar w:fldCharType="end"/>
            </w:r>
          </w:hyperlink>
        </w:p>
        <w:p w14:paraId="7C024464" w14:textId="30E6628C" w:rsidR="000117F2" w:rsidRDefault="000117F2">
          <w:pPr>
            <w:pStyle w:val="TOC1"/>
            <w:rPr>
              <w:rFonts w:eastAsiaTheme="minorEastAsia"/>
              <w:noProof/>
              <w:lang w:eastAsia="en-CA"/>
            </w:rPr>
          </w:pPr>
          <w:hyperlink w:anchor="_Toc69891042" w:history="1">
            <w:r w:rsidRPr="000E315D">
              <w:rPr>
                <w:rStyle w:val="Hyperlink"/>
                <w:noProof/>
                <w:lang w:val="fr-CA"/>
              </w:rPr>
              <w:t>3.</w:t>
            </w:r>
            <w:r>
              <w:rPr>
                <w:rFonts w:eastAsiaTheme="minorEastAsia"/>
                <w:noProof/>
                <w:lang w:eastAsia="en-CA"/>
              </w:rPr>
              <w:tab/>
            </w:r>
            <w:r w:rsidRPr="000E315D">
              <w:rPr>
                <w:rStyle w:val="Hyperlink"/>
                <w:noProof/>
                <w:lang w:val="fr-CA"/>
              </w:rPr>
              <w:t>Règle du « un pour un » (section 7)</w:t>
            </w:r>
            <w:r>
              <w:rPr>
                <w:noProof/>
                <w:webHidden/>
              </w:rPr>
              <w:tab/>
            </w:r>
            <w:r>
              <w:rPr>
                <w:noProof/>
                <w:webHidden/>
              </w:rPr>
              <w:fldChar w:fldCharType="begin"/>
            </w:r>
            <w:r>
              <w:rPr>
                <w:noProof/>
                <w:webHidden/>
              </w:rPr>
              <w:instrText xml:space="preserve"> PAGEREF _Toc69891042 \h </w:instrText>
            </w:r>
            <w:r>
              <w:rPr>
                <w:noProof/>
                <w:webHidden/>
              </w:rPr>
            </w:r>
            <w:r>
              <w:rPr>
                <w:noProof/>
                <w:webHidden/>
              </w:rPr>
              <w:fldChar w:fldCharType="separate"/>
            </w:r>
            <w:r>
              <w:rPr>
                <w:noProof/>
                <w:webHidden/>
              </w:rPr>
              <w:t>3</w:t>
            </w:r>
            <w:r>
              <w:rPr>
                <w:noProof/>
                <w:webHidden/>
              </w:rPr>
              <w:fldChar w:fldCharType="end"/>
            </w:r>
          </w:hyperlink>
        </w:p>
        <w:p w14:paraId="7E06A224" w14:textId="2023A6E2" w:rsidR="000117F2" w:rsidRDefault="000117F2">
          <w:pPr>
            <w:pStyle w:val="TOC2"/>
            <w:rPr>
              <w:rFonts w:eastAsiaTheme="minorEastAsia"/>
              <w:noProof/>
              <w:lang w:eastAsia="en-CA"/>
            </w:rPr>
          </w:pPr>
          <w:hyperlink w:anchor="_Toc69891043" w:history="1">
            <w:r w:rsidRPr="000E315D">
              <w:rPr>
                <w:rStyle w:val="Hyperlink"/>
                <w:noProof/>
                <w:lang w:val="fr-CA"/>
              </w:rPr>
              <w:t>3.1</w:t>
            </w:r>
            <w:r>
              <w:rPr>
                <w:rFonts w:eastAsiaTheme="minorEastAsia"/>
                <w:noProof/>
                <w:lang w:eastAsia="en-CA"/>
              </w:rPr>
              <w:tab/>
            </w:r>
            <w:r w:rsidRPr="000E315D">
              <w:rPr>
                <w:rStyle w:val="Hyperlink"/>
                <w:noProof/>
                <w:lang w:val="fr-CA"/>
              </w:rPr>
              <w:t>Aperçu (sous-section 7.1)</w:t>
            </w:r>
            <w:r>
              <w:rPr>
                <w:noProof/>
                <w:webHidden/>
              </w:rPr>
              <w:tab/>
            </w:r>
            <w:r>
              <w:rPr>
                <w:noProof/>
                <w:webHidden/>
              </w:rPr>
              <w:fldChar w:fldCharType="begin"/>
            </w:r>
            <w:r>
              <w:rPr>
                <w:noProof/>
                <w:webHidden/>
              </w:rPr>
              <w:instrText xml:space="preserve"> PAGEREF _Toc69891043 \h </w:instrText>
            </w:r>
            <w:r>
              <w:rPr>
                <w:noProof/>
                <w:webHidden/>
              </w:rPr>
            </w:r>
            <w:r>
              <w:rPr>
                <w:noProof/>
                <w:webHidden/>
              </w:rPr>
              <w:fldChar w:fldCharType="separate"/>
            </w:r>
            <w:r>
              <w:rPr>
                <w:noProof/>
                <w:webHidden/>
              </w:rPr>
              <w:t>3</w:t>
            </w:r>
            <w:r>
              <w:rPr>
                <w:noProof/>
                <w:webHidden/>
              </w:rPr>
              <w:fldChar w:fldCharType="end"/>
            </w:r>
          </w:hyperlink>
        </w:p>
        <w:p w14:paraId="5F873BFB" w14:textId="25F5E960" w:rsidR="000117F2" w:rsidRDefault="000117F2">
          <w:pPr>
            <w:pStyle w:val="TOC2"/>
            <w:rPr>
              <w:rFonts w:eastAsiaTheme="minorEastAsia"/>
              <w:noProof/>
              <w:lang w:eastAsia="en-CA"/>
            </w:rPr>
          </w:pPr>
          <w:hyperlink w:anchor="_Toc69891044" w:history="1">
            <w:r w:rsidRPr="000E315D">
              <w:rPr>
                <w:rStyle w:val="Hyperlink"/>
                <w:noProof/>
                <w:lang w:val="fr-CA"/>
              </w:rPr>
              <w:t>3.2</w:t>
            </w:r>
            <w:r>
              <w:rPr>
                <w:rFonts w:eastAsiaTheme="minorEastAsia"/>
                <w:noProof/>
                <w:lang w:eastAsia="en-CA"/>
              </w:rPr>
              <w:tab/>
            </w:r>
            <w:r w:rsidRPr="000E315D">
              <w:rPr>
                <w:rStyle w:val="Hyperlink"/>
                <w:noProof/>
                <w:lang w:val="fr-CA"/>
              </w:rPr>
              <w:t>Exigences de la politique (sous-section 7.2)</w:t>
            </w:r>
            <w:r>
              <w:rPr>
                <w:noProof/>
                <w:webHidden/>
              </w:rPr>
              <w:tab/>
            </w:r>
            <w:r>
              <w:rPr>
                <w:noProof/>
                <w:webHidden/>
              </w:rPr>
              <w:fldChar w:fldCharType="begin"/>
            </w:r>
            <w:r>
              <w:rPr>
                <w:noProof/>
                <w:webHidden/>
              </w:rPr>
              <w:instrText xml:space="preserve"> PAGEREF _Toc69891044 \h </w:instrText>
            </w:r>
            <w:r>
              <w:rPr>
                <w:noProof/>
                <w:webHidden/>
              </w:rPr>
            </w:r>
            <w:r>
              <w:rPr>
                <w:noProof/>
                <w:webHidden/>
              </w:rPr>
              <w:fldChar w:fldCharType="separate"/>
            </w:r>
            <w:r>
              <w:rPr>
                <w:noProof/>
                <w:webHidden/>
              </w:rPr>
              <w:t>4</w:t>
            </w:r>
            <w:r>
              <w:rPr>
                <w:noProof/>
                <w:webHidden/>
              </w:rPr>
              <w:fldChar w:fldCharType="end"/>
            </w:r>
          </w:hyperlink>
        </w:p>
        <w:p w14:paraId="62150497" w14:textId="7F529296" w:rsidR="000117F2" w:rsidRDefault="000117F2">
          <w:pPr>
            <w:pStyle w:val="TOC3"/>
            <w:rPr>
              <w:rFonts w:eastAsiaTheme="minorEastAsia"/>
              <w:noProof/>
              <w:lang w:eastAsia="en-CA"/>
            </w:rPr>
          </w:pPr>
          <w:hyperlink w:anchor="_Toc69891045" w:history="1">
            <w:r w:rsidRPr="000E315D">
              <w:rPr>
                <w:rStyle w:val="Hyperlink"/>
                <w:noProof/>
                <w:lang w:val="fr-CA"/>
              </w:rPr>
              <w:t>3.2.1</w:t>
            </w:r>
            <w:r>
              <w:rPr>
                <w:rFonts w:eastAsiaTheme="minorEastAsia"/>
                <w:noProof/>
                <w:lang w:eastAsia="en-CA"/>
              </w:rPr>
              <w:tab/>
            </w:r>
            <w:r w:rsidRPr="000E315D">
              <w:rPr>
                <w:rStyle w:val="Hyperlink"/>
                <w:noProof/>
                <w:lang w:val="fr-CA"/>
              </w:rPr>
              <w:t>Détermination des activités administratives (sous-section 7.2.1)</w:t>
            </w:r>
            <w:r>
              <w:rPr>
                <w:noProof/>
                <w:webHidden/>
              </w:rPr>
              <w:tab/>
            </w:r>
            <w:r>
              <w:rPr>
                <w:noProof/>
                <w:webHidden/>
              </w:rPr>
              <w:fldChar w:fldCharType="begin"/>
            </w:r>
            <w:r>
              <w:rPr>
                <w:noProof/>
                <w:webHidden/>
              </w:rPr>
              <w:instrText xml:space="preserve"> PAGEREF _Toc69891045 \h </w:instrText>
            </w:r>
            <w:r>
              <w:rPr>
                <w:noProof/>
                <w:webHidden/>
              </w:rPr>
            </w:r>
            <w:r>
              <w:rPr>
                <w:noProof/>
                <w:webHidden/>
              </w:rPr>
              <w:fldChar w:fldCharType="separate"/>
            </w:r>
            <w:r>
              <w:rPr>
                <w:noProof/>
                <w:webHidden/>
              </w:rPr>
              <w:t>4</w:t>
            </w:r>
            <w:r>
              <w:rPr>
                <w:noProof/>
                <w:webHidden/>
              </w:rPr>
              <w:fldChar w:fldCharType="end"/>
            </w:r>
          </w:hyperlink>
        </w:p>
        <w:p w14:paraId="5B5E1116" w14:textId="1A46BD8A" w:rsidR="000117F2" w:rsidRDefault="000117F2">
          <w:pPr>
            <w:pStyle w:val="TOC3"/>
            <w:rPr>
              <w:rFonts w:eastAsiaTheme="minorEastAsia"/>
              <w:noProof/>
              <w:lang w:eastAsia="en-CA"/>
            </w:rPr>
          </w:pPr>
          <w:hyperlink w:anchor="_Toc69891046" w:history="1">
            <w:r w:rsidRPr="000E315D">
              <w:rPr>
                <w:rStyle w:val="Hyperlink"/>
                <w:noProof/>
                <w:lang w:val="fr-CA"/>
              </w:rPr>
              <w:t>3.2.2</w:t>
            </w:r>
            <w:r>
              <w:rPr>
                <w:rFonts w:eastAsiaTheme="minorEastAsia"/>
                <w:noProof/>
                <w:lang w:eastAsia="en-CA"/>
              </w:rPr>
              <w:tab/>
            </w:r>
            <w:r w:rsidRPr="000E315D">
              <w:rPr>
                <w:rStyle w:val="Hyperlink"/>
                <w:noProof/>
                <w:lang w:val="fr-CA"/>
              </w:rPr>
              <w:t>Validation des estimations du fardeau administratif (sous-section 7.2.2)</w:t>
            </w:r>
            <w:r>
              <w:rPr>
                <w:noProof/>
                <w:webHidden/>
              </w:rPr>
              <w:tab/>
            </w:r>
            <w:r>
              <w:rPr>
                <w:noProof/>
                <w:webHidden/>
              </w:rPr>
              <w:fldChar w:fldCharType="begin"/>
            </w:r>
            <w:r>
              <w:rPr>
                <w:noProof/>
                <w:webHidden/>
              </w:rPr>
              <w:instrText xml:space="preserve"> PAGEREF _Toc69891046 \h </w:instrText>
            </w:r>
            <w:r>
              <w:rPr>
                <w:noProof/>
                <w:webHidden/>
              </w:rPr>
            </w:r>
            <w:r>
              <w:rPr>
                <w:noProof/>
                <w:webHidden/>
              </w:rPr>
              <w:fldChar w:fldCharType="separate"/>
            </w:r>
            <w:r>
              <w:rPr>
                <w:noProof/>
                <w:webHidden/>
              </w:rPr>
              <w:t>6</w:t>
            </w:r>
            <w:r>
              <w:rPr>
                <w:noProof/>
                <w:webHidden/>
              </w:rPr>
              <w:fldChar w:fldCharType="end"/>
            </w:r>
          </w:hyperlink>
        </w:p>
        <w:p w14:paraId="42C258FA" w14:textId="0E12E8AE" w:rsidR="000117F2" w:rsidRDefault="000117F2">
          <w:pPr>
            <w:pStyle w:val="TOC3"/>
            <w:rPr>
              <w:rFonts w:eastAsiaTheme="minorEastAsia"/>
              <w:noProof/>
              <w:lang w:eastAsia="en-CA"/>
            </w:rPr>
          </w:pPr>
          <w:hyperlink w:anchor="_Toc69891047" w:history="1">
            <w:r w:rsidRPr="000E315D">
              <w:rPr>
                <w:rStyle w:val="Hyperlink"/>
                <w:noProof/>
                <w:lang w:val="fr-CA"/>
              </w:rPr>
              <w:t>3.2.3</w:t>
            </w:r>
            <w:r>
              <w:rPr>
                <w:rFonts w:eastAsiaTheme="minorEastAsia"/>
                <w:noProof/>
                <w:lang w:eastAsia="en-CA"/>
              </w:rPr>
              <w:tab/>
            </w:r>
            <w:r w:rsidRPr="000E315D">
              <w:rPr>
                <w:rStyle w:val="Hyperlink"/>
                <w:noProof/>
                <w:lang w:val="fr-CA"/>
              </w:rPr>
              <w:t>Calcul des coûts administratifs (sous-section 7.2.3)</w:t>
            </w:r>
            <w:r>
              <w:rPr>
                <w:noProof/>
                <w:webHidden/>
              </w:rPr>
              <w:tab/>
            </w:r>
            <w:r>
              <w:rPr>
                <w:noProof/>
                <w:webHidden/>
              </w:rPr>
              <w:fldChar w:fldCharType="begin"/>
            </w:r>
            <w:r>
              <w:rPr>
                <w:noProof/>
                <w:webHidden/>
              </w:rPr>
              <w:instrText xml:space="preserve"> PAGEREF _Toc69891047 \h </w:instrText>
            </w:r>
            <w:r>
              <w:rPr>
                <w:noProof/>
                <w:webHidden/>
              </w:rPr>
            </w:r>
            <w:r>
              <w:rPr>
                <w:noProof/>
                <w:webHidden/>
              </w:rPr>
              <w:fldChar w:fldCharType="separate"/>
            </w:r>
            <w:r>
              <w:rPr>
                <w:noProof/>
                <w:webHidden/>
              </w:rPr>
              <w:t>7</w:t>
            </w:r>
            <w:r>
              <w:rPr>
                <w:noProof/>
                <w:webHidden/>
              </w:rPr>
              <w:fldChar w:fldCharType="end"/>
            </w:r>
          </w:hyperlink>
        </w:p>
        <w:p w14:paraId="34DC3C72" w14:textId="3FF300B5" w:rsidR="000117F2" w:rsidRDefault="000117F2">
          <w:pPr>
            <w:pStyle w:val="TOC3"/>
            <w:rPr>
              <w:rFonts w:eastAsiaTheme="minorEastAsia"/>
              <w:noProof/>
              <w:lang w:eastAsia="en-CA"/>
            </w:rPr>
          </w:pPr>
          <w:hyperlink w:anchor="_Toc69891048" w:history="1">
            <w:r w:rsidRPr="000E315D">
              <w:rPr>
                <w:rStyle w:val="Hyperlink"/>
                <w:noProof/>
                <w:lang w:val="fr-CA"/>
              </w:rPr>
              <w:t>3.2.4</w:t>
            </w:r>
            <w:r>
              <w:rPr>
                <w:rFonts w:eastAsiaTheme="minorEastAsia"/>
                <w:noProof/>
                <w:lang w:eastAsia="en-CA"/>
              </w:rPr>
              <w:tab/>
            </w:r>
            <w:r w:rsidRPr="000E315D">
              <w:rPr>
                <w:rStyle w:val="Hyperlink"/>
                <w:noProof/>
                <w:lang w:val="fr-CA"/>
              </w:rPr>
              <w:t>Évaluation des coûts administratifs (sous-section 7.2.4)</w:t>
            </w:r>
            <w:r>
              <w:rPr>
                <w:noProof/>
                <w:webHidden/>
              </w:rPr>
              <w:tab/>
            </w:r>
            <w:r>
              <w:rPr>
                <w:noProof/>
                <w:webHidden/>
              </w:rPr>
              <w:fldChar w:fldCharType="begin"/>
            </w:r>
            <w:r>
              <w:rPr>
                <w:noProof/>
                <w:webHidden/>
              </w:rPr>
              <w:instrText xml:space="preserve"> PAGEREF _Toc69891048 \h </w:instrText>
            </w:r>
            <w:r>
              <w:rPr>
                <w:noProof/>
                <w:webHidden/>
              </w:rPr>
            </w:r>
            <w:r>
              <w:rPr>
                <w:noProof/>
                <w:webHidden/>
              </w:rPr>
              <w:fldChar w:fldCharType="separate"/>
            </w:r>
            <w:r>
              <w:rPr>
                <w:noProof/>
                <w:webHidden/>
              </w:rPr>
              <w:t>8</w:t>
            </w:r>
            <w:r>
              <w:rPr>
                <w:noProof/>
                <w:webHidden/>
              </w:rPr>
              <w:fldChar w:fldCharType="end"/>
            </w:r>
          </w:hyperlink>
        </w:p>
        <w:p w14:paraId="0007C227" w14:textId="1FD78DCC" w:rsidR="000117F2" w:rsidRDefault="000117F2">
          <w:pPr>
            <w:pStyle w:val="TOC3"/>
            <w:rPr>
              <w:rFonts w:eastAsiaTheme="minorEastAsia"/>
              <w:noProof/>
              <w:lang w:eastAsia="en-CA"/>
            </w:rPr>
          </w:pPr>
          <w:hyperlink w:anchor="_Toc69891049" w:history="1">
            <w:r w:rsidRPr="000E315D">
              <w:rPr>
                <w:rStyle w:val="Hyperlink"/>
                <w:noProof/>
                <w:lang w:val="fr-CA"/>
              </w:rPr>
              <w:t>3.2.5</w:t>
            </w:r>
            <w:r>
              <w:rPr>
                <w:rFonts w:eastAsiaTheme="minorEastAsia"/>
                <w:noProof/>
                <w:lang w:eastAsia="en-CA"/>
              </w:rPr>
              <w:tab/>
            </w:r>
            <w:r w:rsidRPr="000E315D">
              <w:rPr>
                <w:rStyle w:val="Hyperlink"/>
                <w:noProof/>
                <w:lang w:val="fr-CA"/>
              </w:rPr>
              <w:t>Compensation des coûts administratifs (sous-section 7.2.5)</w:t>
            </w:r>
            <w:r>
              <w:rPr>
                <w:noProof/>
                <w:webHidden/>
              </w:rPr>
              <w:tab/>
            </w:r>
            <w:r>
              <w:rPr>
                <w:noProof/>
                <w:webHidden/>
              </w:rPr>
              <w:fldChar w:fldCharType="begin"/>
            </w:r>
            <w:r>
              <w:rPr>
                <w:noProof/>
                <w:webHidden/>
              </w:rPr>
              <w:instrText xml:space="preserve"> PAGEREF _Toc69891049 \h </w:instrText>
            </w:r>
            <w:r>
              <w:rPr>
                <w:noProof/>
                <w:webHidden/>
              </w:rPr>
            </w:r>
            <w:r>
              <w:rPr>
                <w:noProof/>
                <w:webHidden/>
              </w:rPr>
              <w:fldChar w:fldCharType="separate"/>
            </w:r>
            <w:r>
              <w:rPr>
                <w:noProof/>
                <w:webHidden/>
              </w:rPr>
              <w:t>9</w:t>
            </w:r>
            <w:r>
              <w:rPr>
                <w:noProof/>
                <w:webHidden/>
              </w:rPr>
              <w:fldChar w:fldCharType="end"/>
            </w:r>
          </w:hyperlink>
        </w:p>
        <w:p w14:paraId="44AFF263" w14:textId="7BB78840" w:rsidR="000117F2" w:rsidRDefault="000117F2">
          <w:pPr>
            <w:pStyle w:val="TOC3"/>
            <w:rPr>
              <w:rFonts w:eastAsiaTheme="minorEastAsia"/>
              <w:noProof/>
              <w:lang w:eastAsia="en-CA"/>
            </w:rPr>
          </w:pPr>
          <w:hyperlink w:anchor="_Toc69891050" w:history="1">
            <w:r w:rsidRPr="000E315D">
              <w:rPr>
                <w:rStyle w:val="Hyperlink"/>
                <w:noProof/>
                <w:lang w:val="fr-CA"/>
              </w:rPr>
              <w:t>3.2.6</w:t>
            </w:r>
            <w:r>
              <w:rPr>
                <w:rFonts w:eastAsiaTheme="minorEastAsia"/>
                <w:noProof/>
                <w:lang w:eastAsia="en-CA"/>
              </w:rPr>
              <w:tab/>
            </w:r>
            <w:r w:rsidRPr="000E315D">
              <w:rPr>
                <w:rStyle w:val="Hyperlink"/>
                <w:noProof/>
                <w:lang w:val="fr-CA"/>
              </w:rPr>
              <w:t>Abrogation d’un règlement (sous-section 7.2.6)</w:t>
            </w:r>
            <w:r>
              <w:rPr>
                <w:noProof/>
                <w:webHidden/>
              </w:rPr>
              <w:tab/>
            </w:r>
            <w:r>
              <w:rPr>
                <w:noProof/>
                <w:webHidden/>
              </w:rPr>
              <w:fldChar w:fldCharType="begin"/>
            </w:r>
            <w:r>
              <w:rPr>
                <w:noProof/>
                <w:webHidden/>
              </w:rPr>
              <w:instrText xml:space="preserve"> PAGEREF _Toc69891050 \h </w:instrText>
            </w:r>
            <w:r>
              <w:rPr>
                <w:noProof/>
                <w:webHidden/>
              </w:rPr>
            </w:r>
            <w:r>
              <w:rPr>
                <w:noProof/>
                <w:webHidden/>
              </w:rPr>
              <w:fldChar w:fldCharType="separate"/>
            </w:r>
            <w:r>
              <w:rPr>
                <w:noProof/>
                <w:webHidden/>
              </w:rPr>
              <w:t>10</w:t>
            </w:r>
            <w:r>
              <w:rPr>
                <w:noProof/>
                <w:webHidden/>
              </w:rPr>
              <w:fldChar w:fldCharType="end"/>
            </w:r>
          </w:hyperlink>
        </w:p>
        <w:p w14:paraId="2CF29DDA" w14:textId="54FF316D" w:rsidR="000117F2" w:rsidRDefault="000117F2">
          <w:pPr>
            <w:pStyle w:val="TOC3"/>
            <w:rPr>
              <w:rFonts w:eastAsiaTheme="minorEastAsia"/>
              <w:noProof/>
              <w:lang w:eastAsia="en-CA"/>
            </w:rPr>
          </w:pPr>
          <w:hyperlink w:anchor="_Toc69891051" w:history="1">
            <w:r w:rsidRPr="000E315D">
              <w:rPr>
                <w:rStyle w:val="Hyperlink"/>
                <w:noProof/>
                <w:lang w:val="fr-CA"/>
              </w:rPr>
              <w:t>3.2.7</w:t>
            </w:r>
            <w:r>
              <w:rPr>
                <w:rFonts w:eastAsiaTheme="minorEastAsia"/>
                <w:noProof/>
                <w:lang w:eastAsia="en-CA"/>
              </w:rPr>
              <w:tab/>
            </w:r>
            <w:r w:rsidRPr="000E315D">
              <w:rPr>
                <w:rStyle w:val="Hyperlink"/>
                <w:noProof/>
                <w:lang w:val="fr-CA"/>
              </w:rPr>
              <w:t>Rapprochement à partir d’un portefeuille (sous-section 7.2.7)</w:t>
            </w:r>
            <w:r>
              <w:rPr>
                <w:noProof/>
                <w:webHidden/>
              </w:rPr>
              <w:tab/>
            </w:r>
            <w:r>
              <w:rPr>
                <w:noProof/>
                <w:webHidden/>
              </w:rPr>
              <w:fldChar w:fldCharType="begin"/>
            </w:r>
            <w:r>
              <w:rPr>
                <w:noProof/>
                <w:webHidden/>
              </w:rPr>
              <w:instrText xml:space="preserve"> PAGEREF _Toc69891051 \h </w:instrText>
            </w:r>
            <w:r>
              <w:rPr>
                <w:noProof/>
                <w:webHidden/>
              </w:rPr>
            </w:r>
            <w:r>
              <w:rPr>
                <w:noProof/>
                <w:webHidden/>
              </w:rPr>
              <w:fldChar w:fldCharType="separate"/>
            </w:r>
            <w:r>
              <w:rPr>
                <w:noProof/>
                <w:webHidden/>
              </w:rPr>
              <w:t>11</w:t>
            </w:r>
            <w:r>
              <w:rPr>
                <w:noProof/>
                <w:webHidden/>
              </w:rPr>
              <w:fldChar w:fldCharType="end"/>
            </w:r>
          </w:hyperlink>
        </w:p>
        <w:p w14:paraId="729E8C29" w14:textId="1A4E3958" w:rsidR="000117F2" w:rsidRDefault="000117F2">
          <w:pPr>
            <w:pStyle w:val="TOC3"/>
            <w:rPr>
              <w:rFonts w:eastAsiaTheme="minorEastAsia"/>
              <w:noProof/>
              <w:lang w:eastAsia="en-CA"/>
            </w:rPr>
          </w:pPr>
          <w:hyperlink w:anchor="_Toc69891052" w:history="1">
            <w:r w:rsidRPr="000E315D">
              <w:rPr>
                <w:rStyle w:val="Hyperlink"/>
                <w:noProof/>
                <w:lang w:val="fr-CA"/>
              </w:rPr>
              <w:t>3.2.8</w:t>
            </w:r>
            <w:r>
              <w:rPr>
                <w:rFonts w:eastAsiaTheme="minorEastAsia"/>
                <w:noProof/>
                <w:lang w:eastAsia="en-CA"/>
              </w:rPr>
              <w:tab/>
            </w:r>
            <w:r w:rsidRPr="000E315D">
              <w:rPr>
                <w:rStyle w:val="Hyperlink"/>
                <w:noProof/>
                <w:lang w:val="fr-CA"/>
              </w:rPr>
              <w:t>Non-conformité à l’exigence de compenser (sous-section 7.2.8)</w:t>
            </w:r>
            <w:r>
              <w:rPr>
                <w:noProof/>
                <w:webHidden/>
              </w:rPr>
              <w:tab/>
            </w:r>
            <w:r>
              <w:rPr>
                <w:noProof/>
                <w:webHidden/>
              </w:rPr>
              <w:fldChar w:fldCharType="begin"/>
            </w:r>
            <w:r>
              <w:rPr>
                <w:noProof/>
                <w:webHidden/>
              </w:rPr>
              <w:instrText xml:space="preserve"> PAGEREF _Toc69891052 \h </w:instrText>
            </w:r>
            <w:r>
              <w:rPr>
                <w:noProof/>
                <w:webHidden/>
              </w:rPr>
            </w:r>
            <w:r>
              <w:rPr>
                <w:noProof/>
                <w:webHidden/>
              </w:rPr>
              <w:fldChar w:fldCharType="separate"/>
            </w:r>
            <w:r>
              <w:rPr>
                <w:noProof/>
                <w:webHidden/>
              </w:rPr>
              <w:t>11</w:t>
            </w:r>
            <w:r>
              <w:rPr>
                <w:noProof/>
                <w:webHidden/>
              </w:rPr>
              <w:fldChar w:fldCharType="end"/>
            </w:r>
          </w:hyperlink>
        </w:p>
        <w:p w14:paraId="4773E42D" w14:textId="20871CE6" w:rsidR="000117F2" w:rsidRDefault="000117F2">
          <w:pPr>
            <w:pStyle w:val="TOC3"/>
            <w:rPr>
              <w:rFonts w:eastAsiaTheme="minorEastAsia"/>
              <w:noProof/>
              <w:lang w:eastAsia="en-CA"/>
            </w:rPr>
          </w:pPr>
          <w:hyperlink w:anchor="_Toc69891053" w:history="1">
            <w:r w:rsidRPr="000E315D">
              <w:rPr>
                <w:rStyle w:val="Hyperlink"/>
                <w:noProof/>
                <w:lang w:val="fr-CA"/>
              </w:rPr>
              <w:t>3.2.9</w:t>
            </w:r>
            <w:r>
              <w:rPr>
                <w:rFonts w:eastAsiaTheme="minorEastAsia"/>
                <w:noProof/>
                <w:lang w:eastAsia="en-CA"/>
              </w:rPr>
              <w:tab/>
            </w:r>
            <w:r w:rsidRPr="000E315D">
              <w:rPr>
                <w:rStyle w:val="Hyperlink"/>
                <w:noProof/>
                <w:lang w:val="fr-CA"/>
              </w:rPr>
              <w:t>Exemptions (sous-section 7.2.9)</w:t>
            </w:r>
            <w:r>
              <w:rPr>
                <w:noProof/>
                <w:webHidden/>
              </w:rPr>
              <w:tab/>
            </w:r>
            <w:r>
              <w:rPr>
                <w:noProof/>
                <w:webHidden/>
              </w:rPr>
              <w:fldChar w:fldCharType="begin"/>
            </w:r>
            <w:r>
              <w:rPr>
                <w:noProof/>
                <w:webHidden/>
              </w:rPr>
              <w:instrText xml:space="preserve"> PAGEREF _Toc69891053 \h </w:instrText>
            </w:r>
            <w:r>
              <w:rPr>
                <w:noProof/>
                <w:webHidden/>
              </w:rPr>
            </w:r>
            <w:r>
              <w:rPr>
                <w:noProof/>
                <w:webHidden/>
              </w:rPr>
              <w:fldChar w:fldCharType="separate"/>
            </w:r>
            <w:r>
              <w:rPr>
                <w:noProof/>
                <w:webHidden/>
              </w:rPr>
              <w:t>12</w:t>
            </w:r>
            <w:r>
              <w:rPr>
                <w:noProof/>
                <w:webHidden/>
              </w:rPr>
              <w:fldChar w:fldCharType="end"/>
            </w:r>
          </w:hyperlink>
        </w:p>
        <w:p w14:paraId="44055FC0" w14:textId="7F7353D1" w:rsidR="000117F2" w:rsidRDefault="000117F2">
          <w:pPr>
            <w:pStyle w:val="TOC3"/>
            <w:rPr>
              <w:rFonts w:eastAsiaTheme="minorEastAsia"/>
              <w:noProof/>
              <w:lang w:eastAsia="en-CA"/>
            </w:rPr>
          </w:pPr>
          <w:hyperlink w:anchor="_Toc69891054" w:history="1">
            <w:r w:rsidRPr="000E315D">
              <w:rPr>
                <w:rStyle w:val="Hyperlink"/>
                <w:noProof/>
                <w:lang w:val="fr-CA"/>
              </w:rPr>
              <w:t>3.2.10</w:t>
            </w:r>
            <w:r>
              <w:rPr>
                <w:rFonts w:eastAsiaTheme="minorEastAsia"/>
                <w:noProof/>
                <w:lang w:eastAsia="en-CA"/>
              </w:rPr>
              <w:tab/>
            </w:r>
            <w:r w:rsidRPr="000E315D">
              <w:rPr>
                <w:rStyle w:val="Hyperlink"/>
                <w:noProof/>
                <w:lang w:val="fr-CA"/>
              </w:rPr>
              <w:t>Exigences relatives aux résumés de l’étude d’impact de la réglementation (sous</w:t>
            </w:r>
            <w:r w:rsidRPr="000E315D">
              <w:rPr>
                <w:rStyle w:val="Hyperlink"/>
                <w:noProof/>
                <w:lang w:val="fr-CA"/>
              </w:rPr>
              <w:noBreakHyphen/>
              <w:t>section 7.2.10)</w:t>
            </w:r>
            <w:r>
              <w:rPr>
                <w:noProof/>
                <w:webHidden/>
              </w:rPr>
              <w:tab/>
            </w:r>
            <w:r>
              <w:rPr>
                <w:noProof/>
                <w:webHidden/>
              </w:rPr>
              <w:fldChar w:fldCharType="begin"/>
            </w:r>
            <w:r>
              <w:rPr>
                <w:noProof/>
                <w:webHidden/>
              </w:rPr>
              <w:instrText xml:space="preserve"> PAGEREF _Toc69891054 \h </w:instrText>
            </w:r>
            <w:r>
              <w:rPr>
                <w:noProof/>
                <w:webHidden/>
              </w:rPr>
            </w:r>
            <w:r>
              <w:rPr>
                <w:noProof/>
                <w:webHidden/>
              </w:rPr>
              <w:fldChar w:fldCharType="separate"/>
            </w:r>
            <w:r>
              <w:rPr>
                <w:noProof/>
                <w:webHidden/>
              </w:rPr>
              <w:t>13</w:t>
            </w:r>
            <w:r>
              <w:rPr>
                <w:noProof/>
                <w:webHidden/>
              </w:rPr>
              <w:fldChar w:fldCharType="end"/>
            </w:r>
          </w:hyperlink>
        </w:p>
        <w:p w14:paraId="1D371494" w14:textId="25A27CA5" w:rsidR="000117F2" w:rsidRDefault="000117F2">
          <w:pPr>
            <w:pStyle w:val="TOC3"/>
            <w:rPr>
              <w:rFonts w:eastAsiaTheme="minorEastAsia"/>
              <w:noProof/>
              <w:lang w:eastAsia="en-CA"/>
            </w:rPr>
          </w:pPr>
          <w:hyperlink w:anchor="_Toc69891055" w:history="1">
            <w:r w:rsidRPr="000E315D">
              <w:rPr>
                <w:rStyle w:val="Hyperlink"/>
                <w:noProof/>
                <w:lang w:val="fr-CA"/>
              </w:rPr>
              <w:t>3.2.11</w:t>
            </w:r>
            <w:r>
              <w:rPr>
                <w:rFonts w:eastAsiaTheme="minorEastAsia"/>
                <w:noProof/>
                <w:lang w:eastAsia="en-CA"/>
              </w:rPr>
              <w:tab/>
            </w:r>
            <w:r w:rsidRPr="000E315D">
              <w:rPr>
                <w:rStyle w:val="Hyperlink"/>
                <w:noProof/>
                <w:lang w:val="fr-CA"/>
              </w:rPr>
              <w:t>Exigence de présentation de rapports annuels (sous-section 7.2.11)</w:t>
            </w:r>
            <w:r>
              <w:rPr>
                <w:noProof/>
                <w:webHidden/>
              </w:rPr>
              <w:tab/>
            </w:r>
            <w:r>
              <w:rPr>
                <w:noProof/>
                <w:webHidden/>
              </w:rPr>
              <w:fldChar w:fldCharType="begin"/>
            </w:r>
            <w:r>
              <w:rPr>
                <w:noProof/>
                <w:webHidden/>
              </w:rPr>
              <w:instrText xml:space="preserve"> PAGEREF _Toc69891055 \h </w:instrText>
            </w:r>
            <w:r>
              <w:rPr>
                <w:noProof/>
                <w:webHidden/>
              </w:rPr>
            </w:r>
            <w:r>
              <w:rPr>
                <w:noProof/>
                <w:webHidden/>
              </w:rPr>
              <w:fldChar w:fldCharType="separate"/>
            </w:r>
            <w:r>
              <w:rPr>
                <w:noProof/>
                <w:webHidden/>
              </w:rPr>
              <w:t>17</w:t>
            </w:r>
            <w:r>
              <w:rPr>
                <w:noProof/>
                <w:webHidden/>
              </w:rPr>
              <w:fldChar w:fldCharType="end"/>
            </w:r>
          </w:hyperlink>
        </w:p>
        <w:p w14:paraId="651D44B6" w14:textId="4D199CF4" w:rsidR="000117F2" w:rsidRDefault="000117F2">
          <w:pPr>
            <w:pStyle w:val="TOC1"/>
            <w:rPr>
              <w:rFonts w:eastAsiaTheme="minorEastAsia"/>
              <w:noProof/>
              <w:lang w:eastAsia="en-CA"/>
            </w:rPr>
          </w:pPr>
          <w:hyperlink w:anchor="_Toc69891056" w:history="1">
            <w:r w:rsidRPr="000E315D">
              <w:rPr>
                <w:rStyle w:val="Hyperlink"/>
                <w:noProof/>
                <w:lang w:val="fr-CA"/>
              </w:rPr>
              <w:t>4.</w:t>
            </w:r>
            <w:r>
              <w:rPr>
                <w:rFonts w:eastAsiaTheme="minorEastAsia"/>
                <w:noProof/>
                <w:lang w:eastAsia="en-CA"/>
              </w:rPr>
              <w:tab/>
            </w:r>
            <w:r w:rsidRPr="000E315D">
              <w:rPr>
                <w:rStyle w:val="Hyperlink"/>
                <w:noProof/>
                <w:lang w:val="fr-CA"/>
              </w:rPr>
              <w:t>La lentille des petites entreprises (section 8)</w:t>
            </w:r>
            <w:r>
              <w:rPr>
                <w:noProof/>
                <w:webHidden/>
              </w:rPr>
              <w:tab/>
            </w:r>
            <w:r>
              <w:rPr>
                <w:noProof/>
                <w:webHidden/>
              </w:rPr>
              <w:fldChar w:fldCharType="begin"/>
            </w:r>
            <w:r>
              <w:rPr>
                <w:noProof/>
                <w:webHidden/>
              </w:rPr>
              <w:instrText xml:space="preserve"> PAGEREF _Toc69891056 \h </w:instrText>
            </w:r>
            <w:r>
              <w:rPr>
                <w:noProof/>
                <w:webHidden/>
              </w:rPr>
            </w:r>
            <w:r>
              <w:rPr>
                <w:noProof/>
                <w:webHidden/>
              </w:rPr>
              <w:fldChar w:fldCharType="separate"/>
            </w:r>
            <w:r>
              <w:rPr>
                <w:noProof/>
                <w:webHidden/>
              </w:rPr>
              <w:t>17</w:t>
            </w:r>
            <w:r>
              <w:rPr>
                <w:noProof/>
                <w:webHidden/>
              </w:rPr>
              <w:fldChar w:fldCharType="end"/>
            </w:r>
          </w:hyperlink>
        </w:p>
        <w:p w14:paraId="2EE1D6E1" w14:textId="0C6A0577" w:rsidR="000117F2" w:rsidRDefault="000117F2">
          <w:pPr>
            <w:pStyle w:val="TOC2"/>
            <w:rPr>
              <w:rFonts w:eastAsiaTheme="minorEastAsia"/>
              <w:noProof/>
              <w:lang w:eastAsia="en-CA"/>
            </w:rPr>
          </w:pPr>
          <w:hyperlink w:anchor="_Toc69891057" w:history="1">
            <w:r w:rsidRPr="000E315D">
              <w:rPr>
                <w:rStyle w:val="Hyperlink"/>
                <w:noProof/>
                <w:lang w:val="fr-CA"/>
              </w:rPr>
              <w:t>4.1</w:t>
            </w:r>
            <w:r>
              <w:rPr>
                <w:rFonts w:eastAsiaTheme="minorEastAsia"/>
                <w:noProof/>
                <w:lang w:eastAsia="en-CA"/>
              </w:rPr>
              <w:tab/>
            </w:r>
            <w:r w:rsidRPr="000E315D">
              <w:rPr>
                <w:rStyle w:val="Hyperlink"/>
                <w:noProof/>
                <w:lang w:val="fr-CA"/>
              </w:rPr>
              <w:t>Exigences de la politique (sous-section 8.2)</w:t>
            </w:r>
            <w:r>
              <w:rPr>
                <w:noProof/>
                <w:webHidden/>
              </w:rPr>
              <w:tab/>
            </w:r>
            <w:r>
              <w:rPr>
                <w:noProof/>
                <w:webHidden/>
              </w:rPr>
              <w:fldChar w:fldCharType="begin"/>
            </w:r>
            <w:r>
              <w:rPr>
                <w:noProof/>
                <w:webHidden/>
              </w:rPr>
              <w:instrText xml:space="preserve"> PAGEREF _Toc69891057 \h </w:instrText>
            </w:r>
            <w:r>
              <w:rPr>
                <w:noProof/>
                <w:webHidden/>
              </w:rPr>
            </w:r>
            <w:r>
              <w:rPr>
                <w:noProof/>
                <w:webHidden/>
              </w:rPr>
              <w:fldChar w:fldCharType="separate"/>
            </w:r>
            <w:r>
              <w:rPr>
                <w:noProof/>
                <w:webHidden/>
              </w:rPr>
              <w:t>17</w:t>
            </w:r>
            <w:r>
              <w:rPr>
                <w:noProof/>
                <w:webHidden/>
              </w:rPr>
              <w:fldChar w:fldCharType="end"/>
            </w:r>
          </w:hyperlink>
        </w:p>
        <w:p w14:paraId="28FD4AA2" w14:textId="7ED1C924" w:rsidR="000117F2" w:rsidRDefault="000117F2">
          <w:pPr>
            <w:pStyle w:val="TOC3"/>
            <w:rPr>
              <w:rFonts w:eastAsiaTheme="minorEastAsia"/>
              <w:noProof/>
              <w:lang w:eastAsia="en-CA"/>
            </w:rPr>
          </w:pPr>
          <w:hyperlink w:anchor="_Toc69891058" w:history="1">
            <w:r w:rsidRPr="000E315D">
              <w:rPr>
                <w:rStyle w:val="Hyperlink"/>
                <w:noProof/>
                <w:lang w:val="fr-CA"/>
              </w:rPr>
              <w:t>4.1.1.</w:t>
            </w:r>
            <w:r>
              <w:rPr>
                <w:rFonts w:eastAsiaTheme="minorEastAsia"/>
                <w:noProof/>
                <w:lang w:eastAsia="en-CA"/>
              </w:rPr>
              <w:tab/>
            </w:r>
            <w:r w:rsidRPr="000E315D">
              <w:rPr>
                <w:rStyle w:val="Hyperlink"/>
                <w:noProof/>
                <w:lang w:val="fr-CA"/>
              </w:rPr>
              <w:t>Détermination des répercussions sur les petites entreprises (sous-section 8.2.1)</w:t>
            </w:r>
            <w:r>
              <w:rPr>
                <w:noProof/>
                <w:webHidden/>
              </w:rPr>
              <w:tab/>
            </w:r>
            <w:r>
              <w:rPr>
                <w:noProof/>
                <w:webHidden/>
              </w:rPr>
              <w:fldChar w:fldCharType="begin"/>
            </w:r>
            <w:r>
              <w:rPr>
                <w:noProof/>
                <w:webHidden/>
              </w:rPr>
              <w:instrText xml:space="preserve"> PAGEREF _Toc69891058 \h </w:instrText>
            </w:r>
            <w:r>
              <w:rPr>
                <w:noProof/>
                <w:webHidden/>
              </w:rPr>
            </w:r>
            <w:r>
              <w:rPr>
                <w:noProof/>
                <w:webHidden/>
              </w:rPr>
              <w:fldChar w:fldCharType="separate"/>
            </w:r>
            <w:r>
              <w:rPr>
                <w:noProof/>
                <w:webHidden/>
              </w:rPr>
              <w:t>18</w:t>
            </w:r>
            <w:r>
              <w:rPr>
                <w:noProof/>
                <w:webHidden/>
              </w:rPr>
              <w:fldChar w:fldCharType="end"/>
            </w:r>
          </w:hyperlink>
        </w:p>
        <w:p w14:paraId="1824FAFA" w14:textId="26E7DE9D" w:rsidR="000117F2" w:rsidRDefault="000117F2">
          <w:pPr>
            <w:pStyle w:val="TOC3"/>
            <w:rPr>
              <w:rFonts w:eastAsiaTheme="minorEastAsia"/>
              <w:noProof/>
              <w:lang w:eastAsia="en-CA"/>
            </w:rPr>
          </w:pPr>
          <w:hyperlink w:anchor="_Toc69891059" w:history="1">
            <w:r w:rsidRPr="000E315D">
              <w:rPr>
                <w:rStyle w:val="Hyperlink"/>
                <w:noProof/>
                <w:lang w:val="fr-CA"/>
              </w:rPr>
              <w:t>4.1.2.</w:t>
            </w:r>
            <w:r>
              <w:rPr>
                <w:rFonts w:eastAsiaTheme="minorEastAsia"/>
                <w:noProof/>
                <w:lang w:eastAsia="en-CA"/>
              </w:rPr>
              <w:tab/>
            </w:r>
            <w:r w:rsidRPr="000E315D">
              <w:rPr>
                <w:rStyle w:val="Hyperlink"/>
                <w:noProof/>
                <w:lang w:val="fr-CA"/>
              </w:rPr>
              <w:t>Description des répercussions sur les petites entreprises (sous-section 8.2.2)</w:t>
            </w:r>
            <w:r>
              <w:rPr>
                <w:noProof/>
                <w:webHidden/>
              </w:rPr>
              <w:tab/>
            </w:r>
            <w:r>
              <w:rPr>
                <w:noProof/>
                <w:webHidden/>
              </w:rPr>
              <w:fldChar w:fldCharType="begin"/>
            </w:r>
            <w:r>
              <w:rPr>
                <w:noProof/>
                <w:webHidden/>
              </w:rPr>
              <w:instrText xml:space="preserve"> PAGEREF _Toc69891059 \h </w:instrText>
            </w:r>
            <w:r>
              <w:rPr>
                <w:noProof/>
                <w:webHidden/>
              </w:rPr>
            </w:r>
            <w:r>
              <w:rPr>
                <w:noProof/>
                <w:webHidden/>
              </w:rPr>
              <w:fldChar w:fldCharType="separate"/>
            </w:r>
            <w:r>
              <w:rPr>
                <w:noProof/>
                <w:webHidden/>
              </w:rPr>
              <w:t>18</w:t>
            </w:r>
            <w:r>
              <w:rPr>
                <w:noProof/>
                <w:webHidden/>
              </w:rPr>
              <w:fldChar w:fldCharType="end"/>
            </w:r>
          </w:hyperlink>
        </w:p>
        <w:p w14:paraId="5DBCFF4B" w14:textId="223FA164" w:rsidR="000117F2" w:rsidRDefault="000117F2">
          <w:pPr>
            <w:pStyle w:val="TOC3"/>
            <w:rPr>
              <w:rFonts w:eastAsiaTheme="minorEastAsia"/>
              <w:noProof/>
              <w:lang w:eastAsia="en-CA"/>
            </w:rPr>
          </w:pPr>
          <w:hyperlink w:anchor="_Toc69891060" w:history="1">
            <w:r w:rsidRPr="000E315D">
              <w:rPr>
                <w:rStyle w:val="Hyperlink"/>
                <w:noProof/>
                <w:lang w:val="fr-CA"/>
              </w:rPr>
              <w:t>4.1.3.</w:t>
            </w:r>
            <w:r>
              <w:rPr>
                <w:rFonts w:eastAsiaTheme="minorEastAsia"/>
                <w:noProof/>
                <w:lang w:eastAsia="en-CA"/>
              </w:rPr>
              <w:tab/>
            </w:r>
            <w:r w:rsidRPr="000E315D">
              <w:rPr>
                <w:rStyle w:val="Hyperlink"/>
                <w:noProof/>
                <w:lang w:val="fr-CA"/>
              </w:rPr>
              <w:t>Validation des estimations du fardeau administratif et de conformité (sous</w:t>
            </w:r>
            <w:r w:rsidRPr="000E315D">
              <w:rPr>
                <w:rStyle w:val="Hyperlink"/>
                <w:noProof/>
                <w:lang w:val="fr-CA"/>
              </w:rPr>
              <w:noBreakHyphen/>
              <w:t>section 8.2.3)</w:t>
            </w:r>
            <w:r>
              <w:rPr>
                <w:noProof/>
                <w:webHidden/>
              </w:rPr>
              <w:tab/>
            </w:r>
            <w:r>
              <w:rPr>
                <w:noProof/>
                <w:webHidden/>
              </w:rPr>
              <w:fldChar w:fldCharType="begin"/>
            </w:r>
            <w:r>
              <w:rPr>
                <w:noProof/>
                <w:webHidden/>
              </w:rPr>
              <w:instrText xml:space="preserve"> PAGEREF _Toc69891060 \h </w:instrText>
            </w:r>
            <w:r>
              <w:rPr>
                <w:noProof/>
                <w:webHidden/>
              </w:rPr>
            </w:r>
            <w:r>
              <w:rPr>
                <w:noProof/>
                <w:webHidden/>
              </w:rPr>
              <w:fldChar w:fldCharType="separate"/>
            </w:r>
            <w:r>
              <w:rPr>
                <w:noProof/>
                <w:webHidden/>
              </w:rPr>
              <w:t>18</w:t>
            </w:r>
            <w:r>
              <w:rPr>
                <w:noProof/>
                <w:webHidden/>
              </w:rPr>
              <w:fldChar w:fldCharType="end"/>
            </w:r>
          </w:hyperlink>
        </w:p>
        <w:p w14:paraId="369ABC1C" w14:textId="785C7948" w:rsidR="000117F2" w:rsidRDefault="000117F2">
          <w:pPr>
            <w:pStyle w:val="TOC3"/>
            <w:rPr>
              <w:rFonts w:eastAsiaTheme="minorEastAsia"/>
              <w:noProof/>
              <w:lang w:eastAsia="en-CA"/>
            </w:rPr>
          </w:pPr>
          <w:hyperlink w:anchor="_Toc69891061" w:history="1">
            <w:r w:rsidRPr="000E315D">
              <w:rPr>
                <w:rStyle w:val="Hyperlink"/>
                <w:noProof/>
                <w:lang w:val="fr-CA"/>
              </w:rPr>
              <w:t>4.1.4.</w:t>
            </w:r>
            <w:r>
              <w:rPr>
                <w:rFonts w:eastAsiaTheme="minorEastAsia"/>
                <w:noProof/>
                <w:lang w:eastAsia="en-CA"/>
              </w:rPr>
              <w:tab/>
            </w:r>
            <w:r w:rsidRPr="000E315D">
              <w:rPr>
                <w:rStyle w:val="Hyperlink"/>
                <w:noProof/>
                <w:lang w:val="fr-CA"/>
              </w:rPr>
              <w:t>Prise en compte des besoins des petites entreprises (sous-section 8.2.4)</w:t>
            </w:r>
            <w:r>
              <w:rPr>
                <w:noProof/>
                <w:webHidden/>
              </w:rPr>
              <w:tab/>
            </w:r>
            <w:r>
              <w:rPr>
                <w:noProof/>
                <w:webHidden/>
              </w:rPr>
              <w:fldChar w:fldCharType="begin"/>
            </w:r>
            <w:r>
              <w:rPr>
                <w:noProof/>
                <w:webHidden/>
              </w:rPr>
              <w:instrText xml:space="preserve"> PAGEREF _Toc69891061 \h </w:instrText>
            </w:r>
            <w:r>
              <w:rPr>
                <w:noProof/>
                <w:webHidden/>
              </w:rPr>
            </w:r>
            <w:r>
              <w:rPr>
                <w:noProof/>
                <w:webHidden/>
              </w:rPr>
              <w:fldChar w:fldCharType="separate"/>
            </w:r>
            <w:r>
              <w:rPr>
                <w:noProof/>
                <w:webHidden/>
              </w:rPr>
              <w:t>19</w:t>
            </w:r>
            <w:r>
              <w:rPr>
                <w:noProof/>
                <w:webHidden/>
              </w:rPr>
              <w:fldChar w:fldCharType="end"/>
            </w:r>
          </w:hyperlink>
        </w:p>
        <w:p w14:paraId="692F4C2C" w14:textId="27512D76" w:rsidR="000117F2" w:rsidRDefault="000117F2">
          <w:pPr>
            <w:pStyle w:val="TOC3"/>
            <w:rPr>
              <w:rFonts w:eastAsiaTheme="minorEastAsia"/>
              <w:noProof/>
              <w:lang w:eastAsia="en-CA"/>
            </w:rPr>
          </w:pPr>
          <w:hyperlink w:anchor="_Toc69891062" w:history="1">
            <w:r w:rsidRPr="000E315D">
              <w:rPr>
                <w:rStyle w:val="Hyperlink"/>
                <w:noProof/>
                <w:lang w:val="fr-CA"/>
              </w:rPr>
              <w:t>4.1.5.</w:t>
            </w:r>
            <w:r>
              <w:rPr>
                <w:rFonts w:eastAsiaTheme="minorEastAsia"/>
                <w:noProof/>
                <w:lang w:eastAsia="en-CA"/>
              </w:rPr>
              <w:tab/>
            </w:r>
            <w:r w:rsidRPr="000E315D">
              <w:rPr>
                <w:rStyle w:val="Hyperlink"/>
                <w:noProof/>
                <w:lang w:val="fr-CA"/>
              </w:rPr>
              <w:t>Exigences plus souples pour les petites entreprises (sous-section 8.2.5)</w:t>
            </w:r>
            <w:r>
              <w:rPr>
                <w:noProof/>
                <w:webHidden/>
              </w:rPr>
              <w:tab/>
            </w:r>
            <w:r>
              <w:rPr>
                <w:noProof/>
                <w:webHidden/>
              </w:rPr>
              <w:fldChar w:fldCharType="begin"/>
            </w:r>
            <w:r>
              <w:rPr>
                <w:noProof/>
                <w:webHidden/>
              </w:rPr>
              <w:instrText xml:space="preserve"> PAGEREF _Toc69891062 \h </w:instrText>
            </w:r>
            <w:r>
              <w:rPr>
                <w:noProof/>
                <w:webHidden/>
              </w:rPr>
            </w:r>
            <w:r>
              <w:rPr>
                <w:noProof/>
                <w:webHidden/>
              </w:rPr>
              <w:fldChar w:fldCharType="separate"/>
            </w:r>
            <w:r>
              <w:rPr>
                <w:noProof/>
                <w:webHidden/>
              </w:rPr>
              <w:t>20</w:t>
            </w:r>
            <w:r>
              <w:rPr>
                <w:noProof/>
                <w:webHidden/>
              </w:rPr>
              <w:fldChar w:fldCharType="end"/>
            </w:r>
          </w:hyperlink>
        </w:p>
        <w:p w14:paraId="568A1132" w14:textId="58FD55ED" w:rsidR="000117F2" w:rsidRDefault="000117F2">
          <w:pPr>
            <w:pStyle w:val="TOC3"/>
            <w:rPr>
              <w:rFonts w:eastAsiaTheme="minorEastAsia"/>
              <w:noProof/>
              <w:lang w:eastAsia="en-CA"/>
            </w:rPr>
          </w:pPr>
          <w:hyperlink w:anchor="_Toc69891063" w:history="1">
            <w:r w:rsidRPr="000E315D">
              <w:rPr>
                <w:rStyle w:val="Hyperlink"/>
                <w:noProof/>
                <w:lang w:val="fr-CA"/>
              </w:rPr>
              <w:t>4.1.6.</w:t>
            </w:r>
            <w:r>
              <w:rPr>
                <w:rFonts w:eastAsiaTheme="minorEastAsia"/>
                <w:noProof/>
                <w:lang w:eastAsia="en-CA"/>
              </w:rPr>
              <w:tab/>
            </w:r>
            <w:r w:rsidRPr="000E315D">
              <w:rPr>
                <w:rStyle w:val="Hyperlink"/>
                <w:noProof/>
                <w:lang w:val="fr-CA"/>
              </w:rPr>
              <w:t>Calcul des coûts administratifs et de conformité (sous-section 8.2.6)</w:t>
            </w:r>
            <w:r>
              <w:rPr>
                <w:noProof/>
                <w:webHidden/>
              </w:rPr>
              <w:tab/>
            </w:r>
            <w:r>
              <w:rPr>
                <w:noProof/>
                <w:webHidden/>
              </w:rPr>
              <w:fldChar w:fldCharType="begin"/>
            </w:r>
            <w:r>
              <w:rPr>
                <w:noProof/>
                <w:webHidden/>
              </w:rPr>
              <w:instrText xml:space="preserve"> PAGEREF _Toc69891063 \h </w:instrText>
            </w:r>
            <w:r>
              <w:rPr>
                <w:noProof/>
                <w:webHidden/>
              </w:rPr>
            </w:r>
            <w:r>
              <w:rPr>
                <w:noProof/>
                <w:webHidden/>
              </w:rPr>
              <w:fldChar w:fldCharType="separate"/>
            </w:r>
            <w:r>
              <w:rPr>
                <w:noProof/>
                <w:webHidden/>
              </w:rPr>
              <w:t>20</w:t>
            </w:r>
            <w:r>
              <w:rPr>
                <w:noProof/>
                <w:webHidden/>
              </w:rPr>
              <w:fldChar w:fldCharType="end"/>
            </w:r>
          </w:hyperlink>
        </w:p>
        <w:p w14:paraId="09C28382" w14:textId="49988E76" w:rsidR="000117F2" w:rsidRDefault="000117F2">
          <w:pPr>
            <w:pStyle w:val="TOC3"/>
            <w:rPr>
              <w:rFonts w:eastAsiaTheme="minorEastAsia"/>
              <w:noProof/>
              <w:lang w:eastAsia="en-CA"/>
            </w:rPr>
          </w:pPr>
          <w:hyperlink w:anchor="_Toc69891064" w:history="1">
            <w:r w:rsidRPr="000E315D">
              <w:rPr>
                <w:rStyle w:val="Hyperlink"/>
                <w:noProof/>
                <w:lang w:val="fr-CA"/>
              </w:rPr>
              <w:t>4.1.7.</w:t>
            </w:r>
            <w:r>
              <w:rPr>
                <w:rFonts w:eastAsiaTheme="minorEastAsia"/>
                <w:noProof/>
                <w:lang w:eastAsia="en-CA"/>
              </w:rPr>
              <w:tab/>
            </w:r>
            <w:r w:rsidRPr="000E315D">
              <w:rPr>
                <w:rStyle w:val="Hyperlink"/>
                <w:noProof/>
                <w:lang w:val="fr-CA"/>
              </w:rPr>
              <w:t>Exigences liées aux résumés de l’étude d’impact de la réglementation (sous</w:t>
            </w:r>
            <w:r w:rsidRPr="000E315D">
              <w:rPr>
                <w:rStyle w:val="Hyperlink"/>
                <w:noProof/>
                <w:lang w:val="fr-CA"/>
              </w:rPr>
              <w:noBreakHyphen/>
              <w:t>section 8.2.7)</w:t>
            </w:r>
            <w:r>
              <w:rPr>
                <w:noProof/>
                <w:webHidden/>
              </w:rPr>
              <w:tab/>
            </w:r>
            <w:r>
              <w:rPr>
                <w:noProof/>
                <w:webHidden/>
              </w:rPr>
              <w:fldChar w:fldCharType="begin"/>
            </w:r>
            <w:r>
              <w:rPr>
                <w:noProof/>
                <w:webHidden/>
              </w:rPr>
              <w:instrText xml:space="preserve"> PAGEREF _Toc69891064 \h </w:instrText>
            </w:r>
            <w:r>
              <w:rPr>
                <w:noProof/>
                <w:webHidden/>
              </w:rPr>
            </w:r>
            <w:r>
              <w:rPr>
                <w:noProof/>
                <w:webHidden/>
              </w:rPr>
              <w:fldChar w:fldCharType="separate"/>
            </w:r>
            <w:r>
              <w:rPr>
                <w:noProof/>
                <w:webHidden/>
              </w:rPr>
              <w:t>21</w:t>
            </w:r>
            <w:r>
              <w:rPr>
                <w:noProof/>
                <w:webHidden/>
              </w:rPr>
              <w:fldChar w:fldCharType="end"/>
            </w:r>
          </w:hyperlink>
        </w:p>
        <w:p w14:paraId="063BCBA0" w14:textId="18861BAF" w:rsidR="000117F2" w:rsidRDefault="000117F2">
          <w:pPr>
            <w:pStyle w:val="TOC1"/>
            <w:rPr>
              <w:rFonts w:eastAsiaTheme="minorEastAsia"/>
              <w:noProof/>
              <w:lang w:eastAsia="en-CA"/>
            </w:rPr>
          </w:pPr>
          <w:hyperlink w:anchor="_Toc69891065" w:history="1">
            <w:r w:rsidRPr="000E315D">
              <w:rPr>
                <w:rStyle w:val="Hyperlink"/>
                <w:noProof/>
                <w:lang w:val="fr-CA"/>
              </w:rPr>
              <w:t>5.</w:t>
            </w:r>
            <w:r>
              <w:rPr>
                <w:rFonts w:eastAsiaTheme="minorEastAsia"/>
                <w:noProof/>
                <w:lang w:eastAsia="en-CA"/>
              </w:rPr>
              <w:tab/>
            </w:r>
            <w:r w:rsidRPr="000E315D">
              <w:rPr>
                <w:rStyle w:val="Hyperlink"/>
                <w:noProof/>
                <w:lang w:val="fr-CA"/>
              </w:rPr>
              <w:t>Liste de vérification de la lentille des petites entreprises (annexe C)</w:t>
            </w:r>
            <w:r>
              <w:rPr>
                <w:noProof/>
                <w:webHidden/>
              </w:rPr>
              <w:tab/>
            </w:r>
            <w:r>
              <w:rPr>
                <w:noProof/>
                <w:webHidden/>
              </w:rPr>
              <w:fldChar w:fldCharType="begin"/>
            </w:r>
            <w:r>
              <w:rPr>
                <w:noProof/>
                <w:webHidden/>
              </w:rPr>
              <w:instrText xml:space="preserve"> PAGEREF _Toc69891065 \h </w:instrText>
            </w:r>
            <w:r>
              <w:rPr>
                <w:noProof/>
                <w:webHidden/>
              </w:rPr>
            </w:r>
            <w:r>
              <w:rPr>
                <w:noProof/>
                <w:webHidden/>
              </w:rPr>
              <w:fldChar w:fldCharType="separate"/>
            </w:r>
            <w:r>
              <w:rPr>
                <w:noProof/>
                <w:webHidden/>
              </w:rPr>
              <w:t>24</w:t>
            </w:r>
            <w:r>
              <w:rPr>
                <w:noProof/>
                <w:webHidden/>
              </w:rPr>
              <w:fldChar w:fldCharType="end"/>
            </w:r>
          </w:hyperlink>
        </w:p>
        <w:p w14:paraId="099B2232" w14:textId="3EFF71D9" w:rsidR="00B91619" w:rsidRPr="00FA558D" w:rsidRDefault="00B91619" w:rsidP="00B91619">
          <w:pPr>
            <w:rPr>
              <w:lang w:val="fr-CA"/>
            </w:rPr>
          </w:pPr>
          <w:r w:rsidRPr="00FA558D">
            <w:rPr>
              <w:b/>
              <w:bCs/>
              <w:noProof/>
              <w:lang w:val="fr-CA"/>
            </w:rPr>
            <w:fldChar w:fldCharType="end"/>
          </w:r>
        </w:p>
      </w:sdtContent>
    </w:sdt>
    <w:p w14:paraId="1F7B904A" w14:textId="77777777" w:rsidR="00B91619" w:rsidRPr="00FA558D" w:rsidRDefault="00B91619" w:rsidP="00B91619">
      <w:pPr>
        <w:spacing w:after="0" w:line="240" w:lineRule="auto"/>
        <w:ind w:right="990"/>
        <w:rPr>
          <w:lang w:val="fr-CA"/>
        </w:rPr>
      </w:pPr>
    </w:p>
    <w:p w14:paraId="625B1C3B" w14:textId="77777777" w:rsidR="00B91619" w:rsidRPr="00FA558D" w:rsidRDefault="00B91619" w:rsidP="00B91619">
      <w:pPr>
        <w:spacing w:after="0" w:line="240" w:lineRule="auto"/>
        <w:ind w:right="990"/>
        <w:rPr>
          <w:lang w:val="fr-CA"/>
        </w:rPr>
        <w:sectPr w:rsidR="00B91619" w:rsidRPr="00FA558D" w:rsidSect="00523C5D">
          <w:footerReference w:type="default" r:id="rId14"/>
          <w:headerReference w:type="first" r:id="rId15"/>
          <w:footerReference w:type="first" r:id="rId16"/>
          <w:pgSz w:w="12240" w:h="15840" w:code="1"/>
          <w:pgMar w:top="1440" w:right="1440" w:bottom="1440" w:left="1440" w:header="706" w:footer="706" w:gutter="0"/>
          <w:pgNumType w:start="1"/>
          <w:cols w:space="708"/>
          <w:titlePg/>
          <w:docGrid w:linePitch="360"/>
        </w:sectPr>
      </w:pPr>
    </w:p>
    <w:p w14:paraId="5C56E9DC" w14:textId="77777777" w:rsidR="00B91619" w:rsidRPr="00FA558D" w:rsidRDefault="00B91619" w:rsidP="00B91619">
      <w:pPr>
        <w:pStyle w:val="Heading1"/>
        <w:rPr>
          <w:lang w:val="fr-CA"/>
        </w:rPr>
      </w:pPr>
      <w:bookmarkStart w:id="6" w:name="_Toc525731631"/>
      <w:bookmarkStart w:id="7" w:name="_Toc525808561"/>
      <w:bookmarkStart w:id="8" w:name="_Toc525912419"/>
      <w:bookmarkStart w:id="9" w:name="_Toc527971343"/>
      <w:bookmarkStart w:id="10" w:name="_Toc527971818"/>
      <w:bookmarkStart w:id="11" w:name="_Toc69891040"/>
      <w:bookmarkEnd w:id="6"/>
      <w:bookmarkEnd w:id="7"/>
      <w:bookmarkEnd w:id="8"/>
      <w:bookmarkEnd w:id="9"/>
      <w:bookmarkEnd w:id="10"/>
      <w:r w:rsidRPr="00FA558D">
        <w:rPr>
          <w:lang w:val="fr-CA"/>
        </w:rPr>
        <w:lastRenderedPageBreak/>
        <w:t>Introduction</w:t>
      </w:r>
      <w:bookmarkEnd w:id="11"/>
    </w:p>
    <w:p w14:paraId="0D568261" w14:textId="77777777" w:rsidR="00B91619" w:rsidRPr="00FA558D" w:rsidRDefault="00B91619" w:rsidP="00B91619">
      <w:pPr>
        <w:tabs>
          <w:tab w:val="left" w:pos="9356"/>
        </w:tabs>
        <w:spacing w:after="0" w:line="240" w:lineRule="auto"/>
        <w:rPr>
          <w:lang w:val="fr-CA"/>
        </w:rPr>
      </w:pPr>
    </w:p>
    <w:p w14:paraId="4AD47477" w14:textId="5077AA6D" w:rsidR="00B91619" w:rsidRPr="00FA558D" w:rsidRDefault="00B91619" w:rsidP="00B91619">
      <w:pPr>
        <w:tabs>
          <w:tab w:val="left" w:pos="9356"/>
        </w:tabs>
        <w:spacing w:after="0" w:line="240" w:lineRule="auto"/>
        <w:rPr>
          <w:lang w:val="fr-CA"/>
        </w:rPr>
      </w:pPr>
      <w:r>
        <w:rPr>
          <w:lang w:val="fr-CA"/>
        </w:rPr>
        <w:t>La</w:t>
      </w:r>
      <w:r w:rsidRPr="00FA558D">
        <w:rPr>
          <w:lang w:val="fr-CA"/>
        </w:rPr>
        <w:t xml:space="preserve"> </w:t>
      </w:r>
      <w:r w:rsidR="00091D6E">
        <w:fldChar w:fldCharType="begin"/>
      </w:r>
      <w:r w:rsidR="00091D6E" w:rsidRPr="000117F2">
        <w:rPr>
          <w:lang w:val="fr-CA"/>
        </w:rPr>
        <w:instrText xml:space="preserve"> HYPERLINK "https://www.canada.ca/fr/secretariat-conseil-tresor/services/gestion-reglementation-federale/lignes-directrices-outils/politique-limitation-fardeau-reglementaire-entrepr</w:instrText>
      </w:r>
      <w:r w:rsidR="00091D6E" w:rsidRPr="000117F2">
        <w:rPr>
          <w:lang w:val="fr-CA"/>
        </w:rPr>
        <w:instrText xml:space="preserve">ises.html" </w:instrText>
      </w:r>
      <w:r w:rsidR="00091D6E">
        <w:fldChar w:fldCharType="separate"/>
      </w:r>
      <w:r w:rsidRPr="00FA558D">
        <w:rPr>
          <w:rStyle w:val="Hyperlink"/>
          <w:lang w:val="fr-CA"/>
        </w:rPr>
        <w:t>Politique sur la limitation du fardeau réglementaire sur les entreprises</w:t>
      </w:r>
      <w:r w:rsidR="00091D6E">
        <w:rPr>
          <w:rStyle w:val="Hyperlink"/>
          <w:lang w:val="fr-CA"/>
        </w:rPr>
        <w:fldChar w:fldCharType="end"/>
      </w:r>
      <w:r w:rsidRPr="00FA558D">
        <w:rPr>
          <w:lang w:val="fr-CA"/>
        </w:rPr>
        <w:t xml:space="preserve"> </w:t>
      </w:r>
      <w:r>
        <w:rPr>
          <w:lang w:val="fr-CA"/>
        </w:rPr>
        <w:t>a été publiée le 1</w:t>
      </w:r>
      <w:r w:rsidRPr="008C5FFA">
        <w:rPr>
          <w:lang w:val="fr-CA"/>
        </w:rPr>
        <w:t>er</w:t>
      </w:r>
      <w:r w:rsidR="000438BD">
        <w:rPr>
          <w:lang w:val="fr-CA"/>
        </w:rPr>
        <w:t> </w:t>
      </w:r>
      <w:r>
        <w:rPr>
          <w:lang w:val="fr-CA"/>
        </w:rPr>
        <w:t>septembre</w:t>
      </w:r>
      <w:r w:rsidR="000438BD">
        <w:rPr>
          <w:lang w:val="fr-CA"/>
        </w:rPr>
        <w:t> </w:t>
      </w:r>
      <w:r w:rsidRPr="00FA558D">
        <w:rPr>
          <w:lang w:val="fr-CA"/>
        </w:rPr>
        <w:t>2018</w:t>
      </w:r>
      <w:r w:rsidR="000438BD">
        <w:rPr>
          <w:lang w:val="fr-CA"/>
        </w:rPr>
        <w:t xml:space="preserve"> et</w:t>
      </w:r>
      <w:r>
        <w:rPr>
          <w:lang w:val="fr-CA"/>
        </w:rPr>
        <w:t xml:space="preserve"> définit les exigences </w:t>
      </w:r>
      <w:r w:rsidR="000438BD">
        <w:rPr>
          <w:lang w:val="fr-CA"/>
        </w:rPr>
        <w:t>précises de</w:t>
      </w:r>
      <w:r>
        <w:rPr>
          <w:lang w:val="fr-CA"/>
        </w:rPr>
        <w:t xml:space="preserve"> la règle du « un pour un » et </w:t>
      </w:r>
      <w:r w:rsidR="007804CD">
        <w:rPr>
          <w:lang w:val="fr-CA"/>
        </w:rPr>
        <w:t xml:space="preserve">de </w:t>
      </w:r>
      <w:r>
        <w:rPr>
          <w:lang w:val="fr-CA"/>
        </w:rPr>
        <w:t xml:space="preserve">la </w:t>
      </w:r>
      <w:r w:rsidR="00827BD1">
        <w:rPr>
          <w:lang w:val="fr-CA"/>
        </w:rPr>
        <w:t>lentille</w:t>
      </w:r>
      <w:r>
        <w:rPr>
          <w:lang w:val="fr-CA"/>
        </w:rPr>
        <w:t xml:space="preserve"> des petites entreprises</w:t>
      </w:r>
      <w:r w:rsidRPr="00FA558D">
        <w:rPr>
          <w:lang w:val="fr-CA"/>
        </w:rPr>
        <w:t xml:space="preserve">. </w:t>
      </w:r>
      <w:r>
        <w:rPr>
          <w:lang w:val="fr-CA"/>
        </w:rPr>
        <w:t xml:space="preserve">Le fondement juridique de la règle du « un pour un » se trouve dans la </w:t>
      </w:r>
      <w:r w:rsidR="00091D6E">
        <w:fldChar w:fldCharType="begin"/>
      </w:r>
      <w:r w:rsidR="00091D6E" w:rsidRPr="000117F2">
        <w:rPr>
          <w:lang w:val="fr-CA"/>
        </w:rPr>
        <w:instrText xml:space="preserve"> HYPERLINK "https://laws-lois.justice.gc.ca/fra/lois/R-4.5/page-1.html" </w:instrText>
      </w:r>
      <w:r w:rsidR="00091D6E">
        <w:fldChar w:fldCharType="separate"/>
      </w:r>
      <w:r w:rsidRPr="00FA558D">
        <w:rPr>
          <w:rStyle w:val="Hyperlink"/>
          <w:lang w:val="fr-CA"/>
        </w:rPr>
        <w:t>Loi sur la réduction de la paperasse</w:t>
      </w:r>
      <w:r w:rsidR="00091D6E">
        <w:rPr>
          <w:rStyle w:val="Hyperlink"/>
          <w:lang w:val="fr-CA"/>
        </w:rPr>
        <w:fldChar w:fldCharType="end"/>
      </w:r>
      <w:r>
        <w:rPr>
          <w:lang w:val="fr-CA"/>
        </w:rPr>
        <w:t xml:space="preserve"> et l</w:t>
      </w:r>
      <w:r w:rsidRPr="00FA558D">
        <w:rPr>
          <w:lang w:val="fr-CA"/>
        </w:rPr>
        <w:t xml:space="preserve">e </w:t>
      </w:r>
      <w:r w:rsidR="00091D6E">
        <w:fldChar w:fldCharType="begin"/>
      </w:r>
      <w:r w:rsidR="00091D6E" w:rsidRPr="000117F2">
        <w:rPr>
          <w:lang w:val="fr-CA"/>
        </w:rPr>
        <w:instrText xml:space="preserve"> HYPERLINK "https://laws-lois.justice.gc.ca/fra/reglements/DORS-2015-202/page-1.html" </w:instrText>
      </w:r>
      <w:r w:rsidR="00091D6E">
        <w:fldChar w:fldCharType="separate"/>
      </w:r>
      <w:r w:rsidRPr="00FA558D">
        <w:rPr>
          <w:rStyle w:val="Hyperlink"/>
          <w:lang w:val="fr-CA"/>
        </w:rPr>
        <w:t>Règlement sur la réduction de la paperasse</w:t>
      </w:r>
      <w:r w:rsidR="00091D6E">
        <w:rPr>
          <w:rStyle w:val="Hyperlink"/>
          <w:lang w:val="fr-CA"/>
        </w:rPr>
        <w:fldChar w:fldCharType="end"/>
      </w:r>
      <w:r w:rsidRPr="00FA558D">
        <w:rPr>
          <w:lang w:val="fr-CA"/>
        </w:rPr>
        <w:t xml:space="preserve">. </w:t>
      </w:r>
      <w:r>
        <w:rPr>
          <w:lang w:val="fr-CA"/>
        </w:rPr>
        <w:t xml:space="preserve">La règle et la </w:t>
      </w:r>
      <w:r w:rsidR="00827BD1">
        <w:rPr>
          <w:lang w:val="fr-CA"/>
        </w:rPr>
        <w:t>lentille</w:t>
      </w:r>
      <w:r w:rsidRPr="00FA558D">
        <w:rPr>
          <w:lang w:val="fr-CA"/>
        </w:rPr>
        <w:t xml:space="preserve"> </w:t>
      </w:r>
      <w:r>
        <w:rPr>
          <w:lang w:val="fr-CA"/>
        </w:rPr>
        <w:t xml:space="preserve">sont </w:t>
      </w:r>
      <w:r w:rsidR="000438BD">
        <w:rPr>
          <w:lang w:val="fr-CA"/>
        </w:rPr>
        <w:t xml:space="preserve">décrites </w:t>
      </w:r>
      <w:r>
        <w:rPr>
          <w:lang w:val="fr-CA"/>
        </w:rPr>
        <w:t xml:space="preserve">dans la </w:t>
      </w:r>
      <w:r w:rsidR="00091D6E">
        <w:fldChar w:fldCharType="begin"/>
      </w:r>
      <w:r w:rsidR="00091D6E" w:rsidRPr="000117F2">
        <w:rPr>
          <w:lang w:val="fr-CA"/>
        </w:rPr>
        <w:instrText xml:space="preserve"> HYPERLINK "https://www.canada.ca/fr/secretariat-conseil-tresor/services/gestion-reglementation-federale/lignes-directrices-outils/directive-cabinet-reglementation.html" </w:instrText>
      </w:r>
      <w:r w:rsidR="00091D6E">
        <w:fldChar w:fldCharType="separate"/>
      </w:r>
      <w:r w:rsidRPr="00FA558D">
        <w:rPr>
          <w:rStyle w:val="Hyperlink"/>
          <w:lang w:val="fr-CA"/>
        </w:rPr>
        <w:t>Directive du Cabinet sur la réglementation</w:t>
      </w:r>
      <w:r w:rsidR="00091D6E">
        <w:rPr>
          <w:rStyle w:val="Hyperlink"/>
          <w:lang w:val="fr-CA"/>
        </w:rPr>
        <w:fldChar w:fldCharType="end"/>
      </w:r>
      <w:r w:rsidRPr="00FA558D">
        <w:rPr>
          <w:lang w:val="fr-CA"/>
        </w:rPr>
        <w:t>,</w:t>
      </w:r>
      <w:r>
        <w:rPr>
          <w:lang w:val="fr-CA"/>
        </w:rPr>
        <w:t xml:space="preserve"> laquelle énonce les exigences </w:t>
      </w:r>
      <w:r w:rsidR="000438BD">
        <w:rPr>
          <w:lang w:val="fr-CA"/>
        </w:rPr>
        <w:t xml:space="preserve">relatives </w:t>
      </w:r>
      <w:r>
        <w:rPr>
          <w:lang w:val="fr-CA"/>
        </w:rPr>
        <w:t>aux projets de règlement du gouvernement fédéral</w:t>
      </w:r>
      <w:r w:rsidRPr="00FA558D">
        <w:rPr>
          <w:lang w:val="fr-CA"/>
        </w:rPr>
        <w:t>.</w:t>
      </w:r>
    </w:p>
    <w:p w14:paraId="5384E008" w14:textId="77777777" w:rsidR="00B91619" w:rsidRPr="00FA558D" w:rsidRDefault="00B91619" w:rsidP="00B91619">
      <w:pPr>
        <w:tabs>
          <w:tab w:val="left" w:pos="4008"/>
        </w:tabs>
        <w:spacing w:after="0" w:line="240" w:lineRule="auto"/>
        <w:rPr>
          <w:lang w:val="fr-CA"/>
        </w:rPr>
      </w:pPr>
      <w:r>
        <w:rPr>
          <w:lang w:val="fr-CA"/>
        </w:rPr>
        <w:tab/>
      </w:r>
    </w:p>
    <w:p w14:paraId="2B9374D7" w14:textId="7FBD7C71" w:rsidR="00B91619" w:rsidRPr="00FA558D" w:rsidRDefault="00B91619" w:rsidP="00B91619">
      <w:pPr>
        <w:tabs>
          <w:tab w:val="left" w:pos="9356"/>
        </w:tabs>
        <w:spacing w:after="0" w:line="240" w:lineRule="auto"/>
        <w:rPr>
          <w:lang w:val="fr-CA"/>
        </w:rPr>
      </w:pPr>
      <w:r>
        <w:rPr>
          <w:lang w:val="fr-CA"/>
        </w:rPr>
        <w:t>Le présent guide</w:t>
      </w:r>
      <w:r w:rsidRPr="00FA558D">
        <w:rPr>
          <w:lang w:val="fr-CA"/>
        </w:rPr>
        <w:t xml:space="preserve"> </w:t>
      </w:r>
      <w:r>
        <w:rPr>
          <w:lang w:val="fr-CA"/>
        </w:rPr>
        <w:t>a été</w:t>
      </w:r>
      <w:r w:rsidRPr="00FA558D">
        <w:rPr>
          <w:lang w:val="fr-CA"/>
        </w:rPr>
        <w:t xml:space="preserve"> </w:t>
      </w:r>
      <w:r>
        <w:rPr>
          <w:lang w:val="fr-CA"/>
        </w:rPr>
        <w:t>élaboré</w:t>
      </w:r>
      <w:r w:rsidRPr="00FA558D">
        <w:rPr>
          <w:lang w:val="fr-CA"/>
        </w:rPr>
        <w:t xml:space="preserve"> </w:t>
      </w:r>
      <w:r>
        <w:rPr>
          <w:lang w:val="fr-CA"/>
        </w:rPr>
        <w:t>par le Centre d’expertise en réglementation du</w:t>
      </w:r>
      <w:r w:rsidRPr="00FA558D">
        <w:rPr>
          <w:lang w:val="fr-CA"/>
        </w:rPr>
        <w:t xml:space="preserve"> </w:t>
      </w:r>
      <w:r>
        <w:rPr>
          <w:lang w:val="fr-CA"/>
        </w:rPr>
        <w:t xml:space="preserve">Secteur des </w:t>
      </w:r>
      <w:r w:rsidR="007C1161">
        <w:rPr>
          <w:lang w:val="fr-CA"/>
        </w:rPr>
        <w:t>af</w:t>
      </w:r>
      <w:r>
        <w:rPr>
          <w:lang w:val="fr-CA"/>
        </w:rPr>
        <w:t>faires réglementaires</w:t>
      </w:r>
      <w:r w:rsidRPr="00FA558D">
        <w:rPr>
          <w:lang w:val="fr-CA"/>
        </w:rPr>
        <w:t xml:space="preserve"> </w:t>
      </w:r>
      <w:r>
        <w:rPr>
          <w:lang w:val="fr-CA"/>
        </w:rPr>
        <w:t>du Secrétariat du Conseil du Trésor du Canada</w:t>
      </w:r>
      <w:r w:rsidR="000438BD">
        <w:rPr>
          <w:lang w:val="fr-CA"/>
        </w:rPr>
        <w:t xml:space="preserve"> (SCT) </w:t>
      </w:r>
      <w:r w:rsidR="00F9277C">
        <w:rPr>
          <w:lang w:val="fr-CA"/>
        </w:rPr>
        <w:t>p</w:t>
      </w:r>
      <w:r>
        <w:rPr>
          <w:lang w:val="fr-CA"/>
        </w:rPr>
        <w:t>our apporter des précisions sur la politique</w:t>
      </w:r>
      <w:r w:rsidRPr="00FA558D">
        <w:rPr>
          <w:lang w:val="fr-CA"/>
        </w:rPr>
        <w:t xml:space="preserve">. </w:t>
      </w:r>
      <w:r w:rsidR="000438BD">
        <w:rPr>
          <w:lang w:val="fr-CA"/>
        </w:rPr>
        <w:t>L</w:t>
      </w:r>
      <w:r>
        <w:rPr>
          <w:lang w:val="fr-CA"/>
        </w:rPr>
        <w:t xml:space="preserve">e guide précise </w:t>
      </w:r>
      <w:r w:rsidR="000438BD">
        <w:rPr>
          <w:lang w:val="fr-CA"/>
        </w:rPr>
        <w:t xml:space="preserve">la façon dont </w:t>
      </w:r>
      <w:r>
        <w:rPr>
          <w:lang w:val="fr-CA"/>
        </w:rPr>
        <w:t>l</w:t>
      </w:r>
      <w:r w:rsidRPr="00FA558D">
        <w:rPr>
          <w:lang w:val="fr-CA"/>
        </w:rPr>
        <w:t xml:space="preserve">e </w:t>
      </w:r>
      <w:r w:rsidR="00F9277C">
        <w:rPr>
          <w:lang w:val="fr-CA"/>
        </w:rPr>
        <w:t>Secteur des affaires réglementaires</w:t>
      </w:r>
      <w:r w:rsidRPr="00FA558D">
        <w:rPr>
          <w:lang w:val="fr-CA"/>
        </w:rPr>
        <w:t xml:space="preserve"> </w:t>
      </w:r>
      <w:r>
        <w:rPr>
          <w:lang w:val="fr-CA"/>
        </w:rPr>
        <w:t>interprète</w:t>
      </w:r>
      <w:r w:rsidRPr="00FA558D">
        <w:rPr>
          <w:lang w:val="fr-CA"/>
        </w:rPr>
        <w:t xml:space="preserve"> </w:t>
      </w:r>
      <w:r>
        <w:rPr>
          <w:lang w:val="fr-CA"/>
        </w:rPr>
        <w:t xml:space="preserve">les exigences de la politique et </w:t>
      </w:r>
      <w:r w:rsidRPr="00FA558D">
        <w:rPr>
          <w:lang w:val="fr-CA"/>
        </w:rPr>
        <w:t>pro</w:t>
      </w:r>
      <w:r>
        <w:rPr>
          <w:lang w:val="fr-CA"/>
        </w:rPr>
        <w:t>pose des exemp</w:t>
      </w:r>
      <w:r w:rsidRPr="00FA558D">
        <w:rPr>
          <w:lang w:val="fr-CA"/>
        </w:rPr>
        <w:t>les</w:t>
      </w:r>
      <w:r>
        <w:rPr>
          <w:lang w:val="fr-CA"/>
        </w:rPr>
        <w:t xml:space="preserve"> tirés de réels projets de règlement</w:t>
      </w:r>
      <w:r w:rsidR="000438BD">
        <w:rPr>
          <w:lang w:val="fr-CA"/>
        </w:rPr>
        <w:t>,</w:t>
      </w:r>
      <w:r w:rsidRPr="00FA558D">
        <w:rPr>
          <w:lang w:val="fr-CA"/>
        </w:rPr>
        <w:t xml:space="preserve"> </w:t>
      </w:r>
      <w:r>
        <w:rPr>
          <w:lang w:val="fr-CA"/>
        </w:rPr>
        <w:t xml:space="preserve">dans la mesure du </w:t>
      </w:r>
      <w:r w:rsidRPr="00FA558D">
        <w:rPr>
          <w:lang w:val="fr-CA"/>
        </w:rPr>
        <w:t xml:space="preserve">possible. </w:t>
      </w:r>
      <w:r w:rsidR="000438BD">
        <w:rPr>
          <w:lang w:val="fr-CA"/>
        </w:rPr>
        <w:t>L</w:t>
      </w:r>
      <w:r>
        <w:rPr>
          <w:lang w:val="fr-CA"/>
        </w:rPr>
        <w:t>e guide</w:t>
      </w:r>
      <w:r w:rsidRPr="00FA558D">
        <w:rPr>
          <w:lang w:val="fr-CA"/>
        </w:rPr>
        <w:t xml:space="preserve"> </w:t>
      </w:r>
      <w:r>
        <w:rPr>
          <w:lang w:val="fr-CA"/>
        </w:rPr>
        <w:t>doit être consulté en parallèle avec la politique</w:t>
      </w:r>
      <w:r w:rsidR="007804CD">
        <w:rPr>
          <w:lang w:val="fr-CA"/>
        </w:rPr>
        <w:t>,</w:t>
      </w:r>
      <w:r>
        <w:rPr>
          <w:lang w:val="fr-CA"/>
        </w:rPr>
        <w:t xml:space="preserve"> et sa structure et son organisation correspondent à celles </w:t>
      </w:r>
      <w:r w:rsidR="000438BD">
        <w:rPr>
          <w:lang w:val="fr-CA"/>
        </w:rPr>
        <w:t>de la politique</w:t>
      </w:r>
      <w:r w:rsidRPr="00FA558D">
        <w:rPr>
          <w:lang w:val="fr-CA"/>
        </w:rPr>
        <w:t xml:space="preserve">. </w:t>
      </w:r>
    </w:p>
    <w:p w14:paraId="52F61F17" w14:textId="77777777" w:rsidR="00B91619" w:rsidRPr="00FA558D" w:rsidRDefault="00B91619" w:rsidP="00B91619">
      <w:pPr>
        <w:tabs>
          <w:tab w:val="left" w:pos="9356"/>
        </w:tabs>
        <w:spacing w:after="0" w:line="240" w:lineRule="auto"/>
        <w:rPr>
          <w:lang w:val="fr-CA"/>
        </w:rPr>
      </w:pPr>
    </w:p>
    <w:p w14:paraId="47139E08" w14:textId="77777777" w:rsidR="00B91619" w:rsidRPr="00FA558D" w:rsidRDefault="00B91619" w:rsidP="00B91619">
      <w:pPr>
        <w:pStyle w:val="Heading1"/>
        <w:rPr>
          <w:lang w:val="fr-CA"/>
        </w:rPr>
      </w:pPr>
      <w:bookmarkStart w:id="12" w:name="_Toc69891041"/>
      <w:r>
        <w:rPr>
          <w:lang w:val="fr-CA"/>
        </w:rPr>
        <w:t>Défin</w:t>
      </w:r>
      <w:r w:rsidRPr="00FA558D">
        <w:rPr>
          <w:lang w:val="fr-CA"/>
        </w:rPr>
        <w:t>itions (section 5)</w:t>
      </w:r>
      <w:bookmarkEnd w:id="12"/>
    </w:p>
    <w:p w14:paraId="56A2693A" w14:textId="77777777" w:rsidR="00B91619" w:rsidRPr="00FA558D" w:rsidRDefault="00B91619" w:rsidP="00B91619">
      <w:pPr>
        <w:tabs>
          <w:tab w:val="left" w:pos="9356"/>
        </w:tabs>
        <w:spacing w:after="0" w:line="240" w:lineRule="auto"/>
        <w:rPr>
          <w:lang w:val="fr-CA"/>
        </w:rPr>
      </w:pPr>
    </w:p>
    <w:p w14:paraId="2FABCB7C" w14:textId="6B89843F" w:rsidR="00B91619" w:rsidRPr="00FA558D" w:rsidRDefault="00B91619" w:rsidP="00B91619">
      <w:pPr>
        <w:tabs>
          <w:tab w:val="left" w:pos="9356"/>
        </w:tabs>
        <w:spacing w:after="0" w:line="240" w:lineRule="auto"/>
        <w:rPr>
          <w:lang w:val="fr-CA"/>
        </w:rPr>
      </w:pPr>
      <w:r>
        <w:rPr>
          <w:lang w:val="fr-CA"/>
        </w:rPr>
        <w:t xml:space="preserve">La </w:t>
      </w:r>
      <w:r w:rsidRPr="00FA558D">
        <w:rPr>
          <w:lang w:val="fr-CA"/>
        </w:rPr>
        <w:t>Section 5</w:t>
      </w:r>
      <w:r>
        <w:rPr>
          <w:lang w:val="fr-CA"/>
        </w:rPr>
        <w:t xml:space="preserve"> de la politique</w:t>
      </w:r>
      <w:r w:rsidRPr="00FA558D">
        <w:rPr>
          <w:lang w:val="fr-CA"/>
        </w:rPr>
        <w:t xml:space="preserve"> </w:t>
      </w:r>
      <w:r>
        <w:rPr>
          <w:lang w:val="fr-CA"/>
        </w:rPr>
        <w:t>énonce les défin</w:t>
      </w:r>
      <w:r w:rsidRPr="00FA558D">
        <w:rPr>
          <w:lang w:val="fr-CA"/>
        </w:rPr>
        <w:t>itions</w:t>
      </w:r>
      <w:r>
        <w:rPr>
          <w:lang w:val="fr-CA"/>
        </w:rPr>
        <w:t xml:space="preserve"> </w:t>
      </w:r>
      <w:r w:rsidR="000438BD">
        <w:rPr>
          <w:lang w:val="fr-CA"/>
        </w:rPr>
        <w:t>relatives</w:t>
      </w:r>
      <w:r>
        <w:rPr>
          <w:lang w:val="fr-CA"/>
        </w:rPr>
        <w:t xml:space="preserve"> à la règle du « un pour un » et à la lentille des petites entreprises</w:t>
      </w:r>
      <w:r w:rsidRPr="00FA558D">
        <w:rPr>
          <w:lang w:val="fr-CA"/>
        </w:rPr>
        <w:t xml:space="preserve">. </w:t>
      </w:r>
      <w:r>
        <w:rPr>
          <w:lang w:val="fr-CA"/>
        </w:rPr>
        <w:t>La présente</w:t>
      </w:r>
      <w:r w:rsidRPr="00FA558D">
        <w:rPr>
          <w:lang w:val="fr-CA"/>
        </w:rPr>
        <w:t xml:space="preserve"> </w:t>
      </w:r>
      <w:r>
        <w:rPr>
          <w:lang w:val="fr-CA"/>
        </w:rPr>
        <w:t xml:space="preserve">section </w:t>
      </w:r>
      <w:r w:rsidR="00A41BBA">
        <w:rPr>
          <w:lang w:val="fr-CA"/>
        </w:rPr>
        <w:t xml:space="preserve">fournit </w:t>
      </w:r>
      <w:r>
        <w:rPr>
          <w:lang w:val="fr-CA"/>
        </w:rPr>
        <w:t>des exemp</w:t>
      </w:r>
      <w:r w:rsidRPr="00FA558D">
        <w:rPr>
          <w:lang w:val="fr-CA"/>
        </w:rPr>
        <w:t xml:space="preserve">les </w:t>
      </w:r>
      <w:r>
        <w:rPr>
          <w:lang w:val="fr-CA"/>
        </w:rPr>
        <w:t>à l’appui des défin</w:t>
      </w:r>
      <w:r w:rsidRPr="00FA558D">
        <w:rPr>
          <w:lang w:val="fr-CA"/>
        </w:rPr>
        <w:t>itions.</w:t>
      </w:r>
    </w:p>
    <w:p w14:paraId="6CAA1FB9" w14:textId="77777777" w:rsidR="00B91619" w:rsidRPr="00FA558D" w:rsidRDefault="00B91619" w:rsidP="00B91619">
      <w:pPr>
        <w:tabs>
          <w:tab w:val="left" w:pos="9356"/>
        </w:tabs>
        <w:spacing w:after="0" w:line="240" w:lineRule="auto"/>
        <w:rPr>
          <w:lang w:val="fr-CA"/>
        </w:rPr>
      </w:pPr>
    </w:p>
    <w:p w14:paraId="558FE794" w14:textId="235C02AC" w:rsidR="00B91619" w:rsidRPr="00FA558D" w:rsidRDefault="00B91619" w:rsidP="00B91619">
      <w:pPr>
        <w:pStyle w:val="Heading4"/>
        <w:rPr>
          <w:lang w:val="fr-CA"/>
        </w:rPr>
      </w:pPr>
      <w:r w:rsidRPr="00FA558D">
        <w:rPr>
          <w:lang w:val="fr-CA"/>
        </w:rPr>
        <w:t>A</w:t>
      </w:r>
      <w:r>
        <w:rPr>
          <w:lang w:val="fr-CA"/>
        </w:rPr>
        <w:t>ctivités a</w:t>
      </w:r>
      <w:r w:rsidRPr="00FA558D">
        <w:rPr>
          <w:lang w:val="fr-CA"/>
        </w:rPr>
        <w:t>dministrative</w:t>
      </w:r>
      <w:r>
        <w:rPr>
          <w:lang w:val="fr-CA"/>
        </w:rPr>
        <w:t xml:space="preserve">s </w:t>
      </w:r>
      <w:r w:rsidR="007804CD">
        <w:rPr>
          <w:lang w:val="fr-CA"/>
        </w:rPr>
        <w:t>et</w:t>
      </w:r>
      <w:r w:rsidR="00A41BBA">
        <w:rPr>
          <w:lang w:val="fr-CA"/>
        </w:rPr>
        <w:t xml:space="preserve"> activités de</w:t>
      </w:r>
      <w:r>
        <w:rPr>
          <w:lang w:val="fr-CA"/>
        </w:rPr>
        <w:t xml:space="preserve"> conformité</w:t>
      </w:r>
    </w:p>
    <w:p w14:paraId="0CB3FDD9" w14:textId="77777777" w:rsidR="00B91619" w:rsidRPr="00FA558D" w:rsidRDefault="00B91619" w:rsidP="00B91619">
      <w:pPr>
        <w:tabs>
          <w:tab w:val="left" w:pos="9356"/>
        </w:tabs>
        <w:spacing w:after="0" w:line="240" w:lineRule="auto"/>
        <w:rPr>
          <w:lang w:val="fr-CA"/>
        </w:rPr>
      </w:pPr>
    </w:p>
    <w:p w14:paraId="701E2294" w14:textId="1BDF51A2" w:rsidR="00B91619" w:rsidRPr="00FA558D" w:rsidRDefault="00B91619" w:rsidP="00B91619">
      <w:pPr>
        <w:tabs>
          <w:tab w:val="left" w:pos="9356"/>
        </w:tabs>
        <w:spacing w:after="0" w:line="240" w:lineRule="auto"/>
        <w:rPr>
          <w:lang w:val="fr-CA"/>
        </w:rPr>
      </w:pPr>
      <w:r>
        <w:rPr>
          <w:lang w:val="fr-CA"/>
        </w:rPr>
        <w:t>La règle du «</w:t>
      </w:r>
      <w:r w:rsidR="007C1161">
        <w:rPr>
          <w:lang w:val="fr-CA"/>
        </w:rPr>
        <w:t> </w:t>
      </w:r>
      <w:r>
        <w:rPr>
          <w:lang w:val="fr-CA"/>
        </w:rPr>
        <w:t>un pour</w:t>
      </w:r>
      <w:r w:rsidR="00234887">
        <w:rPr>
          <w:lang w:val="fr-CA"/>
        </w:rPr>
        <w:t> </w:t>
      </w:r>
      <w:r>
        <w:rPr>
          <w:lang w:val="fr-CA"/>
        </w:rPr>
        <w:t>un »</w:t>
      </w:r>
      <w:r w:rsidRPr="00FA558D">
        <w:rPr>
          <w:lang w:val="fr-CA"/>
        </w:rPr>
        <w:t xml:space="preserve"> </w:t>
      </w:r>
      <w:r>
        <w:rPr>
          <w:lang w:val="fr-CA"/>
        </w:rPr>
        <w:t>oblige les organismes de réglementation</w:t>
      </w:r>
      <w:r w:rsidRPr="00FA558D">
        <w:rPr>
          <w:lang w:val="fr-CA"/>
        </w:rPr>
        <w:t xml:space="preserve"> </w:t>
      </w:r>
      <w:r>
        <w:rPr>
          <w:lang w:val="fr-CA"/>
        </w:rPr>
        <w:t xml:space="preserve">à </w:t>
      </w:r>
      <w:r w:rsidR="00A41BBA">
        <w:rPr>
          <w:lang w:val="fr-CA"/>
        </w:rPr>
        <w:t>déterminer</w:t>
      </w:r>
      <w:r w:rsidR="00A41BBA" w:rsidRPr="00FA558D">
        <w:rPr>
          <w:lang w:val="fr-CA"/>
        </w:rPr>
        <w:t xml:space="preserve"> </w:t>
      </w:r>
      <w:r>
        <w:rPr>
          <w:lang w:val="fr-CA"/>
        </w:rPr>
        <w:t xml:space="preserve">le fardeau administratif </w:t>
      </w:r>
      <w:r w:rsidR="00A41BBA">
        <w:rPr>
          <w:lang w:val="fr-CA"/>
        </w:rPr>
        <w:t xml:space="preserve">imposé </w:t>
      </w:r>
      <w:r>
        <w:rPr>
          <w:lang w:val="fr-CA"/>
        </w:rPr>
        <w:t>aux entreprises</w:t>
      </w:r>
      <w:r w:rsidRPr="00FA558D">
        <w:rPr>
          <w:lang w:val="fr-CA"/>
        </w:rPr>
        <w:t xml:space="preserve"> </w:t>
      </w:r>
      <w:r>
        <w:rPr>
          <w:lang w:val="fr-CA"/>
        </w:rPr>
        <w:t>par les exigences réglementaires</w:t>
      </w:r>
      <w:r w:rsidRPr="00FA558D">
        <w:rPr>
          <w:lang w:val="fr-CA"/>
        </w:rPr>
        <w:t xml:space="preserve">. </w:t>
      </w:r>
      <w:r w:rsidR="00A41BBA">
        <w:rPr>
          <w:lang w:val="fr-CA"/>
        </w:rPr>
        <w:t>L</w:t>
      </w:r>
      <w:r>
        <w:rPr>
          <w:lang w:val="fr-CA"/>
        </w:rPr>
        <w:t xml:space="preserve">a lentille des petites entreprises exige </w:t>
      </w:r>
      <w:r w:rsidR="00A41BBA">
        <w:rPr>
          <w:lang w:val="fr-CA"/>
        </w:rPr>
        <w:t>que le</w:t>
      </w:r>
      <w:r>
        <w:rPr>
          <w:lang w:val="fr-CA"/>
        </w:rPr>
        <w:t xml:space="preserve"> fardeau administratif et de conformité</w:t>
      </w:r>
      <w:r w:rsidR="00A41BBA">
        <w:rPr>
          <w:lang w:val="fr-CA"/>
        </w:rPr>
        <w:t xml:space="preserve"> en matière de réglementation</w:t>
      </w:r>
      <w:r>
        <w:rPr>
          <w:lang w:val="fr-CA"/>
        </w:rPr>
        <w:t xml:space="preserve"> imposé aux petites entreprises</w:t>
      </w:r>
      <w:r w:rsidR="00A41BBA">
        <w:rPr>
          <w:lang w:val="fr-CA"/>
        </w:rPr>
        <w:t xml:space="preserve"> soit </w:t>
      </w:r>
      <w:r w:rsidR="007804CD">
        <w:rPr>
          <w:lang w:val="fr-CA"/>
        </w:rPr>
        <w:t>établi</w:t>
      </w:r>
      <w:r w:rsidRPr="00FA558D">
        <w:rPr>
          <w:lang w:val="fr-CA"/>
        </w:rPr>
        <w:t xml:space="preserve">. </w:t>
      </w:r>
      <w:r>
        <w:rPr>
          <w:lang w:val="fr-CA"/>
        </w:rPr>
        <w:t>Le tableau </w:t>
      </w:r>
      <w:r w:rsidRPr="00FA558D">
        <w:rPr>
          <w:lang w:val="fr-CA"/>
        </w:rPr>
        <w:t xml:space="preserve">1 </w:t>
      </w:r>
      <w:r>
        <w:rPr>
          <w:lang w:val="fr-CA"/>
        </w:rPr>
        <w:t>est destiné à</w:t>
      </w:r>
      <w:r w:rsidR="00A9277E">
        <w:rPr>
          <w:lang w:val="fr-CA"/>
        </w:rPr>
        <w:t> </w:t>
      </w:r>
      <w:r>
        <w:rPr>
          <w:lang w:val="fr-CA"/>
        </w:rPr>
        <w:t>:</w:t>
      </w:r>
    </w:p>
    <w:p w14:paraId="4F21832C" w14:textId="0FF3A1B7" w:rsidR="00B91619" w:rsidRPr="00FA558D" w:rsidRDefault="00B91619" w:rsidP="00B91619">
      <w:pPr>
        <w:pStyle w:val="ListParagraph"/>
        <w:numPr>
          <w:ilvl w:val="0"/>
          <w:numId w:val="17"/>
        </w:numPr>
        <w:tabs>
          <w:tab w:val="left" w:pos="9356"/>
        </w:tabs>
        <w:spacing w:after="0" w:line="240" w:lineRule="auto"/>
        <w:rPr>
          <w:lang w:val="fr-CA"/>
        </w:rPr>
      </w:pPr>
      <w:r>
        <w:rPr>
          <w:lang w:val="fr-CA"/>
        </w:rPr>
        <w:t>aider les organismes de réglementation</w:t>
      </w:r>
      <w:r w:rsidRPr="00FA558D">
        <w:rPr>
          <w:lang w:val="fr-CA"/>
        </w:rPr>
        <w:t xml:space="preserve"> </w:t>
      </w:r>
      <w:r>
        <w:rPr>
          <w:lang w:val="fr-CA"/>
        </w:rPr>
        <w:t xml:space="preserve">à distinguer les activités </w:t>
      </w:r>
      <w:r w:rsidRPr="00FA558D">
        <w:rPr>
          <w:lang w:val="fr-CA"/>
        </w:rPr>
        <w:t>administrative</w:t>
      </w:r>
      <w:r>
        <w:rPr>
          <w:lang w:val="fr-CA"/>
        </w:rPr>
        <w:t>s des activités de conformité;</w:t>
      </w:r>
    </w:p>
    <w:p w14:paraId="53B20F1E" w14:textId="108FAAAC" w:rsidR="00B91619" w:rsidRPr="00FA558D" w:rsidRDefault="00A41BBA" w:rsidP="00B91619">
      <w:pPr>
        <w:pStyle w:val="ListParagraph"/>
        <w:numPr>
          <w:ilvl w:val="0"/>
          <w:numId w:val="17"/>
        </w:numPr>
        <w:tabs>
          <w:tab w:val="left" w:pos="9356"/>
        </w:tabs>
        <w:spacing w:after="0" w:line="240" w:lineRule="auto"/>
        <w:rPr>
          <w:lang w:val="fr-CA"/>
        </w:rPr>
      </w:pPr>
      <w:r>
        <w:rPr>
          <w:lang w:val="fr-CA"/>
        </w:rPr>
        <w:t>bien catégoriser les</w:t>
      </w:r>
      <w:r w:rsidR="00B91619">
        <w:rPr>
          <w:lang w:val="fr-CA"/>
        </w:rPr>
        <w:t xml:space="preserve"> </w:t>
      </w:r>
      <w:r w:rsidR="00B91619" w:rsidRPr="00FA558D">
        <w:rPr>
          <w:lang w:val="fr-CA"/>
        </w:rPr>
        <w:t>activi</w:t>
      </w:r>
      <w:r w:rsidR="00B91619">
        <w:rPr>
          <w:lang w:val="fr-CA"/>
        </w:rPr>
        <w:t>tés.</w:t>
      </w:r>
      <w:r w:rsidR="002A1737">
        <w:rPr>
          <w:lang w:val="fr-CA"/>
        </w:rPr>
        <w:t xml:space="preserve"> </w:t>
      </w:r>
    </w:p>
    <w:p w14:paraId="70FACD75" w14:textId="77777777" w:rsidR="00B91619" w:rsidRPr="00FA558D" w:rsidRDefault="00B91619" w:rsidP="00B91619">
      <w:pPr>
        <w:tabs>
          <w:tab w:val="left" w:pos="9356"/>
        </w:tabs>
        <w:spacing w:after="0" w:line="240" w:lineRule="auto"/>
        <w:rPr>
          <w:lang w:val="fr-CA"/>
        </w:rPr>
      </w:pPr>
    </w:p>
    <w:p w14:paraId="60A9005B" w14:textId="72933D02" w:rsidR="00B91619" w:rsidRPr="00FA558D" w:rsidRDefault="00B91619" w:rsidP="00B91619">
      <w:pPr>
        <w:tabs>
          <w:tab w:val="left" w:pos="9356"/>
        </w:tabs>
        <w:spacing w:after="0" w:line="240" w:lineRule="auto"/>
        <w:rPr>
          <w:b/>
          <w:lang w:val="fr-CA"/>
        </w:rPr>
      </w:pPr>
      <w:r w:rsidRPr="00FA558D">
        <w:rPr>
          <w:b/>
          <w:lang w:val="fr-CA"/>
        </w:rPr>
        <w:t>Table</w:t>
      </w:r>
      <w:r>
        <w:rPr>
          <w:b/>
          <w:lang w:val="fr-CA"/>
        </w:rPr>
        <w:t>au</w:t>
      </w:r>
      <w:r w:rsidRPr="00FA558D">
        <w:rPr>
          <w:b/>
          <w:lang w:val="fr-CA"/>
        </w:rPr>
        <w:t> 1</w:t>
      </w:r>
      <w:r>
        <w:rPr>
          <w:b/>
          <w:lang w:val="fr-CA"/>
        </w:rPr>
        <w:t> : A</w:t>
      </w:r>
      <w:r w:rsidRPr="00FA558D">
        <w:rPr>
          <w:b/>
          <w:lang w:val="fr-CA"/>
        </w:rPr>
        <w:t>ctivi</w:t>
      </w:r>
      <w:r>
        <w:rPr>
          <w:b/>
          <w:lang w:val="fr-CA"/>
        </w:rPr>
        <w:t>tés et leurs composant</w:t>
      </w:r>
      <w:r w:rsidR="007B27C9">
        <w:rPr>
          <w:b/>
          <w:lang w:val="fr-CA"/>
        </w:rPr>
        <w:t>e</w:t>
      </w:r>
      <w:r>
        <w:rPr>
          <w:b/>
          <w:lang w:val="fr-CA"/>
        </w:rPr>
        <w:t>s administrati</w:t>
      </w:r>
      <w:r w:rsidR="007B27C9">
        <w:rPr>
          <w:b/>
          <w:lang w:val="fr-CA"/>
        </w:rPr>
        <w:t>ves</w:t>
      </w:r>
      <w:r>
        <w:rPr>
          <w:b/>
          <w:lang w:val="fr-CA"/>
        </w:rPr>
        <w:t xml:space="preserve"> et de </w:t>
      </w:r>
      <w:r w:rsidRPr="00FA558D">
        <w:rPr>
          <w:b/>
          <w:lang w:val="fr-CA"/>
        </w:rPr>
        <w:t>co</w:t>
      </w:r>
      <w:r>
        <w:rPr>
          <w:b/>
          <w:lang w:val="fr-CA"/>
        </w:rPr>
        <w:t>nformité</w:t>
      </w:r>
      <w:r w:rsidRPr="00FA558D">
        <w:rPr>
          <w:b/>
          <w:lang w:val="fr-CA"/>
        </w:rPr>
        <w:t xml:space="preserve"> </w:t>
      </w:r>
      <w:r w:rsidR="00A41BBA">
        <w:rPr>
          <w:b/>
          <w:lang w:val="fr-CA"/>
        </w:rPr>
        <w:t xml:space="preserve">selon </w:t>
      </w:r>
      <w:r>
        <w:rPr>
          <w:b/>
          <w:lang w:val="fr-CA"/>
        </w:rPr>
        <w:t>les exigence</w:t>
      </w:r>
      <w:r w:rsidRPr="00FA558D">
        <w:rPr>
          <w:b/>
          <w:lang w:val="fr-CA"/>
        </w:rPr>
        <w:t>s</w:t>
      </w:r>
    </w:p>
    <w:tbl>
      <w:tblPr>
        <w:tblStyle w:val="TableGrid"/>
        <w:tblW w:w="0" w:type="auto"/>
        <w:tblLook w:val="04A0" w:firstRow="1" w:lastRow="0" w:firstColumn="1" w:lastColumn="0" w:noHBand="0" w:noVBand="1"/>
      </w:tblPr>
      <w:tblGrid>
        <w:gridCol w:w="2207"/>
        <w:gridCol w:w="3375"/>
        <w:gridCol w:w="3768"/>
      </w:tblGrid>
      <w:tr w:rsidR="00B91619" w:rsidRPr="00FA558D" w14:paraId="1F1BB208" w14:textId="77777777" w:rsidTr="00A9277E">
        <w:trPr>
          <w:cantSplit/>
          <w:tblHeader/>
        </w:trPr>
        <w:tc>
          <w:tcPr>
            <w:tcW w:w="2235" w:type="dxa"/>
            <w:shd w:val="clear" w:color="auto" w:fill="FFFFFF" w:themeFill="background1"/>
          </w:tcPr>
          <w:p w14:paraId="4E7F90D4" w14:textId="77777777" w:rsidR="00B91619" w:rsidRPr="00FA558D" w:rsidRDefault="00B91619" w:rsidP="00A9277E">
            <w:pPr>
              <w:tabs>
                <w:tab w:val="left" w:pos="9356"/>
              </w:tabs>
              <w:rPr>
                <w:b/>
                <w:lang w:val="fr-CA"/>
              </w:rPr>
            </w:pPr>
            <w:r w:rsidRPr="00FA558D">
              <w:rPr>
                <w:b/>
                <w:lang w:val="fr-CA"/>
              </w:rPr>
              <w:t>Activ</w:t>
            </w:r>
            <w:r>
              <w:rPr>
                <w:b/>
                <w:lang w:val="fr-CA"/>
              </w:rPr>
              <w:t>ité</w:t>
            </w:r>
          </w:p>
        </w:tc>
        <w:tc>
          <w:tcPr>
            <w:tcW w:w="3402" w:type="dxa"/>
            <w:shd w:val="clear" w:color="auto" w:fill="FFFFFF" w:themeFill="background1"/>
          </w:tcPr>
          <w:p w14:paraId="0EE3F2D4" w14:textId="4644B90D" w:rsidR="00B91619" w:rsidRPr="00FA558D" w:rsidRDefault="00B91619" w:rsidP="00A9277E">
            <w:pPr>
              <w:tabs>
                <w:tab w:val="left" w:pos="9356"/>
              </w:tabs>
              <w:rPr>
                <w:b/>
                <w:lang w:val="fr-CA"/>
              </w:rPr>
            </w:pPr>
            <w:r>
              <w:rPr>
                <w:b/>
                <w:lang w:val="fr-CA"/>
              </w:rPr>
              <w:t>Composant</w:t>
            </w:r>
            <w:r w:rsidR="007B27C9">
              <w:rPr>
                <w:b/>
                <w:lang w:val="fr-CA"/>
              </w:rPr>
              <w:t>e</w:t>
            </w:r>
            <w:r>
              <w:rPr>
                <w:b/>
                <w:lang w:val="fr-CA"/>
              </w:rPr>
              <w:t xml:space="preserve"> administrati</w:t>
            </w:r>
            <w:r w:rsidR="007B27C9">
              <w:rPr>
                <w:b/>
                <w:lang w:val="fr-CA"/>
              </w:rPr>
              <w:t>ve</w:t>
            </w:r>
          </w:p>
        </w:tc>
        <w:tc>
          <w:tcPr>
            <w:tcW w:w="3827" w:type="dxa"/>
            <w:shd w:val="clear" w:color="auto" w:fill="FFFFFF" w:themeFill="background1"/>
          </w:tcPr>
          <w:p w14:paraId="59E77260" w14:textId="014C67BB" w:rsidR="00B91619" w:rsidRPr="00FA558D" w:rsidRDefault="00B91619" w:rsidP="00A9277E">
            <w:pPr>
              <w:tabs>
                <w:tab w:val="left" w:pos="9356"/>
              </w:tabs>
              <w:rPr>
                <w:b/>
                <w:lang w:val="fr-CA"/>
              </w:rPr>
            </w:pPr>
            <w:r w:rsidRPr="00FA558D">
              <w:rPr>
                <w:b/>
                <w:lang w:val="fr-CA"/>
              </w:rPr>
              <w:t>Co</w:t>
            </w:r>
            <w:r>
              <w:rPr>
                <w:b/>
                <w:lang w:val="fr-CA"/>
              </w:rPr>
              <w:t>mposant</w:t>
            </w:r>
            <w:r w:rsidR="00EF724B">
              <w:rPr>
                <w:b/>
                <w:lang w:val="fr-CA"/>
              </w:rPr>
              <w:t>e</w:t>
            </w:r>
            <w:r>
              <w:rPr>
                <w:b/>
                <w:lang w:val="fr-CA"/>
              </w:rPr>
              <w:t xml:space="preserve"> de conformité</w:t>
            </w:r>
          </w:p>
        </w:tc>
      </w:tr>
      <w:tr w:rsidR="00B91619" w:rsidRPr="000117F2" w14:paraId="374B5771" w14:textId="77777777" w:rsidTr="00A9277E">
        <w:trPr>
          <w:cantSplit/>
        </w:trPr>
        <w:tc>
          <w:tcPr>
            <w:tcW w:w="2235" w:type="dxa"/>
            <w:shd w:val="clear" w:color="auto" w:fill="FFFFFF" w:themeFill="background1"/>
          </w:tcPr>
          <w:p w14:paraId="048998A1" w14:textId="77777777" w:rsidR="00B91619" w:rsidRPr="00FA558D" w:rsidRDefault="00B91619" w:rsidP="00A9277E">
            <w:pPr>
              <w:tabs>
                <w:tab w:val="left" w:pos="9356"/>
              </w:tabs>
              <w:rPr>
                <w:lang w:val="fr-CA"/>
              </w:rPr>
            </w:pPr>
            <w:r>
              <w:rPr>
                <w:lang w:val="fr-CA"/>
              </w:rPr>
              <w:t>Traitement de</w:t>
            </w:r>
            <w:r w:rsidRPr="00FA558D">
              <w:rPr>
                <w:lang w:val="fr-CA"/>
              </w:rPr>
              <w:t xml:space="preserve"> </w:t>
            </w:r>
            <w:r>
              <w:rPr>
                <w:lang w:val="fr-CA"/>
              </w:rPr>
              <w:t>documents d’ordre général</w:t>
            </w:r>
          </w:p>
        </w:tc>
        <w:tc>
          <w:tcPr>
            <w:tcW w:w="3402" w:type="dxa"/>
            <w:shd w:val="clear" w:color="auto" w:fill="FFFFFF" w:themeFill="background1"/>
          </w:tcPr>
          <w:p w14:paraId="2DB1030D" w14:textId="77777777" w:rsidR="00B91619" w:rsidRPr="00FA558D" w:rsidRDefault="00B91619" w:rsidP="00A9277E">
            <w:pPr>
              <w:pStyle w:val="ListParagraph"/>
              <w:numPr>
                <w:ilvl w:val="0"/>
                <w:numId w:val="6"/>
              </w:numPr>
              <w:tabs>
                <w:tab w:val="left" w:pos="9356"/>
              </w:tabs>
              <w:ind w:left="191" w:hanging="180"/>
              <w:rPr>
                <w:lang w:val="fr-CA"/>
              </w:rPr>
            </w:pPr>
            <w:r>
              <w:rPr>
                <w:lang w:val="fr-CA"/>
              </w:rPr>
              <w:t>Préparation de documents d’ordre général</w:t>
            </w:r>
            <w:r w:rsidRPr="00FA558D">
              <w:rPr>
                <w:lang w:val="fr-CA"/>
              </w:rPr>
              <w:t xml:space="preserve">, </w:t>
            </w:r>
            <w:r>
              <w:rPr>
                <w:lang w:val="fr-CA"/>
              </w:rPr>
              <w:t>de rapports</w:t>
            </w:r>
            <w:r w:rsidRPr="00FA558D">
              <w:rPr>
                <w:lang w:val="fr-CA"/>
              </w:rPr>
              <w:t xml:space="preserve">, </w:t>
            </w:r>
            <w:r>
              <w:rPr>
                <w:lang w:val="fr-CA"/>
              </w:rPr>
              <w:t>de demandes de permis et d’autoris</w:t>
            </w:r>
            <w:r w:rsidRPr="00FA558D">
              <w:rPr>
                <w:lang w:val="fr-CA"/>
              </w:rPr>
              <w:t>ations</w:t>
            </w:r>
          </w:p>
          <w:p w14:paraId="7ACEC3CA" w14:textId="77777777" w:rsidR="00B91619" w:rsidRPr="00FA558D" w:rsidRDefault="00B91619" w:rsidP="00A9277E">
            <w:pPr>
              <w:pStyle w:val="ListParagraph"/>
              <w:numPr>
                <w:ilvl w:val="0"/>
                <w:numId w:val="6"/>
              </w:numPr>
              <w:tabs>
                <w:tab w:val="left" w:pos="9356"/>
              </w:tabs>
              <w:ind w:left="191" w:hanging="180"/>
              <w:rPr>
                <w:lang w:val="fr-CA"/>
              </w:rPr>
            </w:pPr>
            <w:r>
              <w:rPr>
                <w:lang w:val="fr-CA"/>
              </w:rPr>
              <w:t>Présentation de ces documents au</w:t>
            </w:r>
            <w:r w:rsidRPr="00FA558D">
              <w:rPr>
                <w:lang w:val="fr-CA"/>
              </w:rPr>
              <w:t xml:space="preserve"> </w:t>
            </w:r>
            <w:r>
              <w:rPr>
                <w:lang w:val="fr-CA"/>
              </w:rPr>
              <w:t>gouverne</w:t>
            </w:r>
            <w:r w:rsidRPr="00FA558D">
              <w:rPr>
                <w:lang w:val="fr-CA"/>
              </w:rPr>
              <w:t xml:space="preserve">ment </w:t>
            </w:r>
          </w:p>
          <w:p w14:paraId="693A13D1" w14:textId="77777777" w:rsidR="00B91619" w:rsidRPr="00FA558D" w:rsidRDefault="00B91619" w:rsidP="00A9277E">
            <w:pPr>
              <w:pStyle w:val="ListParagraph"/>
              <w:numPr>
                <w:ilvl w:val="0"/>
                <w:numId w:val="6"/>
              </w:numPr>
              <w:tabs>
                <w:tab w:val="left" w:pos="9356"/>
              </w:tabs>
              <w:ind w:left="191" w:hanging="180"/>
              <w:rPr>
                <w:lang w:val="fr-CA"/>
              </w:rPr>
            </w:pPr>
            <w:r>
              <w:rPr>
                <w:lang w:val="fr-CA"/>
              </w:rPr>
              <w:t>Classement et récupération de ces</w:t>
            </w:r>
            <w:r w:rsidRPr="00FA558D">
              <w:rPr>
                <w:lang w:val="fr-CA"/>
              </w:rPr>
              <w:t xml:space="preserve"> documents</w:t>
            </w:r>
          </w:p>
        </w:tc>
        <w:tc>
          <w:tcPr>
            <w:tcW w:w="3827" w:type="dxa"/>
            <w:shd w:val="clear" w:color="auto" w:fill="FFFFFF" w:themeFill="background1"/>
          </w:tcPr>
          <w:p w14:paraId="7417274B" w14:textId="77777777" w:rsidR="00B91619" w:rsidRPr="00FA558D" w:rsidRDefault="00B91619" w:rsidP="00A9277E">
            <w:pPr>
              <w:pStyle w:val="ListParagraph"/>
              <w:numPr>
                <w:ilvl w:val="0"/>
                <w:numId w:val="6"/>
              </w:numPr>
              <w:tabs>
                <w:tab w:val="left" w:pos="9356"/>
              </w:tabs>
              <w:ind w:left="191" w:hanging="180"/>
              <w:rPr>
                <w:lang w:val="fr-CA"/>
              </w:rPr>
            </w:pPr>
            <w:r>
              <w:rPr>
                <w:lang w:val="fr-CA"/>
              </w:rPr>
              <w:t>Achat de classeurs ou de serveur</w:t>
            </w:r>
            <w:r w:rsidRPr="00FA558D">
              <w:rPr>
                <w:lang w:val="fr-CA"/>
              </w:rPr>
              <w:t>s</w:t>
            </w:r>
            <w:r>
              <w:rPr>
                <w:lang w:val="fr-CA"/>
              </w:rPr>
              <w:t xml:space="preserve"> pour</w:t>
            </w:r>
            <w:r w:rsidRPr="00FA558D">
              <w:rPr>
                <w:lang w:val="fr-CA"/>
              </w:rPr>
              <w:t xml:space="preserve"> </w:t>
            </w:r>
            <w:r>
              <w:rPr>
                <w:lang w:val="fr-CA"/>
              </w:rPr>
              <w:t>stocker l’information</w:t>
            </w:r>
          </w:p>
        </w:tc>
      </w:tr>
      <w:tr w:rsidR="00B91619" w:rsidRPr="000117F2" w14:paraId="3DF4E64C" w14:textId="77777777" w:rsidTr="00A9277E">
        <w:trPr>
          <w:cantSplit/>
        </w:trPr>
        <w:tc>
          <w:tcPr>
            <w:tcW w:w="2235" w:type="dxa"/>
            <w:shd w:val="clear" w:color="auto" w:fill="FFFFFF" w:themeFill="background1"/>
          </w:tcPr>
          <w:p w14:paraId="606652CE" w14:textId="77777777" w:rsidR="00B91619" w:rsidRPr="00FA558D" w:rsidRDefault="00B91619" w:rsidP="00A9277E">
            <w:pPr>
              <w:tabs>
                <w:tab w:val="left" w:pos="9356"/>
              </w:tabs>
              <w:rPr>
                <w:lang w:val="fr-CA"/>
              </w:rPr>
            </w:pPr>
            <w:r>
              <w:rPr>
                <w:lang w:val="fr-CA"/>
              </w:rPr>
              <w:lastRenderedPageBreak/>
              <w:t>Traitement</w:t>
            </w:r>
            <w:r w:rsidRPr="00FA558D">
              <w:rPr>
                <w:lang w:val="fr-CA"/>
              </w:rPr>
              <w:t xml:space="preserve"> </w:t>
            </w:r>
            <w:r>
              <w:rPr>
                <w:lang w:val="fr-CA"/>
              </w:rPr>
              <w:t>de documents approfondis et complexes</w:t>
            </w:r>
          </w:p>
        </w:tc>
        <w:tc>
          <w:tcPr>
            <w:tcW w:w="3402" w:type="dxa"/>
            <w:shd w:val="clear" w:color="auto" w:fill="FFFFFF" w:themeFill="background1"/>
          </w:tcPr>
          <w:p w14:paraId="508390FC" w14:textId="77777777" w:rsidR="00B91619" w:rsidRPr="00FA558D" w:rsidRDefault="00B91619" w:rsidP="00A9277E">
            <w:pPr>
              <w:pStyle w:val="ListParagraph"/>
              <w:numPr>
                <w:ilvl w:val="0"/>
                <w:numId w:val="6"/>
              </w:numPr>
              <w:tabs>
                <w:tab w:val="left" w:pos="9356"/>
              </w:tabs>
              <w:ind w:left="191" w:hanging="180"/>
              <w:rPr>
                <w:lang w:val="fr-CA"/>
              </w:rPr>
            </w:pPr>
            <w:r>
              <w:rPr>
                <w:lang w:val="fr-CA"/>
              </w:rPr>
              <w:t>Synthèse de plans et présentation de plans au gouverne</w:t>
            </w:r>
            <w:r w:rsidRPr="00FA558D">
              <w:rPr>
                <w:lang w:val="fr-CA"/>
              </w:rPr>
              <w:t>ment</w:t>
            </w:r>
            <w:r>
              <w:rPr>
                <w:lang w:val="fr-CA"/>
              </w:rPr>
              <w:t xml:space="preserve"> </w:t>
            </w:r>
          </w:p>
          <w:p w14:paraId="625DFFD1" w14:textId="77777777" w:rsidR="00B91619" w:rsidRPr="00FA558D" w:rsidRDefault="00B91619" w:rsidP="00A9277E">
            <w:pPr>
              <w:tabs>
                <w:tab w:val="left" w:pos="2410"/>
              </w:tabs>
              <w:rPr>
                <w:lang w:val="fr-CA"/>
              </w:rPr>
            </w:pPr>
            <w:r w:rsidRPr="00FA558D">
              <w:rPr>
                <w:lang w:val="fr-CA"/>
              </w:rPr>
              <w:tab/>
            </w:r>
          </w:p>
        </w:tc>
        <w:tc>
          <w:tcPr>
            <w:tcW w:w="3827" w:type="dxa"/>
            <w:shd w:val="clear" w:color="auto" w:fill="FFFFFF" w:themeFill="background1"/>
          </w:tcPr>
          <w:p w14:paraId="4B2BE0D2" w14:textId="614B82D3" w:rsidR="00B91619" w:rsidRPr="00FA558D" w:rsidRDefault="00B91619" w:rsidP="00A9277E">
            <w:pPr>
              <w:pStyle w:val="ListParagraph"/>
              <w:numPr>
                <w:ilvl w:val="0"/>
                <w:numId w:val="6"/>
              </w:numPr>
              <w:tabs>
                <w:tab w:val="left" w:pos="9356"/>
              </w:tabs>
              <w:ind w:left="191" w:hanging="180"/>
              <w:rPr>
                <w:lang w:val="fr-CA"/>
              </w:rPr>
            </w:pPr>
            <w:r>
              <w:rPr>
                <w:lang w:val="fr-CA"/>
              </w:rPr>
              <w:t>Préparation d’une</w:t>
            </w:r>
            <w:r w:rsidRPr="00FA558D">
              <w:rPr>
                <w:lang w:val="fr-CA"/>
              </w:rPr>
              <w:t xml:space="preserve"> </w:t>
            </w:r>
            <w:r>
              <w:rPr>
                <w:lang w:val="fr-CA"/>
              </w:rPr>
              <w:t>évaluation des risques</w:t>
            </w:r>
            <w:r w:rsidRPr="00FA558D">
              <w:rPr>
                <w:lang w:val="fr-CA"/>
              </w:rPr>
              <w:t xml:space="preserve">, </w:t>
            </w:r>
            <w:r>
              <w:rPr>
                <w:lang w:val="fr-CA"/>
              </w:rPr>
              <w:t>d’un</w:t>
            </w:r>
            <w:r w:rsidRPr="00FA558D">
              <w:rPr>
                <w:lang w:val="fr-CA"/>
              </w:rPr>
              <w:t xml:space="preserve"> </w:t>
            </w:r>
            <w:r>
              <w:rPr>
                <w:lang w:val="fr-CA"/>
              </w:rPr>
              <w:t>plan opérationnel</w:t>
            </w:r>
            <w:r w:rsidRPr="00FA558D">
              <w:rPr>
                <w:lang w:val="fr-CA"/>
              </w:rPr>
              <w:t>,</w:t>
            </w:r>
            <w:r>
              <w:rPr>
                <w:lang w:val="fr-CA"/>
              </w:rPr>
              <w:t xml:space="preserve"> d’un</w:t>
            </w:r>
            <w:r w:rsidRPr="00FA558D">
              <w:rPr>
                <w:lang w:val="fr-CA"/>
              </w:rPr>
              <w:t xml:space="preserve"> </w:t>
            </w:r>
            <w:r>
              <w:rPr>
                <w:lang w:val="fr-CA"/>
              </w:rPr>
              <w:t>plan de formation</w:t>
            </w:r>
            <w:r w:rsidRPr="00FA558D">
              <w:rPr>
                <w:lang w:val="fr-CA"/>
              </w:rPr>
              <w:t xml:space="preserve">, </w:t>
            </w:r>
            <w:r>
              <w:rPr>
                <w:lang w:val="fr-CA"/>
              </w:rPr>
              <w:t>d’un</w:t>
            </w:r>
            <w:r w:rsidRPr="00FA558D">
              <w:rPr>
                <w:lang w:val="fr-CA"/>
              </w:rPr>
              <w:t xml:space="preserve"> </w:t>
            </w:r>
            <w:r>
              <w:rPr>
                <w:lang w:val="fr-CA"/>
              </w:rPr>
              <w:t>plan d’intervention d’urgence</w:t>
            </w:r>
            <w:r w:rsidRPr="00FA558D">
              <w:rPr>
                <w:lang w:val="fr-CA"/>
              </w:rPr>
              <w:t>,</w:t>
            </w:r>
            <w:r>
              <w:rPr>
                <w:lang w:val="fr-CA"/>
              </w:rPr>
              <w:t xml:space="preserve"> et </w:t>
            </w:r>
            <w:r w:rsidR="00433D33">
              <w:rPr>
                <w:lang w:val="fr-CA"/>
              </w:rPr>
              <w:t>d’un plan de</w:t>
            </w:r>
            <w:r>
              <w:rPr>
                <w:lang w:val="fr-CA"/>
              </w:rPr>
              <w:t xml:space="preserve"> mesure d</w:t>
            </w:r>
            <w:r w:rsidR="007804CD">
              <w:rPr>
                <w:lang w:val="fr-CA"/>
              </w:rPr>
              <w:t>u</w:t>
            </w:r>
            <w:r>
              <w:rPr>
                <w:lang w:val="fr-CA"/>
              </w:rPr>
              <w:t xml:space="preserve"> rendement et d’évaluation</w:t>
            </w:r>
            <w:r w:rsidRPr="00FA558D">
              <w:rPr>
                <w:lang w:val="fr-CA"/>
              </w:rPr>
              <w:t xml:space="preserve"> </w:t>
            </w:r>
          </w:p>
          <w:p w14:paraId="6D5CC7B4" w14:textId="77777777" w:rsidR="00B91619" w:rsidRPr="00FA558D" w:rsidRDefault="00B91619" w:rsidP="00A9277E">
            <w:pPr>
              <w:pStyle w:val="ListParagraph"/>
              <w:numPr>
                <w:ilvl w:val="0"/>
                <w:numId w:val="6"/>
              </w:numPr>
              <w:tabs>
                <w:tab w:val="left" w:pos="9356"/>
              </w:tabs>
              <w:ind w:left="191" w:hanging="180"/>
              <w:rPr>
                <w:lang w:val="fr-CA"/>
              </w:rPr>
            </w:pPr>
            <w:r w:rsidRPr="00FA558D">
              <w:rPr>
                <w:lang w:val="fr-CA"/>
              </w:rPr>
              <w:t>Collect</w:t>
            </w:r>
            <w:r>
              <w:rPr>
                <w:lang w:val="fr-CA"/>
              </w:rPr>
              <w:t>e de données scientifiques pour la préparation d’un rapport</w:t>
            </w:r>
          </w:p>
          <w:p w14:paraId="1B66486B" w14:textId="77777777" w:rsidR="00B91619" w:rsidRPr="00FA558D" w:rsidRDefault="00B91619" w:rsidP="00A9277E">
            <w:pPr>
              <w:pStyle w:val="ListParagraph"/>
              <w:numPr>
                <w:ilvl w:val="0"/>
                <w:numId w:val="6"/>
              </w:numPr>
              <w:tabs>
                <w:tab w:val="left" w:pos="9356"/>
              </w:tabs>
              <w:ind w:left="191" w:hanging="180"/>
              <w:rPr>
                <w:lang w:val="fr-CA"/>
              </w:rPr>
            </w:pPr>
            <w:r>
              <w:rPr>
                <w:lang w:val="fr-CA"/>
              </w:rPr>
              <w:t>Achat de</w:t>
            </w:r>
            <w:r w:rsidRPr="00FA558D">
              <w:rPr>
                <w:lang w:val="fr-CA"/>
              </w:rPr>
              <w:t xml:space="preserve"> </w:t>
            </w:r>
            <w:r>
              <w:rPr>
                <w:lang w:val="fr-CA"/>
              </w:rPr>
              <w:t>classeurs ou de serveur</w:t>
            </w:r>
            <w:r w:rsidRPr="00FA558D">
              <w:rPr>
                <w:lang w:val="fr-CA"/>
              </w:rPr>
              <w:t xml:space="preserve">s </w:t>
            </w:r>
            <w:r>
              <w:rPr>
                <w:lang w:val="fr-CA"/>
              </w:rPr>
              <w:t>pour stocker l’information</w:t>
            </w:r>
          </w:p>
        </w:tc>
      </w:tr>
      <w:tr w:rsidR="00B91619" w:rsidRPr="000117F2" w14:paraId="791B49D2" w14:textId="77777777" w:rsidTr="00A9277E">
        <w:trPr>
          <w:cantSplit/>
          <w:trHeight w:val="881"/>
        </w:trPr>
        <w:tc>
          <w:tcPr>
            <w:tcW w:w="2235" w:type="dxa"/>
            <w:shd w:val="clear" w:color="auto" w:fill="FFFFFF" w:themeFill="background1"/>
          </w:tcPr>
          <w:p w14:paraId="7733B8A3" w14:textId="77777777" w:rsidR="00B91619" w:rsidRPr="00FA558D" w:rsidRDefault="00B91619" w:rsidP="00A9277E">
            <w:pPr>
              <w:tabs>
                <w:tab w:val="left" w:pos="9356"/>
              </w:tabs>
              <w:rPr>
                <w:lang w:val="fr-CA"/>
              </w:rPr>
            </w:pPr>
            <w:r>
              <w:rPr>
                <w:lang w:val="fr-CA"/>
              </w:rPr>
              <w:t>Classement et récupération de l’in</w:t>
            </w:r>
            <w:r w:rsidRPr="00FA558D">
              <w:rPr>
                <w:lang w:val="fr-CA"/>
              </w:rPr>
              <w:t xml:space="preserve">formation </w:t>
            </w:r>
          </w:p>
        </w:tc>
        <w:tc>
          <w:tcPr>
            <w:tcW w:w="3402" w:type="dxa"/>
            <w:shd w:val="clear" w:color="auto" w:fill="FFFFFF" w:themeFill="background1"/>
          </w:tcPr>
          <w:p w14:paraId="163F4CEA" w14:textId="3BD3FA3E" w:rsidR="00B91619" w:rsidRPr="00FA558D" w:rsidRDefault="00B91619" w:rsidP="00433D33">
            <w:pPr>
              <w:pStyle w:val="ListParagraph"/>
              <w:numPr>
                <w:ilvl w:val="0"/>
                <w:numId w:val="6"/>
              </w:numPr>
              <w:tabs>
                <w:tab w:val="left" w:pos="9356"/>
              </w:tabs>
              <w:ind w:left="191" w:hanging="180"/>
              <w:rPr>
                <w:lang w:val="fr-CA"/>
              </w:rPr>
            </w:pPr>
            <w:r>
              <w:rPr>
                <w:lang w:val="fr-CA"/>
              </w:rPr>
              <w:t>Classement ou récupération d’in</w:t>
            </w:r>
            <w:r w:rsidRPr="00FA558D">
              <w:rPr>
                <w:lang w:val="fr-CA"/>
              </w:rPr>
              <w:t xml:space="preserve">formation </w:t>
            </w:r>
            <w:r>
              <w:rPr>
                <w:lang w:val="fr-CA"/>
              </w:rPr>
              <w:t xml:space="preserve">liée à une obligation </w:t>
            </w:r>
            <w:r w:rsidR="00433D33">
              <w:rPr>
                <w:lang w:val="fr-CA"/>
              </w:rPr>
              <w:t>d</w:t>
            </w:r>
            <w:r>
              <w:rPr>
                <w:lang w:val="fr-CA"/>
              </w:rPr>
              <w:t>u gouvernement fédéral</w:t>
            </w:r>
          </w:p>
        </w:tc>
        <w:tc>
          <w:tcPr>
            <w:tcW w:w="3827" w:type="dxa"/>
            <w:shd w:val="clear" w:color="auto" w:fill="FFFFFF" w:themeFill="background1"/>
          </w:tcPr>
          <w:p w14:paraId="15765EB0" w14:textId="77777777" w:rsidR="00B91619" w:rsidRPr="00FA558D" w:rsidRDefault="00B91619" w:rsidP="00A9277E">
            <w:pPr>
              <w:pStyle w:val="ListParagraph"/>
              <w:numPr>
                <w:ilvl w:val="0"/>
                <w:numId w:val="6"/>
              </w:numPr>
              <w:tabs>
                <w:tab w:val="left" w:pos="9356"/>
              </w:tabs>
              <w:ind w:left="191" w:hanging="180"/>
              <w:rPr>
                <w:lang w:val="fr-CA"/>
              </w:rPr>
            </w:pPr>
            <w:r>
              <w:rPr>
                <w:lang w:val="fr-CA"/>
              </w:rPr>
              <w:t>Achat de</w:t>
            </w:r>
            <w:r w:rsidRPr="00FA558D">
              <w:rPr>
                <w:lang w:val="fr-CA"/>
              </w:rPr>
              <w:t xml:space="preserve"> </w:t>
            </w:r>
            <w:r>
              <w:rPr>
                <w:lang w:val="fr-CA"/>
              </w:rPr>
              <w:t>classeurs ou de serveur</w:t>
            </w:r>
            <w:r w:rsidRPr="00FA558D">
              <w:rPr>
                <w:lang w:val="fr-CA"/>
              </w:rPr>
              <w:t xml:space="preserve">s </w:t>
            </w:r>
            <w:r>
              <w:rPr>
                <w:lang w:val="fr-CA"/>
              </w:rPr>
              <w:t>pour stocker l’information</w:t>
            </w:r>
          </w:p>
        </w:tc>
      </w:tr>
      <w:tr w:rsidR="00B91619" w:rsidRPr="000117F2" w14:paraId="5FC67BF0" w14:textId="77777777" w:rsidTr="00A9277E">
        <w:trPr>
          <w:cantSplit/>
        </w:trPr>
        <w:tc>
          <w:tcPr>
            <w:tcW w:w="2235" w:type="dxa"/>
            <w:shd w:val="clear" w:color="auto" w:fill="FFFFFF" w:themeFill="background1"/>
          </w:tcPr>
          <w:p w14:paraId="26EBECDC" w14:textId="77777777" w:rsidR="00B91619" w:rsidRPr="00FA558D" w:rsidRDefault="00B91619" w:rsidP="00A9277E">
            <w:pPr>
              <w:tabs>
                <w:tab w:val="left" w:pos="9356"/>
              </w:tabs>
              <w:rPr>
                <w:lang w:val="fr-CA"/>
              </w:rPr>
            </w:pPr>
            <w:r>
              <w:rPr>
                <w:lang w:val="fr-CA"/>
              </w:rPr>
              <w:t>Étiquetage</w:t>
            </w:r>
          </w:p>
        </w:tc>
        <w:tc>
          <w:tcPr>
            <w:tcW w:w="3402" w:type="dxa"/>
            <w:shd w:val="clear" w:color="auto" w:fill="FFFFFF" w:themeFill="background1"/>
          </w:tcPr>
          <w:p w14:paraId="43EA793B" w14:textId="4E3403B3" w:rsidR="00B91619" w:rsidRPr="00F00E5C" w:rsidRDefault="00433D33" w:rsidP="00A9277E">
            <w:pPr>
              <w:tabs>
                <w:tab w:val="left" w:pos="9356"/>
              </w:tabs>
              <w:rPr>
                <w:lang w:val="fr-CA"/>
              </w:rPr>
            </w:pPr>
            <w:r>
              <w:rPr>
                <w:lang w:val="fr-CA"/>
              </w:rPr>
              <w:t>Sans objet</w:t>
            </w:r>
          </w:p>
        </w:tc>
        <w:tc>
          <w:tcPr>
            <w:tcW w:w="3827" w:type="dxa"/>
            <w:shd w:val="clear" w:color="auto" w:fill="FFFFFF" w:themeFill="background1"/>
          </w:tcPr>
          <w:p w14:paraId="1539A6F3" w14:textId="77777777" w:rsidR="00B91619" w:rsidRPr="00FA558D" w:rsidRDefault="00B91619" w:rsidP="00A9277E">
            <w:pPr>
              <w:pStyle w:val="ListParagraph"/>
              <w:numPr>
                <w:ilvl w:val="0"/>
                <w:numId w:val="6"/>
              </w:numPr>
              <w:tabs>
                <w:tab w:val="left" w:pos="9356"/>
              </w:tabs>
              <w:ind w:left="191" w:hanging="180"/>
              <w:rPr>
                <w:lang w:val="fr-CA"/>
              </w:rPr>
            </w:pPr>
            <w:r>
              <w:rPr>
                <w:lang w:val="fr-CA"/>
              </w:rPr>
              <w:t>L’étiquetage</w:t>
            </w:r>
            <w:r w:rsidRPr="00FA558D">
              <w:rPr>
                <w:lang w:val="fr-CA"/>
              </w:rPr>
              <w:t xml:space="preserve"> </w:t>
            </w:r>
            <w:r>
              <w:rPr>
                <w:lang w:val="fr-CA"/>
              </w:rPr>
              <w:t>est considéré</w:t>
            </w:r>
            <w:r w:rsidRPr="00FA558D">
              <w:rPr>
                <w:lang w:val="fr-CA"/>
              </w:rPr>
              <w:t xml:space="preserve"> </w:t>
            </w:r>
            <w:r>
              <w:rPr>
                <w:lang w:val="fr-CA"/>
              </w:rPr>
              <w:t>comme une activité de conformité</w:t>
            </w:r>
          </w:p>
        </w:tc>
      </w:tr>
      <w:tr w:rsidR="00B91619" w:rsidRPr="000117F2" w14:paraId="13A5E67A" w14:textId="77777777" w:rsidTr="00A9277E">
        <w:trPr>
          <w:cantSplit/>
        </w:trPr>
        <w:tc>
          <w:tcPr>
            <w:tcW w:w="2235" w:type="dxa"/>
            <w:shd w:val="clear" w:color="auto" w:fill="FFFFFF" w:themeFill="background1"/>
          </w:tcPr>
          <w:p w14:paraId="5C8D80D9" w14:textId="77777777" w:rsidR="00B91619" w:rsidRPr="00FA558D" w:rsidRDefault="00B91619" w:rsidP="00A9277E">
            <w:pPr>
              <w:tabs>
                <w:tab w:val="left" w:pos="9356"/>
              </w:tabs>
              <w:rPr>
                <w:lang w:val="fr-CA"/>
              </w:rPr>
            </w:pPr>
            <w:r>
              <w:rPr>
                <w:lang w:val="fr-CA"/>
              </w:rPr>
              <w:t>Formation</w:t>
            </w:r>
          </w:p>
        </w:tc>
        <w:tc>
          <w:tcPr>
            <w:tcW w:w="3402" w:type="dxa"/>
            <w:shd w:val="clear" w:color="auto" w:fill="FFFFFF" w:themeFill="background1"/>
          </w:tcPr>
          <w:p w14:paraId="3B94FCCB" w14:textId="77777777" w:rsidR="00B91619" w:rsidRPr="00FA558D" w:rsidRDefault="00B91619" w:rsidP="00A9277E">
            <w:pPr>
              <w:pStyle w:val="ListParagraph"/>
              <w:numPr>
                <w:ilvl w:val="0"/>
                <w:numId w:val="6"/>
              </w:numPr>
              <w:tabs>
                <w:tab w:val="left" w:pos="9356"/>
              </w:tabs>
              <w:ind w:left="191" w:hanging="180"/>
              <w:rPr>
                <w:lang w:val="fr-CA"/>
              </w:rPr>
            </w:pPr>
            <w:r>
              <w:rPr>
                <w:lang w:val="fr-CA"/>
              </w:rPr>
              <w:t>Tenue de registres de</w:t>
            </w:r>
            <w:r w:rsidRPr="00FA558D">
              <w:rPr>
                <w:lang w:val="fr-CA"/>
              </w:rPr>
              <w:t xml:space="preserve"> </w:t>
            </w:r>
            <w:r>
              <w:rPr>
                <w:lang w:val="fr-CA"/>
              </w:rPr>
              <w:t>formation</w:t>
            </w:r>
          </w:p>
          <w:p w14:paraId="5DB2CA2A" w14:textId="77777777" w:rsidR="00B91619" w:rsidRPr="00FA558D" w:rsidRDefault="00B91619" w:rsidP="00A9277E">
            <w:pPr>
              <w:pStyle w:val="ListParagraph"/>
              <w:numPr>
                <w:ilvl w:val="0"/>
                <w:numId w:val="6"/>
              </w:numPr>
              <w:tabs>
                <w:tab w:val="left" w:pos="9356"/>
              </w:tabs>
              <w:ind w:left="191" w:hanging="180"/>
              <w:rPr>
                <w:lang w:val="fr-CA"/>
              </w:rPr>
            </w:pPr>
            <w:r>
              <w:rPr>
                <w:lang w:val="fr-CA"/>
              </w:rPr>
              <w:t>Présentation des registres de formation</w:t>
            </w:r>
            <w:r w:rsidRPr="00FA558D">
              <w:rPr>
                <w:lang w:val="fr-CA"/>
              </w:rPr>
              <w:t xml:space="preserve"> </w:t>
            </w:r>
            <w:r>
              <w:rPr>
                <w:lang w:val="fr-CA"/>
              </w:rPr>
              <w:t>au gouvernement</w:t>
            </w:r>
          </w:p>
        </w:tc>
        <w:tc>
          <w:tcPr>
            <w:tcW w:w="3827" w:type="dxa"/>
            <w:shd w:val="clear" w:color="auto" w:fill="FFFFFF" w:themeFill="background1"/>
          </w:tcPr>
          <w:p w14:paraId="2F02A5F8" w14:textId="3C7EC870" w:rsidR="00B91619" w:rsidRPr="00FA558D" w:rsidRDefault="00B91619" w:rsidP="00433D33">
            <w:pPr>
              <w:pStyle w:val="ListParagraph"/>
              <w:numPr>
                <w:ilvl w:val="0"/>
                <w:numId w:val="6"/>
              </w:numPr>
              <w:tabs>
                <w:tab w:val="left" w:pos="9356"/>
              </w:tabs>
              <w:ind w:left="191" w:hanging="180"/>
              <w:rPr>
                <w:lang w:val="fr-CA"/>
              </w:rPr>
            </w:pPr>
            <w:r>
              <w:rPr>
                <w:lang w:val="fr-CA"/>
              </w:rPr>
              <w:t>Formation du personnel ou achat de</w:t>
            </w:r>
            <w:r w:rsidRPr="00FA558D">
              <w:rPr>
                <w:lang w:val="fr-CA"/>
              </w:rPr>
              <w:t xml:space="preserve"> </w:t>
            </w:r>
            <w:r w:rsidR="00433D33">
              <w:rPr>
                <w:lang w:val="fr-CA"/>
              </w:rPr>
              <w:t xml:space="preserve">matériel </w:t>
            </w:r>
            <w:r>
              <w:rPr>
                <w:lang w:val="fr-CA"/>
              </w:rPr>
              <w:t>de formation</w:t>
            </w:r>
          </w:p>
        </w:tc>
      </w:tr>
      <w:tr w:rsidR="00B91619" w:rsidRPr="000117F2" w14:paraId="0238C954" w14:textId="77777777" w:rsidTr="00A9277E">
        <w:trPr>
          <w:cantSplit/>
        </w:trPr>
        <w:tc>
          <w:tcPr>
            <w:tcW w:w="2235" w:type="dxa"/>
            <w:shd w:val="clear" w:color="auto" w:fill="FFFFFF" w:themeFill="background1"/>
          </w:tcPr>
          <w:p w14:paraId="5E877F74" w14:textId="77777777" w:rsidR="00B91619" w:rsidRPr="00FA558D" w:rsidRDefault="00B91619" w:rsidP="00A9277E">
            <w:pPr>
              <w:tabs>
                <w:tab w:val="left" w:pos="9356"/>
              </w:tabs>
              <w:rPr>
                <w:lang w:val="fr-CA"/>
              </w:rPr>
            </w:pPr>
            <w:r>
              <w:rPr>
                <w:lang w:val="fr-CA"/>
              </w:rPr>
              <w:t>Exigences relatives aux essais</w:t>
            </w:r>
          </w:p>
        </w:tc>
        <w:tc>
          <w:tcPr>
            <w:tcW w:w="3402" w:type="dxa"/>
            <w:shd w:val="clear" w:color="auto" w:fill="FFFFFF" w:themeFill="background1"/>
          </w:tcPr>
          <w:p w14:paraId="0F317AA2" w14:textId="2B607783" w:rsidR="00B91619" w:rsidRPr="00FA558D" w:rsidRDefault="00433D33" w:rsidP="00A9277E">
            <w:pPr>
              <w:tabs>
                <w:tab w:val="left" w:pos="9356"/>
              </w:tabs>
              <w:rPr>
                <w:lang w:val="fr-CA"/>
              </w:rPr>
            </w:pPr>
            <w:r>
              <w:rPr>
                <w:lang w:val="fr-CA"/>
              </w:rPr>
              <w:t>Sans objet</w:t>
            </w:r>
          </w:p>
        </w:tc>
        <w:tc>
          <w:tcPr>
            <w:tcW w:w="3827" w:type="dxa"/>
            <w:shd w:val="clear" w:color="auto" w:fill="FFFFFF" w:themeFill="background1"/>
          </w:tcPr>
          <w:p w14:paraId="783A4522" w14:textId="77777777" w:rsidR="00B91619" w:rsidRPr="00FA558D" w:rsidRDefault="00B91619" w:rsidP="00A9277E">
            <w:pPr>
              <w:pStyle w:val="ListParagraph"/>
              <w:numPr>
                <w:ilvl w:val="0"/>
                <w:numId w:val="6"/>
              </w:numPr>
              <w:tabs>
                <w:tab w:val="left" w:pos="9356"/>
              </w:tabs>
              <w:ind w:left="191" w:hanging="180"/>
              <w:rPr>
                <w:lang w:val="fr-CA"/>
              </w:rPr>
            </w:pPr>
            <w:r>
              <w:rPr>
                <w:lang w:val="fr-CA"/>
              </w:rPr>
              <w:t>Les méthodes et les exigences relatives aux essais sont généralement</w:t>
            </w:r>
            <w:r w:rsidRPr="00FA558D">
              <w:rPr>
                <w:lang w:val="fr-CA"/>
              </w:rPr>
              <w:t xml:space="preserve"> </w:t>
            </w:r>
            <w:r>
              <w:rPr>
                <w:lang w:val="fr-CA"/>
              </w:rPr>
              <w:t>considérées comme des activités de conformité</w:t>
            </w:r>
          </w:p>
          <w:p w14:paraId="6E7B109A" w14:textId="2ED59B4E" w:rsidR="00B91619" w:rsidRPr="00FA558D" w:rsidRDefault="00B91619" w:rsidP="001331D8">
            <w:pPr>
              <w:pStyle w:val="ListParagraph"/>
              <w:numPr>
                <w:ilvl w:val="0"/>
                <w:numId w:val="6"/>
              </w:numPr>
              <w:tabs>
                <w:tab w:val="left" w:pos="9356"/>
              </w:tabs>
              <w:ind w:left="191" w:hanging="180"/>
              <w:rPr>
                <w:lang w:val="fr-CA"/>
              </w:rPr>
            </w:pPr>
            <w:r>
              <w:rPr>
                <w:lang w:val="fr-CA"/>
              </w:rPr>
              <w:t>Les changements de méthode</w:t>
            </w:r>
            <w:r w:rsidRPr="00FA558D">
              <w:rPr>
                <w:lang w:val="fr-CA"/>
              </w:rPr>
              <w:t>s</w:t>
            </w:r>
            <w:r>
              <w:rPr>
                <w:lang w:val="fr-CA"/>
              </w:rPr>
              <w:t xml:space="preserve"> et la modification des procédures d’essai </w:t>
            </w:r>
            <w:r w:rsidR="001331D8">
              <w:rPr>
                <w:lang w:val="fr-CA"/>
              </w:rPr>
              <w:t xml:space="preserve">n’entraînent </w:t>
            </w:r>
            <w:r>
              <w:rPr>
                <w:lang w:val="fr-CA"/>
              </w:rPr>
              <w:t>généralement pas de coût</w:t>
            </w:r>
            <w:r w:rsidR="001331D8">
              <w:rPr>
                <w:lang w:val="fr-CA"/>
              </w:rPr>
              <w:t>s</w:t>
            </w:r>
            <w:r>
              <w:rPr>
                <w:lang w:val="fr-CA"/>
              </w:rPr>
              <w:t xml:space="preserve"> </w:t>
            </w:r>
            <w:r w:rsidRPr="00FA558D">
              <w:rPr>
                <w:lang w:val="fr-CA"/>
              </w:rPr>
              <w:t>administrati</w:t>
            </w:r>
            <w:r>
              <w:rPr>
                <w:lang w:val="fr-CA"/>
              </w:rPr>
              <w:t>f</w:t>
            </w:r>
            <w:r w:rsidR="001331D8">
              <w:rPr>
                <w:lang w:val="fr-CA"/>
              </w:rPr>
              <w:t>s</w:t>
            </w:r>
          </w:p>
        </w:tc>
      </w:tr>
      <w:tr w:rsidR="00B91619" w:rsidRPr="000117F2" w14:paraId="3E23761F" w14:textId="77777777" w:rsidTr="00A9277E">
        <w:trPr>
          <w:cantSplit/>
        </w:trPr>
        <w:tc>
          <w:tcPr>
            <w:tcW w:w="2235" w:type="dxa"/>
            <w:shd w:val="clear" w:color="auto" w:fill="FFFFFF" w:themeFill="background1"/>
          </w:tcPr>
          <w:p w14:paraId="579045D9" w14:textId="77777777" w:rsidR="00B91619" w:rsidRPr="00FA558D" w:rsidRDefault="00B91619" w:rsidP="00A9277E">
            <w:pPr>
              <w:tabs>
                <w:tab w:val="left" w:pos="9356"/>
              </w:tabs>
              <w:rPr>
                <w:lang w:val="fr-CA"/>
              </w:rPr>
            </w:pPr>
            <w:r>
              <w:rPr>
                <w:lang w:val="fr-CA"/>
              </w:rPr>
              <w:t>Approbations préalables à la mise en marché</w:t>
            </w:r>
            <w:r w:rsidRPr="00FA558D">
              <w:rPr>
                <w:lang w:val="fr-CA"/>
              </w:rPr>
              <w:t xml:space="preserve"> </w:t>
            </w:r>
          </w:p>
        </w:tc>
        <w:tc>
          <w:tcPr>
            <w:tcW w:w="3402" w:type="dxa"/>
            <w:shd w:val="clear" w:color="auto" w:fill="FFFFFF" w:themeFill="background1"/>
          </w:tcPr>
          <w:p w14:paraId="54D487B9" w14:textId="35D042D2" w:rsidR="00B91619" w:rsidRPr="00FA558D" w:rsidRDefault="00433D33" w:rsidP="00A9277E">
            <w:pPr>
              <w:tabs>
                <w:tab w:val="left" w:pos="9356"/>
              </w:tabs>
              <w:rPr>
                <w:lang w:val="fr-CA"/>
              </w:rPr>
            </w:pPr>
            <w:r>
              <w:rPr>
                <w:lang w:val="fr-CA"/>
              </w:rPr>
              <w:t>Sans objet</w:t>
            </w:r>
          </w:p>
        </w:tc>
        <w:tc>
          <w:tcPr>
            <w:tcW w:w="3827" w:type="dxa"/>
            <w:shd w:val="clear" w:color="auto" w:fill="FFFFFF" w:themeFill="background1"/>
          </w:tcPr>
          <w:p w14:paraId="7867B8A4" w14:textId="4E83F4ED" w:rsidR="00B91619" w:rsidRPr="00FA558D" w:rsidRDefault="00B91619" w:rsidP="00B76EB0">
            <w:pPr>
              <w:pStyle w:val="ListParagraph"/>
              <w:numPr>
                <w:ilvl w:val="0"/>
                <w:numId w:val="6"/>
              </w:numPr>
              <w:tabs>
                <w:tab w:val="left" w:pos="9356"/>
              </w:tabs>
              <w:ind w:left="191" w:hanging="180"/>
              <w:rPr>
                <w:lang w:val="fr-CA"/>
              </w:rPr>
            </w:pPr>
            <w:r>
              <w:rPr>
                <w:lang w:val="fr-CA"/>
              </w:rPr>
              <w:t>Les approbations préalables à la mise en marché</w:t>
            </w:r>
            <w:r w:rsidRPr="00FA558D">
              <w:rPr>
                <w:lang w:val="fr-CA"/>
              </w:rPr>
              <w:t xml:space="preserve"> </w:t>
            </w:r>
            <w:r>
              <w:rPr>
                <w:lang w:val="fr-CA"/>
              </w:rPr>
              <w:t xml:space="preserve">relatives aux </w:t>
            </w:r>
            <w:r w:rsidRPr="00FA558D">
              <w:rPr>
                <w:lang w:val="fr-CA"/>
              </w:rPr>
              <w:t>activi</w:t>
            </w:r>
            <w:r>
              <w:rPr>
                <w:lang w:val="fr-CA"/>
              </w:rPr>
              <w:t xml:space="preserve">tés ou aux produits </w:t>
            </w:r>
            <w:r w:rsidR="00B76EB0">
              <w:rPr>
                <w:lang w:val="fr-CA"/>
              </w:rPr>
              <w:t>comme</w:t>
            </w:r>
            <w:r>
              <w:rPr>
                <w:lang w:val="fr-CA"/>
              </w:rPr>
              <w:t xml:space="preserve"> les médicaments, les dispositifs médicaux</w:t>
            </w:r>
            <w:r w:rsidRPr="00FA558D">
              <w:rPr>
                <w:lang w:val="fr-CA"/>
              </w:rPr>
              <w:t xml:space="preserve">, </w:t>
            </w:r>
            <w:r>
              <w:rPr>
                <w:lang w:val="fr-CA"/>
              </w:rPr>
              <w:t xml:space="preserve">les </w:t>
            </w:r>
            <w:r w:rsidRPr="00FA558D">
              <w:rPr>
                <w:lang w:val="fr-CA"/>
              </w:rPr>
              <w:t>ban</w:t>
            </w:r>
            <w:r>
              <w:rPr>
                <w:lang w:val="fr-CA"/>
              </w:rPr>
              <w:t>ques, les appareils de téléc</w:t>
            </w:r>
            <w:r w:rsidRPr="00FA558D">
              <w:rPr>
                <w:lang w:val="fr-CA"/>
              </w:rPr>
              <w:t>ommunication</w:t>
            </w:r>
            <w:r>
              <w:rPr>
                <w:lang w:val="fr-CA"/>
              </w:rPr>
              <w:t xml:space="preserve"> et les évaluations environnementales sont généralement</w:t>
            </w:r>
            <w:r w:rsidRPr="00FA558D">
              <w:rPr>
                <w:lang w:val="fr-CA"/>
              </w:rPr>
              <w:t xml:space="preserve"> </w:t>
            </w:r>
            <w:r>
              <w:rPr>
                <w:lang w:val="fr-CA"/>
              </w:rPr>
              <w:t>considérées</w:t>
            </w:r>
            <w:r w:rsidRPr="00FA558D">
              <w:rPr>
                <w:lang w:val="fr-CA"/>
              </w:rPr>
              <w:t xml:space="preserve"> </w:t>
            </w:r>
            <w:r>
              <w:rPr>
                <w:lang w:val="fr-CA"/>
              </w:rPr>
              <w:t>comme des activités de conformité</w:t>
            </w:r>
          </w:p>
        </w:tc>
      </w:tr>
      <w:tr w:rsidR="00B91619" w:rsidRPr="00FA558D" w14:paraId="4E9D2E1A" w14:textId="77777777" w:rsidTr="00A9277E">
        <w:trPr>
          <w:cantSplit/>
          <w:trHeight w:val="1376"/>
        </w:trPr>
        <w:tc>
          <w:tcPr>
            <w:tcW w:w="2235" w:type="dxa"/>
            <w:shd w:val="clear" w:color="auto" w:fill="FFFFFF" w:themeFill="background1"/>
          </w:tcPr>
          <w:p w14:paraId="7177578E" w14:textId="55999044" w:rsidR="00B91619" w:rsidRPr="00FA558D" w:rsidRDefault="00B91619" w:rsidP="00B76EB0">
            <w:pPr>
              <w:tabs>
                <w:tab w:val="left" w:pos="9356"/>
              </w:tabs>
              <w:rPr>
                <w:lang w:val="fr-CA"/>
              </w:rPr>
            </w:pPr>
            <w:r>
              <w:rPr>
                <w:lang w:val="fr-CA"/>
              </w:rPr>
              <w:t>Application</w:t>
            </w:r>
            <w:r w:rsidRPr="00FA558D">
              <w:rPr>
                <w:lang w:val="fr-CA"/>
              </w:rPr>
              <w:t xml:space="preserve">, </w:t>
            </w:r>
            <w:r w:rsidR="00B76EB0">
              <w:rPr>
                <w:lang w:val="fr-CA"/>
              </w:rPr>
              <w:t>audit</w:t>
            </w:r>
            <w:r w:rsidR="00B76EB0" w:rsidRPr="00FA558D">
              <w:rPr>
                <w:lang w:val="fr-CA"/>
              </w:rPr>
              <w:t>s</w:t>
            </w:r>
            <w:r w:rsidR="00B76EB0">
              <w:rPr>
                <w:lang w:val="fr-CA"/>
              </w:rPr>
              <w:t xml:space="preserve"> </w:t>
            </w:r>
            <w:r>
              <w:rPr>
                <w:lang w:val="fr-CA"/>
              </w:rPr>
              <w:t xml:space="preserve">et </w:t>
            </w:r>
            <w:r w:rsidRPr="00FA558D">
              <w:rPr>
                <w:lang w:val="fr-CA"/>
              </w:rPr>
              <w:t>inspections</w:t>
            </w:r>
          </w:p>
        </w:tc>
        <w:tc>
          <w:tcPr>
            <w:tcW w:w="3402" w:type="dxa"/>
            <w:shd w:val="clear" w:color="auto" w:fill="FFFFFF" w:themeFill="background1"/>
          </w:tcPr>
          <w:p w14:paraId="0A66C9B1" w14:textId="4D25592B" w:rsidR="00B91619" w:rsidRPr="00FA558D" w:rsidRDefault="00B91619" w:rsidP="00A9277E">
            <w:pPr>
              <w:pStyle w:val="ListParagraph"/>
              <w:numPr>
                <w:ilvl w:val="0"/>
                <w:numId w:val="6"/>
              </w:numPr>
              <w:tabs>
                <w:tab w:val="left" w:pos="9356"/>
              </w:tabs>
              <w:ind w:left="191" w:hanging="180"/>
              <w:rPr>
                <w:lang w:val="fr-CA"/>
              </w:rPr>
            </w:pPr>
            <w:r w:rsidRPr="00FA558D">
              <w:rPr>
                <w:lang w:val="fr-CA"/>
              </w:rPr>
              <w:t>Collect</w:t>
            </w:r>
            <w:r>
              <w:rPr>
                <w:lang w:val="fr-CA"/>
              </w:rPr>
              <w:t>e et récupération d’in</w:t>
            </w:r>
            <w:r w:rsidRPr="00FA558D">
              <w:rPr>
                <w:lang w:val="fr-CA"/>
              </w:rPr>
              <w:t>formation</w:t>
            </w:r>
            <w:r>
              <w:rPr>
                <w:lang w:val="fr-CA"/>
              </w:rPr>
              <w:t xml:space="preserve">, et soutien aux inspecteurs ou </w:t>
            </w:r>
            <w:r w:rsidR="007804CD">
              <w:rPr>
                <w:lang w:val="fr-CA"/>
              </w:rPr>
              <w:t xml:space="preserve">aux </w:t>
            </w:r>
            <w:r>
              <w:rPr>
                <w:lang w:val="fr-CA"/>
              </w:rPr>
              <w:t>vérificateurs du gouvernement</w:t>
            </w:r>
            <w:r w:rsidRPr="00FA558D">
              <w:rPr>
                <w:lang w:val="fr-CA"/>
              </w:rPr>
              <w:t xml:space="preserve"> </w:t>
            </w:r>
            <w:r>
              <w:rPr>
                <w:lang w:val="fr-CA"/>
              </w:rPr>
              <w:t>dans l’application</w:t>
            </w:r>
            <w:r w:rsidRPr="00FA558D">
              <w:rPr>
                <w:lang w:val="fr-CA"/>
              </w:rPr>
              <w:t xml:space="preserve"> </w:t>
            </w:r>
            <w:r>
              <w:rPr>
                <w:lang w:val="fr-CA"/>
              </w:rPr>
              <w:t>d’un</w:t>
            </w:r>
            <w:r w:rsidRPr="00FA558D">
              <w:rPr>
                <w:lang w:val="fr-CA"/>
              </w:rPr>
              <w:t xml:space="preserve"> </w:t>
            </w:r>
            <w:r>
              <w:rPr>
                <w:lang w:val="fr-CA"/>
              </w:rPr>
              <w:t>règlement</w:t>
            </w:r>
          </w:p>
        </w:tc>
        <w:tc>
          <w:tcPr>
            <w:tcW w:w="3827" w:type="dxa"/>
            <w:shd w:val="clear" w:color="auto" w:fill="FFFFFF" w:themeFill="background1"/>
          </w:tcPr>
          <w:p w14:paraId="24543C61" w14:textId="20ADFE66" w:rsidR="00B91619" w:rsidRPr="00FA558D" w:rsidRDefault="00505D5D" w:rsidP="00A9277E">
            <w:pPr>
              <w:tabs>
                <w:tab w:val="left" w:pos="9356"/>
              </w:tabs>
              <w:rPr>
                <w:lang w:val="fr-CA"/>
              </w:rPr>
            </w:pPr>
            <w:r>
              <w:rPr>
                <w:lang w:val="fr-CA"/>
              </w:rPr>
              <w:t>Sans objet</w:t>
            </w:r>
          </w:p>
        </w:tc>
      </w:tr>
    </w:tbl>
    <w:p w14:paraId="7EFE859D" w14:textId="77777777" w:rsidR="00B91619" w:rsidRDefault="00B91619" w:rsidP="00B91619">
      <w:pPr>
        <w:rPr>
          <w:lang w:val="fr-CA"/>
        </w:rPr>
      </w:pPr>
    </w:p>
    <w:p w14:paraId="4C01195F" w14:textId="77777777" w:rsidR="00411D10" w:rsidRPr="00FA558D" w:rsidRDefault="00411D10" w:rsidP="00B91619">
      <w:pPr>
        <w:rPr>
          <w:lang w:val="fr-CA"/>
        </w:rPr>
      </w:pPr>
    </w:p>
    <w:p w14:paraId="0558E701" w14:textId="77777777" w:rsidR="00B91619" w:rsidRPr="00FA558D" w:rsidRDefault="00B91619" w:rsidP="00B91619">
      <w:pPr>
        <w:pStyle w:val="Heading4"/>
        <w:rPr>
          <w:lang w:val="fr-CA"/>
        </w:rPr>
      </w:pPr>
      <w:r>
        <w:rPr>
          <w:lang w:val="fr-CA"/>
        </w:rPr>
        <w:lastRenderedPageBreak/>
        <w:t>Impôts</w:t>
      </w:r>
      <w:r w:rsidRPr="00FA558D">
        <w:rPr>
          <w:lang w:val="fr-CA"/>
        </w:rPr>
        <w:t xml:space="preserve">, </w:t>
      </w:r>
      <w:r>
        <w:rPr>
          <w:lang w:val="fr-CA"/>
        </w:rPr>
        <w:t>frais et pénalités</w:t>
      </w:r>
    </w:p>
    <w:p w14:paraId="3EA2B45B" w14:textId="77777777" w:rsidR="00B91619" w:rsidRPr="00FA558D" w:rsidRDefault="00B91619" w:rsidP="00B91619">
      <w:pPr>
        <w:tabs>
          <w:tab w:val="left" w:pos="9356"/>
        </w:tabs>
        <w:spacing w:after="0" w:line="240" w:lineRule="auto"/>
        <w:rPr>
          <w:lang w:val="fr-CA"/>
        </w:rPr>
      </w:pPr>
    </w:p>
    <w:p w14:paraId="02EDDA3C" w14:textId="4E056466" w:rsidR="00B91619" w:rsidRPr="00FA558D" w:rsidRDefault="00B91619" w:rsidP="00B91619">
      <w:pPr>
        <w:tabs>
          <w:tab w:val="left" w:pos="9356"/>
        </w:tabs>
        <w:spacing w:after="0" w:line="240" w:lineRule="auto"/>
        <w:rPr>
          <w:lang w:val="fr-CA"/>
        </w:rPr>
      </w:pPr>
      <w:r>
        <w:rPr>
          <w:lang w:val="fr-CA"/>
        </w:rPr>
        <w:t xml:space="preserve">Les impôts et pénalités sont des </w:t>
      </w:r>
      <w:r w:rsidRPr="00FA558D">
        <w:rPr>
          <w:lang w:val="fr-CA"/>
        </w:rPr>
        <w:t>transfer</w:t>
      </w:r>
      <w:r>
        <w:rPr>
          <w:lang w:val="fr-CA"/>
        </w:rPr>
        <w:t>t</w:t>
      </w:r>
      <w:r w:rsidRPr="00FA558D">
        <w:rPr>
          <w:lang w:val="fr-CA"/>
        </w:rPr>
        <w:t>s</w:t>
      </w:r>
      <w:r>
        <w:rPr>
          <w:lang w:val="fr-CA"/>
        </w:rPr>
        <w:t xml:space="preserve"> et ne sont pas</w:t>
      </w:r>
      <w:r w:rsidRPr="00FA558D">
        <w:rPr>
          <w:lang w:val="fr-CA"/>
        </w:rPr>
        <w:t xml:space="preserve"> </w:t>
      </w:r>
      <w:r>
        <w:rPr>
          <w:lang w:val="fr-CA"/>
        </w:rPr>
        <w:t xml:space="preserve">considérés comme un fardeau </w:t>
      </w:r>
      <w:r w:rsidRPr="00FA558D">
        <w:rPr>
          <w:lang w:val="fr-CA"/>
        </w:rPr>
        <w:t>adminis</w:t>
      </w:r>
      <w:r>
        <w:rPr>
          <w:lang w:val="fr-CA"/>
        </w:rPr>
        <w:t xml:space="preserve">tratif ou de </w:t>
      </w:r>
      <w:r w:rsidRPr="00FA558D">
        <w:rPr>
          <w:lang w:val="fr-CA"/>
        </w:rPr>
        <w:t>co</w:t>
      </w:r>
      <w:r>
        <w:rPr>
          <w:lang w:val="fr-CA"/>
        </w:rPr>
        <w:t xml:space="preserve">nformité. Par conséquent, ils ne sont pas comptabilisés dans le calcul des coûts, ni </w:t>
      </w:r>
      <w:r w:rsidR="00DC5257">
        <w:rPr>
          <w:lang w:val="fr-CA"/>
        </w:rPr>
        <w:t xml:space="preserve">en vertu de </w:t>
      </w:r>
      <w:r>
        <w:rPr>
          <w:lang w:val="fr-CA"/>
        </w:rPr>
        <w:t xml:space="preserve">la règle du « un pour un », ni </w:t>
      </w:r>
      <w:r w:rsidR="00DC5257">
        <w:rPr>
          <w:lang w:val="fr-CA"/>
        </w:rPr>
        <w:t>en vertu de</w:t>
      </w:r>
      <w:r>
        <w:rPr>
          <w:lang w:val="fr-CA"/>
        </w:rPr>
        <w:t xml:space="preserve"> la </w:t>
      </w:r>
      <w:r w:rsidR="00827BD1">
        <w:rPr>
          <w:lang w:val="fr-CA"/>
        </w:rPr>
        <w:t>lentille</w:t>
      </w:r>
      <w:r>
        <w:rPr>
          <w:lang w:val="fr-CA"/>
        </w:rPr>
        <w:t xml:space="preserve"> des petites entreprises</w:t>
      </w:r>
      <w:r w:rsidRPr="00FA558D">
        <w:rPr>
          <w:lang w:val="fr-CA"/>
        </w:rPr>
        <w:t>.</w:t>
      </w:r>
    </w:p>
    <w:p w14:paraId="79D9D4BC" w14:textId="77777777" w:rsidR="00B91619" w:rsidRPr="00FA558D" w:rsidRDefault="00B91619" w:rsidP="00B91619">
      <w:pPr>
        <w:tabs>
          <w:tab w:val="left" w:pos="9356"/>
        </w:tabs>
        <w:spacing w:after="0" w:line="240" w:lineRule="auto"/>
        <w:rPr>
          <w:lang w:val="fr-CA"/>
        </w:rPr>
      </w:pPr>
    </w:p>
    <w:p w14:paraId="34C31F32" w14:textId="6AB2AF96" w:rsidR="00B91619" w:rsidRDefault="00B91619" w:rsidP="00B91619">
      <w:pPr>
        <w:tabs>
          <w:tab w:val="left" w:pos="9356"/>
        </w:tabs>
        <w:spacing w:after="0" w:line="240" w:lineRule="auto"/>
        <w:rPr>
          <w:lang w:val="fr-CA"/>
        </w:rPr>
      </w:pPr>
      <w:r>
        <w:rPr>
          <w:lang w:val="fr-CA"/>
        </w:rPr>
        <w:t>Les frais</w:t>
      </w:r>
      <w:r w:rsidRPr="00FA558D">
        <w:rPr>
          <w:lang w:val="fr-CA"/>
        </w:rPr>
        <w:t xml:space="preserve"> constitu</w:t>
      </w:r>
      <w:r>
        <w:rPr>
          <w:lang w:val="fr-CA"/>
        </w:rPr>
        <w:t>ent un coût engagé par une partie réglementée</w:t>
      </w:r>
      <w:r w:rsidRPr="00FA558D">
        <w:rPr>
          <w:lang w:val="fr-CA"/>
        </w:rPr>
        <w:t xml:space="preserve"> </w:t>
      </w:r>
      <w:r>
        <w:rPr>
          <w:lang w:val="fr-CA"/>
        </w:rPr>
        <w:t xml:space="preserve">en </w:t>
      </w:r>
      <w:r w:rsidR="00B76EB0">
        <w:rPr>
          <w:lang w:val="fr-CA"/>
        </w:rPr>
        <w:t>échange</w:t>
      </w:r>
      <w:r w:rsidR="00B76EB0" w:rsidRPr="00FA558D">
        <w:rPr>
          <w:lang w:val="fr-CA"/>
        </w:rPr>
        <w:t xml:space="preserve"> </w:t>
      </w:r>
      <w:r>
        <w:rPr>
          <w:lang w:val="fr-CA"/>
        </w:rPr>
        <w:t>d’un bien ou d’un ser</w:t>
      </w:r>
      <w:r w:rsidRPr="00FA558D">
        <w:rPr>
          <w:lang w:val="fr-CA"/>
        </w:rPr>
        <w:t>vice</w:t>
      </w:r>
      <w:r>
        <w:rPr>
          <w:lang w:val="fr-CA"/>
        </w:rPr>
        <w:t xml:space="preserve"> et doivent être comptabilisés avec les coûts en vertu de la </w:t>
      </w:r>
      <w:r w:rsidR="00827BD1">
        <w:rPr>
          <w:lang w:val="fr-CA"/>
        </w:rPr>
        <w:t>lentille</w:t>
      </w:r>
      <w:r>
        <w:rPr>
          <w:lang w:val="fr-CA"/>
        </w:rPr>
        <w:t xml:space="preserve"> des petites entreprises</w:t>
      </w:r>
      <w:r w:rsidRPr="00FA558D">
        <w:rPr>
          <w:lang w:val="fr-CA"/>
        </w:rPr>
        <w:t xml:space="preserve">. </w:t>
      </w:r>
      <w:r>
        <w:rPr>
          <w:lang w:val="fr-CA"/>
        </w:rPr>
        <w:t xml:space="preserve">Cette </w:t>
      </w:r>
      <w:r w:rsidR="00B76EB0">
        <w:rPr>
          <w:lang w:val="fr-CA"/>
        </w:rPr>
        <w:t>procédure</w:t>
      </w:r>
      <w:r>
        <w:rPr>
          <w:lang w:val="fr-CA"/>
        </w:rPr>
        <w:t xml:space="preserve"> </w:t>
      </w:r>
      <w:r w:rsidR="005C0CB7">
        <w:rPr>
          <w:lang w:val="fr-CA"/>
        </w:rPr>
        <w:t xml:space="preserve">est conforme </w:t>
      </w:r>
      <w:r w:rsidR="00B76EB0">
        <w:rPr>
          <w:lang w:val="fr-CA"/>
        </w:rPr>
        <w:t xml:space="preserve">à </w:t>
      </w:r>
      <w:r>
        <w:rPr>
          <w:lang w:val="fr-CA"/>
        </w:rPr>
        <w:t>la méthodologie de l’analyse coût</w:t>
      </w:r>
      <w:r w:rsidR="00B76EB0">
        <w:rPr>
          <w:lang w:val="fr-CA"/>
        </w:rPr>
        <w:t>s</w:t>
      </w:r>
      <w:r w:rsidR="00B76EB0">
        <w:rPr>
          <w:lang w:val="fr-CA"/>
        </w:rPr>
        <w:noBreakHyphen/>
        <w:t>avantages</w:t>
      </w:r>
      <w:r w:rsidRPr="00FA558D">
        <w:rPr>
          <w:lang w:val="fr-CA"/>
        </w:rPr>
        <w:t xml:space="preserve">. </w:t>
      </w:r>
      <w:r>
        <w:rPr>
          <w:lang w:val="fr-CA"/>
        </w:rPr>
        <w:t>Toutefois, la règle du « un pour un »</w:t>
      </w:r>
      <w:r w:rsidRPr="00FA558D">
        <w:rPr>
          <w:lang w:val="fr-CA"/>
        </w:rPr>
        <w:t xml:space="preserve"> </w:t>
      </w:r>
      <w:r>
        <w:rPr>
          <w:lang w:val="fr-CA"/>
        </w:rPr>
        <w:t>porte uniquement sur le fardeau administratif, lequel exclut tous les frais.</w:t>
      </w:r>
    </w:p>
    <w:p w14:paraId="0F4A2D0F" w14:textId="7DD40BDB" w:rsidR="00B91619" w:rsidRPr="00FA558D" w:rsidRDefault="00B91619" w:rsidP="00B91619">
      <w:pPr>
        <w:tabs>
          <w:tab w:val="left" w:pos="9356"/>
        </w:tabs>
        <w:spacing w:after="0" w:line="240" w:lineRule="auto"/>
        <w:rPr>
          <w:rFonts w:asciiTheme="majorHAnsi" w:eastAsiaTheme="majorEastAsia" w:hAnsiTheme="majorHAnsi" w:cstheme="majorBidi"/>
          <w:color w:val="365F91" w:themeColor="accent1" w:themeShade="BF"/>
          <w:sz w:val="32"/>
          <w:szCs w:val="32"/>
          <w:lang w:val="fr-CA"/>
        </w:rPr>
      </w:pPr>
    </w:p>
    <w:p w14:paraId="2BAF61CE" w14:textId="38D10039" w:rsidR="00B91619" w:rsidRPr="00FA558D" w:rsidRDefault="00B91619" w:rsidP="00B91619">
      <w:pPr>
        <w:pStyle w:val="Heading1"/>
        <w:rPr>
          <w:lang w:val="fr-CA"/>
        </w:rPr>
      </w:pPr>
      <w:bookmarkStart w:id="13" w:name="_Toc69891042"/>
      <w:r>
        <w:rPr>
          <w:lang w:val="fr-CA"/>
        </w:rPr>
        <w:t>Règle du « un pour un » (section 7)</w:t>
      </w:r>
      <w:bookmarkEnd w:id="13"/>
    </w:p>
    <w:p w14:paraId="0247EF03" w14:textId="45335579" w:rsidR="00B91619" w:rsidRPr="00FA558D" w:rsidRDefault="00B91619" w:rsidP="00B91619">
      <w:pPr>
        <w:pStyle w:val="Heading2"/>
        <w:rPr>
          <w:lang w:val="fr-CA"/>
        </w:rPr>
      </w:pPr>
      <w:bookmarkStart w:id="14" w:name="_Toc69891043"/>
      <w:r>
        <w:rPr>
          <w:lang w:val="fr-CA"/>
        </w:rPr>
        <w:t>Aperçu (sous-s</w:t>
      </w:r>
      <w:r w:rsidRPr="00FA558D">
        <w:rPr>
          <w:lang w:val="fr-CA"/>
        </w:rPr>
        <w:t>ection 7.1)</w:t>
      </w:r>
      <w:bookmarkEnd w:id="14"/>
    </w:p>
    <w:p w14:paraId="1CA8EB08" w14:textId="6C71CBF1" w:rsidR="00B91619" w:rsidRPr="00FA558D" w:rsidRDefault="00411D10" w:rsidP="00B91619">
      <w:pPr>
        <w:tabs>
          <w:tab w:val="left" w:pos="9356"/>
        </w:tabs>
        <w:spacing w:after="0" w:line="240" w:lineRule="auto"/>
        <w:rPr>
          <w:lang w:val="fr-CA"/>
        </w:rPr>
      </w:pPr>
      <w:r>
        <w:rPr>
          <w:noProof/>
          <w:lang w:eastAsia="en-CA"/>
        </w:rPr>
        <w:drawing>
          <wp:anchor distT="0" distB="0" distL="114300" distR="114300" simplePos="0" relativeHeight="251659776" behindDoc="0" locked="0" layoutInCell="1" allowOverlap="1" wp14:anchorId="2187CAD8" wp14:editId="07D54628">
            <wp:simplePos x="0" y="0"/>
            <wp:positionH relativeFrom="column">
              <wp:posOffset>-622935</wp:posOffset>
            </wp:positionH>
            <wp:positionV relativeFrom="page">
              <wp:posOffset>3780790</wp:posOffset>
            </wp:positionV>
            <wp:extent cx="7239000" cy="49066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0" cy="4906645"/>
                    </a:xfrm>
                    <a:prstGeom prst="rect">
                      <a:avLst/>
                    </a:prstGeom>
                    <a:noFill/>
                  </pic:spPr>
                </pic:pic>
              </a:graphicData>
            </a:graphic>
            <wp14:sizeRelH relativeFrom="margin">
              <wp14:pctWidth>0</wp14:pctWidth>
            </wp14:sizeRelH>
            <wp14:sizeRelV relativeFrom="margin">
              <wp14:pctHeight>0</wp14:pctHeight>
            </wp14:sizeRelV>
          </wp:anchor>
        </w:drawing>
      </w:r>
      <w:r w:rsidR="00E819D1" w:rsidRPr="00FA558D">
        <w:rPr>
          <w:noProof/>
          <w:lang w:eastAsia="en-CA"/>
        </w:rPr>
        <mc:AlternateContent>
          <mc:Choice Requires="wps">
            <w:drawing>
              <wp:anchor distT="0" distB="0" distL="114300" distR="114300" simplePos="0" relativeHeight="251658752" behindDoc="0" locked="0" layoutInCell="1" allowOverlap="1" wp14:anchorId="26A375EA" wp14:editId="0B4FBE43">
                <wp:simplePos x="0" y="0"/>
                <wp:positionH relativeFrom="column">
                  <wp:posOffset>0</wp:posOffset>
                </wp:positionH>
                <wp:positionV relativeFrom="paragraph">
                  <wp:posOffset>170815</wp:posOffset>
                </wp:positionV>
                <wp:extent cx="6343015" cy="203200"/>
                <wp:effectExtent l="0" t="0" r="635" b="6350"/>
                <wp:wrapTopAndBottom/>
                <wp:docPr id="3" name="Text Box 3"/>
                <wp:cNvGraphicFramePr/>
                <a:graphic xmlns:a="http://schemas.openxmlformats.org/drawingml/2006/main">
                  <a:graphicData uri="http://schemas.microsoft.com/office/word/2010/wordprocessingShape">
                    <wps:wsp>
                      <wps:cNvSpPr txBox="1"/>
                      <wps:spPr>
                        <a:xfrm>
                          <a:off x="0" y="0"/>
                          <a:ext cx="6343015" cy="203200"/>
                        </a:xfrm>
                        <a:prstGeom prst="rect">
                          <a:avLst/>
                        </a:prstGeom>
                        <a:solidFill>
                          <a:prstClr val="white"/>
                        </a:solidFill>
                        <a:ln>
                          <a:noFill/>
                        </a:ln>
                        <a:effectLst/>
                      </wps:spPr>
                      <wps:txbx>
                        <w:txbxContent>
                          <w:p w14:paraId="1FB1E94B" w14:textId="77777777" w:rsidR="003D3A0E" w:rsidRPr="007B1101" w:rsidRDefault="003D3A0E" w:rsidP="00E819D1">
                            <w:pPr>
                              <w:pStyle w:val="Caption"/>
                              <w:rPr>
                                <w:b/>
                                <w:noProof/>
                                <w:lang w:val="fr-CA"/>
                              </w:rPr>
                            </w:pPr>
                            <w:r w:rsidRPr="007B1101">
                              <w:rPr>
                                <w:b/>
                                <w:i w:val="0"/>
                                <w:color w:val="auto"/>
                                <w:sz w:val="22"/>
                                <w:szCs w:val="22"/>
                                <w:lang w:val="fr-CA"/>
                              </w:rPr>
                              <w:t xml:space="preserve">Figure 1 : Diagramme de </w:t>
                            </w:r>
                            <w:r w:rsidRPr="00F47ECF">
                              <w:rPr>
                                <w:b/>
                                <w:i w:val="0"/>
                                <w:color w:val="auto"/>
                                <w:sz w:val="22"/>
                                <w:szCs w:val="22"/>
                                <w:lang w:val="fr-CA"/>
                              </w:rPr>
                              <w:t xml:space="preserve">la règle du </w:t>
                            </w:r>
                            <w:r>
                              <w:rPr>
                                <w:b/>
                                <w:i w:val="0"/>
                                <w:color w:val="auto"/>
                                <w:sz w:val="22"/>
                                <w:szCs w:val="22"/>
                                <w:lang w:val="fr-CA"/>
                              </w:rPr>
                              <w:t>« un pour un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A375EA" id="_x0000_t202" coordsize="21600,21600" o:spt="202" path="m,l,21600r21600,l21600,xe">
                <v:stroke joinstyle="miter"/>
                <v:path gradientshapeok="t" o:connecttype="rect"/>
              </v:shapetype>
              <v:shape id="Text Box 3" o:spid="_x0000_s1026" type="#_x0000_t202" style="position:absolute;margin-left:0;margin-top:13.45pt;width:499.45pt;height:1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" stroked="f">
                <v:textbox inset="0,0,0,0">
                  <w:txbxContent>
                    <w:p w14:paraId="1FB1E94B" w14:textId="77777777" w:rsidR="003D3A0E" w:rsidRPr="007B1101" w:rsidRDefault="003D3A0E" w:rsidP="00E819D1">
                      <w:pPr>
                        <w:pStyle w:val="Caption"/>
                        <w:rPr>
                          <w:b/>
                          <w:noProof/>
                          <w:lang w:val="fr-CA"/>
                        </w:rPr>
                      </w:pPr>
                      <w:r w:rsidRPr="007B1101">
                        <w:rPr>
                          <w:b/>
                          <w:i w:val="0"/>
                          <w:color w:val="auto"/>
                          <w:sz w:val="22"/>
                          <w:szCs w:val="22"/>
                          <w:lang w:val="fr-CA"/>
                        </w:rPr>
                        <w:t xml:space="preserve">Figure 1 : Diagramme de </w:t>
                      </w:r>
                      <w:r w:rsidRPr="00F47ECF">
                        <w:rPr>
                          <w:b/>
                          <w:i w:val="0"/>
                          <w:color w:val="auto"/>
                          <w:sz w:val="22"/>
                          <w:szCs w:val="22"/>
                          <w:lang w:val="fr-CA"/>
                        </w:rPr>
                        <w:t xml:space="preserve">la règle du </w:t>
                      </w:r>
                      <w:r>
                        <w:rPr>
                          <w:b/>
                          <w:i w:val="0"/>
                          <w:color w:val="auto"/>
                          <w:sz w:val="22"/>
                          <w:szCs w:val="22"/>
                          <w:lang w:val="fr-CA"/>
                        </w:rPr>
                        <w:t>« un pour un »</w:t>
                      </w:r>
                    </w:p>
                  </w:txbxContent>
                </v:textbox>
                <w10:wrap type="topAndBottom"/>
              </v:shape>
            </w:pict>
          </mc:Fallback>
        </mc:AlternateContent>
      </w:r>
    </w:p>
    <w:p w14:paraId="174D5A71" w14:textId="766DC6D5" w:rsidR="00B91619" w:rsidRPr="00FA558D" w:rsidRDefault="00B91619" w:rsidP="00B91619">
      <w:pPr>
        <w:tabs>
          <w:tab w:val="left" w:pos="9356"/>
        </w:tabs>
        <w:spacing w:after="0" w:line="240" w:lineRule="auto"/>
        <w:rPr>
          <w:lang w:val="fr-CA"/>
        </w:rPr>
      </w:pPr>
    </w:p>
    <w:p w14:paraId="6A941464" w14:textId="77777777" w:rsidR="00B91619" w:rsidRPr="00FA558D" w:rsidRDefault="00B91619" w:rsidP="00B91619">
      <w:pPr>
        <w:pStyle w:val="Heading2"/>
        <w:rPr>
          <w:lang w:val="fr-CA"/>
        </w:rPr>
      </w:pPr>
      <w:bookmarkStart w:id="15" w:name="_Toc69891044"/>
      <w:r>
        <w:rPr>
          <w:lang w:val="fr-CA"/>
        </w:rPr>
        <w:lastRenderedPageBreak/>
        <w:t>Exigences de la politique</w:t>
      </w:r>
      <w:r w:rsidRPr="00FA558D">
        <w:rPr>
          <w:lang w:val="fr-CA"/>
        </w:rPr>
        <w:t xml:space="preserve"> (</w:t>
      </w:r>
      <w:r>
        <w:rPr>
          <w:lang w:val="fr-CA"/>
        </w:rPr>
        <w:t>sous-s</w:t>
      </w:r>
      <w:r w:rsidRPr="00FA558D">
        <w:rPr>
          <w:lang w:val="fr-CA"/>
        </w:rPr>
        <w:t>ection 7.2)</w:t>
      </w:r>
      <w:bookmarkEnd w:id="15"/>
    </w:p>
    <w:p w14:paraId="4DDF2BED" w14:textId="37EF7FB3" w:rsidR="00B91619" w:rsidRPr="00FA558D" w:rsidRDefault="00B91619" w:rsidP="00B91619">
      <w:pPr>
        <w:tabs>
          <w:tab w:val="left" w:pos="9356"/>
        </w:tabs>
        <w:spacing w:after="0" w:line="240" w:lineRule="auto"/>
        <w:rPr>
          <w:lang w:val="fr-CA"/>
        </w:rPr>
      </w:pPr>
      <w:r>
        <w:rPr>
          <w:lang w:val="fr-CA"/>
        </w:rPr>
        <w:t>La règle du « un pour un »</w:t>
      </w:r>
      <w:r w:rsidRPr="00FA558D">
        <w:rPr>
          <w:lang w:val="fr-CA"/>
        </w:rPr>
        <w:t xml:space="preserve"> </w:t>
      </w:r>
      <w:r>
        <w:rPr>
          <w:lang w:val="fr-CA"/>
        </w:rPr>
        <w:t>s’applique aux</w:t>
      </w:r>
      <w:r w:rsidRPr="00FA558D">
        <w:rPr>
          <w:lang w:val="fr-CA"/>
        </w:rPr>
        <w:t xml:space="preserve"> </w:t>
      </w:r>
      <w:r w:rsidR="007804CD">
        <w:rPr>
          <w:lang w:val="fr-CA"/>
        </w:rPr>
        <w:t xml:space="preserve">modifications </w:t>
      </w:r>
      <w:r>
        <w:rPr>
          <w:lang w:val="fr-CA"/>
        </w:rPr>
        <w:t xml:space="preserve">réglementaires qui </w:t>
      </w:r>
      <w:r w:rsidR="00E819D1">
        <w:rPr>
          <w:lang w:val="fr-CA"/>
        </w:rPr>
        <w:t xml:space="preserve">imposent une </w:t>
      </w:r>
      <w:r>
        <w:rPr>
          <w:lang w:val="fr-CA"/>
        </w:rPr>
        <w:t>augment</w:t>
      </w:r>
      <w:r w:rsidR="00E819D1">
        <w:rPr>
          <w:lang w:val="fr-CA"/>
        </w:rPr>
        <w:t>ation du</w:t>
      </w:r>
      <w:r>
        <w:rPr>
          <w:lang w:val="fr-CA"/>
        </w:rPr>
        <w:t xml:space="preserve"> fardeau administratif aux entreprises</w:t>
      </w:r>
      <w:r w:rsidRPr="00FA558D">
        <w:rPr>
          <w:lang w:val="fr-CA"/>
        </w:rPr>
        <w:t xml:space="preserve">. </w:t>
      </w:r>
      <w:r>
        <w:rPr>
          <w:lang w:val="fr-CA"/>
        </w:rPr>
        <w:t xml:space="preserve">Les questions </w:t>
      </w:r>
      <w:r w:rsidR="00510A05">
        <w:rPr>
          <w:lang w:val="fr-CA"/>
        </w:rPr>
        <w:t>ci</w:t>
      </w:r>
      <w:r w:rsidR="00510A05">
        <w:rPr>
          <w:lang w:val="fr-CA"/>
        </w:rPr>
        <w:noBreakHyphen/>
        <w:t>dessous aideront</w:t>
      </w:r>
      <w:r>
        <w:rPr>
          <w:lang w:val="fr-CA"/>
        </w:rPr>
        <w:t xml:space="preserve"> les organismes de réglementation</w:t>
      </w:r>
      <w:r w:rsidRPr="00FA558D">
        <w:rPr>
          <w:lang w:val="fr-CA"/>
        </w:rPr>
        <w:t xml:space="preserve"> </w:t>
      </w:r>
      <w:r w:rsidR="005B3C9C">
        <w:rPr>
          <w:lang w:val="fr-CA"/>
        </w:rPr>
        <w:t xml:space="preserve">à </w:t>
      </w:r>
      <w:r w:rsidR="00510A05">
        <w:rPr>
          <w:lang w:val="fr-CA"/>
        </w:rPr>
        <w:t xml:space="preserve">déterminer </w:t>
      </w:r>
      <w:r>
        <w:rPr>
          <w:lang w:val="fr-CA"/>
        </w:rPr>
        <w:t>si</w:t>
      </w:r>
      <w:r w:rsidRPr="00FA558D">
        <w:rPr>
          <w:lang w:val="fr-CA"/>
        </w:rPr>
        <w:t xml:space="preserve"> </w:t>
      </w:r>
      <w:r>
        <w:rPr>
          <w:lang w:val="fr-CA"/>
        </w:rPr>
        <w:t>la règle du « un pour un »</w:t>
      </w:r>
      <w:r w:rsidRPr="00FA558D">
        <w:rPr>
          <w:lang w:val="fr-CA"/>
        </w:rPr>
        <w:t xml:space="preserve"> </w:t>
      </w:r>
      <w:r>
        <w:rPr>
          <w:lang w:val="fr-CA"/>
        </w:rPr>
        <w:t>s’applique à un</w:t>
      </w:r>
      <w:r w:rsidRPr="00FA558D">
        <w:rPr>
          <w:lang w:val="fr-CA"/>
        </w:rPr>
        <w:t xml:space="preserve"> </w:t>
      </w:r>
      <w:r>
        <w:rPr>
          <w:lang w:val="fr-CA"/>
        </w:rPr>
        <w:t>projet de règlement</w:t>
      </w:r>
      <w:r w:rsidRPr="00FA558D">
        <w:rPr>
          <w:lang w:val="fr-CA"/>
        </w:rPr>
        <w:t>.</w:t>
      </w:r>
    </w:p>
    <w:p w14:paraId="05A4F6A6" w14:textId="77777777" w:rsidR="00B91619" w:rsidRPr="00FA558D" w:rsidRDefault="00B91619" w:rsidP="00B91619">
      <w:pPr>
        <w:tabs>
          <w:tab w:val="left" w:pos="9356"/>
        </w:tabs>
        <w:spacing w:after="0" w:line="240" w:lineRule="auto"/>
        <w:rPr>
          <w:lang w:val="fr-CA"/>
        </w:rPr>
      </w:pPr>
    </w:p>
    <w:p w14:paraId="2496DFBA" w14:textId="3546EC92" w:rsidR="00B91619" w:rsidRPr="00FA558D" w:rsidRDefault="00B91619" w:rsidP="00B91619">
      <w:pPr>
        <w:pStyle w:val="ListParagraph"/>
        <w:numPr>
          <w:ilvl w:val="0"/>
          <w:numId w:val="24"/>
        </w:numPr>
        <w:tabs>
          <w:tab w:val="left" w:pos="9356"/>
        </w:tabs>
        <w:spacing w:after="0" w:line="240" w:lineRule="auto"/>
        <w:rPr>
          <w:lang w:val="fr-CA"/>
        </w:rPr>
      </w:pPr>
      <w:r>
        <w:rPr>
          <w:lang w:val="fr-CA"/>
        </w:rPr>
        <w:t xml:space="preserve">Le règlement proposé a-t-il été </w:t>
      </w:r>
      <w:r w:rsidR="00510A05">
        <w:rPr>
          <w:lang w:val="fr-CA"/>
        </w:rPr>
        <w:t xml:space="preserve">élaboré </w:t>
      </w:r>
      <w:r>
        <w:rPr>
          <w:lang w:val="fr-CA"/>
        </w:rPr>
        <w:t>ou approuvé</w:t>
      </w:r>
      <w:r w:rsidRPr="00FA558D">
        <w:rPr>
          <w:lang w:val="fr-CA"/>
        </w:rPr>
        <w:t xml:space="preserve"> </w:t>
      </w:r>
      <w:r>
        <w:rPr>
          <w:lang w:val="fr-CA"/>
        </w:rPr>
        <w:t>par le gouverneur en conseil ou adopté par un ministre de la Couronne </w:t>
      </w:r>
      <w:r w:rsidRPr="00FA558D">
        <w:rPr>
          <w:lang w:val="fr-CA"/>
        </w:rPr>
        <w:t>?</w:t>
      </w:r>
    </w:p>
    <w:p w14:paraId="4B11967F" w14:textId="7CEE69C3"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Si ni l’une ni l’autre de ces conditions ne s’applique</w:t>
      </w:r>
      <w:r w:rsidRPr="00FA558D">
        <w:rPr>
          <w:lang w:val="fr-CA"/>
        </w:rPr>
        <w:t xml:space="preserve">, </w:t>
      </w:r>
      <w:r>
        <w:rPr>
          <w:lang w:val="fr-CA"/>
        </w:rPr>
        <w:t>la règle</w:t>
      </w:r>
      <w:r w:rsidRPr="00FA558D">
        <w:rPr>
          <w:lang w:val="fr-CA"/>
        </w:rPr>
        <w:t xml:space="preserve"> </w:t>
      </w:r>
      <w:r w:rsidR="00510A05">
        <w:rPr>
          <w:lang w:val="fr-CA"/>
        </w:rPr>
        <w:t>ne s’applique pas</w:t>
      </w:r>
      <w:r>
        <w:rPr>
          <w:lang w:val="fr-CA"/>
        </w:rPr>
        <w:t>.</w:t>
      </w:r>
    </w:p>
    <w:p w14:paraId="7CC75B40" w14:textId="77777777"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Si l’une ou l’autre de ces conditions s’applique</w:t>
      </w:r>
      <w:r w:rsidRPr="00FA558D">
        <w:rPr>
          <w:lang w:val="fr-CA"/>
        </w:rPr>
        <w:t xml:space="preserve">, </w:t>
      </w:r>
      <w:r>
        <w:rPr>
          <w:lang w:val="fr-CA"/>
        </w:rPr>
        <w:t>passer</w:t>
      </w:r>
      <w:r w:rsidRPr="00FA558D">
        <w:rPr>
          <w:lang w:val="fr-CA"/>
        </w:rPr>
        <w:t xml:space="preserve"> </w:t>
      </w:r>
      <w:r>
        <w:rPr>
          <w:b/>
          <w:lang w:val="fr-CA"/>
        </w:rPr>
        <w:t xml:space="preserve">aux </w:t>
      </w:r>
      <w:r w:rsidRPr="00FA558D">
        <w:rPr>
          <w:b/>
          <w:lang w:val="fr-CA"/>
        </w:rPr>
        <w:t>questions 2</w:t>
      </w:r>
      <w:r>
        <w:rPr>
          <w:b/>
          <w:lang w:val="fr-CA"/>
        </w:rPr>
        <w:t xml:space="preserve"> et </w:t>
      </w:r>
      <w:r w:rsidRPr="00FA558D">
        <w:rPr>
          <w:b/>
          <w:lang w:val="fr-CA"/>
        </w:rPr>
        <w:t>3</w:t>
      </w:r>
      <w:r>
        <w:rPr>
          <w:b/>
          <w:lang w:val="fr-CA"/>
        </w:rPr>
        <w:t>.</w:t>
      </w:r>
      <w:r w:rsidRPr="00FA558D">
        <w:rPr>
          <w:lang w:val="fr-CA"/>
        </w:rPr>
        <w:t xml:space="preserve"> </w:t>
      </w:r>
    </w:p>
    <w:p w14:paraId="0704B3A5" w14:textId="77777777" w:rsidR="00B91619" w:rsidRPr="00FA558D" w:rsidRDefault="00B91619" w:rsidP="00B91619">
      <w:pPr>
        <w:tabs>
          <w:tab w:val="left" w:pos="9356"/>
        </w:tabs>
        <w:spacing w:after="0" w:line="240" w:lineRule="auto"/>
        <w:rPr>
          <w:lang w:val="fr-CA"/>
        </w:rPr>
      </w:pPr>
    </w:p>
    <w:p w14:paraId="5A6C6B20" w14:textId="7A02DAA7" w:rsidR="00B91619" w:rsidRPr="00FA558D" w:rsidRDefault="00B91619" w:rsidP="00B91619">
      <w:pPr>
        <w:pStyle w:val="ListParagraph"/>
        <w:numPr>
          <w:ilvl w:val="0"/>
          <w:numId w:val="24"/>
        </w:numPr>
        <w:tabs>
          <w:tab w:val="left" w:pos="9356"/>
        </w:tabs>
        <w:spacing w:after="0" w:line="240" w:lineRule="auto"/>
        <w:rPr>
          <w:lang w:val="fr-CA"/>
        </w:rPr>
      </w:pPr>
      <w:r>
        <w:rPr>
          <w:lang w:val="fr-CA"/>
        </w:rPr>
        <w:t>Le règlement proposé</w:t>
      </w:r>
      <w:r w:rsidRPr="00FA558D">
        <w:rPr>
          <w:lang w:val="fr-CA"/>
        </w:rPr>
        <w:t xml:space="preserve"> impose</w:t>
      </w:r>
      <w:r>
        <w:rPr>
          <w:lang w:val="fr-CA"/>
        </w:rPr>
        <w:t xml:space="preserve">-t-il ou élimine-t-il un fardeau administratif </w:t>
      </w:r>
      <w:r w:rsidR="0052311F">
        <w:rPr>
          <w:lang w:val="fr-CA"/>
        </w:rPr>
        <w:t>aux</w:t>
      </w:r>
      <w:r>
        <w:rPr>
          <w:lang w:val="fr-CA"/>
        </w:rPr>
        <w:t xml:space="preserve"> entreprises canadiennes </w:t>
      </w:r>
      <w:r w:rsidRPr="00FA558D">
        <w:rPr>
          <w:lang w:val="fr-CA"/>
        </w:rPr>
        <w:t>?</w:t>
      </w:r>
    </w:p>
    <w:p w14:paraId="0C568E95" w14:textId="2F909DBF"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Si ni l’une ni l’autre de ces conditions ne s’applique</w:t>
      </w:r>
      <w:r w:rsidRPr="00FA558D">
        <w:rPr>
          <w:lang w:val="fr-CA"/>
        </w:rPr>
        <w:t xml:space="preserve">, </w:t>
      </w:r>
      <w:r>
        <w:rPr>
          <w:lang w:val="fr-CA"/>
        </w:rPr>
        <w:t>l’élé</w:t>
      </w:r>
      <w:r w:rsidRPr="00FA558D">
        <w:rPr>
          <w:lang w:val="fr-CA"/>
        </w:rPr>
        <w:t>ment A</w:t>
      </w:r>
      <w:r>
        <w:rPr>
          <w:lang w:val="fr-CA"/>
        </w:rPr>
        <w:t xml:space="preserve"> de la règle</w:t>
      </w:r>
      <w:r w:rsidRPr="00FA558D">
        <w:rPr>
          <w:lang w:val="fr-CA"/>
        </w:rPr>
        <w:t xml:space="preserve"> </w:t>
      </w:r>
      <w:r>
        <w:rPr>
          <w:lang w:val="fr-CA"/>
        </w:rPr>
        <w:t>n</w:t>
      </w:r>
      <w:r w:rsidR="00510A05">
        <w:rPr>
          <w:lang w:val="fr-CA"/>
        </w:rPr>
        <w:t>e s’applique pas.</w:t>
      </w:r>
    </w:p>
    <w:p w14:paraId="6FA8A971" w14:textId="5A8B36B2"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Si l’une ou l’autre de ces conditions s’applique, l’élément</w:t>
      </w:r>
      <w:r w:rsidRPr="00FA558D">
        <w:rPr>
          <w:lang w:val="fr-CA"/>
        </w:rPr>
        <w:t> A</w:t>
      </w:r>
      <w:r>
        <w:rPr>
          <w:lang w:val="fr-CA"/>
        </w:rPr>
        <w:t xml:space="preserve"> de la règle</w:t>
      </w:r>
      <w:r w:rsidRPr="00FA558D" w:rsidDel="00BE6E30">
        <w:rPr>
          <w:lang w:val="fr-CA"/>
        </w:rPr>
        <w:t xml:space="preserve"> </w:t>
      </w:r>
      <w:r w:rsidR="00510A05">
        <w:rPr>
          <w:lang w:val="fr-CA"/>
        </w:rPr>
        <w:t>s’applique</w:t>
      </w:r>
      <w:r w:rsidRPr="00FA558D">
        <w:rPr>
          <w:lang w:val="fr-CA"/>
        </w:rPr>
        <w:t>,</w:t>
      </w:r>
      <w:r>
        <w:rPr>
          <w:lang w:val="fr-CA"/>
        </w:rPr>
        <w:t xml:space="preserve"> et l’organisme de réglementation</w:t>
      </w:r>
      <w:r w:rsidRPr="00FA558D">
        <w:rPr>
          <w:lang w:val="fr-CA"/>
        </w:rPr>
        <w:t xml:space="preserve"> </w:t>
      </w:r>
      <w:r>
        <w:rPr>
          <w:lang w:val="fr-CA"/>
        </w:rPr>
        <w:t>doit</w:t>
      </w:r>
      <w:r w:rsidRPr="00FA558D">
        <w:rPr>
          <w:lang w:val="fr-CA"/>
        </w:rPr>
        <w:t xml:space="preserve"> </w:t>
      </w:r>
      <w:r>
        <w:rPr>
          <w:lang w:val="fr-CA"/>
        </w:rPr>
        <w:t>procéder à l’analyse</w:t>
      </w:r>
      <w:r w:rsidRPr="00FA558D">
        <w:rPr>
          <w:lang w:val="fr-CA"/>
        </w:rPr>
        <w:t xml:space="preserve"> </w:t>
      </w:r>
      <w:r>
        <w:rPr>
          <w:lang w:val="fr-CA"/>
        </w:rPr>
        <w:t>définie dans</w:t>
      </w:r>
      <w:r w:rsidRPr="00FA558D">
        <w:rPr>
          <w:lang w:val="fr-CA"/>
        </w:rPr>
        <w:t xml:space="preserve"> </w:t>
      </w:r>
      <w:r>
        <w:rPr>
          <w:lang w:val="fr-CA"/>
        </w:rPr>
        <w:t xml:space="preserve">la </w:t>
      </w:r>
      <w:r w:rsidR="009719D9">
        <w:rPr>
          <w:lang w:val="fr-CA"/>
        </w:rPr>
        <w:t>p</w:t>
      </w:r>
      <w:r>
        <w:rPr>
          <w:lang w:val="fr-CA"/>
        </w:rPr>
        <w:t xml:space="preserve">olitique et </w:t>
      </w:r>
      <w:r w:rsidRPr="00FA558D">
        <w:rPr>
          <w:lang w:val="fr-CA"/>
        </w:rPr>
        <w:t>in</w:t>
      </w:r>
      <w:r>
        <w:rPr>
          <w:lang w:val="fr-CA"/>
        </w:rPr>
        <w:t>tégrer cette analyse</w:t>
      </w:r>
      <w:r w:rsidRPr="00FA558D">
        <w:rPr>
          <w:lang w:val="fr-CA"/>
        </w:rPr>
        <w:t xml:space="preserve"> </w:t>
      </w:r>
      <w:r>
        <w:rPr>
          <w:lang w:val="fr-CA"/>
        </w:rPr>
        <w:t>à</w:t>
      </w:r>
      <w:r w:rsidRPr="00FA558D">
        <w:rPr>
          <w:lang w:val="fr-CA"/>
        </w:rPr>
        <w:t xml:space="preserve"> </w:t>
      </w:r>
      <w:r>
        <w:rPr>
          <w:lang w:val="fr-CA"/>
        </w:rPr>
        <w:t>la section du Résumé de l’étude d’impact de la réglementation</w:t>
      </w:r>
      <w:r w:rsidRPr="00FA558D">
        <w:rPr>
          <w:lang w:val="fr-CA"/>
        </w:rPr>
        <w:t xml:space="preserve"> (</w:t>
      </w:r>
      <w:r>
        <w:rPr>
          <w:lang w:val="fr-CA"/>
        </w:rPr>
        <w:t>REIR</w:t>
      </w:r>
      <w:r w:rsidRPr="00FA558D">
        <w:rPr>
          <w:lang w:val="fr-CA"/>
        </w:rPr>
        <w:t>)</w:t>
      </w:r>
      <w:r>
        <w:rPr>
          <w:lang w:val="fr-CA"/>
        </w:rPr>
        <w:t xml:space="preserve"> portant sur la règle du « un pour un ».</w:t>
      </w:r>
      <w:r w:rsidRPr="00FA558D">
        <w:rPr>
          <w:lang w:val="fr-CA"/>
        </w:rPr>
        <w:t xml:space="preserve"> </w:t>
      </w:r>
    </w:p>
    <w:p w14:paraId="3479408C" w14:textId="77777777" w:rsidR="00B91619" w:rsidRPr="00FA558D" w:rsidRDefault="00B91619" w:rsidP="00B91619">
      <w:pPr>
        <w:tabs>
          <w:tab w:val="left" w:pos="9356"/>
        </w:tabs>
        <w:spacing w:after="0" w:line="240" w:lineRule="auto"/>
        <w:rPr>
          <w:lang w:val="fr-CA"/>
        </w:rPr>
      </w:pPr>
    </w:p>
    <w:p w14:paraId="2AAE154D" w14:textId="13C7E4F3" w:rsidR="00B91619" w:rsidRPr="00FA558D" w:rsidRDefault="00B91619" w:rsidP="00B91619">
      <w:pPr>
        <w:pStyle w:val="ListParagraph"/>
        <w:numPr>
          <w:ilvl w:val="0"/>
          <w:numId w:val="24"/>
        </w:numPr>
        <w:tabs>
          <w:tab w:val="left" w:pos="9356"/>
        </w:tabs>
        <w:spacing w:after="0" w:line="240" w:lineRule="auto"/>
        <w:rPr>
          <w:lang w:val="fr-CA"/>
        </w:rPr>
      </w:pPr>
      <w:r>
        <w:rPr>
          <w:lang w:val="fr-CA"/>
        </w:rPr>
        <w:t xml:space="preserve">Le règlement proposé </w:t>
      </w:r>
      <w:r w:rsidR="00510A05">
        <w:rPr>
          <w:lang w:val="fr-CA"/>
        </w:rPr>
        <w:t>es</w:t>
      </w:r>
      <w:r>
        <w:rPr>
          <w:lang w:val="fr-CA"/>
        </w:rPr>
        <w:t xml:space="preserve">t-il un </w:t>
      </w:r>
      <w:r w:rsidR="00510A05">
        <w:rPr>
          <w:lang w:val="fr-CA"/>
        </w:rPr>
        <w:t xml:space="preserve">nouveau </w:t>
      </w:r>
      <w:r>
        <w:rPr>
          <w:lang w:val="fr-CA"/>
        </w:rPr>
        <w:t xml:space="preserve">titre </w:t>
      </w:r>
      <w:r w:rsidR="00510A05">
        <w:rPr>
          <w:lang w:val="fr-CA"/>
        </w:rPr>
        <w:t xml:space="preserve">réglementaire </w:t>
      </w:r>
      <w:r>
        <w:rPr>
          <w:lang w:val="fr-CA"/>
        </w:rPr>
        <w:t>qui impose</w:t>
      </w:r>
      <w:r w:rsidRPr="00FA558D">
        <w:rPr>
          <w:lang w:val="fr-CA"/>
        </w:rPr>
        <w:t xml:space="preserve"> </w:t>
      </w:r>
      <w:r>
        <w:rPr>
          <w:lang w:val="fr-CA"/>
        </w:rPr>
        <w:t xml:space="preserve">un nouveau fardeau administratif aux entreprises ou abroge-t-il un titre </w:t>
      </w:r>
      <w:r w:rsidR="00510A05">
        <w:rPr>
          <w:lang w:val="fr-CA"/>
        </w:rPr>
        <w:t>réglementaire</w:t>
      </w:r>
      <w:r w:rsidRPr="00FA558D">
        <w:rPr>
          <w:lang w:val="fr-CA"/>
        </w:rPr>
        <w:t>?</w:t>
      </w:r>
    </w:p>
    <w:p w14:paraId="7373E7A9" w14:textId="7F9213E4"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Si ni l’une ni l’autre de ces conditions ne s’applique, l’élément</w:t>
      </w:r>
      <w:r w:rsidRPr="00FA558D">
        <w:rPr>
          <w:lang w:val="fr-CA"/>
        </w:rPr>
        <w:t> B</w:t>
      </w:r>
      <w:r>
        <w:rPr>
          <w:lang w:val="fr-CA"/>
        </w:rPr>
        <w:t xml:space="preserve"> de la règle</w:t>
      </w:r>
      <w:r w:rsidRPr="00FA558D" w:rsidDel="00BE6E30">
        <w:rPr>
          <w:lang w:val="fr-CA"/>
        </w:rPr>
        <w:t xml:space="preserve"> </w:t>
      </w:r>
      <w:r w:rsidR="00510A05">
        <w:rPr>
          <w:lang w:val="fr-CA"/>
        </w:rPr>
        <w:t>ne s’applique pas</w:t>
      </w:r>
      <w:r>
        <w:rPr>
          <w:lang w:val="fr-CA"/>
        </w:rPr>
        <w:t>.</w:t>
      </w:r>
    </w:p>
    <w:p w14:paraId="408B438B" w14:textId="2A281035"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Si l’une ou l’autre de ces conditions s’applique, l’élément</w:t>
      </w:r>
      <w:r w:rsidRPr="00FA558D">
        <w:rPr>
          <w:lang w:val="fr-CA"/>
        </w:rPr>
        <w:t> B</w:t>
      </w:r>
      <w:r>
        <w:rPr>
          <w:lang w:val="fr-CA"/>
        </w:rPr>
        <w:t xml:space="preserve"> de la règle</w:t>
      </w:r>
      <w:r w:rsidRPr="00FA558D" w:rsidDel="00BE6E30">
        <w:rPr>
          <w:lang w:val="fr-CA"/>
        </w:rPr>
        <w:t xml:space="preserve"> </w:t>
      </w:r>
      <w:r w:rsidR="00510A05">
        <w:rPr>
          <w:lang w:val="fr-CA"/>
        </w:rPr>
        <w:t>s’applique</w:t>
      </w:r>
      <w:r>
        <w:rPr>
          <w:lang w:val="fr-CA"/>
        </w:rPr>
        <w:t xml:space="preserve"> et l’organisme de réglementation</w:t>
      </w:r>
      <w:r w:rsidRPr="00FA558D">
        <w:rPr>
          <w:lang w:val="fr-CA"/>
        </w:rPr>
        <w:t xml:space="preserve"> </w:t>
      </w:r>
      <w:r>
        <w:rPr>
          <w:lang w:val="fr-CA"/>
        </w:rPr>
        <w:t>doit</w:t>
      </w:r>
      <w:r w:rsidRPr="00FA558D">
        <w:rPr>
          <w:lang w:val="fr-CA"/>
        </w:rPr>
        <w:t xml:space="preserve"> </w:t>
      </w:r>
      <w:r>
        <w:rPr>
          <w:lang w:val="fr-CA"/>
        </w:rPr>
        <w:t>procéder à l’analyse</w:t>
      </w:r>
      <w:r w:rsidRPr="00FA558D">
        <w:rPr>
          <w:lang w:val="fr-CA"/>
        </w:rPr>
        <w:t xml:space="preserve"> </w:t>
      </w:r>
      <w:r>
        <w:rPr>
          <w:lang w:val="fr-CA"/>
        </w:rPr>
        <w:t>définie dans</w:t>
      </w:r>
      <w:r w:rsidRPr="00FA558D">
        <w:rPr>
          <w:lang w:val="fr-CA"/>
        </w:rPr>
        <w:t xml:space="preserve"> </w:t>
      </w:r>
      <w:r>
        <w:rPr>
          <w:lang w:val="fr-CA"/>
        </w:rPr>
        <w:t xml:space="preserve">la politique et </w:t>
      </w:r>
      <w:r w:rsidRPr="00FA558D">
        <w:rPr>
          <w:lang w:val="fr-CA"/>
        </w:rPr>
        <w:t>in</w:t>
      </w:r>
      <w:r>
        <w:rPr>
          <w:lang w:val="fr-CA"/>
        </w:rPr>
        <w:t>tégrer cette analyse dans la section du REIR sur la règle du « un pour un ».</w:t>
      </w:r>
    </w:p>
    <w:p w14:paraId="39AAFCCB" w14:textId="77777777" w:rsidR="00B91619" w:rsidRPr="00FA558D" w:rsidRDefault="00B91619" w:rsidP="00B91619">
      <w:pPr>
        <w:tabs>
          <w:tab w:val="left" w:pos="9356"/>
        </w:tabs>
        <w:spacing w:after="0" w:line="240" w:lineRule="auto"/>
        <w:rPr>
          <w:lang w:val="fr-CA"/>
        </w:rPr>
      </w:pPr>
      <w:r w:rsidRPr="00FA558D">
        <w:rPr>
          <w:lang w:val="fr-CA"/>
        </w:rPr>
        <w:t xml:space="preserve"> </w:t>
      </w:r>
    </w:p>
    <w:p w14:paraId="6FB0D4A8" w14:textId="77777777" w:rsidR="00B91619" w:rsidRPr="00FA558D" w:rsidRDefault="00B91619" w:rsidP="00B91619">
      <w:pPr>
        <w:pStyle w:val="Heading3"/>
        <w:rPr>
          <w:lang w:val="fr-CA"/>
        </w:rPr>
      </w:pPr>
      <w:bookmarkStart w:id="16" w:name="_Toc69891045"/>
      <w:r>
        <w:rPr>
          <w:lang w:val="fr-CA"/>
        </w:rPr>
        <w:t>Détermination des activités administratives</w:t>
      </w:r>
      <w:r w:rsidRPr="00FA558D">
        <w:rPr>
          <w:lang w:val="fr-CA"/>
        </w:rPr>
        <w:t xml:space="preserve"> (</w:t>
      </w:r>
      <w:r>
        <w:rPr>
          <w:lang w:val="fr-CA"/>
        </w:rPr>
        <w:t>sous-s</w:t>
      </w:r>
      <w:r w:rsidRPr="00FA558D">
        <w:rPr>
          <w:lang w:val="fr-CA"/>
        </w:rPr>
        <w:t>ection 7.2.1)</w:t>
      </w:r>
      <w:bookmarkEnd w:id="16"/>
    </w:p>
    <w:p w14:paraId="6DDB13DC" w14:textId="77777777" w:rsidR="00B91619" w:rsidRPr="00FA558D" w:rsidRDefault="00B91619" w:rsidP="00B91619">
      <w:pPr>
        <w:rPr>
          <w:lang w:val="fr-CA"/>
        </w:rPr>
      </w:pPr>
    </w:p>
    <w:p w14:paraId="0895CF3E" w14:textId="5E028656" w:rsidR="00B91619" w:rsidRPr="00FA558D" w:rsidRDefault="00B91619" w:rsidP="00B91619">
      <w:pPr>
        <w:pStyle w:val="Heading4"/>
        <w:rPr>
          <w:lang w:val="fr-CA"/>
        </w:rPr>
      </w:pPr>
      <w:r w:rsidRPr="00FA558D">
        <w:rPr>
          <w:lang w:val="fr-CA"/>
        </w:rPr>
        <w:t>A</w:t>
      </w:r>
      <w:r>
        <w:rPr>
          <w:lang w:val="fr-CA"/>
        </w:rPr>
        <w:t>pplication de</w:t>
      </w:r>
      <w:r w:rsidRPr="00FA558D">
        <w:rPr>
          <w:lang w:val="fr-CA"/>
        </w:rPr>
        <w:t xml:space="preserve"> </w:t>
      </w:r>
      <w:r>
        <w:rPr>
          <w:lang w:val="fr-CA"/>
        </w:rPr>
        <w:t>la règle du « un pour un »</w:t>
      </w:r>
      <w:r w:rsidRPr="00FA558D">
        <w:rPr>
          <w:lang w:val="fr-CA"/>
        </w:rPr>
        <w:t xml:space="preserve"> </w:t>
      </w:r>
      <w:r w:rsidR="00510A05">
        <w:rPr>
          <w:lang w:val="fr-CA"/>
        </w:rPr>
        <w:t xml:space="preserve">lorsque </w:t>
      </w:r>
      <w:r>
        <w:rPr>
          <w:lang w:val="fr-CA"/>
        </w:rPr>
        <w:t>des annexes ont été modifiées</w:t>
      </w:r>
      <w:r w:rsidRPr="00FA558D">
        <w:rPr>
          <w:lang w:val="fr-CA"/>
        </w:rPr>
        <w:t xml:space="preserve"> </w:t>
      </w:r>
    </w:p>
    <w:p w14:paraId="763C3BC9" w14:textId="77777777" w:rsidR="00B91619" w:rsidRPr="00FA558D" w:rsidRDefault="00B91619" w:rsidP="00B91619">
      <w:pPr>
        <w:tabs>
          <w:tab w:val="left" w:pos="4213"/>
        </w:tabs>
        <w:spacing w:after="0" w:line="240" w:lineRule="auto"/>
        <w:rPr>
          <w:lang w:val="fr-CA"/>
        </w:rPr>
      </w:pPr>
      <w:r>
        <w:rPr>
          <w:lang w:val="fr-CA"/>
        </w:rPr>
        <w:tab/>
      </w:r>
    </w:p>
    <w:p w14:paraId="7FCE8C0C" w14:textId="6FD28C27" w:rsidR="00B91619" w:rsidRPr="00FA558D" w:rsidRDefault="00B91619" w:rsidP="00B91619">
      <w:pPr>
        <w:tabs>
          <w:tab w:val="left" w:pos="9356"/>
        </w:tabs>
        <w:spacing w:after="0" w:line="240" w:lineRule="auto"/>
        <w:rPr>
          <w:lang w:val="fr-CA"/>
        </w:rPr>
      </w:pPr>
      <w:r>
        <w:rPr>
          <w:lang w:val="fr-CA"/>
        </w:rPr>
        <w:t>Les modifications réglementaires</w:t>
      </w:r>
      <w:r w:rsidRPr="00FA558D">
        <w:rPr>
          <w:lang w:val="fr-CA"/>
        </w:rPr>
        <w:t xml:space="preserve"> </w:t>
      </w:r>
      <w:r>
        <w:rPr>
          <w:lang w:val="fr-CA"/>
        </w:rPr>
        <w:t>apportées aux annexes d’une loi ou d’un règlement</w:t>
      </w:r>
      <w:r w:rsidRPr="00FA558D">
        <w:rPr>
          <w:lang w:val="fr-CA"/>
        </w:rPr>
        <w:t xml:space="preserve"> </w:t>
      </w:r>
      <w:r>
        <w:rPr>
          <w:lang w:val="fr-CA"/>
        </w:rPr>
        <w:t xml:space="preserve">peuvent </w:t>
      </w:r>
      <w:r w:rsidR="000A4950">
        <w:rPr>
          <w:lang w:val="fr-CA"/>
        </w:rPr>
        <w:t>entraîner</w:t>
      </w:r>
      <w:r w:rsidR="000A4950" w:rsidRPr="00FA558D">
        <w:rPr>
          <w:lang w:val="fr-CA"/>
        </w:rPr>
        <w:t xml:space="preserve"> </w:t>
      </w:r>
      <w:r w:rsidR="000A4950">
        <w:rPr>
          <w:lang w:val="fr-CA"/>
        </w:rPr>
        <w:t xml:space="preserve">l’application </w:t>
      </w:r>
      <w:r>
        <w:rPr>
          <w:lang w:val="fr-CA"/>
        </w:rPr>
        <w:t>la règle du « un pour un »</w:t>
      </w:r>
      <w:r w:rsidRPr="00FA558D">
        <w:rPr>
          <w:lang w:val="fr-CA"/>
        </w:rPr>
        <w:t xml:space="preserve">, </w:t>
      </w:r>
      <w:r>
        <w:rPr>
          <w:lang w:val="fr-CA"/>
        </w:rPr>
        <w:t>selon</w:t>
      </w:r>
      <w:r w:rsidRPr="00FA558D">
        <w:rPr>
          <w:lang w:val="fr-CA"/>
        </w:rPr>
        <w:t xml:space="preserve"> </w:t>
      </w:r>
      <w:r>
        <w:rPr>
          <w:lang w:val="fr-CA"/>
        </w:rPr>
        <w:t xml:space="preserve">les circonstances </w:t>
      </w:r>
      <w:r w:rsidR="000A4950">
        <w:rPr>
          <w:lang w:val="fr-CA"/>
        </w:rPr>
        <w:t>particulières de</w:t>
      </w:r>
      <w:r>
        <w:rPr>
          <w:lang w:val="fr-CA"/>
        </w:rPr>
        <w:t xml:space="preserve"> la modification</w:t>
      </w:r>
      <w:r w:rsidRPr="00FA558D">
        <w:rPr>
          <w:lang w:val="fr-CA"/>
        </w:rPr>
        <w:t xml:space="preserve">. </w:t>
      </w:r>
    </w:p>
    <w:p w14:paraId="31DF9621" w14:textId="77777777" w:rsidR="00B91619" w:rsidRPr="00FA558D" w:rsidRDefault="00B91619" w:rsidP="00B91619">
      <w:pPr>
        <w:tabs>
          <w:tab w:val="left" w:pos="9356"/>
        </w:tabs>
        <w:spacing w:after="0" w:line="240" w:lineRule="auto"/>
        <w:rPr>
          <w:lang w:val="fr-CA"/>
        </w:rPr>
      </w:pPr>
    </w:p>
    <w:p w14:paraId="698F4DDF" w14:textId="29BE3896" w:rsidR="00B91619" w:rsidRPr="00FA558D" w:rsidRDefault="00B91619" w:rsidP="00B91619">
      <w:pPr>
        <w:tabs>
          <w:tab w:val="left" w:pos="9356"/>
        </w:tabs>
        <w:spacing w:after="0" w:line="240" w:lineRule="auto"/>
        <w:rPr>
          <w:lang w:val="fr-CA"/>
        </w:rPr>
      </w:pPr>
      <w:r>
        <w:rPr>
          <w:lang w:val="fr-CA"/>
        </w:rPr>
        <w:t>Les modifications aux annexes qui n’imposent pas de</w:t>
      </w:r>
      <w:r w:rsidRPr="00FA558D">
        <w:rPr>
          <w:lang w:val="fr-CA"/>
        </w:rPr>
        <w:t xml:space="preserve"> </w:t>
      </w:r>
      <w:r>
        <w:rPr>
          <w:lang w:val="fr-CA"/>
        </w:rPr>
        <w:t>nouveau fardeau administratif aux entreprises</w:t>
      </w:r>
      <w:r w:rsidRPr="00FA558D">
        <w:rPr>
          <w:lang w:val="fr-CA"/>
        </w:rPr>
        <w:t xml:space="preserve"> </w:t>
      </w:r>
      <w:r w:rsidR="007804CD">
        <w:rPr>
          <w:lang w:val="fr-CA"/>
        </w:rPr>
        <w:t>n’entraînent</w:t>
      </w:r>
      <w:r>
        <w:rPr>
          <w:lang w:val="fr-CA"/>
        </w:rPr>
        <w:t xml:space="preserve"> pas</w:t>
      </w:r>
      <w:r w:rsidRPr="00FA558D">
        <w:rPr>
          <w:lang w:val="fr-CA"/>
        </w:rPr>
        <w:t xml:space="preserve"> </w:t>
      </w:r>
      <w:r>
        <w:rPr>
          <w:lang w:val="fr-CA"/>
        </w:rPr>
        <w:t>l</w:t>
      </w:r>
      <w:r w:rsidR="00CF3F1F">
        <w:rPr>
          <w:lang w:val="fr-CA"/>
        </w:rPr>
        <w:t>’application de l</w:t>
      </w:r>
      <w:r>
        <w:rPr>
          <w:lang w:val="fr-CA"/>
        </w:rPr>
        <w:t>a règle du « un pour un »</w:t>
      </w:r>
      <w:r w:rsidRPr="00FA558D">
        <w:rPr>
          <w:lang w:val="fr-CA"/>
        </w:rPr>
        <w:t xml:space="preserve">, </w:t>
      </w:r>
      <w:r>
        <w:rPr>
          <w:lang w:val="fr-CA"/>
        </w:rPr>
        <w:t xml:space="preserve">puisque celle-ci vise exclusivement les exigences administratives progressives et les nouveaux titres de règlements qui </w:t>
      </w:r>
      <w:r w:rsidR="00CF3F1F">
        <w:rPr>
          <w:lang w:val="fr-CA"/>
        </w:rPr>
        <w:t>introduisent ces</w:t>
      </w:r>
      <w:r>
        <w:rPr>
          <w:lang w:val="fr-CA"/>
        </w:rPr>
        <w:t xml:space="preserve"> exigence</w:t>
      </w:r>
      <w:r w:rsidRPr="00FA558D">
        <w:rPr>
          <w:lang w:val="fr-CA"/>
        </w:rPr>
        <w:t xml:space="preserve">s. </w:t>
      </w:r>
    </w:p>
    <w:p w14:paraId="39AB54B4" w14:textId="77777777" w:rsidR="00B91619" w:rsidRPr="00FA558D" w:rsidRDefault="00B91619" w:rsidP="00B91619">
      <w:pPr>
        <w:tabs>
          <w:tab w:val="left" w:pos="9356"/>
        </w:tabs>
        <w:spacing w:after="0" w:line="240" w:lineRule="auto"/>
        <w:rPr>
          <w:lang w:val="fr-CA"/>
        </w:rPr>
      </w:pPr>
    </w:p>
    <w:p w14:paraId="7CDD5E6B" w14:textId="693D2A25" w:rsidR="00B91619" w:rsidRPr="00FA558D" w:rsidRDefault="00B91619" w:rsidP="00B91619">
      <w:pPr>
        <w:tabs>
          <w:tab w:val="left" w:pos="9356"/>
        </w:tabs>
        <w:spacing w:after="0" w:line="240" w:lineRule="auto"/>
        <w:rPr>
          <w:lang w:val="fr-CA"/>
        </w:rPr>
      </w:pPr>
      <w:r>
        <w:rPr>
          <w:lang w:val="fr-CA"/>
        </w:rPr>
        <w:t>Par exemp</w:t>
      </w:r>
      <w:r w:rsidRPr="00FA558D">
        <w:rPr>
          <w:lang w:val="fr-CA"/>
        </w:rPr>
        <w:t xml:space="preserve">le, </w:t>
      </w:r>
      <w:r>
        <w:rPr>
          <w:lang w:val="fr-CA"/>
        </w:rPr>
        <w:t xml:space="preserve">Environnement et Changement climatique Canada pourrait </w:t>
      </w:r>
      <w:r w:rsidR="002D17F6">
        <w:rPr>
          <w:lang w:val="fr-CA"/>
        </w:rPr>
        <w:t>demander</w:t>
      </w:r>
      <w:r>
        <w:rPr>
          <w:lang w:val="fr-CA"/>
        </w:rPr>
        <w:t xml:space="preserve"> l’approbation du gouverneur en conseil pour ajouter une substance à l’</w:t>
      </w:r>
      <w:r w:rsidR="002D17F6">
        <w:rPr>
          <w:lang w:val="fr-CA"/>
        </w:rPr>
        <w:t>a</w:t>
      </w:r>
      <w:r>
        <w:rPr>
          <w:lang w:val="fr-CA"/>
        </w:rPr>
        <w:t>nnexe </w:t>
      </w:r>
      <w:r w:rsidRPr="00FA558D">
        <w:rPr>
          <w:lang w:val="fr-CA"/>
        </w:rPr>
        <w:t>1</w:t>
      </w:r>
      <w:r>
        <w:rPr>
          <w:lang w:val="fr-CA"/>
        </w:rPr>
        <w:t xml:space="preserve"> de la </w:t>
      </w:r>
      <w:r w:rsidRPr="008C5FFA">
        <w:rPr>
          <w:lang w:val="fr-CA"/>
        </w:rPr>
        <w:t>Loi canadienne sur la protection de l’environnement (1999)</w:t>
      </w:r>
      <w:r w:rsidRPr="00FA558D">
        <w:rPr>
          <w:lang w:val="fr-CA"/>
        </w:rPr>
        <w:t xml:space="preserve">. </w:t>
      </w:r>
      <w:r>
        <w:rPr>
          <w:lang w:val="fr-CA"/>
        </w:rPr>
        <w:t>L’ajout d’une substance</w:t>
      </w:r>
      <w:r w:rsidRPr="00FA558D">
        <w:rPr>
          <w:lang w:val="fr-CA"/>
        </w:rPr>
        <w:t xml:space="preserve"> </w:t>
      </w:r>
      <w:r>
        <w:rPr>
          <w:lang w:val="fr-CA"/>
        </w:rPr>
        <w:t>à la</w:t>
      </w:r>
      <w:r w:rsidR="002D17F6">
        <w:rPr>
          <w:lang w:val="fr-CA"/>
        </w:rPr>
        <w:t xml:space="preserve"> l</w:t>
      </w:r>
      <w:r>
        <w:rPr>
          <w:lang w:val="fr-CA"/>
        </w:rPr>
        <w:t xml:space="preserve">oi n’impose pas de nouveau fardeau administratif aux entreprises, puisque celui-ci </w:t>
      </w:r>
      <w:r w:rsidR="002D17F6">
        <w:rPr>
          <w:lang w:val="fr-CA"/>
        </w:rPr>
        <w:t>permet seulement au</w:t>
      </w:r>
      <w:r>
        <w:rPr>
          <w:lang w:val="fr-CA"/>
        </w:rPr>
        <w:t xml:space="preserve"> ministre </w:t>
      </w:r>
      <w:r w:rsidR="002D17F6">
        <w:rPr>
          <w:lang w:val="fr-CA"/>
        </w:rPr>
        <w:t xml:space="preserve">de </w:t>
      </w:r>
      <w:r>
        <w:rPr>
          <w:lang w:val="fr-CA"/>
        </w:rPr>
        <w:t>prendre des mesures complémentaires pour gérer les risques liés à la substance. Si d’autres mesures entraînaient une modification réglementaire, la règle du « un pour un »</w:t>
      </w:r>
      <w:r w:rsidRPr="00FA558D">
        <w:rPr>
          <w:lang w:val="fr-CA"/>
        </w:rPr>
        <w:t xml:space="preserve"> </w:t>
      </w:r>
      <w:r>
        <w:rPr>
          <w:lang w:val="fr-CA"/>
        </w:rPr>
        <w:t>s’appliquerait</w:t>
      </w:r>
      <w:r w:rsidRPr="00FA558D">
        <w:rPr>
          <w:lang w:val="fr-CA"/>
        </w:rPr>
        <w:t xml:space="preserve"> </w:t>
      </w:r>
      <w:r>
        <w:rPr>
          <w:lang w:val="fr-CA"/>
        </w:rPr>
        <w:t xml:space="preserve">si elle imposait des coûts </w:t>
      </w:r>
      <w:r w:rsidR="002D17F6">
        <w:rPr>
          <w:lang w:val="fr-CA"/>
        </w:rPr>
        <w:t xml:space="preserve">supplémentaires </w:t>
      </w:r>
      <w:r>
        <w:rPr>
          <w:lang w:val="fr-CA"/>
        </w:rPr>
        <w:t xml:space="preserve">liés au fardeau administratif </w:t>
      </w:r>
      <w:r w:rsidR="0052311F">
        <w:rPr>
          <w:lang w:val="fr-CA"/>
        </w:rPr>
        <w:t>imposé aux</w:t>
      </w:r>
      <w:r>
        <w:rPr>
          <w:lang w:val="fr-CA"/>
        </w:rPr>
        <w:t xml:space="preserve"> entreprises</w:t>
      </w:r>
      <w:r w:rsidRPr="00FA558D">
        <w:rPr>
          <w:lang w:val="fr-CA"/>
        </w:rPr>
        <w:t>.</w:t>
      </w:r>
    </w:p>
    <w:p w14:paraId="537C37B0" w14:textId="77777777" w:rsidR="00B91619" w:rsidRPr="00FA558D" w:rsidRDefault="00B91619" w:rsidP="00B91619">
      <w:pPr>
        <w:pStyle w:val="ListParagraph"/>
        <w:tabs>
          <w:tab w:val="left" w:pos="9356"/>
        </w:tabs>
        <w:spacing w:after="0" w:line="240" w:lineRule="auto"/>
        <w:ind w:left="0"/>
        <w:rPr>
          <w:lang w:val="fr-CA"/>
        </w:rPr>
      </w:pPr>
    </w:p>
    <w:p w14:paraId="5F714EB3" w14:textId="018D97E1" w:rsidR="00B91619" w:rsidRPr="00FA558D" w:rsidRDefault="00B91619" w:rsidP="00B91619">
      <w:pPr>
        <w:tabs>
          <w:tab w:val="left" w:pos="9356"/>
        </w:tabs>
        <w:spacing w:after="0" w:line="240" w:lineRule="auto"/>
        <w:rPr>
          <w:lang w:val="fr-CA"/>
        </w:rPr>
      </w:pPr>
      <w:r>
        <w:rPr>
          <w:lang w:val="fr-CA"/>
        </w:rPr>
        <w:t>L</w:t>
      </w:r>
      <w:r w:rsidR="00B028FC">
        <w:rPr>
          <w:lang w:val="fr-CA"/>
        </w:rPr>
        <w:t>’application de l</w:t>
      </w:r>
      <w:r>
        <w:rPr>
          <w:lang w:val="fr-CA"/>
        </w:rPr>
        <w:t>a règle</w:t>
      </w:r>
      <w:r w:rsidRPr="00FA558D">
        <w:rPr>
          <w:lang w:val="fr-CA"/>
        </w:rPr>
        <w:t xml:space="preserve"> </w:t>
      </w:r>
      <w:r>
        <w:rPr>
          <w:lang w:val="fr-CA"/>
        </w:rPr>
        <w:t xml:space="preserve">n’est pas </w:t>
      </w:r>
      <w:r w:rsidR="00B028FC">
        <w:rPr>
          <w:lang w:val="fr-CA"/>
        </w:rPr>
        <w:t>entraînée</w:t>
      </w:r>
      <w:r w:rsidR="00B028FC" w:rsidRPr="00FA558D">
        <w:rPr>
          <w:lang w:val="fr-CA"/>
        </w:rPr>
        <w:t xml:space="preserve"> </w:t>
      </w:r>
      <w:r>
        <w:rPr>
          <w:lang w:val="fr-CA"/>
        </w:rPr>
        <w:t>par les modification</w:t>
      </w:r>
      <w:r w:rsidRPr="00FA558D">
        <w:rPr>
          <w:lang w:val="fr-CA"/>
        </w:rPr>
        <w:t xml:space="preserve">s </w:t>
      </w:r>
      <w:r w:rsidR="00B028FC">
        <w:rPr>
          <w:lang w:val="fr-CA"/>
        </w:rPr>
        <w:t xml:space="preserve">apportées </w:t>
      </w:r>
      <w:r>
        <w:rPr>
          <w:lang w:val="fr-CA"/>
        </w:rPr>
        <w:t xml:space="preserve">aux annexes qui autorisent une entreprise à </w:t>
      </w:r>
      <w:r w:rsidR="00B028FC">
        <w:rPr>
          <w:lang w:val="fr-CA"/>
        </w:rPr>
        <w:t>adhérer à</w:t>
      </w:r>
      <w:r>
        <w:rPr>
          <w:lang w:val="fr-CA"/>
        </w:rPr>
        <w:t xml:space="preserve"> un régime de réglementation en vigueur</w:t>
      </w:r>
      <w:r w:rsidRPr="00FA558D">
        <w:rPr>
          <w:lang w:val="fr-CA"/>
        </w:rPr>
        <w:t xml:space="preserve">. </w:t>
      </w:r>
      <w:r>
        <w:rPr>
          <w:lang w:val="fr-CA"/>
        </w:rPr>
        <w:t>Dans un tel cas</w:t>
      </w:r>
      <w:r w:rsidRPr="00FA558D">
        <w:rPr>
          <w:lang w:val="fr-CA"/>
        </w:rPr>
        <w:t xml:space="preserve">, </w:t>
      </w:r>
      <w:r>
        <w:rPr>
          <w:lang w:val="fr-CA"/>
        </w:rPr>
        <w:t>le nombre de</w:t>
      </w:r>
      <w:r w:rsidRPr="00FA558D">
        <w:rPr>
          <w:lang w:val="fr-CA"/>
        </w:rPr>
        <w:t xml:space="preserve"> </w:t>
      </w:r>
      <w:r>
        <w:rPr>
          <w:lang w:val="fr-CA"/>
        </w:rPr>
        <w:t>parties réglementées</w:t>
      </w:r>
      <w:r w:rsidRPr="00FA558D">
        <w:rPr>
          <w:lang w:val="fr-CA"/>
        </w:rPr>
        <w:t xml:space="preserve"> </w:t>
      </w:r>
      <w:r>
        <w:rPr>
          <w:lang w:val="fr-CA"/>
        </w:rPr>
        <w:t xml:space="preserve">est modifié, </w:t>
      </w:r>
      <w:r w:rsidR="00B028FC">
        <w:rPr>
          <w:lang w:val="fr-CA"/>
        </w:rPr>
        <w:t>mais pas</w:t>
      </w:r>
      <w:r>
        <w:rPr>
          <w:lang w:val="fr-CA"/>
        </w:rPr>
        <w:t xml:space="preserve"> la portée de l’activité </w:t>
      </w:r>
      <w:r w:rsidR="00B028FC">
        <w:rPr>
          <w:lang w:val="fr-CA"/>
        </w:rPr>
        <w:t>de réglementation</w:t>
      </w:r>
      <w:r>
        <w:rPr>
          <w:lang w:val="fr-CA"/>
        </w:rPr>
        <w:t>. Même si</w:t>
      </w:r>
      <w:r w:rsidRPr="00FA558D">
        <w:rPr>
          <w:lang w:val="fr-CA"/>
        </w:rPr>
        <w:t xml:space="preserve"> </w:t>
      </w:r>
      <w:r>
        <w:rPr>
          <w:lang w:val="fr-CA"/>
        </w:rPr>
        <w:t xml:space="preserve">la </w:t>
      </w:r>
      <w:r w:rsidRPr="00FA558D">
        <w:rPr>
          <w:lang w:val="fr-CA"/>
        </w:rPr>
        <w:t>population</w:t>
      </w:r>
      <w:r>
        <w:rPr>
          <w:lang w:val="fr-CA"/>
        </w:rPr>
        <w:t xml:space="preserve"> constitue un facteur à </w:t>
      </w:r>
      <w:r w:rsidR="00B028FC">
        <w:rPr>
          <w:lang w:val="fr-CA"/>
        </w:rPr>
        <w:t xml:space="preserve">prendre en compte </w:t>
      </w:r>
      <w:r>
        <w:rPr>
          <w:lang w:val="fr-CA"/>
        </w:rPr>
        <w:t>dans le Méthode des coûts standard</w:t>
      </w:r>
      <w:r w:rsidRPr="00FA558D">
        <w:rPr>
          <w:lang w:val="fr-CA"/>
        </w:rPr>
        <w:t>,</w:t>
      </w:r>
      <w:r>
        <w:rPr>
          <w:lang w:val="fr-CA"/>
        </w:rPr>
        <w:t xml:space="preserve"> si la portée</w:t>
      </w:r>
      <w:r w:rsidRPr="00FA558D">
        <w:rPr>
          <w:lang w:val="fr-CA"/>
        </w:rPr>
        <w:t xml:space="preserve"> </w:t>
      </w:r>
      <w:r>
        <w:rPr>
          <w:lang w:val="fr-CA"/>
        </w:rPr>
        <w:t>du règlement</w:t>
      </w:r>
      <w:r w:rsidRPr="00FA558D">
        <w:rPr>
          <w:lang w:val="fr-CA"/>
        </w:rPr>
        <w:t xml:space="preserve"> </w:t>
      </w:r>
      <w:r>
        <w:rPr>
          <w:lang w:val="fr-CA"/>
        </w:rPr>
        <w:t>demeure inchangée et si les</w:t>
      </w:r>
      <w:r w:rsidRPr="00FA558D">
        <w:rPr>
          <w:lang w:val="fr-CA"/>
        </w:rPr>
        <w:t xml:space="preserve"> </w:t>
      </w:r>
      <w:r>
        <w:rPr>
          <w:lang w:val="fr-CA"/>
        </w:rPr>
        <w:t>estimations du fardeau ne sont pas</w:t>
      </w:r>
      <w:r w:rsidRPr="00FA558D">
        <w:rPr>
          <w:lang w:val="fr-CA"/>
        </w:rPr>
        <w:t xml:space="preserve"> r</w:t>
      </w:r>
      <w:r>
        <w:rPr>
          <w:lang w:val="fr-CA"/>
        </w:rPr>
        <w:t xml:space="preserve">évisées, l’ajout d’une entreprise à une annexe </w:t>
      </w:r>
      <w:r w:rsidR="007804CD">
        <w:rPr>
          <w:lang w:val="fr-CA"/>
        </w:rPr>
        <w:t>n’entraîne</w:t>
      </w:r>
      <w:r>
        <w:rPr>
          <w:lang w:val="fr-CA"/>
        </w:rPr>
        <w:t xml:space="preserve"> pas</w:t>
      </w:r>
      <w:r w:rsidRPr="00FA558D">
        <w:rPr>
          <w:lang w:val="fr-CA"/>
        </w:rPr>
        <w:t xml:space="preserve"> </w:t>
      </w:r>
      <w:r w:rsidR="00B028FC">
        <w:rPr>
          <w:lang w:val="fr-CA"/>
        </w:rPr>
        <w:t xml:space="preserve">l’application de </w:t>
      </w:r>
      <w:r>
        <w:rPr>
          <w:lang w:val="fr-CA"/>
        </w:rPr>
        <w:t>la règle</w:t>
      </w:r>
      <w:r w:rsidRPr="00FA558D">
        <w:rPr>
          <w:lang w:val="fr-CA"/>
        </w:rPr>
        <w:t xml:space="preserve">. </w:t>
      </w:r>
    </w:p>
    <w:p w14:paraId="18E51B39" w14:textId="77777777" w:rsidR="00B91619" w:rsidRPr="00FA558D" w:rsidRDefault="00B91619" w:rsidP="00B91619">
      <w:pPr>
        <w:tabs>
          <w:tab w:val="left" w:pos="9356"/>
        </w:tabs>
        <w:spacing w:after="0" w:line="240" w:lineRule="auto"/>
        <w:rPr>
          <w:lang w:val="fr-CA"/>
        </w:rPr>
      </w:pPr>
    </w:p>
    <w:p w14:paraId="2852064B" w14:textId="30084DDC" w:rsidR="00B91619" w:rsidRPr="00FA558D" w:rsidRDefault="00B91619" w:rsidP="00B91619">
      <w:pPr>
        <w:tabs>
          <w:tab w:val="left" w:pos="9356"/>
        </w:tabs>
        <w:spacing w:after="0" w:line="240" w:lineRule="auto"/>
        <w:rPr>
          <w:lang w:val="fr-CA"/>
        </w:rPr>
      </w:pPr>
      <w:r>
        <w:rPr>
          <w:lang w:val="fr-CA"/>
        </w:rPr>
        <w:t>Par exemp</w:t>
      </w:r>
      <w:r w:rsidRPr="00FA558D">
        <w:rPr>
          <w:lang w:val="fr-CA"/>
        </w:rPr>
        <w:t>le,</w:t>
      </w:r>
      <w:r>
        <w:rPr>
          <w:lang w:val="fr-CA"/>
        </w:rPr>
        <w:t xml:space="preserve"> si une entreprise devient</w:t>
      </w:r>
      <w:r w:rsidRPr="00FA558D">
        <w:rPr>
          <w:lang w:val="fr-CA"/>
        </w:rPr>
        <w:t xml:space="preserve"> </w:t>
      </w:r>
      <w:r>
        <w:rPr>
          <w:lang w:val="fr-CA"/>
        </w:rPr>
        <w:t>une banque</w:t>
      </w:r>
      <w:r w:rsidRPr="00FA558D">
        <w:rPr>
          <w:lang w:val="fr-CA"/>
        </w:rPr>
        <w:t>,</w:t>
      </w:r>
      <w:r>
        <w:rPr>
          <w:lang w:val="fr-CA"/>
        </w:rPr>
        <w:t xml:space="preserve"> il faut modifier l’</w:t>
      </w:r>
      <w:r w:rsidR="004F720D">
        <w:rPr>
          <w:lang w:val="fr-CA"/>
        </w:rPr>
        <w:t>a</w:t>
      </w:r>
      <w:r>
        <w:rPr>
          <w:lang w:val="fr-CA"/>
        </w:rPr>
        <w:t>nnexe </w:t>
      </w:r>
      <w:r w:rsidRPr="00FA558D">
        <w:rPr>
          <w:lang w:val="fr-CA"/>
        </w:rPr>
        <w:t xml:space="preserve">1 </w:t>
      </w:r>
      <w:r>
        <w:rPr>
          <w:lang w:val="fr-CA"/>
        </w:rPr>
        <w:t xml:space="preserve">de la </w:t>
      </w:r>
      <w:r w:rsidRPr="008C5FFA">
        <w:rPr>
          <w:lang w:val="fr-CA"/>
        </w:rPr>
        <w:t>Loi sur les banques</w:t>
      </w:r>
      <w:r w:rsidRPr="00FA558D">
        <w:rPr>
          <w:lang w:val="fr-CA"/>
        </w:rPr>
        <w:t xml:space="preserve"> </w:t>
      </w:r>
      <w:r>
        <w:rPr>
          <w:lang w:val="fr-CA"/>
        </w:rPr>
        <w:t>pour y ajouter cette entreprise</w:t>
      </w:r>
      <w:r w:rsidRPr="00FA558D">
        <w:rPr>
          <w:lang w:val="fr-CA"/>
        </w:rPr>
        <w:t xml:space="preserve">. </w:t>
      </w:r>
      <w:r>
        <w:rPr>
          <w:lang w:val="fr-CA"/>
        </w:rPr>
        <w:t>Toutefois</w:t>
      </w:r>
      <w:r w:rsidRPr="00FA558D">
        <w:rPr>
          <w:lang w:val="fr-CA"/>
        </w:rPr>
        <w:t xml:space="preserve">, </w:t>
      </w:r>
      <w:r>
        <w:rPr>
          <w:lang w:val="fr-CA"/>
        </w:rPr>
        <w:t>la règle du « un pour un »</w:t>
      </w:r>
      <w:r w:rsidRPr="00FA558D">
        <w:rPr>
          <w:lang w:val="fr-CA"/>
        </w:rPr>
        <w:t xml:space="preserve"> </w:t>
      </w:r>
      <w:r>
        <w:rPr>
          <w:lang w:val="fr-CA"/>
        </w:rPr>
        <w:t>ne s’applique pas,</w:t>
      </w:r>
      <w:r w:rsidRPr="00FA558D">
        <w:rPr>
          <w:lang w:val="fr-CA"/>
        </w:rPr>
        <w:t xml:space="preserve"> </w:t>
      </w:r>
      <w:r>
        <w:rPr>
          <w:lang w:val="fr-CA"/>
        </w:rPr>
        <w:t>car aucun</w:t>
      </w:r>
      <w:r w:rsidR="007804CD">
        <w:rPr>
          <w:lang w:val="fr-CA"/>
        </w:rPr>
        <w:t>e</w:t>
      </w:r>
      <w:r>
        <w:rPr>
          <w:lang w:val="fr-CA"/>
        </w:rPr>
        <w:t xml:space="preserve"> </w:t>
      </w:r>
      <w:r w:rsidR="007804CD">
        <w:rPr>
          <w:lang w:val="fr-CA"/>
        </w:rPr>
        <w:t xml:space="preserve">modification </w:t>
      </w:r>
      <w:r>
        <w:rPr>
          <w:lang w:val="fr-CA"/>
        </w:rPr>
        <w:t>n’a été apporté</w:t>
      </w:r>
      <w:r w:rsidR="007804CD">
        <w:rPr>
          <w:lang w:val="fr-CA"/>
        </w:rPr>
        <w:t>e</w:t>
      </w:r>
      <w:r>
        <w:rPr>
          <w:lang w:val="fr-CA"/>
        </w:rPr>
        <w:t xml:space="preserve"> aux exigences réglementaires</w:t>
      </w:r>
      <w:r w:rsidRPr="00FA558D">
        <w:rPr>
          <w:lang w:val="fr-CA"/>
        </w:rPr>
        <w:t xml:space="preserve">, </w:t>
      </w:r>
      <w:r>
        <w:rPr>
          <w:lang w:val="fr-CA"/>
        </w:rPr>
        <w:t>et que seule une nouvelle entité est maintenant assujettie au régime réglementaire existant</w:t>
      </w:r>
      <w:r w:rsidRPr="00FA558D">
        <w:rPr>
          <w:lang w:val="fr-CA"/>
        </w:rPr>
        <w:t xml:space="preserve">. </w:t>
      </w:r>
    </w:p>
    <w:p w14:paraId="6DC821A4" w14:textId="77777777" w:rsidR="00B91619" w:rsidRPr="00FA558D" w:rsidRDefault="00B91619" w:rsidP="00B91619">
      <w:pPr>
        <w:pStyle w:val="ListParagraph"/>
        <w:tabs>
          <w:tab w:val="left" w:pos="9356"/>
        </w:tabs>
        <w:spacing w:after="0" w:line="240" w:lineRule="auto"/>
        <w:ind w:left="0"/>
        <w:rPr>
          <w:lang w:val="fr-CA"/>
        </w:rPr>
      </w:pPr>
    </w:p>
    <w:p w14:paraId="31BF8BD6" w14:textId="09175C35" w:rsidR="00B91619" w:rsidRPr="00FA558D" w:rsidRDefault="00B91619" w:rsidP="00B91619">
      <w:pPr>
        <w:tabs>
          <w:tab w:val="left" w:pos="9356"/>
        </w:tabs>
        <w:spacing w:after="0" w:line="240" w:lineRule="auto"/>
        <w:rPr>
          <w:lang w:val="fr-CA"/>
        </w:rPr>
      </w:pPr>
      <w:r>
        <w:rPr>
          <w:lang w:val="fr-CA"/>
        </w:rPr>
        <w:t>Toutefois</w:t>
      </w:r>
      <w:r w:rsidRPr="00FA558D">
        <w:rPr>
          <w:lang w:val="fr-CA"/>
        </w:rPr>
        <w:t xml:space="preserve">, </w:t>
      </w:r>
      <w:r w:rsidR="004F720D">
        <w:rPr>
          <w:lang w:val="fr-CA"/>
        </w:rPr>
        <w:t xml:space="preserve">l’application de </w:t>
      </w:r>
      <w:r>
        <w:rPr>
          <w:lang w:val="fr-CA"/>
        </w:rPr>
        <w:t>la règle du « un pour un »</w:t>
      </w:r>
      <w:r w:rsidRPr="00FA558D">
        <w:rPr>
          <w:lang w:val="fr-CA"/>
        </w:rPr>
        <w:t xml:space="preserve"> </w:t>
      </w:r>
      <w:r>
        <w:rPr>
          <w:lang w:val="fr-CA"/>
        </w:rPr>
        <w:t xml:space="preserve">est </w:t>
      </w:r>
      <w:r w:rsidR="004F720D">
        <w:rPr>
          <w:lang w:val="fr-CA"/>
        </w:rPr>
        <w:t xml:space="preserve">entraînée </w:t>
      </w:r>
      <w:r>
        <w:rPr>
          <w:lang w:val="fr-CA"/>
        </w:rPr>
        <w:t>si une modification réglementaire</w:t>
      </w:r>
      <w:r w:rsidRPr="00FA558D">
        <w:rPr>
          <w:lang w:val="fr-CA"/>
        </w:rPr>
        <w:t xml:space="preserve"> </w:t>
      </w:r>
      <w:r>
        <w:rPr>
          <w:lang w:val="fr-CA"/>
        </w:rPr>
        <w:t>apportée à une annexe</w:t>
      </w:r>
      <w:r w:rsidRPr="00FA558D">
        <w:rPr>
          <w:lang w:val="fr-CA"/>
        </w:rPr>
        <w:t xml:space="preserve"> </w:t>
      </w:r>
      <w:r>
        <w:rPr>
          <w:lang w:val="fr-CA"/>
        </w:rPr>
        <w:t>impose</w:t>
      </w:r>
      <w:r w:rsidRPr="00FA558D">
        <w:rPr>
          <w:lang w:val="fr-CA"/>
        </w:rPr>
        <w:t xml:space="preserve"> </w:t>
      </w:r>
      <w:r>
        <w:rPr>
          <w:lang w:val="fr-CA"/>
        </w:rPr>
        <w:t>de nouvelles exigences administratives</w:t>
      </w:r>
      <w:r w:rsidRPr="00FA558D">
        <w:rPr>
          <w:lang w:val="fr-CA"/>
        </w:rPr>
        <w:t xml:space="preserve"> </w:t>
      </w:r>
      <w:r>
        <w:rPr>
          <w:lang w:val="fr-CA"/>
        </w:rPr>
        <w:t>à des entreprises</w:t>
      </w:r>
      <w:r w:rsidRPr="00FA558D">
        <w:rPr>
          <w:lang w:val="fr-CA"/>
        </w:rPr>
        <w:t xml:space="preserve"> </w:t>
      </w:r>
      <w:r>
        <w:rPr>
          <w:lang w:val="fr-CA"/>
        </w:rPr>
        <w:t>en élargissant la portée ou l’étendue</w:t>
      </w:r>
      <w:r w:rsidRPr="00FA558D">
        <w:rPr>
          <w:lang w:val="fr-CA"/>
        </w:rPr>
        <w:t xml:space="preserve"> </w:t>
      </w:r>
      <w:r>
        <w:rPr>
          <w:lang w:val="fr-CA"/>
        </w:rPr>
        <w:t>du règlement</w:t>
      </w:r>
      <w:r w:rsidRPr="00FA558D">
        <w:rPr>
          <w:lang w:val="fr-CA"/>
        </w:rPr>
        <w:t xml:space="preserve">. </w:t>
      </w:r>
    </w:p>
    <w:p w14:paraId="1C6462F1" w14:textId="77777777" w:rsidR="00B91619" w:rsidRPr="00FA558D" w:rsidRDefault="00B91619" w:rsidP="00B91619">
      <w:pPr>
        <w:tabs>
          <w:tab w:val="left" w:pos="9356"/>
        </w:tabs>
        <w:spacing w:after="0" w:line="240" w:lineRule="auto"/>
        <w:rPr>
          <w:lang w:val="fr-CA"/>
        </w:rPr>
      </w:pPr>
    </w:p>
    <w:p w14:paraId="523474FE" w14:textId="77C3D7E1" w:rsidR="00B91619" w:rsidRPr="00FA558D" w:rsidRDefault="00B91619" w:rsidP="00B91619">
      <w:pPr>
        <w:tabs>
          <w:tab w:val="left" w:pos="9356"/>
        </w:tabs>
        <w:spacing w:after="0" w:line="240" w:lineRule="auto"/>
        <w:rPr>
          <w:lang w:val="fr-CA"/>
        </w:rPr>
      </w:pPr>
      <w:r>
        <w:rPr>
          <w:lang w:val="fr-CA"/>
        </w:rPr>
        <w:t>Par exemp</w:t>
      </w:r>
      <w:r w:rsidRPr="00FA558D">
        <w:rPr>
          <w:lang w:val="fr-CA"/>
        </w:rPr>
        <w:t xml:space="preserve">le, </w:t>
      </w:r>
      <w:r>
        <w:rPr>
          <w:lang w:val="fr-CA"/>
        </w:rPr>
        <w:t>l’établissement d’un nouveau parc national entraîne une modification réglementaire</w:t>
      </w:r>
      <w:r w:rsidRPr="00FA558D">
        <w:rPr>
          <w:lang w:val="fr-CA"/>
        </w:rPr>
        <w:t xml:space="preserve"> </w:t>
      </w:r>
      <w:r>
        <w:rPr>
          <w:lang w:val="fr-CA"/>
        </w:rPr>
        <w:t>pour ajouter une nouvelle masse terrestre à l’</w:t>
      </w:r>
      <w:r w:rsidR="004F720D">
        <w:rPr>
          <w:lang w:val="fr-CA"/>
        </w:rPr>
        <w:t>a</w:t>
      </w:r>
      <w:r>
        <w:rPr>
          <w:lang w:val="fr-CA"/>
        </w:rPr>
        <w:t>nnexe </w:t>
      </w:r>
      <w:r w:rsidRPr="00FA558D">
        <w:rPr>
          <w:lang w:val="fr-CA"/>
        </w:rPr>
        <w:t>1</w:t>
      </w:r>
      <w:r>
        <w:rPr>
          <w:lang w:val="fr-CA"/>
        </w:rPr>
        <w:t xml:space="preserve"> de la </w:t>
      </w:r>
      <w:r w:rsidRPr="008C5FFA">
        <w:rPr>
          <w:lang w:val="fr-CA"/>
        </w:rPr>
        <w:t>Loi sur les parcs nationaux du Canada</w:t>
      </w:r>
      <w:r w:rsidRPr="00FA558D">
        <w:rPr>
          <w:lang w:val="fr-CA"/>
        </w:rPr>
        <w:t xml:space="preserve">. </w:t>
      </w:r>
      <w:r>
        <w:rPr>
          <w:lang w:val="fr-CA"/>
        </w:rPr>
        <w:t>Dans un tel cas</w:t>
      </w:r>
      <w:r w:rsidRPr="00FA558D">
        <w:rPr>
          <w:lang w:val="fr-CA"/>
        </w:rPr>
        <w:t xml:space="preserve">, </w:t>
      </w:r>
      <w:r>
        <w:rPr>
          <w:lang w:val="fr-CA"/>
        </w:rPr>
        <w:t>la portée du règlement est élargie, et de nouvelles exigences réglementaires</w:t>
      </w:r>
      <w:r w:rsidRPr="00FA558D">
        <w:rPr>
          <w:lang w:val="fr-CA"/>
        </w:rPr>
        <w:t xml:space="preserve"> </w:t>
      </w:r>
      <w:r>
        <w:rPr>
          <w:lang w:val="fr-CA"/>
        </w:rPr>
        <w:t>s’appliquent</w:t>
      </w:r>
      <w:r w:rsidRPr="00FA558D">
        <w:rPr>
          <w:lang w:val="fr-CA"/>
        </w:rPr>
        <w:t xml:space="preserve"> </w:t>
      </w:r>
      <w:r>
        <w:rPr>
          <w:lang w:val="fr-CA"/>
        </w:rPr>
        <w:t xml:space="preserve">aux entreprises qui </w:t>
      </w:r>
      <w:r w:rsidR="004F720D">
        <w:rPr>
          <w:lang w:val="fr-CA"/>
        </w:rPr>
        <w:t>mènent ou qui souhaitent mener des activités</w:t>
      </w:r>
      <w:r>
        <w:rPr>
          <w:lang w:val="fr-CA"/>
        </w:rPr>
        <w:t xml:space="preserve"> dans le nouveau parc. L</w:t>
      </w:r>
      <w:r w:rsidR="004F720D">
        <w:rPr>
          <w:lang w:val="fr-CA"/>
        </w:rPr>
        <w:t>’application de l</w:t>
      </w:r>
      <w:r>
        <w:rPr>
          <w:lang w:val="fr-CA"/>
        </w:rPr>
        <w:t>a règle du « un pour un »</w:t>
      </w:r>
      <w:r w:rsidRPr="00FA558D">
        <w:rPr>
          <w:lang w:val="fr-CA"/>
        </w:rPr>
        <w:t xml:space="preserve"> </w:t>
      </w:r>
      <w:r>
        <w:rPr>
          <w:lang w:val="fr-CA"/>
        </w:rPr>
        <w:t>serait</w:t>
      </w:r>
      <w:r w:rsidRPr="00FA558D">
        <w:rPr>
          <w:lang w:val="fr-CA"/>
        </w:rPr>
        <w:t xml:space="preserve"> </w:t>
      </w:r>
      <w:r w:rsidR="004F720D">
        <w:rPr>
          <w:lang w:val="fr-CA"/>
        </w:rPr>
        <w:t>entraînée</w:t>
      </w:r>
      <w:r>
        <w:rPr>
          <w:lang w:val="fr-CA"/>
        </w:rPr>
        <w:t>,</w:t>
      </w:r>
      <w:r w:rsidRPr="00FA558D">
        <w:rPr>
          <w:lang w:val="fr-CA"/>
        </w:rPr>
        <w:t xml:space="preserve"> </w:t>
      </w:r>
      <w:r>
        <w:rPr>
          <w:lang w:val="fr-CA"/>
        </w:rPr>
        <w:t>puisque</w:t>
      </w:r>
      <w:r w:rsidRPr="00FA558D">
        <w:rPr>
          <w:lang w:val="fr-CA"/>
        </w:rPr>
        <w:t xml:space="preserve"> </w:t>
      </w:r>
      <w:r>
        <w:rPr>
          <w:lang w:val="fr-CA"/>
        </w:rPr>
        <w:t>la modification réglementaire</w:t>
      </w:r>
      <w:r w:rsidRPr="00FA558D">
        <w:rPr>
          <w:lang w:val="fr-CA"/>
        </w:rPr>
        <w:t xml:space="preserve"> </w:t>
      </w:r>
      <w:r>
        <w:rPr>
          <w:lang w:val="fr-CA"/>
        </w:rPr>
        <w:t>imposerait de nouvelles exigences administratives</w:t>
      </w:r>
      <w:r w:rsidRPr="00FA558D">
        <w:rPr>
          <w:lang w:val="fr-CA"/>
        </w:rPr>
        <w:t xml:space="preserve"> </w:t>
      </w:r>
      <w:r>
        <w:rPr>
          <w:lang w:val="fr-CA"/>
        </w:rPr>
        <w:t xml:space="preserve">qui n’existaient pas auparavant, ce qui </w:t>
      </w:r>
      <w:r w:rsidR="004F720D">
        <w:rPr>
          <w:lang w:val="fr-CA"/>
        </w:rPr>
        <w:t>constitue</w:t>
      </w:r>
      <w:r>
        <w:rPr>
          <w:lang w:val="fr-CA"/>
        </w:rPr>
        <w:t xml:space="preserve"> fardeau administratif </w:t>
      </w:r>
      <w:r w:rsidR="004F720D">
        <w:rPr>
          <w:lang w:val="fr-CA"/>
        </w:rPr>
        <w:t>supplémentaire</w:t>
      </w:r>
      <w:r w:rsidRPr="00FA558D">
        <w:rPr>
          <w:lang w:val="fr-CA"/>
        </w:rPr>
        <w:t>.</w:t>
      </w:r>
    </w:p>
    <w:p w14:paraId="41790C04" w14:textId="77777777" w:rsidR="00B91619" w:rsidRPr="00FA558D" w:rsidRDefault="00B91619" w:rsidP="00B91619">
      <w:pPr>
        <w:tabs>
          <w:tab w:val="left" w:pos="9356"/>
        </w:tabs>
        <w:spacing w:after="0" w:line="240" w:lineRule="auto"/>
        <w:rPr>
          <w:lang w:val="fr-CA"/>
        </w:rPr>
      </w:pPr>
    </w:p>
    <w:p w14:paraId="5BCEC3D4" w14:textId="499FB076" w:rsidR="00B91619" w:rsidRPr="00FA558D" w:rsidRDefault="00B91619" w:rsidP="00B91619">
      <w:pPr>
        <w:tabs>
          <w:tab w:val="left" w:pos="9356"/>
        </w:tabs>
        <w:spacing w:after="0" w:line="240" w:lineRule="auto"/>
        <w:rPr>
          <w:lang w:val="fr-CA"/>
        </w:rPr>
      </w:pPr>
      <w:r>
        <w:rPr>
          <w:lang w:val="fr-CA"/>
        </w:rPr>
        <w:t>En somme</w:t>
      </w:r>
      <w:r w:rsidRPr="00FA558D">
        <w:rPr>
          <w:lang w:val="fr-CA"/>
        </w:rPr>
        <w:t xml:space="preserve">, </w:t>
      </w:r>
      <w:r>
        <w:rPr>
          <w:lang w:val="fr-CA"/>
        </w:rPr>
        <w:t>la modification d’une annexe</w:t>
      </w:r>
      <w:r w:rsidRPr="00FA558D">
        <w:rPr>
          <w:lang w:val="fr-CA"/>
        </w:rPr>
        <w:t xml:space="preserve"> </w:t>
      </w:r>
      <w:r w:rsidR="007804CD">
        <w:rPr>
          <w:lang w:val="fr-CA"/>
        </w:rPr>
        <w:t>n’entraîne</w:t>
      </w:r>
      <w:r>
        <w:rPr>
          <w:lang w:val="fr-CA"/>
        </w:rPr>
        <w:t xml:space="preserve"> pas </w:t>
      </w:r>
      <w:r w:rsidRPr="00FA558D">
        <w:rPr>
          <w:lang w:val="fr-CA"/>
        </w:rPr>
        <w:t>automati</w:t>
      </w:r>
      <w:r>
        <w:rPr>
          <w:lang w:val="fr-CA"/>
        </w:rPr>
        <w:t>quement</w:t>
      </w:r>
      <w:r w:rsidRPr="00FA558D">
        <w:rPr>
          <w:lang w:val="fr-CA"/>
        </w:rPr>
        <w:t xml:space="preserve"> </w:t>
      </w:r>
      <w:r w:rsidR="00637594">
        <w:rPr>
          <w:lang w:val="fr-CA"/>
        </w:rPr>
        <w:t xml:space="preserve">l’application de </w:t>
      </w:r>
      <w:r>
        <w:rPr>
          <w:lang w:val="fr-CA"/>
        </w:rPr>
        <w:t>la règle du « un pour un »</w:t>
      </w:r>
      <w:r w:rsidRPr="00FA558D">
        <w:rPr>
          <w:lang w:val="fr-CA"/>
        </w:rPr>
        <w:t>.</w:t>
      </w:r>
      <w:r>
        <w:rPr>
          <w:lang w:val="fr-CA"/>
        </w:rPr>
        <w:t xml:space="preserve"> Il faut aussi établir :</w:t>
      </w:r>
    </w:p>
    <w:p w14:paraId="263B75B5" w14:textId="6FE3CF8A" w:rsidR="00B91619" w:rsidRPr="00FA558D" w:rsidRDefault="00B91619" w:rsidP="00B91619">
      <w:pPr>
        <w:pStyle w:val="ListParagraph"/>
        <w:numPr>
          <w:ilvl w:val="0"/>
          <w:numId w:val="18"/>
        </w:numPr>
        <w:tabs>
          <w:tab w:val="left" w:pos="9356"/>
        </w:tabs>
        <w:spacing w:after="0" w:line="240" w:lineRule="auto"/>
        <w:rPr>
          <w:lang w:val="fr-CA"/>
        </w:rPr>
      </w:pPr>
      <w:r>
        <w:rPr>
          <w:lang w:val="fr-CA"/>
        </w:rPr>
        <w:t>si</w:t>
      </w:r>
      <w:r w:rsidRPr="00FA558D">
        <w:rPr>
          <w:lang w:val="fr-CA"/>
        </w:rPr>
        <w:t xml:space="preserve"> </w:t>
      </w:r>
      <w:r>
        <w:rPr>
          <w:lang w:val="fr-CA"/>
        </w:rPr>
        <w:t>la modification</w:t>
      </w:r>
      <w:r w:rsidRPr="00FA558D">
        <w:rPr>
          <w:lang w:val="fr-CA"/>
        </w:rPr>
        <w:t xml:space="preserve"> </w:t>
      </w:r>
      <w:r>
        <w:rPr>
          <w:lang w:val="fr-CA"/>
        </w:rPr>
        <w:t xml:space="preserve">augmente ou diminue le fardeau </w:t>
      </w:r>
      <w:r w:rsidR="0052311F">
        <w:rPr>
          <w:lang w:val="fr-CA"/>
        </w:rPr>
        <w:t>imposé aux</w:t>
      </w:r>
      <w:r>
        <w:rPr>
          <w:lang w:val="fr-CA"/>
        </w:rPr>
        <w:t xml:space="preserve"> entreprises;</w:t>
      </w:r>
    </w:p>
    <w:p w14:paraId="521F647D" w14:textId="77777777" w:rsidR="00B91619" w:rsidRPr="00FA558D" w:rsidRDefault="00B91619" w:rsidP="00B91619">
      <w:pPr>
        <w:pStyle w:val="ListParagraph"/>
        <w:numPr>
          <w:ilvl w:val="0"/>
          <w:numId w:val="18"/>
        </w:numPr>
        <w:tabs>
          <w:tab w:val="left" w:pos="9356"/>
        </w:tabs>
        <w:spacing w:after="0" w:line="240" w:lineRule="auto"/>
        <w:rPr>
          <w:lang w:val="fr-CA"/>
        </w:rPr>
      </w:pPr>
      <w:r>
        <w:rPr>
          <w:lang w:val="fr-CA"/>
        </w:rPr>
        <w:t>si</w:t>
      </w:r>
      <w:r w:rsidRPr="00FA558D">
        <w:rPr>
          <w:lang w:val="fr-CA"/>
        </w:rPr>
        <w:t xml:space="preserve"> </w:t>
      </w:r>
      <w:r>
        <w:rPr>
          <w:lang w:val="fr-CA"/>
        </w:rPr>
        <w:t>la modification</w:t>
      </w:r>
      <w:r w:rsidRPr="00FA558D">
        <w:rPr>
          <w:lang w:val="fr-CA"/>
        </w:rPr>
        <w:t xml:space="preserve"> </w:t>
      </w:r>
      <w:r>
        <w:rPr>
          <w:lang w:val="fr-CA"/>
        </w:rPr>
        <w:t>élargit</w:t>
      </w:r>
      <w:r w:rsidRPr="00FA558D">
        <w:rPr>
          <w:lang w:val="fr-CA"/>
        </w:rPr>
        <w:t xml:space="preserve"> </w:t>
      </w:r>
      <w:r>
        <w:rPr>
          <w:lang w:val="fr-CA"/>
        </w:rPr>
        <w:t>la portée</w:t>
      </w:r>
      <w:r w:rsidRPr="00FA558D">
        <w:rPr>
          <w:lang w:val="fr-CA"/>
        </w:rPr>
        <w:t xml:space="preserve"> </w:t>
      </w:r>
      <w:r>
        <w:rPr>
          <w:lang w:val="fr-CA"/>
        </w:rPr>
        <w:t>des exigences réglementaires.</w:t>
      </w:r>
    </w:p>
    <w:p w14:paraId="195EF10B" w14:textId="77777777" w:rsidR="00B91619" w:rsidRPr="00FA558D" w:rsidRDefault="00B91619" w:rsidP="00B91619">
      <w:pPr>
        <w:tabs>
          <w:tab w:val="left" w:pos="9356"/>
        </w:tabs>
        <w:spacing w:after="0" w:line="240" w:lineRule="auto"/>
        <w:rPr>
          <w:lang w:val="fr-CA"/>
        </w:rPr>
      </w:pPr>
    </w:p>
    <w:p w14:paraId="6A520078" w14:textId="0E418569" w:rsidR="00B91619" w:rsidRPr="00FA558D" w:rsidRDefault="00B91619" w:rsidP="00B91619">
      <w:pPr>
        <w:pStyle w:val="Heading4"/>
        <w:rPr>
          <w:lang w:val="fr-CA"/>
        </w:rPr>
      </w:pPr>
      <w:r w:rsidRPr="00FA558D">
        <w:rPr>
          <w:lang w:val="fr-CA"/>
        </w:rPr>
        <w:t>A</w:t>
      </w:r>
      <w:r>
        <w:rPr>
          <w:lang w:val="fr-CA"/>
        </w:rPr>
        <w:t>pplication de</w:t>
      </w:r>
      <w:r w:rsidRPr="00FA558D">
        <w:rPr>
          <w:lang w:val="fr-CA"/>
        </w:rPr>
        <w:t xml:space="preserve"> </w:t>
      </w:r>
      <w:r>
        <w:rPr>
          <w:lang w:val="fr-CA"/>
        </w:rPr>
        <w:t>la règle du « un pour un »</w:t>
      </w:r>
      <w:r w:rsidRPr="00FA558D">
        <w:rPr>
          <w:lang w:val="fr-CA"/>
        </w:rPr>
        <w:t xml:space="preserve"> </w:t>
      </w:r>
      <w:r>
        <w:rPr>
          <w:lang w:val="fr-CA"/>
        </w:rPr>
        <w:t xml:space="preserve">aux </w:t>
      </w:r>
      <w:r w:rsidR="007804CD">
        <w:rPr>
          <w:lang w:val="fr-CA"/>
        </w:rPr>
        <w:t>modifications réglementaires</w:t>
      </w:r>
      <w:r>
        <w:rPr>
          <w:lang w:val="fr-CA"/>
        </w:rPr>
        <w:t xml:space="preserve"> lié</w:t>
      </w:r>
      <w:r w:rsidR="007804CD">
        <w:rPr>
          <w:lang w:val="fr-CA"/>
        </w:rPr>
        <w:t>e</w:t>
      </w:r>
      <w:r>
        <w:rPr>
          <w:lang w:val="fr-CA"/>
        </w:rPr>
        <w:t xml:space="preserve">s à une </w:t>
      </w:r>
      <w:r w:rsidRPr="00FA558D">
        <w:rPr>
          <w:lang w:val="fr-CA"/>
        </w:rPr>
        <w:t xml:space="preserve">incorporation </w:t>
      </w:r>
      <w:r>
        <w:rPr>
          <w:lang w:val="fr-CA"/>
        </w:rPr>
        <w:t>par renvoi</w:t>
      </w:r>
      <w:r w:rsidRPr="00FA558D">
        <w:rPr>
          <w:lang w:val="fr-CA"/>
        </w:rPr>
        <w:t xml:space="preserve"> </w:t>
      </w:r>
    </w:p>
    <w:p w14:paraId="66E8F4C0" w14:textId="77777777" w:rsidR="00B91619" w:rsidRPr="00FA558D" w:rsidRDefault="00B91619" w:rsidP="00B91619">
      <w:pPr>
        <w:tabs>
          <w:tab w:val="left" w:pos="9356"/>
        </w:tabs>
        <w:spacing w:after="0" w:line="240" w:lineRule="auto"/>
        <w:rPr>
          <w:lang w:val="fr-CA"/>
        </w:rPr>
      </w:pPr>
    </w:p>
    <w:p w14:paraId="12025EF1" w14:textId="02A7C38C" w:rsidR="00B91619" w:rsidRPr="00FA558D" w:rsidRDefault="00B91619" w:rsidP="00B91619">
      <w:pPr>
        <w:tabs>
          <w:tab w:val="left" w:pos="9356"/>
        </w:tabs>
        <w:spacing w:after="0" w:line="240" w:lineRule="auto"/>
        <w:rPr>
          <w:lang w:val="fr-CA"/>
        </w:rPr>
      </w:pPr>
      <w:r>
        <w:rPr>
          <w:lang w:val="fr-CA"/>
        </w:rPr>
        <w:t>L</w:t>
      </w:r>
      <w:r w:rsidR="00C202DD">
        <w:rPr>
          <w:lang w:val="fr-CA"/>
        </w:rPr>
        <w:t>’application de l</w:t>
      </w:r>
      <w:r>
        <w:rPr>
          <w:lang w:val="fr-CA"/>
        </w:rPr>
        <w:t>a règle</w:t>
      </w:r>
      <w:r w:rsidRPr="00FA558D">
        <w:rPr>
          <w:lang w:val="fr-CA"/>
        </w:rPr>
        <w:t xml:space="preserve"> </w:t>
      </w:r>
      <w:r>
        <w:rPr>
          <w:lang w:val="fr-CA"/>
        </w:rPr>
        <w:t>peut être</w:t>
      </w:r>
      <w:r w:rsidRPr="00FA558D">
        <w:rPr>
          <w:lang w:val="fr-CA"/>
        </w:rPr>
        <w:t xml:space="preserve"> </w:t>
      </w:r>
      <w:r w:rsidR="00C202DD">
        <w:rPr>
          <w:lang w:val="fr-CA"/>
        </w:rPr>
        <w:t>entraînée</w:t>
      </w:r>
      <w:r w:rsidR="00C202DD" w:rsidRPr="00FA558D">
        <w:rPr>
          <w:lang w:val="fr-CA"/>
        </w:rPr>
        <w:t xml:space="preserve"> </w:t>
      </w:r>
      <w:r>
        <w:rPr>
          <w:lang w:val="fr-CA"/>
        </w:rPr>
        <w:t xml:space="preserve">par des </w:t>
      </w:r>
      <w:r w:rsidR="007804CD">
        <w:rPr>
          <w:lang w:val="fr-CA"/>
        </w:rPr>
        <w:t>modifications réglementaires</w:t>
      </w:r>
      <w:r>
        <w:rPr>
          <w:lang w:val="fr-CA"/>
        </w:rPr>
        <w:t xml:space="preserve"> </w:t>
      </w:r>
      <w:r w:rsidR="00C202DD">
        <w:rPr>
          <w:lang w:val="fr-CA"/>
        </w:rPr>
        <w:t xml:space="preserve">qui </w:t>
      </w:r>
      <w:r w:rsidRPr="00FA558D">
        <w:rPr>
          <w:lang w:val="fr-CA"/>
        </w:rPr>
        <w:t>incorpor</w:t>
      </w:r>
      <w:r w:rsidR="00C202DD">
        <w:rPr>
          <w:lang w:val="fr-CA"/>
        </w:rPr>
        <w:t>e</w:t>
      </w:r>
      <w:r>
        <w:rPr>
          <w:lang w:val="fr-CA"/>
        </w:rPr>
        <w:t xml:space="preserve">nt </w:t>
      </w:r>
      <w:r w:rsidR="00C202DD">
        <w:rPr>
          <w:lang w:val="fr-CA"/>
        </w:rPr>
        <w:t xml:space="preserve">un document </w:t>
      </w:r>
      <w:r>
        <w:rPr>
          <w:lang w:val="fr-CA"/>
        </w:rPr>
        <w:t>par renvoi</w:t>
      </w:r>
      <w:r w:rsidR="00C202DD">
        <w:rPr>
          <w:lang w:val="fr-CA"/>
        </w:rPr>
        <w:t xml:space="preserve"> comme </w:t>
      </w:r>
      <w:r>
        <w:rPr>
          <w:lang w:val="fr-CA"/>
        </w:rPr>
        <w:t xml:space="preserve">une norme, un document technique ou </w:t>
      </w:r>
      <w:r w:rsidR="00C202DD">
        <w:rPr>
          <w:lang w:val="fr-CA"/>
        </w:rPr>
        <w:t>une loi d’une autre administration</w:t>
      </w:r>
      <w:r>
        <w:rPr>
          <w:lang w:val="fr-CA"/>
        </w:rPr>
        <w:t>, lorsque ce changement entraîne</w:t>
      </w:r>
      <w:r w:rsidRPr="00FA558D">
        <w:rPr>
          <w:lang w:val="fr-CA"/>
        </w:rPr>
        <w:t xml:space="preserve"> </w:t>
      </w:r>
      <w:r w:rsidR="00C202DD">
        <w:rPr>
          <w:lang w:val="fr-CA"/>
        </w:rPr>
        <w:t>de nouveaux coûts</w:t>
      </w:r>
      <w:r>
        <w:rPr>
          <w:lang w:val="fr-CA"/>
        </w:rPr>
        <w:t xml:space="preserve"> liés</w:t>
      </w:r>
      <w:r w:rsidR="004163E8">
        <w:rPr>
          <w:lang w:val="fr-CA"/>
        </w:rPr>
        <w:t xml:space="preserve"> au</w:t>
      </w:r>
      <w:r>
        <w:rPr>
          <w:lang w:val="fr-CA"/>
        </w:rPr>
        <w:t xml:space="preserve"> fardeau administratif </w:t>
      </w:r>
      <w:r w:rsidR="0052311F">
        <w:rPr>
          <w:lang w:val="fr-CA"/>
        </w:rPr>
        <w:t>imposé aux</w:t>
      </w:r>
      <w:r>
        <w:rPr>
          <w:lang w:val="fr-CA"/>
        </w:rPr>
        <w:t xml:space="preserve"> entreprises</w:t>
      </w:r>
      <w:r w:rsidRPr="00FA558D">
        <w:rPr>
          <w:lang w:val="fr-CA"/>
        </w:rPr>
        <w:t xml:space="preserve">. </w:t>
      </w:r>
    </w:p>
    <w:p w14:paraId="0000FA54" w14:textId="77777777" w:rsidR="00B91619" w:rsidRPr="00FA558D" w:rsidRDefault="00B91619" w:rsidP="00B91619">
      <w:pPr>
        <w:tabs>
          <w:tab w:val="left" w:pos="9356"/>
        </w:tabs>
        <w:spacing w:after="0" w:line="240" w:lineRule="auto"/>
        <w:rPr>
          <w:lang w:val="fr-CA"/>
        </w:rPr>
      </w:pPr>
    </w:p>
    <w:p w14:paraId="40901386" w14:textId="41864117" w:rsidR="00B91619" w:rsidRPr="00FA558D" w:rsidRDefault="00B91619" w:rsidP="00B91619">
      <w:pPr>
        <w:tabs>
          <w:tab w:val="left" w:pos="9356"/>
        </w:tabs>
        <w:spacing w:after="0" w:line="240" w:lineRule="auto"/>
        <w:rPr>
          <w:lang w:val="fr-CA"/>
        </w:rPr>
      </w:pPr>
      <w:r>
        <w:rPr>
          <w:lang w:val="fr-CA"/>
        </w:rPr>
        <w:t xml:space="preserve">Dans certains cas, </w:t>
      </w:r>
      <w:r w:rsidR="00B04409">
        <w:rPr>
          <w:lang w:val="fr-CA"/>
        </w:rPr>
        <w:t>l</w:t>
      </w:r>
      <w:r>
        <w:rPr>
          <w:lang w:val="fr-CA"/>
        </w:rPr>
        <w:t>es règlements</w:t>
      </w:r>
      <w:r w:rsidRPr="00FA558D">
        <w:rPr>
          <w:lang w:val="fr-CA"/>
        </w:rPr>
        <w:t xml:space="preserve"> </w:t>
      </w:r>
      <w:r>
        <w:rPr>
          <w:lang w:val="fr-CA"/>
        </w:rPr>
        <w:t xml:space="preserve">peuvent </w:t>
      </w:r>
      <w:r w:rsidRPr="00FA558D">
        <w:rPr>
          <w:lang w:val="fr-CA"/>
        </w:rPr>
        <w:t>in</w:t>
      </w:r>
      <w:r>
        <w:rPr>
          <w:lang w:val="fr-CA"/>
        </w:rPr>
        <w:t>corporer un doc</w:t>
      </w:r>
      <w:r w:rsidRPr="00FA558D">
        <w:rPr>
          <w:lang w:val="fr-CA"/>
        </w:rPr>
        <w:t>ument</w:t>
      </w:r>
      <w:r>
        <w:rPr>
          <w:lang w:val="fr-CA"/>
        </w:rPr>
        <w:t xml:space="preserve"> dont des mises à jour régulières sont attendues, sans qu’</w:t>
      </w:r>
      <w:r w:rsidR="00B04409">
        <w:rPr>
          <w:lang w:val="fr-CA"/>
        </w:rPr>
        <w:t xml:space="preserve">il soit nécessaire d’apporter </w:t>
      </w:r>
      <w:r>
        <w:rPr>
          <w:lang w:val="fr-CA"/>
        </w:rPr>
        <w:t xml:space="preserve">une modification réglementaire </w:t>
      </w:r>
      <w:r w:rsidR="00B04409">
        <w:rPr>
          <w:lang w:val="fr-CA"/>
        </w:rPr>
        <w:t xml:space="preserve">pour que le document mis à jour prenne effet. Ce type </w:t>
      </w:r>
      <w:r w:rsidR="00ED7950">
        <w:rPr>
          <w:lang w:val="fr-CA"/>
        </w:rPr>
        <w:t>d’incorporation est connu sous le nom d</w:t>
      </w:r>
      <w:r>
        <w:rPr>
          <w:lang w:val="fr-CA"/>
        </w:rPr>
        <w:t>’incorporation par renvoi « dynamique ». La règle du « un pour un »</w:t>
      </w:r>
      <w:r w:rsidRPr="00FA558D">
        <w:rPr>
          <w:lang w:val="fr-CA"/>
        </w:rPr>
        <w:t xml:space="preserve"> </w:t>
      </w:r>
      <w:r>
        <w:rPr>
          <w:lang w:val="fr-CA"/>
        </w:rPr>
        <w:t>s’applique uniquement lorsque la modification réglementaire</w:t>
      </w:r>
      <w:r w:rsidRPr="00FA558D">
        <w:rPr>
          <w:lang w:val="fr-CA"/>
        </w:rPr>
        <w:t xml:space="preserve"> </w:t>
      </w:r>
      <w:r>
        <w:rPr>
          <w:lang w:val="fr-CA"/>
        </w:rPr>
        <w:t>est apportée</w:t>
      </w:r>
      <w:r w:rsidRPr="00FA558D">
        <w:rPr>
          <w:lang w:val="fr-CA"/>
        </w:rPr>
        <w:t>,</w:t>
      </w:r>
      <w:r>
        <w:rPr>
          <w:lang w:val="fr-CA"/>
        </w:rPr>
        <w:t xml:space="preserve"> et </w:t>
      </w:r>
      <w:r w:rsidR="00ED7950">
        <w:rPr>
          <w:lang w:val="fr-CA"/>
        </w:rPr>
        <w:t xml:space="preserve">toute </w:t>
      </w:r>
      <w:r>
        <w:rPr>
          <w:lang w:val="fr-CA"/>
        </w:rPr>
        <w:t xml:space="preserve">modification ultérieure aux documents incorporés </w:t>
      </w:r>
      <w:r w:rsidR="00ED7950">
        <w:rPr>
          <w:lang w:val="fr-CA"/>
        </w:rPr>
        <w:t>n’entraîne pas l’application de</w:t>
      </w:r>
      <w:r w:rsidR="004053CF">
        <w:rPr>
          <w:lang w:val="fr-CA"/>
        </w:rPr>
        <w:t xml:space="preserve"> </w:t>
      </w:r>
      <w:r>
        <w:rPr>
          <w:lang w:val="fr-CA"/>
        </w:rPr>
        <w:t>la règle</w:t>
      </w:r>
      <w:r w:rsidRPr="00FA558D">
        <w:rPr>
          <w:lang w:val="fr-CA"/>
        </w:rPr>
        <w:t>.</w:t>
      </w:r>
    </w:p>
    <w:p w14:paraId="7249DF8F" w14:textId="77777777" w:rsidR="00B91619" w:rsidRPr="00FA558D" w:rsidRDefault="00B91619" w:rsidP="00B91619">
      <w:pPr>
        <w:tabs>
          <w:tab w:val="left" w:pos="9356"/>
        </w:tabs>
        <w:spacing w:after="0" w:line="240" w:lineRule="auto"/>
        <w:rPr>
          <w:lang w:val="fr-CA"/>
        </w:rPr>
      </w:pPr>
    </w:p>
    <w:p w14:paraId="17125D86" w14:textId="77777777" w:rsidR="00B91619" w:rsidRPr="00FA558D" w:rsidRDefault="00B91619" w:rsidP="00B91619">
      <w:pPr>
        <w:pStyle w:val="Heading4"/>
        <w:rPr>
          <w:lang w:val="fr-CA"/>
        </w:rPr>
      </w:pPr>
      <w:r w:rsidRPr="00FA558D">
        <w:rPr>
          <w:lang w:val="fr-CA"/>
        </w:rPr>
        <w:lastRenderedPageBreak/>
        <w:t>A</w:t>
      </w:r>
      <w:r>
        <w:rPr>
          <w:lang w:val="fr-CA"/>
        </w:rPr>
        <w:t>pplication de</w:t>
      </w:r>
      <w:r w:rsidRPr="00FA558D">
        <w:rPr>
          <w:lang w:val="fr-CA"/>
        </w:rPr>
        <w:t xml:space="preserve"> </w:t>
      </w:r>
      <w:r>
        <w:rPr>
          <w:lang w:val="fr-CA"/>
        </w:rPr>
        <w:t>la règle du « un pour un »</w:t>
      </w:r>
      <w:r w:rsidRPr="00FA558D">
        <w:rPr>
          <w:lang w:val="fr-CA"/>
        </w:rPr>
        <w:t xml:space="preserve"> </w:t>
      </w:r>
      <w:r>
        <w:rPr>
          <w:lang w:val="fr-CA"/>
        </w:rPr>
        <w:t>aux</w:t>
      </w:r>
      <w:r w:rsidRPr="00FA558D">
        <w:rPr>
          <w:lang w:val="fr-CA"/>
        </w:rPr>
        <w:t xml:space="preserve"> respon</w:t>
      </w:r>
      <w:r>
        <w:rPr>
          <w:lang w:val="fr-CA"/>
        </w:rPr>
        <w:t>sabilités</w:t>
      </w:r>
      <w:r w:rsidRPr="00FA558D">
        <w:rPr>
          <w:lang w:val="fr-CA"/>
        </w:rPr>
        <w:t xml:space="preserve"> </w:t>
      </w:r>
      <w:r>
        <w:rPr>
          <w:lang w:val="fr-CA"/>
        </w:rPr>
        <w:t>partagées</w:t>
      </w:r>
      <w:r w:rsidRPr="00FA558D">
        <w:rPr>
          <w:lang w:val="fr-CA"/>
        </w:rPr>
        <w:t xml:space="preserve"> </w:t>
      </w:r>
      <w:r>
        <w:rPr>
          <w:lang w:val="fr-CA"/>
        </w:rPr>
        <w:t>entre</w:t>
      </w:r>
      <w:r w:rsidRPr="00FA558D">
        <w:rPr>
          <w:lang w:val="fr-CA"/>
        </w:rPr>
        <w:t xml:space="preserve"> </w:t>
      </w:r>
      <w:r>
        <w:rPr>
          <w:lang w:val="fr-CA"/>
        </w:rPr>
        <w:t>les gouvernements fédéral, provinciaux et territoriaux</w:t>
      </w:r>
      <w:r w:rsidRPr="00FA558D">
        <w:rPr>
          <w:lang w:val="fr-CA"/>
        </w:rPr>
        <w:t xml:space="preserve"> </w:t>
      </w:r>
    </w:p>
    <w:p w14:paraId="369A98CD" w14:textId="77777777" w:rsidR="00B91619" w:rsidRPr="00FA558D" w:rsidRDefault="00B91619" w:rsidP="00B91619">
      <w:pPr>
        <w:tabs>
          <w:tab w:val="left" w:pos="9356"/>
        </w:tabs>
        <w:spacing w:after="0" w:line="240" w:lineRule="auto"/>
        <w:rPr>
          <w:lang w:val="fr-CA"/>
        </w:rPr>
      </w:pPr>
    </w:p>
    <w:p w14:paraId="63E4B003" w14:textId="567BD497" w:rsidR="00B91619" w:rsidRPr="00FA558D" w:rsidRDefault="007A2B72" w:rsidP="00B91619">
      <w:pPr>
        <w:tabs>
          <w:tab w:val="left" w:pos="9356"/>
        </w:tabs>
        <w:spacing w:after="0" w:line="240" w:lineRule="auto"/>
        <w:rPr>
          <w:lang w:val="fr-CA"/>
        </w:rPr>
      </w:pPr>
      <w:r>
        <w:rPr>
          <w:lang w:val="fr-CA"/>
        </w:rPr>
        <w:t xml:space="preserve">Quant aux </w:t>
      </w:r>
      <w:r w:rsidR="00B91619">
        <w:rPr>
          <w:lang w:val="fr-CA"/>
        </w:rPr>
        <w:t>activités partagées</w:t>
      </w:r>
      <w:r w:rsidR="00B91619" w:rsidRPr="00FA558D">
        <w:rPr>
          <w:lang w:val="fr-CA"/>
        </w:rPr>
        <w:t xml:space="preserve">, </w:t>
      </w:r>
      <w:r w:rsidR="00B91619">
        <w:rPr>
          <w:lang w:val="fr-CA"/>
        </w:rPr>
        <w:t>les ministères fédéraux doivent se conformer aux exigence</w:t>
      </w:r>
      <w:r w:rsidR="00B91619" w:rsidRPr="00FA558D">
        <w:rPr>
          <w:lang w:val="fr-CA"/>
        </w:rPr>
        <w:t>s</w:t>
      </w:r>
      <w:r w:rsidR="00B91619">
        <w:rPr>
          <w:lang w:val="fr-CA"/>
        </w:rPr>
        <w:t xml:space="preserve"> de la règle du « un pour un »</w:t>
      </w:r>
      <w:r w:rsidR="00B91619" w:rsidRPr="00FA558D">
        <w:rPr>
          <w:lang w:val="fr-CA"/>
        </w:rPr>
        <w:t>.</w:t>
      </w:r>
    </w:p>
    <w:p w14:paraId="57413E20" w14:textId="77777777" w:rsidR="00B91619" w:rsidRPr="00FA558D" w:rsidRDefault="00B91619" w:rsidP="00B91619">
      <w:pPr>
        <w:tabs>
          <w:tab w:val="left" w:pos="9356"/>
        </w:tabs>
        <w:spacing w:after="0" w:line="240" w:lineRule="auto"/>
        <w:rPr>
          <w:lang w:val="fr-CA"/>
        </w:rPr>
      </w:pPr>
    </w:p>
    <w:p w14:paraId="7CF9460F" w14:textId="5975B105" w:rsidR="00B91619" w:rsidRPr="00FA558D" w:rsidRDefault="00B91619" w:rsidP="00B91619">
      <w:pPr>
        <w:tabs>
          <w:tab w:val="left" w:pos="9356"/>
        </w:tabs>
        <w:spacing w:after="0" w:line="240" w:lineRule="auto"/>
        <w:rPr>
          <w:lang w:val="fr-CA"/>
        </w:rPr>
      </w:pPr>
      <w:r>
        <w:rPr>
          <w:lang w:val="fr-CA"/>
        </w:rPr>
        <w:t>Si le gouvernement fédéral</w:t>
      </w:r>
      <w:r w:rsidRPr="00FA558D">
        <w:rPr>
          <w:lang w:val="fr-CA"/>
        </w:rPr>
        <w:t xml:space="preserve"> </w:t>
      </w:r>
      <w:r>
        <w:rPr>
          <w:lang w:val="fr-CA"/>
        </w:rPr>
        <w:t>remplace</w:t>
      </w:r>
      <w:r w:rsidRPr="00FA558D">
        <w:rPr>
          <w:lang w:val="fr-CA"/>
        </w:rPr>
        <w:t xml:space="preserve"> </w:t>
      </w:r>
      <w:r>
        <w:rPr>
          <w:lang w:val="fr-CA"/>
        </w:rPr>
        <w:t xml:space="preserve">une exigence ou un processus fédéral par une exigence ou un processus </w:t>
      </w:r>
      <w:r w:rsidRPr="00FA558D">
        <w:rPr>
          <w:lang w:val="fr-CA"/>
        </w:rPr>
        <w:t>provincial</w:t>
      </w:r>
      <w:r>
        <w:rPr>
          <w:lang w:val="fr-CA"/>
        </w:rPr>
        <w:t xml:space="preserve"> ou </w:t>
      </w:r>
      <w:r w:rsidRPr="00FA558D">
        <w:rPr>
          <w:lang w:val="fr-CA"/>
        </w:rPr>
        <w:t xml:space="preserve">territorial, </w:t>
      </w:r>
      <w:r>
        <w:rPr>
          <w:lang w:val="fr-CA"/>
        </w:rPr>
        <w:t xml:space="preserve">l’allégement potentiel du fardeau administratif </w:t>
      </w:r>
      <w:r w:rsidR="0052311F">
        <w:rPr>
          <w:lang w:val="fr-CA"/>
        </w:rPr>
        <w:t>imposé aux</w:t>
      </w:r>
      <w:r>
        <w:rPr>
          <w:lang w:val="fr-CA"/>
        </w:rPr>
        <w:t xml:space="preserve"> entreprises</w:t>
      </w:r>
      <w:r w:rsidRPr="00FA558D">
        <w:rPr>
          <w:lang w:val="fr-CA"/>
        </w:rPr>
        <w:t xml:space="preserve"> </w:t>
      </w:r>
      <w:r>
        <w:rPr>
          <w:lang w:val="fr-CA"/>
        </w:rPr>
        <w:t xml:space="preserve">pourrait être </w:t>
      </w:r>
      <w:r w:rsidR="00C5160F">
        <w:rPr>
          <w:lang w:val="fr-CA"/>
        </w:rPr>
        <w:t>mesuré en coûts monét</w:t>
      </w:r>
      <w:r w:rsidR="00FA64B5">
        <w:rPr>
          <w:lang w:val="fr-CA"/>
        </w:rPr>
        <w:t>isés</w:t>
      </w:r>
      <w:r w:rsidR="00C5160F">
        <w:rPr>
          <w:lang w:val="fr-CA"/>
        </w:rPr>
        <w:t xml:space="preserve"> </w:t>
      </w:r>
      <w:r>
        <w:rPr>
          <w:lang w:val="fr-CA"/>
        </w:rPr>
        <w:t xml:space="preserve">et </w:t>
      </w:r>
      <w:r w:rsidR="00CB3046">
        <w:rPr>
          <w:lang w:val="fr-CA"/>
        </w:rPr>
        <w:t xml:space="preserve">considéré </w:t>
      </w:r>
      <w:r>
        <w:rPr>
          <w:lang w:val="fr-CA"/>
        </w:rPr>
        <w:t>comme une réduction du fardeau</w:t>
      </w:r>
      <w:r w:rsidRPr="00FA558D">
        <w:rPr>
          <w:lang w:val="fr-CA"/>
        </w:rPr>
        <w:t xml:space="preserve"> (</w:t>
      </w:r>
      <w:r>
        <w:rPr>
          <w:lang w:val="fr-CA"/>
        </w:rPr>
        <w:t>et une réduction d’un règlement</w:t>
      </w:r>
      <w:r w:rsidRPr="00FA558D">
        <w:rPr>
          <w:lang w:val="fr-CA"/>
        </w:rPr>
        <w:t xml:space="preserve">, </w:t>
      </w:r>
      <w:r w:rsidR="00FA64B5">
        <w:rPr>
          <w:lang w:val="fr-CA"/>
        </w:rPr>
        <w:t>s’il y a lieu</w:t>
      </w:r>
      <w:r w:rsidRPr="00FA558D">
        <w:rPr>
          <w:lang w:val="fr-CA"/>
        </w:rPr>
        <w:t xml:space="preserve">). </w:t>
      </w:r>
    </w:p>
    <w:p w14:paraId="0201B7FF" w14:textId="77777777" w:rsidR="00B91619" w:rsidRPr="00FA558D" w:rsidRDefault="00B91619" w:rsidP="00B91619">
      <w:pPr>
        <w:tabs>
          <w:tab w:val="left" w:pos="9356"/>
        </w:tabs>
        <w:spacing w:after="0" w:line="240" w:lineRule="auto"/>
        <w:rPr>
          <w:lang w:val="fr-CA"/>
        </w:rPr>
      </w:pPr>
    </w:p>
    <w:p w14:paraId="16FC5F92" w14:textId="418868B1" w:rsidR="00B91619" w:rsidRPr="00FA558D" w:rsidRDefault="009413C7" w:rsidP="00B91619">
      <w:pPr>
        <w:tabs>
          <w:tab w:val="left" w:pos="9356"/>
        </w:tabs>
        <w:spacing w:after="0" w:line="240" w:lineRule="auto"/>
        <w:rPr>
          <w:lang w:val="fr-CA"/>
        </w:rPr>
      </w:pPr>
      <w:r>
        <w:rPr>
          <w:lang w:val="fr-CA"/>
        </w:rPr>
        <w:t xml:space="preserve">Si </w:t>
      </w:r>
      <w:r w:rsidR="00B91619">
        <w:rPr>
          <w:lang w:val="fr-CA"/>
        </w:rPr>
        <w:t>le</w:t>
      </w:r>
      <w:r w:rsidR="00B91619" w:rsidRPr="00FA558D">
        <w:rPr>
          <w:lang w:val="fr-CA"/>
        </w:rPr>
        <w:t xml:space="preserve"> </w:t>
      </w:r>
      <w:r w:rsidR="00B91619">
        <w:rPr>
          <w:lang w:val="fr-CA"/>
        </w:rPr>
        <w:t>gouvernement fédéral</w:t>
      </w:r>
      <w:r w:rsidR="00B91619" w:rsidRPr="00FA558D">
        <w:rPr>
          <w:lang w:val="fr-CA"/>
        </w:rPr>
        <w:t xml:space="preserve"> </w:t>
      </w:r>
      <w:r w:rsidR="00B91619">
        <w:rPr>
          <w:lang w:val="fr-CA"/>
        </w:rPr>
        <w:t>crée un règlement</w:t>
      </w:r>
      <w:r w:rsidR="00B91619" w:rsidRPr="00FA558D">
        <w:rPr>
          <w:lang w:val="fr-CA"/>
        </w:rPr>
        <w:t xml:space="preserve"> </w:t>
      </w:r>
      <w:r w:rsidR="00B91619">
        <w:rPr>
          <w:lang w:val="fr-CA"/>
        </w:rPr>
        <w:t>pour renforcer un processus</w:t>
      </w:r>
      <w:r w:rsidR="00B91619" w:rsidRPr="00FA558D">
        <w:rPr>
          <w:lang w:val="fr-CA"/>
        </w:rPr>
        <w:t xml:space="preserve"> provincial</w:t>
      </w:r>
      <w:r w:rsidR="00B91619">
        <w:rPr>
          <w:lang w:val="fr-CA"/>
        </w:rPr>
        <w:t xml:space="preserve"> ou </w:t>
      </w:r>
      <w:r w:rsidR="00B91619" w:rsidRPr="00FA558D">
        <w:rPr>
          <w:lang w:val="fr-CA"/>
        </w:rPr>
        <w:t>territorial</w:t>
      </w:r>
      <w:r w:rsidR="00B91619">
        <w:rPr>
          <w:lang w:val="fr-CA"/>
        </w:rPr>
        <w:t xml:space="preserve"> et que le règlement</w:t>
      </w:r>
      <w:r w:rsidR="00B91619" w:rsidRPr="00FA558D">
        <w:rPr>
          <w:lang w:val="fr-CA"/>
        </w:rPr>
        <w:t xml:space="preserve"> </w:t>
      </w:r>
      <w:r w:rsidR="00B91619">
        <w:rPr>
          <w:lang w:val="fr-CA"/>
        </w:rPr>
        <w:t>s’applique uniquement</w:t>
      </w:r>
      <w:r w:rsidR="00B91619" w:rsidRPr="00FA558D">
        <w:rPr>
          <w:lang w:val="fr-CA"/>
        </w:rPr>
        <w:t xml:space="preserve"> </w:t>
      </w:r>
      <w:r w:rsidR="00B91619">
        <w:rPr>
          <w:lang w:val="fr-CA"/>
        </w:rPr>
        <w:t>aux entreprises</w:t>
      </w:r>
      <w:r w:rsidR="00B91619" w:rsidRPr="00FA558D">
        <w:rPr>
          <w:lang w:val="fr-CA"/>
        </w:rPr>
        <w:t xml:space="preserve"> </w:t>
      </w:r>
      <w:r w:rsidR="00B91619">
        <w:rPr>
          <w:lang w:val="fr-CA"/>
        </w:rPr>
        <w:t xml:space="preserve">dans les provinces ou les </w:t>
      </w:r>
      <w:r w:rsidR="00B91619" w:rsidRPr="00FA558D">
        <w:rPr>
          <w:lang w:val="fr-CA"/>
        </w:rPr>
        <w:t>territo</w:t>
      </w:r>
      <w:r w:rsidR="00B91619">
        <w:rPr>
          <w:lang w:val="fr-CA"/>
        </w:rPr>
        <w:t>ir</w:t>
      </w:r>
      <w:r w:rsidR="00B91619" w:rsidRPr="00FA558D">
        <w:rPr>
          <w:lang w:val="fr-CA"/>
        </w:rPr>
        <w:t>es</w:t>
      </w:r>
      <w:r w:rsidR="00B91619">
        <w:rPr>
          <w:lang w:val="fr-CA"/>
        </w:rPr>
        <w:t xml:space="preserve"> qui </w:t>
      </w:r>
      <w:r w:rsidR="00CB3046">
        <w:rPr>
          <w:lang w:val="fr-CA"/>
        </w:rPr>
        <w:t>n’ont pas une exigence ou un processus semblable en place</w:t>
      </w:r>
      <w:r w:rsidR="00B91619" w:rsidRPr="00FA558D">
        <w:rPr>
          <w:lang w:val="fr-CA"/>
        </w:rPr>
        <w:t xml:space="preserve">, </w:t>
      </w:r>
      <w:r w:rsidR="00B91619">
        <w:rPr>
          <w:lang w:val="fr-CA"/>
        </w:rPr>
        <w:t xml:space="preserve">l’augmentation progressive des coûts </w:t>
      </w:r>
      <w:r w:rsidR="00CB3046">
        <w:rPr>
          <w:lang w:val="fr-CA"/>
        </w:rPr>
        <w:t xml:space="preserve">liés au </w:t>
      </w:r>
      <w:r w:rsidR="00B91619">
        <w:rPr>
          <w:lang w:val="fr-CA"/>
        </w:rPr>
        <w:t xml:space="preserve">fardeau administratif </w:t>
      </w:r>
      <w:r w:rsidR="0052311F">
        <w:rPr>
          <w:lang w:val="fr-CA"/>
        </w:rPr>
        <w:t>imposé aux</w:t>
      </w:r>
      <w:r w:rsidR="00B91619">
        <w:rPr>
          <w:lang w:val="fr-CA"/>
        </w:rPr>
        <w:t xml:space="preserve"> entreprises</w:t>
      </w:r>
      <w:r w:rsidR="00B91619" w:rsidRPr="00FA558D">
        <w:rPr>
          <w:lang w:val="fr-CA"/>
        </w:rPr>
        <w:t xml:space="preserve"> </w:t>
      </w:r>
      <w:r w:rsidR="00B91619">
        <w:rPr>
          <w:lang w:val="fr-CA"/>
        </w:rPr>
        <w:t>doit</w:t>
      </w:r>
      <w:r w:rsidR="00B91619" w:rsidRPr="00FA558D">
        <w:rPr>
          <w:lang w:val="fr-CA"/>
        </w:rPr>
        <w:t xml:space="preserve"> </w:t>
      </w:r>
      <w:r w:rsidR="00B91619">
        <w:rPr>
          <w:lang w:val="fr-CA"/>
        </w:rPr>
        <w:t xml:space="preserve">être </w:t>
      </w:r>
      <w:r w:rsidR="00CB3046">
        <w:rPr>
          <w:lang w:val="fr-CA"/>
        </w:rPr>
        <w:t>monétisée</w:t>
      </w:r>
      <w:r w:rsidR="00C5160F">
        <w:rPr>
          <w:lang w:val="fr-CA"/>
        </w:rPr>
        <w:t xml:space="preserve"> </w:t>
      </w:r>
      <w:r w:rsidR="00B91619">
        <w:rPr>
          <w:lang w:val="fr-CA"/>
        </w:rPr>
        <w:t xml:space="preserve">et </w:t>
      </w:r>
      <w:r w:rsidR="00CB3046">
        <w:rPr>
          <w:lang w:val="fr-CA"/>
        </w:rPr>
        <w:t>considéré</w:t>
      </w:r>
      <w:r w:rsidR="007C1161">
        <w:rPr>
          <w:lang w:val="fr-CA"/>
        </w:rPr>
        <w:t xml:space="preserve">e </w:t>
      </w:r>
      <w:r w:rsidR="00B91619">
        <w:rPr>
          <w:lang w:val="fr-CA"/>
        </w:rPr>
        <w:t>comme une augmentation du fardeau</w:t>
      </w:r>
      <w:r w:rsidR="00B91619" w:rsidRPr="00FA558D">
        <w:rPr>
          <w:lang w:val="fr-CA"/>
        </w:rPr>
        <w:t>.</w:t>
      </w:r>
    </w:p>
    <w:p w14:paraId="6AEB24C7" w14:textId="77777777" w:rsidR="00B91619" w:rsidRPr="00FA558D" w:rsidRDefault="00B91619" w:rsidP="00B91619">
      <w:pPr>
        <w:tabs>
          <w:tab w:val="left" w:pos="9356"/>
        </w:tabs>
        <w:spacing w:after="0" w:line="240" w:lineRule="auto"/>
        <w:rPr>
          <w:lang w:val="fr-CA"/>
        </w:rPr>
      </w:pPr>
    </w:p>
    <w:p w14:paraId="59EED4BC" w14:textId="4F6CD92A" w:rsidR="00B91619" w:rsidRPr="00FA558D" w:rsidRDefault="00B91619" w:rsidP="00B91619">
      <w:pPr>
        <w:tabs>
          <w:tab w:val="left" w:pos="9356"/>
        </w:tabs>
        <w:spacing w:after="0" w:line="240" w:lineRule="auto"/>
        <w:rPr>
          <w:lang w:val="fr-CA"/>
        </w:rPr>
      </w:pPr>
      <w:r>
        <w:rPr>
          <w:lang w:val="fr-CA"/>
        </w:rPr>
        <w:t>Si, en vertu d’une nouvelle entente, le ministre fédéral</w:t>
      </w:r>
      <w:r w:rsidRPr="00FA558D">
        <w:rPr>
          <w:lang w:val="fr-CA"/>
        </w:rPr>
        <w:t xml:space="preserve"> </w:t>
      </w:r>
      <w:r>
        <w:rPr>
          <w:lang w:val="fr-CA"/>
        </w:rPr>
        <w:t xml:space="preserve">apporte des </w:t>
      </w:r>
      <w:r w:rsidR="00CB3046">
        <w:rPr>
          <w:lang w:val="fr-CA"/>
        </w:rPr>
        <w:t xml:space="preserve">modifications </w:t>
      </w:r>
      <w:r>
        <w:rPr>
          <w:lang w:val="fr-CA"/>
        </w:rPr>
        <w:t xml:space="preserve">réglementaires qui </w:t>
      </w:r>
      <w:r w:rsidR="00CB3046">
        <w:rPr>
          <w:lang w:val="fr-CA"/>
        </w:rPr>
        <w:t>imposent de nouveaux</w:t>
      </w:r>
      <w:r>
        <w:rPr>
          <w:lang w:val="fr-CA"/>
        </w:rPr>
        <w:t xml:space="preserve"> coûts</w:t>
      </w:r>
      <w:r w:rsidR="00CB3046">
        <w:rPr>
          <w:lang w:val="fr-CA"/>
        </w:rPr>
        <w:t xml:space="preserve"> liés au</w:t>
      </w:r>
      <w:r>
        <w:rPr>
          <w:lang w:val="fr-CA"/>
        </w:rPr>
        <w:t xml:space="preserve"> fardeau administratif </w:t>
      </w:r>
      <w:r w:rsidR="00CB3046">
        <w:rPr>
          <w:lang w:val="fr-CA"/>
        </w:rPr>
        <w:t>d</w:t>
      </w:r>
      <w:r>
        <w:rPr>
          <w:lang w:val="fr-CA"/>
        </w:rPr>
        <w:t>es entreprises</w:t>
      </w:r>
      <w:r w:rsidRPr="00FA558D">
        <w:rPr>
          <w:lang w:val="fr-CA"/>
        </w:rPr>
        <w:t xml:space="preserve"> </w:t>
      </w:r>
      <w:r>
        <w:rPr>
          <w:lang w:val="fr-CA"/>
        </w:rPr>
        <w:t>à la demande d’une</w:t>
      </w:r>
      <w:r w:rsidRPr="00FA558D">
        <w:rPr>
          <w:lang w:val="fr-CA"/>
        </w:rPr>
        <w:t xml:space="preserve"> province</w:t>
      </w:r>
      <w:r>
        <w:rPr>
          <w:lang w:val="fr-CA"/>
        </w:rPr>
        <w:t xml:space="preserve"> ou d’un </w:t>
      </w:r>
      <w:r w:rsidRPr="00FA558D">
        <w:rPr>
          <w:lang w:val="fr-CA"/>
        </w:rPr>
        <w:t>terri</w:t>
      </w:r>
      <w:r>
        <w:rPr>
          <w:lang w:val="fr-CA"/>
        </w:rPr>
        <w:t>toire</w:t>
      </w:r>
      <w:r w:rsidRPr="00FA558D">
        <w:rPr>
          <w:lang w:val="fr-CA"/>
        </w:rPr>
        <w:t xml:space="preserve">, </w:t>
      </w:r>
      <w:r>
        <w:rPr>
          <w:lang w:val="fr-CA"/>
        </w:rPr>
        <w:t>le ministre fédéral qui parraine la modification réglementaire</w:t>
      </w:r>
      <w:r w:rsidRPr="00FA558D">
        <w:rPr>
          <w:lang w:val="fr-CA"/>
        </w:rPr>
        <w:t xml:space="preserve"> </w:t>
      </w:r>
      <w:r>
        <w:rPr>
          <w:lang w:val="fr-CA"/>
        </w:rPr>
        <w:t>se verra attribuer l’augmentation du fardeau</w:t>
      </w:r>
      <w:r w:rsidRPr="00FA558D">
        <w:rPr>
          <w:lang w:val="fr-CA"/>
        </w:rPr>
        <w:t xml:space="preserve"> (</w:t>
      </w:r>
      <w:r>
        <w:rPr>
          <w:lang w:val="fr-CA"/>
        </w:rPr>
        <w:t xml:space="preserve">et </w:t>
      </w:r>
      <w:r w:rsidR="00CB3046">
        <w:rPr>
          <w:lang w:val="fr-CA"/>
        </w:rPr>
        <w:t>l’ajout</w:t>
      </w:r>
      <w:r>
        <w:rPr>
          <w:lang w:val="fr-CA"/>
        </w:rPr>
        <w:t xml:space="preserve"> du règlement, selon le cas</w:t>
      </w:r>
      <w:r w:rsidRPr="00FA558D">
        <w:rPr>
          <w:lang w:val="fr-CA"/>
        </w:rPr>
        <w:t xml:space="preserve">) </w:t>
      </w:r>
      <w:r>
        <w:rPr>
          <w:lang w:val="fr-CA"/>
        </w:rPr>
        <w:t>en vertu de la règle du « un pour un »</w:t>
      </w:r>
      <w:r w:rsidRPr="00FA558D">
        <w:rPr>
          <w:lang w:val="fr-CA"/>
        </w:rPr>
        <w:t>.</w:t>
      </w:r>
    </w:p>
    <w:p w14:paraId="3A642676" w14:textId="77777777" w:rsidR="00B91619" w:rsidRPr="00FA558D" w:rsidRDefault="00B91619" w:rsidP="00B91619">
      <w:pPr>
        <w:tabs>
          <w:tab w:val="left" w:pos="9356"/>
        </w:tabs>
        <w:spacing w:after="0" w:line="240" w:lineRule="auto"/>
        <w:rPr>
          <w:lang w:val="fr-CA"/>
        </w:rPr>
      </w:pPr>
    </w:p>
    <w:p w14:paraId="2F244181" w14:textId="66DE11E2" w:rsidR="00B91619" w:rsidRPr="00FA558D" w:rsidRDefault="00B91619" w:rsidP="00B91619">
      <w:pPr>
        <w:pStyle w:val="Heading4"/>
        <w:rPr>
          <w:lang w:val="fr-CA"/>
        </w:rPr>
      </w:pPr>
      <w:r w:rsidRPr="00FA558D">
        <w:rPr>
          <w:lang w:val="fr-CA"/>
        </w:rPr>
        <w:t>A</w:t>
      </w:r>
      <w:r>
        <w:rPr>
          <w:lang w:val="fr-CA"/>
        </w:rPr>
        <w:t>pplication de</w:t>
      </w:r>
      <w:r w:rsidRPr="00FA558D">
        <w:rPr>
          <w:lang w:val="fr-CA"/>
        </w:rPr>
        <w:t xml:space="preserve"> </w:t>
      </w:r>
      <w:r>
        <w:rPr>
          <w:lang w:val="fr-CA"/>
        </w:rPr>
        <w:t>la règle du « un pour un »</w:t>
      </w:r>
      <w:r w:rsidRPr="00FA558D">
        <w:rPr>
          <w:lang w:val="fr-CA"/>
        </w:rPr>
        <w:t xml:space="preserve"> </w:t>
      </w:r>
      <w:r>
        <w:rPr>
          <w:lang w:val="fr-CA"/>
        </w:rPr>
        <w:t xml:space="preserve">aux ententes avec les autres </w:t>
      </w:r>
      <w:r w:rsidR="004318B8">
        <w:rPr>
          <w:lang w:val="fr-CA"/>
        </w:rPr>
        <w:t>administrations</w:t>
      </w:r>
    </w:p>
    <w:p w14:paraId="1CF1B407" w14:textId="77777777" w:rsidR="00B91619" w:rsidRPr="00FA558D" w:rsidRDefault="00B91619" w:rsidP="00B91619">
      <w:pPr>
        <w:tabs>
          <w:tab w:val="left" w:pos="9356"/>
        </w:tabs>
        <w:spacing w:after="0" w:line="240" w:lineRule="auto"/>
        <w:rPr>
          <w:lang w:val="fr-CA"/>
        </w:rPr>
      </w:pPr>
    </w:p>
    <w:p w14:paraId="7F9432ED" w14:textId="6E80F0A8" w:rsidR="00B91619" w:rsidRPr="00FA558D" w:rsidRDefault="00B91619" w:rsidP="00B91619">
      <w:pPr>
        <w:tabs>
          <w:tab w:val="left" w:pos="9356"/>
        </w:tabs>
        <w:spacing w:after="0" w:line="240" w:lineRule="auto"/>
        <w:rPr>
          <w:lang w:val="fr-CA"/>
        </w:rPr>
      </w:pPr>
      <w:r>
        <w:rPr>
          <w:lang w:val="fr-CA"/>
        </w:rPr>
        <w:t>Les organismes de réglementation</w:t>
      </w:r>
      <w:r w:rsidRPr="00FA558D">
        <w:rPr>
          <w:lang w:val="fr-CA"/>
        </w:rPr>
        <w:t xml:space="preserve"> </w:t>
      </w:r>
      <w:r>
        <w:rPr>
          <w:lang w:val="fr-CA"/>
        </w:rPr>
        <w:t>d</w:t>
      </w:r>
      <w:r w:rsidR="0052311F">
        <w:rPr>
          <w:lang w:val="fr-CA"/>
        </w:rPr>
        <w:t>evraient</w:t>
      </w:r>
      <w:r>
        <w:rPr>
          <w:lang w:val="fr-CA"/>
        </w:rPr>
        <w:t xml:space="preserve"> veiller à ce que tous les accords internationaux et toutes les </w:t>
      </w:r>
      <w:r w:rsidRPr="00FA558D">
        <w:rPr>
          <w:lang w:val="fr-CA"/>
        </w:rPr>
        <w:t>obligations</w:t>
      </w:r>
      <w:r>
        <w:rPr>
          <w:lang w:val="fr-CA"/>
        </w:rPr>
        <w:t xml:space="preserve"> internationales soient, </w:t>
      </w:r>
      <w:r w:rsidR="0052311F">
        <w:rPr>
          <w:lang w:val="fr-CA"/>
        </w:rPr>
        <w:t>dans la mesure du</w:t>
      </w:r>
      <w:r>
        <w:rPr>
          <w:lang w:val="fr-CA"/>
        </w:rPr>
        <w:t xml:space="preserve"> possible, formulés de manière à réduire au minimum le fardeau administratif</w:t>
      </w:r>
      <w:r w:rsidR="0052311F">
        <w:rPr>
          <w:lang w:val="fr-CA"/>
        </w:rPr>
        <w:t xml:space="preserve"> imposé aux</w:t>
      </w:r>
      <w:r>
        <w:rPr>
          <w:lang w:val="fr-CA"/>
        </w:rPr>
        <w:t xml:space="preserve"> entreprises. Si le gouvernement fédéral</w:t>
      </w:r>
      <w:r w:rsidRPr="00FA558D">
        <w:rPr>
          <w:lang w:val="fr-CA"/>
        </w:rPr>
        <w:t xml:space="preserve"> </w:t>
      </w:r>
      <w:r>
        <w:rPr>
          <w:lang w:val="fr-CA"/>
        </w:rPr>
        <w:t>n’a pas le pouvoir discrétionnaire sur le choix de l’instrument juridique, la formulation ou l’</w:t>
      </w:r>
      <w:r w:rsidRPr="00FA558D">
        <w:rPr>
          <w:lang w:val="fr-CA"/>
        </w:rPr>
        <w:t xml:space="preserve">administration </w:t>
      </w:r>
      <w:r>
        <w:rPr>
          <w:lang w:val="fr-CA"/>
        </w:rPr>
        <w:t>du règlement</w:t>
      </w:r>
      <w:r w:rsidRPr="00FA558D">
        <w:rPr>
          <w:lang w:val="fr-CA"/>
        </w:rPr>
        <w:t xml:space="preserve">, </w:t>
      </w:r>
      <w:r>
        <w:rPr>
          <w:lang w:val="fr-CA"/>
        </w:rPr>
        <w:t>l’ob</w:t>
      </w:r>
      <w:r w:rsidRPr="00FA558D">
        <w:rPr>
          <w:lang w:val="fr-CA"/>
        </w:rPr>
        <w:t xml:space="preserve">ligation </w:t>
      </w:r>
      <w:r>
        <w:rPr>
          <w:lang w:val="fr-CA"/>
        </w:rPr>
        <w:t xml:space="preserve">pourrait être </w:t>
      </w:r>
      <w:r w:rsidR="002C62CA">
        <w:rPr>
          <w:lang w:val="fr-CA"/>
        </w:rPr>
        <w:t xml:space="preserve">considérée comme </w:t>
      </w:r>
      <w:r>
        <w:rPr>
          <w:lang w:val="fr-CA"/>
        </w:rPr>
        <w:t>no</w:t>
      </w:r>
      <w:r w:rsidRPr="00FA558D">
        <w:rPr>
          <w:lang w:val="fr-CA"/>
        </w:rPr>
        <w:t>n</w:t>
      </w:r>
      <w:r>
        <w:rPr>
          <w:lang w:val="fr-CA"/>
        </w:rPr>
        <w:t xml:space="preserve"> discrétionnaire et il deviendrait possible </w:t>
      </w:r>
      <w:r w:rsidR="002C62CA">
        <w:rPr>
          <w:lang w:val="fr-CA"/>
        </w:rPr>
        <w:t>de demander</w:t>
      </w:r>
      <w:r>
        <w:rPr>
          <w:lang w:val="fr-CA"/>
        </w:rPr>
        <w:t xml:space="preserve"> une </w:t>
      </w:r>
      <w:r w:rsidRPr="00FA558D">
        <w:rPr>
          <w:lang w:val="fr-CA"/>
        </w:rPr>
        <w:t xml:space="preserve">exemption </w:t>
      </w:r>
      <w:r>
        <w:rPr>
          <w:lang w:val="fr-CA"/>
        </w:rPr>
        <w:t>du Conseil du Trésor</w:t>
      </w:r>
      <w:r w:rsidRPr="00FA558D">
        <w:rPr>
          <w:lang w:val="fr-CA"/>
        </w:rPr>
        <w:t xml:space="preserve"> (</w:t>
      </w:r>
      <w:r w:rsidR="002C62CA">
        <w:rPr>
          <w:lang w:val="fr-CA"/>
        </w:rPr>
        <w:t>p</w:t>
      </w:r>
      <w:r w:rsidRPr="00FA558D">
        <w:rPr>
          <w:lang w:val="fr-CA"/>
        </w:rPr>
        <w:t>art</w:t>
      </w:r>
      <w:r>
        <w:rPr>
          <w:lang w:val="fr-CA"/>
        </w:rPr>
        <w:t>ie</w:t>
      </w:r>
      <w:r w:rsidRPr="00FA558D">
        <w:rPr>
          <w:lang w:val="fr-CA"/>
        </w:rPr>
        <w:t> B)</w:t>
      </w:r>
      <w:r>
        <w:rPr>
          <w:lang w:val="fr-CA"/>
        </w:rPr>
        <w:t>. Les organismes de réglementation</w:t>
      </w:r>
      <w:r w:rsidRPr="00FA558D">
        <w:rPr>
          <w:lang w:val="fr-CA"/>
        </w:rPr>
        <w:t xml:space="preserve"> </w:t>
      </w:r>
      <w:r>
        <w:rPr>
          <w:lang w:val="fr-CA"/>
        </w:rPr>
        <w:t xml:space="preserve">ne doivent pas présupposer </w:t>
      </w:r>
      <w:r w:rsidR="002C62CA">
        <w:rPr>
          <w:lang w:val="fr-CA"/>
        </w:rPr>
        <w:t xml:space="preserve">que </w:t>
      </w:r>
      <w:r>
        <w:rPr>
          <w:lang w:val="fr-CA"/>
        </w:rPr>
        <w:t xml:space="preserve">les </w:t>
      </w:r>
      <w:r w:rsidR="002C62CA">
        <w:rPr>
          <w:lang w:val="fr-CA"/>
        </w:rPr>
        <w:t xml:space="preserve">modifications </w:t>
      </w:r>
      <w:r>
        <w:rPr>
          <w:lang w:val="fr-CA"/>
        </w:rPr>
        <w:t xml:space="preserve">réglementaires qu’ils proposent </w:t>
      </w:r>
      <w:r w:rsidR="002C62CA">
        <w:rPr>
          <w:lang w:val="fr-CA"/>
        </w:rPr>
        <w:t>soient exemptées de l’obligation</w:t>
      </w:r>
      <w:r>
        <w:rPr>
          <w:lang w:val="fr-CA"/>
        </w:rPr>
        <w:t xml:space="preserve"> de compenser s’ils peuvent régir la formulation et l’</w:t>
      </w:r>
      <w:r w:rsidRPr="00FA558D">
        <w:rPr>
          <w:lang w:val="fr-CA"/>
        </w:rPr>
        <w:t xml:space="preserve">administration </w:t>
      </w:r>
      <w:r>
        <w:rPr>
          <w:lang w:val="fr-CA"/>
        </w:rPr>
        <w:t>du règlement</w:t>
      </w:r>
      <w:r w:rsidRPr="00FA558D">
        <w:rPr>
          <w:lang w:val="fr-CA"/>
        </w:rPr>
        <w:t xml:space="preserve">. </w:t>
      </w:r>
    </w:p>
    <w:p w14:paraId="7372ABC0" w14:textId="77777777" w:rsidR="00B91619" w:rsidRPr="00FA558D" w:rsidRDefault="00B91619" w:rsidP="00B91619">
      <w:pPr>
        <w:tabs>
          <w:tab w:val="left" w:pos="9356"/>
        </w:tabs>
        <w:spacing w:after="0" w:line="240" w:lineRule="auto"/>
        <w:rPr>
          <w:lang w:val="fr-CA"/>
        </w:rPr>
      </w:pPr>
    </w:p>
    <w:p w14:paraId="1133D61F" w14:textId="77777777" w:rsidR="00B91619" w:rsidRPr="00FA558D" w:rsidRDefault="00B91619" w:rsidP="00B91619">
      <w:pPr>
        <w:pStyle w:val="Heading3"/>
        <w:rPr>
          <w:lang w:val="fr-CA"/>
        </w:rPr>
      </w:pPr>
      <w:bookmarkStart w:id="17" w:name="_Toc69891046"/>
      <w:r>
        <w:rPr>
          <w:lang w:val="fr-CA"/>
        </w:rPr>
        <w:t>Validation des</w:t>
      </w:r>
      <w:r w:rsidRPr="00FA558D">
        <w:rPr>
          <w:lang w:val="fr-CA"/>
        </w:rPr>
        <w:t xml:space="preserve"> </w:t>
      </w:r>
      <w:r>
        <w:rPr>
          <w:lang w:val="fr-CA"/>
        </w:rPr>
        <w:t>estimation</w:t>
      </w:r>
      <w:r w:rsidRPr="00FA558D">
        <w:rPr>
          <w:lang w:val="fr-CA"/>
        </w:rPr>
        <w:t>s</w:t>
      </w:r>
      <w:r>
        <w:rPr>
          <w:lang w:val="fr-CA"/>
        </w:rPr>
        <w:t xml:space="preserve"> du fardeau administratif </w:t>
      </w:r>
      <w:r w:rsidRPr="00FA558D">
        <w:rPr>
          <w:lang w:val="fr-CA"/>
        </w:rPr>
        <w:t>(</w:t>
      </w:r>
      <w:r>
        <w:rPr>
          <w:lang w:val="fr-CA"/>
        </w:rPr>
        <w:t>sous-s</w:t>
      </w:r>
      <w:r w:rsidRPr="00FA558D">
        <w:rPr>
          <w:lang w:val="fr-CA"/>
        </w:rPr>
        <w:t>ection 7.2.2)</w:t>
      </w:r>
      <w:bookmarkEnd w:id="17"/>
    </w:p>
    <w:p w14:paraId="0CAA0FFF" w14:textId="77777777" w:rsidR="00B91619" w:rsidRPr="00FA558D" w:rsidRDefault="00B91619" w:rsidP="00B91619">
      <w:pPr>
        <w:tabs>
          <w:tab w:val="left" w:pos="9356"/>
        </w:tabs>
        <w:spacing w:after="0" w:line="240" w:lineRule="auto"/>
        <w:rPr>
          <w:lang w:val="fr-CA"/>
        </w:rPr>
      </w:pPr>
    </w:p>
    <w:p w14:paraId="73346DF8" w14:textId="25F0978D" w:rsidR="00B91619" w:rsidRPr="00FA558D" w:rsidRDefault="00B91619" w:rsidP="00B91619">
      <w:pPr>
        <w:tabs>
          <w:tab w:val="left" w:pos="9356"/>
        </w:tabs>
        <w:spacing w:after="0" w:line="240" w:lineRule="auto"/>
        <w:rPr>
          <w:lang w:val="fr-CA"/>
        </w:rPr>
      </w:pPr>
      <w:r w:rsidRPr="00FA558D">
        <w:rPr>
          <w:lang w:val="fr-CA"/>
        </w:rPr>
        <w:t>I</w:t>
      </w:r>
      <w:r>
        <w:rPr>
          <w:lang w:val="fr-CA"/>
        </w:rPr>
        <w:t>l est essentiel que les hypothèse</w:t>
      </w:r>
      <w:r w:rsidRPr="00FA558D">
        <w:rPr>
          <w:lang w:val="fr-CA"/>
        </w:rPr>
        <w:t xml:space="preserve">s </w:t>
      </w:r>
      <w:r w:rsidR="00CF69BA">
        <w:rPr>
          <w:lang w:val="fr-CA"/>
        </w:rPr>
        <w:t>utilisées pour estimer les</w:t>
      </w:r>
      <w:r>
        <w:rPr>
          <w:lang w:val="fr-CA"/>
        </w:rPr>
        <w:t xml:space="preserve"> répercussions</w:t>
      </w:r>
      <w:r w:rsidRPr="00FA558D">
        <w:rPr>
          <w:lang w:val="fr-CA"/>
        </w:rPr>
        <w:t xml:space="preserve"> </w:t>
      </w:r>
      <w:r>
        <w:rPr>
          <w:lang w:val="fr-CA"/>
        </w:rPr>
        <w:t>d’un projet</w:t>
      </w:r>
      <w:r w:rsidRPr="00FA558D">
        <w:rPr>
          <w:lang w:val="fr-CA"/>
        </w:rPr>
        <w:t xml:space="preserve"> </w:t>
      </w:r>
      <w:r>
        <w:rPr>
          <w:lang w:val="fr-CA"/>
        </w:rPr>
        <w:t xml:space="preserve">soient </w:t>
      </w:r>
      <w:r w:rsidR="00CF69BA">
        <w:rPr>
          <w:lang w:val="fr-CA"/>
        </w:rPr>
        <w:t>aussi</w:t>
      </w:r>
      <w:r>
        <w:rPr>
          <w:lang w:val="fr-CA"/>
        </w:rPr>
        <w:t xml:space="preserve"> exactes </w:t>
      </w:r>
      <w:r w:rsidR="00CF69BA">
        <w:rPr>
          <w:lang w:val="fr-CA"/>
        </w:rPr>
        <w:t xml:space="preserve">que </w:t>
      </w:r>
      <w:r w:rsidRPr="00FA558D">
        <w:rPr>
          <w:lang w:val="fr-CA"/>
        </w:rPr>
        <w:t xml:space="preserve">possible. </w:t>
      </w:r>
      <w:r>
        <w:rPr>
          <w:lang w:val="fr-CA"/>
        </w:rPr>
        <w:t>Les organismes de réglementation</w:t>
      </w:r>
      <w:r w:rsidRPr="00FA558D">
        <w:rPr>
          <w:lang w:val="fr-CA"/>
        </w:rPr>
        <w:t xml:space="preserve"> </w:t>
      </w:r>
      <w:r>
        <w:rPr>
          <w:lang w:val="fr-CA"/>
        </w:rPr>
        <w:t>devraient valider ces</w:t>
      </w:r>
      <w:r w:rsidRPr="00FA558D">
        <w:rPr>
          <w:lang w:val="fr-CA"/>
        </w:rPr>
        <w:t xml:space="preserve"> </w:t>
      </w:r>
      <w:r>
        <w:rPr>
          <w:lang w:val="fr-CA"/>
        </w:rPr>
        <w:t>hypothèse</w:t>
      </w:r>
      <w:r w:rsidRPr="00FA558D">
        <w:rPr>
          <w:lang w:val="fr-CA"/>
        </w:rPr>
        <w:t xml:space="preserve">s </w:t>
      </w:r>
      <w:r>
        <w:rPr>
          <w:lang w:val="fr-CA"/>
        </w:rPr>
        <w:t>le plus tôt possible dans le processus d’élaboration de la réglementation</w:t>
      </w:r>
      <w:r w:rsidRPr="00FA558D">
        <w:rPr>
          <w:lang w:val="fr-CA"/>
        </w:rPr>
        <w:t xml:space="preserve">. </w:t>
      </w:r>
    </w:p>
    <w:p w14:paraId="3D6BB61C" w14:textId="77777777" w:rsidR="00B91619" w:rsidRPr="00FA558D" w:rsidRDefault="00B91619" w:rsidP="00B91619">
      <w:pPr>
        <w:tabs>
          <w:tab w:val="left" w:pos="9356"/>
        </w:tabs>
        <w:spacing w:after="0" w:line="240" w:lineRule="auto"/>
        <w:rPr>
          <w:lang w:val="fr-CA"/>
        </w:rPr>
      </w:pPr>
    </w:p>
    <w:p w14:paraId="6836231E" w14:textId="79058063" w:rsidR="00B91619" w:rsidRPr="00FA558D" w:rsidRDefault="00B91619" w:rsidP="00B91619">
      <w:pPr>
        <w:tabs>
          <w:tab w:val="left" w:pos="9356"/>
        </w:tabs>
        <w:spacing w:after="0" w:line="240" w:lineRule="auto"/>
        <w:rPr>
          <w:lang w:val="fr-CA"/>
        </w:rPr>
      </w:pPr>
      <w:r>
        <w:rPr>
          <w:lang w:val="fr-CA"/>
        </w:rPr>
        <w:t>Les hypothèses</w:t>
      </w:r>
      <w:r w:rsidRPr="00FA558D">
        <w:rPr>
          <w:lang w:val="fr-CA"/>
        </w:rPr>
        <w:t xml:space="preserve"> </w:t>
      </w:r>
      <w:r>
        <w:rPr>
          <w:lang w:val="fr-CA"/>
        </w:rPr>
        <w:t>devraient être fondées sur les contributions significatives</w:t>
      </w:r>
      <w:r w:rsidRPr="00FA558D">
        <w:rPr>
          <w:lang w:val="fr-CA"/>
        </w:rPr>
        <w:t xml:space="preserve"> </w:t>
      </w:r>
      <w:r>
        <w:rPr>
          <w:lang w:val="fr-CA"/>
        </w:rPr>
        <w:t>des</w:t>
      </w:r>
      <w:r w:rsidRPr="00FA558D">
        <w:rPr>
          <w:lang w:val="fr-CA"/>
        </w:rPr>
        <w:t xml:space="preserve"> </w:t>
      </w:r>
      <w:r>
        <w:rPr>
          <w:lang w:val="fr-CA"/>
        </w:rPr>
        <w:t>intervenants</w:t>
      </w:r>
      <w:r w:rsidRPr="00FA558D">
        <w:rPr>
          <w:lang w:val="fr-CA"/>
        </w:rPr>
        <w:t xml:space="preserve">, </w:t>
      </w:r>
      <w:r>
        <w:rPr>
          <w:lang w:val="fr-CA"/>
        </w:rPr>
        <w:t>qui peuvent être obtenues par divers moyens. Les organismes de réglementation</w:t>
      </w:r>
      <w:r w:rsidRPr="00FA558D">
        <w:rPr>
          <w:lang w:val="fr-CA"/>
        </w:rPr>
        <w:t xml:space="preserve"> </w:t>
      </w:r>
      <w:r>
        <w:rPr>
          <w:lang w:val="fr-CA"/>
        </w:rPr>
        <w:t>peuvent choisir de mobiliser les intervenants</w:t>
      </w:r>
      <w:r w:rsidRPr="00FA558D">
        <w:rPr>
          <w:lang w:val="fr-CA"/>
        </w:rPr>
        <w:t xml:space="preserve"> </w:t>
      </w:r>
      <w:r>
        <w:rPr>
          <w:lang w:val="fr-CA"/>
        </w:rPr>
        <w:t xml:space="preserve">dans le cadre d’un vaste processus de </w:t>
      </w:r>
      <w:r w:rsidRPr="00FA558D">
        <w:rPr>
          <w:lang w:val="fr-CA"/>
        </w:rPr>
        <w:t>consultati</w:t>
      </w:r>
      <w:r>
        <w:rPr>
          <w:lang w:val="fr-CA"/>
        </w:rPr>
        <w:t>on</w:t>
      </w:r>
      <w:r w:rsidR="00C11261" w:rsidRPr="00C11261">
        <w:rPr>
          <w:lang w:val="fr-CA"/>
        </w:rPr>
        <w:t xml:space="preserve"> </w:t>
      </w:r>
      <w:r w:rsidR="00C11261">
        <w:rPr>
          <w:lang w:val="fr-CA"/>
        </w:rPr>
        <w:t>officiel</w:t>
      </w:r>
      <w:r>
        <w:rPr>
          <w:lang w:val="fr-CA"/>
        </w:rPr>
        <w:t>, bien qu’il puisse aussi être opportun de communiquer de manière informelle avec les principaux intervenants</w:t>
      </w:r>
      <w:r w:rsidRPr="00FA558D">
        <w:rPr>
          <w:lang w:val="fr-CA"/>
        </w:rPr>
        <w:t xml:space="preserve">. </w:t>
      </w:r>
      <w:r w:rsidR="00AD63B8">
        <w:rPr>
          <w:lang w:val="fr-CA"/>
        </w:rPr>
        <w:t>Au bout du compte</w:t>
      </w:r>
      <w:r>
        <w:rPr>
          <w:lang w:val="fr-CA"/>
        </w:rPr>
        <w:t>, les</w:t>
      </w:r>
      <w:r w:rsidRPr="00FA558D">
        <w:rPr>
          <w:lang w:val="fr-CA"/>
        </w:rPr>
        <w:t xml:space="preserve"> </w:t>
      </w:r>
      <w:r>
        <w:rPr>
          <w:lang w:val="fr-CA"/>
        </w:rPr>
        <w:t xml:space="preserve">organismes de réglementation sont les mieux placés pour </w:t>
      </w:r>
      <w:r w:rsidR="00AD63B8">
        <w:rPr>
          <w:lang w:val="fr-CA"/>
        </w:rPr>
        <w:t>déterminer la façon de</w:t>
      </w:r>
      <w:r>
        <w:rPr>
          <w:lang w:val="fr-CA"/>
        </w:rPr>
        <w:t xml:space="preserve"> valider les hypothèses et la section sur la règle du « un pour un » du REIR</w:t>
      </w:r>
      <w:r w:rsidRPr="00FA558D">
        <w:rPr>
          <w:lang w:val="fr-CA"/>
        </w:rPr>
        <w:t xml:space="preserve"> </w:t>
      </w:r>
      <w:r>
        <w:rPr>
          <w:lang w:val="fr-CA"/>
        </w:rPr>
        <w:t xml:space="preserve">devrait indiquer </w:t>
      </w:r>
      <w:r w:rsidR="00AD63B8">
        <w:rPr>
          <w:lang w:val="fr-CA"/>
        </w:rPr>
        <w:t xml:space="preserve">de quelle façon </w:t>
      </w:r>
      <w:r>
        <w:rPr>
          <w:lang w:val="fr-CA"/>
        </w:rPr>
        <w:t>les hypothèses ont été validées</w:t>
      </w:r>
      <w:r w:rsidRPr="00FA558D">
        <w:rPr>
          <w:lang w:val="fr-CA"/>
        </w:rPr>
        <w:t xml:space="preserve">. </w:t>
      </w:r>
    </w:p>
    <w:p w14:paraId="7FEE12A8" w14:textId="77777777" w:rsidR="00B91619" w:rsidRPr="00FA558D" w:rsidRDefault="00B91619" w:rsidP="00B91619">
      <w:pPr>
        <w:tabs>
          <w:tab w:val="left" w:pos="9356"/>
        </w:tabs>
        <w:spacing w:after="0" w:line="240" w:lineRule="auto"/>
        <w:rPr>
          <w:lang w:val="fr-CA"/>
        </w:rPr>
      </w:pPr>
    </w:p>
    <w:p w14:paraId="6B4EB249" w14:textId="631B4E73" w:rsidR="00B91619" w:rsidRPr="00FA558D" w:rsidRDefault="00B91619" w:rsidP="00B91619">
      <w:pPr>
        <w:tabs>
          <w:tab w:val="left" w:pos="9356"/>
        </w:tabs>
        <w:spacing w:after="0" w:line="240" w:lineRule="auto"/>
        <w:rPr>
          <w:lang w:val="fr-CA"/>
        </w:rPr>
      </w:pPr>
      <w:r>
        <w:rPr>
          <w:lang w:val="fr-CA"/>
        </w:rPr>
        <w:lastRenderedPageBreak/>
        <w:t xml:space="preserve">S’il n’est pas réaliste de </w:t>
      </w:r>
      <w:r w:rsidR="00991304">
        <w:rPr>
          <w:lang w:val="fr-CA"/>
        </w:rPr>
        <w:t xml:space="preserve">faire participer </w:t>
      </w:r>
      <w:r>
        <w:rPr>
          <w:lang w:val="fr-CA"/>
        </w:rPr>
        <w:t>les intervenants, les organismes de réglementation</w:t>
      </w:r>
      <w:r w:rsidRPr="00FA558D">
        <w:rPr>
          <w:lang w:val="fr-CA"/>
        </w:rPr>
        <w:t xml:space="preserve"> </w:t>
      </w:r>
      <w:r>
        <w:rPr>
          <w:lang w:val="fr-CA"/>
        </w:rPr>
        <w:t>doivent</w:t>
      </w:r>
      <w:r w:rsidRPr="00FA558D">
        <w:rPr>
          <w:lang w:val="fr-CA"/>
        </w:rPr>
        <w:t xml:space="preserve"> </w:t>
      </w:r>
      <w:r>
        <w:rPr>
          <w:lang w:val="fr-CA"/>
        </w:rPr>
        <w:t>expliquer comment ils ont validé les hypothèses dans le cadre du projet. Les organismes de réglementation</w:t>
      </w:r>
      <w:r w:rsidRPr="00FA558D">
        <w:rPr>
          <w:lang w:val="fr-CA"/>
        </w:rPr>
        <w:t xml:space="preserve"> </w:t>
      </w:r>
      <w:r w:rsidR="00991304">
        <w:rPr>
          <w:lang w:val="fr-CA"/>
        </w:rPr>
        <w:t xml:space="preserve">pourraient choisir de </w:t>
      </w:r>
      <w:r>
        <w:rPr>
          <w:lang w:val="fr-CA"/>
        </w:rPr>
        <w:t>se référer à des échanges antérieurs avec les intervenants</w:t>
      </w:r>
      <w:r w:rsidRPr="00FA558D">
        <w:rPr>
          <w:lang w:val="fr-CA"/>
        </w:rPr>
        <w:t xml:space="preserve"> </w:t>
      </w:r>
      <w:r>
        <w:rPr>
          <w:lang w:val="fr-CA"/>
        </w:rPr>
        <w:t>sur les hypothèses</w:t>
      </w:r>
      <w:r w:rsidRPr="00FA558D">
        <w:rPr>
          <w:lang w:val="fr-CA"/>
        </w:rPr>
        <w:t xml:space="preserve">, </w:t>
      </w:r>
      <w:r>
        <w:rPr>
          <w:lang w:val="fr-CA"/>
        </w:rPr>
        <w:t xml:space="preserve">si ces </w:t>
      </w:r>
      <w:r w:rsidR="00991304">
        <w:rPr>
          <w:lang w:val="fr-CA"/>
        </w:rPr>
        <w:t xml:space="preserve">renseignements </w:t>
      </w:r>
      <w:r>
        <w:rPr>
          <w:lang w:val="fr-CA"/>
        </w:rPr>
        <w:t xml:space="preserve">sont toujours considérés comme </w:t>
      </w:r>
      <w:r w:rsidRPr="00FA558D">
        <w:rPr>
          <w:lang w:val="fr-CA"/>
        </w:rPr>
        <w:t>valid</w:t>
      </w:r>
      <w:r>
        <w:rPr>
          <w:lang w:val="fr-CA"/>
        </w:rPr>
        <w:t>es</w:t>
      </w:r>
      <w:r w:rsidRPr="00FA558D">
        <w:rPr>
          <w:lang w:val="fr-CA"/>
        </w:rPr>
        <w:t xml:space="preserve">. </w:t>
      </w:r>
      <w:r>
        <w:rPr>
          <w:lang w:val="fr-CA"/>
        </w:rPr>
        <w:t xml:space="preserve">Les </w:t>
      </w:r>
      <w:r w:rsidR="00991304">
        <w:rPr>
          <w:lang w:val="fr-CA"/>
        </w:rPr>
        <w:t>renseignements provenant</w:t>
      </w:r>
      <w:r>
        <w:rPr>
          <w:lang w:val="fr-CA"/>
        </w:rPr>
        <w:t xml:space="preserve"> d’échanges antérieurs</w:t>
      </w:r>
      <w:r w:rsidRPr="00FA558D">
        <w:rPr>
          <w:lang w:val="fr-CA"/>
        </w:rPr>
        <w:t xml:space="preserve"> </w:t>
      </w:r>
      <w:r>
        <w:rPr>
          <w:lang w:val="fr-CA"/>
        </w:rPr>
        <w:t xml:space="preserve">devraient être </w:t>
      </w:r>
      <w:r w:rsidR="00991304">
        <w:rPr>
          <w:lang w:val="fr-CA"/>
        </w:rPr>
        <w:t xml:space="preserve">indiqués </w:t>
      </w:r>
      <w:r>
        <w:rPr>
          <w:lang w:val="fr-CA"/>
        </w:rPr>
        <w:t>dans la section sur la règle du « un pour un » du REIR</w:t>
      </w:r>
      <w:r w:rsidRPr="00FA558D">
        <w:rPr>
          <w:lang w:val="fr-CA"/>
        </w:rPr>
        <w:t>.</w:t>
      </w:r>
    </w:p>
    <w:p w14:paraId="451A9314" w14:textId="77777777" w:rsidR="00B91619" w:rsidRPr="00FA558D" w:rsidRDefault="00B91619" w:rsidP="00B91619">
      <w:pPr>
        <w:tabs>
          <w:tab w:val="left" w:pos="9356"/>
        </w:tabs>
        <w:spacing w:after="0" w:line="240" w:lineRule="auto"/>
        <w:rPr>
          <w:lang w:val="fr-CA"/>
        </w:rPr>
      </w:pPr>
    </w:p>
    <w:p w14:paraId="27894A26" w14:textId="3C84EA5A" w:rsidR="00B91619" w:rsidRPr="00FA558D" w:rsidRDefault="00B91619" w:rsidP="00B91619">
      <w:pPr>
        <w:tabs>
          <w:tab w:val="left" w:pos="9356"/>
        </w:tabs>
        <w:spacing w:after="0" w:line="240" w:lineRule="auto"/>
        <w:rPr>
          <w:lang w:val="fr-CA"/>
        </w:rPr>
      </w:pPr>
      <w:r>
        <w:rPr>
          <w:lang w:val="fr-CA"/>
        </w:rPr>
        <w:t xml:space="preserve">Il existe une exigence </w:t>
      </w:r>
      <w:r w:rsidR="00991304">
        <w:rPr>
          <w:lang w:val="fr-CA"/>
        </w:rPr>
        <w:t>distincte pour</w:t>
      </w:r>
      <w:r>
        <w:rPr>
          <w:lang w:val="fr-CA"/>
        </w:rPr>
        <w:t xml:space="preserve"> remplir la section du REIR</w:t>
      </w:r>
      <w:r w:rsidR="00991304">
        <w:rPr>
          <w:lang w:val="fr-CA"/>
        </w:rPr>
        <w:t xml:space="preserve"> portant </w:t>
      </w:r>
      <w:r>
        <w:rPr>
          <w:lang w:val="fr-CA"/>
        </w:rPr>
        <w:t xml:space="preserve">sur la </w:t>
      </w:r>
      <w:r w:rsidRPr="00FA558D">
        <w:rPr>
          <w:lang w:val="fr-CA"/>
        </w:rPr>
        <w:t>consultation</w:t>
      </w:r>
      <w:r>
        <w:rPr>
          <w:lang w:val="fr-CA"/>
        </w:rPr>
        <w:t xml:space="preserve">. </w:t>
      </w:r>
      <w:r w:rsidR="00991304">
        <w:rPr>
          <w:lang w:val="fr-CA"/>
        </w:rPr>
        <w:t>Afin d’</w:t>
      </w:r>
      <w:r>
        <w:rPr>
          <w:lang w:val="fr-CA"/>
        </w:rPr>
        <w:t>éviter les dédoublements, la section sur la consultation devrait donner un aperçu complet de toutes les activités de consultation</w:t>
      </w:r>
      <w:r w:rsidRPr="00FA558D">
        <w:rPr>
          <w:lang w:val="fr-CA"/>
        </w:rPr>
        <w:t xml:space="preserve">. </w:t>
      </w:r>
      <w:r>
        <w:rPr>
          <w:lang w:val="fr-CA"/>
        </w:rPr>
        <w:t xml:space="preserve">La section sur la règle du « un pour un » devrait relever toute question </w:t>
      </w:r>
      <w:r w:rsidR="00991304">
        <w:rPr>
          <w:lang w:val="fr-CA"/>
        </w:rPr>
        <w:t xml:space="preserve">précise </w:t>
      </w:r>
      <w:r>
        <w:rPr>
          <w:lang w:val="fr-CA"/>
        </w:rPr>
        <w:t>liée à la règle</w:t>
      </w:r>
      <w:r w:rsidR="00991304">
        <w:rPr>
          <w:lang w:val="fr-CA"/>
        </w:rPr>
        <w:t xml:space="preserve"> </w:t>
      </w:r>
      <w:r>
        <w:rPr>
          <w:lang w:val="fr-CA"/>
        </w:rPr>
        <w:t xml:space="preserve">et </w:t>
      </w:r>
      <w:r w:rsidRPr="00FA558D">
        <w:rPr>
          <w:lang w:val="fr-CA"/>
        </w:rPr>
        <w:t>re</w:t>
      </w:r>
      <w:r>
        <w:rPr>
          <w:lang w:val="fr-CA"/>
        </w:rPr>
        <w:t>nvoyer le lecteur à la section sur la consultation</w:t>
      </w:r>
      <w:r w:rsidRPr="00FA558D">
        <w:rPr>
          <w:lang w:val="fr-CA"/>
        </w:rPr>
        <w:t xml:space="preserve"> </w:t>
      </w:r>
      <w:r>
        <w:rPr>
          <w:lang w:val="fr-CA"/>
        </w:rPr>
        <w:t>pour en savoir plus</w:t>
      </w:r>
      <w:r w:rsidRPr="00FA558D">
        <w:rPr>
          <w:lang w:val="fr-CA"/>
        </w:rPr>
        <w:t xml:space="preserve">. </w:t>
      </w:r>
    </w:p>
    <w:p w14:paraId="58EE4C26" w14:textId="77777777" w:rsidR="00B91619" w:rsidRPr="00FA558D" w:rsidRDefault="00B91619" w:rsidP="00B91619">
      <w:pPr>
        <w:tabs>
          <w:tab w:val="left" w:pos="9356"/>
        </w:tabs>
        <w:spacing w:after="0" w:line="240" w:lineRule="auto"/>
        <w:rPr>
          <w:lang w:val="fr-CA"/>
        </w:rPr>
      </w:pPr>
    </w:p>
    <w:p w14:paraId="48EC3E6C" w14:textId="77777777" w:rsidR="00B91619" w:rsidRPr="00FA558D" w:rsidRDefault="00B91619" w:rsidP="00B91619">
      <w:pPr>
        <w:pStyle w:val="Heading3"/>
        <w:rPr>
          <w:lang w:val="fr-CA"/>
        </w:rPr>
      </w:pPr>
      <w:bookmarkStart w:id="18" w:name="_Toc69891047"/>
      <w:r>
        <w:rPr>
          <w:lang w:val="fr-CA"/>
        </w:rPr>
        <w:t>Calcul des coûts administratifs</w:t>
      </w:r>
      <w:r w:rsidRPr="00FA558D">
        <w:rPr>
          <w:lang w:val="fr-CA"/>
        </w:rPr>
        <w:t xml:space="preserve"> (</w:t>
      </w:r>
      <w:r>
        <w:rPr>
          <w:lang w:val="fr-CA"/>
        </w:rPr>
        <w:t>sous-s</w:t>
      </w:r>
      <w:r w:rsidRPr="00FA558D">
        <w:rPr>
          <w:lang w:val="fr-CA"/>
        </w:rPr>
        <w:t>ection 7.2.3)</w:t>
      </w:r>
      <w:bookmarkEnd w:id="18"/>
    </w:p>
    <w:p w14:paraId="2A238F4D" w14:textId="77777777" w:rsidR="00B91619" w:rsidRPr="00FA558D" w:rsidRDefault="00B91619" w:rsidP="00B91619">
      <w:pPr>
        <w:tabs>
          <w:tab w:val="left" w:pos="9356"/>
        </w:tabs>
        <w:spacing w:after="0" w:line="240" w:lineRule="auto"/>
        <w:rPr>
          <w:lang w:val="fr-CA"/>
        </w:rPr>
      </w:pPr>
    </w:p>
    <w:p w14:paraId="313D3D30" w14:textId="1538AC9A" w:rsidR="00B91619" w:rsidRPr="00FA558D" w:rsidRDefault="00B91619" w:rsidP="00B91619">
      <w:pPr>
        <w:tabs>
          <w:tab w:val="left" w:pos="9356"/>
        </w:tabs>
        <w:spacing w:after="0" w:line="240" w:lineRule="auto"/>
        <w:rPr>
          <w:lang w:val="fr-CA"/>
        </w:rPr>
      </w:pPr>
      <w:r>
        <w:rPr>
          <w:lang w:val="fr-CA"/>
        </w:rPr>
        <w:t>Les coûts administratifs pour les entreprises doivent être calculés pour les projet</w:t>
      </w:r>
      <w:r w:rsidRPr="00FA558D">
        <w:rPr>
          <w:lang w:val="fr-CA"/>
        </w:rPr>
        <w:t>s</w:t>
      </w:r>
      <w:r>
        <w:rPr>
          <w:lang w:val="fr-CA"/>
        </w:rPr>
        <w:t xml:space="preserve"> qui </w:t>
      </w:r>
      <w:r w:rsidR="00991304">
        <w:rPr>
          <w:lang w:val="fr-CA"/>
        </w:rPr>
        <w:t>entraînent l’application de</w:t>
      </w:r>
      <w:r w:rsidR="00991304" w:rsidRPr="00FA558D">
        <w:rPr>
          <w:lang w:val="fr-CA"/>
        </w:rPr>
        <w:t xml:space="preserve"> </w:t>
      </w:r>
      <w:r>
        <w:rPr>
          <w:lang w:val="fr-CA"/>
        </w:rPr>
        <w:t>la règle du « un pour un »</w:t>
      </w:r>
      <w:r w:rsidRPr="00FA558D">
        <w:rPr>
          <w:lang w:val="fr-CA"/>
        </w:rPr>
        <w:t xml:space="preserve">. </w:t>
      </w:r>
      <w:r>
        <w:rPr>
          <w:lang w:val="fr-CA"/>
        </w:rPr>
        <w:t>Le calcul</w:t>
      </w:r>
      <w:r w:rsidRPr="00FA558D">
        <w:rPr>
          <w:lang w:val="fr-CA"/>
        </w:rPr>
        <w:t xml:space="preserve"> </w:t>
      </w:r>
      <w:r>
        <w:rPr>
          <w:lang w:val="fr-CA"/>
        </w:rPr>
        <w:t>devrait être</w:t>
      </w:r>
      <w:r w:rsidRPr="00FA558D">
        <w:rPr>
          <w:lang w:val="fr-CA"/>
        </w:rPr>
        <w:t xml:space="preserve"> </w:t>
      </w:r>
      <w:r>
        <w:rPr>
          <w:lang w:val="fr-CA"/>
        </w:rPr>
        <w:t>élaboré à l’aide du Calculateur des coûts réglementaires</w:t>
      </w:r>
      <w:r w:rsidRPr="00FA558D">
        <w:rPr>
          <w:lang w:val="fr-CA"/>
        </w:rPr>
        <w:t xml:space="preserve">, </w:t>
      </w:r>
      <w:r>
        <w:rPr>
          <w:lang w:val="fr-CA"/>
        </w:rPr>
        <w:t>lequel :</w:t>
      </w:r>
    </w:p>
    <w:p w14:paraId="15612777" w14:textId="77777777" w:rsidR="00B91619" w:rsidRPr="00FA558D" w:rsidRDefault="00B91619" w:rsidP="00B91619">
      <w:pPr>
        <w:pStyle w:val="ListParagraph"/>
        <w:numPr>
          <w:ilvl w:val="0"/>
          <w:numId w:val="7"/>
        </w:numPr>
        <w:tabs>
          <w:tab w:val="left" w:pos="9356"/>
        </w:tabs>
        <w:spacing w:after="0" w:line="240" w:lineRule="auto"/>
        <w:rPr>
          <w:lang w:val="fr-CA"/>
        </w:rPr>
      </w:pPr>
      <w:r>
        <w:rPr>
          <w:lang w:val="fr-CA"/>
        </w:rPr>
        <w:t>est fondé sur la Méthode des coûts standard ;</w:t>
      </w:r>
    </w:p>
    <w:p w14:paraId="4B33CF94" w14:textId="77777777" w:rsidR="00B91619" w:rsidRPr="00FA558D" w:rsidRDefault="00B91619" w:rsidP="00B91619">
      <w:pPr>
        <w:pStyle w:val="ListParagraph"/>
        <w:numPr>
          <w:ilvl w:val="0"/>
          <w:numId w:val="7"/>
        </w:numPr>
        <w:tabs>
          <w:tab w:val="left" w:pos="9356"/>
        </w:tabs>
        <w:spacing w:after="0" w:line="240" w:lineRule="auto"/>
        <w:rPr>
          <w:lang w:val="fr-CA"/>
        </w:rPr>
      </w:pPr>
      <w:r>
        <w:rPr>
          <w:lang w:val="fr-CA"/>
        </w:rPr>
        <w:t>applique</w:t>
      </w:r>
      <w:r w:rsidRPr="00FA558D">
        <w:rPr>
          <w:lang w:val="fr-CA"/>
        </w:rPr>
        <w:t xml:space="preserve"> </w:t>
      </w:r>
      <w:r>
        <w:rPr>
          <w:lang w:val="fr-CA"/>
        </w:rPr>
        <w:t>la méthode définie dans</w:t>
      </w:r>
      <w:r w:rsidRPr="00FA558D">
        <w:rPr>
          <w:lang w:val="fr-CA"/>
        </w:rPr>
        <w:t xml:space="preserve"> </w:t>
      </w:r>
      <w:r>
        <w:rPr>
          <w:lang w:val="fr-CA"/>
        </w:rPr>
        <w:t>le Règlem</w:t>
      </w:r>
      <w:r w:rsidRPr="00FA558D">
        <w:rPr>
          <w:lang w:val="fr-CA"/>
        </w:rPr>
        <w:t>ent sur la réduction de la paperasse</w:t>
      </w:r>
      <w:r>
        <w:rPr>
          <w:lang w:val="fr-CA"/>
        </w:rPr>
        <w:t>.</w:t>
      </w:r>
    </w:p>
    <w:p w14:paraId="1DAF4852" w14:textId="77777777" w:rsidR="00B91619" w:rsidRPr="00FA558D" w:rsidRDefault="00B91619" w:rsidP="00B91619">
      <w:pPr>
        <w:pStyle w:val="ListParagraph"/>
        <w:tabs>
          <w:tab w:val="left" w:pos="9356"/>
        </w:tabs>
        <w:spacing w:after="0" w:line="240" w:lineRule="auto"/>
        <w:rPr>
          <w:lang w:val="fr-CA"/>
        </w:rPr>
      </w:pPr>
    </w:p>
    <w:p w14:paraId="68762650" w14:textId="77777777" w:rsidR="00B91619" w:rsidRPr="00FA558D" w:rsidRDefault="00B91619" w:rsidP="00B91619">
      <w:pPr>
        <w:tabs>
          <w:tab w:val="left" w:pos="9356"/>
        </w:tabs>
        <w:spacing w:after="0" w:line="240" w:lineRule="auto"/>
        <w:rPr>
          <w:lang w:val="fr-CA"/>
        </w:rPr>
      </w:pPr>
      <w:r>
        <w:rPr>
          <w:lang w:val="fr-CA"/>
        </w:rPr>
        <w:t>Une fois rempli, le Calculateur des coûts réglementaires</w:t>
      </w:r>
      <w:r w:rsidRPr="00FA558D">
        <w:rPr>
          <w:lang w:val="fr-CA"/>
        </w:rPr>
        <w:t xml:space="preserve"> </w:t>
      </w:r>
      <w:r>
        <w:rPr>
          <w:lang w:val="fr-CA"/>
        </w:rPr>
        <w:t>doit être acheminé au SCT</w:t>
      </w:r>
      <w:r w:rsidRPr="00FA558D">
        <w:rPr>
          <w:lang w:val="fr-CA"/>
        </w:rPr>
        <w:t xml:space="preserve">. </w:t>
      </w:r>
    </w:p>
    <w:p w14:paraId="17A8B191" w14:textId="77777777" w:rsidR="00B91619" w:rsidRPr="00FA558D" w:rsidRDefault="00B91619" w:rsidP="00B91619">
      <w:pPr>
        <w:tabs>
          <w:tab w:val="left" w:pos="9356"/>
        </w:tabs>
        <w:spacing w:after="0" w:line="240" w:lineRule="auto"/>
        <w:rPr>
          <w:lang w:val="fr-CA"/>
        </w:rPr>
      </w:pPr>
    </w:p>
    <w:p w14:paraId="3DB0CDBC" w14:textId="1E4633B3" w:rsidR="00B91619" w:rsidRPr="00FA558D" w:rsidRDefault="00B91619" w:rsidP="00B91619">
      <w:pPr>
        <w:tabs>
          <w:tab w:val="left" w:pos="9356"/>
        </w:tabs>
        <w:spacing w:after="0" w:line="240" w:lineRule="auto"/>
        <w:rPr>
          <w:lang w:val="fr-CA"/>
        </w:rPr>
      </w:pPr>
      <w:r>
        <w:rPr>
          <w:lang w:val="fr-CA"/>
        </w:rPr>
        <w:t>Bien que les organismes de réglementation soient fortement encouragés à utiliser le Calculateur des coûts réglementaires</w:t>
      </w:r>
      <w:r w:rsidRPr="00FA558D">
        <w:rPr>
          <w:lang w:val="fr-CA"/>
        </w:rPr>
        <w:t>,</w:t>
      </w:r>
      <w:r>
        <w:rPr>
          <w:lang w:val="fr-CA"/>
        </w:rPr>
        <w:t xml:space="preserve"> ils peuvent utiliser tout autre outil de calcul, sous réserve qu’il soit communiqué au Secteur des </w:t>
      </w:r>
      <w:r w:rsidR="00991304">
        <w:rPr>
          <w:lang w:val="fr-CA"/>
        </w:rPr>
        <w:t>a</w:t>
      </w:r>
      <w:r>
        <w:rPr>
          <w:lang w:val="fr-CA"/>
        </w:rPr>
        <w:t>ffaires réglementaires du SCT avant la</w:t>
      </w:r>
      <w:r w:rsidRPr="00FA558D">
        <w:rPr>
          <w:lang w:val="fr-CA"/>
        </w:rPr>
        <w:t xml:space="preserve"> publication</w:t>
      </w:r>
      <w:r>
        <w:rPr>
          <w:lang w:val="fr-CA"/>
        </w:rPr>
        <w:t>, afin de confirmer que la méthode prescrite a été appliquée correctement</w:t>
      </w:r>
      <w:r w:rsidRPr="00FA558D">
        <w:rPr>
          <w:lang w:val="fr-CA"/>
        </w:rPr>
        <w:t xml:space="preserve">. </w:t>
      </w:r>
    </w:p>
    <w:p w14:paraId="42D178C4" w14:textId="77777777" w:rsidR="00B91619" w:rsidRPr="00FA558D" w:rsidRDefault="00B91619" w:rsidP="00B91619">
      <w:pPr>
        <w:tabs>
          <w:tab w:val="left" w:pos="9356"/>
        </w:tabs>
        <w:spacing w:after="0" w:line="240" w:lineRule="auto"/>
        <w:rPr>
          <w:lang w:val="fr-CA"/>
        </w:rPr>
      </w:pPr>
    </w:p>
    <w:p w14:paraId="7912DE60" w14:textId="77777777" w:rsidR="00B91619" w:rsidRPr="00FA558D" w:rsidRDefault="00B91619" w:rsidP="00B91619">
      <w:pPr>
        <w:pStyle w:val="Heading4"/>
        <w:rPr>
          <w:lang w:val="fr-CA"/>
        </w:rPr>
      </w:pPr>
      <w:r>
        <w:rPr>
          <w:lang w:val="fr-CA"/>
        </w:rPr>
        <w:t>Options de conformité de remplacement ou multiples</w:t>
      </w:r>
    </w:p>
    <w:p w14:paraId="63EA0DA5" w14:textId="77777777" w:rsidR="00B91619" w:rsidRPr="00FA558D" w:rsidRDefault="00B91619" w:rsidP="00B91619">
      <w:pPr>
        <w:tabs>
          <w:tab w:val="left" w:pos="9356"/>
        </w:tabs>
        <w:spacing w:after="0" w:line="240" w:lineRule="auto"/>
        <w:rPr>
          <w:lang w:val="fr-CA"/>
        </w:rPr>
      </w:pPr>
    </w:p>
    <w:p w14:paraId="251A6E0D" w14:textId="037BA3E2" w:rsidR="00B91619" w:rsidRPr="00FA558D" w:rsidRDefault="00B91619" w:rsidP="00B91619">
      <w:pPr>
        <w:tabs>
          <w:tab w:val="left" w:pos="9356"/>
        </w:tabs>
        <w:spacing w:after="0" w:line="240" w:lineRule="auto"/>
        <w:rPr>
          <w:lang w:val="fr-CA"/>
        </w:rPr>
      </w:pPr>
      <w:r>
        <w:rPr>
          <w:lang w:val="fr-CA"/>
        </w:rPr>
        <w:t xml:space="preserve">Afin de </w:t>
      </w:r>
      <w:r w:rsidR="007804CD">
        <w:rPr>
          <w:lang w:val="fr-CA"/>
        </w:rPr>
        <w:t xml:space="preserve">mieux </w:t>
      </w:r>
      <w:r>
        <w:rPr>
          <w:lang w:val="fr-CA"/>
        </w:rPr>
        <w:t>répondre</w:t>
      </w:r>
      <w:r w:rsidRPr="00FA558D">
        <w:rPr>
          <w:lang w:val="fr-CA"/>
        </w:rPr>
        <w:t xml:space="preserve"> </w:t>
      </w:r>
      <w:r>
        <w:rPr>
          <w:lang w:val="fr-CA"/>
        </w:rPr>
        <w:t xml:space="preserve">aux besoins des parties réglementées, les organismes de réglementation sont </w:t>
      </w:r>
      <w:r w:rsidRPr="00FA558D">
        <w:rPr>
          <w:lang w:val="fr-CA"/>
        </w:rPr>
        <w:t>encourag</w:t>
      </w:r>
      <w:r>
        <w:rPr>
          <w:lang w:val="fr-CA"/>
        </w:rPr>
        <w:t>és à faire preuve de souplesse dans la</w:t>
      </w:r>
      <w:r w:rsidRPr="00FA558D">
        <w:rPr>
          <w:lang w:val="fr-CA"/>
        </w:rPr>
        <w:t xml:space="preserve"> </w:t>
      </w:r>
      <w:r>
        <w:rPr>
          <w:lang w:val="fr-CA"/>
        </w:rPr>
        <w:t>formulation des règlements</w:t>
      </w:r>
      <w:r w:rsidRPr="00FA558D">
        <w:rPr>
          <w:lang w:val="fr-CA"/>
        </w:rPr>
        <w:t xml:space="preserve">. </w:t>
      </w:r>
      <w:r>
        <w:rPr>
          <w:lang w:val="fr-CA"/>
        </w:rPr>
        <w:t>La lentille des petites entreprises encourage cette souplesse</w:t>
      </w:r>
      <w:r w:rsidRPr="00FA558D">
        <w:rPr>
          <w:lang w:val="fr-CA"/>
        </w:rPr>
        <w:t xml:space="preserve"> </w:t>
      </w:r>
      <w:r w:rsidR="00165F77">
        <w:rPr>
          <w:lang w:val="fr-CA"/>
        </w:rPr>
        <w:t>pour</w:t>
      </w:r>
      <w:r w:rsidRPr="00FA558D">
        <w:rPr>
          <w:lang w:val="fr-CA"/>
        </w:rPr>
        <w:t xml:space="preserve"> </w:t>
      </w:r>
      <w:r w:rsidR="00165F77">
        <w:rPr>
          <w:lang w:val="fr-CA"/>
        </w:rPr>
        <w:t>tenir compte d</w:t>
      </w:r>
      <w:r>
        <w:rPr>
          <w:lang w:val="fr-CA"/>
        </w:rPr>
        <w:t>es difficultés auxquelles sont confrontées les petites entreprises</w:t>
      </w:r>
      <w:r w:rsidRPr="00FA558D">
        <w:rPr>
          <w:lang w:val="fr-CA"/>
        </w:rPr>
        <w:t xml:space="preserve">. </w:t>
      </w:r>
      <w:r>
        <w:rPr>
          <w:lang w:val="fr-CA"/>
        </w:rPr>
        <w:t>Toutefois</w:t>
      </w:r>
      <w:r w:rsidRPr="00FA558D">
        <w:rPr>
          <w:lang w:val="fr-CA"/>
        </w:rPr>
        <w:t>, pro</w:t>
      </w:r>
      <w:r>
        <w:rPr>
          <w:lang w:val="fr-CA"/>
        </w:rPr>
        <w:t>poser de multiples formulations pour un règlement peut semer la confu</w:t>
      </w:r>
      <w:r w:rsidRPr="00FA558D">
        <w:rPr>
          <w:lang w:val="fr-CA"/>
        </w:rPr>
        <w:t>sion</w:t>
      </w:r>
      <w:r>
        <w:rPr>
          <w:lang w:val="fr-CA"/>
        </w:rPr>
        <w:t xml:space="preserve"> dans l’</w:t>
      </w:r>
      <w:r w:rsidRPr="00FA558D">
        <w:rPr>
          <w:lang w:val="fr-CA"/>
        </w:rPr>
        <w:t>application</w:t>
      </w:r>
      <w:r>
        <w:rPr>
          <w:lang w:val="fr-CA"/>
        </w:rPr>
        <w:t xml:space="preserve"> de la règle du « un pour un »</w:t>
      </w:r>
      <w:r w:rsidRPr="00FA558D">
        <w:rPr>
          <w:lang w:val="fr-CA"/>
        </w:rPr>
        <w:t xml:space="preserve">. </w:t>
      </w:r>
    </w:p>
    <w:p w14:paraId="01FCACE9" w14:textId="77777777" w:rsidR="00B91619" w:rsidRPr="00FA558D" w:rsidRDefault="00B91619" w:rsidP="00B91619">
      <w:pPr>
        <w:tabs>
          <w:tab w:val="left" w:pos="9356"/>
        </w:tabs>
        <w:spacing w:after="0" w:line="240" w:lineRule="auto"/>
        <w:rPr>
          <w:lang w:val="fr-CA"/>
        </w:rPr>
      </w:pPr>
    </w:p>
    <w:p w14:paraId="5582255C" w14:textId="0FA77418" w:rsidR="00B91619" w:rsidRPr="00FA558D" w:rsidRDefault="00B91619" w:rsidP="00B91619">
      <w:pPr>
        <w:tabs>
          <w:tab w:val="left" w:pos="9356"/>
        </w:tabs>
        <w:spacing w:after="0" w:line="240" w:lineRule="auto"/>
        <w:rPr>
          <w:lang w:val="fr-CA"/>
        </w:rPr>
      </w:pPr>
      <w:r>
        <w:rPr>
          <w:lang w:val="fr-CA"/>
        </w:rPr>
        <w:t>Les parties réglementées</w:t>
      </w:r>
      <w:r w:rsidRPr="00FA558D">
        <w:rPr>
          <w:lang w:val="fr-CA"/>
        </w:rPr>
        <w:t xml:space="preserve"> </w:t>
      </w:r>
      <w:r>
        <w:rPr>
          <w:lang w:val="fr-CA"/>
        </w:rPr>
        <w:t>choisiront l’</w:t>
      </w:r>
      <w:r w:rsidRPr="00FA558D">
        <w:rPr>
          <w:lang w:val="fr-CA"/>
        </w:rPr>
        <w:t>option</w:t>
      </w:r>
      <w:r>
        <w:rPr>
          <w:lang w:val="fr-CA"/>
        </w:rPr>
        <w:t xml:space="preserve"> qui convient le mieux à leur </w:t>
      </w:r>
      <w:r w:rsidRPr="00FA558D">
        <w:rPr>
          <w:lang w:val="fr-CA"/>
        </w:rPr>
        <w:t>situation,</w:t>
      </w:r>
      <w:r>
        <w:rPr>
          <w:lang w:val="fr-CA"/>
        </w:rPr>
        <w:t xml:space="preserve"> même si cela les oblige à accepter des coûts administratifs plus élevés</w:t>
      </w:r>
      <w:r w:rsidRPr="00FA558D">
        <w:rPr>
          <w:lang w:val="fr-CA"/>
        </w:rPr>
        <w:t xml:space="preserve">. </w:t>
      </w:r>
      <w:r>
        <w:rPr>
          <w:lang w:val="fr-CA"/>
        </w:rPr>
        <w:t>Toutefois</w:t>
      </w:r>
      <w:r w:rsidRPr="00FA558D">
        <w:rPr>
          <w:lang w:val="fr-CA"/>
        </w:rPr>
        <w:t xml:space="preserve">, </w:t>
      </w:r>
      <w:r>
        <w:rPr>
          <w:lang w:val="fr-CA"/>
        </w:rPr>
        <w:t>leur</w:t>
      </w:r>
      <w:r w:rsidRPr="00FA558D">
        <w:rPr>
          <w:lang w:val="fr-CA"/>
        </w:rPr>
        <w:t xml:space="preserve"> </w:t>
      </w:r>
      <w:r>
        <w:rPr>
          <w:lang w:val="fr-CA"/>
        </w:rPr>
        <w:t>choix</w:t>
      </w:r>
      <w:r w:rsidRPr="00FA558D">
        <w:rPr>
          <w:lang w:val="fr-CA"/>
        </w:rPr>
        <w:t xml:space="preserve"> </w:t>
      </w:r>
      <w:r>
        <w:rPr>
          <w:lang w:val="fr-CA"/>
        </w:rPr>
        <w:t xml:space="preserve">sera fondé sur des </w:t>
      </w:r>
      <w:r w:rsidR="00165F77">
        <w:rPr>
          <w:lang w:val="fr-CA"/>
        </w:rPr>
        <w:t>facteurs</w:t>
      </w:r>
      <w:r w:rsidR="00165F77" w:rsidRPr="00FA558D">
        <w:rPr>
          <w:lang w:val="fr-CA"/>
        </w:rPr>
        <w:t xml:space="preserve"> </w:t>
      </w:r>
      <w:r w:rsidRPr="00FA558D">
        <w:rPr>
          <w:lang w:val="fr-CA"/>
        </w:rPr>
        <w:t>(</w:t>
      </w:r>
      <w:r>
        <w:rPr>
          <w:lang w:val="fr-CA"/>
        </w:rPr>
        <w:t>par exemp</w:t>
      </w:r>
      <w:r w:rsidRPr="00FA558D">
        <w:rPr>
          <w:lang w:val="fr-CA"/>
        </w:rPr>
        <w:t xml:space="preserve">le, </w:t>
      </w:r>
      <w:r w:rsidR="00165F77">
        <w:rPr>
          <w:lang w:val="fr-CA"/>
        </w:rPr>
        <w:t>l</w:t>
      </w:r>
      <w:r>
        <w:rPr>
          <w:lang w:val="fr-CA"/>
        </w:rPr>
        <w:t>es exigences de conformité</w:t>
      </w:r>
      <w:r w:rsidRPr="00FA558D">
        <w:rPr>
          <w:lang w:val="fr-CA"/>
        </w:rPr>
        <w:t>)</w:t>
      </w:r>
      <w:r>
        <w:rPr>
          <w:lang w:val="fr-CA"/>
        </w:rPr>
        <w:t xml:space="preserve"> qui </w:t>
      </w:r>
      <w:r w:rsidR="00165F77">
        <w:rPr>
          <w:lang w:val="fr-CA"/>
        </w:rPr>
        <w:t>ne sont pas visés par</w:t>
      </w:r>
      <w:r>
        <w:rPr>
          <w:lang w:val="fr-CA"/>
        </w:rPr>
        <w:t xml:space="preserve"> la règle du « un pour un »</w:t>
      </w:r>
      <w:r w:rsidRPr="00FA558D">
        <w:rPr>
          <w:lang w:val="fr-CA"/>
        </w:rPr>
        <w:t>.</w:t>
      </w:r>
    </w:p>
    <w:p w14:paraId="7CE01589" w14:textId="77777777" w:rsidR="00B91619" w:rsidRPr="00FA558D" w:rsidRDefault="00B91619" w:rsidP="00B91619">
      <w:pPr>
        <w:tabs>
          <w:tab w:val="left" w:pos="9356"/>
        </w:tabs>
        <w:spacing w:after="0" w:line="240" w:lineRule="auto"/>
        <w:rPr>
          <w:lang w:val="fr-CA"/>
        </w:rPr>
      </w:pPr>
    </w:p>
    <w:p w14:paraId="3BA714D1" w14:textId="63BCC500" w:rsidR="00B91619" w:rsidRPr="00FA558D" w:rsidRDefault="00B91619" w:rsidP="00B91619">
      <w:pPr>
        <w:tabs>
          <w:tab w:val="left" w:pos="9356"/>
        </w:tabs>
        <w:spacing w:after="0" w:line="240" w:lineRule="auto"/>
        <w:rPr>
          <w:lang w:val="fr-CA"/>
        </w:rPr>
      </w:pPr>
      <w:r>
        <w:rPr>
          <w:lang w:val="fr-CA"/>
        </w:rPr>
        <w:t>Dans la pratique</w:t>
      </w:r>
      <w:r w:rsidRPr="00FA558D">
        <w:rPr>
          <w:lang w:val="fr-CA"/>
        </w:rPr>
        <w:t xml:space="preserve">, </w:t>
      </w:r>
      <w:r>
        <w:rPr>
          <w:lang w:val="fr-CA"/>
        </w:rPr>
        <w:t xml:space="preserve">le fardeau administratif </w:t>
      </w:r>
      <w:r w:rsidRPr="00FA558D">
        <w:rPr>
          <w:b/>
          <w:lang w:val="fr-CA"/>
        </w:rPr>
        <w:t>im</w:t>
      </w:r>
      <w:r>
        <w:rPr>
          <w:b/>
          <w:lang w:val="fr-CA"/>
        </w:rPr>
        <w:t>posé</w:t>
      </w:r>
      <w:r w:rsidRPr="00FA558D">
        <w:rPr>
          <w:lang w:val="fr-CA"/>
        </w:rPr>
        <w:t xml:space="preserve"> </w:t>
      </w:r>
      <w:r>
        <w:rPr>
          <w:lang w:val="fr-CA"/>
        </w:rPr>
        <w:t xml:space="preserve">correspond au montant </w:t>
      </w:r>
      <w:r w:rsidR="00165F77" w:rsidRPr="00FA558D">
        <w:rPr>
          <w:lang w:val="fr-CA"/>
        </w:rPr>
        <w:t>minim</w:t>
      </w:r>
      <w:r w:rsidR="00165F77">
        <w:rPr>
          <w:lang w:val="fr-CA"/>
        </w:rPr>
        <w:t xml:space="preserve">al </w:t>
      </w:r>
      <w:r>
        <w:rPr>
          <w:lang w:val="fr-CA"/>
        </w:rPr>
        <w:t>que devra engager une partie réglementée pour maintenir sa conformité au règlement</w:t>
      </w:r>
      <w:r w:rsidRPr="00FA558D">
        <w:rPr>
          <w:lang w:val="fr-CA"/>
        </w:rPr>
        <w:t xml:space="preserve">. </w:t>
      </w:r>
      <w:r>
        <w:rPr>
          <w:lang w:val="fr-CA"/>
        </w:rPr>
        <w:t xml:space="preserve">Le calcul du fardeau administratif doit se fonder sur l’hypothèse que </w:t>
      </w:r>
      <w:r>
        <w:rPr>
          <w:b/>
          <w:lang w:val="fr-CA"/>
        </w:rPr>
        <w:t>toutes</w:t>
      </w:r>
      <w:r w:rsidRPr="00FA558D">
        <w:rPr>
          <w:lang w:val="fr-CA"/>
        </w:rPr>
        <w:t xml:space="preserve"> </w:t>
      </w:r>
      <w:r>
        <w:rPr>
          <w:lang w:val="fr-CA"/>
        </w:rPr>
        <w:t>les parties réglementées</w:t>
      </w:r>
      <w:r w:rsidRPr="00FA558D">
        <w:rPr>
          <w:lang w:val="fr-CA"/>
        </w:rPr>
        <w:t xml:space="preserve"> </w:t>
      </w:r>
      <w:r>
        <w:rPr>
          <w:lang w:val="fr-CA"/>
        </w:rPr>
        <w:t>choisiront cette option la plus économique. Si l’option la plus économique</w:t>
      </w:r>
      <w:r w:rsidRPr="00FA558D">
        <w:rPr>
          <w:lang w:val="fr-CA"/>
        </w:rPr>
        <w:t xml:space="preserve"> </w:t>
      </w:r>
      <w:r>
        <w:rPr>
          <w:lang w:val="fr-CA"/>
        </w:rPr>
        <w:t>n’impose aucun fardeau administratif aux entreprises</w:t>
      </w:r>
      <w:r w:rsidRPr="00FA558D">
        <w:rPr>
          <w:lang w:val="fr-CA"/>
        </w:rPr>
        <w:t xml:space="preserve">, </w:t>
      </w:r>
      <w:r w:rsidR="00165F77">
        <w:rPr>
          <w:lang w:val="fr-CA"/>
        </w:rPr>
        <w:t>la règle ne s’appliquera pas.</w:t>
      </w:r>
    </w:p>
    <w:p w14:paraId="13D66CEC" w14:textId="77777777" w:rsidR="00B91619" w:rsidRPr="00FA558D" w:rsidRDefault="00B91619" w:rsidP="00B91619">
      <w:pPr>
        <w:tabs>
          <w:tab w:val="left" w:pos="9356"/>
        </w:tabs>
        <w:spacing w:after="0" w:line="240" w:lineRule="auto"/>
        <w:rPr>
          <w:lang w:val="fr-CA"/>
        </w:rPr>
      </w:pPr>
    </w:p>
    <w:p w14:paraId="241D48CB" w14:textId="394ACC40" w:rsidR="00B91619" w:rsidRPr="00FA558D" w:rsidRDefault="00C308A7" w:rsidP="00B91619">
      <w:pPr>
        <w:tabs>
          <w:tab w:val="left" w:pos="9356"/>
        </w:tabs>
        <w:spacing w:after="0" w:line="240" w:lineRule="auto"/>
        <w:rPr>
          <w:lang w:val="fr-CA"/>
        </w:rPr>
      </w:pPr>
      <w:r>
        <w:rPr>
          <w:lang w:val="fr-CA"/>
        </w:rPr>
        <w:t>Cette approche</w:t>
      </w:r>
      <w:r w:rsidR="00B91619" w:rsidRPr="00FA558D">
        <w:rPr>
          <w:lang w:val="fr-CA"/>
        </w:rPr>
        <w:t xml:space="preserve"> </w:t>
      </w:r>
      <w:r w:rsidR="00B91619">
        <w:rPr>
          <w:lang w:val="fr-CA"/>
        </w:rPr>
        <w:t>peut donner lieu à des incohérences entre la section sur la règle du « un pour un » et la section sur l’analyse des coût</w:t>
      </w:r>
      <w:r w:rsidR="00EC2B82">
        <w:rPr>
          <w:lang w:val="fr-CA"/>
        </w:rPr>
        <w:t>s</w:t>
      </w:r>
      <w:r>
        <w:rPr>
          <w:lang w:val="fr-CA"/>
        </w:rPr>
        <w:noBreakHyphen/>
        <w:t>avantages</w:t>
      </w:r>
      <w:r w:rsidR="00B91619">
        <w:rPr>
          <w:lang w:val="fr-CA"/>
        </w:rPr>
        <w:t xml:space="preserve"> du REIR</w:t>
      </w:r>
      <w:r w:rsidR="00B91619" w:rsidRPr="00FA558D">
        <w:rPr>
          <w:lang w:val="fr-CA"/>
        </w:rPr>
        <w:t xml:space="preserve">. </w:t>
      </w:r>
      <w:r w:rsidR="00B91619">
        <w:rPr>
          <w:lang w:val="fr-CA"/>
        </w:rPr>
        <w:t>L’analyse coût</w:t>
      </w:r>
      <w:r>
        <w:rPr>
          <w:lang w:val="fr-CA"/>
        </w:rPr>
        <w:t>s</w:t>
      </w:r>
      <w:r>
        <w:rPr>
          <w:lang w:val="fr-CA"/>
        </w:rPr>
        <w:noBreakHyphen/>
        <w:t>avantages</w:t>
      </w:r>
      <w:r w:rsidR="00B91619">
        <w:rPr>
          <w:lang w:val="fr-CA"/>
        </w:rPr>
        <w:t> :</w:t>
      </w:r>
    </w:p>
    <w:p w14:paraId="127E49EC" w14:textId="77777777" w:rsidR="00B91619" w:rsidRPr="00FA558D" w:rsidRDefault="00B91619" w:rsidP="00B91619">
      <w:pPr>
        <w:tabs>
          <w:tab w:val="left" w:pos="9356"/>
        </w:tabs>
        <w:spacing w:after="0" w:line="240" w:lineRule="auto"/>
        <w:rPr>
          <w:lang w:val="fr-CA"/>
        </w:rPr>
      </w:pPr>
    </w:p>
    <w:p w14:paraId="11E6A2BA" w14:textId="058A811B" w:rsidR="00B91619" w:rsidRPr="00FA558D" w:rsidRDefault="00B91619" w:rsidP="00B91619">
      <w:pPr>
        <w:pStyle w:val="ListParagraph"/>
        <w:numPr>
          <w:ilvl w:val="0"/>
          <w:numId w:val="19"/>
        </w:numPr>
        <w:tabs>
          <w:tab w:val="left" w:pos="9356"/>
        </w:tabs>
        <w:spacing w:after="0" w:line="240" w:lineRule="auto"/>
        <w:rPr>
          <w:lang w:val="fr-CA"/>
        </w:rPr>
      </w:pPr>
      <w:r>
        <w:rPr>
          <w:lang w:val="fr-CA"/>
        </w:rPr>
        <w:t xml:space="preserve">permet d’estimer </w:t>
      </w:r>
      <w:r w:rsidR="00C308A7">
        <w:rPr>
          <w:lang w:val="fr-CA"/>
        </w:rPr>
        <w:t>l’avantage</w:t>
      </w:r>
      <w:r>
        <w:rPr>
          <w:lang w:val="fr-CA"/>
        </w:rPr>
        <w:t xml:space="preserve"> net d’après les</w:t>
      </w:r>
      <w:r w:rsidRPr="00FA558D">
        <w:rPr>
          <w:lang w:val="fr-CA"/>
        </w:rPr>
        <w:t xml:space="preserve"> </w:t>
      </w:r>
      <w:r>
        <w:rPr>
          <w:lang w:val="fr-CA"/>
        </w:rPr>
        <w:t>hypothèse</w:t>
      </w:r>
      <w:r w:rsidRPr="00FA558D">
        <w:rPr>
          <w:lang w:val="fr-CA"/>
        </w:rPr>
        <w:t xml:space="preserve">s </w:t>
      </w:r>
      <w:r>
        <w:rPr>
          <w:lang w:val="fr-CA"/>
        </w:rPr>
        <w:t xml:space="preserve">sur le recours à chaque </w:t>
      </w:r>
      <w:r w:rsidRPr="00FA558D">
        <w:rPr>
          <w:lang w:val="fr-CA"/>
        </w:rPr>
        <w:t>option</w:t>
      </w:r>
      <w:r>
        <w:rPr>
          <w:lang w:val="fr-CA"/>
        </w:rPr>
        <w:t>;</w:t>
      </w:r>
    </w:p>
    <w:p w14:paraId="57FD71B1" w14:textId="77777777" w:rsidR="00B91619" w:rsidRPr="00FA558D" w:rsidRDefault="00B91619" w:rsidP="00B91619">
      <w:pPr>
        <w:pStyle w:val="ListParagraph"/>
        <w:numPr>
          <w:ilvl w:val="0"/>
          <w:numId w:val="19"/>
        </w:numPr>
        <w:tabs>
          <w:tab w:val="left" w:pos="9356"/>
        </w:tabs>
        <w:spacing w:after="0" w:line="240" w:lineRule="auto"/>
        <w:rPr>
          <w:lang w:val="fr-CA"/>
        </w:rPr>
      </w:pPr>
      <w:r>
        <w:rPr>
          <w:lang w:val="fr-CA"/>
        </w:rPr>
        <w:t>ne se fonde jamais sur un recours unanime à l’option qui impose les coûts administratifs les plus bas.</w:t>
      </w:r>
    </w:p>
    <w:p w14:paraId="30FF6F04" w14:textId="77777777" w:rsidR="00B91619" w:rsidRPr="00FA558D" w:rsidRDefault="00B91619" w:rsidP="00B91619">
      <w:pPr>
        <w:tabs>
          <w:tab w:val="left" w:pos="9356"/>
        </w:tabs>
        <w:spacing w:after="0" w:line="240" w:lineRule="auto"/>
        <w:rPr>
          <w:lang w:val="fr-CA"/>
        </w:rPr>
      </w:pPr>
    </w:p>
    <w:p w14:paraId="5252AC84" w14:textId="261D652F" w:rsidR="00B91619" w:rsidRPr="00FA558D" w:rsidRDefault="00C308A7" w:rsidP="00B91619">
      <w:pPr>
        <w:tabs>
          <w:tab w:val="left" w:pos="9356"/>
        </w:tabs>
        <w:spacing w:after="0" w:line="240" w:lineRule="auto"/>
        <w:rPr>
          <w:lang w:val="fr-CA"/>
        </w:rPr>
      </w:pPr>
      <w:r>
        <w:rPr>
          <w:lang w:val="fr-CA"/>
        </w:rPr>
        <w:t>Lorsqu’il y a des</w:t>
      </w:r>
      <w:r w:rsidR="00B91619">
        <w:rPr>
          <w:lang w:val="fr-CA"/>
        </w:rPr>
        <w:t xml:space="preserve"> divergences entre les hypothèse</w:t>
      </w:r>
      <w:r w:rsidR="00B91619" w:rsidRPr="00FA558D">
        <w:rPr>
          <w:lang w:val="fr-CA"/>
        </w:rPr>
        <w:t xml:space="preserve">s, </w:t>
      </w:r>
      <w:r>
        <w:rPr>
          <w:lang w:val="fr-CA"/>
        </w:rPr>
        <w:t>l’écart devrait</w:t>
      </w:r>
      <w:r w:rsidR="00B91619">
        <w:rPr>
          <w:lang w:val="fr-CA"/>
        </w:rPr>
        <w:t xml:space="preserve"> être</w:t>
      </w:r>
      <w:r w:rsidR="00B91619" w:rsidRPr="00FA558D">
        <w:rPr>
          <w:lang w:val="fr-CA"/>
        </w:rPr>
        <w:t xml:space="preserve"> </w:t>
      </w:r>
      <w:r w:rsidR="00B91619">
        <w:rPr>
          <w:lang w:val="fr-CA"/>
        </w:rPr>
        <w:t>énoncé clairement</w:t>
      </w:r>
      <w:r w:rsidR="00B91619" w:rsidRPr="00FA558D">
        <w:rPr>
          <w:lang w:val="fr-CA"/>
        </w:rPr>
        <w:t xml:space="preserve"> </w:t>
      </w:r>
      <w:r w:rsidR="00B91619">
        <w:rPr>
          <w:lang w:val="fr-CA"/>
        </w:rPr>
        <w:t>dans la section portant sur</w:t>
      </w:r>
      <w:r w:rsidR="00B91619" w:rsidRPr="00FA558D">
        <w:rPr>
          <w:lang w:val="fr-CA"/>
        </w:rPr>
        <w:t xml:space="preserve"> </w:t>
      </w:r>
      <w:r w:rsidR="00B91619">
        <w:rPr>
          <w:lang w:val="fr-CA"/>
        </w:rPr>
        <w:t>la règle du « un pour un »</w:t>
      </w:r>
      <w:r>
        <w:rPr>
          <w:lang w:val="fr-CA"/>
        </w:rPr>
        <w:t xml:space="preserve"> à des fins</w:t>
      </w:r>
      <w:r w:rsidR="00B91619">
        <w:rPr>
          <w:lang w:val="fr-CA"/>
        </w:rPr>
        <w:t xml:space="preserve"> de clarté et de </w:t>
      </w:r>
      <w:r w:rsidR="00B91619" w:rsidRPr="00FA558D">
        <w:rPr>
          <w:lang w:val="fr-CA"/>
        </w:rPr>
        <w:t>transpa</w:t>
      </w:r>
      <w:r w:rsidR="00B91619">
        <w:rPr>
          <w:lang w:val="fr-CA"/>
        </w:rPr>
        <w:t>rence</w:t>
      </w:r>
      <w:r w:rsidR="00B91619" w:rsidRPr="00FA558D">
        <w:rPr>
          <w:lang w:val="fr-CA"/>
        </w:rPr>
        <w:t>.</w:t>
      </w:r>
    </w:p>
    <w:p w14:paraId="48B12968" w14:textId="77777777" w:rsidR="00B91619" w:rsidRPr="00FA558D" w:rsidRDefault="00B91619" w:rsidP="00B91619">
      <w:pPr>
        <w:tabs>
          <w:tab w:val="left" w:pos="9356"/>
        </w:tabs>
        <w:spacing w:after="0" w:line="240" w:lineRule="auto"/>
        <w:rPr>
          <w:lang w:val="fr-CA"/>
        </w:rPr>
      </w:pPr>
    </w:p>
    <w:p w14:paraId="4F8E525F" w14:textId="77777777" w:rsidR="00B91619" w:rsidRPr="00FA558D" w:rsidRDefault="00B91619" w:rsidP="00B91619">
      <w:pPr>
        <w:pStyle w:val="Heading4"/>
        <w:rPr>
          <w:lang w:val="fr-CA"/>
        </w:rPr>
      </w:pPr>
      <w:r>
        <w:rPr>
          <w:lang w:val="fr-CA"/>
        </w:rPr>
        <w:t>Règlements globaux</w:t>
      </w:r>
    </w:p>
    <w:p w14:paraId="21FAED51" w14:textId="77777777" w:rsidR="00B91619" w:rsidRPr="00FA558D" w:rsidRDefault="00B91619" w:rsidP="00B91619">
      <w:pPr>
        <w:tabs>
          <w:tab w:val="left" w:pos="9356"/>
        </w:tabs>
        <w:spacing w:after="0" w:line="240" w:lineRule="auto"/>
        <w:rPr>
          <w:lang w:val="fr-CA"/>
        </w:rPr>
      </w:pPr>
    </w:p>
    <w:p w14:paraId="326EF7FF" w14:textId="69CB2155" w:rsidR="00B91619" w:rsidRPr="00FA558D" w:rsidRDefault="00B91619" w:rsidP="00B91619">
      <w:pPr>
        <w:tabs>
          <w:tab w:val="left" w:pos="9356"/>
        </w:tabs>
        <w:spacing w:after="0" w:line="240" w:lineRule="auto"/>
        <w:rPr>
          <w:lang w:val="fr-CA"/>
        </w:rPr>
      </w:pPr>
      <w:r>
        <w:rPr>
          <w:lang w:val="fr-CA"/>
        </w:rPr>
        <w:t>Il est parfois nécessaire</w:t>
      </w:r>
      <w:r w:rsidRPr="00FA558D">
        <w:rPr>
          <w:lang w:val="fr-CA"/>
        </w:rPr>
        <w:t xml:space="preserve"> </w:t>
      </w:r>
      <w:r>
        <w:rPr>
          <w:lang w:val="fr-CA"/>
        </w:rPr>
        <w:t>de recourir à de multiples instruments réglementaires pour prendre toutes les mesures techniques liées à une modification réglementaire</w:t>
      </w:r>
      <w:r w:rsidRPr="00FA558D">
        <w:rPr>
          <w:lang w:val="fr-CA"/>
        </w:rPr>
        <w:t xml:space="preserve">. </w:t>
      </w:r>
      <w:r>
        <w:rPr>
          <w:lang w:val="fr-CA"/>
        </w:rPr>
        <w:t>Ainsi agencés pourraient être de nouveaux règlement</w:t>
      </w:r>
      <w:r w:rsidRPr="00FA558D">
        <w:rPr>
          <w:lang w:val="fr-CA"/>
        </w:rPr>
        <w:t xml:space="preserve">s, </w:t>
      </w:r>
      <w:r>
        <w:rPr>
          <w:lang w:val="fr-CA"/>
        </w:rPr>
        <w:t xml:space="preserve">des modifications réglementaires et </w:t>
      </w:r>
      <w:r w:rsidR="006537AC">
        <w:rPr>
          <w:lang w:val="fr-CA"/>
        </w:rPr>
        <w:t xml:space="preserve">des </w:t>
      </w:r>
      <w:r>
        <w:rPr>
          <w:lang w:val="fr-CA"/>
        </w:rPr>
        <w:t>ordonnances</w:t>
      </w:r>
      <w:r w:rsidR="00EC2B82">
        <w:rPr>
          <w:lang w:val="fr-CA"/>
        </w:rPr>
        <w:t xml:space="preserve"> ou </w:t>
      </w:r>
      <w:r>
        <w:rPr>
          <w:lang w:val="fr-CA"/>
        </w:rPr>
        <w:t>décrets rassemblés et approuvés</w:t>
      </w:r>
      <w:r w:rsidRPr="00FA558D">
        <w:rPr>
          <w:lang w:val="fr-CA"/>
        </w:rPr>
        <w:t xml:space="preserve"> </w:t>
      </w:r>
      <w:r>
        <w:rPr>
          <w:lang w:val="fr-CA"/>
        </w:rPr>
        <w:t>ensemble</w:t>
      </w:r>
      <w:r w:rsidRPr="00FA558D">
        <w:rPr>
          <w:lang w:val="fr-CA"/>
        </w:rPr>
        <w:t>,</w:t>
      </w:r>
      <w:r>
        <w:rPr>
          <w:lang w:val="fr-CA"/>
        </w:rPr>
        <w:t xml:space="preserve"> chacun </w:t>
      </w:r>
      <w:r w:rsidR="006537AC">
        <w:rPr>
          <w:lang w:val="fr-CA"/>
        </w:rPr>
        <w:t>ayant</w:t>
      </w:r>
      <w:r>
        <w:rPr>
          <w:lang w:val="fr-CA"/>
        </w:rPr>
        <w:t xml:space="preserve"> son propre numéro de décret</w:t>
      </w:r>
      <w:r w:rsidR="006537AC">
        <w:rPr>
          <w:lang w:val="fr-CA"/>
        </w:rPr>
        <w:t>s</w:t>
      </w:r>
      <w:r>
        <w:rPr>
          <w:lang w:val="fr-CA"/>
        </w:rPr>
        <w:t>, ordonnance</w:t>
      </w:r>
      <w:r w:rsidR="006537AC">
        <w:rPr>
          <w:lang w:val="fr-CA"/>
        </w:rPr>
        <w:t>s</w:t>
      </w:r>
      <w:r>
        <w:rPr>
          <w:lang w:val="fr-CA"/>
        </w:rPr>
        <w:t xml:space="preserve"> et règlement</w:t>
      </w:r>
      <w:r w:rsidR="006537AC">
        <w:rPr>
          <w:lang w:val="fr-CA"/>
        </w:rPr>
        <w:t>s</w:t>
      </w:r>
      <w:r>
        <w:rPr>
          <w:lang w:val="fr-CA"/>
        </w:rPr>
        <w:t xml:space="preserve"> statutaire</w:t>
      </w:r>
      <w:r w:rsidR="006537AC">
        <w:rPr>
          <w:lang w:val="fr-CA"/>
        </w:rPr>
        <w:t>s</w:t>
      </w:r>
      <w:r w:rsidRPr="00FA558D">
        <w:rPr>
          <w:lang w:val="fr-CA"/>
        </w:rPr>
        <w:t xml:space="preserve">. </w:t>
      </w:r>
      <w:r>
        <w:rPr>
          <w:lang w:val="fr-CA"/>
        </w:rPr>
        <w:t>Souvent</w:t>
      </w:r>
      <w:r w:rsidRPr="00FA558D">
        <w:rPr>
          <w:lang w:val="fr-CA"/>
        </w:rPr>
        <w:t>,</w:t>
      </w:r>
      <w:r>
        <w:rPr>
          <w:lang w:val="fr-CA"/>
        </w:rPr>
        <w:t xml:space="preserve"> il n’existe qu’un REIR pour l’ensemble d’une </w:t>
      </w:r>
      <w:r w:rsidRPr="00FA558D">
        <w:rPr>
          <w:lang w:val="fr-CA"/>
        </w:rPr>
        <w:t>initiative</w:t>
      </w:r>
      <w:r>
        <w:rPr>
          <w:lang w:val="fr-CA"/>
        </w:rPr>
        <w:t xml:space="preserve"> qui apparaît</w:t>
      </w:r>
      <w:r w:rsidRPr="00FA558D">
        <w:rPr>
          <w:lang w:val="fr-CA"/>
        </w:rPr>
        <w:t xml:space="preserve"> </w:t>
      </w:r>
      <w:r>
        <w:rPr>
          <w:lang w:val="fr-CA"/>
        </w:rPr>
        <w:t xml:space="preserve">avec l’un des </w:t>
      </w:r>
      <w:r w:rsidRPr="00FA558D">
        <w:rPr>
          <w:lang w:val="fr-CA"/>
        </w:rPr>
        <w:t>instruments</w:t>
      </w:r>
      <w:r>
        <w:rPr>
          <w:lang w:val="fr-CA"/>
        </w:rPr>
        <w:t xml:space="preserve">, tandis que les autres </w:t>
      </w:r>
      <w:r w:rsidRPr="00FA558D">
        <w:rPr>
          <w:lang w:val="fr-CA"/>
        </w:rPr>
        <w:t>instruments re</w:t>
      </w:r>
      <w:r>
        <w:rPr>
          <w:lang w:val="fr-CA"/>
        </w:rPr>
        <w:t>nvoient à l’i</w:t>
      </w:r>
      <w:r w:rsidRPr="00FA558D">
        <w:rPr>
          <w:lang w:val="fr-CA"/>
        </w:rPr>
        <w:t>nstrument</w:t>
      </w:r>
      <w:r>
        <w:rPr>
          <w:lang w:val="fr-CA"/>
        </w:rPr>
        <w:t xml:space="preserve"> dans lequel est présenté le REIR</w:t>
      </w:r>
      <w:r w:rsidRPr="00FA558D">
        <w:rPr>
          <w:lang w:val="fr-CA"/>
        </w:rPr>
        <w:t>.</w:t>
      </w:r>
    </w:p>
    <w:p w14:paraId="662CB49F" w14:textId="77777777" w:rsidR="00B91619" w:rsidRPr="00FA558D" w:rsidRDefault="00B91619" w:rsidP="00B91619">
      <w:pPr>
        <w:tabs>
          <w:tab w:val="left" w:pos="9356"/>
        </w:tabs>
        <w:spacing w:after="0" w:line="240" w:lineRule="auto"/>
        <w:rPr>
          <w:lang w:val="fr-CA"/>
        </w:rPr>
      </w:pPr>
    </w:p>
    <w:p w14:paraId="5C1A206F" w14:textId="30CAA69A" w:rsidR="00B91619" w:rsidRPr="00FA558D" w:rsidRDefault="00B91619" w:rsidP="00B91619">
      <w:pPr>
        <w:tabs>
          <w:tab w:val="left" w:pos="9356"/>
        </w:tabs>
        <w:spacing w:after="0" w:line="240" w:lineRule="auto"/>
        <w:rPr>
          <w:lang w:val="fr-CA"/>
        </w:rPr>
      </w:pPr>
      <w:r>
        <w:rPr>
          <w:lang w:val="fr-CA"/>
        </w:rPr>
        <w:t>Si l’</w:t>
      </w:r>
      <w:r w:rsidRPr="00FA558D">
        <w:rPr>
          <w:lang w:val="fr-CA"/>
        </w:rPr>
        <w:t xml:space="preserve">initiative </w:t>
      </w:r>
      <w:r>
        <w:rPr>
          <w:lang w:val="fr-CA"/>
        </w:rPr>
        <w:t xml:space="preserve">modifie le fardeau administratif </w:t>
      </w:r>
      <w:r w:rsidR="006537AC">
        <w:rPr>
          <w:lang w:val="fr-CA"/>
        </w:rPr>
        <w:t>imposé aux</w:t>
      </w:r>
      <w:r>
        <w:rPr>
          <w:lang w:val="fr-CA"/>
        </w:rPr>
        <w:t xml:space="preserve"> entreprises</w:t>
      </w:r>
      <w:r w:rsidRPr="00FA558D">
        <w:rPr>
          <w:lang w:val="fr-CA"/>
        </w:rPr>
        <w:t xml:space="preserve">, </w:t>
      </w:r>
      <w:r>
        <w:rPr>
          <w:lang w:val="fr-CA"/>
        </w:rPr>
        <w:t>le changement doit être calculé et pris en compte</w:t>
      </w:r>
      <w:r w:rsidRPr="00FA558D">
        <w:rPr>
          <w:lang w:val="fr-CA"/>
        </w:rPr>
        <w:t xml:space="preserve"> </w:t>
      </w:r>
      <w:r>
        <w:rPr>
          <w:lang w:val="fr-CA"/>
        </w:rPr>
        <w:t>en vertu de la règle du « un pour un »</w:t>
      </w:r>
      <w:r w:rsidRPr="00FA558D">
        <w:rPr>
          <w:lang w:val="fr-CA"/>
        </w:rPr>
        <w:t xml:space="preserve">. </w:t>
      </w:r>
      <w:r>
        <w:rPr>
          <w:lang w:val="fr-CA"/>
        </w:rPr>
        <w:t>Le fardeau administratif net lié à l’</w:t>
      </w:r>
      <w:r w:rsidRPr="00FA558D">
        <w:rPr>
          <w:lang w:val="fr-CA"/>
        </w:rPr>
        <w:t>initiative (</w:t>
      </w:r>
      <w:r>
        <w:rPr>
          <w:lang w:val="fr-CA"/>
        </w:rPr>
        <w:t>élément</w:t>
      </w:r>
      <w:r w:rsidRPr="00FA558D">
        <w:rPr>
          <w:lang w:val="fr-CA"/>
        </w:rPr>
        <w:t xml:space="preserve"> A) </w:t>
      </w:r>
      <w:r>
        <w:rPr>
          <w:lang w:val="fr-CA"/>
        </w:rPr>
        <w:t>peut être</w:t>
      </w:r>
      <w:r w:rsidRPr="00FA558D">
        <w:rPr>
          <w:lang w:val="fr-CA"/>
        </w:rPr>
        <w:t xml:space="preserve"> </w:t>
      </w:r>
      <w:r>
        <w:rPr>
          <w:lang w:val="fr-CA"/>
        </w:rPr>
        <w:t>énoncé comme un montant unique dans le REIR</w:t>
      </w:r>
      <w:r w:rsidRPr="00FA558D">
        <w:rPr>
          <w:lang w:val="fr-CA"/>
        </w:rPr>
        <w:t xml:space="preserve">. </w:t>
      </w:r>
      <w:r>
        <w:rPr>
          <w:lang w:val="fr-CA"/>
        </w:rPr>
        <w:t xml:space="preserve">Pour les </w:t>
      </w:r>
      <w:r w:rsidRPr="00FA558D">
        <w:rPr>
          <w:lang w:val="fr-CA"/>
        </w:rPr>
        <w:t>initiatives</w:t>
      </w:r>
      <w:r>
        <w:rPr>
          <w:lang w:val="fr-CA"/>
        </w:rPr>
        <w:t xml:space="preserve"> dans lesquelles un seul </w:t>
      </w:r>
      <w:r w:rsidRPr="00FA558D">
        <w:rPr>
          <w:lang w:val="fr-CA"/>
        </w:rPr>
        <w:t xml:space="preserve">instrument </w:t>
      </w:r>
      <w:r>
        <w:rPr>
          <w:lang w:val="fr-CA"/>
        </w:rPr>
        <w:t>est utilisé</w:t>
      </w:r>
      <w:r w:rsidRPr="00FA558D">
        <w:rPr>
          <w:lang w:val="fr-CA"/>
        </w:rPr>
        <w:t xml:space="preserve">, </w:t>
      </w:r>
      <w:r>
        <w:rPr>
          <w:lang w:val="fr-CA"/>
        </w:rPr>
        <w:t>le fardeau</w:t>
      </w:r>
      <w:r w:rsidRPr="00FA558D">
        <w:rPr>
          <w:lang w:val="fr-CA"/>
        </w:rPr>
        <w:t xml:space="preserve"> </w:t>
      </w:r>
      <w:r>
        <w:rPr>
          <w:lang w:val="fr-CA"/>
        </w:rPr>
        <w:t>peut aussi être énoncé comme un montant unique dans le REIR</w:t>
      </w:r>
      <w:r w:rsidRPr="00FA558D">
        <w:rPr>
          <w:lang w:val="fr-CA"/>
        </w:rPr>
        <w:t xml:space="preserve">. </w:t>
      </w:r>
    </w:p>
    <w:p w14:paraId="715B3902" w14:textId="77777777" w:rsidR="00B91619" w:rsidRPr="00FA558D" w:rsidRDefault="00B91619" w:rsidP="00B91619">
      <w:pPr>
        <w:tabs>
          <w:tab w:val="left" w:pos="9356"/>
        </w:tabs>
        <w:spacing w:after="0" w:line="240" w:lineRule="auto"/>
        <w:rPr>
          <w:lang w:val="fr-CA"/>
        </w:rPr>
      </w:pPr>
    </w:p>
    <w:p w14:paraId="53A6F723" w14:textId="0EA61C24" w:rsidR="00B91619" w:rsidRPr="00FA558D" w:rsidRDefault="00B91619" w:rsidP="00B91619">
      <w:pPr>
        <w:tabs>
          <w:tab w:val="left" w:pos="9356"/>
        </w:tabs>
        <w:spacing w:after="0" w:line="240" w:lineRule="auto"/>
        <w:rPr>
          <w:lang w:val="fr-CA"/>
        </w:rPr>
      </w:pPr>
      <w:r>
        <w:rPr>
          <w:lang w:val="fr-CA"/>
        </w:rPr>
        <w:t>Si l’in</w:t>
      </w:r>
      <w:r w:rsidRPr="00FA558D">
        <w:rPr>
          <w:lang w:val="fr-CA"/>
        </w:rPr>
        <w:t xml:space="preserve">itiative </w:t>
      </w:r>
      <w:r>
        <w:rPr>
          <w:lang w:val="fr-CA"/>
        </w:rPr>
        <w:t>comprend</w:t>
      </w:r>
      <w:r w:rsidRPr="00FA558D">
        <w:rPr>
          <w:lang w:val="fr-CA"/>
        </w:rPr>
        <w:t xml:space="preserve"> </w:t>
      </w:r>
      <w:r>
        <w:rPr>
          <w:lang w:val="fr-CA"/>
        </w:rPr>
        <w:t>plusieurs</w:t>
      </w:r>
      <w:r w:rsidRPr="00FA558D">
        <w:rPr>
          <w:lang w:val="fr-CA"/>
        </w:rPr>
        <w:t xml:space="preserve"> </w:t>
      </w:r>
      <w:r>
        <w:rPr>
          <w:lang w:val="fr-CA"/>
        </w:rPr>
        <w:t xml:space="preserve">nouveaux règlements (tels qu’ils sont </w:t>
      </w:r>
      <w:r w:rsidR="006537AC">
        <w:rPr>
          <w:lang w:val="fr-CA"/>
        </w:rPr>
        <w:t xml:space="preserve">définis </w:t>
      </w:r>
      <w:r>
        <w:rPr>
          <w:lang w:val="fr-CA"/>
        </w:rPr>
        <w:t xml:space="preserve">dans la </w:t>
      </w:r>
      <w:r w:rsidRPr="00FA558D">
        <w:rPr>
          <w:lang w:val="fr-CA"/>
        </w:rPr>
        <w:t>Politique sur la limitation du fardeau réglementaire sur les entreprises),</w:t>
      </w:r>
      <w:r>
        <w:rPr>
          <w:lang w:val="fr-CA"/>
        </w:rPr>
        <w:t xml:space="preserve"> chacun sera considéré comme un ajout</w:t>
      </w:r>
      <w:r w:rsidRPr="00FA558D">
        <w:rPr>
          <w:lang w:val="fr-CA"/>
        </w:rPr>
        <w:t xml:space="preserve"> </w:t>
      </w:r>
      <w:r w:rsidR="006537AC">
        <w:rPr>
          <w:lang w:val="fr-CA"/>
        </w:rPr>
        <w:t xml:space="preserve">en vertu de </w:t>
      </w:r>
      <w:r>
        <w:rPr>
          <w:lang w:val="fr-CA"/>
        </w:rPr>
        <w:t>l’élément</w:t>
      </w:r>
      <w:r w:rsidRPr="00FA558D">
        <w:rPr>
          <w:lang w:val="fr-CA"/>
        </w:rPr>
        <w:t> B</w:t>
      </w:r>
      <w:r>
        <w:rPr>
          <w:lang w:val="fr-CA"/>
        </w:rPr>
        <w:t xml:space="preserve">. </w:t>
      </w:r>
      <w:r w:rsidR="006537AC">
        <w:rPr>
          <w:lang w:val="fr-CA"/>
        </w:rPr>
        <w:t>Si tous les instruments de l’ensemble</w:t>
      </w:r>
      <w:r w:rsidR="00A9277E">
        <w:rPr>
          <w:lang w:val="fr-CA"/>
        </w:rPr>
        <w:t xml:space="preserve"> </w:t>
      </w:r>
      <w:r>
        <w:rPr>
          <w:lang w:val="fr-CA"/>
        </w:rPr>
        <w:t xml:space="preserve">ne mettent pas en place de </w:t>
      </w:r>
      <w:r w:rsidRPr="00FA558D">
        <w:rPr>
          <w:lang w:val="fr-CA"/>
        </w:rPr>
        <w:t>change</w:t>
      </w:r>
      <w:r>
        <w:rPr>
          <w:lang w:val="fr-CA"/>
        </w:rPr>
        <w:t xml:space="preserve">ments </w:t>
      </w:r>
      <w:r w:rsidR="006537AC">
        <w:rPr>
          <w:lang w:val="fr-CA"/>
        </w:rPr>
        <w:t xml:space="preserve">particuliers </w:t>
      </w:r>
      <w:r>
        <w:rPr>
          <w:lang w:val="fr-CA"/>
        </w:rPr>
        <w:t>qui augmenteraient le fardeau</w:t>
      </w:r>
      <w:r w:rsidRPr="00FA558D">
        <w:rPr>
          <w:lang w:val="fr-CA"/>
        </w:rPr>
        <w:t xml:space="preserve">, </w:t>
      </w:r>
      <w:r>
        <w:rPr>
          <w:lang w:val="fr-CA"/>
        </w:rPr>
        <w:t>une telle comptabilisation des règlements pourrait indûment gonfler le solde du portefeuille</w:t>
      </w:r>
      <w:r w:rsidRPr="00FA558D">
        <w:rPr>
          <w:lang w:val="fr-CA"/>
        </w:rPr>
        <w:t xml:space="preserve"> </w:t>
      </w:r>
      <w:r>
        <w:rPr>
          <w:lang w:val="fr-CA"/>
        </w:rPr>
        <w:t>sous l’élément</w:t>
      </w:r>
      <w:r w:rsidRPr="00FA558D">
        <w:rPr>
          <w:lang w:val="fr-CA"/>
        </w:rPr>
        <w:t xml:space="preserve"> B. </w:t>
      </w:r>
    </w:p>
    <w:p w14:paraId="4763EBD5" w14:textId="77777777" w:rsidR="00B91619" w:rsidRPr="00FA558D" w:rsidRDefault="00B91619" w:rsidP="00B91619">
      <w:pPr>
        <w:tabs>
          <w:tab w:val="left" w:pos="9356"/>
        </w:tabs>
        <w:spacing w:after="0" w:line="240" w:lineRule="auto"/>
        <w:rPr>
          <w:lang w:val="fr-CA"/>
        </w:rPr>
      </w:pPr>
    </w:p>
    <w:p w14:paraId="5F5B165B" w14:textId="77777777" w:rsidR="00B91619" w:rsidRPr="00FA558D" w:rsidRDefault="00B91619" w:rsidP="00B91619">
      <w:pPr>
        <w:tabs>
          <w:tab w:val="left" w:pos="9356"/>
        </w:tabs>
        <w:spacing w:after="0" w:line="240" w:lineRule="auto"/>
        <w:rPr>
          <w:lang w:val="fr-CA"/>
        </w:rPr>
      </w:pPr>
      <w:r>
        <w:rPr>
          <w:lang w:val="fr-CA"/>
        </w:rPr>
        <w:t xml:space="preserve">Pour éviter ce </w:t>
      </w:r>
      <w:r w:rsidRPr="00FA558D">
        <w:rPr>
          <w:lang w:val="fr-CA"/>
        </w:rPr>
        <w:t xml:space="preserve">type </w:t>
      </w:r>
      <w:r>
        <w:rPr>
          <w:lang w:val="fr-CA"/>
        </w:rPr>
        <w:t>d’</w:t>
      </w:r>
      <w:r w:rsidRPr="00FA558D">
        <w:rPr>
          <w:lang w:val="fr-CA"/>
        </w:rPr>
        <w:t xml:space="preserve">inflation, </w:t>
      </w:r>
      <w:r>
        <w:rPr>
          <w:lang w:val="fr-CA"/>
        </w:rPr>
        <w:t xml:space="preserve">il est </w:t>
      </w:r>
      <w:r w:rsidRPr="00FA558D">
        <w:rPr>
          <w:lang w:val="fr-CA"/>
        </w:rPr>
        <w:t xml:space="preserve">important </w:t>
      </w:r>
      <w:r>
        <w:rPr>
          <w:lang w:val="fr-CA"/>
        </w:rPr>
        <w:t>que le REIR indique clairement :</w:t>
      </w:r>
    </w:p>
    <w:p w14:paraId="447581F1" w14:textId="77777777" w:rsidR="00B91619" w:rsidRPr="00FA558D" w:rsidRDefault="00B91619" w:rsidP="00B91619">
      <w:pPr>
        <w:tabs>
          <w:tab w:val="left" w:pos="9356"/>
        </w:tabs>
        <w:spacing w:after="0" w:line="240" w:lineRule="auto"/>
        <w:rPr>
          <w:lang w:val="fr-CA"/>
        </w:rPr>
      </w:pPr>
    </w:p>
    <w:p w14:paraId="6B06CF11" w14:textId="44EE206D" w:rsidR="00B91619" w:rsidRPr="00FA558D" w:rsidRDefault="00B91619" w:rsidP="00B91619">
      <w:pPr>
        <w:pStyle w:val="ListParagraph"/>
        <w:numPr>
          <w:ilvl w:val="0"/>
          <w:numId w:val="8"/>
        </w:numPr>
        <w:tabs>
          <w:tab w:val="left" w:pos="9356"/>
        </w:tabs>
        <w:spacing w:after="0" w:line="240" w:lineRule="auto"/>
        <w:rPr>
          <w:lang w:val="fr-CA"/>
        </w:rPr>
      </w:pPr>
      <w:r>
        <w:rPr>
          <w:lang w:val="fr-CA"/>
        </w:rPr>
        <w:t xml:space="preserve">quel </w:t>
      </w:r>
      <w:r w:rsidRPr="00FA558D">
        <w:rPr>
          <w:lang w:val="fr-CA"/>
        </w:rPr>
        <w:t xml:space="preserve">instrument </w:t>
      </w:r>
      <w:r>
        <w:rPr>
          <w:lang w:val="fr-CA"/>
        </w:rPr>
        <w:t>comprend les exigence</w:t>
      </w:r>
      <w:r w:rsidRPr="00FA558D">
        <w:rPr>
          <w:lang w:val="fr-CA"/>
        </w:rPr>
        <w:t>s</w:t>
      </w:r>
      <w:r>
        <w:rPr>
          <w:lang w:val="fr-CA"/>
        </w:rPr>
        <w:t xml:space="preserve"> </w:t>
      </w:r>
      <w:r w:rsidR="007804CD">
        <w:rPr>
          <w:lang w:val="fr-CA"/>
        </w:rPr>
        <w:t xml:space="preserve">desquelles </w:t>
      </w:r>
      <w:r>
        <w:rPr>
          <w:lang w:val="fr-CA"/>
        </w:rPr>
        <w:t xml:space="preserve">découlent les changements du fardeau administratif; </w:t>
      </w:r>
    </w:p>
    <w:p w14:paraId="7F42BB2E" w14:textId="77777777" w:rsidR="00B91619" w:rsidRPr="00FA558D" w:rsidRDefault="00B91619" w:rsidP="00B91619">
      <w:pPr>
        <w:pStyle w:val="ListParagraph"/>
        <w:numPr>
          <w:ilvl w:val="0"/>
          <w:numId w:val="8"/>
        </w:numPr>
        <w:tabs>
          <w:tab w:val="left" w:pos="9356"/>
        </w:tabs>
        <w:spacing w:after="0" w:line="240" w:lineRule="auto"/>
        <w:rPr>
          <w:lang w:val="fr-CA"/>
        </w:rPr>
      </w:pPr>
      <w:r>
        <w:rPr>
          <w:lang w:val="fr-CA"/>
        </w:rPr>
        <w:t>le montant du fardeau</w:t>
      </w:r>
      <w:r w:rsidRPr="00FA558D">
        <w:rPr>
          <w:lang w:val="fr-CA"/>
        </w:rPr>
        <w:t xml:space="preserve"> </w:t>
      </w:r>
      <w:r>
        <w:rPr>
          <w:lang w:val="fr-CA"/>
        </w:rPr>
        <w:t xml:space="preserve">associé à chaque </w:t>
      </w:r>
      <w:r w:rsidRPr="00FA558D">
        <w:rPr>
          <w:lang w:val="fr-CA"/>
        </w:rPr>
        <w:t>instrument</w:t>
      </w:r>
      <w:r>
        <w:rPr>
          <w:lang w:val="fr-CA"/>
        </w:rPr>
        <w:t>.</w:t>
      </w:r>
    </w:p>
    <w:p w14:paraId="3E13C53A" w14:textId="77777777" w:rsidR="00B91619" w:rsidRPr="00FA558D" w:rsidRDefault="00B91619" w:rsidP="00B91619">
      <w:pPr>
        <w:tabs>
          <w:tab w:val="left" w:pos="9356"/>
        </w:tabs>
        <w:spacing w:after="0" w:line="240" w:lineRule="auto"/>
        <w:rPr>
          <w:lang w:val="fr-CA"/>
        </w:rPr>
      </w:pPr>
    </w:p>
    <w:p w14:paraId="1782231B" w14:textId="287F2033" w:rsidR="00B91619" w:rsidRPr="00FA558D" w:rsidRDefault="00B91619" w:rsidP="00B91619">
      <w:pPr>
        <w:tabs>
          <w:tab w:val="left" w:pos="9356"/>
        </w:tabs>
        <w:spacing w:after="0" w:line="240" w:lineRule="auto"/>
        <w:rPr>
          <w:lang w:val="fr-CA"/>
        </w:rPr>
      </w:pPr>
      <w:r>
        <w:rPr>
          <w:lang w:val="fr-CA"/>
        </w:rPr>
        <w:t xml:space="preserve">On s’assurera ainsi que seuls les </w:t>
      </w:r>
      <w:r w:rsidRPr="00FA558D">
        <w:rPr>
          <w:lang w:val="fr-CA"/>
        </w:rPr>
        <w:t>instruments</w:t>
      </w:r>
      <w:r>
        <w:rPr>
          <w:lang w:val="fr-CA"/>
        </w:rPr>
        <w:t xml:space="preserve"> qui </w:t>
      </w:r>
      <w:r w:rsidR="00F17203">
        <w:rPr>
          <w:lang w:val="fr-CA"/>
        </w:rPr>
        <w:t>alourdissent le fardeau</w:t>
      </w:r>
      <w:r w:rsidRPr="00FA558D">
        <w:rPr>
          <w:lang w:val="fr-CA"/>
        </w:rPr>
        <w:t xml:space="preserve"> </w:t>
      </w:r>
      <w:r>
        <w:rPr>
          <w:lang w:val="fr-CA"/>
        </w:rPr>
        <w:t>soient pris en compte</w:t>
      </w:r>
      <w:r w:rsidRPr="00FA558D">
        <w:rPr>
          <w:lang w:val="fr-CA"/>
        </w:rPr>
        <w:t xml:space="preserve"> </w:t>
      </w:r>
      <w:r w:rsidR="006537AC">
        <w:rPr>
          <w:lang w:val="fr-CA"/>
        </w:rPr>
        <w:t xml:space="preserve">en vertu de </w:t>
      </w:r>
      <w:r>
        <w:rPr>
          <w:lang w:val="fr-CA"/>
        </w:rPr>
        <w:t>l’élément</w:t>
      </w:r>
      <w:r w:rsidRPr="00FA558D">
        <w:rPr>
          <w:lang w:val="fr-CA"/>
        </w:rPr>
        <w:t> B.</w:t>
      </w:r>
    </w:p>
    <w:p w14:paraId="76897EE6" w14:textId="77777777" w:rsidR="00B91619" w:rsidRPr="00FA558D" w:rsidRDefault="00B91619" w:rsidP="00B91619">
      <w:pPr>
        <w:tabs>
          <w:tab w:val="left" w:pos="9356"/>
        </w:tabs>
        <w:spacing w:after="0" w:line="240" w:lineRule="auto"/>
        <w:rPr>
          <w:lang w:val="fr-CA"/>
        </w:rPr>
      </w:pPr>
    </w:p>
    <w:p w14:paraId="13D63152" w14:textId="77777777" w:rsidR="00B91619" w:rsidRPr="00FA558D" w:rsidRDefault="00B91619" w:rsidP="00B91619">
      <w:pPr>
        <w:pStyle w:val="Heading3"/>
        <w:rPr>
          <w:lang w:val="fr-CA"/>
        </w:rPr>
      </w:pPr>
      <w:bookmarkStart w:id="19" w:name="_Toc69891048"/>
      <w:r>
        <w:rPr>
          <w:lang w:val="fr-CA"/>
        </w:rPr>
        <w:t>Évaluation des</w:t>
      </w:r>
      <w:r w:rsidRPr="00FA558D">
        <w:rPr>
          <w:lang w:val="fr-CA"/>
        </w:rPr>
        <w:t xml:space="preserve"> </w:t>
      </w:r>
      <w:r>
        <w:rPr>
          <w:lang w:val="fr-CA"/>
        </w:rPr>
        <w:t>coûts administratifs</w:t>
      </w:r>
      <w:r w:rsidRPr="00FA558D">
        <w:rPr>
          <w:lang w:val="fr-CA"/>
        </w:rPr>
        <w:t xml:space="preserve"> (</w:t>
      </w:r>
      <w:r>
        <w:rPr>
          <w:lang w:val="fr-CA"/>
        </w:rPr>
        <w:t>sous-s</w:t>
      </w:r>
      <w:r w:rsidRPr="00FA558D">
        <w:rPr>
          <w:lang w:val="fr-CA"/>
        </w:rPr>
        <w:t>ection 7.2.4)</w:t>
      </w:r>
      <w:bookmarkEnd w:id="19"/>
    </w:p>
    <w:p w14:paraId="1B2EE2B2" w14:textId="77777777" w:rsidR="00B91619" w:rsidRPr="00FA558D" w:rsidRDefault="00B91619" w:rsidP="00B91619">
      <w:pPr>
        <w:tabs>
          <w:tab w:val="left" w:pos="9356"/>
        </w:tabs>
        <w:spacing w:after="0" w:line="240" w:lineRule="auto"/>
        <w:rPr>
          <w:lang w:val="fr-CA"/>
        </w:rPr>
      </w:pPr>
    </w:p>
    <w:p w14:paraId="70BB7A36" w14:textId="320B3075" w:rsidR="00B91619" w:rsidRPr="00FA558D" w:rsidRDefault="00B91619" w:rsidP="00B91619">
      <w:pPr>
        <w:pStyle w:val="ListParagraph"/>
        <w:widowControl w:val="0"/>
        <w:spacing w:after="0" w:line="240" w:lineRule="auto"/>
        <w:ind w:left="0"/>
        <w:rPr>
          <w:lang w:val="fr-CA"/>
        </w:rPr>
      </w:pPr>
      <w:r>
        <w:rPr>
          <w:lang w:val="fr-CA"/>
        </w:rPr>
        <w:t>Afin de retirer l’effet de l’inflation, les tableaux des coûts doivent être convertis en dollars constants afin de permettre une comparaison utile et conforme, peu importe l’année au cours de laquelle les résultats ont été mesurés initialement</w:t>
      </w:r>
      <w:r w:rsidRPr="00FA558D">
        <w:rPr>
          <w:lang w:val="fr-CA"/>
        </w:rPr>
        <w:t xml:space="preserve">. </w:t>
      </w:r>
      <w:r>
        <w:rPr>
          <w:lang w:val="fr-CA"/>
        </w:rPr>
        <w:t>De tels rajustements permettent de veiller à ce que les coûts so</w:t>
      </w:r>
      <w:r w:rsidR="006537AC">
        <w:rPr>
          <w:lang w:val="fr-CA"/>
        </w:rPr>
        <w:t>ie</w:t>
      </w:r>
      <w:r>
        <w:rPr>
          <w:lang w:val="fr-CA"/>
        </w:rPr>
        <w:t xml:space="preserve">nt : </w:t>
      </w:r>
    </w:p>
    <w:p w14:paraId="634C689E" w14:textId="77777777" w:rsidR="00B91619" w:rsidRPr="00FA558D" w:rsidRDefault="00B91619" w:rsidP="00B91619">
      <w:pPr>
        <w:pStyle w:val="ListParagraph"/>
        <w:widowControl w:val="0"/>
        <w:spacing w:after="0" w:line="240" w:lineRule="auto"/>
        <w:ind w:left="0"/>
        <w:rPr>
          <w:lang w:val="fr-CA"/>
        </w:rPr>
      </w:pPr>
    </w:p>
    <w:p w14:paraId="0556711C" w14:textId="7E5ED49A" w:rsidR="00B91619" w:rsidRPr="00FA558D" w:rsidRDefault="00B91619" w:rsidP="00B91619">
      <w:pPr>
        <w:pStyle w:val="ListParagraph"/>
        <w:widowControl w:val="0"/>
        <w:numPr>
          <w:ilvl w:val="0"/>
          <w:numId w:val="5"/>
        </w:numPr>
        <w:spacing w:line="288" w:lineRule="auto"/>
        <w:rPr>
          <w:lang w:val="fr-CA"/>
        </w:rPr>
      </w:pPr>
      <w:r>
        <w:rPr>
          <w:lang w:val="fr-CA"/>
        </w:rPr>
        <w:t>égaux à leur valeur d’échange (rajustement de l’inflation);</w:t>
      </w:r>
      <w:r w:rsidRPr="00FA558D">
        <w:rPr>
          <w:lang w:val="fr-CA"/>
        </w:rPr>
        <w:t xml:space="preserve"> </w:t>
      </w:r>
    </w:p>
    <w:p w14:paraId="603DEE60" w14:textId="77777777" w:rsidR="00B91619" w:rsidRPr="00FA558D" w:rsidRDefault="00B91619" w:rsidP="00B91619">
      <w:pPr>
        <w:pStyle w:val="ListParagraph"/>
        <w:widowControl w:val="0"/>
        <w:numPr>
          <w:ilvl w:val="0"/>
          <w:numId w:val="5"/>
        </w:numPr>
        <w:spacing w:line="288" w:lineRule="auto"/>
        <w:contextualSpacing w:val="0"/>
        <w:rPr>
          <w:lang w:val="fr-CA"/>
        </w:rPr>
      </w:pPr>
      <w:r>
        <w:rPr>
          <w:lang w:val="fr-CA"/>
        </w:rPr>
        <w:t xml:space="preserve">calculés au moment de leur rajustement (actualisation). </w:t>
      </w:r>
    </w:p>
    <w:p w14:paraId="42EEC359" w14:textId="3002FD53" w:rsidR="00B91619" w:rsidRPr="00FA558D" w:rsidRDefault="00B91619" w:rsidP="00B91619">
      <w:pPr>
        <w:pStyle w:val="ListParagraph"/>
        <w:widowControl w:val="0"/>
        <w:spacing w:after="0" w:line="240" w:lineRule="auto"/>
        <w:ind w:left="0"/>
        <w:contextualSpacing w:val="0"/>
        <w:rPr>
          <w:lang w:val="fr-CA"/>
        </w:rPr>
      </w:pPr>
      <w:r>
        <w:rPr>
          <w:lang w:val="fr-CA"/>
        </w:rPr>
        <w:lastRenderedPageBreak/>
        <w:t xml:space="preserve">Le </w:t>
      </w:r>
      <w:r w:rsidR="006537AC">
        <w:rPr>
          <w:lang w:val="fr-CA"/>
        </w:rPr>
        <w:t>R</w:t>
      </w:r>
      <w:r>
        <w:rPr>
          <w:lang w:val="fr-CA"/>
        </w:rPr>
        <w:t>èglem</w:t>
      </w:r>
      <w:r w:rsidRPr="00FA558D">
        <w:rPr>
          <w:lang w:val="fr-CA"/>
        </w:rPr>
        <w:t xml:space="preserve">ent sur la réduction de la paperasse </w:t>
      </w:r>
      <w:r>
        <w:rPr>
          <w:lang w:val="fr-CA"/>
        </w:rPr>
        <w:t>établit la façon de rajuster les coûts administratifs inclus dans le projet de règlement</w:t>
      </w:r>
      <w:r w:rsidRPr="00FA558D">
        <w:rPr>
          <w:lang w:val="fr-CA"/>
        </w:rPr>
        <w:t xml:space="preserve">. </w:t>
      </w:r>
      <w:r>
        <w:rPr>
          <w:lang w:val="fr-CA"/>
        </w:rPr>
        <w:t>Les tableaux qui sont présentés dans le REIR doivent être identiques à ceux générés par le Calculateur des coûts réglementaires</w:t>
      </w:r>
      <w:r w:rsidRPr="00FA558D">
        <w:rPr>
          <w:lang w:val="fr-CA"/>
        </w:rPr>
        <w:t xml:space="preserve">. </w:t>
      </w:r>
      <w:r>
        <w:rPr>
          <w:lang w:val="fr-CA"/>
        </w:rPr>
        <w:t>Le seul arrondissement des tableaux permis est au dollar</w:t>
      </w:r>
      <w:r w:rsidRPr="00FA558D">
        <w:rPr>
          <w:lang w:val="fr-CA"/>
        </w:rPr>
        <w:t xml:space="preserve">. </w:t>
      </w:r>
    </w:p>
    <w:p w14:paraId="5CC90B71" w14:textId="77777777" w:rsidR="00B91619" w:rsidRPr="00FA558D" w:rsidRDefault="00B91619" w:rsidP="00B91619">
      <w:pPr>
        <w:pStyle w:val="ListParagraph"/>
        <w:widowControl w:val="0"/>
        <w:spacing w:after="0" w:line="240" w:lineRule="auto"/>
        <w:ind w:left="0"/>
        <w:contextualSpacing w:val="0"/>
        <w:rPr>
          <w:lang w:val="fr-CA"/>
        </w:rPr>
      </w:pPr>
    </w:p>
    <w:p w14:paraId="27C8CD49" w14:textId="64AF87E2" w:rsidR="00B91619" w:rsidRPr="00FA558D" w:rsidRDefault="00B91619" w:rsidP="00B91619">
      <w:pPr>
        <w:widowControl w:val="0"/>
        <w:spacing w:after="0" w:line="240" w:lineRule="auto"/>
        <w:rPr>
          <w:lang w:val="fr-CA"/>
        </w:rPr>
      </w:pPr>
      <w:r>
        <w:rPr>
          <w:lang w:val="fr-CA"/>
        </w:rPr>
        <w:t>Le Règlement sur la réduction de la paperasse exige que l’année 2012 soit utilisée comme année de référence des coûts aux fins de l’évaluation de l’augmentation et de la réduction du fardeau</w:t>
      </w:r>
      <w:r w:rsidRPr="00FA558D">
        <w:rPr>
          <w:lang w:val="fr-CA"/>
        </w:rPr>
        <w:t xml:space="preserve">. </w:t>
      </w:r>
      <w:r>
        <w:rPr>
          <w:lang w:val="fr-CA"/>
        </w:rPr>
        <w:t>Cette année de référence des prix s’applique à la valeur actuelle et annualisée</w:t>
      </w:r>
      <w:r w:rsidRPr="00FA558D">
        <w:rPr>
          <w:lang w:val="fr-CA"/>
        </w:rPr>
        <w:t xml:space="preserve">. </w:t>
      </w:r>
      <w:r>
        <w:rPr>
          <w:lang w:val="fr-CA"/>
        </w:rPr>
        <w:t>Un taux d’actualisation de 7 % doit être utilisé aux fins de l’évaluation de l’augmentation et de la réduction du fardeau</w:t>
      </w:r>
      <w:r w:rsidRPr="00FA558D">
        <w:rPr>
          <w:lang w:val="fr-CA"/>
        </w:rPr>
        <w:t xml:space="preserve">. </w:t>
      </w:r>
      <w:r>
        <w:rPr>
          <w:lang w:val="fr-CA"/>
        </w:rPr>
        <w:t>Les salaires peuvent être rajustés au</w:t>
      </w:r>
      <w:r w:rsidR="00A9277E">
        <w:rPr>
          <w:lang w:val="fr-CA"/>
        </w:rPr>
        <w:t xml:space="preserve"> niveau</w:t>
      </w:r>
      <w:r>
        <w:rPr>
          <w:lang w:val="fr-CA"/>
        </w:rPr>
        <w:t xml:space="preserve"> des prix de 2012</w:t>
      </w:r>
      <w:r w:rsidRPr="00FA558D">
        <w:rPr>
          <w:lang w:val="fr-CA"/>
        </w:rPr>
        <w:t xml:space="preserve"> </w:t>
      </w:r>
      <w:r>
        <w:rPr>
          <w:lang w:val="fr-CA"/>
        </w:rPr>
        <w:t xml:space="preserve">en appliquant la formule ci-après : </w:t>
      </w:r>
    </w:p>
    <w:p w14:paraId="5D783E30" w14:textId="77777777" w:rsidR="00B91619" w:rsidRPr="00FA558D" w:rsidRDefault="00B91619" w:rsidP="00B91619">
      <w:pPr>
        <w:widowControl w:val="0"/>
        <w:spacing w:after="0" w:line="240" w:lineRule="auto"/>
        <w:rPr>
          <w:lang w:val="fr-C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25"/>
        <w:gridCol w:w="540"/>
        <w:gridCol w:w="6385"/>
      </w:tblGrid>
      <w:tr w:rsidR="00B91619" w:rsidRPr="000117F2" w14:paraId="42C34459" w14:textId="77777777" w:rsidTr="00A9277E">
        <w:tc>
          <w:tcPr>
            <w:tcW w:w="2425" w:type="dxa"/>
          </w:tcPr>
          <w:p w14:paraId="68F69B04" w14:textId="77777777" w:rsidR="00B91619" w:rsidRPr="00FA558D" w:rsidRDefault="00B91619" w:rsidP="00A9277E">
            <w:pPr>
              <w:jc w:val="center"/>
              <w:rPr>
                <w:lang w:val="fr-CA"/>
              </w:rPr>
            </w:pPr>
            <w:r>
              <w:rPr>
                <w:lang w:val="fr-CA"/>
              </w:rPr>
              <w:t>Coût horaire estimé</w:t>
            </w:r>
          </w:p>
        </w:tc>
        <w:tc>
          <w:tcPr>
            <w:tcW w:w="540" w:type="dxa"/>
          </w:tcPr>
          <w:p w14:paraId="57A5D1A7" w14:textId="77777777" w:rsidR="00B91619" w:rsidRPr="00FA558D" w:rsidRDefault="00B91619" w:rsidP="00A9277E">
            <w:pPr>
              <w:jc w:val="center"/>
              <w:rPr>
                <w:lang w:val="fr-CA"/>
              </w:rPr>
            </w:pPr>
            <w:r w:rsidRPr="00FA558D">
              <w:rPr>
                <w:lang w:val="fr-CA"/>
              </w:rPr>
              <w:t>x</w:t>
            </w:r>
          </w:p>
        </w:tc>
        <w:tc>
          <w:tcPr>
            <w:tcW w:w="6385" w:type="dxa"/>
          </w:tcPr>
          <w:p w14:paraId="0F68CE69" w14:textId="7DBD26D9" w:rsidR="00B91619" w:rsidRPr="00FA558D" w:rsidRDefault="00B91619" w:rsidP="00A9277E">
            <w:pPr>
              <w:jc w:val="center"/>
              <w:rPr>
                <w:lang w:val="fr-CA"/>
              </w:rPr>
            </w:pPr>
            <w:r>
              <w:rPr>
                <w:lang w:val="fr-CA"/>
              </w:rPr>
              <w:t>Rapport entre la valeur de l’indice des prix à la consommation pour</w:t>
            </w:r>
            <w:r w:rsidR="006537AC">
              <w:rPr>
                <w:lang w:val="fr-CA"/>
              </w:rPr>
              <w:t> </w:t>
            </w:r>
            <w:r>
              <w:rPr>
                <w:lang w:val="fr-CA"/>
              </w:rPr>
              <w:t>2012 et la valeur de l’indice des prix à la consommation pour l’année la plus récente disponible pour laquelle le coût a été estimé</w:t>
            </w:r>
            <w:r w:rsidRPr="00FA558D">
              <w:rPr>
                <w:rStyle w:val="FootnoteReference"/>
                <w:lang w:val="fr-CA"/>
              </w:rPr>
              <w:footnoteReference w:id="1"/>
            </w:r>
            <w:r>
              <w:rPr>
                <w:lang w:val="fr-CA"/>
              </w:rPr>
              <w:t xml:space="preserve"> </w:t>
            </w:r>
          </w:p>
        </w:tc>
      </w:tr>
    </w:tbl>
    <w:p w14:paraId="5821D8A2" w14:textId="77777777" w:rsidR="00B91619" w:rsidRPr="00FA558D" w:rsidRDefault="00B91619" w:rsidP="00B91619">
      <w:pPr>
        <w:widowControl w:val="0"/>
        <w:spacing w:after="0" w:line="240" w:lineRule="auto"/>
        <w:rPr>
          <w:lang w:val="fr-CA"/>
        </w:rPr>
      </w:pPr>
    </w:p>
    <w:p w14:paraId="25809193" w14:textId="77777777" w:rsidR="00B91619" w:rsidRPr="00FA558D" w:rsidRDefault="00B91619" w:rsidP="00B91619">
      <w:pPr>
        <w:tabs>
          <w:tab w:val="left" w:pos="9356"/>
        </w:tabs>
        <w:spacing w:after="0" w:line="240" w:lineRule="auto"/>
        <w:rPr>
          <w:lang w:val="fr-CA"/>
        </w:rPr>
      </w:pPr>
      <w:r>
        <w:rPr>
          <w:lang w:val="fr-CA"/>
        </w:rPr>
        <w:t>Les organismes de réglementation</w:t>
      </w:r>
      <w:r w:rsidRPr="00FA558D">
        <w:rPr>
          <w:lang w:val="fr-CA"/>
        </w:rPr>
        <w:t xml:space="preserve"> </w:t>
      </w:r>
      <w:r>
        <w:rPr>
          <w:lang w:val="fr-CA"/>
        </w:rPr>
        <w:t>doivent utiliser</w:t>
      </w:r>
      <w:r w:rsidRPr="00FA558D">
        <w:rPr>
          <w:lang w:val="fr-CA"/>
        </w:rPr>
        <w:t xml:space="preserve"> </w:t>
      </w:r>
      <w:r>
        <w:rPr>
          <w:lang w:val="fr-CA"/>
        </w:rPr>
        <w:t>une période de prévisions de 10 ans aux fins de l’évaluation de l’augmentation et de la réduction du fardeau</w:t>
      </w:r>
      <w:r w:rsidRPr="00FA558D">
        <w:rPr>
          <w:lang w:val="fr-CA"/>
        </w:rPr>
        <w:t xml:space="preserve">. </w:t>
      </w:r>
      <w:r>
        <w:rPr>
          <w:lang w:val="fr-CA"/>
        </w:rPr>
        <w:t xml:space="preserve">Ces prévisions sur 10 ans doivent commencer l’année où l’augmentation du fardeau entrera en vigueur ou, dans le cas d’une réduction du fardeau, l’année où elle sera supprimée. </w:t>
      </w:r>
    </w:p>
    <w:p w14:paraId="505D7C42" w14:textId="77777777" w:rsidR="00B91619" w:rsidRPr="00FA558D" w:rsidRDefault="00B91619" w:rsidP="00B91619">
      <w:pPr>
        <w:tabs>
          <w:tab w:val="left" w:pos="9356"/>
        </w:tabs>
        <w:spacing w:after="0" w:line="240" w:lineRule="auto"/>
        <w:rPr>
          <w:lang w:val="fr-CA"/>
        </w:rPr>
      </w:pPr>
    </w:p>
    <w:p w14:paraId="2D74D13C" w14:textId="77777777" w:rsidR="00B91619" w:rsidRPr="00FA558D" w:rsidRDefault="00B91619" w:rsidP="00B91619">
      <w:pPr>
        <w:pStyle w:val="Heading3"/>
        <w:rPr>
          <w:lang w:val="fr-CA"/>
        </w:rPr>
      </w:pPr>
      <w:bookmarkStart w:id="20" w:name="_Toc69891049"/>
      <w:r>
        <w:rPr>
          <w:lang w:val="fr-CA"/>
        </w:rPr>
        <w:t>Compensation des coûts administratifs</w:t>
      </w:r>
      <w:r w:rsidRPr="00FA558D">
        <w:rPr>
          <w:lang w:val="fr-CA"/>
        </w:rPr>
        <w:t xml:space="preserve"> (</w:t>
      </w:r>
      <w:r>
        <w:rPr>
          <w:lang w:val="fr-CA"/>
        </w:rPr>
        <w:t>sous-s</w:t>
      </w:r>
      <w:r w:rsidRPr="00FA558D">
        <w:rPr>
          <w:lang w:val="fr-CA"/>
        </w:rPr>
        <w:t>ection 7.2.5)</w:t>
      </w:r>
      <w:bookmarkEnd w:id="20"/>
    </w:p>
    <w:p w14:paraId="758BBBCB" w14:textId="77777777" w:rsidR="00B91619" w:rsidRPr="00FA558D" w:rsidRDefault="00B91619" w:rsidP="00B91619">
      <w:pPr>
        <w:tabs>
          <w:tab w:val="left" w:pos="9356"/>
        </w:tabs>
        <w:spacing w:after="0" w:line="240" w:lineRule="auto"/>
        <w:rPr>
          <w:lang w:val="fr-CA"/>
        </w:rPr>
      </w:pPr>
    </w:p>
    <w:p w14:paraId="0CB04227" w14:textId="5BA5C034" w:rsidR="00B91619" w:rsidRPr="00FA558D" w:rsidRDefault="009F4681" w:rsidP="00B91619">
      <w:pPr>
        <w:tabs>
          <w:tab w:val="left" w:pos="9356"/>
        </w:tabs>
        <w:spacing w:after="0" w:line="240" w:lineRule="auto"/>
        <w:rPr>
          <w:lang w:val="fr-CA"/>
        </w:rPr>
      </w:pPr>
      <w:r>
        <w:rPr>
          <w:lang w:val="fr-CA"/>
        </w:rPr>
        <w:t xml:space="preserve">En vertu de </w:t>
      </w:r>
      <w:r w:rsidR="00B91619">
        <w:rPr>
          <w:lang w:val="fr-CA"/>
        </w:rPr>
        <w:t>l’élément</w:t>
      </w:r>
      <w:r w:rsidR="00B91619" w:rsidRPr="00FA558D">
        <w:rPr>
          <w:lang w:val="fr-CA"/>
        </w:rPr>
        <w:t> A</w:t>
      </w:r>
      <w:r w:rsidR="00B91619">
        <w:rPr>
          <w:lang w:val="fr-CA"/>
        </w:rPr>
        <w:t xml:space="preserve"> de la règle</w:t>
      </w:r>
      <w:r w:rsidR="00B91619" w:rsidRPr="00FA558D">
        <w:rPr>
          <w:lang w:val="fr-CA"/>
        </w:rPr>
        <w:t xml:space="preserve">, </w:t>
      </w:r>
      <w:r w:rsidR="00B91619">
        <w:rPr>
          <w:lang w:val="fr-CA"/>
        </w:rPr>
        <w:t xml:space="preserve">les </w:t>
      </w:r>
      <w:r>
        <w:rPr>
          <w:lang w:val="fr-CA"/>
        </w:rPr>
        <w:t xml:space="preserve">modifications </w:t>
      </w:r>
      <w:r w:rsidR="00B91619">
        <w:rPr>
          <w:lang w:val="fr-CA"/>
        </w:rPr>
        <w:t xml:space="preserve">réglementaires qui </w:t>
      </w:r>
      <w:r>
        <w:rPr>
          <w:lang w:val="fr-CA"/>
        </w:rPr>
        <w:t>imposent de nouveaux</w:t>
      </w:r>
      <w:r w:rsidR="00B91619">
        <w:rPr>
          <w:lang w:val="fr-CA"/>
        </w:rPr>
        <w:t xml:space="preserve"> coûts </w:t>
      </w:r>
      <w:r>
        <w:rPr>
          <w:lang w:val="fr-CA"/>
        </w:rPr>
        <w:t>administratifs aux</w:t>
      </w:r>
      <w:r w:rsidR="00B91619">
        <w:rPr>
          <w:lang w:val="fr-CA"/>
        </w:rPr>
        <w:t xml:space="preserve"> entreprises</w:t>
      </w:r>
      <w:r w:rsidR="00B91619" w:rsidRPr="00FA558D">
        <w:rPr>
          <w:lang w:val="fr-CA"/>
        </w:rPr>
        <w:t xml:space="preserve"> </w:t>
      </w:r>
      <w:r w:rsidR="00B91619">
        <w:rPr>
          <w:lang w:val="fr-CA"/>
        </w:rPr>
        <w:t>doivent</w:t>
      </w:r>
      <w:r w:rsidR="00B91619" w:rsidRPr="00FA558D">
        <w:rPr>
          <w:lang w:val="fr-CA"/>
        </w:rPr>
        <w:t xml:space="preserve"> </w:t>
      </w:r>
      <w:r w:rsidR="00B91619">
        <w:rPr>
          <w:lang w:val="fr-CA"/>
        </w:rPr>
        <w:t>être compensé</w:t>
      </w:r>
      <w:r w:rsidR="007C1161">
        <w:rPr>
          <w:lang w:val="fr-CA"/>
        </w:rPr>
        <w:t>es</w:t>
      </w:r>
      <w:r w:rsidR="00B91619">
        <w:rPr>
          <w:lang w:val="fr-CA"/>
        </w:rPr>
        <w:t xml:space="preserve"> par une réduction équivalente des coûts administratifs découlant de la réglementation existante</w:t>
      </w:r>
      <w:r w:rsidR="00B91619" w:rsidRPr="00FA558D">
        <w:rPr>
          <w:lang w:val="fr-CA"/>
        </w:rPr>
        <w:t xml:space="preserve">. </w:t>
      </w:r>
    </w:p>
    <w:p w14:paraId="60E678C1" w14:textId="77777777" w:rsidR="00B91619" w:rsidRPr="00FA558D" w:rsidRDefault="00B91619" w:rsidP="00B91619">
      <w:pPr>
        <w:tabs>
          <w:tab w:val="left" w:pos="9356"/>
        </w:tabs>
        <w:spacing w:after="0" w:line="240" w:lineRule="auto"/>
        <w:rPr>
          <w:lang w:val="fr-CA"/>
        </w:rPr>
      </w:pPr>
    </w:p>
    <w:p w14:paraId="04B372DC" w14:textId="77777777" w:rsidR="00B91619" w:rsidRPr="00FA558D" w:rsidRDefault="00B91619" w:rsidP="00B91619">
      <w:pPr>
        <w:tabs>
          <w:tab w:val="left" w:pos="9356"/>
        </w:tabs>
        <w:spacing w:after="0" w:line="240" w:lineRule="auto"/>
        <w:rPr>
          <w:lang w:val="fr-CA"/>
        </w:rPr>
      </w:pPr>
      <w:r>
        <w:rPr>
          <w:lang w:val="fr-CA"/>
        </w:rPr>
        <w:t>Cette compensation peut être achevée par divers moyens, notamment les suivants :</w:t>
      </w:r>
    </w:p>
    <w:p w14:paraId="734A273A" w14:textId="77777777" w:rsidR="00B91619" w:rsidRPr="00FA558D" w:rsidRDefault="00B91619" w:rsidP="00B91619">
      <w:pPr>
        <w:tabs>
          <w:tab w:val="left" w:pos="9356"/>
        </w:tabs>
        <w:spacing w:after="0" w:line="240" w:lineRule="auto"/>
        <w:rPr>
          <w:lang w:val="fr-CA"/>
        </w:rPr>
      </w:pPr>
    </w:p>
    <w:p w14:paraId="7ECFDCF2" w14:textId="26C6D1B5" w:rsidR="00B91619" w:rsidRPr="00FA558D" w:rsidRDefault="00B91619" w:rsidP="00B91619">
      <w:pPr>
        <w:pStyle w:val="ListParagraph"/>
        <w:numPr>
          <w:ilvl w:val="0"/>
          <w:numId w:val="9"/>
        </w:numPr>
        <w:tabs>
          <w:tab w:val="left" w:pos="9356"/>
        </w:tabs>
        <w:spacing w:after="0" w:line="240" w:lineRule="auto"/>
        <w:rPr>
          <w:lang w:val="fr-CA"/>
        </w:rPr>
      </w:pPr>
      <w:r>
        <w:rPr>
          <w:lang w:val="fr-CA"/>
        </w:rPr>
        <w:t xml:space="preserve">suppression d’exigences </w:t>
      </w:r>
      <w:r w:rsidR="009F4681">
        <w:rPr>
          <w:lang w:val="fr-CA"/>
        </w:rPr>
        <w:t>particulières relatives à la</w:t>
      </w:r>
      <w:r>
        <w:rPr>
          <w:lang w:val="fr-CA"/>
        </w:rPr>
        <w:t xml:space="preserve"> conservation de l’</w:t>
      </w:r>
      <w:r w:rsidRPr="00FA558D">
        <w:rPr>
          <w:lang w:val="fr-CA"/>
        </w:rPr>
        <w:t>information</w:t>
      </w:r>
      <w:r>
        <w:rPr>
          <w:lang w:val="fr-CA"/>
        </w:rPr>
        <w:t>;</w:t>
      </w:r>
    </w:p>
    <w:p w14:paraId="075C19F1" w14:textId="0A80042F" w:rsidR="00B91619" w:rsidRPr="00FA558D" w:rsidRDefault="00B91619" w:rsidP="00B91619">
      <w:pPr>
        <w:pStyle w:val="ListParagraph"/>
        <w:numPr>
          <w:ilvl w:val="0"/>
          <w:numId w:val="9"/>
        </w:numPr>
        <w:tabs>
          <w:tab w:val="left" w:pos="9356"/>
        </w:tabs>
        <w:spacing w:after="0" w:line="240" w:lineRule="auto"/>
        <w:rPr>
          <w:lang w:val="fr-CA"/>
        </w:rPr>
      </w:pPr>
      <w:r>
        <w:rPr>
          <w:lang w:val="fr-CA"/>
        </w:rPr>
        <w:t>modification des échéanciers sur la présentation de rapports;</w:t>
      </w:r>
      <w:r w:rsidRPr="00FA558D">
        <w:rPr>
          <w:lang w:val="fr-CA"/>
        </w:rPr>
        <w:t xml:space="preserve"> </w:t>
      </w:r>
    </w:p>
    <w:p w14:paraId="735BE6EC" w14:textId="1D6C339D" w:rsidR="00B91619" w:rsidRPr="00FA558D" w:rsidRDefault="00B91619" w:rsidP="00B91619">
      <w:pPr>
        <w:pStyle w:val="ListParagraph"/>
        <w:numPr>
          <w:ilvl w:val="0"/>
          <w:numId w:val="9"/>
        </w:numPr>
        <w:tabs>
          <w:tab w:val="left" w:pos="9356"/>
        </w:tabs>
        <w:spacing w:after="0" w:line="240" w:lineRule="auto"/>
        <w:rPr>
          <w:lang w:val="fr-CA"/>
        </w:rPr>
      </w:pPr>
      <w:r w:rsidRPr="00FA558D">
        <w:rPr>
          <w:lang w:val="fr-CA"/>
        </w:rPr>
        <w:t>a</w:t>
      </w:r>
      <w:r>
        <w:rPr>
          <w:lang w:val="fr-CA"/>
        </w:rPr>
        <w:t>utorisation de la collecte</w:t>
      </w:r>
      <w:r w:rsidR="009F4681">
        <w:rPr>
          <w:lang w:val="fr-CA"/>
        </w:rPr>
        <w:t xml:space="preserve"> de renseignements par voie</w:t>
      </w:r>
      <w:r>
        <w:rPr>
          <w:lang w:val="fr-CA"/>
        </w:rPr>
        <w:t xml:space="preserve"> électronique;</w:t>
      </w:r>
    </w:p>
    <w:p w14:paraId="27B6EAAA" w14:textId="6183449F" w:rsidR="00B91619" w:rsidRPr="00FA558D" w:rsidRDefault="00B91619" w:rsidP="00B91619">
      <w:pPr>
        <w:pStyle w:val="ListParagraph"/>
        <w:numPr>
          <w:ilvl w:val="0"/>
          <w:numId w:val="9"/>
        </w:numPr>
        <w:tabs>
          <w:tab w:val="left" w:pos="9356"/>
        </w:tabs>
        <w:spacing w:after="0" w:line="240" w:lineRule="auto"/>
        <w:rPr>
          <w:lang w:val="fr-CA"/>
        </w:rPr>
      </w:pPr>
      <w:r>
        <w:rPr>
          <w:lang w:val="fr-CA"/>
        </w:rPr>
        <w:t xml:space="preserve">autorisation </w:t>
      </w:r>
      <w:r w:rsidR="009F4681">
        <w:rPr>
          <w:lang w:val="fr-CA"/>
        </w:rPr>
        <w:t>de l’échange de renseignements</w:t>
      </w:r>
      <w:r w:rsidRPr="00FA558D">
        <w:rPr>
          <w:lang w:val="fr-CA"/>
        </w:rPr>
        <w:t xml:space="preserve"> </w:t>
      </w:r>
      <w:r>
        <w:rPr>
          <w:lang w:val="fr-CA"/>
        </w:rPr>
        <w:t>entre</w:t>
      </w:r>
      <w:r w:rsidRPr="00FA558D">
        <w:rPr>
          <w:lang w:val="fr-CA"/>
        </w:rPr>
        <w:t xml:space="preserve"> </w:t>
      </w:r>
      <w:r>
        <w:rPr>
          <w:lang w:val="fr-CA"/>
        </w:rPr>
        <w:t>les ministères du gouvernement ou d’autres ordres du gouvernement.</w:t>
      </w:r>
    </w:p>
    <w:p w14:paraId="2F554A0F" w14:textId="77777777" w:rsidR="00B91619" w:rsidRPr="00FA558D" w:rsidRDefault="00B91619" w:rsidP="00B91619">
      <w:pPr>
        <w:tabs>
          <w:tab w:val="left" w:pos="9356"/>
        </w:tabs>
        <w:spacing w:after="0" w:line="240" w:lineRule="auto"/>
        <w:rPr>
          <w:lang w:val="fr-CA"/>
        </w:rPr>
      </w:pPr>
    </w:p>
    <w:p w14:paraId="7606F42B" w14:textId="1EDEEBF1" w:rsidR="00B91619" w:rsidRPr="00FA558D" w:rsidRDefault="00B91619" w:rsidP="00B91619">
      <w:pPr>
        <w:tabs>
          <w:tab w:val="left" w:pos="9356"/>
        </w:tabs>
        <w:spacing w:after="0" w:line="240" w:lineRule="auto"/>
        <w:rPr>
          <w:lang w:val="fr-CA"/>
        </w:rPr>
      </w:pPr>
      <w:r>
        <w:rPr>
          <w:lang w:val="fr-CA"/>
        </w:rPr>
        <w:t>La règle du « un pour un »</w:t>
      </w:r>
      <w:r w:rsidRPr="00FA558D">
        <w:rPr>
          <w:lang w:val="fr-CA"/>
        </w:rPr>
        <w:t xml:space="preserve"> </w:t>
      </w:r>
      <w:r>
        <w:rPr>
          <w:lang w:val="fr-CA"/>
        </w:rPr>
        <w:t>s’applique uniquement</w:t>
      </w:r>
      <w:r w:rsidRPr="00FA558D">
        <w:rPr>
          <w:lang w:val="fr-CA"/>
        </w:rPr>
        <w:t xml:space="preserve"> </w:t>
      </w:r>
      <w:r>
        <w:rPr>
          <w:lang w:val="fr-CA"/>
        </w:rPr>
        <w:t xml:space="preserve">aux </w:t>
      </w:r>
      <w:r w:rsidR="00977C62">
        <w:rPr>
          <w:lang w:val="fr-CA"/>
        </w:rPr>
        <w:t xml:space="preserve">modifications </w:t>
      </w:r>
      <w:r>
        <w:rPr>
          <w:lang w:val="fr-CA"/>
        </w:rPr>
        <w:t>réglementaires</w:t>
      </w:r>
      <w:r w:rsidRPr="00FA558D">
        <w:rPr>
          <w:lang w:val="fr-CA"/>
        </w:rPr>
        <w:t xml:space="preserve"> </w:t>
      </w:r>
      <w:r>
        <w:rPr>
          <w:lang w:val="fr-CA"/>
        </w:rPr>
        <w:t>tel</w:t>
      </w:r>
      <w:r w:rsidR="00977C62">
        <w:rPr>
          <w:lang w:val="fr-CA"/>
        </w:rPr>
        <w:t>le</w:t>
      </w:r>
      <w:r>
        <w:rPr>
          <w:lang w:val="fr-CA"/>
        </w:rPr>
        <w:t>s qu’</w:t>
      </w:r>
      <w:r w:rsidR="00977C62">
        <w:rPr>
          <w:lang w:val="fr-CA"/>
        </w:rPr>
        <w:t>elle</w:t>
      </w:r>
      <w:r>
        <w:rPr>
          <w:lang w:val="fr-CA"/>
        </w:rPr>
        <w:t>s sont défini</w:t>
      </w:r>
      <w:r w:rsidR="00977C62">
        <w:rPr>
          <w:lang w:val="fr-CA"/>
        </w:rPr>
        <w:t>e</w:t>
      </w:r>
      <w:r>
        <w:rPr>
          <w:lang w:val="fr-CA"/>
        </w:rPr>
        <w:t xml:space="preserve">s dans la </w:t>
      </w:r>
      <w:r w:rsidRPr="008C5FFA">
        <w:rPr>
          <w:lang w:val="fr-CA"/>
        </w:rPr>
        <w:t>Loi sur la réduction de la paperasse</w:t>
      </w:r>
      <w:r w:rsidRPr="00FA558D">
        <w:rPr>
          <w:lang w:val="fr-CA"/>
        </w:rPr>
        <w:t>,</w:t>
      </w:r>
      <w:r>
        <w:rPr>
          <w:lang w:val="fr-CA"/>
        </w:rPr>
        <w:t xml:space="preserve"> et les organismes de réglementation</w:t>
      </w:r>
      <w:r w:rsidRPr="00FA558D">
        <w:rPr>
          <w:lang w:val="fr-CA"/>
        </w:rPr>
        <w:t xml:space="preserve"> </w:t>
      </w:r>
      <w:r>
        <w:rPr>
          <w:lang w:val="fr-CA"/>
        </w:rPr>
        <w:t xml:space="preserve">ne peuvent se déclarer responsables de la réduction du fardeau par des </w:t>
      </w:r>
      <w:r w:rsidR="00977C62">
        <w:rPr>
          <w:lang w:val="fr-CA"/>
        </w:rPr>
        <w:t xml:space="preserve">modifications </w:t>
      </w:r>
      <w:r>
        <w:rPr>
          <w:lang w:val="fr-CA"/>
        </w:rPr>
        <w:t>apporté</w:t>
      </w:r>
      <w:r w:rsidR="00977C62">
        <w:rPr>
          <w:lang w:val="fr-CA"/>
        </w:rPr>
        <w:t>e</w:t>
      </w:r>
      <w:r>
        <w:rPr>
          <w:lang w:val="fr-CA"/>
        </w:rPr>
        <w:t xml:space="preserve">s à des politiques ou à des programmes qui réduisent les coûts </w:t>
      </w:r>
      <w:r w:rsidR="00977C62">
        <w:rPr>
          <w:lang w:val="fr-CA"/>
        </w:rPr>
        <w:t xml:space="preserve">liés au </w:t>
      </w:r>
      <w:r>
        <w:rPr>
          <w:lang w:val="fr-CA"/>
        </w:rPr>
        <w:t>fardeau administratif</w:t>
      </w:r>
      <w:r w:rsidRPr="00FA558D">
        <w:rPr>
          <w:lang w:val="fr-CA"/>
        </w:rPr>
        <w:t xml:space="preserve"> </w:t>
      </w:r>
      <w:r w:rsidR="00977C62">
        <w:rPr>
          <w:lang w:val="fr-CA"/>
        </w:rPr>
        <w:t>imposé aux</w:t>
      </w:r>
      <w:r>
        <w:rPr>
          <w:lang w:val="fr-CA"/>
        </w:rPr>
        <w:t xml:space="preserve"> entreprises,</w:t>
      </w:r>
      <w:r w:rsidRPr="00FA558D">
        <w:rPr>
          <w:lang w:val="fr-CA"/>
        </w:rPr>
        <w:t xml:space="preserve"> </w:t>
      </w:r>
      <w:r>
        <w:rPr>
          <w:lang w:val="fr-CA"/>
        </w:rPr>
        <w:t>sauf si la ré</w:t>
      </w:r>
      <w:r w:rsidRPr="00FA558D">
        <w:rPr>
          <w:lang w:val="fr-CA"/>
        </w:rPr>
        <w:t xml:space="preserve">duction </w:t>
      </w:r>
      <w:r>
        <w:rPr>
          <w:lang w:val="fr-CA"/>
        </w:rPr>
        <w:t xml:space="preserve">des coûts est </w:t>
      </w:r>
      <w:r w:rsidRPr="00FA558D">
        <w:rPr>
          <w:lang w:val="fr-CA"/>
        </w:rPr>
        <w:t>di</w:t>
      </w:r>
      <w:r>
        <w:rPr>
          <w:lang w:val="fr-CA"/>
        </w:rPr>
        <w:t>rectement</w:t>
      </w:r>
      <w:r w:rsidRPr="00FA558D">
        <w:rPr>
          <w:lang w:val="fr-CA"/>
        </w:rPr>
        <w:t xml:space="preserve"> </w:t>
      </w:r>
      <w:r>
        <w:rPr>
          <w:lang w:val="fr-CA"/>
        </w:rPr>
        <w:t>liée</w:t>
      </w:r>
      <w:r w:rsidRPr="00FA558D">
        <w:rPr>
          <w:lang w:val="fr-CA"/>
        </w:rPr>
        <w:t xml:space="preserve"> </w:t>
      </w:r>
      <w:r>
        <w:rPr>
          <w:lang w:val="fr-CA"/>
        </w:rPr>
        <w:t>à la modification réglementaire</w:t>
      </w:r>
      <w:r w:rsidRPr="00FA558D">
        <w:rPr>
          <w:lang w:val="fr-CA"/>
        </w:rPr>
        <w:t>.</w:t>
      </w:r>
    </w:p>
    <w:p w14:paraId="03D203D8" w14:textId="77777777" w:rsidR="00B91619" w:rsidRPr="00FA558D" w:rsidRDefault="00B91619" w:rsidP="00B91619">
      <w:pPr>
        <w:tabs>
          <w:tab w:val="left" w:pos="9356"/>
        </w:tabs>
        <w:spacing w:after="0" w:line="240" w:lineRule="auto"/>
        <w:rPr>
          <w:lang w:val="fr-CA"/>
        </w:rPr>
      </w:pPr>
    </w:p>
    <w:p w14:paraId="2AEA3070" w14:textId="2F17FAC9" w:rsidR="00B91619" w:rsidRPr="00FA558D" w:rsidRDefault="00B91619" w:rsidP="00B91619">
      <w:pPr>
        <w:tabs>
          <w:tab w:val="left" w:pos="9356"/>
        </w:tabs>
        <w:spacing w:after="0" w:line="240" w:lineRule="auto"/>
        <w:rPr>
          <w:lang w:val="fr-CA"/>
        </w:rPr>
      </w:pPr>
      <w:r>
        <w:rPr>
          <w:lang w:val="fr-CA"/>
        </w:rPr>
        <w:lastRenderedPageBreak/>
        <w:t xml:space="preserve">Les organismes de réglementation sont </w:t>
      </w:r>
      <w:r w:rsidRPr="00FA558D">
        <w:rPr>
          <w:lang w:val="fr-CA"/>
        </w:rPr>
        <w:t>encourag</w:t>
      </w:r>
      <w:r>
        <w:rPr>
          <w:lang w:val="fr-CA"/>
        </w:rPr>
        <w:t xml:space="preserve">és à </w:t>
      </w:r>
      <w:r w:rsidR="00977C62">
        <w:rPr>
          <w:lang w:val="fr-CA"/>
        </w:rPr>
        <w:t>déterminer le</w:t>
      </w:r>
      <w:r>
        <w:rPr>
          <w:lang w:val="fr-CA"/>
        </w:rPr>
        <w:t xml:space="preserve"> fardeau</w:t>
      </w:r>
      <w:r w:rsidR="00977C62">
        <w:rPr>
          <w:lang w:val="fr-CA"/>
        </w:rPr>
        <w:t xml:space="preserve"> existant</w:t>
      </w:r>
      <w:r>
        <w:rPr>
          <w:lang w:val="fr-CA"/>
        </w:rPr>
        <w:t xml:space="preserve"> qui pourrait être éliminé. </w:t>
      </w:r>
      <w:r w:rsidR="00977C62">
        <w:rPr>
          <w:lang w:val="fr-CA"/>
        </w:rPr>
        <w:t>Cette mesure</w:t>
      </w:r>
      <w:r>
        <w:rPr>
          <w:lang w:val="fr-CA"/>
        </w:rPr>
        <w:t xml:space="preserve"> profiter</w:t>
      </w:r>
      <w:r w:rsidR="00977C62">
        <w:rPr>
          <w:lang w:val="fr-CA"/>
        </w:rPr>
        <w:t>a</w:t>
      </w:r>
      <w:r>
        <w:rPr>
          <w:lang w:val="fr-CA"/>
        </w:rPr>
        <w:t xml:space="preserve"> immédiatement aux entreprises, et la réduction du fardeau</w:t>
      </w:r>
      <w:r w:rsidR="00977C62">
        <w:rPr>
          <w:lang w:val="fr-CA"/>
        </w:rPr>
        <w:t xml:space="preserve"> qui en découle</w:t>
      </w:r>
      <w:r w:rsidRPr="00FA558D">
        <w:rPr>
          <w:lang w:val="fr-CA"/>
        </w:rPr>
        <w:t xml:space="preserve"> </w:t>
      </w:r>
      <w:r>
        <w:rPr>
          <w:lang w:val="fr-CA"/>
        </w:rPr>
        <w:t xml:space="preserve">pourrait être appliquée </w:t>
      </w:r>
      <w:r w:rsidR="00977C62">
        <w:rPr>
          <w:lang w:val="fr-CA"/>
        </w:rPr>
        <w:t>aux</w:t>
      </w:r>
      <w:r>
        <w:rPr>
          <w:lang w:val="fr-CA"/>
        </w:rPr>
        <w:t xml:space="preserve"> obligations en vigueur de compensation, ou réservée pour répondre à des exigences dans l’avenir.</w:t>
      </w:r>
      <w:r w:rsidRPr="00FA558D">
        <w:rPr>
          <w:lang w:val="fr-CA"/>
        </w:rPr>
        <w:t xml:space="preserve"> </w:t>
      </w:r>
    </w:p>
    <w:p w14:paraId="755110A6" w14:textId="77777777" w:rsidR="00B91619" w:rsidRPr="00FA558D" w:rsidRDefault="00B91619" w:rsidP="00B91619">
      <w:pPr>
        <w:tabs>
          <w:tab w:val="left" w:pos="9356"/>
        </w:tabs>
        <w:spacing w:after="0" w:line="240" w:lineRule="auto"/>
        <w:rPr>
          <w:lang w:val="fr-CA"/>
        </w:rPr>
      </w:pPr>
    </w:p>
    <w:p w14:paraId="41F8B9F3" w14:textId="77777777" w:rsidR="00B91619" w:rsidRPr="00FA558D" w:rsidRDefault="00B91619" w:rsidP="00B91619">
      <w:pPr>
        <w:pStyle w:val="Heading3"/>
        <w:rPr>
          <w:lang w:val="fr-CA"/>
        </w:rPr>
      </w:pPr>
      <w:bookmarkStart w:id="21" w:name="_Toc69891050"/>
      <w:r>
        <w:rPr>
          <w:lang w:val="fr-CA"/>
        </w:rPr>
        <w:t xml:space="preserve">Abrogation d’un règlement </w:t>
      </w:r>
      <w:r w:rsidRPr="00FA558D">
        <w:rPr>
          <w:lang w:val="fr-CA"/>
        </w:rPr>
        <w:t>(</w:t>
      </w:r>
      <w:r>
        <w:rPr>
          <w:lang w:val="fr-CA"/>
        </w:rPr>
        <w:t>sous-s</w:t>
      </w:r>
      <w:r w:rsidRPr="00FA558D">
        <w:rPr>
          <w:lang w:val="fr-CA"/>
        </w:rPr>
        <w:t>ection 7.2.6)</w:t>
      </w:r>
      <w:bookmarkEnd w:id="21"/>
    </w:p>
    <w:p w14:paraId="7E026CAD" w14:textId="77777777" w:rsidR="00B91619" w:rsidRPr="00FA558D" w:rsidRDefault="00B91619" w:rsidP="00B91619">
      <w:pPr>
        <w:tabs>
          <w:tab w:val="left" w:pos="9356"/>
        </w:tabs>
        <w:spacing w:after="0" w:line="240" w:lineRule="auto"/>
        <w:rPr>
          <w:lang w:val="fr-CA"/>
        </w:rPr>
      </w:pPr>
    </w:p>
    <w:p w14:paraId="3E101B0A" w14:textId="45FCC743" w:rsidR="00B91619" w:rsidRPr="00FA558D" w:rsidRDefault="00B91619" w:rsidP="00B91619">
      <w:pPr>
        <w:pStyle w:val="Heading4"/>
        <w:rPr>
          <w:lang w:val="fr-CA"/>
        </w:rPr>
      </w:pPr>
      <w:r w:rsidRPr="00FA558D">
        <w:rPr>
          <w:lang w:val="fr-CA"/>
        </w:rPr>
        <w:t xml:space="preserve">Types </w:t>
      </w:r>
      <w:r>
        <w:rPr>
          <w:lang w:val="fr-CA"/>
        </w:rPr>
        <w:t>de</w:t>
      </w:r>
      <w:r w:rsidRPr="00FA558D">
        <w:rPr>
          <w:lang w:val="fr-CA"/>
        </w:rPr>
        <w:t xml:space="preserve"> </w:t>
      </w:r>
      <w:r>
        <w:rPr>
          <w:lang w:val="fr-CA"/>
        </w:rPr>
        <w:t>règlement</w:t>
      </w:r>
      <w:r w:rsidRPr="00FA558D">
        <w:rPr>
          <w:lang w:val="fr-CA"/>
        </w:rPr>
        <w:t>s</w:t>
      </w:r>
      <w:r>
        <w:rPr>
          <w:lang w:val="fr-CA"/>
        </w:rPr>
        <w:t xml:space="preserve"> </w:t>
      </w:r>
      <w:r w:rsidR="00566134">
        <w:rPr>
          <w:lang w:val="fr-CA"/>
        </w:rPr>
        <w:t xml:space="preserve">qui répondent aux critères de </w:t>
      </w:r>
      <w:r>
        <w:rPr>
          <w:lang w:val="fr-CA"/>
        </w:rPr>
        <w:t>l’élément</w:t>
      </w:r>
      <w:r w:rsidRPr="00FA558D">
        <w:rPr>
          <w:lang w:val="fr-CA"/>
        </w:rPr>
        <w:t> B</w:t>
      </w:r>
    </w:p>
    <w:p w14:paraId="0AEA2195" w14:textId="77777777" w:rsidR="00B91619" w:rsidRPr="00FA558D" w:rsidRDefault="00B91619" w:rsidP="00B91619">
      <w:pPr>
        <w:tabs>
          <w:tab w:val="left" w:pos="9356"/>
        </w:tabs>
        <w:spacing w:after="0" w:line="240" w:lineRule="auto"/>
        <w:rPr>
          <w:lang w:val="fr-CA"/>
        </w:rPr>
      </w:pPr>
    </w:p>
    <w:p w14:paraId="53170787" w14:textId="6E4CBE21" w:rsidR="00B91619" w:rsidRPr="00FA558D" w:rsidRDefault="00B91619" w:rsidP="00B91619">
      <w:pPr>
        <w:tabs>
          <w:tab w:val="left" w:pos="9356"/>
        </w:tabs>
        <w:spacing w:after="0" w:line="240" w:lineRule="auto"/>
        <w:rPr>
          <w:b/>
          <w:lang w:val="fr-CA"/>
        </w:rPr>
      </w:pPr>
      <w:r>
        <w:rPr>
          <w:b/>
          <w:lang w:val="fr-CA"/>
        </w:rPr>
        <w:t>Règlements caducs</w:t>
      </w:r>
      <w:r w:rsidRPr="00FA558D">
        <w:rPr>
          <w:b/>
          <w:lang w:val="fr-CA"/>
        </w:rPr>
        <w:t xml:space="preserve"> </w:t>
      </w:r>
    </w:p>
    <w:p w14:paraId="35889AF0" w14:textId="06BD9052" w:rsidR="00B91619" w:rsidRPr="00FF69AA" w:rsidRDefault="00B91619" w:rsidP="00B91619">
      <w:pPr>
        <w:tabs>
          <w:tab w:val="left" w:pos="9356"/>
        </w:tabs>
        <w:spacing w:after="0" w:line="240" w:lineRule="auto"/>
        <w:rPr>
          <w:lang w:val="fr-CA"/>
        </w:rPr>
      </w:pPr>
      <w:r>
        <w:rPr>
          <w:lang w:val="fr-CA"/>
        </w:rPr>
        <w:t>Un</w:t>
      </w:r>
      <w:r w:rsidRPr="00FA558D">
        <w:rPr>
          <w:lang w:val="fr-CA"/>
        </w:rPr>
        <w:t xml:space="preserve"> </w:t>
      </w:r>
      <w:r>
        <w:rPr>
          <w:lang w:val="fr-CA"/>
        </w:rPr>
        <w:t>règlement caduc</w:t>
      </w:r>
      <w:r w:rsidRPr="00FA558D">
        <w:rPr>
          <w:lang w:val="fr-CA"/>
        </w:rPr>
        <w:t xml:space="preserve"> </w:t>
      </w:r>
      <w:r>
        <w:rPr>
          <w:lang w:val="fr-CA"/>
        </w:rPr>
        <w:t xml:space="preserve">est un règlement </w:t>
      </w:r>
      <w:r w:rsidR="00566134">
        <w:rPr>
          <w:lang w:val="fr-CA"/>
        </w:rPr>
        <w:t>qui n’est plus en vigueur</w:t>
      </w:r>
      <w:r>
        <w:rPr>
          <w:lang w:val="fr-CA"/>
        </w:rPr>
        <w:t xml:space="preserve"> par le fait que l’activité qu’il </w:t>
      </w:r>
      <w:r w:rsidRPr="00FF69AA">
        <w:rPr>
          <w:lang w:val="fr-CA"/>
        </w:rPr>
        <w:t xml:space="preserve">régissait </w:t>
      </w:r>
      <w:r w:rsidR="00566134" w:rsidRPr="00FF69AA">
        <w:rPr>
          <w:lang w:val="fr-CA"/>
        </w:rPr>
        <w:t>n’est plus exercée</w:t>
      </w:r>
      <w:r w:rsidRPr="00FF69AA">
        <w:rPr>
          <w:lang w:val="fr-CA"/>
        </w:rPr>
        <w:t xml:space="preserve"> ou </w:t>
      </w:r>
      <w:r w:rsidR="00566134" w:rsidRPr="00FF69AA">
        <w:rPr>
          <w:lang w:val="fr-CA"/>
        </w:rPr>
        <w:t>que la date d’expiration d’</w:t>
      </w:r>
      <w:r w:rsidRPr="00FF69AA">
        <w:rPr>
          <w:lang w:val="fr-CA"/>
        </w:rPr>
        <w:t xml:space="preserve">un règlement </w:t>
      </w:r>
      <w:r w:rsidR="00566134" w:rsidRPr="00FF69AA">
        <w:rPr>
          <w:lang w:val="fr-CA"/>
        </w:rPr>
        <w:t>est passée</w:t>
      </w:r>
      <w:r w:rsidRPr="00FF69AA">
        <w:rPr>
          <w:lang w:val="fr-CA"/>
        </w:rPr>
        <w:t xml:space="preserve">. </w:t>
      </w:r>
      <w:r w:rsidR="00566134" w:rsidRPr="00FF69AA">
        <w:rPr>
          <w:lang w:val="fr-CA"/>
        </w:rPr>
        <w:t xml:space="preserve">Lorsqu’ils </w:t>
      </w:r>
      <w:r w:rsidRPr="00FF69AA">
        <w:rPr>
          <w:lang w:val="fr-CA"/>
        </w:rPr>
        <w:t>supprime</w:t>
      </w:r>
      <w:r w:rsidR="00566134" w:rsidRPr="00FF69AA">
        <w:rPr>
          <w:lang w:val="fr-CA"/>
        </w:rPr>
        <w:t>nt</w:t>
      </w:r>
      <w:r w:rsidRPr="00FF69AA">
        <w:rPr>
          <w:lang w:val="fr-CA"/>
        </w:rPr>
        <w:t xml:space="preserve"> un règlement caduc, les organismes de réglementation ne peuvent </w:t>
      </w:r>
      <w:r w:rsidR="004206E0" w:rsidRPr="008C5FFA">
        <w:rPr>
          <w:lang w:val="fr-CA"/>
        </w:rPr>
        <w:t>inscrire</w:t>
      </w:r>
      <w:r w:rsidR="004206E0" w:rsidRPr="00FF69AA">
        <w:rPr>
          <w:lang w:val="fr-CA"/>
        </w:rPr>
        <w:t xml:space="preserve"> </w:t>
      </w:r>
      <w:r w:rsidRPr="00FF69AA">
        <w:rPr>
          <w:lang w:val="fr-CA"/>
        </w:rPr>
        <w:t>une suppression que sous l’élément B.</w:t>
      </w:r>
    </w:p>
    <w:p w14:paraId="54ACBB4F" w14:textId="77777777" w:rsidR="00B91619" w:rsidRPr="00FF69AA" w:rsidRDefault="00B91619" w:rsidP="00B91619">
      <w:pPr>
        <w:tabs>
          <w:tab w:val="left" w:pos="9356"/>
        </w:tabs>
        <w:spacing w:after="0" w:line="240" w:lineRule="auto"/>
        <w:rPr>
          <w:lang w:val="fr-CA"/>
        </w:rPr>
      </w:pPr>
    </w:p>
    <w:p w14:paraId="019AA28A" w14:textId="5643C25C" w:rsidR="00B91619" w:rsidRPr="00FF69AA" w:rsidRDefault="00B91619" w:rsidP="00B91619">
      <w:pPr>
        <w:tabs>
          <w:tab w:val="left" w:pos="9356"/>
        </w:tabs>
        <w:spacing w:after="0" w:line="240" w:lineRule="auto"/>
        <w:rPr>
          <w:b/>
          <w:lang w:val="fr-CA"/>
        </w:rPr>
      </w:pPr>
      <w:r w:rsidRPr="00FF69AA">
        <w:rPr>
          <w:b/>
          <w:lang w:val="fr-CA"/>
        </w:rPr>
        <w:t xml:space="preserve">Règlements </w:t>
      </w:r>
      <w:r w:rsidR="00BE336B" w:rsidRPr="00FF69AA">
        <w:rPr>
          <w:b/>
          <w:lang w:val="fr-CA"/>
        </w:rPr>
        <w:t>ayant des répercussions sur les entreprises</w:t>
      </w:r>
      <w:r w:rsidRPr="00FF69AA">
        <w:rPr>
          <w:b/>
          <w:lang w:val="fr-CA"/>
        </w:rPr>
        <w:t xml:space="preserve"> </w:t>
      </w:r>
    </w:p>
    <w:p w14:paraId="245A3DA2" w14:textId="662CF2FA" w:rsidR="00B91619" w:rsidRPr="00FF69AA" w:rsidRDefault="00B91619" w:rsidP="00B91619">
      <w:pPr>
        <w:tabs>
          <w:tab w:val="left" w:pos="9356"/>
        </w:tabs>
        <w:spacing w:after="0" w:line="240" w:lineRule="auto"/>
        <w:rPr>
          <w:lang w:val="fr-CA"/>
        </w:rPr>
      </w:pPr>
      <w:r w:rsidRPr="00FF69AA">
        <w:rPr>
          <w:lang w:val="fr-CA"/>
        </w:rPr>
        <w:t xml:space="preserve">Un titre réglementaire peut être supprimé pour </w:t>
      </w:r>
      <w:r w:rsidR="004206E0" w:rsidRPr="008C5FFA">
        <w:rPr>
          <w:lang w:val="fr-CA"/>
        </w:rPr>
        <w:t>inscrire</w:t>
      </w:r>
      <w:r w:rsidR="004206E0" w:rsidRPr="00FF69AA">
        <w:rPr>
          <w:lang w:val="fr-CA"/>
        </w:rPr>
        <w:t xml:space="preserve"> </w:t>
      </w:r>
      <w:r w:rsidRPr="00FF69AA">
        <w:rPr>
          <w:lang w:val="fr-CA"/>
        </w:rPr>
        <w:t xml:space="preserve">une suppression sous l’élément B. La suppression peut aussi être </w:t>
      </w:r>
      <w:r w:rsidR="004206E0" w:rsidRPr="008C5FFA">
        <w:rPr>
          <w:lang w:val="fr-CA"/>
        </w:rPr>
        <w:t>inscrite</w:t>
      </w:r>
      <w:r w:rsidR="004206E0" w:rsidRPr="00FF69AA">
        <w:rPr>
          <w:lang w:val="fr-CA"/>
        </w:rPr>
        <w:t xml:space="preserve"> </w:t>
      </w:r>
      <w:r w:rsidRPr="00FF69AA">
        <w:rPr>
          <w:lang w:val="fr-CA"/>
        </w:rPr>
        <w:t>sous l’élément A si le règlement réduit les coûts administratifs pour les entreprises.</w:t>
      </w:r>
    </w:p>
    <w:p w14:paraId="34FB3DDB" w14:textId="77777777" w:rsidR="00B91619" w:rsidRPr="00FF69AA" w:rsidRDefault="00B91619" w:rsidP="00B91619">
      <w:pPr>
        <w:tabs>
          <w:tab w:val="left" w:pos="9356"/>
        </w:tabs>
        <w:spacing w:after="0" w:line="240" w:lineRule="auto"/>
        <w:rPr>
          <w:lang w:val="fr-CA"/>
        </w:rPr>
      </w:pPr>
    </w:p>
    <w:p w14:paraId="2580BCE9" w14:textId="65725149" w:rsidR="00B91619" w:rsidRPr="00FF69AA" w:rsidRDefault="00B91619" w:rsidP="00B91619">
      <w:pPr>
        <w:tabs>
          <w:tab w:val="left" w:pos="9356"/>
        </w:tabs>
        <w:spacing w:after="0" w:line="240" w:lineRule="auto"/>
        <w:rPr>
          <w:b/>
          <w:lang w:val="fr-CA"/>
        </w:rPr>
      </w:pPr>
      <w:r w:rsidRPr="00FF69AA">
        <w:rPr>
          <w:b/>
          <w:lang w:val="fr-CA"/>
        </w:rPr>
        <w:t xml:space="preserve">Règlements </w:t>
      </w:r>
      <w:r w:rsidR="00BE336B" w:rsidRPr="00FF69AA">
        <w:rPr>
          <w:b/>
          <w:lang w:val="fr-CA"/>
        </w:rPr>
        <w:t>n’ayant aucune répercussion sur les entreprises</w:t>
      </w:r>
    </w:p>
    <w:p w14:paraId="56DBF745" w14:textId="342A3235" w:rsidR="00B91619" w:rsidRPr="00FA558D" w:rsidRDefault="00B91619" w:rsidP="00B91619">
      <w:pPr>
        <w:tabs>
          <w:tab w:val="left" w:pos="9356"/>
        </w:tabs>
        <w:spacing w:after="0" w:line="240" w:lineRule="auto"/>
        <w:rPr>
          <w:lang w:val="fr-CA"/>
        </w:rPr>
      </w:pPr>
      <w:r w:rsidRPr="00FF69AA">
        <w:rPr>
          <w:lang w:val="fr-CA"/>
        </w:rPr>
        <w:t xml:space="preserve">Un règlement sans répercussions pour les entreprises peut être </w:t>
      </w:r>
      <w:r w:rsidR="004206E0" w:rsidRPr="008C5FFA">
        <w:rPr>
          <w:lang w:val="fr-CA"/>
        </w:rPr>
        <w:t>inscrit</w:t>
      </w:r>
      <w:r w:rsidR="004206E0" w:rsidRPr="00FF69AA">
        <w:rPr>
          <w:lang w:val="fr-CA"/>
        </w:rPr>
        <w:t xml:space="preserve"> </w:t>
      </w:r>
      <w:r w:rsidRPr="00FF69AA">
        <w:rPr>
          <w:lang w:val="fr-CA"/>
        </w:rPr>
        <w:t>sous l’élément B</w:t>
      </w:r>
      <w:r w:rsidR="00ED5303" w:rsidRPr="00FF69AA">
        <w:rPr>
          <w:lang w:val="fr-CA"/>
        </w:rPr>
        <w:t>;</w:t>
      </w:r>
      <w:r w:rsidRPr="00FF69AA">
        <w:rPr>
          <w:lang w:val="fr-CA"/>
        </w:rPr>
        <w:t xml:space="preserve"> toutefois, aucune suppression ne peut être </w:t>
      </w:r>
      <w:r w:rsidR="004206E0" w:rsidRPr="008C5FFA">
        <w:rPr>
          <w:lang w:val="fr-CA"/>
        </w:rPr>
        <w:t>inscrite</w:t>
      </w:r>
      <w:r w:rsidR="004206E0" w:rsidRPr="00FF69AA">
        <w:rPr>
          <w:lang w:val="fr-CA"/>
        </w:rPr>
        <w:t xml:space="preserve"> </w:t>
      </w:r>
      <w:r w:rsidRPr="00FF69AA">
        <w:rPr>
          <w:lang w:val="fr-CA"/>
        </w:rPr>
        <w:t>sous l’élément A.</w:t>
      </w:r>
    </w:p>
    <w:p w14:paraId="4FA9F23C" w14:textId="77777777" w:rsidR="00B91619" w:rsidRPr="00FA558D" w:rsidRDefault="00B91619" w:rsidP="00B91619">
      <w:pPr>
        <w:tabs>
          <w:tab w:val="left" w:pos="9356"/>
        </w:tabs>
        <w:spacing w:after="0" w:line="240" w:lineRule="auto"/>
        <w:rPr>
          <w:lang w:val="fr-CA"/>
        </w:rPr>
      </w:pPr>
    </w:p>
    <w:p w14:paraId="45BEDA10" w14:textId="77777777" w:rsidR="00B91619" w:rsidRPr="00FA558D" w:rsidRDefault="00B91619" w:rsidP="00B91619">
      <w:pPr>
        <w:pStyle w:val="Heading4"/>
        <w:rPr>
          <w:lang w:val="fr-CA"/>
        </w:rPr>
      </w:pPr>
      <w:r>
        <w:rPr>
          <w:lang w:val="fr-CA"/>
        </w:rPr>
        <w:t>Abrogation et remplacement</w:t>
      </w:r>
    </w:p>
    <w:p w14:paraId="45C071BA" w14:textId="77777777" w:rsidR="00B91619" w:rsidRPr="00FA558D" w:rsidRDefault="00B91619" w:rsidP="00B91619">
      <w:pPr>
        <w:tabs>
          <w:tab w:val="left" w:pos="9356"/>
        </w:tabs>
        <w:spacing w:after="0" w:line="240" w:lineRule="auto"/>
        <w:rPr>
          <w:lang w:val="fr-CA"/>
        </w:rPr>
      </w:pPr>
    </w:p>
    <w:p w14:paraId="02D7C537" w14:textId="6F5027F8" w:rsidR="00B91619" w:rsidRPr="00FA558D" w:rsidRDefault="00B91619" w:rsidP="00B91619">
      <w:pPr>
        <w:tabs>
          <w:tab w:val="left" w:pos="9356"/>
        </w:tabs>
        <w:spacing w:after="0" w:line="240" w:lineRule="auto"/>
        <w:rPr>
          <w:lang w:val="fr-CA"/>
        </w:rPr>
      </w:pPr>
      <w:r>
        <w:rPr>
          <w:lang w:val="fr-CA"/>
        </w:rPr>
        <w:t xml:space="preserve">Lorsqu’un règlement est abrogé et remplacé par un autre, le traitement du titre </w:t>
      </w:r>
      <w:r w:rsidR="003A67B5">
        <w:rPr>
          <w:lang w:val="fr-CA"/>
        </w:rPr>
        <w:t>supprimé et du titre ajouté</w:t>
      </w:r>
      <w:r>
        <w:rPr>
          <w:lang w:val="fr-CA"/>
        </w:rPr>
        <w:t xml:space="preserve"> dépend de la question de savoir si oui ou non le nouveau titre entraîne</w:t>
      </w:r>
      <w:r w:rsidRPr="00FA558D">
        <w:rPr>
          <w:lang w:val="fr-CA"/>
        </w:rPr>
        <w:t xml:space="preserve"> </w:t>
      </w:r>
      <w:r>
        <w:rPr>
          <w:lang w:val="fr-CA"/>
        </w:rPr>
        <w:t>une modification progressive du</w:t>
      </w:r>
      <w:r w:rsidRPr="00FA558D">
        <w:rPr>
          <w:lang w:val="fr-CA"/>
        </w:rPr>
        <w:t xml:space="preserve"> </w:t>
      </w:r>
      <w:r>
        <w:rPr>
          <w:lang w:val="fr-CA"/>
        </w:rPr>
        <w:t xml:space="preserve">fardeau administratif </w:t>
      </w:r>
      <w:r w:rsidR="003A67B5">
        <w:rPr>
          <w:lang w:val="fr-CA"/>
        </w:rPr>
        <w:t>imposé aux</w:t>
      </w:r>
      <w:r>
        <w:rPr>
          <w:lang w:val="fr-CA"/>
        </w:rPr>
        <w:t xml:space="preserve"> entreprises</w:t>
      </w:r>
      <w:r w:rsidRPr="00FA558D">
        <w:rPr>
          <w:lang w:val="fr-CA"/>
        </w:rPr>
        <w:t>.</w:t>
      </w:r>
    </w:p>
    <w:p w14:paraId="2AB57DE3" w14:textId="77777777" w:rsidR="00B91619" w:rsidRPr="00FA558D" w:rsidRDefault="00B91619" w:rsidP="00B91619">
      <w:pPr>
        <w:tabs>
          <w:tab w:val="left" w:pos="9356"/>
        </w:tabs>
        <w:spacing w:after="0" w:line="240" w:lineRule="auto"/>
        <w:rPr>
          <w:lang w:val="fr-CA"/>
        </w:rPr>
      </w:pPr>
    </w:p>
    <w:p w14:paraId="0FAB3C12" w14:textId="6E3CFDC4" w:rsidR="00B91619" w:rsidRPr="00FA558D" w:rsidRDefault="00B91619" w:rsidP="00B91619">
      <w:pPr>
        <w:tabs>
          <w:tab w:val="left" w:pos="9356"/>
        </w:tabs>
        <w:spacing w:after="0" w:line="240" w:lineRule="auto"/>
        <w:rPr>
          <w:lang w:val="fr-CA"/>
        </w:rPr>
      </w:pPr>
      <w:r>
        <w:rPr>
          <w:lang w:val="fr-CA"/>
        </w:rPr>
        <w:t>Si le</w:t>
      </w:r>
      <w:r w:rsidRPr="00FA558D">
        <w:rPr>
          <w:lang w:val="fr-CA"/>
        </w:rPr>
        <w:t xml:space="preserve"> </w:t>
      </w:r>
      <w:r>
        <w:rPr>
          <w:lang w:val="fr-CA"/>
        </w:rPr>
        <w:t>nouveau règlement</w:t>
      </w:r>
      <w:r w:rsidRPr="00FA558D">
        <w:rPr>
          <w:lang w:val="fr-CA"/>
        </w:rPr>
        <w:t xml:space="preserve"> </w:t>
      </w:r>
      <w:r w:rsidR="00F6227E">
        <w:rPr>
          <w:lang w:val="fr-CA"/>
        </w:rPr>
        <w:t>donne lieu à</w:t>
      </w:r>
      <w:r w:rsidR="00F6227E" w:rsidRPr="00FA558D">
        <w:rPr>
          <w:lang w:val="fr-CA"/>
        </w:rPr>
        <w:t xml:space="preserve"> </w:t>
      </w:r>
      <w:r>
        <w:rPr>
          <w:lang w:val="fr-CA"/>
        </w:rPr>
        <w:t>une modification progressive du</w:t>
      </w:r>
      <w:r w:rsidRPr="00FA558D">
        <w:rPr>
          <w:lang w:val="fr-CA"/>
        </w:rPr>
        <w:t xml:space="preserve"> </w:t>
      </w:r>
      <w:r>
        <w:rPr>
          <w:lang w:val="fr-CA"/>
        </w:rPr>
        <w:t xml:space="preserve">fardeau administratif </w:t>
      </w:r>
      <w:r w:rsidR="00F6227E">
        <w:rPr>
          <w:lang w:val="fr-CA"/>
        </w:rPr>
        <w:t>imposé aux</w:t>
      </w:r>
      <w:r>
        <w:rPr>
          <w:lang w:val="fr-CA"/>
        </w:rPr>
        <w:t xml:space="preserve"> entreprises</w:t>
      </w:r>
      <w:r w:rsidRPr="00FA558D">
        <w:rPr>
          <w:lang w:val="fr-CA"/>
        </w:rPr>
        <w:t xml:space="preserve"> (</w:t>
      </w:r>
      <w:r>
        <w:rPr>
          <w:lang w:val="fr-CA"/>
        </w:rPr>
        <w:t xml:space="preserve">c’est-à-dire si </w:t>
      </w:r>
      <w:r w:rsidR="00F6227E">
        <w:rPr>
          <w:lang w:val="fr-CA"/>
        </w:rPr>
        <w:t xml:space="preserve">l’application de </w:t>
      </w:r>
      <w:r>
        <w:rPr>
          <w:lang w:val="fr-CA"/>
        </w:rPr>
        <w:t>l’élément</w:t>
      </w:r>
      <w:r w:rsidRPr="00FA558D">
        <w:rPr>
          <w:lang w:val="fr-CA"/>
        </w:rPr>
        <w:t xml:space="preserve"> A </w:t>
      </w:r>
      <w:r>
        <w:rPr>
          <w:lang w:val="fr-CA"/>
        </w:rPr>
        <w:t xml:space="preserve">est </w:t>
      </w:r>
      <w:r w:rsidR="00F6227E">
        <w:rPr>
          <w:lang w:val="fr-CA"/>
        </w:rPr>
        <w:t>entraînée</w:t>
      </w:r>
      <w:r w:rsidRPr="00FA558D">
        <w:rPr>
          <w:lang w:val="fr-CA"/>
        </w:rPr>
        <w:t xml:space="preserve">), </w:t>
      </w:r>
      <w:r>
        <w:rPr>
          <w:lang w:val="fr-CA"/>
        </w:rPr>
        <w:t>le nouveau titre et le titre abrogé sont respectivement pris en compte</w:t>
      </w:r>
      <w:r w:rsidRPr="00FA558D">
        <w:rPr>
          <w:lang w:val="fr-CA"/>
        </w:rPr>
        <w:t xml:space="preserve"> </w:t>
      </w:r>
      <w:r>
        <w:rPr>
          <w:lang w:val="fr-CA"/>
        </w:rPr>
        <w:t>comme l’ajout et la</w:t>
      </w:r>
      <w:r w:rsidRPr="00FA558D">
        <w:rPr>
          <w:lang w:val="fr-CA"/>
        </w:rPr>
        <w:t xml:space="preserve"> </w:t>
      </w:r>
      <w:r w:rsidR="00B771D4">
        <w:rPr>
          <w:lang w:val="fr-CA"/>
        </w:rPr>
        <w:t xml:space="preserve">suppression </w:t>
      </w:r>
      <w:r>
        <w:rPr>
          <w:lang w:val="fr-CA"/>
        </w:rPr>
        <w:t>d’un règlement. Si plus d’un</w:t>
      </w:r>
      <w:r w:rsidRPr="00FA558D">
        <w:rPr>
          <w:lang w:val="fr-CA"/>
        </w:rPr>
        <w:t xml:space="preserve"> </w:t>
      </w:r>
      <w:r>
        <w:rPr>
          <w:lang w:val="fr-CA"/>
        </w:rPr>
        <w:t>titre est abrogé</w:t>
      </w:r>
      <w:r w:rsidRPr="00FA558D">
        <w:rPr>
          <w:lang w:val="fr-CA"/>
        </w:rPr>
        <w:t>,</w:t>
      </w:r>
      <w:r>
        <w:rPr>
          <w:lang w:val="fr-CA"/>
        </w:rPr>
        <w:t xml:space="preserve"> chaque titre est considéré comme une</w:t>
      </w:r>
      <w:r w:rsidRPr="00FA558D">
        <w:rPr>
          <w:lang w:val="fr-CA"/>
        </w:rPr>
        <w:t xml:space="preserve"> </w:t>
      </w:r>
      <w:r w:rsidR="00B771D4">
        <w:rPr>
          <w:lang w:val="fr-CA"/>
        </w:rPr>
        <w:t xml:space="preserve">suppression </w:t>
      </w:r>
      <w:r>
        <w:rPr>
          <w:lang w:val="fr-CA"/>
        </w:rPr>
        <w:t>d’un règlement</w:t>
      </w:r>
      <w:r w:rsidRPr="00FA558D">
        <w:rPr>
          <w:lang w:val="fr-CA"/>
        </w:rPr>
        <w:t xml:space="preserve">. </w:t>
      </w:r>
      <w:r>
        <w:rPr>
          <w:lang w:val="fr-CA"/>
        </w:rPr>
        <w:t>Toute modification progressive du</w:t>
      </w:r>
      <w:r w:rsidRPr="00FA558D">
        <w:rPr>
          <w:lang w:val="fr-CA"/>
        </w:rPr>
        <w:t xml:space="preserve"> </w:t>
      </w:r>
      <w:r>
        <w:rPr>
          <w:lang w:val="fr-CA"/>
        </w:rPr>
        <w:t xml:space="preserve">fardeau administratif </w:t>
      </w:r>
      <w:r w:rsidR="00F6227E">
        <w:rPr>
          <w:lang w:val="fr-CA"/>
        </w:rPr>
        <w:t>imposé aux</w:t>
      </w:r>
      <w:r>
        <w:rPr>
          <w:lang w:val="fr-CA"/>
        </w:rPr>
        <w:t xml:space="preserve"> entreprises est pris</w:t>
      </w:r>
      <w:r w:rsidR="00A9277E">
        <w:rPr>
          <w:lang w:val="fr-CA"/>
        </w:rPr>
        <w:t>e</w:t>
      </w:r>
      <w:r>
        <w:rPr>
          <w:lang w:val="fr-CA"/>
        </w:rPr>
        <w:t xml:space="preserve"> en compte</w:t>
      </w:r>
      <w:r w:rsidRPr="00FA558D">
        <w:rPr>
          <w:lang w:val="fr-CA"/>
        </w:rPr>
        <w:t xml:space="preserve"> </w:t>
      </w:r>
      <w:r w:rsidR="00F6227E">
        <w:rPr>
          <w:lang w:val="fr-CA"/>
        </w:rPr>
        <w:t xml:space="preserve">en vertu de </w:t>
      </w:r>
      <w:r>
        <w:rPr>
          <w:lang w:val="fr-CA"/>
        </w:rPr>
        <w:t>l’élément</w:t>
      </w:r>
      <w:r w:rsidRPr="00FA558D">
        <w:rPr>
          <w:lang w:val="fr-CA"/>
        </w:rPr>
        <w:t xml:space="preserve"> A. </w:t>
      </w:r>
    </w:p>
    <w:p w14:paraId="372C3769" w14:textId="77777777" w:rsidR="00B91619" w:rsidRPr="00FA558D" w:rsidRDefault="00B91619" w:rsidP="00B91619">
      <w:pPr>
        <w:pStyle w:val="ListParagraph"/>
        <w:tabs>
          <w:tab w:val="left" w:pos="9356"/>
        </w:tabs>
        <w:spacing w:after="0" w:line="240" w:lineRule="auto"/>
        <w:ind w:left="360"/>
        <w:rPr>
          <w:lang w:val="fr-CA"/>
        </w:rPr>
      </w:pPr>
    </w:p>
    <w:p w14:paraId="36568BD0" w14:textId="1A271C77" w:rsidR="00B91619" w:rsidRPr="00FA558D" w:rsidRDefault="00B91619" w:rsidP="00B91619">
      <w:pPr>
        <w:tabs>
          <w:tab w:val="left" w:pos="9356"/>
        </w:tabs>
        <w:spacing w:after="0" w:line="240" w:lineRule="auto"/>
        <w:rPr>
          <w:lang w:val="fr-CA"/>
        </w:rPr>
      </w:pPr>
      <w:r>
        <w:rPr>
          <w:lang w:val="fr-CA"/>
        </w:rPr>
        <w:t>Si le</w:t>
      </w:r>
      <w:r w:rsidRPr="00FA558D">
        <w:rPr>
          <w:lang w:val="fr-CA"/>
        </w:rPr>
        <w:t xml:space="preserve"> </w:t>
      </w:r>
      <w:r>
        <w:rPr>
          <w:lang w:val="fr-CA"/>
        </w:rPr>
        <w:t>nouveau règlement</w:t>
      </w:r>
      <w:r w:rsidRPr="00FA558D">
        <w:rPr>
          <w:lang w:val="fr-CA"/>
        </w:rPr>
        <w:t xml:space="preserve"> </w:t>
      </w:r>
      <w:r w:rsidR="00F6227E">
        <w:rPr>
          <w:lang w:val="fr-CA"/>
        </w:rPr>
        <w:t xml:space="preserve">ne donne </w:t>
      </w:r>
      <w:r>
        <w:rPr>
          <w:lang w:val="fr-CA"/>
        </w:rPr>
        <w:t>pas</w:t>
      </w:r>
      <w:r w:rsidR="00F6227E">
        <w:rPr>
          <w:lang w:val="fr-CA"/>
        </w:rPr>
        <w:t xml:space="preserve"> lieu à une</w:t>
      </w:r>
      <w:r>
        <w:rPr>
          <w:lang w:val="fr-CA"/>
        </w:rPr>
        <w:t xml:space="preserve"> modification progressive du fardeau administratif </w:t>
      </w:r>
      <w:r w:rsidR="00F6227E">
        <w:rPr>
          <w:lang w:val="fr-CA"/>
        </w:rPr>
        <w:t>imposé aux</w:t>
      </w:r>
      <w:r>
        <w:rPr>
          <w:lang w:val="fr-CA"/>
        </w:rPr>
        <w:t xml:space="preserve"> entreprises</w:t>
      </w:r>
      <w:r w:rsidRPr="00FA558D">
        <w:rPr>
          <w:lang w:val="fr-CA"/>
        </w:rPr>
        <w:t xml:space="preserve"> (</w:t>
      </w:r>
      <w:r>
        <w:rPr>
          <w:lang w:val="fr-CA"/>
        </w:rPr>
        <w:t xml:space="preserve">c’est-à-dire si </w:t>
      </w:r>
      <w:r w:rsidR="00F6227E">
        <w:rPr>
          <w:lang w:val="fr-CA"/>
        </w:rPr>
        <w:t xml:space="preserve">l’application de </w:t>
      </w:r>
      <w:r>
        <w:rPr>
          <w:lang w:val="fr-CA"/>
        </w:rPr>
        <w:t>l’élément</w:t>
      </w:r>
      <w:r w:rsidRPr="00FA558D">
        <w:rPr>
          <w:lang w:val="fr-CA"/>
        </w:rPr>
        <w:t xml:space="preserve"> A </w:t>
      </w:r>
      <w:r>
        <w:rPr>
          <w:lang w:val="fr-CA"/>
        </w:rPr>
        <w:t xml:space="preserve">n’est pas </w:t>
      </w:r>
      <w:r w:rsidR="00F6227E">
        <w:rPr>
          <w:lang w:val="fr-CA"/>
        </w:rPr>
        <w:t>entraînée</w:t>
      </w:r>
      <w:r w:rsidRPr="00FA558D">
        <w:rPr>
          <w:lang w:val="fr-CA"/>
        </w:rPr>
        <w:t xml:space="preserve">), </w:t>
      </w:r>
      <w:r>
        <w:rPr>
          <w:lang w:val="fr-CA"/>
        </w:rPr>
        <w:t>le nouveau titre n’est pas</w:t>
      </w:r>
      <w:r w:rsidRPr="00FA558D">
        <w:rPr>
          <w:lang w:val="fr-CA"/>
        </w:rPr>
        <w:t xml:space="preserve"> </w:t>
      </w:r>
      <w:r>
        <w:rPr>
          <w:lang w:val="fr-CA"/>
        </w:rPr>
        <w:t>pris en compte</w:t>
      </w:r>
      <w:r w:rsidRPr="00FA558D">
        <w:rPr>
          <w:lang w:val="fr-CA"/>
        </w:rPr>
        <w:t xml:space="preserve"> </w:t>
      </w:r>
      <w:r>
        <w:rPr>
          <w:lang w:val="fr-CA"/>
        </w:rPr>
        <w:t>comme un ajout</w:t>
      </w:r>
      <w:r w:rsidRPr="00FA558D">
        <w:rPr>
          <w:lang w:val="fr-CA"/>
        </w:rPr>
        <w:t>,</w:t>
      </w:r>
      <w:r>
        <w:rPr>
          <w:lang w:val="fr-CA"/>
        </w:rPr>
        <w:t xml:space="preserve"> et le premier règlement abrogé n’est pas</w:t>
      </w:r>
      <w:r w:rsidRPr="00FA558D">
        <w:rPr>
          <w:lang w:val="fr-CA"/>
        </w:rPr>
        <w:t xml:space="preserve"> </w:t>
      </w:r>
      <w:r>
        <w:rPr>
          <w:lang w:val="fr-CA"/>
        </w:rPr>
        <w:t xml:space="preserve">pris en compte comme une </w:t>
      </w:r>
      <w:r w:rsidR="00B771D4">
        <w:rPr>
          <w:lang w:val="fr-CA"/>
        </w:rPr>
        <w:t xml:space="preserve">suppression </w:t>
      </w:r>
      <w:r>
        <w:rPr>
          <w:lang w:val="fr-CA"/>
        </w:rPr>
        <w:t>d’un règlement. Toutefois</w:t>
      </w:r>
      <w:r w:rsidRPr="00FA558D">
        <w:rPr>
          <w:lang w:val="fr-CA"/>
        </w:rPr>
        <w:t>,</w:t>
      </w:r>
      <w:r>
        <w:rPr>
          <w:lang w:val="fr-CA"/>
        </w:rPr>
        <w:t xml:space="preserve"> si de </w:t>
      </w:r>
      <w:r w:rsidRPr="00FA558D">
        <w:rPr>
          <w:lang w:val="fr-CA"/>
        </w:rPr>
        <w:t>multiple</w:t>
      </w:r>
      <w:r>
        <w:rPr>
          <w:lang w:val="fr-CA"/>
        </w:rPr>
        <w:t>s</w:t>
      </w:r>
      <w:r w:rsidRPr="00FA558D">
        <w:rPr>
          <w:lang w:val="fr-CA"/>
        </w:rPr>
        <w:t xml:space="preserve"> </w:t>
      </w:r>
      <w:r>
        <w:rPr>
          <w:lang w:val="fr-CA"/>
        </w:rPr>
        <w:t>titre</w:t>
      </w:r>
      <w:r w:rsidRPr="00FA558D">
        <w:rPr>
          <w:lang w:val="fr-CA"/>
        </w:rPr>
        <w:t>s</w:t>
      </w:r>
      <w:r>
        <w:rPr>
          <w:lang w:val="fr-CA"/>
        </w:rPr>
        <w:t xml:space="preserve"> sont abrogés</w:t>
      </w:r>
      <w:r w:rsidRPr="00FA558D">
        <w:rPr>
          <w:lang w:val="fr-CA"/>
        </w:rPr>
        <w:t>,</w:t>
      </w:r>
      <w:r>
        <w:rPr>
          <w:lang w:val="fr-CA"/>
        </w:rPr>
        <w:t xml:space="preserve"> chaque titre abrogé </w:t>
      </w:r>
      <w:r w:rsidR="00F6227E">
        <w:rPr>
          <w:lang w:val="fr-CA"/>
        </w:rPr>
        <w:t xml:space="preserve">supplémentaire </w:t>
      </w:r>
      <w:r>
        <w:rPr>
          <w:lang w:val="fr-CA"/>
        </w:rPr>
        <w:t xml:space="preserve">est pris en compte comme une </w:t>
      </w:r>
      <w:r w:rsidR="00B771D4">
        <w:rPr>
          <w:lang w:val="fr-CA"/>
        </w:rPr>
        <w:t xml:space="preserve">suppression </w:t>
      </w:r>
      <w:r>
        <w:rPr>
          <w:lang w:val="fr-CA"/>
        </w:rPr>
        <w:t>d’un règlement</w:t>
      </w:r>
      <w:r w:rsidRPr="00FA558D">
        <w:rPr>
          <w:lang w:val="fr-CA"/>
        </w:rPr>
        <w:t xml:space="preserve">. </w:t>
      </w:r>
    </w:p>
    <w:p w14:paraId="313E8E25" w14:textId="77777777" w:rsidR="00B91619" w:rsidRPr="00FA558D" w:rsidRDefault="00B91619" w:rsidP="00B91619">
      <w:pPr>
        <w:tabs>
          <w:tab w:val="left" w:pos="9356"/>
        </w:tabs>
        <w:spacing w:after="0" w:line="240" w:lineRule="auto"/>
        <w:rPr>
          <w:lang w:val="fr-CA"/>
        </w:rPr>
      </w:pPr>
    </w:p>
    <w:p w14:paraId="47DFE447" w14:textId="77777777" w:rsidR="00B91619" w:rsidRPr="00FA558D" w:rsidRDefault="00B91619" w:rsidP="00B91619">
      <w:pPr>
        <w:tabs>
          <w:tab w:val="left" w:pos="9356"/>
        </w:tabs>
        <w:spacing w:after="0" w:line="240" w:lineRule="auto"/>
        <w:rPr>
          <w:lang w:val="fr-CA"/>
        </w:rPr>
      </w:pPr>
      <w:r>
        <w:rPr>
          <w:lang w:val="fr-CA"/>
        </w:rPr>
        <w:t>Pour plus de clarté, le tableau </w:t>
      </w:r>
      <w:r w:rsidRPr="00FA558D">
        <w:rPr>
          <w:lang w:val="fr-CA"/>
        </w:rPr>
        <w:t>2</w:t>
      </w:r>
      <w:r>
        <w:rPr>
          <w:lang w:val="fr-CA"/>
        </w:rPr>
        <w:t xml:space="preserve"> indique les détails de l’application de cette disposition.</w:t>
      </w:r>
    </w:p>
    <w:p w14:paraId="73455287" w14:textId="77777777" w:rsidR="00B91619" w:rsidRPr="00FA558D" w:rsidRDefault="00B91619" w:rsidP="00B91619">
      <w:pPr>
        <w:tabs>
          <w:tab w:val="left" w:pos="9356"/>
        </w:tabs>
        <w:spacing w:after="0" w:line="240" w:lineRule="auto"/>
        <w:rPr>
          <w:lang w:val="fr-CA"/>
        </w:rPr>
      </w:pPr>
      <w:r w:rsidRPr="00FA558D">
        <w:rPr>
          <w:lang w:val="fr-CA"/>
        </w:rPr>
        <w:t xml:space="preserve"> </w:t>
      </w:r>
    </w:p>
    <w:p w14:paraId="457C03F9" w14:textId="77777777" w:rsidR="00B91619" w:rsidRPr="00FA558D" w:rsidRDefault="00B91619" w:rsidP="00B91619">
      <w:pPr>
        <w:tabs>
          <w:tab w:val="left" w:pos="9356"/>
        </w:tabs>
        <w:spacing w:after="0" w:line="240" w:lineRule="auto"/>
        <w:rPr>
          <w:b/>
          <w:lang w:val="fr-CA"/>
        </w:rPr>
      </w:pPr>
      <w:r w:rsidRPr="00FA558D">
        <w:rPr>
          <w:b/>
          <w:lang w:val="fr-CA"/>
        </w:rPr>
        <w:t>Table</w:t>
      </w:r>
      <w:r>
        <w:rPr>
          <w:b/>
          <w:lang w:val="fr-CA"/>
        </w:rPr>
        <w:t>au</w:t>
      </w:r>
      <w:r w:rsidRPr="00FA558D">
        <w:rPr>
          <w:b/>
          <w:lang w:val="fr-CA"/>
        </w:rPr>
        <w:t> 2</w:t>
      </w:r>
      <w:r>
        <w:rPr>
          <w:b/>
          <w:lang w:val="fr-CA"/>
        </w:rPr>
        <w:t> : A</w:t>
      </w:r>
      <w:r w:rsidRPr="00FA558D">
        <w:rPr>
          <w:b/>
          <w:lang w:val="fr-CA"/>
        </w:rPr>
        <w:t>pplication</w:t>
      </w:r>
      <w:r>
        <w:rPr>
          <w:b/>
          <w:lang w:val="fr-CA"/>
        </w:rPr>
        <w:t xml:space="preserve"> de la règle du « un pour un »</w:t>
      </w:r>
      <w:r w:rsidRPr="00FA558D">
        <w:rPr>
          <w:b/>
          <w:lang w:val="fr-CA"/>
        </w:rPr>
        <w:t xml:space="preserve"> </w:t>
      </w:r>
    </w:p>
    <w:tbl>
      <w:tblPr>
        <w:tblStyle w:val="TableGrid"/>
        <w:tblW w:w="0" w:type="auto"/>
        <w:tblLook w:val="04A0" w:firstRow="1" w:lastRow="0" w:firstColumn="1" w:lastColumn="0" w:noHBand="0" w:noVBand="1"/>
      </w:tblPr>
      <w:tblGrid>
        <w:gridCol w:w="1390"/>
        <w:gridCol w:w="3974"/>
        <w:gridCol w:w="3986"/>
      </w:tblGrid>
      <w:tr w:rsidR="00B91619" w:rsidRPr="000117F2" w14:paraId="7F62A2DB" w14:textId="77777777" w:rsidTr="00A9277E">
        <w:tc>
          <w:tcPr>
            <w:tcW w:w="1129" w:type="dxa"/>
            <w:shd w:val="clear" w:color="auto" w:fill="FFFFFF" w:themeFill="background1"/>
          </w:tcPr>
          <w:p w14:paraId="41B135C2" w14:textId="77777777" w:rsidR="00B91619" w:rsidRPr="00FA558D" w:rsidRDefault="00B91619" w:rsidP="00A9277E">
            <w:pPr>
              <w:tabs>
                <w:tab w:val="left" w:pos="9356"/>
              </w:tabs>
              <w:rPr>
                <w:b/>
                <w:lang w:val="fr-CA"/>
              </w:rPr>
            </w:pPr>
            <w:r>
              <w:rPr>
                <w:b/>
                <w:lang w:val="fr-CA"/>
              </w:rPr>
              <w:lastRenderedPageBreak/>
              <w:t>Modification du fardeau</w:t>
            </w:r>
          </w:p>
        </w:tc>
        <w:tc>
          <w:tcPr>
            <w:tcW w:w="4110" w:type="dxa"/>
            <w:shd w:val="clear" w:color="auto" w:fill="FFFFFF" w:themeFill="background1"/>
          </w:tcPr>
          <w:p w14:paraId="46682633" w14:textId="77777777" w:rsidR="00B91619" w:rsidRPr="00FA558D" w:rsidRDefault="00B91619" w:rsidP="00A9277E">
            <w:pPr>
              <w:tabs>
                <w:tab w:val="left" w:pos="9356"/>
              </w:tabs>
              <w:jc w:val="center"/>
              <w:rPr>
                <w:b/>
                <w:lang w:val="fr-CA"/>
              </w:rPr>
            </w:pPr>
            <w:r>
              <w:rPr>
                <w:b/>
                <w:lang w:val="fr-CA"/>
              </w:rPr>
              <w:t>La modification impose un fardeau administratif</w:t>
            </w:r>
          </w:p>
        </w:tc>
        <w:tc>
          <w:tcPr>
            <w:tcW w:w="4111" w:type="dxa"/>
            <w:shd w:val="clear" w:color="auto" w:fill="FFFFFF" w:themeFill="background1"/>
          </w:tcPr>
          <w:p w14:paraId="248E3A63" w14:textId="77777777" w:rsidR="00B91619" w:rsidRPr="00FA558D" w:rsidRDefault="00B91619" w:rsidP="00A9277E">
            <w:pPr>
              <w:tabs>
                <w:tab w:val="left" w:pos="9356"/>
              </w:tabs>
              <w:jc w:val="center"/>
              <w:rPr>
                <w:b/>
                <w:lang w:val="fr-CA"/>
              </w:rPr>
            </w:pPr>
            <w:r>
              <w:rPr>
                <w:b/>
                <w:lang w:val="fr-CA"/>
              </w:rPr>
              <w:t>La modification n’impose aucun</w:t>
            </w:r>
            <w:r w:rsidRPr="00FA558D">
              <w:rPr>
                <w:b/>
                <w:lang w:val="fr-CA"/>
              </w:rPr>
              <w:t xml:space="preserve"> </w:t>
            </w:r>
            <w:r>
              <w:rPr>
                <w:b/>
                <w:lang w:val="fr-CA"/>
              </w:rPr>
              <w:t>fardeau administratif</w:t>
            </w:r>
          </w:p>
        </w:tc>
      </w:tr>
      <w:tr w:rsidR="00B91619" w:rsidRPr="000117F2" w14:paraId="281C2CF1" w14:textId="77777777" w:rsidTr="00A9277E">
        <w:tc>
          <w:tcPr>
            <w:tcW w:w="1129" w:type="dxa"/>
            <w:shd w:val="clear" w:color="auto" w:fill="FFFFFF" w:themeFill="background1"/>
          </w:tcPr>
          <w:p w14:paraId="060EA2EC" w14:textId="77777777" w:rsidR="00B91619" w:rsidRPr="00FA558D" w:rsidRDefault="00B91619" w:rsidP="00A9277E">
            <w:pPr>
              <w:tabs>
                <w:tab w:val="left" w:pos="9356"/>
              </w:tabs>
              <w:rPr>
                <w:b/>
                <w:lang w:val="fr-CA"/>
              </w:rPr>
            </w:pPr>
            <w:r>
              <w:rPr>
                <w:b/>
                <w:lang w:val="fr-CA"/>
              </w:rPr>
              <w:t>Aucun coût net</w:t>
            </w:r>
          </w:p>
        </w:tc>
        <w:tc>
          <w:tcPr>
            <w:tcW w:w="4110" w:type="dxa"/>
            <w:shd w:val="clear" w:color="auto" w:fill="FFFFFF" w:themeFill="background1"/>
          </w:tcPr>
          <w:p w14:paraId="7A8CF8D8" w14:textId="697BB155" w:rsidR="00B91619" w:rsidRPr="00FA558D" w:rsidRDefault="00B91619" w:rsidP="00A9277E">
            <w:pPr>
              <w:tabs>
                <w:tab w:val="left" w:pos="9356"/>
              </w:tabs>
              <w:rPr>
                <w:lang w:val="fr-CA"/>
              </w:rPr>
            </w:pPr>
            <w:r>
              <w:rPr>
                <w:lang w:val="fr-CA"/>
              </w:rPr>
              <w:t>Sous l’élément</w:t>
            </w:r>
            <w:r w:rsidRPr="00FA558D">
              <w:rPr>
                <w:lang w:val="fr-CA"/>
              </w:rPr>
              <w:t xml:space="preserve"> B, </w:t>
            </w:r>
            <w:r>
              <w:rPr>
                <w:lang w:val="fr-CA"/>
              </w:rPr>
              <w:t>le nouveau titre est pris en compte</w:t>
            </w:r>
            <w:r w:rsidRPr="00FA558D">
              <w:rPr>
                <w:lang w:val="fr-CA"/>
              </w:rPr>
              <w:t xml:space="preserve"> </w:t>
            </w:r>
            <w:r>
              <w:rPr>
                <w:lang w:val="fr-CA"/>
              </w:rPr>
              <w:t>comme l’ajout d’un règlement</w:t>
            </w:r>
            <w:r w:rsidRPr="00FA558D">
              <w:rPr>
                <w:lang w:val="fr-CA"/>
              </w:rPr>
              <w:t>,</w:t>
            </w:r>
            <w:r>
              <w:rPr>
                <w:lang w:val="fr-CA"/>
              </w:rPr>
              <w:t xml:space="preserve"> et le règlement abrogé est pris en compte</w:t>
            </w:r>
            <w:r w:rsidRPr="00FA558D">
              <w:rPr>
                <w:lang w:val="fr-CA"/>
              </w:rPr>
              <w:t xml:space="preserve"> </w:t>
            </w:r>
            <w:r>
              <w:rPr>
                <w:lang w:val="fr-CA"/>
              </w:rPr>
              <w:t xml:space="preserve">comme la </w:t>
            </w:r>
            <w:r w:rsidR="00B771D4">
              <w:rPr>
                <w:lang w:val="fr-CA"/>
              </w:rPr>
              <w:t xml:space="preserve">suppression </w:t>
            </w:r>
            <w:r>
              <w:rPr>
                <w:lang w:val="fr-CA"/>
              </w:rPr>
              <w:t>d’un règlement</w:t>
            </w:r>
            <w:r w:rsidRPr="00FA558D">
              <w:rPr>
                <w:lang w:val="fr-CA"/>
              </w:rPr>
              <w:t xml:space="preserve">. </w:t>
            </w:r>
          </w:p>
          <w:p w14:paraId="0D3370C1" w14:textId="77777777" w:rsidR="00B91619" w:rsidRPr="00FA558D" w:rsidRDefault="00B91619" w:rsidP="00A9277E">
            <w:pPr>
              <w:tabs>
                <w:tab w:val="left" w:pos="9356"/>
              </w:tabs>
              <w:rPr>
                <w:lang w:val="fr-CA"/>
              </w:rPr>
            </w:pPr>
          </w:p>
          <w:p w14:paraId="09796060" w14:textId="5358282F" w:rsidR="00B91619" w:rsidRPr="00FA558D" w:rsidRDefault="00B91619">
            <w:pPr>
              <w:tabs>
                <w:tab w:val="left" w:pos="9356"/>
              </w:tabs>
              <w:rPr>
                <w:lang w:val="fr-CA"/>
              </w:rPr>
            </w:pPr>
            <w:r>
              <w:rPr>
                <w:lang w:val="fr-CA"/>
              </w:rPr>
              <w:t>Toute modification progressive du fardeau administratif est prise en compte</w:t>
            </w:r>
            <w:r w:rsidRPr="00FA558D">
              <w:rPr>
                <w:lang w:val="fr-CA"/>
              </w:rPr>
              <w:t xml:space="preserve"> </w:t>
            </w:r>
            <w:r w:rsidR="005E3753">
              <w:rPr>
                <w:lang w:val="fr-CA"/>
              </w:rPr>
              <w:t xml:space="preserve">sous </w:t>
            </w:r>
            <w:r>
              <w:rPr>
                <w:lang w:val="fr-CA"/>
              </w:rPr>
              <w:t>l’élément</w:t>
            </w:r>
            <w:r w:rsidRPr="00FA558D">
              <w:rPr>
                <w:lang w:val="fr-CA"/>
              </w:rPr>
              <w:t> A.</w:t>
            </w:r>
          </w:p>
        </w:tc>
        <w:tc>
          <w:tcPr>
            <w:tcW w:w="4111" w:type="dxa"/>
            <w:shd w:val="clear" w:color="auto" w:fill="FFFFFF" w:themeFill="background1"/>
          </w:tcPr>
          <w:p w14:paraId="10730890" w14:textId="494EFB3F" w:rsidR="00B91619" w:rsidRPr="00FA558D" w:rsidRDefault="00B91619">
            <w:pPr>
              <w:tabs>
                <w:tab w:val="left" w:pos="9356"/>
              </w:tabs>
              <w:rPr>
                <w:lang w:val="fr-CA"/>
              </w:rPr>
            </w:pPr>
            <w:r>
              <w:rPr>
                <w:lang w:val="fr-CA"/>
              </w:rPr>
              <w:t>Sous l’élément</w:t>
            </w:r>
            <w:r w:rsidRPr="00FA558D">
              <w:rPr>
                <w:lang w:val="fr-CA"/>
              </w:rPr>
              <w:t xml:space="preserve"> B, </w:t>
            </w:r>
            <w:r>
              <w:rPr>
                <w:lang w:val="fr-CA"/>
              </w:rPr>
              <w:t>le nouveau titre n’est pas</w:t>
            </w:r>
            <w:r w:rsidRPr="00FA558D">
              <w:rPr>
                <w:lang w:val="fr-CA"/>
              </w:rPr>
              <w:t xml:space="preserve"> </w:t>
            </w:r>
            <w:r>
              <w:rPr>
                <w:lang w:val="fr-CA"/>
              </w:rPr>
              <w:t>pris en compte</w:t>
            </w:r>
            <w:r w:rsidRPr="00FA558D">
              <w:rPr>
                <w:lang w:val="fr-CA"/>
              </w:rPr>
              <w:t xml:space="preserve"> </w:t>
            </w:r>
            <w:r>
              <w:rPr>
                <w:lang w:val="fr-CA"/>
              </w:rPr>
              <w:t>comme un ajout</w:t>
            </w:r>
            <w:r w:rsidRPr="00FA558D">
              <w:rPr>
                <w:lang w:val="fr-CA"/>
              </w:rPr>
              <w:t>,</w:t>
            </w:r>
            <w:r>
              <w:rPr>
                <w:lang w:val="fr-CA"/>
              </w:rPr>
              <w:t xml:space="preserve"> et le règlement abrogé n’est pas</w:t>
            </w:r>
            <w:r w:rsidRPr="00FA558D">
              <w:rPr>
                <w:lang w:val="fr-CA"/>
              </w:rPr>
              <w:t xml:space="preserve"> </w:t>
            </w:r>
            <w:r>
              <w:rPr>
                <w:lang w:val="fr-CA"/>
              </w:rPr>
              <w:t>pris en compte</w:t>
            </w:r>
            <w:r w:rsidRPr="00FA558D">
              <w:rPr>
                <w:lang w:val="fr-CA"/>
              </w:rPr>
              <w:t xml:space="preserve"> </w:t>
            </w:r>
            <w:r>
              <w:rPr>
                <w:lang w:val="fr-CA"/>
              </w:rPr>
              <w:t xml:space="preserve">comme une </w:t>
            </w:r>
            <w:r w:rsidR="00B771D4">
              <w:rPr>
                <w:lang w:val="fr-CA"/>
              </w:rPr>
              <w:t xml:space="preserve">suppression </w:t>
            </w:r>
            <w:r>
              <w:rPr>
                <w:lang w:val="fr-CA"/>
              </w:rPr>
              <w:t>d’un règlement</w:t>
            </w:r>
            <w:r w:rsidRPr="00FA558D">
              <w:rPr>
                <w:lang w:val="fr-CA"/>
              </w:rPr>
              <w:t xml:space="preserve">. </w:t>
            </w:r>
          </w:p>
        </w:tc>
      </w:tr>
      <w:tr w:rsidR="00B91619" w:rsidRPr="000117F2" w14:paraId="0445641A" w14:textId="77777777" w:rsidTr="00A9277E">
        <w:tc>
          <w:tcPr>
            <w:tcW w:w="1129" w:type="dxa"/>
            <w:shd w:val="clear" w:color="auto" w:fill="FFFFFF" w:themeFill="background1"/>
          </w:tcPr>
          <w:p w14:paraId="5BF4EEF8" w14:textId="77777777" w:rsidR="00B91619" w:rsidRPr="00FA558D" w:rsidRDefault="00B91619" w:rsidP="00A9277E">
            <w:pPr>
              <w:tabs>
                <w:tab w:val="left" w:pos="9356"/>
              </w:tabs>
              <w:rPr>
                <w:b/>
                <w:lang w:val="fr-CA"/>
              </w:rPr>
            </w:pPr>
            <w:r>
              <w:rPr>
                <w:b/>
                <w:lang w:val="fr-CA"/>
              </w:rPr>
              <w:t>Réduction nette</w:t>
            </w:r>
          </w:p>
        </w:tc>
        <w:tc>
          <w:tcPr>
            <w:tcW w:w="4110" w:type="dxa"/>
            <w:shd w:val="clear" w:color="auto" w:fill="FFFFFF" w:themeFill="background1"/>
          </w:tcPr>
          <w:p w14:paraId="5E807CA1" w14:textId="760972E7" w:rsidR="00B91619" w:rsidRPr="00FA558D" w:rsidRDefault="00B91619" w:rsidP="00A9277E">
            <w:pPr>
              <w:tabs>
                <w:tab w:val="left" w:pos="9356"/>
              </w:tabs>
              <w:rPr>
                <w:lang w:val="fr-CA"/>
              </w:rPr>
            </w:pPr>
            <w:r>
              <w:rPr>
                <w:lang w:val="fr-CA"/>
              </w:rPr>
              <w:t>Sous l’élément</w:t>
            </w:r>
            <w:r w:rsidRPr="00FA558D">
              <w:rPr>
                <w:lang w:val="fr-CA"/>
              </w:rPr>
              <w:t xml:space="preserve"> B, </w:t>
            </w:r>
            <w:r>
              <w:rPr>
                <w:lang w:val="fr-CA"/>
              </w:rPr>
              <w:t>le nouveau titre est pris en compte</w:t>
            </w:r>
            <w:r w:rsidRPr="00FA558D">
              <w:rPr>
                <w:lang w:val="fr-CA"/>
              </w:rPr>
              <w:t xml:space="preserve"> </w:t>
            </w:r>
            <w:r>
              <w:rPr>
                <w:lang w:val="fr-CA"/>
              </w:rPr>
              <w:t>comme un ajout</w:t>
            </w:r>
            <w:r w:rsidRPr="00FA558D">
              <w:rPr>
                <w:lang w:val="fr-CA"/>
              </w:rPr>
              <w:t>,</w:t>
            </w:r>
            <w:r>
              <w:rPr>
                <w:lang w:val="fr-CA"/>
              </w:rPr>
              <w:t xml:space="preserve"> et </w:t>
            </w:r>
            <w:r w:rsidRPr="00C00FAC">
              <w:rPr>
                <w:b/>
                <w:lang w:val="fr-CA"/>
              </w:rPr>
              <w:t>tous</w:t>
            </w:r>
            <w:r w:rsidRPr="008C5FFA">
              <w:rPr>
                <w:lang w:val="fr-CA"/>
              </w:rPr>
              <w:t xml:space="preserve"> les titres abrogés</w:t>
            </w:r>
            <w:r>
              <w:rPr>
                <w:lang w:val="fr-CA"/>
              </w:rPr>
              <w:t xml:space="preserve"> sont pris en compte comme l</w:t>
            </w:r>
            <w:r w:rsidRPr="00FA558D">
              <w:rPr>
                <w:lang w:val="fr-CA"/>
              </w:rPr>
              <w:t xml:space="preserve">a </w:t>
            </w:r>
            <w:r w:rsidR="00B771D4">
              <w:rPr>
                <w:lang w:val="fr-CA"/>
              </w:rPr>
              <w:t xml:space="preserve">suppression </w:t>
            </w:r>
            <w:r>
              <w:rPr>
                <w:lang w:val="fr-CA"/>
              </w:rPr>
              <w:t>d’un règlement</w:t>
            </w:r>
            <w:r w:rsidRPr="00FA558D">
              <w:rPr>
                <w:lang w:val="fr-CA"/>
              </w:rPr>
              <w:t>.</w:t>
            </w:r>
          </w:p>
          <w:p w14:paraId="023A12D8" w14:textId="77777777" w:rsidR="00B91619" w:rsidRPr="00FA558D" w:rsidRDefault="00B91619" w:rsidP="00A9277E">
            <w:pPr>
              <w:tabs>
                <w:tab w:val="left" w:pos="9356"/>
              </w:tabs>
              <w:rPr>
                <w:lang w:val="fr-CA"/>
              </w:rPr>
            </w:pPr>
          </w:p>
          <w:p w14:paraId="08F1A098" w14:textId="77777777" w:rsidR="00B91619" w:rsidRPr="00FA558D" w:rsidRDefault="00B91619" w:rsidP="00A9277E">
            <w:pPr>
              <w:tabs>
                <w:tab w:val="left" w:pos="9356"/>
              </w:tabs>
              <w:rPr>
                <w:lang w:val="fr-CA"/>
              </w:rPr>
            </w:pPr>
            <w:r>
              <w:rPr>
                <w:lang w:val="fr-CA"/>
              </w:rPr>
              <w:t>Toute modification progressive du fardeau administratif est prise en compte</w:t>
            </w:r>
            <w:r w:rsidRPr="00FA558D">
              <w:rPr>
                <w:lang w:val="fr-CA"/>
              </w:rPr>
              <w:t xml:space="preserve"> </w:t>
            </w:r>
            <w:r>
              <w:rPr>
                <w:lang w:val="fr-CA"/>
              </w:rPr>
              <w:t>sous l’élément</w:t>
            </w:r>
            <w:r w:rsidRPr="00FA558D">
              <w:rPr>
                <w:lang w:val="fr-CA"/>
              </w:rPr>
              <w:t> A.</w:t>
            </w:r>
          </w:p>
        </w:tc>
        <w:tc>
          <w:tcPr>
            <w:tcW w:w="4111" w:type="dxa"/>
            <w:shd w:val="clear" w:color="auto" w:fill="FFFFFF" w:themeFill="background1"/>
          </w:tcPr>
          <w:p w14:paraId="38AA9C92" w14:textId="42E1CDF0" w:rsidR="00B91619" w:rsidRPr="00FA558D" w:rsidRDefault="00B91619">
            <w:pPr>
              <w:tabs>
                <w:tab w:val="left" w:pos="9356"/>
              </w:tabs>
              <w:rPr>
                <w:lang w:val="fr-CA"/>
              </w:rPr>
            </w:pPr>
            <w:r>
              <w:rPr>
                <w:lang w:val="fr-CA"/>
              </w:rPr>
              <w:t>Sous l’élément</w:t>
            </w:r>
            <w:r w:rsidRPr="00FA558D">
              <w:rPr>
                <w:lang w:val="fr-CA"/>
              </w:rPr>
              <w:t xml:space="preserve"> B, </w:t>
            </w:r>
            <w:r>
              <w:rPr>
                <w:lang w:val="fr-CA"/>
              </w:rPr>
              <w:t>le nouveau titre n’est pas</w:t>
            </w:r>
            <w:r w:rsidRPr="00FA558D">
              <w:rPr>
                <w:lang w:val="fr-CA"/>
              </w:rPr>
              <w:t xml:space="preserve"> </w:t>
            </w:r>
            <w:r>
              <w:rPr>
                <w:lang w:val="fr-CA"/>
              </w:rPr>
              <w:t>pris en compte</w:t>
            </w:r>
            <w:r w:rsidRPr="00FA558D">
              <w:rPr>
                <w:lang w:val="fr-CA"/>
              </w:rPr>
              <w:t xml:space="preserve"> </w:t>
            </w:r>
            <w:r>
              <w:rPr>
                <w:lang w:val="fr-CA"/>
              </w:rPr>
              <w:t>comme un ajout</w:t>
            </w:r>
            <w:r w:rsidRPr="00FA558D">
              <w:rPr>
                <w:lang w:val="fr-CA"/>
              </w:rPr>
              <w:t xml:space="preserve">. </w:t>
            </w:r>
            <w:r>
              <w:rPr>
                <w:lang w:val="fr-CA"/>
              </w:rPr>
              <w:t xml:space="preserve">Le </w:t>
            </w:r>
            <w:r>
              <w:rPr>
                <w:b/>
                <w:lang w:val="fr-CA"/>
              </w:rPr>
              <w:t>premier</w:t>
            </w:r>
            <w:r w:rsidRPr="00FA558D">
              <w:rPr>
                <w:lang w:val="fr-CA"/>
              </w:rPr>
              <w:t xml:space="preserve"> </w:t>
            </w:r>
            <w:r>
              <w:rPr>
                <w:lang w:val="fr-CA"/>
              </w:rPr>
              <w:t>règlement abrogé n’est pas</w:t>
            </w:r>
            <w:r w:rsidRPr="00FA558D">
              <w:rPr>
                <w:lang w:val="fr-CA"/>
              </w:rPr>
              <w:t xml:space="preserve"> </w:t>
            </w:r>
            <w:r>
              <w:rPr>
                <w:lang w:val="fr-CA"/>
              </w:rPr>
              <w:t>pris en compte</w:t>
            </w:r>
            <w:r w:rsidRPr="00FA558D">
              <w:rPr>
                <w:lang w:val="fr-CA"/>
              </w:rPr>
              <w:t xml:space="preserve"> </w:t>
            </w:r>
            <w:r>
              <w:rPr>
                <w:lang w:val="fr-CA"/>
              </w:rPr>
              <w:t xml:space="preserve">comme une </w:t>
            </w:r>
            <w:r w:rsidR="00B771D4">
              <w:rPr>
                <w:lang w:val="fr-CA"/>
              </w:rPr>
              <w:t xml:space="preserve">suppression </w:t>
            </w:r>
            <w:r>
              <w:rPr>
                <w:lang w:val="fr-CA"/>
              </w:rPr>
              <w:t>d’un règlement</w:t>
            </w:r>
            <w:r w:rsidRPr="00FA558D">
              <w:rPr>
                <w:lang w:val="fr-CA"/>
              </w:rPr>
              <w:t>,</w:t>
            </w:r>
            <w:r>
              <w:rPr>
                <w:lang w:val="fr-CA"/>
              </w:rPr>
              <w:t xml:space="preserve"> mais chaque titre</w:t>
            </w:r>
            <w:r w:rsidRPr="00FA558D">
              <w:rPr>
                <w:lang w:val="fr-CA"/>
              </w:rPr>
              <w:t xml:space="preserve"> </w:t>
            </w:r>
            <w:r>
              <w:rPr>
                <w:lang w:val="fr-CA"/>
              </w:rPr>
              <w:t xml:space="preserve">abrogé </w:t>
            </w:r>
            <w:r w:rsidR="00C11A15">
              <w:rPr>
                <w:lang w:val="fr-CA"/>
              </w:rPr>
              <w:t xml:space="preserve">supplémentaire </w:t>
            </w:r>
            <w:r>
              <w:rPr>
                <w:lang w:val="fr-CA"/>
              </w:rPr>
              <w:t>est pris en compte</w:t>
            </w:r>
            <w:r w:rsidRPr="00FA558D">
              <w:rPr>
                <w:lang w:val="fr-CA"/>
              </w:rPr>
              <w:t xml:space="preserve"> </w:t>
            </w:r>
            <w:r>
              <w:rPr>
                <w:lang w:val="fr-CA"/>
              </w:rPr>
              <w:t xml:space="preserve">comme une </w:t>
            </w:r>
            <w:r w:rsidR="00B771D4">
              <w:rPr>
                <w:lang w:val="fr-CA"/>
              </w:rPr>
              <w:t xml:space="preserve">suppression </w:t>
            </w:r>
            <w:r>
              <w:rPr>
                <w:lang w:val="fr-CA"/>
              </w:rPr>
              <w:t>d’un règlement</w:t>
            </w:r>
            <w:r w:rsidRPr="00FA558D">
              <w:rPr>
                <w:lang w:val="fr-CA"/>
              </w:rPr>
              <w:t>.</w:t>
            </w:r>
          </w:p>
        </w:tc>
      </w:tr>
    </w:tbl>
    <w:p w14:paraId="751DE02E" w14:textId="77777777" w:rsidR="00B91619" w:rsidRPr="00FA558D" w:rsidRDefault="00B91619" w:rsidP="00B91619">
      <w:pPr>
        <w:pStyle w:val="Heading3"/>
        <w:rPr>
          <w:lang w:val="fr-CA"/>
        </w:rPr>
      </w:pPr>
      <w:bookmarkStart w:id="22" w:name="_Toc69891051"/>
      <w:r>
        <w:rPr>
          <w:lang w:val="fr-CA"/>
        </w:rPr>
        <w:t>Rapprochement à partir d’un portefeuille</w:t>
      </w:r>
      <w:r w:rsidRPr="00FA558D">
        <w:rPr>
          <w:lang w:val="fr-CA"/>
        </w:rPr>
        <w:t xml:space="preserve"> (</w:t>
      </w:r>
      <w:r>
        <w:rPr>
          <w:lang w:val="fr-CA"/>
        </w:rPr>
        <w:t>sous-s</w:t>
      </w:r>
      <w:r w:rsidRPr="00FA558D">
        <w:rPr>
          <w:lang w:val="fr-CA"/>
        </w:rPr>
        <w:t>ection 7.2.7)</w:t>
      </w:r>
      <w:bookmarkEnd w:id="22"/>
    </w:p>
    <w:p w14:paraId="162E4165" w14:textId="77777777" w:rsidR="00B91619" w:rsidRPr="00FA558D" w:rsidRDefault="00B91619" w:rsidP="00B91619">
      <w:pPr>
        <w:tabs>
          <w:tab w:val="left" w:pos="9356"/>
        </w:tabs>
        <w:spacing w:after="0" w:line="240" w:lineRule="auto"/>
        <w:rPr>
          <w:lang w:val="fr-CA"/>
        </w:rPr>
      </w:pPr>
    </w:p>
    <w:p w14:paraId="078F7CC3" w14:textId="77777777" w:rsidR="00B91619" w:rsidRPr="00FA558D" w:rsidRDefault="00B91619" w:rsidP="00B91619">
      <w:pPr>
        <w:pStyle w:val="Heading4"/>
        <w:rPr>
          <w:lang w:val="fr-CA"/>
        </w:rPr>
      </w:pPr>
      <w:r>
        <w:rPr>
          <w:lang w:val="fr-CA"/>
        </w:rPr>
        <w:t>Responsabilité ministérielle conjointe</w:t>
      </w:r>
    </w:p>
    <w:p w14:paraId="26B1F9BE" w14:textId="77777777" w:rsidR="00B91619" w:rsidRPr="00FA558D" w:rsidRDefault="00B91619" w:rsidP="00B91619">
      <w:pPr>
        <w:tabs>
          <w:tab w:val="left" w:pos="9356"/>
        </w:tabs>
        <w:spacing w:after="0" w:line="240" w:lineRule="auto"/>
        <w:rPr>
          <w:lang w:val="fr-CA"/>
        </w:rPr>
      </w:pPr>
    </w:p>
    <w:p w14:paraId="14C6AAA5" w14:textId="0A18CAA7" w:rsidR="00B91619" w:rsidRPr="00FA558D" w:rsidRDefault="00B91619" w:rsidP="00B91619">
      <w:pPr>
        <w:tabs>
          <w:tab w:val="left" w:pos="9356"/>
        </w:tabs>
        <w:spacing w:after="0" w:line="240" w:lineRule="auto"/>
        <w:rPr>
          <w:lang w:val="fr-CA"/>
        </w:rPr>
      </w:pPr>
      <w:r>
        <w:rPr>
          <w:lang w:val="fr-CA"/>
        </w:rPr>
        <w:t>La sous-s</w:t>
      </w:r>
      <w:r w:rsidRPr="00FA558D">
        <w:rPr>
          <w:lang w:val="fr-CA"/>
        </w:rPr>
        <w:t>ection 7.2.7</w:t>
      </w:r>
      <w:r>
        <w:rPr>
          <w:lang w:val="fr-CA"/>
        </w:rPr>
        <w:t xml:space="preserve"> de la politique</w:t>
      </w:r>
      <w:r w:rsidRPr="00FA558D">
        <w:rPr>
          <w:lang w:val="fr-CA"/>
        </w:rPr>
        <w:t xml:space="preserve"> </w:t>
      </w:r>
      <w:r>
        <w:rPr>
          <w:lang w:val="fr-CA"/>
        </w:rPr>
        <w:t>prévoit que « si deux ministre</w:t>
      </w:r>
      <w:r w:rsidRPr="00FA558D">
        <w:rPr>
          <w:lang w:val="fr-CA"/>
        </w:rPr>
        <w:t xml:space="preserve">s </w:t>
      </w:r>
      <w:r>
        <w:rPr>
          <w:lang w:val="fr-CA"/>
        </w:rPr>
        <w:t>ont une responsabilité partagée</w:t>
      </w:r>
      <w:r w:rsidRPr="00FA558D">
        <w:rPr>
          <w:lang w:val="fr-CA"/>
        </w:rPr>
        <w:t xml:space="preserve"> </w:t>
      </w:r>
      <w:r>
        <w:rPr>
          <w:lang w:val="fr-CA"/>
        </w:rPr>
        <w:t>en vertu de la loi et</w:t>
      </w:r>
      <w:r w:rsidR="00FC065B">
        <w:rPr>
          <w:lang w:val="fr-CA"/>
        </w:rPr>
        <w:t>, ils</w:t>
      </w:r>
      <w:r>
        <w:rPr>
          <w:lang w:val="fr-CA"/>
        </w:rPr>
        <w:t xml:space="preserve"> parrainent conjointement</w:t>
      </w:r>
      <w:r w:rsidRPr="00FA558D">
        <w:rPr>
          <w:lang w:val="fr-CA"/>
        </w:rPr>
        <w:t xml:space="preserve"> </w:t>
      </w:r>
      <w:r>
        <w:rPr>
          <w:lang w:val="fr-CA"/>
        </w:rPr>
        <w:t>la modification réglementaire</w:t>
      </w:r>
      <w:r w:rsidRPr="00FA558D">
        <w:rPr>
          <w:lang w:val="fr-CA"/>
        </w:rPr>
        <w:t>,</w:t>
      </w:r>
      <w:r>
        <w:rPr>
          <w:lang w:val="fr-CA"/>
        </w:rPr>
        <w:t xml:space="preserve"> on attribue</w:t>
      </w:r>
      <w:r w:rsidRPr="00FA558D">
        <w:rPr>
          <w:lang w:val="fr-CA"/>
        </w:rPr>
        <w:t xml:space="preserve"> </w:t>
      </w:r>
      <w:r>
        <w:rPr>
          <w:lang w:val="fr-CA"/>
        </w:rPr>
        <w:t>l’augmentation ou la réduction du fardeau, l’ajout ou la suppression du règlement au ministre</w:t>
      </w:r>
      <w:r w:rsidRPr="00FA558D">
        <w:rPr>
          <w:lang w:val="fr-CA"/>
        </w:rPr>
        <w:t xml:space="preserve"> </w:t>
      </w:r>
      <w:r>
        <w:rPr>
          <w:lang w:val="fr-CA"/>
        </w:rPr>
        <w:t>qui est le principal responsable de</w:t>
      </w:r>
      <w:r w:rsidRPr="00FA558D">
        <w:rPr>
          <w:lang w:val="fr-CA"/>
        </w:rPr>
        <w:t xml:space="preserve"> </w:t>
      </w:r>
      <w:r>
        <w:rPr>
          <w:lang w:val="fr-CA"/>
        </w:rPr>
        <w:t>la modification réglementaire ».</w:t>
      </w:r>
      <w:r w:rsidRPr="00FA558D">
        <w:rPr>
          <w:lang w:val="fr-CA"/>
        </w:rPr>
        <w:t xml:space="preserve"> </w:t>
      </w:r>
    </w:p>
    <w:p w14:paraId="248D2D65" w14:textId="77777777" w:rsidR="00B91619" w:rsidRPr="00FA558D" w:rsidRDefault="00B91619" w:rsidP="00B91619">
      <w:pPr>
        <w:tabs>
          <w:tab w:val="left" w:pos="9356"/>
        </w:tabs>
        <w:spacing w:after="0" w:line="240" w:lineRule="auto"/>
        <w:rPr>
          <w:lang w:val="fr-CA"/>
        </w:rPr>
      </w:pPr>
    </w:p>
    <w:p w14:paraId="57135109" w14:textId="1834FC23" w:rsidR="00B91619" w:rsidRPr="00FA558D" w:rsidRDefault="00B91619" w:rsidP="00B91619">
      <w:pPr>
        <w:tabs>
          <w:tab w:val="left" w:pos="9356"/>
        </w:tabs>
        <w:spacing w:after="0" w:line="240" w:lineRule="auto"/>
        <w:ind w:left="66"/>
        <w:rPr>
          <w:lang w:val="fr-CA"/>
        </w:rPr>
      </w:pPr>
      <w:r>
        <w:rPr>
          <w:lang w:val="fr-CA"/>
        </w:rPr>
        <w:t>Par exemp</w:t>
      </w:r>
      <w:r w:rsidRPr="00FA558D">
        <w:rPr>
          <w:lang w:val="fr-CA"/>
        </w:rPr>
        <w:t xml:space="preserve">le, </w:t>
      </w:r>
      <w:r>
        <w:rPr>
          <w:lang w:val="fr-CA"/>
        </w:rPr>
        <w:t>le ministre</w:t>
      </w:r>
      <w:r w:rsidRPr="00FA558D">
        <w:rPr>
          <w:lang w:val="fr-CA"/>
        </w:rPr>
        <w:t xml:space="preserve"> </w:t>
      </w:r>
      <w:r>
        <w:rPr>
          <w:lang w:val="fr-CA"/>
        </w:rPr>
        <w:t>de la Santé et le ministre de l’</w:t>
      </w:r>
      <w:r w:rsidRPr="00FA558D">
        <w:rPr>
          <w:lang w:val="fr-CA"/>
        </w:rPr>
        <w:t>Envi</w:t>
      </w:r>
      <w:r>
        <w:rPr>
          <w:lang w:val="fr-CA"/>
        </w:rPr>
        <w:t>ronneme</w:t>
      </w:r>
      <w:r w:rsidRPr="00FA558D">
        <w:rPr>
          <w:lang w:val="fr-CA"/>
        </w:rPr>
        <w:t>nt</w:t>
      </w:r>
      <w:r>
        <w:rPr>
          <w:lang w:val="fr-CA"/>
        </w:rPr>
        <w:t xml:space="preserve"> et du Changement climatique sont conjointement</w:t>
      </w:r>
      <w:r w:rsidRPr="00FA558D">
        <w:rPr>
          <w:lang w:val="fr-CA"/>
        </w:rPr>
        <w:t xml:space="preserve"> respons</w:t>
      </w:r>
      <w:r>
        <w:rPr>
          <w:lang w:val="fr-CA"/>
        </w:rPr>
        <w:t>ables d</w:t>
      </w:r>
      <w:r w:rsidR="00FC065B">
        <w:rPr>
          <w:lang w:val="fr-CA"/>
        </w:rPr>
        <w:t>e l</w:t>
      </w:r>
      <w:r>
        <w:rPr>
          <w:lang w:val="fr-CA"/>
        </w:rPr>
        <w:t>’évalu</w:t>
      </w:r>
      <w:r w:rsidR="00FC065B">
        <w:rPr>
          <w:lang w:val="fr-CA"/>
        </w:rPr>
        <w:t>ation des</w:t>
      </w:r>
      <w:r>
        <w:rPr>
          <w:lang w:val="fr-CA"/>
        </w:rPr>
        <w:t xml:space="preserve"> substances toxiques en vertu de la </w:t>
      </w:r>
      <w:r w:rsidRPr="008C5FFA">
        <w:rPr>
          <w:lang w:val="fr-CA"/>
        </w:rPr>
        <w:t>Loi canadienne sur la protection de l’environnement (1999)</w:t>
      </w:r>
      <w:r w:rsidRPr="00FA558D">
        <w:rPr>
          <w:lang w:val="fr-CA"/>
        </w:rPr>
        <w:t xml:space="preserve">. </w:t>
      </w:r>
      <w:r>
        <w:rPr>
          <w:lang w:val="fr-CA"/>
        </w:rPr>
        <w:t>Les deux ministre</w:t>
      </w:r>
      <w:r w:rsidRPr="00FA558D">
        <w:rPr>
          <w:lang w:val="fr-CA"/>
        </w:rPr>
        <w:t xml:space="preserve">s </w:t>
      </w:r>
      <w:r>
        <w:rPr>
          <w:lang w:val="fr-CA"/>
        </w:rPr>
        <w:t>pourraient conjointement</w:t>
      </w:r>
      <w:r w:rsidRPr="00FA558D">
        <w:rPr>
          <w:lang w:val="fr-CA"/>
        </w:rPr>
        <w:t xml:space="preserve"> </w:t>
      </w:r>
      <w:r>
        <w:rPr>
          <w:lang w:val="fr-CA"/>
        </w:rPr>
        <w:t>parrainer</w:t>
      </w:r>
      <w:r w:rsidRPr="00FA558D">
        <w:rPr>
          <w:lang w:val="fr-CA"/>
        </w:rPr>
        <w:t xml:space="preserve"> </w:t>
      </w:r>
      <w:r>
        <w:rPr>
          <w:lang w:val="fr-CA"/>
        </w:rPr>
        <w:t>des règlement</w:t>
      </w:r>
      <w:r w:rsidRPr="00FA558D">
        <w:rPr>
          <w:lang w:val="fr-CA"/>
        </w:rPr>
        <w:t xml:space="preserve">s </w:t>
      </w:r>
      <w:r>
        <w:rPr>
          <w:lang w:val="fr-CA"/>
        </w:rPr>
        <w:t xml:space="preserve">pour répondre à la menace posée par les </w:t>
      </w:r>
      <w:r w:rsidR="00FC065B">
        <w:rPr>
          <w:lang w:val="fr-CA"/>
        </w:rPr>
        <w:t xml:space="preserve">diphényles </w:t>
      </w:r>
      <w:proofErr w:type="spellStart"/>
      <w:r w:rsidR="00FC065B">
        <w:rPr>
          <w:lang w:val="fr-CA"/>
        </w:rPr>
        <w:t>polychlorés</w:t>
      </w:r>
      <w:proofErr w:type="spellEnd"/>
      <w:r>
        <w:rPr>
          <w:lang w:val="fr-CA"/>
        </w:rPr>
        <w:t xml:space="preserve"> sur la santé </w:t>
      </w:r>
      <w:r w:rsidR="00FC065B">
        <w:rPr>
          <w:lang w:val="fr-CA"/>
        </w:rPr>
        <w:t>humaine</w:t>
      </w:r>
      <w:r>
        <w:rPr>
          <w:lang w:val="fr-CA"/>
        </w:rPr>
        <w:t xml:space="preserve"> et sur l’</w:t>
      </w:r>
      <w:r w:rsidRPr="00FA558D">
        <w:rPr>
          <w:lang w:val="fr-CA"/>
        </w:rPr>
        <w:t>envi</w:t>
      </w:r>
      <w:r>
        <w:rPr>
          <w:lang w:val="fr-CA"/>
        </w:rPr>
        <w:t>ronneme</w:t>
      </w:r>
      <w:r w:rsidRPr="00FA558D">
        <w:rPr>
          <w:lang w:val="fr-CA"/>
        </w:rPr>
        <w:t xml:space="preserve">nt. </w:t>
      </w:r>
      <w:r>
        <w:rPr>
          <w:lang w:val="fr-CA"/>
        </w:rPr>
        <w:t>Toutefois, puisque Environnement et Changement climatique Canada est le principal responsable de ces</w:t>
      </w:r>
      <w:r w:rsidRPr="00FA558D">
        <w:rPr>
          <w:lang w:val="fr-CA"/>
        </w:rPr>
        <w:t xml:space="preserve"> </w:t>
      </w:r>
      <w:r>
        <w:rPr>
          <w:lang w:val="fr-CA"/>
        </w:rPr>
        <w:t>règlement</w:t>
      </w:r>
      <w:r w:rsidRPr="00FA558D">
        <w:rPr>
          <w:lang w:val="fr-CA"/>
        </w:rPr>
        <w:t xml:space="preserve">s, </w:t>
      </w:r>
      <w:r>
        <w:rPr>
          <w:lang w:val="fr-CA"/>
        </w:rPr>
        <w:t>la totalité des coûts administratifs</w:t>
      </w:r>
      <w:r w:rsidRPr="00FA558D">
        <w:rPr>
          <w:lang w:val="fr-CA"/>
        </w:rPr>
        <w:t xml:space="preserve"> </w:t>
      </w:r>
      <w:r>
        <w:rPr>
          <w:lang w:val="fr-CA"/>
        </w:rPr>
        <w:t>serait attribuée au ministre de l’</w:t>
      </w:r>
      <w:r w:rsidRPr="00FA558D">
        <w:rPr>
          <w:lang w:val="fr-CA"/>
        </w:rPr>
        <w:t>Envi</w:t>
      </w:r>
      <w:r>
        <w:rPr>
          <w:lang w:val="fr-CA"/>
        </w:rPr>
        <w:t>ronneme</w:t>
      </w:r>
      <w:r w:rsidRPr="00FA558D">
        <w:rPr>
          <w:lang w:val="fr-CA"/>
        </w:rPr>
        <w:t>nt</w:t>
      </w:r>
      <w:r>
        <w:rPr>
          <w:lang w:val="fr-CA"/>
        </w:rPr>
        <w:t xml:space="preserve"> et du Changement climatique</w:t>
      </w:r>
      <w:r w:rsidRPr="00FA558D">
        <w:rPr>
          <w:lang w:val="fr-CA"/>
        </w:rPr>
        <w:t xml:space="preserve">. </w:t>
      </w:r>
    </w:p>
    <w:p w14:paraId="1B189BD7" w14:textId="77777777" w:rsidR="00B91619" w:rsidRPr="00FA558D" w:rsidRDefault="00B91619" w:rsidP="00B91619">
      <w:pPr>
        <w:tabs>
          <w:tab w:val="left" w:pos="9356"/>
        </w:tabs>
        <w:spacing w:after="0" w:line="240" w:lineRule="auto"/>
        <w:rPr>
          <w:lang w:val="fr-CA"/>
        </w:rPr>
      </w:pPr>
    </w:p>
    <w:p w14:paraId="1A1F4B38" w14:textId="77777777" w:rsidR="00B91619" w:rsidRPr="00FA558D" w:rsidRDefault="00B91619" w:rsidP="00B91619">
      <w:pPr>
        <w:pStyle w:val="Heading3"/>
        <w:rPr>
          <w:lang w:val="fr-CA"/>
        </w:rPr>
      </w:pPr>
      <w:r>
        <w:rPr>
          <w:lang w:val="fr-CA"/>
        </w:rPr>
        <w:t xml:space="preserve"> </w:t>
      </w:r>
      <w:bookmarkStart w:id="23" w:name="_Toc69891052"/>
      <w:r>
        <w:rPr>
          <w:lang w:val="fr-CA"/>
        </w:rPr>
        <w:t>Non-conformité à l’exigence de compenser</w:t>
      </w:r>
      <w:r w:rsidRPr="00FA558D">
        <w:rPr>
          <w:lang w:val="fr-CA"/>
        </w:rPr>
        <w:t xml:space="preserve"> (</w:t>
      </w:r>
      <w:r>
        <w:rPr>
          <w:lang w:val="fr-CA"/>
        </w:rPr>
        <w:t>sous-s</w:t>
      </w:r>
      <w:r w:rsidRPr="00FA558D">
        <w:rPr>
          <w:lang w:val="fr-CA"/>
        </w:rPr>
        <w:t>ection 7.2.8)</w:t>
      </w:r>
      <w:bookmarkEnd w:id="23"/>
    </w:p>
    <w:p w14:paraId="3D955B17" w14:textId="77777777" w:rsidR="00B91619" w:rsidRPr="00FA558D" w:rsidRDefault="00B91619" w:rsidP="00B91619">
      <w:pPr>
        <w:tabs>
          <w:tab w:val="left" w:pos="9356"/>
        </w:tabs>
        <w:spacing w:after="0" w:line="240" w:lineRule="auto"/>
        <w:rPr>
          <w:lang w:val="fr-CA"/>
        </w:rPr>
      </w:pPr>
    </w:p>
    <w:p w14:paraId="25D46097" w14:textId="7EB73E49" w:rsidR="00B91619" w:rsidRPr="00FA558D" w:rsidRDefault="00B91619" w:rsidP="00B91619">
      <w:pPr>
        <w:pStyle w:val="Heading4"/>
        <w:rPr>
          <w:lang w:val="fr-CA"/>
        </w:rPr>
      </w:pPr>
      <w:r>
        <w:rPr>
          <w:lang w:val="fr-CA"/>
        </w:rPr>
        <w:t>Examen de</w:t>
      </w:r>
      <w:r w:rsidR="007804CD">
        <w:rPr>
          <w:lang w:val="fr-CA"/>
        </w:rPr>
        <w:t>s cas de</w:t>
      </w:r>
      <w:r>
        <w:rPr>
          <w:lang w:val="fr-CA"/>
        </w:rPr>
        <w:t xml:space="preserve"> non-conformité </w:t>
      </w:r>
      <w:r w:rsidR="007804CD">
        <w:rPr>
          <w:lang w:val="fr-CA"/>
        </w:rPr>
        <w:t xml:space="preserve">sous </w:t>
      </w:r>
      <w:r>
        <w:rPr>
          <w:lang w:val="fr-CA"/>
        </w:rPr>
        <w:t xml:space="preserve">les éléments </w:t>
      </w:r>
      <w:r w:rsidRPr="00FA558D">
        <w:rPr>
          <w:lang w:val="fr-CA"/>
        </w:rPr>
        <w:t>A</w:t>
      </w:r>
      <w:r>
        <w:rPr>
          <w:lang w:val="fr-CA"/>
        </w:rPr>
        <w:t xml:space="preserve"> et </w:t>
      </w:r>
      <w:r w:rsidRPr="00FA558D">
        <w:rPr>
          <w:lang w:val="fr-CA"/>
        </w:rPr>
        <w:t>B</w:t>
      </w:r>
    </w:p>
    <w:p w14:paraId="5F8A5586" w14:textId="77777777" w:rsidR="00B91619" w:rsidRPr="00FA558D" w:rsidRDefault="00B91619" w:rsidP="00B91619">
      <w:pPr>
        <w:tabs>
          <w:tab w:val="left" w:pos="9356"/>
        </w:tabs>
        <w:spacing w:after="0" w:line="240" w:lineRule="auto"/>
        <w:rPr>
          <w:lang w:val="fr-CA"/>
        </w:rPr>
      </w:pPr>
    </w:p>
    <w:p w14:paraId="58FFD942" w14:textId="3E982A8F" w:rsidR="00B91619" w:rsidRPr="00FA558D" w:rsidRDefault="00B91619" w:rsidP="00B91619">
      <w:pPr>
        <w:tabs>
          <w:tab w:val="left" w:pos="9356"/>
        </w:tabs>
        <w:spacing w:after="0" w:line="240" w:lineRule="auto"/>
        <w:rPr>
          <w:lang w:val="fr-CA"/>
        </w:rPr>
      </w:pPr>
      <w:r>
        <w:rPr>
          <w:lang w:val="fr-CA"/>
        </w:rPr>
        <w:t>La sous-s</w:t>
      </w:r>
      <w:r w:rsidRPr="00FA558D">
        <w:rPr>
          <w:lang w:val="fr-CA"/>
        </w:rPr>
        <w:t>ection 7.2.5</w:t>
      </w:r>
      <w:r>
        <w:rPr>
          <w:lang w:val="fr-CA"/>
        </w:rPr>
        <w:t xml:space="preserve"> de la politique</w:t>
      </w:r>
      <w:r w:rsidRPr="00FA558D">
        <w:rPr>
          <w:lang w:val="fr-CA"/>
        </w:rPr>
        <w:t xml:space="preserve"> </w:t>
      </w:r>
      <w:r>
        <w:rPr>
          <w:lang w:val="fr-CA"/>
        </w:rPr>
        <w:t>énonce l’exigence</w:t>
      </w:r>
      <w:r w:rsidRPr="00FA558D">
        <w:rPr>
          <w:lang w:val="fr-CA"/>
        </w:rPr>
        <w:t xml:space="preserve"> </w:t>
      </w:r>
      <w:r>
        <w:rPr>
          <w:lang w:val="fr-CA"/>
        </w:rPr>
        <w:t>de compenser</w:t>
      </w:r>
      <w:r w:rsidRPr="00FA558D">
        <w:rPr>
          <w:lang w:val="fr-CA"/>
        </w:rPr>
        <w:t xml:space="preserve"> </w:t>
      </w:r>
      <w:r>
        <w:rPr>
          <w:lang w:val="fr-CA"/>
        </w:rPr>
        <w:t>les nouveaux coûts administratifs</w:t>
      </w:r>
      <w:r w:rsidRPr="00FA558D">
        <w:rPr>
          <w:lang w:val="fr-CA"/>
        </w:rPr>
        <w:t xml:space="preserve"> </w:t>
      </w:r>
      <w:r>
        <w:rPr>
          <w:lang w:val="fr-CA"/>
        </w:rPr>
        <w:t xml:space="preserve">dans </w:t>
      </w:r>
      <w:r w:rsidR="00A01D72">
        <w:rPr>
          <w:lang w:val="fr-CA"/>
        </w:rPr>
        <w:t>un délai de</w:t>
      </w:r>
      <w:r>
        <w:rPr>
          <w:lang w:val="fr-CA"/>
        </w:rPr>
        <w:t xml:space="preserve"> deux ans</w:t>
      </w:r>
      <w:r w:rsidRPr="00FA558D">
        <w:rPr>
          <w:lang w:val="fr-CA"/>
        </w:rPr>
        <w:t>,</w:t>
      </w:r>
      <w:r>
        <w:rPr>
          <w:lang w:val="fr-CA"/>
        </w:rPr>
        <w:t xml:space="preserve"> et la sous-s</w:t>
      </w:r>
      <w:r w:rsidRPr="00FA558D">
        <w:rPr>
          <w:lang w:val="fr-CA"/>
        </w:rPr>
        <w:t xml:space="preserve">ection 7.2.6 </w:t>
      </w:r>
      <w:r>
        <w:rPr>
          <w:lang w:val="fr-CA"/>
        </w:rPr>
        <w:t xml:space="preserve">vise le même processus pour tout nouveau règlement qui </w:t>
      </w:r>
      <w:r w:rsidRPr="00FA558D">
        <w:rPr>
          <w:lang w:val="fr-CA"/>
        </w:rPr>
        <w:t>impose</w:t>
      </w:r>
      <w:r>
        <w:rPr>
          <w:lang w:val="fr-CA"/>
        </w:rPr>
        <w:t xml:space="preserve"> un fardeau</w:t>
      </w:r>
      <w:r w:rsidRPr="00FA558D">
        <w:rPr>
          <w:lang w:val="fr-CA"/>
        </w:rPr>
        <w:t xml:space="preserve"> </w:t>
      </w:r>
      <w:r>
        <w:rPr>
          <w:lang w:val="fr-CA"/>
        </w:rPr>
        <w:t>aux entreprises</w:t>
      </w:r>
      <w:r w:rsidRPr="00FA558D">
        <w:rPr>
          <w:lang w:val="fr-CA"/>
        </w:rPr>
        <w:t xml:space="preserve">. </w:t>
      </w:r>
      <w:r>
        <w:rPr>
          <w:lang w:val="fr-CA"/>
        </w:rPr>
        <w:t xml:space="preserve">Le Secteur des </w:t>
      </w:r>
      <w:r w:rsidR="00A01D72">
        <w:rPr>
          <w:lang w:val="fr-CA"/>
        </w:rPr>
        <w:t>a</w:t>
      </w:r>
      <w:r>
        <w:rPr>
          <w:lang w:val="fr-CA"/>
        </w:rPr>
        <w:t>ffaires réglementaires du SCT surveille :</w:t>
      </w:r>
    </w:p>
    <w:p w14:paraId="6A3EA22C" w14:textId="6EA58630" w:rsidR="00B91619" w:rsidRPr="00FA558D" w:rsidRDefault="00B91619" w:rsidP="00B91619">
      <w:pPr>
        <w:pStyle w:val="ListParagraph"/>
        <w:numPr>
          <w:ilvl w:val="0"/>
          <w:numId w:val="20"/>
        </w:numPr>
        <w:tabs>
          <w:tab w:val="left" w:pos="9356"/>
        </w:tabs>
        <w:spacing w:after="0" w:line="240" w:lineRule="auto"/>
        <w:rPr>
          <w:lang w:val="fr-CA"/>
        </w:rPr>
      </w:pPr>
      <w:r>
        <w:rPr>
          <w:lang w:val="fr-CA"/>
        </w:rPr>
        <w:t>l’ajout</w:t>
      </w:r>
      <w:r w:rsidRPr="00FA558D">
        <w:rPr>
          <w:lang w:val="fr-CA"/>
        </w:rPr>
        <w:t xml:space="preserve"> </w:t>
      </w:r>
      <w:r>
        <w:rPr>
          <w:lang w:val="fr-CA"/>
        </w:rPr>
        <w:t>de nouvelles exigences et de nouveaux titres réglementaires et administratifs;</w:t>
      </w:r>
    </w:p>
    <w:p w14:paraId="7FE07315" w14:textId="5F19E243" w:rsidR="00B91619" w:rsidRPr="00FA558D" w:rsidRDefault="00B91619" w:rsidP="00B91619">
      <w:pPr>
        <w:pStyle w:val="ListParagraph"/>
        <w:numPr>
          <w:ilvl w:val="0"/>
          <w:numId w:val="20"/>
        </w:numPr>
        <w:tabs>
          <w:tab w:val="left" w:pos="9356"/>
        </w:tabs>
        <w:spacing w:after="0" w:line="240" w:lineRule="auto"/>
        <w:rPr>
          <w:lang w:val="fr-CA"/>
        </w:rPr>
      </w:pPr>
      <w:r>
        <w:rPr>
          <w:lang w:val="fr-CA"/>
        </w:rPr>
        <w:t>la compensation</w:t>
      </w:r>
      <w:r w:rsidRPr="00FA558D">
        <w:rPr>
          <w:lang w:val="fr-CA"/>
        </w:rPr>
        <w:t xml:space="preserve"> </w:t>
      </w:r>
      <w:r>
        <w:rPr>
          <w:lang w:val="fr-CA"/>
        </w:rPr>
        <w:t>des coûts et titres connexes</w:t>
      </w:r>
      <w:r w:rsidRPr="00FA558D">
        <w:rPr>
          <w:lang w:val="fr-CA"/>
        </w:rPr>
        <w:t xml:space="preserve"> </w:t>
      </w:r>
      <w:r>
        <w:rPr>
          <w:lang w:val="fr-CA"/>
        </w:rPr>
        <w:t xml:space="preserve">liés aux </w:t>
      </w:r>
      <w:r w:rsidR="00A01D72">
        <w:rPr>
          <w:lang w:val="fr-CA"/>
        </w:rPr>
        <w:t xml:space="preserve">modifications </w:t>
      </w:r>
      <w:r>
        <w:rPr>
          <w:lang w:val="fr-CA"/>
        </w:rPr>
        <w:t>ultérieurement apporté</w:t>
      </w:r>
      <w:r w:rsidR="00A01D72">
        <w:rPr>
          <w:lang w:val="fr-CA"/>
        </w:rPr>
        <w:t>e</w:t>
      </w:r>
      <w:r>
        <w:rPr>
          <w:lang w:val="fr-CA"/>
        </w:rPr>
        <w:t>s à la réglementation.</w:t>
      </w:r>
    </w:p>
    <w:p w14:paraId="60ABEB8E" w14:textId="77777777" w:rsidR="00B91619" w:rsidRPr="00FA558D" w:rsidRDefault="00B91619" w:rsidP="00B91619">
      <w:pPr>
        <w:pStyle w:val="ListParagraph"/>
        <w:tabs>
          <w:tab w:val="left" w:pos="9356"/>
        </w:tabs>
        <w:spacing w:after="0" w:line="240" w:lineRule="auto"/>
        <w:rPr>
          <w:lang w:val="fr-CA"/>
        </w:rPr>
      </w:pPr>
    </w:p>
    <w:p w14:paraId="3E789B40" w14:textId="3E43728E" w:rsidR="00B91619" w:rsidRPr="00FA558D" w:rsidRDefault="00B91619" w:rsidP="00B91619">
      <w:pPr>
        <w:tabs>
          <w:tab w:val="left" w:pos="9356"/>
        </w:tabs>
        <w:spacing w:after="0" w:line="240" w:lineRule="auto"/>
        <w:rPr>
          <w:lang w:val="fr-CA"/>
        </w:rPr>
      </w:pPr>
      <w:r>
        <w:rPr>
          <w:lang w:val="fr-CA"/>
        </w:rPr>
        <w:t xml:space="preserve">En cas de non-conformité d’un ministère ou d’un organisme </w:t>
      </w:r>
      <w:r w:rsidRPr="00FA558D">
        <w:rPr>
          <w:lang w:val="fr-CA"/>
        </w:rPr>
        <w:t>(</w:t>
      </w:r>
      <w:r>
        <w:rPr>
          <w:lang w:val="fr-CA"/>
        </w:rPr>
        <w:t>par exemp</w:t>
      </w:r>
      <w:r w:rsidRPr="00FA558D">
        <w:rPr>
          <w:lang w:val="fr-CA"/>
        </w:rPr>
        <w:t xml:space="preserve">le, </w:t>
      </w:r>
      <w:r>
        <w:rPr>
          <w:lang w:val="fr-CA"/>
        </w:rPr>
        <w:t>le ministère ou l’organisme n’est pas en mesure de supprimer un titre ou une exigence réglementaire</w:t>
      </w:r>
      <w:r w:rsidR="00A01D72">
        <w:rPr>
          <w:lang w:val="fr-CA"/>
        </w:rPr>
        <w:t xml:space="preserve"> en vigueur</w:t>
      </w:r>
      <w:r w:rsidRPr="00FA558D">
        <w:rPr>
          <w:lang w:val="fr-CA"/>
        </w:rPr>
        <w:t xml:space="preserve">) </w:t>
      </w:r>
      <w:r>
        <w:rPr>
          <w:lang w:val="fr-CA"/>
        </w:rPr>
        <w:t xml:space="preserve">dans les délais impartis, </w:t>
      </w:r>
      <w:r w:rsidR="00A01D72">
        <w:rPr>
          <w:lang w:val="fr-CA"/>
        </w:rPr>
        <w:t xml:space="preserve">les </w:t>
      </w:r>
      <w:r>
        <w:rPr>
          <w:lang w:val="fr-CA"/>
        </w:rPr>
        <w:t xml:space="preserve">étapes </w:t>
      </w:r>
      <w:r w:rsidR="00A01D72">
        <w:rPr>
          <w:lang w:val="fr-CA"/>
        </w:rPr>
        <w:t>ci</w:t>
      </w:r>
      <w:r w:rsidR="00A01D72">
        <w:rPr>
          <w:lang w:val="fr-CA"/>
        </w:rPr>
        <w:noBreakHyphen/>
        <w:t>dessous doivent être</w:t>
      </w:r>
      <w:r>
        <w:rPr>
          <w:lang w:val="fr-CA"/>
        </w:rPr>
        <w:t xml:space="preserve"> suivies</w:t>
      </w:r>
      <w:r w:rsidR="00A9277E">
        <w:rPr>
          <w:lang w:val="fr-CA"/>
        </w:rPr>
        <w:t> </w:t>
      </w:r>
      <w:r>
        <w:rPr>
          <w:lang w:val="fr-CA"/>
        </w:rPr>
        <w:t>:</w:t>
      </w:r>
      <w:r w:rsidRPr="00FA558D">
        <w:rPr>
          <w:lang w:val="fr-CA"/>
        </w:rPr>
        <w:t xml:space="preserve"> </w:t>
      </w:r>
    </w:p>
    <w:p w14:paraId="33E8B8F9" w14:textId="77777777" w:rsidR="00B91619" w:rsidRPr="00FA558D" w:rsidRDefault="00B91619" w:rsidP="00B91619">
      <w:pPr>
        <w:pStyle w:val="ListParagraph"/>
        <w:tabs>
          <w:tab w:val="left" w:pos="9356"/>
        </w:tabs>
        <w:spacing w:after="0" w:line="240" w:lineRule="auto"/>
        <w:ind w:left="0"/>
        <w:rPr>
          <w:lang w:val="fr-CA"/>
        </w:rPr>
      </w:pPr>
    </w:p>
    <w:p w14:paraId="020CF051" w14:textId="5DCE1813" w:rsidR="00B91619" w:rsidRPr="00FA558D" w:rsidRDefault="00B91619" w:rsidP="00B91619">
      <w:pPr>
        <w:pStyle w:val="ListParagraph"/>
        <w:numPr>
          <w:ilvl w:val="0"/>
          <w:numId w:val="22"/>
        </w:numPr>
        <w:tabs>
          <w:tab w:val="left" w:pos="9356"/>
        </w:tabs>
        <w:spacing w:after="0" w:line="240" w:lineRule="auto"/>
        <w:rPr>
          <w:lang w:val="fr-CA"/>
        </w:rPr>
      </w:pPr>
      <w:r>
        <w:rPr>
          <w:lang w:val="fr-CA"/>
        </w:rPr>
        <w:t>Le SCT</w:t>
      </w:r>
      <w:r w:rsidRPr="00FA558D">
        <w:rPr>
          <w:lang w:val="fr-CA"/>
        </w:rPr>
        <w:t xml:space="preserve"> </w:t>
      </w:r>
      <w:r>
        <w:rPr>
          <w:lang w:val="fr-CA"/>
        </w:rPr>
        <w:t>avise</w:t>
      </w:r>
      <w:r w:rsidRPr="00FA558D">
        <w:rPr>
          <w:lang w:val="fr-CA"/>
        </w:rPr>
        <w:t xml:space="preserve"> </w:t>
      </w:r>
      <w:r>
        <w:rPr>
          <w:lang w:val="fr-CA"/>
        </w:rPr>
        <w:t xml:space="preserve">le responsable du portefeuille </w:t>
      </w:r>
      <w:r w:rsidR="00186FE2">
        <w:rPr>
          <w:lang w:val="fr-CA"/>
        </w:rPr>
        <w:t>lorsque l’échéance de deux ans du</w:t>
      </w:r>
      <w:r>
        <w:rPr>
          <w:lang w:val="fr-CA"/>
        </w:rPr>
        <w:t xml:space="preserve"> portefeuille </w:t>
      </w:r>
      <w:r w:rsidR="00186FE2">
        <w:rPr>
          <w:lang w:val="fr-CA"/>
        </w:rPr>
        <w:t>approche</w:t>
      </w:r>
      <w:r>
        <w:rPr>
          <w:lang w:val="fr-CA"/>
        </w:rPr>
        <w:t xml:space="preserve"> pour compenser le nouveau fardeau, et lui demande comment il entend </w:t>
      </w:r>
      <w:r w:rsidR="00186FE2">
        <w:rPr>
          <w:lang w:val="fr-CA"/>
        </w:rPr>
        <w:t xml:space="preserve">procéder </w:t>
      </w:r>
      <w:r>
        <w:rPr>
          <w:lang w:val="fr-CA"/>
        </w:rPr>
        <w:t>à la compensation avant l’échéance.</w:t>
      </w:r>
    </w:p>
    <w:p w14:paraId="456C0E52" w14:textId="77777777" w:rsidR="00B91619" w:rsidRPr="00FA558D" w:rsidRDefault="00B91619" w:rsidP="00B91619">
      <w:pPr>
        <w:pStyle w:val="ListParagraph"/>
        <w:tabs>
          <w:tab w:val="left" w:pos="9356"/>
        </w:tabs>
        <w:spacing w:after="0" w:line="240" w:lineRule="auto"/>
        <w:ind w:left="0"/>
        <w:rPr>
          <w:lang w:val="fr-CA"/>
        </w:rPr>
      </w:pPr>
    </w:p>
    <w:p w14:paraId="5D6E30CA" w14:textId="17655A47" w:rsidR="00B91619" w:rsidRPr="00FA558D" w:rsidRDefault="00B91619" w:rsidP="00B91619">
      <w:pPr>
        <w:pStyle w:val="ListParagraph"/>
        <w:numPr>
          <w:ilvl w:val="0"/>
          <w:numId w:val="22"/>
        </w:numPr>
        <w:tabs>
          <w:tab w:val="left" w:pos="9356"/>
        </w:tabs>
        <w:spacing w:after="0" w:line="240" w:lineRule="auto"/>
        <w:rPr>
          <w:lang w:val="fr-CA"/>
        </w:rPr>
      </w:pPr>
      <w:r>
        <w:rPr>
          <w:lang w:val="fr-CA"/>
        </w:rPr>
        <w:t>Si le</w:t>
      </w:r>
      <w:r w:rsidRPr="00FA558D">
        <w:rPr>
          <w:lang w:val="fr-CA"/>
        </w:rPr>
        <w:t xml:space="preserve"> </w:t>
      </w:r>
      <w:r>
        <w:rPr>
          <w:lang w:val="fr-CA"/>
        </w:rPr>
        <w:t xml:space="preserve">responsable du portefeuille n’a pas prévu de modification réglementaire qui pourrait permettre la compensation, il doit mener un examen approfondi de la réglementation en vigueur pour </w:t>
      </w:r>
      <w:r w:rsidR="00361A34">
        <w:rPr>
          <w:lang w:val="fr-CA"/>
        </w:rPr>
        <w:t xml:space="preserve">déterminer les exigences ou les titres </w:t>
      </w:r>
      <w:r>
        <w:rPr>
          <w:lang w:val="fr-CA"/>
        </w:rPr>
        <w:t>en vigueur qui pourrai</w:t>
      </w:r>
      <w:r w:rsidR="007C1161">
        <w:rPr>
          <w:lang w:val="fr-CA"/>
        </w:rPr>
        <w:t>ent</w:t>
      </w:r>
      <w:r>
        <w:rPr>
          <w:lang w:val="fr-CA"/>
        </w:rPr>
        <w:t xml:space="preserve"> être supprimé</w:t>
      </w:r>
      <w:r w:rsidR="00361A34">
        <w:rPr>
          <w:lang w:val="fr-CA"/>
        </w:rPr>
        <w:t>s</w:t>
      </w:r>
      <w:r>
        <w:rPr>
          <w:lang w:val="fr-CA"/>
        </w:rPr>
        <w:t>.</w:t>
      </w:r>
    </w:p>
    <w:p w14:paraId="67528D6C" w14:textId="77777777" w:rsidR="00B91619" w:rsidRPr="00FA558D" w:rsidRDefault="00B91619" w:rsidP="00B91619">
      <w:pPr>
        <w:pStyle w:val="ListParagraph"/>
        <w:tabs>
          <w:tab w:val="left" w:pos="9356"/>
        </w:tabs>
        <w:spacing w:after="0" w:line="240" w:lineRule="auto"/>
        <w:ind w:left="0"/>
        <w:rPr>
          <w:lang w:val="fr-CA"/>
        </w:rPr>
      </w:pPr>
    </w:p>
    <w:p w14:paraId="6508527B" w14:textId="48C607BE" w:rsidR="00B91619" w:rsidRPr="00FA558D" w:rsidRDefault="00B91619" w:rsidP="00B91619">
      <w:pPr>
        <w:pStyle w:val="ListParagraph"/>
        <w:numPr>
          <w:ilvl w:val="0"/>
          <w:numId w:val="22"/>
        </w:numPr>
        <w:tabs>
          <w:tab w:val="left" w:pos="9356"/>
        </w:tabs>
        <w:spacing w:after="0" w:line="240" w:lineRule="auto"/>
        <w:rPr>
          <w:lang w:val="fr-CA"/>
        </w:rPr>
      </w:pPr>
      <w:r>
        <w:rPr>
          <w:lang w:val="fr-CA"/>
        </w:rPr>
        <w:t xml:space="preserve">En dernier recours, si le responsable du portefeuille n’est pas en mesure </w:t>
      </w:r>
      <w:r w:rsidR="008B26FD">
        <w:rPr>
          <w:lang w:val="fr-CA"/>
        </w:rPr>
        <w:t>de déterminer d</w:t>
      </w:r>
      <w:r>
        <w:rPr>
          <w:lang w:val="fr-CA"/>
        </w:rPr>
        <w:t xml:space="preserve">es exigences </w:t>
      </w:r>
      <w:r w:rsidRPr="00FA558D">
        <w:rPr>
          <w:lang w:val="fr-CA"/>
        </w:rPr>
        <w:t>administrative</w:t>
      </w:r>
      <w:r>
        <w:rPr>
          <w:lang w:val="fr-CA"/>
        </w:rPr>
        <w:t>s ou des titres pouvant être supprimés, le Conseil du Trésor</w:t>
      </w:r>
      <w:r w:rsidRPr="00FA558D">
        <w:rPr>
          <w:lang w:val="fr-CA"/>
        </w:rPr>
        <w:t xml:space="preserve"> (</w:t>
      </w:r>
      <w:r w:rsidR="008B26FD">
        <w:rPr>
          <w:lang w:val="fr-CA"/>
        </w:rPr>
        <w:t>p</w:t>
      </w:r>
      <w:r w:rsidRPr="00FA558D">
        <w:rPr>
          <w:lang w:val="fr-CA"/>
        </w:rPr>
        <w:t>art</w:t>
      </w:r>
      <w:r>
        <w:rPr>
          <w:lang w:val="fr-CA"/>
        </w:rPr>
        <w:t>ie</w:t>
      </w:r>
      <w:r w:rsidRPr="00FA558D">
        <w:rPr>
          <w:lang w:val="fr-CA"/>
        </w:rPr>
        <w:t xml:space="preserve"> B) </w:t>
      </w:r>
      <w:r>
        <w:rPr>
          <w:lang w:val="fr-CA"/>
        </w:rPr>
        <w:t>étudie les moyens possibles</w:t>
      </w:r>
      <w:r w:rsidRPr="00FA558D">
        <w:rPr>
          <w:lang w:val="fr-CA"/>
        </w:rPr>
        <w:t xml:space="preserve"> </w:t>
      </w:r>
      <w:r>
        <w:rPr>
          <w:lang w:val="fr-CA"/>
        </w:rPr>
        <w:t>de rétablir la conformité du portefeuille.</w:t>
      </w:r>
    </w:p>
    <w:p w14:paraId="0B512841" w14:textId="77777777" w:rsidR="00B91619" w:rsidRPr="00FA558D" w:rsidRDefault="00B91619" w:rsidP="00B91619">
      <w:pPr>
        <w:pStyle w:val="ListParagraph"/>
        <w:tabs>
          <w:tab w:val="left" w:pos="9356"/>
        </w:tabs>
        <w:spacing w:after="0" w:line="240" w:lineRule="auto"/>
        <w:ind w:left="0"/>
        <w:rPr>
          <w:lang w:val="fr-CA"/>
        </w:rPr>
      </w:pPr>
    </w:p>
    <w:p w14:paraId="43820AD9" w14:textId="734843CC" w:rsidR="00B91619" w:rsidRPr="00FA558D" w:rsidRDefault="00B91619" w:rsidP="00B91619">
      <w:pPr>
        <w:pStyle w:val="ListParagraph"/>
        <w:numPr>
          <w:ilvl w:val="0"/>
          <w:numId w:val="22"/>
        </w:numPr>
        <w:tabs>
          <w:tab w:val="left" w:pos="9356"/>
        </w:tabs>
        <w:spacing w:after="0" w:line="240" w:lineRule="auto"/>
        <w:rPr>
          <w:lang w:val="fr-CA"/>
        </w:rPr>
      </w:pPr>
      <w:r>
        <w:rPr>
          <w:lang w:val="fr-CA"/>
        </w:rPr>
        <w:t>Le prés</w:t>
      </w:r>
      <w:r w:rsidRPr="00FA558D">
        <w:rPr>
          <w:lang w:val="fr-CA"/>
        </w:rPr>
        <w:t xml:space="preserve">ident </w:t>
      </w:r>
      <w:r>
        <w:rPr>
          <w:lang w:val="fr-CA"/>
        </w:rPr>
        <w:t xml:space="preserve">du Conseil du Trésor pourrait divulguer les cas de </w:t>
      </w:r>
      <w:r w:rsidRPr="00FA558D">
        <w:rPr>
          <w:lang w:val="fr-CA"/>
        </w:rPr>
        <w:t>non-co</w:t>
      </w:r>
      <w:r>
        <w:rPr>
          <w:lang w:val="fr-CA"/>
        </w:rPr>
        <w:t>nformité</w:t>
      </w:r>
      <w:r w:rsidRPr="00FA558D">
        <w:rPr>
          <w:lang w:val="fr-CA"/>
        </w:rPr>
        <w:t xml:space="preserve"> </w:t>
      </w:r>
      <w:r>
        <w:rPr>
          <w:lang w:val="fr-CA"/>
        </w:rPr>
        <w:t xml:space="preserve">dans </w:t>
      </w:r>
      <w:r w:rsidR="008B26FD">
        <w:rPr>
          <w:lang w:val="fr-CA"/>
        </w:rPr>
        <w:t>l</w:t>
      </w:r>
      <w:r>
        <w:rPr>
          <w:lang w:val="fr-CA"/>
        </w:rPr>
        <w:t>es rapports</w:t>
      </w:r>
      <w:r w:rsidR="008B26FD">
        <w:rPr>
          <w:lang w:val="fr-CA"/>
        </w:rPr>
        <w:t xml:space="preserve"> publics</w:t>
      </w:r>
      <w:r>
        <w:rPr>
          <w:lang w:val="fr-CA"/>
        </w:rPr>
        <w:t xml:space="preserve">, </w:t>
      </w:r>
      <w:r w:rsidR="008B26FD">
        <w:rPr>
          <w:lang w:val="fr-CA"/>
        </w:rPr>
        <w:t>comme</w:t>
      </w:r>
      <w:r>
        <w:rPr>
          <w:lang w:val="fr-CA"/>
        </w:rPr>
        <w:t xml:space="preserve"> le Rapport annuel au Parlement</w:t>
      </w:r>
      <w:r w:rsidRPr="00FA558D">
        <w:rPr>
          <w:lang w:val="fr-CA"/>
        </w:rPr>
        <w:t xml:space="preserve">, </w:t>
      </w:r>
      <w:r w:rsidR="008B26FD">
        <w:rPr>
          <w:lang w:val="fr-CA"/>
        </w:rPr>
        <w:t>afin d’assurer</w:t>
      </w:r>
      <w:r>
        <w:rPr>
          <w:lang w:val="fr-CA"/>
        </w:rPr>
        <w:t xml:space="preserve"> la </w:t>
      </w:r>
      <w:r w:rsidRPr="00FA558D">
        <w:rPr>
          <w:lang w:val="fr-CA"/>
        </w:rPr>
        <w:t>transpa</w:t>
      </w:r>
      <w:r>
        <w:rPr>
          <w:lang w:val="fr-CA"/>
        </w:rPr>
        <w:t>rence</w:t>
      </w:r>
      <w:r w:rsidRPr="00FA558D">
        <w:rPr>
          <w:lang w:val="fr-CA"/>
        </w:rPr>
        <w:t xml:space="preserve"> </w:t>
      </w:r>
      <w:r>
        <w:rPr>
          <w:lang w:val="fr-CA"/>
        </w:rPr>
        <w:t xml:space="preserve">vis-à-vis </w:t>
      </w:r>
      <w:r w:rsidR="008B26FD">
        <w:rPr>
          <w:lang w:val="fr-CA"/>
        </w:rPr>
        <w:t>l</w:t>
      </w:r>
      <w:r>
        <w:rPr>
          <w:lang w:val="fr-CA"/>
        </w:rPr>
        <w:t xml:space="preserve">es intervenants et </w:t>
      </w:r>
      <w:r w:rsidR="008B26FD">
        <w:rPr>
          <w:lang w:val="fr-CA"/>
        </w:rPr>
        <w:t>l</w:t>
      </w:r>
      <w:r>
        <w:rPr>
          <w:lang w:val="fr-CA"/>
        </w:rPr>
        <w:t>es parties réglementées.</w:t>
      </w:r>
    </w:p>
    <w:p w14:paraId="6EE6FA60" w14:textId="77777777" w:rsidR="00B91619" w:rsidRPr="00FA558D" w:rsidRDefault="00B91619" w:rsidP="00B91619">
      <w:pPr>
        <w:tabs>
          <w:tab w:val="left" w:pos="9356"/>
        </w:tabs>
        <w:spacing w:after="0" w:line="240" w:lineRule="auto"/>
        <w:rPr>
          <w:lang w:val="fr-CA"/>
        </w:rPr>
      </w:pPr>
    </w:p>
    <w:p w14:paraId="2E202305" w14:textId="77777777" w:rsidR="00B91619" w:rsidRPr="00FA558D" w:rsidRDefault="00B91619" w:rsidP="00B91619">
      <w:pPr>
        <w:pStyle w:val="Heading3"/>
        <w:rPr>
          <w:lang w:val="fr-CA"/>
        </w:rPr>
      </w:pPr>
      <w:bookmarkStart w:id="24" w:name="_Toc69891053"/>
      <w:r w:rsidRPr="00FA558D">
        <w:rPr>
          <w:lang w:val="fr-CA"/>
        </w:rPr>
        <w:t>Exemptions (</w:t>
      </w:r>
      <w:r>
        <w:rPr>
          <w:lang w:val="fr-CA"/>
        </w:rPr>
        <w:t>sous-s</w:t>
      </w:r>
      <w:r w:rsidRPr="00FA558D">
        <w:rPr>
          <w:lang w:val="fr-CA"/>
        </w:rPr>
        <w:t>ection 7.2.9)</w:t>
      </w:r>
      <w:bookmarkEnd w:id="24"/>
    </w:p>
    <w:p w14:paraId="21EC511B" w14:textId="77777777" w:rsidR="00B91619" w:rsidRPr="00FA558D" w:rsidRDefault="00B91619" w:rsidP="00B91619">
      <w:pPr>
        <w:tabs>
          <w:tab w:val="left" w:pos="9356"/>
        </w:tabs>
        <w:spacing w:after="0" w:line="240" w:lineRule="auto"/>
        <w:rPr>
          <w:lang w:val="fr-CA"/>
        </w:rPr>
      </w:pPr>
    </w:p>
    <w:p w14:paraId="01F04DEE" w14:textId="7304477B" w:rsidR="00B91619" w:rsidRPr="00FA558D" w:rsidRDefault="00B91619" w:rsidP="00B91619">
      <w:pPr>
        <w:tabs>
          <w:tab w:val="left" w:pos="9356"/>
        </w:tabs>
        <w:spacing w:after="0" w:line="240" w:lineRule="auto"/>
        <w:rPr>
          <w:lang w:val="fr-CA"/>
        </w:rPr>
      </w:pPr>
      <w:r>
        <w:rPr>
          <w:lang w:val="fr-CA"/>
        </w:rPr>
        <w:t>La s</w:t>
      </w:r>
      <w:r w:rsidRPr="00FA558D">
        <w:rPr>
          <w:lang w:val="fr-CA"/>
        </w:rPr>
        <w:t>ection 6</w:t>
      </w:r>
      <w:r>
        <w:rPr>
          <w:lang w:val="fr-CA"/>
        </w:rPr>
        <w:t xml:space="preserve"> du </w:t>
      </w:r>
      <w:r w:rsidRPr="008C5FFA">
        <w:rPr>
          <w:lang w:val="fr-CA"/>
        </w:rPr>
        <w:t>Règlement sur la réduction de la paperasse</w:t>
      </w:r>
      <w:r w:rsidRPr="00FA558D">
        <w:rPr>
          <w:lang w:val="fr-CA"/>
        </w:rPr>
        <w:t xml:space="preserve"> </w:t>
      </w:r>
      <w:r>
        <w:rPr>
          <w:lang w:val="fr-CA"/>
        </w:rPr>
        <w:t>définit</w:t>
      </w:r>
      <w:r w:rsidRPr="00FA558D">
        <w:rPr>
          <w:lang w:val="fr-CA"/>
        </w:rPr>
        <w:t xml:space="preserve"> </w:t>
      </w:r>
      <w:r>
        <w:rPr>
          <w:lang w:val="fr-CA"/>
        </w:rPr>
        <w:t>trois</w:t>
      </w:r>
      <w:r w:rsidRPr="00FA558D">
        <w:rPr>
          <w:lang w:val="fr-CA"/>
        </w:rPr>
        <w:t> </w:t>
      </w:r>
      <w:r>
        <w:rPr>
          <w:lang w:val="fr-CA"/>
        </w:rPr>
        <w:t>catégories d’ex</w:t>
      </w:r>
      <w:r w:rsidRPr="00FA558D">
        <w:rPr>
          <w:lang w:val="fr-CA"/>
        </w:rPr>
        <w:t xml:space="preserve">emptions </w:t>
      </w:r>
      <w:r>
        <w:rPr>
          <w:lang w:val="fr-CA"/>
        </w:rPr>
        <w:t>à l’exigence</w:t>
      </w:r>
      <w:r w:rsidRPr="00FA558D">
        <w:rPr>
          <w:lang w:val="fr-CA"/>
        </w:rPr>
        <w:t xml:space="preserve"> </w:t>
      </w:r>
      <w:r>
        <w:rPr>
          <w:lang w:val="fr-CA"/>
        </w:rPr>
        <w:t>de compenser</w:t>
      </w:r>
      <w:r w:rsidRPr="00FA558D">
        <w:rPr>
          <w:lang w:val="fr-CA"/>
        </w:rPr>
        <w:t xml:space="preserve"> </w:t>
      </w:r>
      <w:r>
        <w:rPr>
          <w:lang w:val="fr-CA"/>
        </w:rPr>
        <w:t>l’augmentation du fardeau et l’ajout de règlements</w:t>
      </w:r>
      <w:r w:rsidRPr="00FA558D">
        <w:rPr>
          <w:lang w:val="fr-CA"/>
        </w:rPr>
        <w:t xml:space="preserve">. </w:t>
      </w:r>
      <w:r>
        <w:rPr>
          <w:lang w:val="fr-CA"/>
        </w:rPr>
        <w:t>La déci</w:t>
      </w:r>
      <w:r w:rsidRPr="00FA558D">
        <w:rPr>
          <w:lang w:val="fr-CA"/>
        </w:rPr>
        <w:t xml:space="preserve">sion </w:t>
      </w:r>
      <w:r>
        <w:rPr>
          <w:lang w:val="fr-CA"/>
        </w:rPr>
        <w:t>d’exempter un</w:t>
      </w:r>
      <w:r w:rsidRPr="00FA558D">
        <w:rPr>
          <w:lang w:val="fr-CA"/>
        </w:rPr>
        <w:t xml:space="preserve"> </w:t>
      </w:r>
      <w:r>
        <w:rPr>
          <w:lang w:val="fr-CA"/>
        </w:rPr>
        <w:t>projet</w:t>
      </w:r>
      <w:r w:rsidRPr="00FA558D">
        <w:rPr>
          <w:lang w:val="fr-CA"/>
        </w:rPr>
        <w:t xml:space="preserve"> re</w:t>
      </w:r>
      <w:r>
        <w:rPr>
          <w:lang w:val="fr-CA"/>
        </w:rPr>
        <w:t>vient au Conseil du Trésor</w:t>
      </w:r>
      <w:r w:rsidRPr="00FA558D">
        <w:rPr>
          <w:lang w:val="fr-CA"/>
        </w:rPr>
        <w:t xml:space="preserve"> (</w:t>
      </w:r>
      <w:r w:rsidR="00DC4DBA">
        <w:rPr>
          <w:lang w:val="fr-CA"/>
        </w:rPr>
        <w:t>p</w:t>
      </w:r>
      <w:r>
        <w:rPr>
          <w:lang w:val="fr-CA"/>
        </w:rPr>
        <w:t>artie B</w:t>
      </w:r>
      <w:r w:rsidRPr="00FA558D">
        <w:rPr>
          <w:lang w:val="fr-CA"/>
        </w:rPr>
        <w:t>),</w:t>
      </w:r>
      <w:r>
        <w:rPr>
          <w:lang w:val="fr-CA"/>
        </w:rPr>
        <w:t xml:space="preserve"> et les organismes de réglementation</w:t>
      </w:r>
      <w:r w:rsidRPr="00FA558D">
        <w:rPr>
          <w:lang w:val="fr-CA"/>
        </w:rPr>
        <w:t xml:space="preserve"> </w:t>
      </w:r>
      <w:r>
        <w:rPr>
          <w:lang w:val="fr-CA"/>
        </w:rPr>
        <w:t>doivent</w:t>
      </w:r>
      <w:r w:rsidRPr="00FA558D">
        <w:rPr>
          <w:lang w:val="fr-CA"/>
        </w:rPr>
        <w:t xml:space="preserve"> consult</w:t>
      </w:r>
      <w:r>
        <w:rPr>
          <w:lang w:val="fr-CA"/>
        </w:rPr>
        <w:t xml:space="preserve">er le Secteur des </w:t>
      </w:r>
      <w:r w:rsidR="00DC4DBA">
        <w:rPr>
          <w:lang w:val="fr-CA"/>
        </w:rPr>
        <w:t>a</w:t>
      </w:r>
      <w:r>
        <w:rPr>
          <w:lang w:val="fr-CA"/>
        </w:rPr>
        <w:t>ffaires réglementaires pour connaître les motifs de l’ex</w:t>
      </w:r>
      <w:r w:rsidRPr="00FA558D">
        <w:rPr>
          <w:lang w:val="fr-CA"/>
        </w:rPr>
        <w:t>emption.</w:t>
      </w:r>
      <w:r>
        <w:rPr>
          <w:lang w:val="fr-CA"/>
        </w:rPr>
        <w:t xml:space="preserve"> L</w:t>
      </w:r>
      <w:r w:rsidRPr="00FA558D">
        <w:rPr>
          <w:lang w:val="fr-CA"/>
        </w:rPr>
        <w:t xml:space="preserve">e </w:t>
      </w:r>
      <w:r>
        <w:rPr>
          <w:lang w:val="fr-CA"/>
        </w:rPr>
        <w:t>Conseil du Trésor</w:t>
      </w:r>
      <w:r w:rsidRPr="00FA558D">
        <w:rPr>
          <w:lang w:val="fr-CA"/>
        </w:rPr>
        <w:t xml:space="preserve"> </w:t>
      </w:r>
      <w:r>
        <w:rPr>
          <w:lang w:val="fr-CA"/>
        </w:rPr>
        <w:t xml:space="preserve">approuve ou </w:t>
      </w:r>
      <w:r w:rsidRPr="00FA558D">
        <w:rPr>
          <w:lang w:val="fr-CA"/>
        </w:rPr>
        <w:t>re</w:t>
      </w:r>
      <w:r>
        <w:rPr>
          <w:lang w:val="fr-CA"/>
        </w:rPr>
        <w:t>fuse les demandes d’ex</w:t>
      </w:r>
      <w:r w:rsidRPr="00FA558D">
        <w:rPr>
          <w:lang w:val="fr-CA"/>
        </w:rPr>
        <w:t>emption</w:t>
      </w:r>
      <w:r>
        <w:rPr>
          <w:lang w:val="fr-CA"/>
        </w:rPr>
        <w:t xml:space="preserve"> au cas par cas, et </w:t>
      </w:r>
      <w:r w:rsidR="00DC4DBA">
        <w:rPr>
          <w:lang w:val="fr-CA"/>
        </w:rPr>
        <w:t xml:space="preserve">lui </w:t>
      </w:r>
      <w:r>
        <w:rPr>
          <w:lang w:val="fr-CA"/>
        </w:rPr>
        <w:t xml:space="preserve">seul </w:t>
      </w:r>
      <w:r w:rsidR="00DC4DBA">
        <w:rPr>
          <w:lang w:val="fr-CA"/>
        </w:rPr>
        <w:t>décide</w:t>
      </w:r>
      <w:r>
        <w:rPr>
          <w:lang w:val="fr-CA"/>
        </w:rPr>
        <w:t xml:space="preserve"> si un projet remplit les critères d’ex</w:t>
      </w:r>
      <w:r w:rsidRPr="00FA558D">
        <w:rPr>
          <w:lang w:val="fr-CA"/>
        </w:rPr>
        <w:t xml:space="preserve">emption. </w:t>
      </w:r>
    </w:p>
    <w:p w14:paraId="7AEA641F" w14:textId="77777777" w:rsidR="00B91619" w:rsidRPr="00FA558D" w:rsidRDefault="00B91619" w:rsidP="00B91619">
      <w:pPr>
        <w:tabs>
          <w:tab w:val="left" w:pos="9356"/>
        </w:tabs>
        <w:spacing w:after="0" w:line="240" w:lineRule="auto"/>
        <w:rPr>
          <w:lang w:val="fr-CA"/>
        </w:rPr>
      </w:pPr>
    </w:p>
    <w:p w14:paraId="0D0FF01B" w14:textId="6C79B3AB" w:rsidR="00B91619" w:rsidRPr="00FA558D" w:rsidRDefault="00B91619" w:rsidP="00B91619">
      <w:pPr>
        <w:tabs>
          <w:tab w:val="left" w:pos="9356"/>
        </w:tabs>
        <w:spacing w:after="0" w:line="240" w:lineRule="auto"/>
        <w:rPr>
          <w:lang w:val="fr-CA"/>
        </w:rPr>
      </w:pPr>
      <w:r>
        <w:rPr>
          <w:lang w:val="fr-CA"/>
        </w:rPr>
        <w:t>La première question à poser dans l’examen d’une demande d’</w:t>
      </w:r>
      <w:r w:rsidRPr="00FA558D">
        <w:rPr>
          <w:lang w:val="fr-CA"/>
        </w:rPr>
        <w:t>exemption</w:t>
      </w:r>
      <w:r>
        <w:rPr>
          <w:lang w:val="fr-CA"/>
        </w:rPr>
        <w:t xml:space="preserve"> est celle de savoir si la modification</w:t>
      </w:r>
      <w:r w:rsidRPr="00FA558D">
        <w:rPr>
          <w:lang w:val="fr-CA"/>
        </w:rPr>
        <w:t xml:space="preserve"> pro</w:t>
      </w:r>
      <w:r>
        <w:rPr>
          <w:lang w:val="fr-CA"/>
        </w:rPr>
        <w:t>posée imposerait un nouveau fardeau administratif aux entreprises</w:t>
      </w:r>
      <w:r w:rsidRPr="00FA558D">
        <w:rPr>
          <w:lang w:val="fr-CA"/>
        </w:rPr>
        <w:t>.</w:t>
      </w:r>
      <w:r>
        <w:rPr>
          <w:lang w:val="fr-CA"/>
        </w:rPr>
        <w:t xml:space="preserve"> Les e</w:t>
      </w:r>
      <w:r w:rsidRPr="00FA558D">
        <w:rPr>
          <w:lang w:val="fr-CA"/>
        </w:rPr>
        <w:t xml:space="preserve">xemptions </w:t>
      </w:r>
      <w:r>
        <w:rPr>
          <w:lang w:val="fr-CA"/>
        </w:rPr>
        <w:t>s’appliquent uniquement à l’exigence</w:t>
      </w:r>
      <w:r w:rsidRPr="00FA558D">
        <w:rPr>
          <w:lang w:val="fr-CA"/>
        </w:rPr>
        <w:t xml:space="preserve"> </w:t>
      </w:r>
      <w:r>
        <w:rPr>
          <w:lang w:val="fr-CA"/>
        </w:rPr>
        <w:t>de compenser</w:t>
      </w:r>
      <w:r w:rsidRPr="00FA558D">
        <w:rPr>
          <w:lang w:val="fr-CA"/>
        </w:rPr>
        <w:t xml:space="preserve"> </w:t>
      </w:r>
      <w:r w:rsidR="00DC4DBA">
        <w:rPr>
          <w:lang w:val="fr-CA"/>
        </w:rPr>
        <w:t>l’augmentation du</w:t>
      </w:r>
      <w:r>
        <w:rPr>
          <w:lang w:val="fr-CA"/>
        </w:rPr>
        <w:t xml:space="preserve"> fardeau, et visent exclusivement les règlement</w:t>
      </w:r>
      <w:r w:rsidRPr="00FA558D">
        <w:rPr>
          <w:lang w:val="fr-CA"/>
        </w:rPr>
        <w:t>s</w:t>
      </w:r>
      <w:r>
        <w:rPr>
          <w:lang w:val="fr-CA"/>
        </w:rPr>
        <w:t xml:space="preserve"> qui imposeraient un nouveau fardeau administratif. Sans nouveau fardeau administratif</w:t>
      </w:r>
      <w:r w:rsidRPr="00FA558D">
        <w:rPr>
          <w:lang w:val="fr-CA"/>
        </w:rPr>
        <w:t xml:space="preserve">, </w:t>
      </w:r>
      <w:r>
        <w:rPr>
          <w:lang w:val="fr-CA"/>
        </w:rPr>
        <w:t xml:space="preserve">il n’y a aucun motif de </w:t>
      </w:r>
      <w:r w:rsidR="00DC4DBA">
        <w:rPr>
          <w:lang w:val="fr-CA"/>
        </w:rPr>
        <w:t xml:space="preserve">demander </w:t>
      </w:r>
      <w:r>
        <w:rPr>
          <w:lang w:val="fr-CA"/>
        </w:rPr>
        <w:t xml:space="preserve">une </w:t>
      </w:r>
      <w:r w:rsidRPr="00FA558D">
        <w:rPr>
          <w:lang w:val="fr-CA"/>
        </w:rPr>
        <w:t>exemption.</w:t>
      </w:r>
    </w:p>
    <w:p w14:paraId="377AE2FF" w14:textId="77777777" w:rsidR="00B91619" w:rsidRPr="00FA558D" w:rsidRDefault="00B91619" w:rsidP="00B91619">
      <w:pPr>
        <w:tabs>
          <w:tab w:val="left" w:pos="9356"/>
        </w:tabs>
        <w:spacing w:after="0" w:line="240" w:lineRule="auto"/>
        <w:rPr>
          <w:lang w:val="fr-CA"/>
        </w:rPr>
      </w:pPr>
    </w:p>
    <w:p w14:paraId="00632A68" w14:textId="4553CFCC" w:rsidR="00B91619" w:rsidRPr="00FA558D" w:rsidRDefault="00B91619" w:rsidP="00B91619">
      <w:pPr>
        <w:tabs>
          <w:tab w:val="left" w:pos="9356"/>
        </w:tabs>
        <w:spacing w:after="0" w:line="240" w:lineRule="auto"/>
        <w:rPr>
          <w:lang w:val="fr-CA"/>
        </w:rPr>
      </w:pPr>
      <w:r>
        <w:rPr>
          <w:lang w:val="fr-CA"/>
        </w:rPr>
        <w:t>Les e</w:t>
      </w:r>
      <w:r w:rsidRPr="00FA558D">
        <w:rPr>
          <w:lang w:val="fr-CA"/>
        </w:rPr>
        <w:t>xemptions</w:t>
      </w:r>
      <w:r>
        <w:rPr>
          <w:lang w:val="fr-CA"/>
        </w:rPr>
        <w:t xml:space="preserve"> ne s’appliquent</w:t>
      </w:r>
      <w:r w:rsidRPr="00FA558D">
        <w:rPr>
          <w:lang w:val="fr-CA"/>
        </w:rPr>
        <w:t xml:space="preserve"> </w:t>
      </w:r>
      <w:r>
        <w:rPr>
          <w:lang w:val="fr-CA"/>
        </w:rPr>
        <w:t>pas aux règlement</w:t>
      </w:r>
      <w:r w:rsidRPr="00FA558D">
        <w:rPr>
          <w:lang w:val="fr-CA"/>
        </w:rPr>
        <w:t>s</w:t>
      </w:r>
      <w:r>
        <w:rPr>
          <w:lang w:val="fr-CA"/>
        </w:rPr>
        <w:t xml:space="preserve"> qui suppriment un fardeau administratif </w:t>
      </w:r>
      <w:r w:rsidRPr="00FA558D">
        <w:rPr>
          <w:lang w:val="fr-CA"/>
        </w:rPr>
        <w:t>(</w:t>
      </w:r>
      <w:r>
        <w:rPr>
          <w:lang w:val="fr-CA"/>
        </w:rPr>
        <w:t>réduction du fardeau ou réduction d’un règlement</w:t>
      </w:r>
      <w:r w:rsidRPr="00FA558D">
        <w:rPr>
          <w:lang w:val="fr-CA"/>
        </w:rPr>
        <w:t>)</w:t>
      </w:r>
      <w:r>
        <w:rPr>
          <w:lang w:val="fr-CA"/>
        </w:rPr>
        <w:t xml:space="preserve">. Les organismes de réglementation ont l’obligation </w:t>
      </w:r>
      <w:r w:rsidR="00DC4DBA">
        <w:rPr>
          <w:lang w:val="fr-CA"/>
        </w:rPr>
        <w:t xml:space="preserve">d’indiquer </w:t>
      </w:r>
      <w:r>
        <w:rPr>
          <w:lang w:val="fr-CA"/>
        </w:rPr>
        <w:t>les réductions du</w:t>
      </w:r>
      <w:r w:rsidRPr="00FA558D">
        <w:rPr>
          <w:lang w:val="fr-CA"/>
        </w:rPr>
        <w:t xml:space="preserve"> </w:t>
      </w:r>
      <w:r>
        <w:rPr>
          <w:lang w:val="fr-CA"/>
        </w:rPr>
        <w:t>fardeau dans leurs projets de règlement. Ces</w:t>
      </w:r>
      <w:r w:rsidRPr="00FA558D">
        <w:rPr>
          <w:lang w:val="fr-CA"/>
        </w:rPr>
        <w:t xml:space="preserve"> </w:t>
      </w:r>
      <w:r>
        <w:rPr>
          <w:lang w:val="fr-CA"/>
        </w:rPr>
        <w:t>réductions du fardeau peuvent être réservées et appliquées pour compenser</w:t>
      </w:r>
      <w:r w:rsidRPr="00FA558D">
        <w:rPr>
          <w:lang w:val="fr-CA"/>
        </w:rPr>
        <w:t xml:space="preserve"> </w:t>
      </w:r>
      <w:r>
        <w:rPr>
          <w:lang w:val="fr-CA"/>
        </w:rPr>
        <w:t xml:space="preserve">le fardeau administratif </w:t>
      </w:r>
      <w:r w:rsidR="00DC4DBA">
        <w:rPr>
          <w:lang w:val="fr-CA"/>
        </w:rPr>
        <w:t>à</w:t>
      </w:r>
      <w:r>
        <w:rPr>
          <w:lang w:val="fr-CA"/>
        </w:rPr>
        <w:t xml:space="preserve"> l’avenir</w:t>
      </w:r>
      <w:r w:rsidRPr="00FA558D">
        <w:rPr>
          <w:lang w:val="fr-CA"/>
        </w:rPr>
        <w:t>.</w:t>
      </w:r>
    </w:p>
    <w:p w14:paraId="775E7C1E" w14:textId="77777777" w:rsidR="00B91619" w:rsidRPr="00FA558D" w:rsidRDefault="00B91619" w:rsidP="00B91619">
      <w:pPr>
        <w:tabs>
          <w:tab w:val="left" w:pos="9356"/>
        </w:tabs>
        <w:spacing w:after="0" w:line="240" w:lineRule="auto"/>
        <w:rPr>
          <w:lang w:val="fr-CA"/>
        </w:rPr>
      </w:pPr>
    </w:p>
    <w:p w14:paraId="7ECC8EC5" w14:textId="2E1D238F" w:rsidR="00B91619" w:rsidRPr="00FA558D" w:rsidRDefault="00B91619" w:rsidP="00B91619">
      <w:pPr>
        <w:tabs>
          <w:tab w:val="left" w:pos="9356"/>
        </w:tabs>
        <w:spacing w:after="0" w:line="240" w:lineRule="auto"/>
        <w:rPr>
          <w:lang w:val="fr-CA"/>
        </w:rPr>
      </w:pPr>
      <w:r>
        <w:rPr>
          <w:lang w:val="fr-CA"/>
        </w:rPr>
        <w:t xml:space="preserve">Les </w:t>
      </w:r>
      <w:r w:rsidR="00DC4DBA">
        <w:rPr>
          <w:lang w:val="fr-CA"/>
        </w:rPr>
        <w:t>facteurs relatifs</w:t>
      </w:r>
      <w:r>
        <w:rPr>
          <w:lang w:val="fr-CA"/>
        </w:rPr>
        <w:t xml:space="preserve"> à chaque catégorie d’ex</w:t>
      </w:r>
      <w:r w:rsidRPr="00FA558D">
        <w:rPr>
          <w:lang w:val="fr-CA"/>
        </w:rPr>
        <w:t>emption</w:t>
      </w:r>
      <w:r>
        <w:rPr>
          <w:lang w:val="fr-CA"/>
        </w:rPr>
        <w:t xml:space="preserve"> sont définis</w:t>
      </w:r>
      <w:r w:rsidRPr="00FA558D">
        <w:rPr>
          <w:lang w:val="fr-CA"/>
        </w:rPr>
        <w:t xml:space="preserve"> </w:t>
      </w:r>
      <w:r>
        <w:rPr>
          <w:lang w:val="fr-CA"/>
        </w:rPr>
        <w:t>ci-après</w:t>
      </w:r>
      <w:r w:rsidRPr="00FA558D">
        <w:rPr>
          <w:lang w:val="fr-CA"/>
        </w:rPr>
        <w:t>.</w:t>
      </w:r>
    </w:p>
    <w:p w14:paraId="088E1E2C" w14:textId="77777777" w:rsidR="00B91619" w:rsidRPr="00FA558D" w:rsidRDefault="00B91619" w:rsidP="00B91619">
      <w:pPr>
        <w:tabs>
          <w:tab w:val="left" w:pos="9356"/>
        </w:tabs>
        <w:spacing w:after="0" w:line="240" w:lineRule="auto"/>
        <w:rPr>
          <w:lang w:val="fr-CA"/>
        </w:rPr>
      </w:pPr>
    </w:p>
    <w:p w14:paraId="4F28222D" w14:textId="77777777" w:rsidR="00B91619" w:rsidRPr="00FA558D" w:rsidRDefault="00B91619" w:rsidP="00B91619">
      <w:pPr>
        <w:pStyle w:val="Heading4"/>
        <w:rPr>
          <w:lang w:val="fr-CA"/>
        </w:rPr>
      </w:pPr>
      <w:r>
        <w:rPr>
          <w:lang w:val="fr-CA"/>
        </w:rPr>
        <w:t xml:space="preserve"> Impôt ou administration de l’impôt</w:t>
      </w:r>
    </w:p>
    <w:p w14:paraId="51B3E7EC" w14:textId="77777777" w:rsidR="00B91619" w:rsidRPr="00FA558D" w:rsidRDefault="00B91619" w:rsidP="00B91619">
      <w:pPr>
        <w:tabs>
          <w:tab w:val="left" w:pos="9356"/>
        </w:tabs>
        <w:spacing w:after="0" w:line="240" w:lineRule="auto"/>
        <w:rPr>
          <w:lang w:val="fr-CA"/>
        </w:rPr>
      </w:pPr>
    </w:p>
    <w:p w14:paraId="7DD51ED3" w14:textId="5CD26246" w:rsidR="00B91619" w:rsidRPr="00FA558D" w:rsidRDefault="00B91619" w:rsidP="00B91619">
      <w:pPr>
        <w:tabs>
          <w:tab w:val="left" w:pos="9356"/>
        </w:tabs>
        <w:spacing w:after="0" w:line="240" w:lineRule="auto"/>
        <w:rPr>
          <w:lang w:val="fr-CA"/>
        </w:rPr>
      </w:pPr>
      <w:r>
        <w:rPr>
          <w:lang w:val="fr-CA"/>
        </w:rPr>
        <w:t xml:space="preserve">Pour </w:t>
      </w:r>
      <w:r w:rsidR="00EB5ED5">
        <w:rPr>
          <w:lang w:val="fr-CA"/>
        </w:rPr>
        <w:t>demander</w:t>
      </w:r>
      <w:r w:rsidR="00EB5ED5" w:rsidRPr="00FA558D">
        <w:rPr>
          <w:lang w:val="fr-CA"/>
        </w:rPr>
        <w:t xml:space="preserve"> </w:t>
      </w:r>
      <w:r>
        <w:rPr>
          <w:lang w:val="fr-CA"/>
        </w:rPr>
        <w:t>une ex</w:t>
      </w:r>
      <w:r w:rsidRPr="00FA558D">
        <w:rPr>
          <w:lang w:val="fr-CA"/>
        </w:rPr>
        <w:t>emption</w:t>
      </w:r>
      <w:r>
        <w:rPr>
          <w:lang w:val="fr-CA"/>
        </w:rPr>
        <w:t xml:space="preserve"> relative à cette catégorie, l’organisme de réglementation</w:t>
      </w:r>
      <w:r w:rsidRPr="00FA558D">
        <w:rPr>
          <w:lang w:val="fr-CA"/>
        </w:rPr>
        <w:t xml:space="preserve"> </w:t>
      </w:r>
      <w:r>
        <w:rPr>
          <w:lang w:val="fr-CA"/>
        </w:rPr>
        <w:t>doit</w:t>
      </w:r>
      <w:r w:rsidRPr="00FA558D">
        <w:rPr>
          <w:lang w:val="fr-CA"/>
        </w:rPr>
        <w:t xml:space="preserve"> </w:t>
      </w:r>
      <w:r>
        <w:rPr>
          <w:lang w:val="fr-CA"/>
        </w:rPr>
        <w:t>démontrer que le projet</w:t>
      </w:r>
      <w:r w:rsidRPr="00FA558D">
        <w:rPr>
          <w:lang w:val="fr-CA"/>
        </w:rPr>
        <w:t xml:space="preserve"> </w:t>
      </w:r>
      <w:r>
        <w:rPr>
          <w:lang w:val="fr-CA"/>
        </w:rPr>
        <w:t>est lié à l’impôt ou à l’administration de l’impôt</w:t>
      </w:r>
      <w:r w:rsidRPr="00FA558D">
        <w:rPr>
          <w:lang w:val="fr-CA"/>
        </w:rPr>
        <w:t xml:space="preserve">. </w:t>
      </w:r>
      <w:r>
        <w:rPr>
          <w:lang w:val="fr-CA"/>
        </w:rPr>
        <w:t xml:space="preserve">Les coûts administratifs anticipés doivent </w:t>
      </w:r>
      <w:r>
        <w:rPr>
          <w:lang w:val="fr-CA"/>
        </w:rPr>
        <w:lastRenderedPageBreak/>
        <w:t xml:space="preserve">être estimés et déclarés conformément aux </w:t>
      </w:r>
      <w:r w:rsidR="00EB5ED5">
        <w:rPr>
          <w:lang w:val="fr-CA"/>
        </w:rPr>
        <w:t>exigences énoncées aux</w:t>
      </w:r>
      <w:r>
        <w:rPr>
          <w:lang w:val="fr-CA"/>
        </w:rPr>
        <w:t xml:space="preserve"> sous-s</w:t>
      </w:r>
      <w:r w:rsidRPr="00FA558D">
        <w:rPr>
          <w:lang w:val="fr-CA"/>
        </w:rPr>
        <w:t>ections 7.2.2</w:t>
      </w:r>
      <w:r>
        <w:rPr>
          <w:lang w:val="fr-CA"/>
        </w:rPr>
        <w:t xml:space="preserve"> et </w:t>
      </w:r>
      <w:r w:rsidRPr="00FA558D">
        <w:rPr>
          <w:lang w:val="fr-CA"/>
        </w:rPr>
        <w:t>7.2.3</w:t>
      </w:r>
      <w:r>
        <w:rPr>
          <w:lang w:val="fr-CA"/>
        </w:rPr>
        <w:t xml:space="preserve"> de la </w:t>
      </w:r>
      <w:r w:rsidR="009719D9">
        <w:rPr>
          <w:lang w:val="fr-CA"/>
        </w:rPr>
        <w:t>p</w:t>
      </w:r>
      <w:r>
        <w:rPr>
          <w:lang w:val="fr-CA"/>
        </w:rPr>
        <w:t>olitique</w:t>
      </w:r>
      <w:r w:rsidRPr="00FA558D">
        <w:rPr>
          <w:lang w:val="fr-CA"/>
        </w:rPr>
        <w:t xml:space="preserve">. </w:t>
      </w:r>
    </w:p>
    <w:p w14:paraId="740C798A" w14:textId="77777777" w:rsidR="00B91619" w:rsidRPr="00FA558D" w:rsidRDefault="00B91619" w:rsidP="00B91619">
      <w:pPr>
        <w:tabs>
          <w:tab w:val="left" w:pos="9356"/>
        </w:tabs>
        <w:spacing w:after="0" w:line="240" w:lineRule="auto"/>
        <w:rPr>
          <w:lang w:val="fr-CA"/>
        </w:rPr>
      </w:pPr>
    </w:p>
    <w:p w14:paraId="1D9F8AC3" w14:textId="3EBCED0D" w:rsidR="00B91619" w:rsidRPr="00FA558D" w:rsidRDefault="00B91619" w:rsidP="00B91619">
      <w:pPr>
        <w:tabs>
          <w:tab w:val="left" w:pos="9356"/>
        </w:tabs>
        <w:spacing w:after="0" w:line="240" w:lineRule="auto"/>
        <w:rPr>
          <w:lang w:val="fr-CA"/>
        </w:rPr>
      </w:pPr>
      <w:r>
        <w:rPr>
          <w:lang w:val="fr-CA"/>
        </w:rPr>
        <w:t>Si l’ex</w:t>
      </w:r>
      <w:r w:rsidRPr="00FA558D">
        <w:rPr>
          <w:lang w:val="fr-CA"/>
        </w:rPr>
        <w:t>emption</w:t>
      </w:r>
      <w:r>
        <w:rPr>
          <w:lang w:val="fr-CA"/>
        </w:rPr>
        <w:t xml:space="preserve"> est accordée par le Conseil du Trésor</w:t>
      </w:r>
      <w:r w:rsidRPr="00FA558D">
        <w:rPr>
          <w:lang w:val="fr-CA"/>
        </w:rPr>
        <w:t xml:space="preserve">, </w:t>
      </w:r>
      <w:r>
        <w:rPr>
          <w:lang w:val="fr-CA"/>
        </w:rPr>
        <w:t>les coûts</w:t>
      </w:r>
      <w:r w:rsidRPr="00FA558D">
        <w:rPr>
          <w:lang w:val="fr-CA"/>
        </w:rPr>
        <w:t xml:space="preserve"> </w:t>
      </w:r>
      <w:r w:rsidR="00C45796">
        <w:rPr>
          <w:lang w:val="fr-CA"/>
        </w:rPr>
        <w:t xml:space="preserve">prévus </w:t>
      </w:r>
      <w:r>
        <w:rPr>
          <w:lang w:val="fr-CA"/>
        </w:rPr>
        <w:t>par le projet ne sont pas</w:t>
      </w:r>
      <w:r w:rsidRPr="00FA558D">
        <w:rPr>
          <w:lang w:val="fr-CA"/>
        </w:rPr>
        <w:t xml:space="preserve"> </w:t>
      </w:r>
      <w:r>
        <w:rPr>
          <w:lang w:val="fr-CA"/>
        </w:rPr>
        <w:t>assujettis à l’exigence de compensation</w:t>
      </w:r>
      <w:r w:rsidRPr="00FA558D">
        <w:rPr>
          <w:lang w:val="fr-CA"/>
        </w:rPr>
        <w:t xml:space="preserve"> </w:t>
      </w:r>
      <w:r>
        <w:rPr>
          <w:lang w:val="fr-CA"/>
        </w:rPr>
        <w:t>sous l’élément</w:t>
      </w:r>
      <w:r w:rsidRPr="00FA558D">
        <w:rPr>
          <w:lang w:val="fr-CA"/>
        </w:rPr>
        <w:t> A</w:t>
      </w:r>
      <w:r>
        <w:rPr>
          <w:lang w:val="fr-CA"/>
        </w:rPr>
        <w:t>. Toutefois, les organismes de réglementation</w:t>
      </w:r>
      <w:r w:rsidRPr="00FA558D">
        <w:rPr>
          <w:lang w:val="fr-CA"/>
        </w:rPr>
        <w:t xml:space="preserve"> </w:t>
      </w:r>
      <w:r>
        <w:rPr>
          <w:lang w:val="fr-CA"/>
        </w:rPr>
        <w:t xml:space="preserve">doivent </w:t>
      </w:r>
      <w:r w:rsidR="00C45796">
        <w:rPr>
          <w:lang w:val="fr-CA"/>
        </w:rPr>
        <w:t xml:space="preserve">estimer et </w:t>
      </w:r>
      <w:r>
        <w:rPr>
          <w:lang w:val="fr-CA"/>
        </w:rPr>
        <w:t xml:space="preserve">déclarer </w:t>
      </w:r>
      <w:r w:rsidR="00C45796">
        <w:rPr>
          <w:lang w:val="fr-CA"/>
        </w:rPr>
        <w:t>les</w:t>
      </w:r>
      <w:r>
        <w:rPr>
          <w:lang w:val="fr-CA"/>
        </w:rPr>
        <w:t xml:space="preserve"> coûts administratifs</w:t>
      </w:r>
      <w:r w:rsidRPr="00FA558D">
        <w:rPr>
          <w:lang w:val="fr-CA"/>
        </w:rPr>
        <w:t xml:space="preserve"> </w:t>
      </w:r>
      <w:r>
        <w:rPr>
          <w:lang w:val="fr-CA"/>
        </w:rPr>
        <w:t>relatifs au projet de règlement</w:t>
      </w:r>
      <w:r w:rsidRPr="00FA558D">
        <w:rPr>
          <w:lang w:val="fr-CA"/>
        </w:rPr>
        <w:t xml:space="preserve"> </w:t>
      </w:r>
      <w:r w:rsidR="00C45796">
        <w:rPr>
          <w:lang w:val="fr-CA"/>
        </w:rPr>
        <w:t>à des fins</w:t>
      </w:r>
      <w:r>
        <w:rPr>
          <w:lang w:val="fr-CA"/>
        </w:rPr>
        <w:t xml:space="preserve"> de </w:t>
      </w:r>
      <w:r w:rsidRPr="00FA558D">
        <w:rPr>
          <w:lang w:val="fr-CA"/>
        </w:rPr>
        <w:t>transpa</w:t>
      </w:r>
      <w:r>
        <w:rPr>
          <w:lang w:val="fr-CA"/>
        </w:rPr>
        <w:t>rence</w:t>
      </w:r>
      <w:r w:rsidRPr="00FA558D">
        <w:rPr>
          <w:lang w:val="fr-CA"/>
        </w:rPr>
        <w:t xml:space="preserve">. </w:t>
      </w:r>
    </w:p>
    <w:p w14:paraId="0C9B1669" w14:textId="77777777" w:rsidR="00B91619" w:rsidRPr="00FA558D" w:rsidRDefault="00B91619" w:rsidP="00B91619">
      <w:pPr>
        <w:tabs>
          <w:tab w:val="left" w:pos="9356"/>
        </w:tabs>
        <w:spacing w:after="0" w:line="240" w:lineRule="auto"/>
        <w:rPr>
          <w:lang w:val="fr-CA"/>
        </w:rPr>
      </w:pPr>
    </w:p>
    <w:p w14:paraId="34B77D22" w14:textId="77777777" w:rsidR="00B91619" w:rsidRPr="00FA558D" w:rsidRDefault="00B91619" w:rsidP="00B91619">
      <w:pPr>
        <w:pStyle w:val="Heading4"/>
        <w:rPr>
          <w:lang w:val="fr-CA"/>
        </w:rPr>
      </w:pPr>
      <w:r>
        <w:rPr>
          <w:lang w:val="fr-CA"/>
        </w:rPr>
        <w:t>Obligations non assorties d’un pouvoir discrétionnaire</w:t>
      </w:r>
    </w:p>
    <w:p w14:paraId="7E4843A9" w14:textId="77777777" w:rsidR="00B91619" w:rsidRPr="00FA558D" w:rsidRDefault="00B91619" w:rsidP="00B91619">
      <w:pPr>
        <w:tabs>
          <w:tab w:val="left" w:pos="9356"/>
        </w:tabs>
        <w:spacing w:after="0" w:line="240" w:lineRule="auto"/>
        <w:rPr>
          <w:lang w:val="fr-CA"/>
        </w:rPr>
      </w:pPr>
    </w:p>
    <w:p w14:paraId="3558A115" w14:textId="561FFDF5" w:rsidR="00B91619" w:rsidRPr="00FA558D" w:rsidRDefault="00B91619" w:rsidP="00B91619">
      <w:pPr>
        <w:tabs>
          <w:tab w:val="left" w:pos="9356"/>
        </w:tabs>
        <w:spacing w:after="0" w:line="240" w:lineRule="auto"/>
        <w:rPr>
          <w:lang w:val="fr-CA"/>
        </w:rPr>
      </w:pPr>
      <w:r>
        <w:rPr>
          <w:lang w:val="fr-CA"/>
        </w:rPr>
        <w:t xml:space="preserve">Pour </w:t>
      </w:r>
      <w:r w:rsidR="00DE19B1">
        <w:rPr>
          <w:lang w:val="fr-CA"/>
        </w:rPr>
        <w:t>demander</w:t>
      </w:r>
      <w:r w:rsidR="00DE19B1" w:rsidRPr="00FA558D">
        <w:rPr>
          <w:lang w:val="fr-CA"/>
        </w:rPr>
        <w:t xml:space="preserve"> </w:t>
      </w:r>
      <w:r>
        <w:rPr>
          <w:lang w:val="fr-CA"/>
        </w:rPr>
        <w:t>une ex</w:t>
      </w:r>
      <w:r w:rsidRPr="00FA558D">
        <w:rPr>
          <w:lang w:val="fr-CA"/>
        </w:rPr>
        <w:t xml:space="preserve">emption </w:t>
      </w:r>
      <w:r>
        <w:rPr>
          <w:lang w:val="fr-CA"/>
        </w:rPr>
        <w:t>relative à cette catégorie, l’organisme de réglementation</w:t>
      </w:r>
      <w:r w:rsidRPr="00FA558D">
        <w:rPr>
          <w:lang w:val="fr-CA"/>
        </w:rPr>
        <w:t xml:space="preserve"> </w:t>
      </w:r>
      <w:r>
        <w:rPr>
          <w:lang w:val="fr-CA"/>
        </w:rPr>
        <w:t>doit</w:t>
      </w:r>
      <w:r w:rsidRPr="00FA558D">
        <w:rPr>
          <w:lang w:val="fr-CA"/>
        </w:rPr>
        <w:t xml:space="preserve"> </w:t>
      </w:r>
      <w:r>
        <w:rPr>
          <w:lang w:val="fr-CA"/>
        </w:rPr>
        <w:t>démontrer qu’il ne dispose d’aucun pouvoir discrétionnaire sur la formulation et l’administration des règlement</w:t>
      </w:r>
      <w:r w:rsidRPr="00FA558D">
        <w:rPr>
          <w:lang w:val="fr-CA"/>
        </w:rPr>
        <w:t>s</w:t>
      </w:r>
      <w:r>
        <w:rPr>
          <w:lang w:val="fr-CA"/>
        </w:rPr>
        <w:t xml:space="preserve">, notamment en présentant des </w:t>
      </w:r>
      <w:r w:rsidR="0086406B">
        <w:rPr>
          <w:lang w:val="fr-CA"/>
        </w:rPr>
        <w:t>renseignements liés aux éléments ci</w:t>
      </w:r>
      <w:r w:rsidR="0086406B">
        <w:rPr>
          <w:lang w:val="fr-CA"/>
        </w:rPr>
        <w:noBreakHyphen/>
        <w:t>dessous </w:t>
      </w:r>
      <w:r>
        <w:rPr>
          <w:lang w:val="fr-CA"/>
        </w:rPr>
        <w:t>:</w:t>
      </w:r>
    </w:p>
    <w:p w14:paraId="242871AE" w14:textId="598EACF5" w:rsidR="00B91619" w:rsidRPr="00FA558D" w:rsidRDefault="00B91619" w:rsidP="00B91619">
      <w:pPr>
        <w:pStyle w:val="ListParagraph"/>
        <w:numPr>
          <w:ilvl w:val="0"/>
          <w:numId w:val="21"/>
        </w:numPr>
        <w:tabs>
          <w:tab w:val="left" w:pos="9356"/>
        </w:tabs>
        <w:spacing w:after="0" w:line="240" w:lineRule="auto"/>
        <w:rPr>
          <w:lang w:val="fr-CA"/>
        </w:rPr>
      </w:pPr>
      <w:r>
        <w:rPr>
          <w:lang w:val="fr-CA"/>
        </w:rPr>
        <w:t>la source de</w:t>
      </w:r>
      <w:r w:rsidRPr="00FA558D">
        <w:rPr>
          <w:lang w:val="fr-CA"/>
        </w:rPr>
        <w:t xml:space="preserve"> </w:t>
      </w:r>
      <w:r>
        <w:rPr>
          <w:lang w:val="fr-CA"/>
        </w:rPr>
        <w:t>l’ob</w:t>
      </w:r>
      <w:r w:rsidRPr="00FA558D">
        <w:rPr>
          <w:lang w:val="fr-CA"/>
        </w:rPr>
        <w:t>ligation</w:t>
      </w:r>
      <w:r>
        <w:rPr>
          <w:lang w:val="fr-CA"/>
        </w:rPr>
        <w:t>;</w:t>
      </w:r>
    </w:p>
    <w:p w14:paraId="3E9DEBE4" w14:textId="518E0905" w:rsidR="00B91619" w:rsidRPr="00FA558D" w:rsidRDefault="0086406B" w:rsidP="00B91619">
      <w:pPr>
        <w:pStyle w:val="ListParagraph"/>
        <w:numPr>
          <w:ilvl w:val="0"/>
          <w:numId w:val="21"/>
        </w:numPr>
        <w:tabs>
          <w:tab w:val="left" w:pos="9356"/>
        </w:tabs>
        <w:spacing w:after="0" w:line="240" w:lineRule="auto"/>
        <w:rPr>
          <w:lang w:val="fr-CA"/>
        </w:rPr>
      </w:pPr>
      <w:r>
        <w:rPr>
          <w:lang w:val="fr-CA"/>
        </w:rPr>
        <w:t>les</w:t>
      </w:r>
      <w:r w:rsidR="00B91619">
        <w:rPr>
          <w:lang w:val="fr-CA"/>
        </w:rPr>
        <w:t xml:space="preserve"> contraintes imposées à la formulation et à l’administration des règlements par l’ob</w:t>
      </w:r>
      <w:r w:rsidR="00B91619" w:rsidRPr="00FA558D">
        <w:rPr>
          <w:lang w:val="fr-CA"/>
        </w:rPr>
        <w:t>ligation</w:t>
      </w:r>
      <w:r w:rsidR="00B91619">
        <w:rPr>
          <w:lang w:val="fr-CA"/>
        </w:rPr>
        <w:t>.</w:t>
      </w:r>
    </w:p>
    <w:p w14:paraId="4B6F4ED6" w14:textId="77777777" w:rsidR="00B91619" w:rsidRPr="00FA558D" w:rsidRDefault="00B91619" w:rsidP="00B91619">
      <w:pPr>
        <w:tabs>
          <w:tab w:val="left" w:pos="9356"/>
        </w:tabs>
        <w:spacing w:after="0" w:line="240" w:lineRule="auto"/>
        <w:rPr>
          <w:lang w:val="fr-CA"/>
        </w:rPr>
      </w:pPr>
    </w:p>
    <w:p w14:paraId="08304CC0" w14:textId="50FCF2BC" w:rsidR="00B91619" w:rsidRPr="00FA558D" w:rsidRDefault="00B91619" w:rsidP="00B91619">
      <w:pPr>
        <w:tabs>
          <w:tab w:val="left" w:pos="9356"/>
        </w:tabs>
        <w:spacing w:after="0" w:line="240" w:lineRule="auto"/>
        <w:rPr>
          <w:lang w:val="fr-CA"/>
        </w:rPr>
      </w:pPr>
      <w:r>
        <w:rPr>
          <w:lang w:val="fr-CA"/>
        </w:rPr>
        <w:t>Les coûts administratifs anticipés doivent être estimés et déclarés conformément aux exigence</w:t>
      </w:r>
      <w:r w:rsidRPr="00FA558D">
        <w:rPr>
          <w:lang w:val="fr-CA"/>
        </w:rPr>
        <w:t xml:space="preserve">s </w:t>
      </w:r>
      <w:r>
        <w:rPr>
          <w:lang w:val="fr-CA"/>
        </w:rPr>
        <w:t>énoncées dans les sous-s</w:t>
      </w:r>
      <w:r w:rsidRPr="00FA558D">
        <w:rPr>
          <w:lang w:val="fr-CA"/>
        </w:rPr>
        <w:t>ections 7.2.2</w:t>
      </w:r>
      <w:r>
        <w:rPr>
          <w:lang w:val="fr-CA"/>
        </w:rPr>
        <w:t xml:space="preserve"> et </w:t>
      </w:r>
      <w:r w:rsidRPr="00FA558D">
        <w:rPr>
          <w:lang w:val="fr-CA"/>
        </w:rPr>
        <w:t>7.2.3</w:t>
      </w:r>
      <w:r>
        <w:rPr>
          <w:lang w:val="fr-CA"/>
        </w:rPr>
        <w:t xml:space="preserve"> de la </w:t>
      </w:r>
      <w:r w:rsidR="009719D9">
        <w:rPr>
          <w:lang w:val="fr-CA"/>
        </w:rPr>
        <w:t>p</w:t>
      </w:r>
      <w:r>
        <w:rPr>
          <w:lang w:val="fr-CA"/>
        </w:rPr>
        <w:t>olitique</w:t>
      </w:r>
      <w:r w:rsidRPr="00FA558D">
        <w:rPr>
          <w:lang w:val="fr-CA"/>
        </w:rPr>
        <w:t xml:space="preserve">. </w:t>
      </w:r>
    </w:p>
    <w:p w14:paraId="3FFD0F88" w14:textId="77777777" w:rsidR="00B91619" w:rsidRPr="00FA558D" w:rsidRDefault="00B91619" w:rsidP="00B91619">
      <w:pPr>
        <w:tabs>
          <w:tab w:val="left" w:pos="9356"/>
        </w:tabs>
        <w:spacing w:after="0" w:line="240" w:lineRule="auto"/>
        <w:rPr>
          <w:lang w:val="fr-CA"/>
        </w:rPr>
      </w:pPr>
    </w:p>
    <w:p w14:paraId="6A49AD92" w14:textId="75D0417A" w:rsidR="00B91619" w:rsidRPr="00FA558D" w:rsidRDefault="00B91619" w:rsidP="00B91619">
      <w:pPr>
        <w:tabs>
          <w:tab w:val="left" w:pos="9356"/>
        </w:tabs>
        <w:spacing w:after="0" w:line="240" w:lineRule="auto"/>
        <w:rPr>
          <w:lang w:val="fr-CA"/>
        </w:rPr>
      </w:pPr>
      <w:r>
        <w:rPr>
          <w:lang w:val="fr-CA"/>
        </w:rPr>
        <w:t>Si l’ex</w:t>
      </w:r>
      <w:r w:rsidRPr="00FA558D">
        <w:rPr>
          <w:lang w:val="fr-CA"/>
        </w:rPr>
        <w:t>emption</w:t>
      </w:r>
      <w:r>
        <w:rPr>
          <w:lang w:val="fr-CA"/>
        </w:rPr>
        <w:t xml:space="preserve"> est accordée par le Conseil du Trésor</w:t>
      </w:r>
      <w:r w:rsidRPr="00FA558D">
        <w:rPr>
          <w:lang w:val="fr-CA"/>
        </w:rPr>
        <w:t xml:space="preserve">, </w:t>
      </w:r>
      <w:r>
        <w:rPr>
          <w:lang w:val="fr-CA"/>
        </w:rPr>
        <w:t>les coûts</w:t>
      </w:r>
      <w:r w:rsidRPr="00FA558D">
        <w:rPr>
          <w:lang w:val="fr-CA"/>
        </w:rPr>
        <w:t xml:space="preserve"> </w:t>
      </w:r>
      <w:r w:rsidR="0086406B">
        <w:rPr>
          <w:lang w:val="fr-CA"/>
        </w:rPr>
        <w:t xml:space="preserve">prévus </w:t>
      </w:r>
      <w:r>
        <w:rPr>
          <w:lang w:val="fr-CA"/>
        </w:rPr>
        <w:t>par le projet ne sont pas</w:t>
      </w:r>
      <w:r w:rsidRPr="00FA558D">
        <w:rPr>
          <w:lang w:val="fr-CA"/>
        </w:rPr>
        <w:t xml:space="preserve"> </w:t>
      </w:r>
      <w:r>
        <w:rPr>
          <w:lang w:val="fr-CA"/>
        </w:rPr>
        <w:t>assujettis à l’exigence de compensation</w:t>
      </w:r>
      <w:r w:rsidRPr="00FA558D">
        <w:rPr>
          <w:lang w:val="fr-CA"/>
        </w:rPr>
        <w:t xml:space="preserve"> </w:t>
      </w:r>
      <w:r>
        <w:rPr>
          <w:lang w:val="fr-CA"/>
        </w:rPr>
        <w:t>sous l’élément</w:t>
      </w:r>
      <w:r w:rsidRPr="00FA558D">
        <w:rPr>
          <w:lang w:val="fr-CA"/>
        </w:rPr>
        <w:t> A</w:t>
      </w:r>
      <w:r>
        <w:rPr>
          <w:lang w:val="fr-CA"/>
        </w:rPr>
        <w:t>. Toutefois, les organismes de réglementation</w:t>
      </w:r>
      <w:r w:rsidRPr="00FA558D">
        <w:rPr>
          <w:lang w:val="fr-CA"/>
        </w:rPr>
        <w:t xml:space="preserve"> </w:t>
      </w:r>
      <w:r>
        <w:rPr>
          <w:lang w:val="fr-CA"/>
        </w:rPr>
        <w:t>doivent estimer et déclarer les coûts administratifs</w:t>
      </w:r>
      <w:r w:rsidRPr="00FA558D">
        <w:rPr>
          <w:lang w:val="fr-CA"/>
        </w:rPr>
        <w:t xml:space="preserve"> </w:t>
      </w:r>
      <w:r>
        <w:rPr>
          <w:lang w:val="fr-CA"/>
        </w:rPr>
        <w:t>relatifs au projet de règlement</w:t>
      </w:r>
      <w:r w:rsidRPr="00FA558D">
        <w:rPr>
          <w:lang w:val="fr-CA"/>
        </w:rPr>
        <w:t xml:space="preserve"> </w:t>
      </w:r>
      <w:r w:rsidR="0086406B">
        <w:rPr>
          <w:lang w:val="fr-CA"/>
        </w:rPr>
        <w:t>à des fins</w:t>
      </w:r>
      <w:r>
        <w:rPr>
          <w:lang w:val="fr-CA"/>
        </w:rPr>
        <w:t xml:space="preserve"> de </w:t>
      </w:r>
      <w:r w:rsidRPr="00FA558D">
        <w:rPr>
          <w:lang w:val="fr-CA"/>
        </w:rPr>
        <w:t>transpa</w:t>
      </w:r>
      <w:r>
        <w:rPr>
          <w:lang w:val="fr-CA"/>
        </w:rPr>
        <w:t>rence</w:t>
      </w:r>
      <w:r w:rsidRPr="00FA558D">
        <w:rPr>
          <w:lang w:val="fr-CA"/>
        </w:rPr>
        <w:t xml:space="preserve">. </w:t>
      </w:r>
    </w:p>
    <w:p w14:paraId="279499B9" w14:textId="77777777" w:rsidR="00B91619" w:rsidRPr="00FA558D" w:rsidRDefault="00B91619" w:rsidP="00B91619">
      <w:pPr>
        <w:tabs>
          <w:tab w:val="left" w:pos="9356"/>
        </w:tabs>
        <w:spacing w:after="0" w:line="240" w:lineRule="auto"/>
        <w:rPr>
          <w:lang w:val="fr-CA"/>
        </w:rPr>
      </w:pPr>
    </w:p>
    <w:p w14:paraId="0ADA2654" w14:textId="77777777" w:rsidR="00B91619" w:rsidRPr="00FA558D" w:rsidRDefault="00B91619" w:rsidP="00B91619">
      <w:pPr>
        <w:pStyle w:val="Heading4"/>
        <w:rPr>
          <w:lang w:val="fr-CA"/>
        </w:rPr>
      </w:pPr>
      <w:r>
        <w:rPr>
          <w:lang w:val="fr-CA"/>
        </w:rPr>
        <w:t>Urgences et circonstances uniques ou exceptionnelles</w:t>
      </w:r>
    </w:p>
    <w:p w14:paraId="6DFD0901" w14:textId="77777777" w:rsidR="00B91619" w:rsidRPr="00FA558D" w:rsidRDefault="00B91619" w:rsidP="00B91619">
      <w:pPr>
        <w:tabs>
          <w:tab w:val="left" w:pos="9356"/>
        </w:tabs>
        <w:spacing w:after="0" w:line="240" w:lineRule="auto"/>
        <w:rPr>
          <w:lang w:val="fr-CA"/>
        </w:rPr>
      </w:pPr>
    </w:p>
    <w:p w14:paraId="1F4F56D0" w14:textId="0976A514" w:rsidR="00B91619" w:rsidRPr="00FA558D" w:rsidRDefault="00B91619" w:rsidP="00B91619">
      <w:pPr>
        <w:tabs>
          <w:tab w:val="left" w:pos="9356"/>
        </w:tabs>
        <w:spacing w:after="0" w:line="240" w:lineRule="auto"/>
        <w:rPr>
          <w:lang w:val="fr-CA"/>
        </w:rPr>
      </w:pPr>
      <w:r>
        <w:rPr>
          <w:lang w:val="fr-CA"/>
        </w:rPr>
        <w:t>Cette catégorie</w:t>
      </w:r>
      <w:r w:rsidRPr="00FA558D">
        <w:rPr>
          <w:lang w:val="fr-CA"/>
        </w:rPr>
        <w:t xml:space="preserve"> </w:t>
      </w:r>
      <w:r w:rsidR="007804CD">
        <w:rPr>
          <w:lang w:val="fr-CA"/>
        </w:rPr>
        <w:t xml:space="preserve">offre au Conseil du Trésor </w:t>
      </w:r>
      <w:r>
        <w:rPr>
          <w:lang w:val="fr-CA"/>
        </w:rPr>
        <w:t>une grande marge de manœuvre</w:t>
      </w:r>
      <w:r w:rsidR="007804CD">
        <w:rPr>
          <w:lang w:val="fr-CA"/>
        </w:rPr>
        <w:t xml:space="preserve"> pour </w:t>
      </w:r>
      <w:r>
        <w:rPr>
          <w:lang w:val="fr-CA"/>
        </w:rPr>
        <w:t>exempter des projets de règlement</w:t>
      </w:r>
      <w:r w:rsidRPr="00FA558D">
        <w:rPr>
          <w:lang w:val="fr-CA"/>
        </w:rPr>
        <w:t xml:space="preserve"> </w:t>
      </w:r>
      <w:r>
        <w:rPr>
          <w:lang w:val="fr-CA"/>
        </w:rPr>
        <w:t>de l’exigence</w:t>
      </w:r>
      <w:r w:rsidRPr="00FA558D">
        <w:rPr>
          <w:lang w:val="fr-CA"/>
        </w:rPr>
        <w:t xml:space="preserve"> </w:t>
      </w:r>
      <w:r>
        <w:rPr>
          <w:lang w:val="fr-CA"/>
        </w:rPr>
        <w:t>de compenser</w:t>
      </w:r>
      <w:r w:rsidRPr="00FA558D">
        <w:rPr>
          <w:lang w:val="fr-CA"/>
        </w:rPr>
        <w:t xml:space="preserve">. </w:t>
      </w:r>
      <w:r>
        <w:rPr>
          <w:lang w:val="fr-CA"/>
        </w:rPr>
        <w:t>Néanmoins, aucune exemption accordée au titre de cette catégorie ne doit indûment enfreindre l’esprit ou l’inté</w:t>
      </w:r>
      <w:r w:rsidRPr="00FA558D">
        <w:rPr>
          <w:lang w:val="fr-CA"/>
        </w:rPr>
        <w:t>gr</w:t>
      </w:r>
      <w:r>
        <w:rPr>
          <w:lang w:val="fr-CA"/>
        </w:rPr>
        <w:t>ité</w:t>
      </w:r>
      <w:r w:rsidRPr="00FA558D">
        <w:rPr>
          <w:lang w:val="fr-CA"/>
        </w:rPr>
        <w:t xml:space="preserve"> </w:t>
      </w:r>
      <w:r>
        <w:rPr>
          <w:lang w:val="fr-CA"/>
        </w:rPr>
        <w:t xml:space="preserve">de la </w:t>
      </w:r>
      <w:r w:rsidRPr="008C5FFA">
        <w:rPr>
          <w:lang w:val="fr-CA"/>
        </w:rPr>
        <w:t>Loi sur la réduction de la paperasse</w:t>
      </w:r>
      <w:r>
        <w:rPr>
          <w:lang w:val="fr-CA"/>
        </w:rPr>
        <w:t>. Les organismes de réglementation</w:t>
      </w:r>
      <w:r w:rsidRPr="00FA558D">
        <w:rPr>
          <w:lang w:val="fr-CA"/>
        </w:rPr>
        <w:t xml:space="preserve"> </w:t>
      </w:r>
      <w:r>
        <w:rPr>
          <w:lang w:val="fr-CA"/>
        </w:rPr>
        <w:t>doivent</w:t>
      </w:r>
      <w:r w:rsidRPr="00FA558D">
        <w:rPr>
          <w:lang w:val="fr-CA"/>
        </w:rPr>
        <w:t xml:space="preserve"> </w:t>
      </w:r>
      <w:r>
        <w:rPr>
          <w:lang w:val="fr-CA"/>
        </w:rPr>
        <w:t>clairement</w:t>
      </w:r>
      <w:r w:rsidRPr="00FA558D">
        <w:rPr>
          <w:lang w:val="fr-CA"/>
        </w:rPr>
        <w:t xml:space="preserve"> </w:t>
      </w:r>
      <w:r>
        <w:rPr>
          <w:lang w:val="fr-CA"/>
        </w:rPr>
        <w:t>énoncer les motifs de l’ex</w:t>
      </w:r>
      <w:r w:rsidRPr="00FA558D">
        <w:rPr>
          <w:lang w:val="fr-CA"/>
        </w:rPr>
        <w:t>emption,</w:t>
      </w:r>
      <w:r>
        <w:rPr>
          <w:lang w:val="fr-CA"/>
        </w:rPr>
        <w:t xml:space="preserve"> y compris les risques </w:t>
      </w:r>
      <w:r w:rsidR="00E342F8">
        <w:rPr>
          <w:lang w:val="fr-CA"/>
        </w:rPr>
        <w:t>particuliers</w:t>
      </w:r>
      <w:r w:rsidR="00E342F8" w:rsidRPr="00FA558D">
        <w:rPr>
          <w:lang w:val="fr-CA"/>
        </w:rPr>
        <w:t xml:space="preserve"> </w:t>
      </w:r>
      <w:r>
        <w:rPr>
          <w:lang w:val="fr-CA"/>
        </w:rPr>
        <w:t>liés au refus d’ex</w:t>
      </w:r>
      <w:r w:rsidRPr="00FA558D">
        <w:rPr>
          <w:lang w:val="fr-CA"/>
        </w:rPr>
        <w:t>empt</w:t>
      </w:r>
      <w:r>
        <w:rPr>
          <w:lang w:val="fr-CA"/>
        </w:rPr>
        <w:t>er</w:t>
      </w:r>
      <w:r w:rsidRPr="00FA558D">
        <w:rPr>
          <w:lang w:val="fr-CA"/>
        </w:rPr>
        <w:t xml:space="preserve">. </w:t>
      </w:r>
    </w:p>
    <w:p w14:paraId="41C22F2C" w14:textId="77777777" w:rsidR="00B91619" w:rsidRPr="00FA558D" w:rsidRDefault="00B91619" w:rsidP="00B91619">
      <w:pPr>
        <w:tabs>
          <w:tab w:val="left" w:pos="9356"/>
        </w:tabs>
        <w:spacing w:after="0" w:line="240" w:lineRule="auto"/>
        <w:rPr>
          <w:lang w:val="fr-CA"/>
        </w:rPr>
      </w:pPr>
    </w:p>
    <w:p w14:paraId="51987B02" w14:textId="27A7A1B8" w:rsidR="00B91619" w:rsidRPr="00FA558D" w:rsidRDefault="00B91619" w:rsidP="00B91619">
      <w:pPr>
        <w:tabs>
          <w:tab w:val="left" w:pos="9356"/>
        </w:tabs>
        <w:spacing w:after="0" w:line="240" w:lineRule="auto"/>
        <w:rPr>
          <w:lang w:val="fr-CA"/>
        </w:rPr>
      </w:pPr>
      <w:r>
        <w:rPr>
          <w:lang w:val="fr-CA"/>
        </w:rPr>
        <w:t>Si l’ex</w:t>
      </w:r>
      <w:r w:rsidRPr="00FA558D">
        <w:rPr>
          <w:lang w:val="fr-CA"/>
        </w:rPr>
        <w:t>emption</w:t>
      </w:r>
      <w:r>
        <w:rPr>
          <w:lang w:val="fr-CA"/>
        </w:rPr>
        <w:t xml:space="preserve"> est accordée par le Conseil du Trésor</w:t>
      </w:r>
      <w:r w:rsidRPr="00FA558D">
        <w:rPr>
          <w:lang w:val="fr-CA"/>
        </w:rPr>
        <w:t xml:space="preserve">, </w:t>
      </w:r>
      <w:r>
        <w:rPr>
          <w:lang w:val="fr-CA"/>
        </w:rPr>
        <w:t xml:space="preserve">les coûts </w:t>
      </w:r>
      <w:r w:rsidR="00E342F8">
        <w:rPr>
          <w:lang w:val="fr-CA"/>
        </w:rPr>
        <w:t xml:space="preserve">prévus </w:t>
      </w:r>
      <w:r>
        <w:rPr>
          <w:lang w:val="fr-CA"/>
        </w:rPr>
        <w:t>par le projet ne sont pas</w:t>
      </w:r>
      <w:r w:rsidRPr="00FA558D">
        <w:rPr>
          <w:lang w:val="fr-CA"/>
        </w:rPr>
        <w:t xml:space="preserve"> </w:t>
      </w:r>
      <w:r>
        <w:rPr>
          <w:lang w:val="fr-CA"/>
        </w:rPr>
        <w:t>assujettis à l’exigence de compensation</w:t>
      </w:r>
      <w:r w:rsidRPr="00FA558D">
        <w:rPr>
          <w:lang w:val="fr-CA"/>
        </w:rPr>
        <w:t xml:space="preserve"> </w:t>
      </w:r>
      <w:r>
        <w:rPr>
          <w:lang w:val="fr-CA"/>
        </w:rPr>
        <w:t>sous l’élément</w:t>
      </w:r>
      <w:r w:rsidRPr="00FA558D">
        <w:rPr>
          <w:lang w:val="fr-CA"/>
        </w:rPr>
        <w:t xml:space="preserve"> A. </w:t>
      </w:r>
      <w:r>
        <w:rPr>
          <w:lang w:val="fr-CA"/>
        </w:rPr>
        <w:t>Toutefois</w:t>
      </w:r>
      <w:r w:rsidRPr="00FA558D">
        <w:rPr>
          <w:lang w:val="fr-CA"/>
        </w:rPr>
        <w:t xml:space="preserve">, </w:t>
      </w:r>
      <w:r>
        <w:rPr>
          <w:lang w:val="fr-CA"/>
        </w:rPr>
        <w:t>les coûts administratifs anticipés</w:t>
      </w:r>
      <w:r w:rsidRPr="00FA558D">
        <w:rPr>
          <w:lang w:val="fr-CA"/>
        </w:rPr>
        <w:t xml:space="preserve"> </w:t>
      </w:r>
      <w:r>
        <w:rPr>
          <w:lang w:val="fr-CA"/>
        </w:rPr>
        <w:t>devraient être</w:t>
      </w:r>
      <w:r w:rsidRPr="00FA558D">
        <w:rPr>
          <w:lang w:val="fr-CA"/>
        </w:rPr>
        <w:t xml:space="preserve"> </w:t>
      </w:r>
      <w:r>
        <w:rPr>
          <w:lang w:val="fr-CA"/>
        </w:rPr>
        <w:t xml:space="preserve">estimés et déclarés conformément aux exigences </w:t>
      </w:r>
      <w:r w:rsidR="00E342F8">
        <w:rPr>
          <w:lang w:val="fr-CA"/>
        </w:rPr>
        <w:t xml:space="preserve">énoncées </w:t>
      </w:r>
      <w:r>
        <w:rPr>
          <w:lang w:val="fr-CA"/>
        </w:rPr>
        <w:t>dans les</w:t>
      </w:r>
      <w:r w:rsidRPr="00FA558D">
        <w:rPr>
          <w:lang w:val="fr-CA"/>
        </w:rPr>
        <w:t xml:space="preserve"> </w:t>
      </w:r>
      <w:r>
        <w:rPr>
          <w:lang w:val="fr-CA"/>
        </w:rPr>
        <w:t>sous-s</w:t>
      </w:r>
      <w:r w:rsidRPr="00FA558D">
        <w:rPr>
          <w:lang w:val="fr-CA"/>
        </w:rPr>
        <w:t>ections 7.2.2</w:t>
      </w:r>
      <w:r>
        <w:rPr>
          <w:lang w:val="fr-CA"/>
        </w:rPr>
        <w:t xml:space="preserve"> et </w:t>
      </w:r>
      <w:r w:rsidRPr="00FA558D">
        <w:rPr>
          <w:lang w:val="fr-CA"/>
        </w:rPr>
        <w:t>7.2.3</w:t>
      </w:r>
      <w:r>
        <w:rPr>
          <w:lang w:val="fr-CA"/>
        </w:rPr>
        <w:t xml:space="preserve"> de la </w:t>
      </w:r>
      <w:r w:rsidR="009719D9">
        <w:rPr>
          <w:lang w:val="fr-CA"/>
        </w:rPr>
        <w:t>p</w:t>
      </w:r>
      <w:r>
        <w:rPr>
          <w:lang w:val="fr-CA"/>
        </w:rPr>
        <w:t>olitique</w:t>
      </w:r>
      <w:r w:rsidRPr="00FA558D">
        <w:rPr>
          <w:lang w:val="fr-CA"/>
        </w:rPr>
        <w:t xml:space="preserve"> </w:t>
      </w:r>
      <w:r w:rsidR="00E342F8">
        <w:rPr>
          <w:lang w:val="fr-CA"/>
        </w:rPr>
        <w:t>à des fins</w:t>
      </w:r>
      <w:r>
        <w:rPr>
          <w:lang w:val="fr-CA"/>
        </w:rPr>
        <w:t xml:space="preserve"> de tra</w:t>
      </w:r>
      <w:r w:rsidRPr="00FA558D">
        <w:rPr>
          <w:lang w:val="fr-CA"/>
        </w:rPr>
        <w:t>nspa</w:t>
      </w:r>
      <w:r>
        <w:rPr>
          <w:lang w:val="fr-CA"/>
        </w:rPr>
        <w:t>rence</w:t>
      </w:r>
      <w:r w:rsidRPr="00FA558D">
        <w:rPr>
          <w:lang w:val="fr-CA"/>
        </w:rPr>
        <w:t xml:space="preserve">. </w:t>
      </w:r>
    </w:p>
    <w:p w14:paraId="61B3D544" w14:textId="77777777" w:rsidR="00B91619" w:rsidRPr="00FA558D" w:rsidRDefault="00B91619" w:rsidP="00B91619">
      <w:pPr>
        <w:tabs>
          <w:tab w:val="left" w:pos="9356"/>
        </w:tabs>
        <w:spacing w:after="0" w:line="240" w:lineRule="auto"/>
        <w:rPr>
          <w:lang w:val="fr-CA"/>
        </w:rPr>
      </w:pPr>
    </w:p>
    <w:p w14:paraId="4B096DDD" w14:textId="5F1CDC1E" w:rsidR="00B91619" w:rsidRPr="00FA558D" w:rsidRDefault="00B91619" w:rsidP="00B91619">
      <w:pPr>
        <w:tabs>
          <w:tab w:val="left" w:pos="9356"/>
        </w:tabs>
        <w:spacing w:after="0" w:line="240" w:lineRule="auto"/>
        <w:rPr>
          <w:lang w:val="fr-CA"/>
        </w:rPr>
      </w:pPr>
      <w:r>
        <w:rPr>
          <w:lang w:val="fr-CA"/>
        </w:rPr>
        <w:t>Cette catégorie d’ex</w:t>
      </w:r>
      <w:r w:rsidRPr="00FA558D">
        <w:rPr>
          <w:lang w:val="fr-CA"/>
        </w:rPr>
        <w:t>emption</w:t>
      </w:r>
      <w:r>
        <w:rPr>
          <w:lang w:val="fr-CA"/>
        </w:rPr>
        <w:t xml:space="preserve"> est rarement accordée, mais a été employée dans le cadre de règlement</w:t>
      </w:r>
      <w:r w:rsidRPr="00FA558D">
        <w:rPr>
          <w:lang w:val="fr-CA"/>
        </w:rPr>
        <w:t>s</w:t>
      </w:r>
      <w:r>
        <w:rPr>
          <w:lang w:val="fr-CA"/>
        </w:rPr>
        <w:t xml:space="preserve"> induisant une réponse réglementaire</w:t>
      </w:r>
      <w:r w:rsidRPr="00FA558D">
        <w:rPr>
          <w:lang w:val="fr-CA"/>
        </w:rPr>
        <w:t xml:space="preserve"> </w:t>
      </w:r>
      <w:r>
        <w:rPr>
          <w:lang w:val="fr-CA"/>
        </w:rPr>
        <w:t>immédiate</w:t>
      </w:r>
      <w:r w:rsidRPr="00FA558D">
        <w:rPr>
          <w:lang w:val="fr-CA"/>
        </w:rPr>
        <w:t xml:space="preserve">. </w:t>
      </w:r>
      <w:r>
        <w:rPr>
          <w:lang w:val="fr-CA"/>
        </w:rPr>
        <w:t>Cette ex</w:t>
      </w:r>
      <w:r w:rsidRPr="00FA558D">
        <w:rPr>
          <w:lang w:val="fr-CA"/>
        </w:rPr>
        <w:t xml:space="preserve">emption </w:t>
      </w:r>
      <w:r>
        <w:rPr>
          <w:lang w:val="fr-CA"/>
        </w:rPr>
        <w:t>donne aux organismes de réglementation</w:t>
      </w:r>
      <w:r w:rsidRPr="00FA558D">
        <w:rPr>
          <w:lang w:val="fr-CA"/>
        </w:rPr>
        <w:t xml:space="preserve"> </w:t>
      </w:r>
      <w:r>
        <w:rPr>
          <w:lang w:val="fr-CA"/>
        </w:rPr>
        <w:t xml:space="preserve">le temps nécessaire pour élaborer et proposer une mesure réglementaire plus </w:t>
      </w:r>
      <w:r w:rsidR="0024670D">
        <w:rPr>
          <w:lang w:val="fr-CA"/>
        </w:rPr>
        <w:t>permanente</w:t>
      </w:r>
      <w:r>
        <w:rPr>
          <w:lang w:val="fr-CA"/>
        </w:rPr>
        <w:t>. Dans une telle situation, l’ex</w:t>
      </w:r>
      <w:r w:rsidRPr="00FA558D">
        <w:rPr>
          <w:lang w:val="fr-CA"/>
        </w:rPr>
        <w:t xml:space="preserve">emption </w:t>
      </w:r>
      <w:r>
        <w:rPr>
          <w:lang w:val="fr-CA"/>
        </w:rPr>
        <w:t>peut être considérée comme une mesure provisoire</w:t>
      </w:r>
      <w:r w:rsidRPr="00FA558D">
        <w:rPr>
          <w:lang w:val="fr-CA"/>
        </w:rPr>
        <w:t>,</w:t>
      </w:r>
      <w:r>
        <w:rPr>
          <w:lang w:val="fr-CA"/>
        </w:rPr>
        <w:t xml:space="preserve"> et la règle du « un pour un »</w:t>
      </w:r>
      <w:r w:rsidRPr="00FA558D">
        <w:rPr>
          <w:lang w:val="fr-CA"/>
        </w:rPr>
        <w:t xml:space="preserve"> </w:t>
      </w:r>
      <w:r>
        <w:rPr>
          <w:lang w:val="fr-CA"/>
        </w:rPr>
        <w:t>pourrait s’appliquer à la mesure permanente ultérieure.</w:t>
      </w:r>
    </w:p>
    <w:p w14:paraId="43C8A129" w14:textId="77777777" w:rsidR="00B91619" w:rsidRPr="00FA558D" w:rsidRDefault="00B91619" w:rsidP="00B91619">
      <w:pPr>
        <w:tabs>
          <w:tab w:val="left" w:pos="9356"/>
        </w:tabs>
        <w:spacing w:after="0" w:line="240" w:lineRule="auto"/>
        <w:rPr>
          <w:lang w:val="fr-CA"/>
        </w:rPr>
      </w:pPr>
    </w:p>
    <w:p w14:paraId="02DB6EA0" w14:textId="2203702B" w:rsidR="00B91619" w:rsidRPr="00FA558D" w:rsidRDefault="00B91619" w:rsidP="00B91619">
      <w:pPr>
        <w:pStyle w:val="Heading3"/>
        <w:rPr>
          <w:lang w:val="fr-CA"/>
        </w:rPr>
      </w:pPr>
      <w:bookmarkStart w:id="25" w:name="_Toc69891054"/>
      <w:r>
        <w:rPr>
          <w:lang w:val="fr-CA"/>
        </w:rPr>
        <w:t xml:space="preserve">Exigences </w:t>
      </w:r>
      <w:r w:rsidR="0024670D">
        <w:rPr>
          <w:lang w:val="fr-CA"/>
        </w:rPr>
        <w:t>relatives</w:t>
      </w:r>
      <w:r>
        <w:rPr>
          <w:lang w:val="fr-CA"/>
        </w:rPr>
        <w:t xml:space="preserve"> au</w:t>
      </w:r>
      <w:r w:rsidR="0024670D">
        <w:rPr>
          <w:lang w:val="fr-CA"/>
        </w:rPr>
        <w:t>x</w:t>
      </w:r>
      <w:r>
        <w:rPr>
          <w:lang w:val="fr-CA"/>
        </w:rPr>
        <w:t xml:space="preserve"> </w:t>
      </w:r>
      <w:r w:rsidR="0024670D">
        <w:rPr>
          <w:lang w:val="fr-CA"/>
        </w:rPr>
        <w:t>r</w:t>
      </w:r>
      <w:r>
        <w:rPr>
          <w:lang w:val="fr-CA"/>
        </w:rPr>
        <w:t>ésumé</w:t>
      </w:r>
      <w:r w:rsidR="0024670D">
        <w:rPr>
          <w:lang w:val="fr-CA"/>
        </w:rPr>
        <w:t>s</w:t>
      </w:r>
      <w:r>
        <w:rPr>
          <w:lang w:val="fr-CA"/>
        </w:rPr>
        <w:t xml:space="preserve"> de l’étude d’impact de la réglementation</w:t>
      </w:r>
      <w:r w:rsidRPr="00FA558D">
        <w:rPr>
          <w:lang w:val="fr-CA"/>
        </w:rPr>
        <w:t xml:space="preserve"> (</w:t>
      </w:r>
      <w:r>
        <w:rPr>
          <w:lang w:val="fr-CA"/>
        </w:rPr>
        <w:t>sous</w:t>
      </w:r>
      <w:r w:rsidR="0024670D">
        <w:rPr>
          <w:lang w:val="fr-CA"/>
        </w:rPr>
        <w:noBreakHyphen/>
      </w:r>
      <w:r>
        <w:rPr>
          <w:lang w:val="fr-CA"/>
        </w:rPr>
        <w:t>s</w:t>
      </w:r>
      <w:r w:rsidRPr="00FA558D">
        <w:rPr>
          <w:lang w:val="fr-CA"/>
        </w:rPr>
        <w:t>ection 7.2.10)</w:t>
      </w:r>
      <w:bookmarkEnd w:id="25"/>
    </w:p>
    <w:p w14:paraId="372FA39A" w14:textId="77777777" w:rsidR="00B91619" w:rsidRPr="00FA558D" w:rsidRDefault="00B91619" w:rsidP="00B91619">
      <w:pPr>
        <w:tabs>
          <w:tab w:val="left" w:pos="9356"/>
        </w:tabs>
        <w:spacing w:after="0" w:line="240" w:lineRule="auto"/>
        <w:rPr>
          <w:lang w:val="fr-CA"/>
        </w:rPr>
      </w:pPr>
    </w:p>
    <w:p w14:paraId="39A41C9F" w14:textId="5570C33C" w:rsidR="00B91619" w:rsidRPr="00FA558D" w:rsidRDefault="00B91619" w:rsidP="00B91619">
      <w:pPr>
        <w:tabs>
          <w:tab w:val="left" w:pos="9356"/>
        </w:tabs>
        <w:spacing w:after="0" w:line="240" w:lineRule="auto"/>
        <w:rPr>
          <w:lang w:val="fr-CA"/>
        </w:rPr>
      </w:pPr>
      <w:r>
        <w:rPr>
          <w:lang w:val="fr-CA"/>
        </w:rPr>
        <w:t>L’</w:t>
      </w:r>
      <w:r w:rsidRPr="00FA558D">
        <w:rPr>
          <w:lang w:val="fr-CA"/>
        </w:rPr>
        <w:t>information</w:t>
      </w:r>
      <w:r>
        <w:rPr>
          <w:lang w:val="fr-CA"/>
        </w:rPr>
        <w:t xml:space="preserve"> qui doit être présentée dans la section </w:t>
      </w:r>
      <w:r w:rsidR="00BF0A36">
        <w:rPr>
          <w:lang w:val="fr-CA"/>
        </w:rPr>
        <w:t>sur</w:t>
      </w:r>
      <w:r>
        <w:rPr>
          <w:lang w:val="fr-CA"/>
        </w:rPr>
        <w:t xml:space="preserve"> la règle du « un pour un » du REIR dépend de multiples facteur</w:t>
      </w:r>
      <w:r w:rsidRPr="00FA558D">
        <w:rPr>
          <w:lang w:val="fr-CA"/>
        </w:rPr>
        <w:t xml:space="preserve">s, </w:t>
      </w:r>
      <w:r>
        <w:rPr>
          <w:lang w:val="fr-CA"/>
        </w:rPr>
        <w:t>dont le plus important est la question de savoir si</w:t>
      </w:r>
      <w:r w:rsidRPr="00FA558D">
        <w:rPr>
          <w:lang w:val="fr-CA"/>
        </w:rPr>
        <w:t xml:space="preserve"> </w:t>
      </w:r>
      <w:r>
        <w:rPr>
          <w:lang w:val="fr-CA"/>
        </w:rPr>
        <w:t>la règle</w:t>
      </w:r>
      <w:r w:rsidRPr="00FA558D">
        <w:rPr>
          <w:lang w:val="fr-CA"/>
        </w:rPr>
        <w:t xml:space="preserve"> </w:t>
      </w:r>
      <w:r>
        <w:rPr>
          <w:lang w:val="fr-CA"/>
        </w:rPr>
        <w:t>s’applique au règlement proposé</w:t>
      </w:r>
      <w:r w:rsidRPr="00FA558D">
        <w:rPr>
          <w:lang w:val="fr-CA"/>
        </w:rPr>
        <w:t xml:space="preserve">. </w:t>
      </w:r>
      <w:r>
        <w:rPr>
          <w:lang w:val="fr-CA"/>
        </w:rPr>
        <w:t>Ce qui suit constitue une synthèse de l’i</w:t>
      </w:r>
      <w:r w:rsidRPr="00FA558D">
        <w:rPr>
          <w:lang w:val="fr-CA"/>
        </w:rPr>
        <w:t xml:space="preserve">nformation </w:t>
      </w:r>
      <w:r>
        <w:rPr>
          <w:lang w:val="fr-CA"/>
        </w:rPr>
        <w:t xml:space="preserve">exigée </w:t>
      </w:r>
      <w:r w:rsidR="00F80967">
        <w:rPr>
          <w:lang w:val="fr-CA"/>
        </w:rPr>
        <w:t xml:space="preserve">dans </w:t>
      </w:r>
      <w:r>
        <w:rPr>
          <w:lang w:val="fr-CA"/>
        </w:rPr>
        <w:t>une variété de cas</w:t>
      </w:r>
      <w:r w:rsidRPr="00FA558D">
        <w:rPr>
          <w:lang w:val="fr-CA"/>
        </w:rPr>
        <w:t>.</w:t>
      </w:r>
    </w:p>
    <w:p w14:paraId="67EAC9CA" w14:textId="77777777" w:rsidR="00B91619" w:rsidRPr="00FA558D" w:rsidRDefault="00B91619" w:rsidP="00B91619">
      <w:pPr>
        <w:tabs>
          <w:tab w:val="left" w:pos="9356"/>
        </w:tabs>
        <w:spacing w:after="0" w:line="240" w:lineRule="auto"/>
        <w:rPr>
          <w:lang w:val="fr-CA"/>
        </w:rPr>
      </w:pPr>
    </w:p>
    <w:p w14:paraId="354C35E8" w14:textId="77777777" w:rsidR="00B91619" w:rsidRPr="00FA558D" w:rsidRDefault="00B91619" w:rsidP="00B91619">
      <w:pPr>
        <w:pStyle w:val="Heading4"/>
        <w:rPr>
          <w:lang w:val="fr-CA"/>
        </w:rPr>
      </w:pPr>
      <w:r>
        <w:rPr>
          <w:lang w:val="fr-CA"/>
        </w:rPr>
        <w:t>La règle du « un pour un »</w:t>
      </w:r>
      <w:r w:rsidRPr="00FA558D">
        <w:rPr>
          <w:lang w:val="fr-CA"/>
        </w:rPr>
        <w:t xml:space="preserve"> </w:t>
      </w:r>
      <w:r>
        <w:rPr>
          <w:lang w:val="fr-CA"/>
        </w:rPr>
        <w:t>ne s’applique pas</w:t>
      </w:r>
    </w:p>
    <w:p w14:paraId="47BCD1DC" w14:textId="77777777" w:rsidR="00B91619" w:rsidRPr="00FA558D" w:rsidRDefault="00B91619" w:rsidP="00B91619">
      <w:pPr>
        <w:pStyle w:val="ListParagraph"/>
        <w:tabs>
          <w:tab w:val="left" w:pos="9356"/>
        </w:tabs>
        <w:spacing w:after="0" w:line="240" w:lineRule="auto"/>
        <w:rPr>
          <w:lang w:val="fr-CA"/>
        </w:rPr>
      </w:pPr>
    </w:p>
    <w:p w14:paraId="31CBB0D3" w14:textId="77777777" w:rsidR="00B91619" w:rsidRPr="00FA558D" w:rsidRDefault="00B91619" w:rsidP="00B91619">
      <w:pPr>
        <w:tabs>
          <w:tab w:val="left" w:pos="9356"/>
        </w:tabs>
        <w:spacing w:after="0" w:line="240" w:lineRule="auto"/>
        <w:rPr>
          <w:b/>
          <w:lang w:val="fr-CA"/>
        </w:rPr>
      </w:pPr>
      <w:r>
        <w:rPr>
          <w:b/>
          <w:lang w:val="fr-CA"/>
        </w:rPr>
        <w:t>Le projet n’est pas visé par la règle</w:t>
      </w:r>
    </w:p>
    <w:p w14:paraId="6E4B6890" w14:textId="64F3E52F" w:rsidR="00B91619" w:rsidRPr="00FA558D" w:rsidRDefault="00B91619" w:rsidP="00B91619">
      <w:pPr>
        <w:tabs>
          <w:tab w:val="left" w:pos="9356"/>
        </w:tabs>
        <w:spacing w:after="0" w:line="240" w:lineRule="auto"/>
        <w:rPr>
          <w:lang w:val="fr-CA"/>
        </w:rPr>
      </w:pPr>
      <w:r>
        <w:rPr>
          <w:lang w:val="fr-CA"/>
        </w:rPr>
        <w:t>Le projet dépasse le champ d’application de la règle</w:t>
      </w:r>
      <w:r w:rsidRPr="00FA558D">
        <w:rPr>
          <w:lang w:val="fr-CA"/>
        </w:rPr>
        <w:t xml:space="preserve"> </w:t>
      </w:r>
      <w:r>
        <w:rPr>
          <w:lang w:val="fr-CA"/>
        </w:rPr>
        <w:t>tel qu’il est défini</w:t>
      </w:r>
      <w:r w:rsidRPr="00FA558D">
        <w:rPr>
          <w:lang w:val="fr-CA"/>
        </w:rPr>
        <w:t xml:space="preserve"> </w:t>
      </w:r>
      <w:r>
        <w:rPr>
          <w:lang w:val="fr-CA"/>
        </w:rPr>
        <w:t>dans la sec</w:t>
      </w:r>
      <w:r w:rsidRPr="00FA558D">
        <w:rPr>
          <w:lang w:val="fr-CA"/>
        </w:rPr>
        <w:t xml:space="preserve">tion 2 </w:t>
      </w:r>
      <w:r>
        <w:rPr>
          <w:lang w:val="fr-CA"/>
        </w:rPr>
        <w:t xml:space="preserve">de la </w:t>
      </w:r>
      <w:r w:rsidR="00A5699B">
        <w:rPr>
          <w:lang w:val="fr-CA"/>
        </w:rPr>
        <w:t>D</w:t>
      </w:r>
      <w:r>
        <w:rPr>
          <w:lang w:val="fr-CA"/>
        </w:rPr>
        <w:t xml:space="preserve">irective du cabinet et la </w:t>
      </w:r>
      <w:r w:rsidRPr="00FA558D">
        <w:rPr>
          <w:lang w:val="fr-CA"/>
        </w:rPr>
        <w:t>section 3</w:t>
      </w:r>
      <w:r>
        <w:rPr>
          <w:lang w:val="fr-CA"/>
        </w:rPr>
        <w:t xml:space="preserve"> de la </w:t>
      </w:r>
      <w:r w:rsidR="009719D9">
        <w:rPr>
          <w:lang w:val="fr-CA"/>
        </w:rPr>
        <w:t>p</w:t>
      </w:r>
      <w:r>
        <w:rPr>
          <w:lang w:val="fr-CA"/>
        </w:rPr>
        <w:t>olitique</w:t>
      </w:r>
      <w:r w:rsidRPr="00FA558D">
        <w:rPr>
          <w:lang w:val="fr-CA"/>
        </w:rPr>
        <w:t xml:space="preserve">. </w:t>
      </w:r>
    </w:p>
    <w:p w14:paraId="5DF75B51" w14:textId="77777777" w:rsidR="00B91619" w:rsidRPr="00FA558D" w:rsidRDefault="00B91619" w:rsidP="00B91619">
      <w:pPr>
        <w:pStyle w:val="ListParagraph"/>
        <w:tabs>
          <w:tab w:val="left" w:pos="9356"/>
        </w:tabs>
        <w:spacing w:after="0" w:line="240" w:lineRule="auto"/>
        <w:ind w:left="360"/>
        <w:rPr>
          <w:lang w:val="fr-CA"/>
        </w:rPr>
      </w:pPr>
    </w:p>
    <w:p w14:paraId="757707C4" w14:textId="77777777" w:rsidR="00B91619" w:rsidRPr="00FA558D" w:rsidRDefault="00B91619" w:rsidP="00B91619">
      <w:pPr>
        <w:tabs>
          <w:tab w:val="left" w:pos="9356"/>
        </w:tabs>
        <w:spacing w:after="0" w:line="240" w:lineRule="auto"/>
        <w:rPr>
          <w:lang w:val="fr-CA"/>
        </w:rPr>
      </w:pPr>
      <w:r>
        <w:rPr>
          <w:lang w:val="fr-CA"/>
        </w:rPr>
        <w:t>La portée de la règle</w:t>
      </w:r>
      <w:r w:rsidRPr="00FA558D">
        <w:rPr>
          <w:lang w:val="fr-CA"/>
        </w:rPr>
        <w:t xml:space="preserve"> </w:t>
      </w:r>
      <w:r>
        <w:rPr>
          <w:lang w:val="fr-CA"/>
        </w:rPr>
        <w:t>englobe les règlement</w:t>
      </w:r>
      <w:r w:rsidRPr="00FA558D">
        <w:rPr>
          <w:lang w:val="fr-CA"/>
        </w:rPr>
        <w:t xml:space="preserve">s </w:t>
      </w:r>
      <w:r>
        <w:rPr>
          <w:lang w:val="fr-CA"/>
        </w:rPr>
        <w:t>adoptés ou approuvés par</w:t>
      </w:r>
      <w:r w:rsidRPr="00FA558D">
        <w:rPr>
          <w:lang w:val="fr-CA"/>
        </w:rPr>
        <w:t xml:space="preserve"> </w:t>
      </w:r>
      <w:r>
        <w:rPr>
          <w:lang w:val="fr-CA"/>
        </w:rPr>
        <w:t>le gouverneur en conseil, et ceux adoptés par un ministre de la Couronne</w:t>
      </w:r>
      <w:r w:rsidRPr="00FA558D">
        <w:rPr>
          <w:lang w:val="fr-CA"/>
        </w:rPr>
        <w:t xml:space="preserve">. </w:t>
      </w:r>
      <w:r>
        <w:rPr>
          <w:lang w:val="fr-CA"/>
        </w:rPr>
        <w:t>Elle exclut les règlement</w:t>
      </w:r>
      <w:r w:rsidRPr="00FA558D">
        <w:rPr>
          <w:lang w:val="fr-CA"/>
        </w:rPr>
        <w:t xml:space="preserve">s </w:t>
      </w:r>
      <w:r>
        <w:rPr>
          <w:lang w:val="fr-CA"/>
        </w:rPr>
        <w:t>adoptés par</w:t>
      </w:r>
      <w:r w:rsidRPr="00FA558D">
        <w:rPr>
          <w:lang w:val="fr-CA"/>
        </w:rPr>
        <w:t xml:space="preserve"> </w:t>
      </w:r>
      <w:r>
        <w:rPr>
          <w:lang w:val="fr-CA"/>
        </w:rPr>
        <w:t>un organisme</w:t>
      </w:r>
      <w:r w:rsidRPr="00FA558D">
        <w:rPr>
          <w:lang w:val="fr-CA"/>
        </w:rPr>
        <w:t xml:space="preserve">, </w:t>
      </w:r>
      <w:r>
        <w:rPr>
          <w:lang w:val="fr-CA"/>
        </w:rPr>
        <w:t xml:space="preserve">un </w:t>
      </w:r>
      <w:r w:rsidRPr="00FA558D">
        <w:rPr>
          <w:lang w:val="fr-CA"/>
        </w:rPr>
        <w:t>tribunal</w:t>
      </w:r>
      <w:r>
        <w:rPr>
          <w:lang w:val="fr-CA"/>
        </w:rPr>
        <w:t xml:space="preserve"> ou une autre entité habilitée par le </w:t>
      </w:r>
      <w:r w:rsidRPr="00FA558D">
        <w:rPr>
          <w:lang w:val="fr-CA"/>
        </w:rPr>
        <w:t>Par</w:t>
      </w:r>
      <w:r>
        <w:rPr>
          <w:lang w:val="fr-CA"/>
        </w:rPr>
        <w:t>lement dans d’autres sphères d’activité</w:t>
      </w:r>
      <w:r w:rsidRPr="00FA558D">
        <w:rPr>
          <w:lang w:val="fr-CA"/>
        </w:rPr>
        <w:t>.</w:t>
      </w:r>
    </w:p>
    <w:p w14:paraId="7271E622" w14:textId="77777777" w:rsidR="00B91619" w:rsidRPr="00FA558D" w:rsidRDefault="00B91619" w:rsidP="00B91619">
      <w:pPr>
        <w:pStyle w:val="ListParagraph"/>
        <w:tabs>
          <w:tab w:val="left" w:pos="9356"/>
        </w:tabs>
        <w:spacing w:after="0" w:line="240" w:lineRule="auto"/>
        <w:ind w:left="360"/>
        <w:rPr>
          <w:lang w:val="fr-CA"/>
        </w:rPr>
      </w:pPr>
    </w:p>
    <w:p w14:paraId="169690D4" w14:textId="7BAC3801" w:rsidR="00B91619" w:rsidRPr="00FA558D" w:rsidRDefault="00B91619" w:rsidP="00B91619">
      <w:pPr>
        <w:tabs>
          <w:tab w:val="left" w:pos="9356"/>
        </w:tabs>
        <w:spacing w:after="0" w:line="240" w:lineRule="auto"/>
        <w:rPr>
          <w:lang w:val="fr-CA"/>
        </w:rPr>
      </w:pPr>
      <w:r>
        <w:rPr>
          <w:lang w:val="fr-CA"/>
        </w:rPr>
        <w:t>Si le</w:t>
      </w:r>
      <w:r w:rsidRPr="00FA558D">
        <w:rPr>
          <w:lang w:val="fr-CA"/>
        </w:rPr>
        <w:t xml:space="preserve"> </w:t>
      </w:r>
      <w:r>
        <w:rPr>
          <w:lang w:val="fr-CA"/>
        </w:rPr>
        <w:t>projet</w:t>
      </w:r>
      <w:r w:rsidRPr="00FA558D">
        <w:rPr>
          <w:lang w:val="fr-CA"/>
        </w:rPr>
        <w:t xml:space="preserve"> </w:t>
      </w:r>
      <w:r>
        <w:rPr>
          <w:lang w:val="fr-CA"/>
        </w:rPr>
        <w:t>comprend une</w:t>
      </w:r>
      <w:r w:rsidRPr="00FA558D">
        <w:rPr>
          <w:lang w:val="fr-CA"/>
        </w:rPr>
        <w:t xml:space="preserve"> </w:t>
      </w:r>
      <w:r>
        <w:rPr>
          <w:lang w:val="fr-CA"/>
        </w:rPr>
        <w:t>section sur la règle du « un pour un »</w:t>
      </w:r>
      <w:r w:rsidRPr="00FA558D">
        <w:rPr>
          <w:lang w:val="fr-CA"/>
        </w:rPr>
        <w:t xml:space="preserve">, </w:t>
      </w:r>
      <w:r>
        <w:rPr>
          <w:lang w:val="fr-CA"/>
        </w:rPr>
        <w:t>elle devrait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ne s’applique pas puisque</w:t>
      </w:r>
      <w:r w:rsidRPr="00FA558D">
        <w:rPr>
          <w:lang w:val="fr-CA"/>
        </w:rPr>
        <w:t xml:space="preserve"> </w:t>
      </w:r>
      <w:r>
        <w:rPr>
          <w:lang w:val="fr-CA"/>
        </w:rPr>
        <w:t>le règlement</w:t>
      </w:r>
      <w:r w:rsidRPr="00FA558D">
        <w:rPr>
          <w:lang w:val="fr-CA"/>
        </w:rPr>
        <w:t xml:space="preserve"> </w:t>
      </w:r>
      <w:r>
        <w:rPr>
          <w:lang w:val="fr-CA"/>
        </w:rPr>
        <w:t>est adopté par un organisme de réglementation indépendant, et n’est donc pas visé par la règle</w:t>
      </w:r>
      <w:r w:rsidRPr="00FA558D">
        <w:rPr>
          <w:lang w:val="fr-CA"/>
        </w:rPr>
        <w:t>.</w:t>
      </w:r>
      <w:r>
        <w:rPr>
          <w:lang w:val="fr-CA"/>
        </w:rPr>
        <w:t> »</w:t>
      </w:r>
      <w:r w:rsidRPr="00FA558D">
        <w:rPr>
          <w:lang w:val="fr-CA"/>
        </w:rPr>
        <w:t xml:space="preserve"> </w:t>
      </w:r>
    </w:p>
    <w:p w14:paraId="293ECCD7" w14:textId="77777777" w:rsidR="00B91619" w:rsidRPr="00FA558D" w:rsidRDefault="00B91619" w:rsidP="00B91619">
      <w:pPr>
        <w:tabs>
          <w:tab w:val="left" w:pos="9356"/>
        </w:tabs>
        <w:spacing w:after="0" w:line="240" w:lineRule="auto"/>
        <w:rPr>
          <w:lang w:val="fr-CA"/>
        </w:rPr>
      </w:pPr>
    </w:p>
    <w:p w14:paraId="694513F1" w14:textId="2E4CC07E" w:rsidR="00B91619" w:rsidRPr="00FA558D" w:rsidRDefault="00BF0A36" w:rsidP="00B91619">
      <w:pPr>
        <w:tabs>
          <w:tab w:val="left" w:pos="9356"/>
        </w:tabs>
        <w:spacing w:after="0" w:line="240" w:lineRule="auto"/>
        <w:rPr>
          <w:b/>
          <w:lang w:val="fr-CA"/>
        </w:rPr>
      </w:pPr>
      <w:r>
        <w:rPr>
          <w:b/>
          <w:lang w:val="fr-CA"/>
        </w:rPr>
        <w:t>Il n’y a pas de</w:t>
      </w:r>
      <w:r w:rsidR="00B91619">
        <w:rPr>
          <w:b/>
          <w:lang w:val="fr-CA"/>
        </w:rPr>
        <w:t xml:space="preserve"> répercussion</w:t>
      </w:r>
      <w:r>
        <w:rPr>
          <w:b/>
          <w:lang w:val="fr-CA"/>
        </w:rPr>
        <w:t>s</w:t>
      </w:r>
      <w:r w:rsidR="00B91619">
        <w:rPr>
          <w:b/>
          <w:lang w:val="fr-CA"/>
        </w:rPr>
        <w:t xml:space="preserve"> </w:t>
      </w:r>
      <w:r>
        <w:rPr>
          <w:b/>
          <w:lang w:val="fr-CA"/>
        </w:rPr>
        <w:t xml:space="preserve">sur les entreprises et </w:t>
      </w:r>
      <w:r w:rsidR="00B91619">
        <w:rPr>
          <w:b/>
          <w:lang w:val="fr-CA"/>
        </w:rPr>
        <w:t>aucun ajout o</w:t>
      </w:r>
      <w:r w:rsidR="00912B91">
        <w:rPr>
          <w:b/>
          <w:lang w:val="fr-CA"/>
        </w:rPr>
        <w:t>u</w:t>
      </w:r>
      <w:r>
        <w:rPr>
          <w:b/>
          <w:lang w:val="fr-CA"/>
        </w:rPr>
        <w:t xml:space="preserve"> </w:t>
      </w:r>
      <w:r w:rsidR="00B91619">
        <w:rPr>
          <w:b/>
          <w:lang w:val="fr-CA"/>
        </w:rPr>
        <w:t>suppression d’un règlement</w:t>
      </w:r>
    </w:p>
    <w:p w14:paraId="1A1AFB77" w14:textId="66DBB7ED" w:rsidR="00B91619" w:rsidRPr="00FA558D" w:rsidRDefault="00B91619" w:rsidP="00B91619">
      <w:pPr>
        <w:tabs>
          <w:tab w:val="left" w:pos="9356"/>
        </w:tabs>
        <w:spacing w:after="0" w:line="240" w:lineRule="auto"/>
        <w:rPr>
          <w:lang w:val="fr-CA"/>
        </w:rPr>
      </w:pPr>
      <w:r>
        <w:rPr>
          <w:lang w:val="fr-CA"/>
        </w:rPr>
        <w:t>Le projet</w:t>
      </w:r>
      <w:r w:rsidRPr="00FA558D">
        <w:rPr>
          <w:lang w:val="fr-CA"/>
        </w:rPr>
        <w:t xml:space="preserve"> </w:t>
      </w:r>
      <w:r>
        <w:rPr>
          <w:lang w:val="fr-CA"/>
        </w:rPr>
        <w:t>n’a aucune répercussion</w:t>
      </w:r>
      <w:r w:rsidRPr="00FA558D">
        <w:rPr>
          <w:lang w:val="fr-CA"/>
        </w:rPr>
        <w:t xml:space="preserve"> </w:t>
      </w:r>
      <w:r w:rsidR="00771FF7">
        <w:rPr>
          <w:lang w:val="fr-CA"/>
        </w:rPr>
        <w:t>sur tout type d’</w:t>
      </w:r>
      <w:r>
        <w:rPr>
          <w:lang w:val="fr-CA"/>
        </w:rPr>
        <w:t>entreprise</w:t>
      </w:r>
      <w:r w:rsidRPr="00FA558D">
        <w:rPr>
          <w:lang w:val="fr-CA"/>
        </w:rPr>
        <w:t xml:space="preserve"> </w:t>
      </w:r>
      <w:r>
        <w:rPr>
          <w:lang w:val="fr-CA"/>
        </w:rPr>
        <w:t>tel que défini dans la sec</w:t>
      </w:r>
      <w:r w:rsidRPr="00FA558D">
        <w:rPr>
          <w:lang w:val="fr-CA"/>
        </w:rPr>
        <w:t>tion 5</w:t>
      </w:r>
      <w:r>
        <w:rPr>
          <w:lang w:val="fr-CA"/>
        </w:rPr>
        <w:t xml:space="preserve"> de la </w:t>
      </w:r>
      <w:r w:rsidR="009719D9">
        <w:rPr>
          <w:lang w:val="fr-CA"/>
        </w:rPr>
        <w:t>p</w:t>
      </w:r>
      <w:r>
        <w:rPr>
          <w:lang w:val="fr-CA"/>
        </w:rPr>
        <w:t>olitique</w:t>
      </w:r>
      <w:r w:rsidRPr="00FA558D">
        <w:rPr>
          <w:lang w:val="fr-CA"/>
        </w:rPr>
        <w:t>,</w:t>
      </w:r>
      <w:r>
        <w:rPr>
          <w:lang w:val="fr-CA"/>
        </w:rPr>
        <w:t xml:space="preserve"> et il n’y a aucun</w:t>
      </w:r>
      <w:r w:rsidRPr="00FA558D">
        <w:rPr>
          <w:lang w:val="fr-CA"/>
        </w:rPr>
        <w:t xml:space="preserve"> </w:t>
      </w:r>
      <w:r>
        <w:rPr>
          <w:lang w:val="fr-CA"/>
        </w:rPr>
        <w:t>ajout ou suppression d’un règlement</w:t>
      </w:r>
      <w:r w:rsidRPr="00FA558D">
        <w:rPr>
          <w:lang w:val="fr-CA"/>
        </w:rPr>
        <w:t>.</w:t>
      </w:r>
    </w:p>
    <w:p w14:paraId="182DC1D3" w14:textId="77777777" w:rsidR="00B91619" w:rsidRPr="00FA558D" w:rsidRDefault="00B91619" w:rsidP="00B91619">
      <w:pPr>
        <w:pStyle w:val="ListParagraph"/>
        <w:tabs>
          <w:tab w:val="left" w:pos="9356"/>
        </w:tabs>
        <w:spacing w:after="0" w:line="240" w:lineRule="auto"/>
        <w:ind w:left="360"/>
        <w:rPr>
          <w:lang w:val="fr-CA"/>
        </w:rPr>
      </w:pPr>
    </w:p>
    <w:p w14:paraId="2E717AF8" w14:textId="55E1C90F" w:rsidR="00B91619" w:rsidRPr="00FA558D" w:rsidRDefault="00B91619" w:rsidP="00B91619">
      <w:pPr>
        <w:tabs>
          <w:tab w:val="left" w:pos="9356"/>
        </w:tabs>
        <w:spacing w:after="0" w:line="240" w:lineRule="auto"/>
        <w:rPr>
          <w:lang w:val="fr-CA"/>
        </w:rPr>
      </w:pPr>
      <w:r>
        <w:rPr>
          <w:lang w:val="fr-CA"/>
        </w:rPr>
        <w:t>Dans un tel cas</w:t>
      </w:r>
      <w:r w:rsidRPr="00FA558D">
        <w:rPr>
          <w:lang w:val="fr-CA"/>
        </w:rPr>
        <w:t xml:space="preserve">, </w:t>
      </w: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ne s’applique pas</w:t>
      </w:r>
      <w:r w:rsidRPr="00FA558D">
        <w:rPr>
          <w:lang w:val="fr-CA"/>
        </w:rPr>
        <w:t xml:space="preserve"> </w:t>
      </w:r>
      <w:r>
        <w:rPr>
          <w:lang w:val="fr-CA"/>
        </w:rPr>
        <w:t>puisqu’il n’y a aucune répercussion</w:t>
      </w:r>
      <w:r w:rsidRPr="00FA558D">
        <w:rPr>
          <w:lang w:val="fr-CA"/>
        </w:rPr>
        <w:t xml:space="preserve"> </w:t>
      </w:r>
      <w:r w:rsidR="00771FF7">
        <w:rPr>
          <w:lang w:val="fr-CA"/>
        </w:rPr>
        <w:t xml:space="preserve">sur </w:t>
      </w:r>
      <w:r>
        <w:rPr>
          <w:lang w:val="fr-CA"/>
        </w:rPr>
        <w:t>les entreprises ».</w:t>
      </w:r>
    </w:p>
    <w:p w14:paraId="5287423A" w14:textId="77777777" w:rsidR="00B91619" w:rsidRPr="00FA558D" w:rsidRDefault="00B91619" w:rsidP="00B91619">
      <w:pPr>
        <w:pStyle w:val="ListParagraph"/>
        <w:tabs>
          <w:tab w:val="left" w:pos="9356"/>
        </w:tabs>
        <w:spacing w:after="0" w:line="240" w:lineRule="auto"/>
        <w:ind w:left="0"/>
        <w:rPr>
          <w:lang w:val="fr-CA"/>
        </w:rPr>
      </w:pPr>
    </w:p>
    <w:p w14:paraId="2A048583" w14:textId="51EB2FF8" w:rsidR="00B91619" w:rsidRPr="00FA558D" w:rsidRDefault="00B91619" w:rsidP="00B91619">
      <w:pPr>
        <w:tabs>
          <w:tab w:val="left" w:pos="9356"/>
        </w:tabs>
        <w:spacing w:after="0" w:line="240" w:lineRule="auto"/>
        <w:rPr>
          <w:b/>
          <w:lang w:val="fr-CA"/>
        </w:rPr>
      </w:pPr>
      <w:r>
        <w:rPr>
          <w:b/>
          <w:lang w:val="fr-CA"/>
        </w:rPr>
        <w:t xml:space="preserve">Aucune modification du fardeau administratif </w:t>
      </w:r>
      <w:r w:rsidR="00771FF7">
        <w:rPr>
          <w:b/>
          <w:lang w:val="fr-CA"/>
        </w:rPr>
        <w:t>imposé aux</w:t>
      </w:r>
      <w:r>
        <w:rPr>
          <w:b/>
          <w:lang w:val="fr-CA"/>
        </w:rPr>
        <w:t xml:space="preserve"> entreprises et aucun ajout ou suppression d’un règlement</w:t>
      </w:r>
      <w:r w:rsidRPr="00FA558D">
        <w:rPr>
          <w:b/>
          <w:lang w:val="fr-CA"/>
        </w:rPr>
        <w:t xml:space="preserve"> </w:t>
      </w:r>
    </w:p>
    <w:p w14:paraId="0A82AF49" w14:textId="2D088B86" w:rsidR="00B91619" w:rsidRPr="00FA558D" w:rsidRDefault="00B91619" w:rsidP="00B91619">
      <w:pPr>
        <w:tabs>
          <w:tab w:val="left" w:pos="9356"/>
        </w:tabs>
        <w:spacing w:after="0" w:line="240" w:lineRule="auto"/>
        <w:rPr>
          <w:lang w:val="fr-CA"/>
        </w:rPr>
      </w:pPr>
      <w:r>
        <w:rPr>
          <w:lang w:val="fr-CA"/>
        </w:rPr>
        <w:t>Le projet</w:t>
      </w:r>
      <w:r w:rsidRPr="00FA558D">
        <w:rPr>
          <w:lang w:val="fr-CA"/>
        </w:rPr>
        <w:t xml:space="preserve"> </w:t>
      </w:r>
      <w:r>
        <w:rPr>
          <w:lang w:val="fr-CA"/>
        </w:rPr>
        <w:t xml:space="preserve">peut avoir des répercussions </w:t>
      </w:r>
      <w:r w:rsidR="007223BA">
        <w:rPr>
          <w:lang w:val="fr-CA"/>
        </w:rPr>
        <w:t>s</w:t>
      </w:r>
      <w:r>
        <w:rPr>
          <w:lang w:val="fr-CA"/>
        </w:rPr>
        <w:t>ur les entreprises, mais il n’entraîne aucune modification progressive du fardeau administratif</w:t>
      </w:r>
      <w:r w:rsidR="00B4147F">
        <w:rPr>
          <w:lang w:val="fr-CA"/>
        </w:rPr>
        <w:t>.</w:t>
      </w:r>
      <w:r w:rsidRPr="00FA558D">
        <w:rPr>
          <w:lang w:val="fr-CA"/>
        </w:rPr>
        <w:t xml:space="preserve"> </w:t>
      </w:r>
      <w:r w:rsidR="00B4147F">
        <w:rPr>
          <w:lang w:val="fr-CA"/>
        </w:rPr>
        <w:t>I</w:t>
      </w:r>
      <w:r>
        <w:rPr>
          <w:lang w:val="fr-CA"/>
        </w:rPr>
        <w:t>l n’y a aucun ajout ou suppression d’un règlement, et le projet ne consiste pas à abroger un règlement pour le remplacer par un autre</w:t>
      </w:r>
      <w:r w:rsidRPr="00FA558D">
        <w:rPr>
          <w:lang w:val="fr-CA"/>
        </w:rPr>
        <w:t xml:space="preserve">. </w:t>
      </w:r>
    </w:p>
    <w:p w14:paraId="528B3BF1" w14:textId="77777777" w:rsidR="00B91619" w:rsidRPr="00FA558D" w:rsidRDefault="00B91619" w:rsidP="00B91619">
      <w:pPr>
        <w:pStyle w:val="ListParagraph"/>
        <w:tabs>
          <w:tab w:val="left" w:pos="9356"/>
        </w:tabs>
        <w:spacing w:after="0" w:line="240" w:lineRule="auto"/>
        <w:ind w:left="426"/>
        <w:rPr>
          <w:lang w:val="fr-CA"/>
        </w:rPr>
      </w:pPr>
    </w:p>
    <w:p w14:paraId="42875DC6" w14:textId="1BE6096A" w:rsidR="00B91619" w:rsidRPr="00FA558D" w:rsidRDefault="00B91619" w:rsidP="00B91619">
      <w:pPr>
        <w:tabs>
          <w:tab w:val="left" w:pos="9356"/>
        </w:tabs>
        <w:spacing w:after="0" w:line="240" w:lineRule="auto"/>
        <w:rPr>
          <w:lang w:val="fr-CA"/>
        </w:rPr>
      </w:pPr>
      <w:r>
        <w:rPr>
          <w:lang w:val="fr-CA"/>
        </w:rPr>
        <w:t>Dans un tel cas</w:t>
      </w:r>
      <w:r w:rsidRPr="00FA558D">
        <w:rPr>
          <w:lang w:val="fr-CA"/>
        </w:rPr>
        <w:t xml:space="preserve">, </w:t>
      </w: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ne s’applique pas</w:t>
      </w:r>
      <w:r w:rsidRPr="00FA558D">
        <w:rPr>
          <w:lang w:val="fr-CA"/>
        </w:rPr>
        <w:t xml:space="preserve"> </w:t>
      </w:r>
      <w:r>
        <w:rPr>
          <w:lang w:val="fr-CA"/>
        </w:rPr>
        <w:t xml:space="preserve">puisqu’il n’y a aucune modification progressive du fardeau administratif </w:t>
      </w:r>
      <w:r w:rsidR="007223BA">
        <w:rPr>
          <w:lang w:val="fr-CA"/>
        </w:rPr>
        <w:t>imposé aux</w:t>
      </w:r>
      <w:r>
        <w:rPr>
          <w:lang w:val="fr-CA"/>
        </w:rPr>
        <w:t xml:space="preserve"> entreprises</w:t>
      </w:r>
      <w:r w:rsidR="00352090">
        <w:rPr>
          <w:lang w:val="fr-CA"/>
        </w:rPr>
        <w:t xml:space="preserve"> et qu’aucun titre réglementaire n’est abrogé ou adopté</w:t>
      </w:r>
      <w:r w:rsidRPr="00FA558D">
        <w:rPr>
          <w:lang w:val="fr-CA"/>
        </w:rPr>
        <w:t>.</w:t>
      </w:r>
      <w:r>
        <w:rPr>
          <w:lang w:val="fr-CA"/>
        </w:rPr>
        <w:t> »</w:t>
      </w:r>
    </w:p>
    <w:p w14:paraId="5E254ADF" w14:textId="77777777" w:rsidR="00B91619" w:rsidRPr="00FA558D" w:rsidRDefault="00B91619" w:rsidP="00B91619">
      <w:pPr>
        <w:pStyle w:val="ListParagraph"/>
        <w:spacing w:after="0"/>
        <w:ind w:left="426"/>
        <w:rPr>
          <w:lang w:val="fr-CA"/>
        </w:rPr>
      </w:pPr>
    </w:p>
    <w:p w14:paraId="57B633F6" w14:textId="3BDD5145" w:rsidR="00B91619" w:rsidRPr="00FA558D" w:rsidRDefault="00B91619" w:rsidP="00B91619">
      <w:pPr>
        <w:spacing w:after="0" w:line="240" w:lineRule="auto"/>
        <w:rPr>
          <w:lang w:val="fr-CA"/>
        </w:rPr>
      </w:pPr>
      <w:r>
        <w:rPr>
          <w:b/>
          <w:lang w:val="fr-CA"/>
        </w:rPr>
        <w:t>Abrogation d’un règlement et remplacement par un autre</w:t>
      </w:r>
      <w:r w:rsidRPr="00FA558D">
        <w:rPr>
          <w:b/>
          <w:lang w:val="fr-CA"/>
        </w:rPr>
        <w:t xml:space="preserve"> </w:t>
      </w:r>
      <w:r>
        <w:rPr>
          <w:b/>
          <w:lang w:val="fr-CA"/>
        </w:rPr>
        <w:t xml:space="preserve">sans modification du fardeau administratif </w:t>
      </w:r>
      <w:r w:rsidR="008A6216">
        <w:rPr>
          <w:b/>
          <w:lang w:val="fr-CA"/>
        </w:rPr>
        <w:t>imposé aux</w:t>
      </w:r>
      <w:r>
        <w:rPr>
          <w:b/>
          <w:lang w:val="fr-CA"/>
        </w:rPr>
        <w:t xml:space="preserve"> entreprises</w:t>
      </w:r>
      <w:r w:rsidRPr="00FA558D">
        <w:rPr>
          <w:lang w:val="fr-CA"/>
        </w:rPr>
        <w:t xml:space="preserve"> </w:t>
      </w:r>
    </w:p>
    <w:p w14:paraId="03F4543D" w14:textId="77777777" w:rsidR="00B91619" w:rsidRPr="00FA558D" w:rsidRDefault="00B91619" w:rsidP="00B91619">
      <w:pPr>
        <w:spacing w:after="0" w:line="240" w:lineRule="auto"/>
        <w:rPr>
          <w:lang w:val="fr-CA"/>
        </w:rPr>
      </w:pPr>
      <w:r>
        <w:rPr>
          <w:lang w:val="fr-CA"/>
        </w:rPr>
        <w:t>Le projet</w:t>
      </w:r>
      <w:r w:rsidRPr="00FA558D">
        <w:rPr>
          <w:lang w:val="fr-CA"/>
        </w:rPr>
        <w:t xml:space="preserve"> </w:t>
      </w:r>
      <w:r>
        <w:rPr>
          <w:lang w:val="fr-CA"/>
        </w:rPr>
        <w:t>abroge</w:t>
      </w:r>
      <w:r w:rsidRPr="00FA558D">
        <w:rPr>
          <w:lang w:val="fr-CA"/>
        </w:rPr>
        <w:t xml:space="preserve"> </w:t>
      </w:r>
      <w:r>
        <w:rPr>
          <w:lang w:val="fr-CA"/>
        </w:rPr>
        <w:t>un</w:t>
      </w:r>
      <w:r w:rsidRPr="00FA558D">
        <w:rPr>
          <w:lang w:val="fr-CA"/>
        </w:rPr>
        <w:t xml:space="preserve"> </w:t>
      </w:r>
      <w:r>
        <w:rPr>
          <w:lang w:val="fr-CA"/>
        </w:rPr>
        <w:t>titre réglementaire existant et le remplace</w:t>
      </w:r>
      <w:r w:rsidRPr="00FA558D">
        <w:rPr>
          <w:lang w:val="fr-CA"/>
        </w:rPr>
        <w:t xml:space="preserve"> </w:t>
      </w:r>
      <w:r>
        <w:rPr>
          <w:lang w:val="fr-CA"/>
        </w:rPr>
        <w:t xml:space="preserve">par </w:t>
      </w:r>
      <w:r>
        <w:rPr>
          <w:b/>
          <w:lang w:val="fr-CA"/>
        </w:rPr>
        <w:t>un</w:t>
      </w:r>
      <w:r w:rsidRPr="00FA558D">
        <w:rPr>
          <w:lang w:val="fr-CA"/>
        </w:rPr>
        <w:t> </w:t>
      </w:r>
      <w:r>
        <w:rPr>
          <w:lang w:val="fr-CA"/>
        </w:rPr>
        <w:t>nouveau titre réglementaire qui aborde, dans son ensemble, la même question</w:t>
      </w:r>
      <w:r w:rsidRPr="00FA558D">
        <w:rPr>
          <w:lang w:val="fr-CA"/>
        </w:rPr>
        <w:t xml:space="preserve">. </w:t>
      </w:r>
    </w:p>
    <w:p w14:paraId="4F5062E7" w14:textId="77777777" w:rsidR="00B91619" w:rsidRPr="00FA558D" w:rsidRDefault="00B91619" w:rsidP="00B91619">
      <w:pPr>
        <w:pStyle w:val="ListParagraph"/>
        <w:spacing w:after="0" w:line="240" w:lineRule="auto"/>
        <w:ind w:left="426"/>
        <w:rPr>
          <w:lang w:val="fr-CA"/>
        </w:rPr>
      </w:pPr>
    </w:p>
    <w:p w14:paraId="59EF2157" w14:textId="2C6552D8" w:rsidR="00B91619" w:rsidRPr="00FA558D" w:rsidRDefault="00B91619" w:rsidP="00B91619">
      <w:pPr>
        <w:spacing w:after="0" w:line="240" w:lineRule="auto"/>
        <w:rPr>
          <w:lang w:val="fr-CA"/>
        </w:rPr>
      </w:pPr>
      <w:r>
        <w:rPr>
          <w:lang w:val="fr-CA"/>
        </w:rPr>
        <w:t>Dans un tel cas, l’élément</w:t>
      </w:r>
      <w:r w:rsidRPr="00FA558D">
        <w:rPr>
          <w:lang w:val="fr-CA"/>
        </w:rPr>
        <w:t> B</w:t>
      </w:r>
      <w:r>
        <w:rPr>
          <w:lang w:val="fr-CA"/>
        </w:rPr>
        <w:t xml:space="preserve"> de la règle</w:t>
      </w:r>
      <w:r w:rsidRPr="00FA558D">
        <w:rPr>
          <w:lang w:val="fr-CA"/>
        </w:rPr>
        <w:t xml:space="preserve"> </w:t>
      </w:r>
      <w:r>
        <w:rPr>
          <w:lang w:val="fr-CA"/>
        </w:rPr>
        <w:t>ne s’applique pas</w:t>
      </w:r>
      <w:r w:rsidRPr="00FA558D">
        <w:rPr>
          <w:lang w:val="fr-CA"/>
        </w:rPr>
        <w:t>,</w:t>
      </w:r>
      <w:r>
        <w:rPr>
          <w:lang w:val="fr-CA"/>
        </w:rPr>
        <w:t xml:space="preserve"> et </w:t>
      </w:r>
      <w:r w:rsidR="00DC232E">
        <w:rPr>
          <w:lang w:val="fr-CA"/>
        </w:rPr>
        <w:t>aucun des deux</w:t>
      </w:r>
      <w:r>
        <w:rPr>
          <w:lang w:val="fr-CA"/>
        </w:rPr>
        <w:t xml:space="preserve"> règlement</w:t>
      </w:r>
      <w:r w:rsidR="00DC232E">
        <w:rPr>
          <w:lang w:val="fr-CA"/>
        </w:rPr>
        <w:t>s</w:t>
      </w:r>
      <w:r>
        <w:rPr>
          <w:lang w:val="fr-CA"/>
        </w:rPr>
        <w:t xml:space="preserve"> n’est pris en compte</w:t>
      </w:r>
      <w:r w:rsidRPr="00FA558D">
        <w:rPr>
          <w:lang w:val="fr-CA"/>
        </w:rPr>
        <w:t xml:space="preserve"> </w:t>
      </w:r>
      <w:r>
        <w:rPr>
          <w:lang w:val="fr-CA"/>
        </w:rPr>
        <w:t>comme un ajout ou une suppression</w:t>
      </w:r>
      <w:r w:rsidRPr="00FA558D">
        <w:rPr>
          <w:lang w:val="fr-CA"/>
        </w:rPr>
        <w:t xml:space="preserve">. </w:t>
      </w:r>
      <w:r>
        <w:rPr>
          <w:lang w:val="fr-CA"/>
        </w:rPr>
        <w:t>La section sur la règle du « un pour un » du REIR</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ne s’applique pas</w:t>
      </w:r>
      <w:r w:rsidRPr="00FA558D">
        <w:rPr>
          <w:lang w:val="fr-CA"/>
        </w:rPr>
        <w:t xml:space="preserve"> </w:t>
      </w:r>
      <w:r>
        <w:rPr>
          <w:lang w:val="fr-CA"/>
        </w:rPr>
        <w:t xml:space="preserve">puisqu’il n’y a aucune modification progressive du fardeau administratif </w:t>
      </w:r>
      <w:r w:rsidR="00DC232E">
        <w:rPr>
          <w:lang w:val="fr-CA"/>
        </w:rPr>
        <w:t>imposé aux</w:t>
      </w:r>
      <w:r>
        <w:rPr>
          <w:lang w:val="fr-CA"/>
        </w:rPr>
        <w:t xml:space="preserve"> entreprises</w:t>
      </w:r>
      <w:r w:rsidRPr="00FA558D">
        <w:rPr>
          <w:lang w:val="fr-CA"/>
        </w:rPr>
        <w:t xml:space="preserve">. </w:t>
      </w:r>
      <w:r>
        <w:rPr>
          <w:lang w:val="fr-CA"/>
        </w:rPr>
        <w:t>Le projet</w:t>
      </w:r>
      <w:r w:rsidRPr="00FA558D">
        <w:rPr>
          <w:lang w:val="fr-CA"/>
        </w:rPr>
        <w:t xml:space="preserve"> </w:t>
      </w:r>
      <w:r>
        <w:rPr>
          <w:lang w:val="fr-CA"/>
        </w:rPr>
        <w:t>abroge</w:t>
      </w:r>
      <w:r w:rsidRPr="00FA558D">
        <w:rPr>
          <w:lang w:val="fr-CA"/>
        </w:rPr>
        <w:t xml:space="preserve"> </w:t>
      </w:r>
      <w:r>
        <w:rPr>
          <w:lang w:val="fr-CA"/>
        </w:rPr>
        <w:t>un règlement existant et le remplace</w:t>
      </w:r>
      <w:r w:rsidRPr="00FA558D">
        <w:rPr>
          <w:lang w:val="fr-CA"/>
        </w:rPr>
        <w:t xml:space="preserve"> </w:t>
      </w:r>
      <w:r>
        <w:rPr>
          <w:lang w:val="fr-CA"/>
        </w:rPr>
        <w:t>par un nouveau titre réglementaire</w:t>
      </w:r>
      <w:r w:rsidRPr="00FA558D">
        <w:rPr>
          <w:lang w:val="fr-CA"/>
        </w:rPr>
        <w:t xml:space="preserve">, </w:t>
      </w:r>
      <w:r>
        <w:rPr>
          <w:lang w:val="fr-CA"/>
        </w:rPr>
        <w:t>sans entraîner d’augmentation ou de diminution nette des titres réglementaire</w:t>
      </w:r>
      <w:r w:rsidRPr="00FA558D">
        <w:rPr>
          <w:lang w:val="fr-CA"/>
        </w:rPr>
        <w:t>s.</w:t>
      </w:r>
      <w:r>
        <w:rPr>
          <w:lang w:val="fr-CA"/>
        </w:rPr>
        <w:t> »</w:t>
      </w:r>
      <w:r w:rsidRPr="00FA558D">
        <w:rPr>
          <w:lang w:val="fr-CA"/>
        </w:rPr>
        <w:t xml:space="preserve"> </w:t>
      </w:r>
    </w:p>
    <w:p w14:paraId="45DEF640" w14:textId="77777777" w:rsidR="00B91619" w:rsidRPr="00FA558D" w:rsidRDefault="00B91619" w:rsidP="00B91619">
      <w:pPr>
        <w:tabs>
          <w:tab w:val="left" w:pos="9356"/>
        </w:tabs>
        <w:spacing w:after="0" w:line="240" w:lineRule="auto"/>
        <w:rPr>
          <w:lang w:val="fr-CA"/>
        </w:rPr>
      </w:pPr>
    </w:p>
    <w:p w14:paraId="1599C174" w14:textId="77777777" w:rsidR="00B91619" w:rsidRPr="00FA558D" w:rsidRDefault="00B91619" w:rsidP="00B91619">
      <w:pPr>
        <w:pStyle w:val="Heading4"/>
        <w:rPr>
          <w:lang w:val="fr-CA"/>
        </w:rPr>
      </w:pPr>
      <w:r>
        <w:rPr>
          <w:lang w:val="fr-CA"/>
        </w:rPr>
        <w:t>La règle du « un pour un »</w:t>
      </w:r>
      <w:r w:rsidRPr="00FA558D">
        <w:rPr>
          <w:lang w:val="fr-CA"/>
        </w:rPr>
        <w:t xml:space="preserve"> </w:t>
      </w:r>
      <w:r>
        <w:rPr>
          <w:lang w:val="fr-CA"/>
        </w:rPr>
        <w:t>s’applique</w:t>
      </w:r>
    </w:p>
    <w:p w14:paraId="469F4E91" w14:textId="77777777" w:rsidR="00B91619" w:rsidRPr="00FA558D" w:rsidRDefault="00B91619" w:rsidP="00B91619">
      <w:pPr>
        <w:tabs>
          <w:tab w:val="left" w:pos="9356"/>
        </w:tabs>
        <w:spacing w:after="0" w:line="240" w:lineRule="auto"/>
        <w:rPr>
          <w:b/>
          <w:lang w:val="fr-CA"/>
        </w:rPr>
      </w:pPr>
    </w:p>
    <w:p w14:paraId="6895D8D4" w14:textId="4627E04A" w:rsidR="00B91619" w:rsidRPr="00FA558D" w:rsidRDefault="00B91619" w:rsidP="00B91619">
      <w:pPr>
        <w:tabs>
          <w:tab w:val="left" w:pos="9356"/>
        </w:tabs>
        <w:spacing w:after="0" w:line="240" w:lineRule="auto"/>
        <w:rPr>
          <w:b/>
          <w:lang w:val="fr-CA"/>
        </w:rPr>
      </w:pPr>
      <w:r>
        <w:rPr>
          <w:b/>
          <w:lang w:val="fr-CA"/>
        </w:rPr>
        <w:t>L</w:t>
      </w:r>
      <w:r w:rsidR="00DC232E">
        <w:rPr>
          <w:b/>
          <w:lang w:val="fr-CA"/>
        </w:rPr>
        <w:t>’application de l</w:t>
      </w:r>
      <w:r>
        <w:rPr>
          <w:b/>
          <w:lang w:val="fr-CA"/>
        </w:rPr>
        <w:t>’élément</w:t>
      </w:r>
      <w:r w:rsidRPr="00FA558D">
        <w:rPr>
          <w:b/>
          <w:lang w:val="fr-CA"/>
        </w:rPr>
        <w:t xml:space="preserve"> A </w:t>
      </w:r>
      <w:r>
        <w:rPr>
          <w:b/>
          <w:lang w:val="fr-CA"/>
        </w:rPr>
        <w:t xml:space="preserve">est </w:t>
      </w:r>
      <w:r w:rsidR="00F222CA">
        <w:rPr>
          <w:b/>
          <w:lang w:val="fr-CA"/>
        </w:rPr>
        <w:t>entraînée</w:t>
      </w:r>
    </w:p>
    <w:p w14:paraId="57AC3A25" w14:textId="2803E58B" w:rsidR="00B91619" w:rsidRPr="00FA558D" w:rsidRDefault="00B91619" w:rsidP="00B91619">
      <w:pPr>
        <w:tabs>
          <w:tab w:val="left" w:pos="9356"/>
        </w:tabs>
        <w:spacing w:after="0" w:line="240" w:lineRule="auto"/>
        <w:rPr>
          <w:lang w:val="fr-CA"/>
        </w:rPr>
      </w:pPr>
      <w:r>
        <w:rPr>
          <w:lang w:val="fr-CA"/>
        </w:rPr>
        <w:lastRenderedPageBreak/>
        <w:t>Le projet</w:t>
      </w:r>
      <w:r w:rsidRPr="00FA558D">
        <w:rPr>
          <w:lang w:val="fr-CA"/>
        </w:rPr>
        <w:t xml:space="preserve"> </w:t>
      </w:r>
      <w:r>
        <w:rPr>
          <w:lang w:val="fr-CA"/>
        </w:rPr>
        <w:t>impose ou supprime un fardeau administratif progressif</w:t>
      </w:r>
      <w:r w:rsidRPr="00FA558D">
        <w:rPr>
          <w:lang w:val="fr-CA"/>
        </w:rPr>
        <w:t xml:space="preserve"> </w:t>
      </w:r>
      <w:r w:rsidR="004C0F60">
        <w:rPr>
          <w:lang w:val="fr-CA"/>
        </w:rPr>
        <w:t>aux</w:t>
      </w:r>
      <w:r>
        <w:rPr>
          <w:lang w:val="fr-CA"/>
        </w:rPr>
        <w:t xml:space="preserve"> entreprises</w:t>
      </w:r>
      <w:r w:rsidRPr="00FA558D">
        <w:rPr>
          <w:lang w:val="fr-CA"/>
        </w:rPr>
        <w:t>.</w:t>
      </w:r>
      <w:r>
        <w:rPr>
          <w:lang w:val="fr-CA"/>
        </w:rPr>
        <w:t xml:space="preserve"> Dans la section sur la règle du « un pour un »</w:t>
      </w:r>
      <w:r w:rsidRPr="00FA558D">
        <w:rPr>
          <w:lang w:val="fr-CA"/>
        </w:rPr>
        <w:t xml:space="preserve">, </w:t>
      </w:r>
      <w:r>
        <w:rPr>
          <w:lang w:val="fr-CA"/>
        </w:rPr>
        <w:t>le projet</w:t>
      </w:r>
      <w:r w:rsidRPr="00FA558D">
        <w:rPr>
          <w:lang w:val="fr-CA"/>
        </w:rPr>
        <w:t xml:space="preserve"> </w:t>
      </w:r>
      <w:r>
        <w:rPr>
          <w:lang w:val="fr-CA"/>
        </w:rPr>
        <w:t>doit</w:t>
      </w:r>
      <w:r w:rsidRPr="00FA558D">
        <w:rPr>
          <w:lang w:val="fr-CA"/>
        </w:rPr>
        <w:t xml:space="preserve"> </w:t>
      </w:r>
      <w:r>
        <w:rPr>
          <w:lang w:val="fr-CA"/>
        </w:rPr>
        <w:t>indiquer</w:t>
      </w:r>
      <w:r w:rsidRPr="00FA558D">
        <w:rPr>
          <w:lang w:val="fr-CA"/>
        </w:rPr>
        <w:t xml:space="preserve"> </w:t>
      </w:r>
      <w:r>
        <w:rPr>
          <w:lang w:val="fr-CA"/>
        </w:rPr>
        <w:t>si</w:t>
      </w:r>
      <w:r w:rsidRPr="00FA558D">
        <w:rPr>
          <w:lang w:val="fr-CA"/>
        </w:rPr>
        <w:t xml:space="preserve"> </w:t>
      </w:r>
      <w:r>
        <w:rPr>
          <w:lang w:val="fr-CA"/>
        </w:rPr>
        <w:t>le règlement ajoute ou supprime un fardeau</w:t>
      </w:r>
      <w:r w:rsidRPr="00FA558D">
        <w:rPr>
          <w:lang w:val="fr-CA"/>
        </w:rPr>
        <w:t xml:space="preserve"> </w:t>
      </w:r>
      <w:r>
        <w:rPr>
          <w:lang w:val="fr-CA"/>
        </w:rPr>
        <w:t>en vertu de la règle</w:t>
      </w:r>
      <w:r w:rsidRPr="00FA558D">
        <w:rPr>
          <w:lang w:val="fr-CA"/>
        </w:rPr>
        <w:t>,</w:t>
      </w:r>
      <w:r>
        <w:rPr>
          <w:lang w:val="fr-CA"/>
        </w:rPr>
        <w:t xml:space="preserve"> et la valeur de la modification </w:t>
      </w:r>
      <w:r w:rsidR="00986715">
        <w:rPr>
          <w:lang w:val="fr-CA"/>
        </w:rPr>
        <w:t xml:space="preserve">au chapitre </w:t>
      </w:r>
      <w:r>
        <w:rPr>
          <w:lang w:val="fr-CA"/>
        </w:rPr>
        <w:t>du fardeau administratif</w:t>
      </w:r>
      <w:r w:rsidRPr="00FA558D">
        <w:rPr>
          <w:lang w:val="fr-CA"/>
        </w:rPr>
        <w:t>.</w:t>
      </w:r>
    </w:p>
    <w:p w14:paraId="053F8452" w14:textId="77777777" w:rsidR="00B91619" w:rsidRPr="00FA558D" w:rsidRDefault="00B91619" w:rsidP="00B91619">
      <w:pPr>
        <w:pStyle w:val="ListParagraph"/>
        <w:tabs>
          <w:tab w:val="left" w:pos="9356"/>
        </w:tabs>
        <w:spacing w:after="0" w:line="240" w:lineRule="auto"/>
        <w:ind w:left="426"/>
        <w:rPr>
          <w:lang w:val="fr-CA"/>
        </w:rPr>
      </w:pPr>
    </w:p>
    <w:p w14:paraId="70C40053" w14:textId="3EA2DF77" w:rsidR="00B91619" w:rsidRPr="00FA558D" w:rsidRDefault="00B91619" w:rsidP="00B91619">
      <w:pPr>
        <w:tabs>
          <w:tab w:val="left" w:pos="9356"/>
        </w:tabs>
        <w:spacing w:after="0" w:line="240" w:lineRule="auto"/>
        <w:rPr>
          <w:lang w:val="fr-CA"/>
        </w:rPr>
      </w:pPr>
      <w:r>
        <w:rPr>
          <w:lang w:val="fr-CA"/>
        </w:rPr>
        <w:t>Dans un tel cas</w:t>
      </w:r>
      <w:r w:rsidRPr="00FA558D">
        <w:rPr>
          <w:lang w:val="fr-CA"/>
        </w:rPr>
        <w:t xml:space="preserve">, </w:t>
      </w: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applique</w:t>
      </w:r>
      <w:r w:rsidRPr="00FA558D">
        <w:rPr>
          <w:lang w:val="fr-CA"/>
        </w:rPr>
        <w:t xml:space="preserve"> </w:t>
      </w:r>
      <w:r>
        <w:rPr>
          <w:lang w:val="fr-CA"/>
        </w:rPr>
        <w:t xml:space="preserve">puisqu’il y a </w:t>
      </w:r>
      <w:r w:rsidR="00986715">
        <w:rPr>
          <w:lang w:val="fr-CA"/>
        </w:rPr>
        <w:t xml:space="preserve">une </w:t>
      </w:r>
      <w:r>
        <w:rPr>
          <w:lang w:val="fr-CA"/>
        </w:rPr>
        <w:t xml:space="preserve">augmentation ou </w:t>
      </w:r>
      <w:r w:rsidR="00986715">
        <w:rPr>
          <w:lang w:val="fr-CA"/>
        </w:rPr>
        <w:t xml:space="preserve">une </w:t>
      </w:r>
      <w:r>
        <w:rPr>
          <w:lang w:val="fr-CA"/>
        </w:rPr>
        <w:t>diminution progressive</w:t>
      </w:r>
      <w:r w:rsidRPr="00FA558D">
        <w:rPr>
          <w:lang w:val="fr-CA"/>
        </w:rPr>
        <w:t xml:space="preserve"> </w:t>
      </w:r>
      <w:r>
        <w:rPr>
          <w:lang w:val="fr-CA"/>
        </w:rPr>
        <w:t xml:space="preserve">du fardeau administratif </w:t>
      </w:r>
      <w:r w:rsidR="00986715">
        <w:rPr>
          <w:lang w:val="fr-CA"/>
        </w:rPr>
        <w:t>imposé aux</w:t>
      </w:r>
      <w:r>
        <w:rPr>
          <w:lang w:val="fr-CA"/>
        </w:rPr>
        <w:t xml:space="preserve"> entreprises</w:t>
      </w:r>
      <w:r w:rsidRPr="00FA558D">
        <w:rPr>
          <w:lang w:val="fr-CA"/>
        </w:rPr>
        <w:t>,</w:t>
      </w:r>
      <w:r>
        <w:rPr>
          <w:lang w:val="fr-CA"/>
        </w:rPr>
        <w:t xml:space="preserve"> et que le projet</w:t>
      </w:r>
      <w:r w:rsidRPr="00FA558D">
        <w:rPr>
          <w:lang w:val="fr-CA"/>
        </w:rPr>
        <w:t xml:space="preserve"> </w:t>
      </w:r>
      <w:r>
        <w:rPr>
          <w:lang w:val="fr-CA"/>
        </w:rPr>
        <w:t>augment</w:t>
      </w:r>
      <w:r w:rsidR="00986715">
        <w:rPr>
          <w:lang w:val="fr-CA"/>
        </w:rPr>
        <w:t>e</w:t>
      </w:r>
      <w:r>
        <w:rPr>
          <w:lang w:val="fr-CA"/>
        </w:rPr>
        <w:t xml:space="preserve"> ou dimin</w:t>
      </w:r>
      <w:r w:rsidR="00F222CA">
        <w:rPr>
          <w:lang w:val="fr-CA"/>
        </w:rPr>
        <w:t>u</w:t>
      </w:r>
      <w:r w:rsidR="00986715">
        <w:rPr>
          <w:lang w:val="fr-CA"/>
        </w:rPr>
        <w:t>e</w:t>
      </w:r>
      <w:r>
        <w:rPr>
          <w:lang w:val="fr-CA"/>
        </w:rPr>
        <w:t xml:space="preserve"> le fardeau</w:t>
      </w:r>
      <w:r w:rsidRPr="00FA558D">
        <w:rPr>
          <w:lang w:val="fr-CA"/>
        </w:rPr>
        <w:t xml:space="preserve"> </w:t>
      </w:r>
      <w:r>
        <w:rPr>
          <w:lang w:val="fr-CA"/>
        </w:rPr>
        <w:t>en vertu de la règle</w:t>
      </w:r>
      <w:r w:rsidRPr="00FA558D">
        <w:rPr>
          <w:lang w:val="fr-CA"/>
        </w:rPr>
        <w:t>.</w:t>
      </w:r>
      <w:r w:rsidR="0061375C">
        <w:rPr>
          <w:lang w:val="fr-CA"/>
        </w:rPr>
        <w:t xml:space="preserve"> Aucun titre réglementaire n’est abrogé ou adopté.</w:t>
      </w:r>
      <w:r>
        <w:rPr>
          <w:lang w:val="fr-CA"/>
        </w:rPr>
        <w:t> »</w:t>
      </w:r>
    </w:p>
    <w:p w14:paraId="2A4D5562" w14:textId="77777777" w:rsidR="00B91619" w:rsidRPr="00FA558D" w:rsidRDefault="00B91619" w:rsidP="00B91619">
      <w:pPr>
        <w:pStyle w:val="ListParagraph"/>
        <w:tabs>
          <w:tab w:val="left" w:pos="9356"/>
        </w:tabs>
        <w:spacing w:after="0" w:line="240" w:lineRule="auto"/>
        <w:ind w:left="360"/>
        <w:rPr>
          <w:lang w:val="fr-CA"/>
        </w:rPr>
      </w:pPr>
    </w:p>
    <w:p w14:paraId="73D1535C" w14:textId="77777777" w:rsidR="00B91619" w:rsidRPr="00FA558D" w:rsidRDefault="00B91619" w:rsidP="00B91619">
      <w:pPr>
        <w:tabs>
          <w:tab w:val="left" w:pos="9356"/>
        </w:tabs>
        <w:spacing w:after="0" w:line="240" w:lineRule="auto"/>
        <w:rPr>
          <w:lang w:val="fr-CA"/>
        </w:rPr>
      </w:pPr>
      <w:r>
        <w:rPr>
          <w:lang w:val="fr-CA"/>
        </w:rPr>
        <w:t>Cet énoncé</w:t>
      </w:r>
      <w:r w:rsidRPr="00FA558D">
        <w:rPr>
          <w:lang w:val="fr-CA"/>
        </w:rPr>
        <w:t xml:space="preserve"> </w:t>
      </w:r>
      <w:r>
        <w:rPr>
          <w:lang w:val="fr-CA"/>
        </w:rPr>
        <w:t>doit être suivi</w:t>
      </w:r>
      <w:r w:rsidRPr="00FA558D">
        <w:rPr>
          <w:lang w:val="fr-CA"/>
        </w:rPr>
        <w:t xml:space="preserve"> </w:t>
      </w:r>
      <w:r>
        <w:rPr>
          <w:lang w:val="fr-CA"/>
        </w:rPr>
        <w:t>par l’analyse</w:t>
      </w:r>
      <w:r w:rsidRPr="00FA558D">
        <w:rPr>
          <w:lang w:val="fr-CA"/>
        </w:rPr>
        <w:t xml:space="preserve"> </w:t>
      </w:r>
      <w:r>
        <w:rPr>
          <w:lang w:val="fr-CA"/>
        </w:rPr>
        <w:t>menée selon les exigences</w:t>
      </w:r>
      <w:r w:rsidRPr="00FA558D">
        <w:rPr>
          <w:lang w:val="fr-CA"/>
        </w:rPr>
        <w:t xml:space="preserve">, </w:t>
      </w:r>
      <w:r>
        <w:rPr>
          <w:lang w:val="fr-CA"/>
        </w:rPr>
        <w:t>incluant</w:t>
      </w:r>
      <w:r w:rsidRPr="00FA558D">
        <w:rPr>
          <w:lang w:val="fr-CA"/>
        </w:rPr>
        <w:t xml:space="preserve"> </w:t>
      </w:r>
      <w:r>
        <w:rPr>
          <w:lang w:val="fr-CA"/>
        </w:rPr>
        <w:t>la modification nette du fardeau administratif</w:t>
      </w:r>
      <w:r w:rsidRPr="00FA558D">
        <w:rPr>
          <w:lang w:val="fr-CA"/>
        </w:rPr>
        <w:t xml:space="preserve">. </w:t>
      </w:r>
    </w:p>
    <w:p w14:paraId="4077EA8E" w14:textId="77777777" w:rsidR="00B91619" w:rsidRPr="00FA558D" w:rsidRDefault="00B91619" w:rsidP="00B91619">
      <w:pPr>
        <w:tabs>
          <w:tab w:val="left" w:pos="9356"/>
        </w:tabs>
        <w:spacing w:after="0" w:line="240" w:lineRule="auto"/>
        <w:rPr>
          <w:lang w:val="fr-CA"/>
        </w:rPr>
      </w:pPr>
    </w:p>
    <w:p w14:paraId="536E2645" w14:textId="1090715A" w:rsidR="00B91619" w:rsidRPr="00FA558D" w:rsidRDefault="00B91619" w:rsidP="00B91619">
      <w:pPr>
        <w:tabs>
          <w:tab w:val="left" w:pos="9356"/>
        </w:tabs>
        <w:spacing w:after="0" w:line="240" w:lineRule="auto"/>
        <w:rPr>
          <w:lang w:val="fr-CA"/>
        </w:rPr>
      </w:pPr>
      <w:r>
        <w:rPr>
          <w:b/>
          <w:lang w:val="fr-CA"/>
        </w:rPr>
        <w:t>L</w:t>
      </w:r>
      <w:r w:rsidR="00F222CA">
        <w:rPr>
          <w:b/>
          <w:lang w:val="fr-CA"/>
        </w:rPr>
        <w:t>’application d</w:t>
      </w:r>
      <w:r>
        <w:rPr>
          <w:b/>
          <w:lang w:val="fr-CA"/>
        </w:rPr>
        <w:t>es élément</w:t>
      </w:r>
      <w:r w:rsidRPr="00FA558D">
        <w:rPr>
          <w:b/>
          <w:lang w:val="fr-CA"/>
        </w:rPr>
        <w:t>s A</w:t>
      </w:r>
      <w:r>
        <w:rPr>
          <w:b/>
          <w:lang w:val="fr-CA"/>
        </w:rPr>
        <w:t xml:space="preserve"> et </w:t>
      </w:r>
      <w:r w:rsidRPr="00FA558D">
        <w:rPr>
          <w:b/>
          <w:lang w:val="fr-CA"/>
        </w:rPr>
        <w:t>B</w:t>
      </w:r>
      <w:r>
        <w:rPr>
          <w:b/>
          <w:lang w:val="fr-CA"/>
        </w:rPr>
        <w:t xml:space="preserve"> </w:t>
      </w:r>
      <w:r w:rsidR="00F222CA">
        <w:rPr>
          <w:b/>
          <w:lang w:val="fr-CA"/>
        </w:rPr>
        <w:t>est entraînée</w:t>
      </w:r>
      <w:r w:rsidRPr="00FA558D">
        <w:rPr>
          <w:lang w:val="fr-CA"/>
        </w:rPr>
        <w:t xml:space="preserve"> </w:t>
      </w:r>
    </w:p>
    <w:p w14:paraId="43BF195B" w14:textId="77777777" w:rsidR="00B91619" w:rsidRPr="00FA558D" w:rsidRDefault="00B91619" w:rsidP="00B91619">
      <w:pPr>
        <w:tabs>
          <w:tab w:val="left" w:pos="9356"/>
        </w:tabs>
        <w:spacing w:after="0" w:line="240" w:lineRule="auto"/>
        <w:rPr>
          <w:lang w:val="fr-CA"/>
        </w:rPr>
      </w:pPr>
      <w:r>
        <w:rPr>
          <w:lang w:val="fr-CA"/>
        </w:rPr>
        <w:t>Le projet</w:t>
      </w:r>
      <w:r w:rsidRPr="00FA558D">
        <w:rPr>
          <w:lang w:val="fr-CA"/>
        </w:rPr>
        <w:t xml:space="preserve"> </w:t>
      </w:r>
      <w:r>
        <w:rPr>
          <w:lang w:val="fr-CA"/>
        </w:rPr>
        <w:t>remplit l’une des deux conditions ci-après :</w:t>
      </w:r>
    </w:p>
    <w:p w14:paraId="153C8E4E" w14:textId="33DB0A46" w:rsidR="00B91619" w:rsidRPr="00FA558D" w:rsidRDefault="00702F86" w:rsidP="00B91619">
      <w:pPr>
        <w:pStyle w:val="ListParagraph"/>
        <w:numPr>
          <w:ilvl w:val="0"/>
          <w:numId w:val="10"/>
        </w:numPr>
        <w:tabs>
          <w:tab w:val="left" w:pos="9356"/>
        </w:tabs>
        <w:spacing w:after="0" w:line="240" w:lineRule="auto"/>
        <w:rPr>
          <w:lang w:val="fr-CA"/>
        </w:rPr>
      </w:pPr>
      <w:r>
        <w:rPr>
          <w:lang w:val="fr-CA"/>
        </w:rPr>
        <w:t>i</w:t>
      </w:r>
      <w:r w:rsidR="00B91619">
        <w:rPr>
          <w:lang w:val="fr-CA"/>
        </w:rPr>
        <w:t xml:space="preserve">l </w:t>
      </w:r>
      <w:r w:rsidR="00B91619" w:rsidRPr="00FA558D">
        <w:rPr>
          <w:lang w:val="fr-CA"/>
        </w:rPr>
        <w:t>intro</w:t>
      </w:r>
      <w:r w:rsidR="00B91619">
        <w:rPr>
          <w:lang w:val="fr-CA"/>
        </w:rPr>
        <w:t>duit un nouveau titre réglementaire qui entraîne</w:t>
      </w:r>
      <w:r w:rsidR="00B91619" w:rsidRPr="00FA558D">
        <w:rPr>
          <w:lang w:val="fr-CA"/>
        </w:rPr>
        <w:t xml:space="preserve"> </w:t>
      </w:r>
      <w:r w:rsidR="00B91619">
        <w:rPr>
          <w:lang w:val="fr-CA"/>
        </w:rPr>
        <w:t xml:space="preserve">une modification progressive du fardeau administratif </w:t>
      </w:r>
      <w:r>
        <w:rPr>
          <w:lang w:val="fr-CA"/>
        </w:rPr>
        <w:t>imposé aux</w:t>
      </w:r>
      <w:r w:rsidR="00B91619">
        <w:rPr>
          <w:lang w:val="fr-CA"/>
        </w:rPr>
        <w:t xml:space="preserve"> entreprises</w:t>
      </w:r>
      <w:r>
        <w:rPr>
          <w:lang w:val="fr-CA"/>
        </w:rPr>
        <w:t>;</w:t>
      </w:r>
    </w:p>
    <w:p w14:paraId="4F2BFC6F" w14:textId="4915A910" w:rsidR="00B91619" w:rsidRPr="00FA558D" w:rsidRDefault="00B91619" w:rsidP="00B91619">
      <w:pPr>
        <w:pStyle w:val="ListParagraph"/>
        <w:numPr>
          <w:ilvl w:val="0"/>
          <w:numId w:val="10"/>
        </w:numPr>
        <w:tabs>
          <w:tab w:val="left" w:pos="9356"/>
        </w:tabs>
        <w:spacing w:after="0" w:line="240" w:lineRule="auto"/>
        <w:rPr>
          <w:lang w:val="fr-CA"/>
        </w:rPr>
      </w:pPr>
      <w:r>
        <w:rPr>
          <w:lang w:val="fr-CA"/>
        </w:rPr>
        <w:t>il supprime</w:t>
      </w:r>
      <w:r w:rsidRPr="00FA558D">
        <w:rPr>
          <w:lang w:val="fr-CA"/>
        </w:rPr>
        <w:t xml:space="preserve"> </w:t>
      </w:r>
      <w:r>
        <w:rPr>
          <w:lang w:val="fr-CA"/>
        </w:rPr>
        <w:t>un titre réglementaire existant qui entraîne</w:t>
      </w:r>
      <w:r w:rsidRPr="00FA558D">
        <w:rPr>
          <w:lang w:val="fr-CA"/>
        </w:rPr>
        <w:t xml:space="preserve"> </w:t>
      </w:r>
      <w:r>
        <w:rPr>
          <w:lang w:val="fr-CA"/>
        </w:rPr>
        <w:t xml:space="preserve">une modification progressive du fardeau administratif </w:t>
      </w:r>
      <w:r w:rsidR="00702F86">
        <w:rPr>
          <w:lang w:val="fr-CA"/>
        </w:rPr>
        <w:t>imposé aux</w:t>
      </w:r>
      <w:r>
        <w:rPr>
          <w:lang w:val="fr-CA"/>
        </w:rPr>
        <w:t xml:space="preserve"> entreprises</w:t>
      </w:r>
      <w:r w:rsidR="008105D7">
        <w:rPr>
          <w:lang w:val="fr-CA"/>
        </w:rPr>
        <w:t>.</w:t>
      </w:r>
    </w:p>
    <w:p w14:paraId="65800DB5" w14:textId="77777777" w:rsidR="00B91619" w:rsidRPr="00FA558D" w:rsidRDefault="00B91619" w:rsidP="00B91619">
      <w:pPr>
        <w:pStyle w:val="ListParagraph"/>
        <w:tabs>
          <w:tab w:val="left" w:pos="9356"/>
        </w:tabs>
        <w:spacing w:after="0" w:line="240" w:lineRule="auto"/>
        <w:ind w:left="426"/>
        <w:rPr>
          <w:lang w:val="fr-CA"/>
        </w:rPr>
      </w:pPr>
    </w:p>
    <w:p w14:paraId="7C9ABB5B" w14:textId="6C5CE4CE" w:rsidR="00B91619" w:rsidRPr="00FA558D" w:rsidRDefault="00B91619" w:rsidP="00B91619">
      <w:pPr>
        <w:tabs>
          <w:tab w:val="left" w:pos="9356"/>
        </w:tabs>
        <w:spacing w:after="0" w:line="240" w:lineRule="auto"/>
        <w:rPr>
          <w:lang w:val="fr-CA"/>
        </w:rPr>
      </w:pPr>
      <w:r>
        <w:rPr>
          <w:lang w:val="fr-CA"/>
        </w:rPr>
        <w:t>Si le</w:t>
      </w:r>
      <w:r w:rsidRPr="00FA558D">
        <w:rPr>
          <w:lang w:val="fr-CA"/>
        </w:rPr>
        <w:t xml:space="preserve"> </w:t>
      </w:r>
      <w:r>
        <w:rPr>
          <w:lang w:val="fr-CA"/>
        </w:rPr>
        <w:t>projet</w:t>
      </w:r>
      <w:r w:rsidRPr="00FA558D">
        <w:rPr>
          <w:lang w:val="fr-CA"/>
        </w:rPr>
        <w:t xml:space="preserve"> </w:t>
      </w:r>
      <w:r>
        <w:rPr>
          <w:lang w:val="fr-CA"/>
        </w:rPr>
        <w:t>est considéré</w:t>
      </w:r>
      <w:r w:rsidRPr="00FA558D">
        <w:rPr>
          <w:lang w:val="fr-CA"/>
        </w:rPr>
        <w:t xml:space="preserve"> </w:t>
      </w:r>
      <w:r>
        <w:rPr>
          <w:lang w:val="fr-CA"/>
        </w:rPr>
        <w:t xml:space="preserve">comme </w:t>
      </w:r>
      <w:r w:rsidR="00702F86">
        <w:rPr>
          <w:lang w:val="fr-CA"/>
        </w:rPr>
        <w:t xml:space="preserve">une augmentation de </w:t>
      </w:r>
      <w:r>
        <w:rPr>
          <w:lang w:val="fr-CA"/>
        </w:rPr>
        <w:t>la réglementation suivant l’élément B</w:t>
      </w:r>
      <w:r w:rsidRPr="00FA558D">
        <w:rPr>
          <w:lang w:val="fr-CA"/>
        </w:rPr>
        <w:t xml:space="preserve">, </w:t>
      </w:r>
      <w:r>
        <w:rPr>
          <w:lang w:val="fr-CA"/>
        </w:rPr>
        <w:t xml:space="preserve">il </w:t>
      </w:r>
      <w:r w:rsidR="00702F86">
        <w:rPr>
          <w:lang w:val="fr-CA"/>
        </w:rPr>
        <w:t xml:space="preserve">entraînera </w:t>
      </w:r>
      <w:r>
        <w:rPr>
          <w:lang w:val="fr-CA"/>
        </w:rPr>
        <w:t xml:space="preserve">aussi nécessairement </w:t>
      </w:r>
      <w:r w:rsidR="00702F86">
        <w:rPr>
          <w:lang w:val="fr-CA"/>
        </w:rPr>
        <w:t xml:space="preserve">l’application de </w:t>
      </w:r>
      <w:r>
        <w:rPr>
          <w:lang w:val="fr-CA"/>
        </w:rPr>
        <w:t>l’élément</w:t>
      </w:r>
      <w:r w:rsidRPr="00FA558D">
        <w:rPr>
          <w:lang w:val="fr-CA"/>
        </w:rPr>
        <w:t> </w:t>
      </w:r>
      <w:r>
        <w:rPr>
          <w:lang w:val="fr-CA"/>
        </w:rPr>
        <w:t>A</w:t>
      </w:r>
      <w:r w:rsidRPr="00FA558D">
        <w:rPr>
          <w:lang w:val="fr-CA"/>
        </w:rPr>
        <w:t xml:space="preserve">. </w:t>
      </w:r>
      <w:r>
        <w:rPr>
          <w:lang w:val="fr-CA"/>
        </w:rPr>
        <w:t>Dans un tel cas</w:t>
      </w:r>
      <w:r w:rsidRPr="00FA558D">
        <w:rPr>
          <w:lang w:val="fr-CA"/>
        </w:rPr>
        <w:t xml:space="preserve">, </w:t>
      </w: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s’applique en raison</w:t>
      </w:r>
      <w:r w:rsidR="00702F86">
        <w:rPr>
          <w:lang w:val="fr-CA"/>
        </w:rPr>
        <w:t xml:space="preserve"> de l’</w:t>
      </w:r>
      <w:r>
        <w:rPr>
          <w:lang w:val="fr-CA"/>
        </w:rPr>
        <w:t>augmentation</w:t>
      </w:r>
      <w:r w:rsidR="00702F86">
        <w:rPr>
          <w:lang w:val="fr-CA"/>
        </w:rPr>
        <w:t xml:space="preserve"> ou de la </w:t>
      </w:r>
      <w:r>
        <w:rPr>
          <w:lang w:val="fr-CA"/>
        </w:rPr>
        <w:t>diminution progressive</w:t>
      </w:r>
      <w:r w:rsidRPr="00FA558D">
        <w:rPr>
          <w:lang w:val="fr-CA"/>
        </w:rPr>
        <w:t xml:space="preserve"> </w:t>
      </w:r>
      <w:r>
        <w:rPr>
          <w:lang w:val="fr-CA"/>
        </w:rPr>
        <w:t xml:space="preserve">du fardeau administratif </w:t>
      </w:r>
      <w:r w:rsidR="00702F86">
        <w:rPr>
          <w:lang w:val="fr-CA"/>
        </w:rPr>
        <w:t>imposé aux</w:t>
      </w:r>
      <w:r>
        <w:rPr>
          <w:lang w:val="fr-CA"/>
        </w:rPr>
        <w:t xml:space="preserve"> entreprises</w:t>
      </w:r>
      <w:r w:rsidRPr="00FA558D">
        <w:rPr>
          <w:lang w:val="fr-CA"/>
        </w:rPr>
        <w:t>,</w:t>
      </w:r>
      <w:r>
        <w:rPr>
          <w:lang w:val="fr-CA"/>
        </w:rPr>
        <w:t xml:space="preserve"> et de l’ajout d’un nouveau titre réglementaire</w:t>
      </w:r>
      <w:r w:rsidRPr="00FA558D">
        <w:rPr>
          <w:lang w:val="fr-CA"/>
        </w:rPr>
        <w:t>.</w:t>
      </w:r>
      <w:r>
        <w:rPr>
          <w:lang w:val="fr-CA"/>
        </w:rPr>
        <w:t> »</w:t>
      </w:r>
    </w:p>
    <w:p w14:paraId="571293C2" w14:textId="77777777" w:rsidR="00B91619" w:rsidRPr="00FA558D" w:rsidRDefault="00B91619" w:rsidP="00B91619">
      <w:pPr>
        <w:pStyle w:val="ListParagraph"/>
        <w:tabs>
          <w:tab w:val="left" w:pos="9356"/>
        </w:tabs>
        <w:spacing w:after="0" w:line="240" w:lineRule="auto"/>
        <w:ind w:left="426"/>
        <w:rPr>
          <w:lang w:val="fr-CA"/>
        </w:rPr>
      </w:pPr>
    </w:p>
    <w:p w14:paraId="7EBB637F" w14:textId="5CD7FA23" w:rsidR="00B91619" w:rsidRPr="00FA558D" w:rsidRDefault="00B91619" w:rsidP="00B91619">
      <w:pPr>
        <w:tabs>
          <w:tab w:val="left" w:pos="9356"/>
        </w:tabs>
        <w:spacing w:after="0" w:line="240" w:lineRule="auto"/>
        <w:rPr>
          <w:lang w:val="fr-CA"/>
        </w:rPr>
      </w:pPr>
      <w:r>
        <w:rPr>
          <w:lang w:val="fr-CA"/>
        </w:rPr>
        <w:t>Si le</w:t>
      </w:r>
      <w:r w:rsidRPr="00FA558D">
        <w:rPr>
          <w:lang w:val="fr-CA"/>
        </w:rPr>
        <w:t xml:space="preserve"> </w:t>
      </w:r>
      <w:r>
        <w:rPr>
          <w:lang w:val="fr-CA"/>
        </w:rPr>
        <w:t>projet</w:t>
      </w:r>
      <w:r w:rsidRPr="00FA558D">
        <w:rPr>
          <w:lang w:val="fr-CA"/>
        </w:rPr>
        <w:t xml:space="preserve"> </w:t>
      </w:r>
      <w:r>
        <w:rPr>
          <w:lang w:val="fr-CA"/>
        </w:rPr>
        <w:t>supprime</w:t>
      </w:r>
      <w:r w:rsidRPr="00FA558D">
        <w:rPr>
          <w:lang w:val="fr-CA"/>
        </w:rPr>
        <w:t xml:space="preserve"> </w:t>
      </w:r>
      <w:r>
        <w:rPr>
          <w:lang w:val="fr-CA"/>
        </w:rPr>
        <w:t>un règlement existant et entraîne</w:t>
      </w:r>
      <w:r w:rsidRPr="00FA558D">
        <w:rPr>
          <w:lang w:val="fr-CA"/>
        </w:rPr>
        <w:t xml:space="preserve"> </w:t>
      </w:r>
      <w:r>
        <w:rPr>
          <w:lang w:val="fr-CA"/>
        </w:rPr>
        <w:t xml:space="preserve">une augmentation ou une diminution progressive du fardeau administratif </w:t>
      </w:r>
      <w:r w:rsidR="00702F86">
        <w:rPr>
          <w:lang w:val="fr-CA"/>
        </w:rPr>
        <w:t>imposé aux</w:t>
      </w:r>
      <w:r>
        <w:rPr>
          <w:lang w:val="fr-CA"/>
        </w:rPr>
        <w:t xml:space="preserve"> entreprises</w:t>
      </w:r>
      <w:r w:rsidRPr="00FA558D">
        <w:rPr>
          <w:lang w:val="fr-CA"/>
        </w:rPr>
        <w:t xml:space="preserve">, </w:t>
      </w:r>
      <w:r>
        <w:rPr>
          <w:lang w:val="fr-CA"/>
        </w:rPr>
        <w:t>la section sur la règle du « un pour un » du</w:t>
      </w:r>
      <w:r w:rsidR="00702F86">
        <w:rPr>
          <w:lang w:val="fr-CA"/>
        </w:rPr>
        <w:t> </w:t>
      </w:r>
      <w:r>
        <w:rPr>
          <w:lang w:val="fr-CA"/>
        </w:rPr>
        <w:t>REIR</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Pr>
          <w:lang w:val="fr-CA"/>
        </w:rPr>
        <w:t xml:space="preserve"> </w:t>
      </w:r>
      <w:r w:rsidR="00702F86">
        <w:rPr>
          <w:lang w:val="fr-CA"/>
        </w:rPr>
        <w:t xml:space="preserve">s’applique </w:t>
      </w:r>
      <w:r>
        <w:rPr>
          <w:lang w:val="fr-CA"/>
        </w:rPr>
        <w:t>en raison d’une augmentation</w:t>
      </w:r>
      <w:r w:rsidR="00702F86">
        <w:rPr>
          <w:lang w:val="fr-CA"/>
        </w:rPr>
        <w:t xml:space="preserve"> ou d’une </w:t>
      </w:r>
      <w:r>
        <w:rPr>
          <w:lang w:val="fr-CA"/>
        </w:rPr>
        <w:t>diminution progressive</w:t>
      </w:r>
      <w:r w:rsidRPr="00FA558D">
        <w:rPr>
          <w:lang w:val="fr-CA"/>
        </w:rPr>
        <w:t xml:space="preserve"> </w:t>
      </w:r>
      <w:r>
        <w:rPr>
          <w:lang w:val="fr-CA"/>
        </w:rPr>
        <w:t xml:space="preserve">du fardeau administratif </w:t>
      </w:r>
      <w:r w:rsidR="00702F86">
        <w:rPr>
          <w:lang w:val="fr-CA"/>
        </w:rPr>
        <w:t>imposé aux</w:t>
      </w:r>
      <w:r>
        <w:rPr>
          <w:lang w:val="fr-CA"/>
        </w:rPr>
        <w:t xml:space="preserve"> entreprises</w:t>
      </w:r>
      <w:r w:rsidRPr="00FA558D">
        <w:rPr>
          <w:lang w:val="fr-CA"/>
        </w:rPr>
        <w:t>,</w:t>
      </w:r>
      <w:r>
        <w:rPr>
          <w:lang w:val="fr-CA"/>
        </w:rPr>
        <w:t xml:space="preserve"> et de l</w:t>
      </w:r>
      <w:r w:rsidR="0000070B">
        <w:rPr>
          <w:lang w:val="fr-CA"/>
        </w:rPr>
        <w:t xml:space="preserve">’abrogation </w:t>
      </w:r>
      <w:r>
        <w:rPr>
          <w:lang w:val="fr-CA"/>
        </w:rPr>
        <w:t xml:space="preserve">d’un règlement existant </w:t>
      </w:r>
      <w:r w:rsidRPr="00FA558D">
        <w:rPr>
          <w:lang w:val="fr-CA"/>
        </w:rPr>
        <w:t>(</w:t>
      </w:r>
      <w:r w:rsidR="00411BD6">
        <w:rPr>
          <w:lang w:val="fr-CA"/>
        </w:rPr>
        <w:t>suppression</w:t>
      </w:r>
      <w:r>
        <w:rPr>
          <w:lang w:val="fr-CA"/>
        </w:rPr>
        <w:t xml:space="preserve"> d’un règlement</w:t>
      </w:r>
      <w:r w:rsidRPr="00FA558D">
        <w:rPr>
          <w:lang w:val="fr-CA"/>
        </w:rPr>
        <w:t>).</w:t>
      </w:r>
      <w:r>
        <w:rPr>
          <w:lang w:val="fr-CA"/>
        </w:rPr>
        <w:t> »</w:t>
      </w:r>
    </w:p>
    <w:p w14:paraId="75E50029" w14:textId="77777777" w:rsidR="00B91619" w:rsidRPr="00FA558D" w:rsidRDefault="00B91619" w:rsidP="00B91619">
      <w:pPr>
        <w:tabs>
          <w:tab w:val="left" w:pos="9356"/>
        </w:tabs>
        <w:spacing w:after="0" w:line="240" w:lineRule="auto"/>
        <w:rPr>
          <w:lang w:val="fr-CA"/>
        </w:rPr>
      </w:pPr>
    </w:p>
    <w:p w14:paraId="6D441CDA" w14:textId="77777777" w:rsidR="00B91619" w:rsidRPr="00FA558D" w:rsidRDefault="00B91619" w:rsidP="00B91619">
      <w:pPr>
        <w:tabs>
          <w:tab w:val="left" w:pos="9356"/>
        </w:tabs>
        <w:spacing w:after="0" w:line="240" w:lineRule="auto"/>
        <w:rPr>
          <w:lang w:val="fr-CA"/>
        </w:rPr>
      </w:pPr>
      <w:r>
        <w:rPr>
          <w:lang w:val="fr-CA"/>
        </w:rPr>
        <w:t>L’énoncé applicable</w:t>
      </w:r>
      <w:r w:rsidRPr="00FA558D">
        <w:rPr>
          <w:lang w:val="fr-CA"/>
        </w:rPr>
        <w:t xml:space="preserve"> </w:t>
      </w:r>
      <w:r>
        <w:rPr>
          <w:lang w:val="fr-CA"/>
        </w:rPr>
        <w:t>doit être suivi</w:t>
      </w:r>
      <w:r w:rsidRPr="00FA558D">
        <w:rPr>
          <w:lang w:val="fr-CA"/>
        </w:rPr>
        <w:t xml:space="preserve"> </w:t>
      </w:r>
      <w:r>
        <w:rPr>
          <w:lang w:val="fr-CA"/>
        </w:rPr>
        <w:t>par l’analyse</w:t>
      </w:r>
      <w:r w:rsidRPr="00FA558D">
        <w:rPr>
          <w:lang w:val="fr-CA"/>
        </w:rPr>
        <w:t xml:space="preserve"> </w:t>
      </w:r>
      <w:r>
        <w:rPr>
          <w:lang w:val="fr-CA"/>
        </w:rPr>
        <w:t>menée selon les exigences</w:t>
      </w:r>
      <w:r w:rsidRPr="00FA558D">
        <w:rPr>
          <w:lang w:val="fr-CA"/>
        </w:rPr>
        <w:t xml:space="preserve">, </w:t>
      </w:r>
      <w:r>
        <w:rPr>
          <w:lang w:val="fr-CA"/>
        </w:rPr>
        <w:t>incluant</w:t>
      </w:r>
      <w:r w:rsidRPr="00FA558D">
        <w:rPr>
          <w:lang w:val="fr-CA"/>
        </w:rPr>
        <w:t xml:space="preserve"> </w:t>
      </w:r>
      <w:r>
        <w:rPr>
          <w:lang w:val="fr-CA"/>
        </w:rPr>
        <w:t>la modification nette du fardeau administratif</w:t>
      </w:r>
      <w:r w:rsidRPr="00FA558D">
        <w:rPr>
          <w:lang w:val="fr-CA"/>
        </w:rPr>
        <w:t>.</w:t>
      </w:r>
    </w:p>
    <w:p w14:paraId="6913D00D" w14:textId="77777777" w:rsidR="00B91619" w:rsidRPr="00FA558D" w:rsidRDefault="00B91619" w:rsidP="00B91619">
      <w:pPr>
        <w:tabs>
          <w:tab w:val="left" w:pos="9356"/>
        </w:tabs>
        <w:spacing w:after="0" w:line="240" w:lineRule="auto"/>
        <w:rPr>
          <w:lang w:val="fr-CA"/>
        </w:rPr>
      </w:pPr>
    </w:p>
    <w:p w14:paraId="3821827A" w14:textId="1B245895" w:rsidR="00B91619" w:rsidRPr="00FA558D" w:rsidRDefault="00B91619" w:rsidP="00B91619">
      <w:pPr>
        <w:tabs>
          <w:tab w:val="left" w:pos="9356"/>
        </w:tabs>
        <w:spacing w:after="0" w:line="240" w:lineRule="auto"/>
        <w:rPr>
          <w:b/>
          <w:lang w:val="fr-CA"/>
        </w:rPr>
      </w:pPr>
      <w:r>
        <w:rPr>
          <w:b/>
          <w:lang w:val="fr-CA"/>
        </w:rPr>
        <w:t>L</w:t>
      </w:r>
      <w:r w:rsidR="00702F86">
        <w:rPr>
          <w:b/>
          <w:lang w:val="fr-CA"/>
        </w:rPr>
        <w:t>’application de l</w:t>
      </w:r>
      <w:r>
        <w:rPr>
          <w:b/>
          <w:lang w:val="fr-CA"/>
        </w:rPr>
        <w:t>’élément</w:t>
      </w:r>
      <w:r w:rsidRPr="00FA558D">
        <w:rPr>
          <w:b/>
          <w:lang w:val="fr-CA"/>
        </w:rPr>
        <w:t xml:space="preserve"> B </w:t>
      </w:r>
      <w:r>
        <w:rPr>
          <w:b/>
          <w:lang w:val="fr-CA"/>
        </w:rPr>
        <w:t xml:space="preserve">est </w:t>
      </w:r>
      <w:r w:rsidR="00702F86">
        <w:rPr>
          <w:b/>
          <w:lang w:val="fr-CA"/>
        </w:rPr>
        <w:t>entraînée</w:t>
      </w:r>
    </w:p>
    <w:p w14:paraId="7897508B" w14:textId="014D676A" w:rsidR="00B91619" w:rsidRPr="00FA558D" w:rsidRDefault="00B91619" w:rsidP="00B91619">
      <w:pPr>
        <w:tabs>
          <w:tab w:val="left" w:pos="9356"/>
        </w:tabs>
        <w:spacing w:after="0" w:line="240" w:lineRule="auto"/>
        <w:rPr>
          <w:lang w:val="fr-CA"/>
        </w:rPr>
      </w:pPr>
      <w:r>
        <w:rPr>
          <w:lang w:val="fr-CA"/>
        </w:rPr>
        <w:t>Si le</w:t>
      </w:r>
      <w:r w:rsidRPr="00FA558D">
        <w:rPr>
          <w:lang w:val="fr-CA"/>
        </w:rPr>
        <w:t xml:space="preserve"> </w:t>
      </w:r>
      <w:r>
        <w:rPr>
          <w:lang w:val="fr-CA"/>
        </w:rPr>
        <w:t xml:space="preserve">règlement </w:t>
      </w:r>
      <w:r w:rsidR="00702F86">
        <w:rPr>
          <w:lang w:val="fr-CA"/>
        </w:rPr>
        <w:t xml:space="preserve">entraîne la </w:t>
      </w:r>
      <w:r w:rsidR="00542014">
        <w:rPr>
          <w:lang w:val="fr-CA"/>
        </w:rPr>
        <w:t>suppression</w:t>
      </w:r>
      <w:r w:rsidR="00702F86">
        <w:rPr>
          <w:lang w:val="fr-CA"/>
        </w:rPr>
        <w:t xml:space="preserve"> d’</w:t>
      </w:r>
      <w:r>
        <w:rPr>
          <w:lang w:val="fr-CA"/>
        </w:rPr>
        <w:t>un règlement</w:t>
      </w:r>
      <w:r w:rsidRPr="00FA558D">
        <w:rPr>
          <w:lang w:val="fr-CA"/>
        </w:rPr>
        <w:t xml:space="preserve"> </w:t>
      </w:r>
      <w:r>
        <w:rPr>
          <w:lang w:val="fr-CA"/>
        </w:rPr>
        <w:t>sous l’élément</w:t>
      </w:r>
      <w:r w:rsidRPr="00FA558D">
        <w:rPr>
          <w:lang w:val="fr-CA"/>
        </w:rPr>
        <w:t> B</w:t>
      </w:r>
      <w:r>
        <w:rPr>
          <w:lang w:val="fr-CA"/>
        </w:rPr>
        <w:t>, sans toutefois entraîner une</w:t>
      </w:r>
      <w:r w:rsidRPr="00FA558D">
        <w:rPr>
          <w:lang w:val="fr-CA"/>
        </w:rPr>
        <w:t xml:space="preserve"> </w:t>
      </w:r>
      <w:r>
        <w:rPr>
          <w:lang w:val="fr-CA"/>
        </w:rPr>
        <w:t xml:space="preserve">modification du fardeau administratif </w:t>
      </w:r>
      <w:r w:rsidR="00702F86">
        <w:rPr>
          <w:lang w:val="fr-CA"/>
        </w:rPr>
        <w:t>imposé aux</w:t>
      </w:r>
      <w:r>
        <w:rPr>
          <w:lang w:val="fr-CA"/>
        </w:rPr>
        <w:t xml:space="preserve"> entreprises</w:t>
      </w:r>
      <w:r w:rsidRPr="00FA558D">
        <w:rPr>
          <w:lang w:val="fr-CA"/>
        </w:rPr>
        <w:t xml:space="preserve">, </w:t>
      </w:r>
      <w:r>
        <w:rPr>
          <w:lang w:val="fr-CA"/>
        </w:rPr>
        <w:t>la section la règle du « un pour un » du REIR</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Pr>
          <w:lang w:val="fr-CA"/>
        </w:rPr>
        <w:t xml:space="preserve"> s’applique en raison de l</w:t>
      </w:r>
      <w:r w:rsidR="0087431F">
        <w:rPr>
          <w:lang w:val="fr-CA"/>
        </w:rPr>
        <w:t xml:space="preserve">’abrogation </w:t>
      </w:r>
      <w:r>
        <w:rPr>
          <w:lang w:val="fr-CA"/>
        </w:rPr>
        <w:t>d’un titre réglementaire</w:t>
      </w:r>
      <w:r w:rsidRPr="00FA558D">
        <w:rPr>
          <w:lang w:val="fr-CA"/>
        </w:rPr>
        <w:t>,</w:t>
      </w:r>
      <w:r>
        <w:rPr>
          <w:lang w:val="fr-CA"/>
        </w:rPr>
        <w:t xml:space="preserve"> et puisque le projet</w:t>
      </w:r>
      <w:r w:rsidRPr="00FA558D">
        <w:rPr>
          <w:lang w:val="fr-CA"/>
        </w:rPr>
        <w:t xml:space="preserve"> </w:t>
      </w:r>
      <w:r>
        <w:rPr>
          <w:lang w:val="fr-CA"/>
        </w:rPr>
        <w:t>est considéré</w:t>
      </w:r>
      <w:r w:rsidRPr="00FA558D">
        <w:rPr>
          <w:lang w:val="fr-CA"/>
        </w:rPr>
        <w:t xml:space="preserve"> </w:t>
      </w:r>
      <w:r>
        <w:rPr>
          <w:lang w:val="fr-CA"/>
        </w:rPr>
        <w:t>comme l</w:t>
      </w:r>
      <w:r w:rsidRPr="00FA558D">
        <w:rPr>
          <w:lang w:val="fr-CA"/>
        </w:rPr>
        <w:t xml:space="preserve">a </w:t>
      </w:r>
      <w:r w:rsidR="00542014">
        <w:rPr>
          <w:lang w:val="fr-CA"/>
        </w:rPr>
        <w:t>suppression</w:t>
      </w:r>
      <w:r>
        <w:rPr>
          <w:lang w:val="fr-CA"/>
        </w:rPr>
        <w:t xml:space="preserve"> d’un règlement</w:t>
      </w:r>
      <w:r w:rsidRPr="00FA558D">
        <w:rPr>
          <w:lang w:val="fr-CA"/>
        </w:rPr>
        <w:t>.</w:t>
      </w:r>
      <w:r>
        <w:rPr>
          <w:lang w:val="fr-CA"/>
        </w:rPr>
        <w:t> »</w:t>
      </w:r>
    </w:p>
    <w:p w14:paraId="5FF9D69C" w14:textId="77777777" w:rsidR="00B91619" w:rsidRPr="00FA558D" w:rsidRDefault="00B91619" w:rsidP="00B91619">
      <w:pPr>
        <w:pStyle w:val="ListParagraph"/>
        <w:tabs>
          <w:tab w:val="left" w:pos="9356"/>
        </w:tabs>
        <w:spacing w:after="0" w:line="240" w:lineRule="auto"/>
        <w:ind w:left="1440"/>
        <w:rPr>
          <w:lang w:val="fr-CA"/>
        </w:rPr>
      </w:pPr>
    </w:p>
    <w:p w14:paraId="0EAB1117" w14:textId="77777777" w:rsidR="00B91619" w:rsidRPr="00FA558D" w:rsidRDefault="00B91619" w:rsidP="00B91619">
      <w:pPr>
        <w:tabs>
          <w:tab w:val="left" w:pos="9356"/>
        </w:tabs>
        <w:spacing w:after="0" w:line="240" w:lineRule="auto"/>
        <w:rPr>
          <w:lang w:val="fr-CA"/>
        </w:rPr>
      </w:pPr>
      <w:r>
        <w:rPr>
          <w:lang w:val="fr-CA"/>
        </w:rPr>
        <w:t>Cet énoncé</w:t>
      </w:r>
      <w:r w:rsidRPr="00FA558D">
        <w:rPr>
          <w:lang w:val="fr-CA"/>
        </w:rPr>
        <w:t xml:space="preserve"> </w:t>
      </w:r>
      <w:r>
        <w:rPr>
          <w:lang w:val="fr-CA"/>
        </w:rPr>
        <w:t>doit être suivi</w:t>
      </w:r>
      <w:r w:rsidRPr="00FA558D">
        <w:rPr>
          <w:lang w:val="fr-CA"/>
        </w:rPr>
        <w:t xml:space="preserve"> </w:t>
      </w:r>
      <w:r>
        <w:rPr>
          <w:lang w:val="fr-CA"/>
        </w:rPr>
        <w:t>par l’analyse</w:t>
      </w:r>
      <w:r w:rsidRPr="00FA558D">
        <w:rPr>
          <w:lang w:val="fr-CA"/>
        </w:rPr>
        <w:t xml:space="preserve"> </w:t>
      </w:r>
      <w:r>
        <w:rPr>
          <w:lang w:val="fr-CA"/>
        </w:rPr>
        <w:t>menée selon les exigences</w:t>
      </w:r>
      <w:r w:rsidRPr="00FA558D">
        <w:rPr>
          <w:lang w:val="fr-CA"/>
        </w:rPr>
        <w:t xml:space="preserve">. </w:t>
      </w:r>
    </w:p>
    <w:p w14:paraId="53BB60D8" w14:textId="77777777" w:rsidR="00B91619" w:rsidRPr="00FA558D" w:rsidRDefault="00B91619" w:rsidP="00B91619">
      <w:pPr>
        <w:tabs>
          <w:tab w:val="left" w:pos="9356"/>
        </w:tabs>
        <w:spacing w:after="0" w:line="240" w:lineRule="auto"/>
        <w:rPr>
          <w:lang w:val="fr-CA"/>
        </w:rPr>
      </w:pPr>
    </w:p>
    <w:p w14:paraId="567F0EDE" w14:textId="7A6BA5B9" w:rsidR="00B91619" w:rsidRPr="00FA558D" w:rsidRDefault="00B91619" w:rsidP="00B91619">
      <w:pPr>
        <w:tabs>
          <w:tab w:val="left" w:pos="9356"/>
        </w:tabs>
        <w:spacing w:after="0" w:line="240" w:lineRule="auto"/>
        <w:rPr>
          <w:b/>
          <w:lang w:val="fr-CA"/>
        </w:rPr>
      </w:pPr>
      <w:r>
        <w:rPr>
          <w:b/>
          <w:lang w:val="fr-CA"/>
        </w:rPr>
        <w:t>Abrogation d’un règlement et remplacement par un autre</w:t>
      </w:r>
      <w:r w:rsidRPr="00FA558D">
        <w:rPr>
          <w:b/>
          <w:lang w:val="fr-CA"/>
        </w:rPr>
        <w:t xml:space="preserve"> </w:t>
      </w:r>
      <w:r>
        <w:rPr>
          <w:b/>
          <w:lang w:val="fr-CA"/>
        </w:rPr>
        <w:t xml:space="preserve">avec modification du fardeau administratif </w:t>
      </w:r>
      <w:r w:rsidR="00702F86">
        <w:rPr>
          <w:b/>
          <w:lang w:val="fr-CA"/>
        </w:rPr>
        <w:t>imposé aux</w:t>
      </w:r>
      <w:r>
        <w:rPr>
          <w:b/>
          <w:lang w:val="fr-CA"/>
        </w:rPr>
        <w:t xml:space="preserve"> entreprises</w:t>
      </w:r>
    </w:p>
    <w:p w14:paraId="636A30AA" w14:textId="0EC19715" w:rsidR="00B91619" w:rsidRPr="00FA558D" w:rsidRDefault="00B91619" w:rsidP="00B91619">
      <w:pPr>
        <w:tabs>
          <w:tab w:val="left" w:pos="9356"/>
        </w:tabs>
        <w:spacing w:after="0" w:line="240" w:lineRule="auto"/>
        <w:rPr>
          <w:lang w:val="fr-CA"/>
        </w:rPr>
      </w:pPr>
      <w:r>
        <w:rPr>
          <w:lang w:val="fr-CA"/>
        </w:rPr>
        <w:t>Le projet</w:t>
      </w:r>
      <w:r w:rsidRPr="00FA558D">
        <w:rPr>
          <w:lang w:val="fr-CA"/>
        </w:rPr>
        <w:t xml:space="preserve"> </w:t>
      </w:r>
      <w:r>
        <w:rPr>
          <w:lang w:val="fr-CA"/>
        </w:rPr>
        <w:t>abroge</w:t>
      </w:r>
      <w:r w:rsidRPr="00FA558D">
        <w:rPr>
          <w:lang w:val="fr-CA"/>
        </w:rPr>
        <w:t xml:space="preserve"> </w:t>
      </w:r>
      <w:r>
        <w:rPr>
          <w:lang w:val="fr-CA"/>
        </w:rPr>
        <w:t>un titre réglementaire existant, et le remplace</w:t>
      </w:r>
      <w:r w:rsidRPr="00FA558D">
        <w:rPr>
          <w:lang w:val="fr-CA"/>
        </w:rPr>
        <w:t xml:space="preserve"> </w:t>
      </w:r>
      <w:r>
        <w:rPr>
          <w:lang w:val="fr-CA"/>
        </w:rPr>
        <w:t>par un nouveau titre</w:t>
      </w:r>
      <w:r w:rsidRPr="00FA558D">
        <w:rPr>
          <w:lang w:val="fr-CA"/>
        </w:rPr>
        <w:t>,</w:t>
      </w:r>
      <w:r>
        <w:rPr>
          <w:lang w:val="fr-CA"/>
        </w:rPr>
        <w:t xml:space="preserve"> et la modification</w:t>
      </w:r>
      <w:r w:rsidRPr="00FA558D">
        <w:rPr>
          <w:lang w:val="fr-CA"/>
        </w:rPr>
        <w:t xml:space="preserve"> </w:t>
      </w:r>
      <w:r>
        <w:rPr>
          <w:lang w:val="fr-CA"/>
        </w:rPr>
        <w:t>entraîne</w:t>
      </w:r>
      <w:r w:rsidRPr="00FA558D">
        <w:rPr>
          <w:lang w:val="fr-CA"/>
        </w:rPr>
        <w:t xml:space="preserve"> </w:t>
      </w:r>
      <w:r>
        <w:rPr>
          <w:lang w:val="fr-CA"/>
        </w:rPr>
        <w:t xml:space="preserve">une modification progressive du fardeau administratif </w:t>
      </w:r>
      <w:r w:rsidR="00702F86">
        <w:rPr>
          <w:lang w:val="fr-CA"/>
        </w:rPr>
        <w:t>imposé aux</w:t>
      </w:r>
      <w:r>
        <w:rPr>
          <w:lang w:val="fr-CA"/>
        </w:rPr>
        <w:t xml:space="preserve"> entreprises</w:t>
      </w:r>
      <w:r w:rsidRPr="00FA558D">
        <w:rPr>
          <w:lang w:val="fr-CA"/>
        </w:rPr>
        <w:t>.</w:t>
      </w:r>
    </w:p>
    <w:p w14:paraId="7BD9D7AD" w14:textId="77777777" w:rsidR="00B91619" w:rsidRPr="00FA558D" w:rsidRDefault="00B91619" w:rsidP="00B91619">
      <w:pPr>
        <w:tabs>
          <w:tab w:val="left" w:pos="9356"/>
        </w:tabs>
        <w:spacing w:after="0" w:line="240" w:lineRule="auto"/>
        <w:rPr>
          <w:lang w:val="fr-CA"/>
        </w:rPr>
      </w:pPr>
    </w:p>
    <w:p w14:paraId="6F33F398" w14:textId="33CDB142" w:rsidR="00B91619" w:rsidRPr="00FA558D" w:rsidRDefault="00B91619" w:rsidP="00B91619">
      <w:pPr>
        <w:tabs>
          <w:tab w:val="left" w:pos="9356"/>
        </w:tabs>
        <w:spacing w:after="0" w:line="240" w:lineRule="auto"/>
        <w:rPr>
          <w:lang w:val="fr-CA"/>
        </w:rPr>
      </w:pPr>
      <w:r>
        <w:rPr>
          <w:lang w:val="fr-CA"/>
        </w:rPr>
        <w:lastRenderedPageBreak/>
        <w:t>Dans un tel cas, l</w:t>
      </w:r>
      <w:r w:rsidR="00702F86">
        <w:rPr>
          <w:lang w:val="fr-CA"/>
        </w:rPr>
        <w:t>’application de l</w:t>
      </w:r>
      <w:r>
        <w:rPr>
          <w:lang w:val="fr-CA"/>
        </w:rPr>
        <w:t>’élément</w:t>
      </w:r>
      <w:r w:rsidRPr="00FA558D">
        <w:rPr>
          <w:lang w:val="fr-CA"/>
        </w:rPr>
        <w:t xml:space="preserve"> A </w:t>
      </w:r>
      <w:r>
        <w:rPr>
          <w:lang w:val="fr-CA"/>
        </w:rPr>
        <w:t xml:space="preserve">est </w:t>
      </w:r>
      <w:r w:rsidR="00702F86">
        <w:rPr>
          <w:lang w:val="fr-CA"/>
        </w:rPr>
        <w:t>entraînée</w:t>
      </w:r>
      <w:r>
        <w:rPr>
          <w:lang w:val="fr-CA"/>
        </w:rPr>
        <w:t xml:space="preserve"> par la modification nette du fardeau administratif</w:t>
      </w:r>
      <w:r w:rsidRPr="00FA558D">
        <w:rPr>
          <w:lang w:val="fr-CA"/>
        </w:rPr>
        <w:t>,</w:t>
      </w:r>
      <w:r>
        <w:rPr>
          <w:lang w:val="fr-CA"/>
        </w:rPr>
        <w:t xml:space="preserve"> et puisque l’abrogation et le remplacement ont un effet net nul sous l’élément</w:t>
      </w:r>
      <w:r w:rsidRPr="00FA558D">
        <w:rPr>
          <w:lang w:val="fr-CA"/>
        </w:rPr>
        <w:t xml:space="preserve"> B. </w:t>
      </w:r>
    </w:p>
    <w:p w14:paraId="3714EFB4" w14:textId="77777777" w:rsidR="00B91619" w:rsidRPr="00FA558D" w:rsidRDefault="00B91619" w:rsidP="00B91619">
      <w:pPr>
        <w:tabs>
          <w:tab w:val="left" w:pos="9356"/>
        </w:tabs>
        <w:spacing w:after="0" w:line="240" w:lineRule="auto"/>
        <w:ind w:left="360"/>
        <w:rPr>
          <w:lang w:val="fr-CA"/>
        </w:rPr>
      </w:pPr>
    </w:p>
    <w:p w14:paraId="393C8C01" w14:textId="46D3F07F" w:rsidR="00B91619" w:rsidRPr="00FA558D" w:rsidRDefault="00B91619" w:rsidP="00B91619">
      <w:pPr>
        <w:tabs>
          <w:tab w:val="left" w:pos="9356"/>
        </w:tabs>
        <w:spacing w:after="0" w:line="240" w:lineRule="auto"/>
        <w:rPr>
          <w:lang w:val="fr-CA"/>
        </w:rPr>
      </w:pPr>
      <w:r>
        <w:rPr>
          <w:lang w:val="fr-CA"/>
        </w:rPr>
        <w:t>La section sur la règle du « un pour un » du REIR</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s’applique puisque le projet</w:t>
      </w:r>
      <w:r w:rsidRPr="00FA558D">
        <w:rPr>
          <w:lang w:val="fr-CA"/>
        </w:rPr>
        <w:t xml:space="preserve"> </w:t>
      </w:r>
      <w:r>
        <w:rPr>
          <w:lang w:val="fr-CA"/>
        </w:rPr>
        <w:t>entraîne</w:t>
      </w:r>
      <w:r w:rsidRPr="00FA558D">
        <w:rPr>
          <w:lang w:val="fr-CA"/>
        </w:rPr>
        <w:t xml:space="preserve"> </w:t>
      </w:r>
      <w:r>
        <w:rPr>
          <w:lang w:val="fr-CA"/>
        </w:rPr>
        <w:t xml:space="preserve">une modification progressive du fardeau administratif </w:t>
      </w:r>
      <w:r w:rsidR="00702F86">
        <w:rPr>
          <w:lang w:val="fr-CA"/>
        </w:rPr>
        <w:t>imposé aux</w:t>
      </w:r>
      <w:r>
        <w:rPr>
          <w:lang w:val="fr-CA"/>
        </w:rPr>
        <w:t xml:space="preserve"> entreprises</w:t>
      </w:r>
      <w:r w:rsidRPr="00FA558D">
        <w:rPr>
          <w:lang w:val="fr-CA"/>
        </w:rPr>
        <w:t xml:space="preserve">. </w:t>
      </w:r>
      <w:r>
        <w:rPr>
          <w:lang w:val="fr-CA"/>
        </w:rPr>
        <w:t>Le projet</w:t>
      </w:r>
      <w:r w:rsidRPr="00FA558D">
        <w:rPr>
          <w:lang w:val="fr-CA"/>
        </w:rPr>
        <w:t xml:space="preserve"> </w:t>
      </w:r>
      <w:r>
        <w:rPr>
          <w:lang w:val="fr-CA"/>
        </w:rPr>
        <w:t>abroge</w:t>
      </w:r>
      <w:r w:rsidRPr="00FA558D">
        <w:rPr>
          <w:lang w:val="fr-CA"/>
        </w:rPr>
        <w:t xml:space="preserve"> </w:t>
      </w:r>
      <w:r>
        <w:rPr>
          <w:lang w:val="fr-CA"/>
        </w:rPr>
        <w:t>un règlement existant et le remplace</w:t>
      </w:r>
      <w:r w:rsidRPr="00FA558D">
        <w:rPr>
          <w:lang w:val="fr-CA"/>
        </w:rPr>
        <w:t xml:space="preserve"> </w:t>
      </w:r>
      <w:r>
        <w:rPr>
          <w:lang w:val="fr-CA"/>
        </w:rPr>
        <w:t>par un nouveau titre réglementaire</w:t>
      </w:r>
      <w:r w:rsidRPr="00FA558D">
        <w:rPr>
          <w:lang w:val="fr-CA"/>
        </w:rPr>
        <w:t xml:space="preserve">, </w:t>
      </w:r>
      <w:r>
        <w:rPr>
          <w:lang w:val="fr-CA"/>
        </w:rPr>
        <w:t>ce qui n’entraîne aucune augmentation ou diminution nette des</w:t>
      </w:r>
      <w:r w:rsidRPr="00FA558D">
        <w:rPr>
          <w:lang w:val="fr-CA"/>
        </w:rPr>
        <w:t xml:space="preserve"> </w:t>
      </w:r>
      <w:r>
        <w:rPr>
          <w:lang w:val="fr-CA"/>
        </w:rPr>
        <w:t>titres réglementaire</w:t>
      </w:r>
      <w:r w:rsidRPr="00FA558D">
        <w:rPr>
          <w:lang w:val="fr-CA"/>
        </w:rPr>
        <w:t>s.</w:t>
      </w:r>
      <w:r>
        <w:rPr>
          <w:lang w:val="fr-CA"/>
        </w:rPr>
        <w:t> »</w:t>
      </w:r>
      <w:r w:rsidRPr="00FA558D">
        <w:rPr>
          <w:lang w:val="fr-CA"/>
        </w:rPr>
        <w:t xml:space="preserve"> </w:t>
      </w:r>
    </w:p>
    <w:p w14:paraId="62D3E45E" w14:textId="77777777" w:rsidR="00B91619" w:rsidRPr="00FA558D" w:rsidRDefault="00B91619" w:rsidP="00B91619">
      <w:pPr>
        <w:tabs>
          <w:tab w:val="left" w:pos="9356"/>
        </w:tabs>
        <w:spacing w:after="0" w:line="240" w:lineRule="auto"/>
        <w:ind w:left="360"/>
        <w:rPr>
          <w:lang w:val="fr-CA"/>
        </w:rPr>
      </w:pPr>
    </w:p>
    <w:p w14:paraId="75ECDA77" w14:textId="77777777" w:rsidR="00B91619" w:rsidRPr="00FA558D" w:rsidRDefault="00B91619" w:rsidP="00B91619">
      <w:pPr>
        <w:tabs>
          <w:tab w:val="left" w:pos="9356"/>
        </w:tabs>
        <w:spacing w:after="0" w:line="240" w:lineRule="auto"/>
        <w:rPr>
          <w:lang w:val="fr-CA"/>
        </w:rPr>
      </w:pPr>
      <w:r>
        <w:rPr>
          <w:lang w:val="fr-CA"/>
        </w:rPr>
        <w:t>Cet énoncé</w:t>
      </w:r>
      <w:r w:rsidRPr="00FA558D">
        <w:rPr>
          <w:lang w:val="fr-CA"/>
        </w:rPr>
        <w:t xml:space="preserve"> </w:t>
      </w:r>
      <w:r>
        <w:rPr>
          <w:lang w:val="fr-CA"/>
        </w:rPr>
        <w:t>doit être suivi par l’analyse relative à l’élément</w:t>
      </w:r>
      <w:r w:rsidRPr="00FA558D">
        <w:rPr>
          <w:lang w:val="fr-CA"/>
        </w:rPr>
        <w:t xml:space="preserve"> A </w:t>
      </w:r>
      <w:r>
        <w:rPr>
          <w:lang w:val="fr-CA"/>
        </w:rPr>
        <w:t>menée selon les exigences</w:t>
      </w:r>
      <w:r w:rsidRPr="00FA558D">
        <w:rPr>
          <w:lang w:val="fr-CA"/>
        </w:rPr>
        <w:t xml:space="preserve">, </w:t>
      </w:r>
      <w:r>
        <w:rPr>
          <w:lang w:val="fr-CA"/>
        </w:rPr>
        <w:t>incluant</w:t>
      </w:r>
      <w:r w:rsidRPr="00FA558D">
        <w:rPr>
          <w:lang w:val="fr-CA"/>
        </w:rPr>
        <w:t xml:space="preserve"> </w:t>
      </w:r>
      <w:r>
        <w:rPr>
          <w:lang w:val="fr-CA"/>
        </w:rPr>
        <w:t>la modification nette du fardeau administratif</w:t>
      </w:r>
      <w:r w:rsidRPr="00FA558D">
        <w:rPr>
          <w:lang w:val="fr-CA"/>
        </w:rPr>
        <w:t xml:space="preserve">. </w:t>
      </w:r>
    </w:p>
    <w:p w14:paraId="1A85EBC9" w14:textId="77777777" w:rsidR="00B91619" w:rsidRPr="00FA558D" w:rsidRDefault="00B91619" w:rsidP="00B91619">
      <w:pPr>
        <w:tabs>
          <w:tab w:val="left" w:pos="9356"/>
        </w:tabs>
        <w:spacing w:after="0" w:line="240" w:lineRule="auto"/>
        <w:rPr>
          <w:lang w:val="fr-CA"/>
        </w:rPr>
      </w:pPr>
    </w:p>
    <w:p w14:paraId="1EB34EB8" w14:textId="77777777" w:rsidR="00B91619" w:rsidRPr="00FA558D" w:rsidRDefault="00B91619" w:rsidP="00B91619">
      <w:pPr>
        <w:tabs>
          <w:tab w:val="left" w:pos="9356"/>
        </w:tabs>
        <w:spacing w:after="0" w:line="240" w:lineRule="auto"/>
        <w:rPr>
          <w:b/>
          <w:lang w:val="fr-CA"/>
        </w:rPr>
      </w:pPr>
      <w:r>
        <w:rPr>
          <w:b/>
          <w:lang w:val="fr-CA"/>
        </w:rPr>
        <w:t>Abrogation d’un règlement et remplacement par un autre</w:t>
      </w:r>
      <w:r w:rsidRPr="00FA558D">
        <w:rPr>
          <w:b/>
          <w:lang w:val="fr-CA"/>
        </w:rPr>
        <w:t xml:space="preserve"> (</w:t>
      </w:r>
      <w:r>
        <w:rPr>
          <w:b/>
          <w:lang w:val="fr-CA"/>
        </w:rPr>
        <w:t>réduction nette</w:t>
      </w:r>
      <w:r w:rsidRPr="00FA558D">
        <w:rPr>
          <w:b/>
          <w:lang w:val="fr-CA"/>
        </w:rPr>
        <w:t>)</w:t>
      </w:r>
    </w:p>
    <w:p w14:paraId="5FDFB45F" w14:textId="4BBE1D97" w:rsidR="00B91619" w:rsidRPr="00FA558D" w:rsidRDefault="00B91619" w:rsidP="00B91619">
      <w:pPr>
        <w:tabs>
          <w:tab w:val="left" w:pos="9356"/>
        </w:tabs>
        <w:spacing w:after="0" w:line="240" w:lineRule="auto"/>
        <w:rPr>
          <w:lang w:val="fr-CA"/>
        </w:rPr>
      </w:pPr>
      <w:r>
        <w:rPr>
          <w:lang w:val="fr-CA"/>
        </w:rPr>
        <w:t>Le projet</w:t>
      </w:r>
      <w:r w:rsidRPr="00FA558D">
        <w:rPr>
          <w:lang w:val="fr-CA"/>
        </w:rPr>
        <w:t xml:space="preserve"> intro</w:t>
      </w:r>
      <w:r>
        <w:rPr>
          <w:lang w:val="fr-CA"/>
        </w:rPr>
        <w:t>duit un nouveau titre réglementaire et abroge</w:t>
      </w:r>
      <w:r w:rsidRPr="00FA558D">
        <w:rPr>
          <w:lang w:val="fr-CA"/>
        </w:rPr>
        <w:t xml:space="preserve"> </w:t>
      </w:r>
      <w:r>
        <w:rPr>
          <w:b/>
          <w:lang w:val="fr-CA"/>
        </w:rPr>
        <w:t>plus d’un</w:t>
      </w:r>
      <w:r w:rsidRPr="00FA558D">
        <w:rPr>
          <w:lang w:val="fr-CA"/>
        </w:rPr>
        <w:t xml:space="preserve"> </w:t>
      </w:r>
      <w:r>
        <w:rPr>
          <w:lang w:val="fr-CA"/>
        </w:rPr>
        <w:t>titre réglementaire existant qui abord</w:t>
      </w:r>
      <w:r w:rsidR="00EC2B82">
        <w:rPr>
          <w:lang w:val="fr-CA"/>
        </w:rPr>
        <w:t>e</w:t>
      </w:r>
      <w:r>
        <w:rPr>
          <w:lang w:val="fr-CA"/>
        </w:rPr>
        <w:t xml:space="preserve"> </w:t>
      </w:r>
      <w:r w:rsidR="00702F86">
        <w:rPr>
          <w:lang w:val="fr-CA"/>
        </w:rPr>
        <w:t xml:space="preserve">essentiellement </w:t>
      </w:r>
      <w:r>
        <w:rPr>
          <w:lang w:val="fr-CA"/>
        </w:rPr>
        <w:t>la même question</w:t>
      </w:r>
      <w:r w:rsidRPr="00FA558D">
        <w:rPr>
          <w:lang w:val="fr-CA"/>
        </w:rPr>
        <w:t>.</w:t>
      </w:r>
    </w:p>
    <w:p w14:paraId="24177DF3" w14:textId="77777777" w:rsidR="00B91619" w:rsidRPr="00FA558D" w:rsidRDefault="00B91619" w:rsidP="00B91619">
      <w:pPr>
        <w:pStyle w:val="ListParagraph"/>
        <w:tabs>
          <w:tab w:val="left" w:pos="9356"/>
        </w:tabs>
        <w:spacing w:after="0" w:line="240" w:lineRule="auto"/>
        <w:ind w:left="360"/>
        <w:rPr>
          <w:lang w:val="fr-CA"/>
        </w:rPr>
      </w:pPr>
    </w:p>
    <w:p w14:paraId="34479A29" w14:textId="77777777" w:rsidR="00B91619" w:rsidRPr="00FA558D" w:rsidRDefault="00B91619" w:rsidP="00B91619">
      <w:pPr>
        <w:tabs>
          <w:tab w:val="left" w:pos="9356"/>
        </w:tabs>
        <w:spacing w:after="0" w:line="240" w:lineRule="auto"/>
        <w:rPr>
          <w:lang w:val="fr-CA"/>
        </w:rPr>
      </w:pPr>
      <w:r>
        <w:rPr>
          <w:lang w:val="fr-CA"/>
        </w:rPr>
        <w:t>Dans un tel cas, l’élément</w:t>
      </w:r>
      <w:r w:rsidRPr="00FA558D">
        <w:rPr>
          <w:lang w:val="fr-CA"/>
        </w:rPr>
        <w:t> B</w:t>
      </w:r>
      <w:r>
        <w:rPr>
          <w:lang w:val="fr-CA"/>
        </w:rPr>
        <w:t xml:space="preserve"> de la règle</w:t>
      </w:r>
      <w:r w:rsidRPr="00FA558D">
        <w:rPr>
          <w:lang w:val="fr-CA"/>
        </w:rPr>
        <w:t xml:space="preserve"> </w:t>
      </w:r>
      <w:r>
        <w:rPr>
          <w:lang w:val="fr-CA"/>
        </w:rPr>
        <w:t>s’applique</w:t>
      </w:r>
      <w:r w:rsidRPr="00FA558D">
        <w:rPr>
          <w:lang w:val="fr-CA"/>
        </w:rPr>
        <w:t>,</w:t>
      </w:r>
      <w:r>
        <w:rPr>
          <w:lang w:val="fr-CA"/>
        </w:rPr>
        <w:t xml:space="preserve"> et la diffé</w:t>
      </w:r>
      <w:r w:rsidRPr="00FA558D">
        <w:rPr>
          <w:lang w:val="fr-CA"/>
        </w:rPr>
        <w:t>rence</w:t>
      </w:r>
      <w:r>
        <w:rPr>
          <w:lang w:val="fr-CA"/>
        </w:rPr>
        <w:t xml:space="preserve"> nette entre les titres réglementaire</w:t>
      </w:r>
      <w:r w:rsidRPr="00FA558D">
        <w:rPr>
          <w:lang w:val="fr-CA"/>
        </w:rPr>
        <w:t>s</w:t>
      </w:r>
      <w:r>
        <w:rPr>
          <w:lang w:val="fr-CA"/>
        </w:rPr>
        <w:t xml:space="preserve"> est prise en compte comme une réduction de la réglementation</w:t>
      </w:r>
      <w:r w:rsidRPr="00FA558D">
        <w:rPr>
          <w:lang w:val="fr-CA"/>
        </w:rPr>
        <w:t xml:space="preserve">. </w:t>
      </w:r>
    </w:p>
    <w:p w14:paraId="39F1EA4A" w14:textId="77777777" w:rsidR="00B91619" w:rsidRPr="00FA558D" w:rsidRDefault="00B91619" w:rsidP="00B91619">
      <w:pPr>
        <w:pStyle w:val="ListParagraph"/>
        <w:tabs>
          <w:tab w:val="left" w:pos="9356"/>
        </w:tabs>
        <w:spacing w:after="0" w:line="240" w:lineRule="auto"/>
        <w:ind w:left="360"/>
        <w:rPr>
          <w:lang w:val="fr-CA"/>
        </w:rPr>
      </w:pPr>
    </w:p>
    <w:p w14:paraId="10B5F918" w14:textId="44EB51ED" w:rsidR="00B91619" w:rsidRPr="00FA558D" w:rsidRDefault="00B91619" w:rsidP="00B91619">
      <w:pPr>
        <w:tabs>
          <w:tab w:val="left" w:pos="9356"/>
        </w:tabs>
        <w:spacing w:after="0" w:line="240" w:lineRule="auto"/>
        <w:rPr>
          <w:lang w:val="fr-CA"/>
        </w:rPr>
      </w:pPr>
      <w:r>
        <w:rPr>
          <w:lang w:val="fr-CA"/>
        </w:rPr>
        <w:t>La section sur la règle du « un pour un » du REIR</w:t>
      </w:r>
      <w:r w:rsidRPr="00FA558D">
        <w:rPr>
          <w:lang w:val="fr-CA"/>
        </w:rPr>
        <w:t xml:space="preserve"> </w:t>
      </w:r>
      <w:r>
        <w:rPr>
          <w:lang w:val="fr-CA"/>
        </w:rPr>
        <w:t>doit comprendre le libellé suivant :</w:t>
      </w:r>
      <w:r w:rsidRPr="00FA558D">
        <w:rPr>
          <w:lang w:val="fr-CA"/>
        </w:rPr>
        <w:t xml:space="preserve"> </w:t>
      </w:r>
      <w:r>
        <w:rPr>
          <w:lang w:val="fr-CA"/>
        </w:rPr>
        <w:t>« Le projet</w:t>
      </w:r>
      <w:r w:rsidRPr="00FA558D">
        <w:rPr>
          <w:lang w:val="fr-CA"/>
        </w:rPr>
        <w:t xml:space="preserve"> </w:t>
      </w:r>
      <w:r>
        <w:rPr>
          <w:lang w:val="fr-CA"/>
        </w:rPr>
        <w:t>abroge</w:t>
      </w:r>
      <w:r w:rsidRPr="00FA558D">
        <w:rPr>
          <w:lang w:val="fr-CA"/>
        </w:rPr>
        <w:t xml:space="preserve"> [</w:t>
      </w:r>
      <w:r>
        <w:rPr>
          <w:lang w:val="fr-CA"/>
        </w:rPr>
        <w:t>indiquer le nombre</w:t>
      </w:r>
      <w:r w:rsidRPr="00FA558D">
        <w:rPr>
          <w:lang w:val="fr-CA"/>
        </w:rPr>
        <w:t xml:space="preserve">] </w:t>
      </w:r>
      <w:r>
        <w:rPr>
          <w:lang w:val="fr-CA"/>
        </w:rPr>
        <w:t>titres réglementaire</w:t>
      </w:r>
      <w:r w:rsidRPr="00FA558D">
        <w:rPr>
          <w:lang w:val="fr-CA"/>
        </w:rPr>
        <w:t>s</w:t>
      </w:r>
      <w:r>
        <w:rPr>
          <w:lang w:val="fr-CA"/>
        </w:rPr>
        <w:t xml:space="preserve"> existants et les remplace</w:t>
      </w:r>
      <w:r w:rsidRPr="00FA558D">
        <w:rPr>
          <w:lang w:val="fr-CA"/>
        </w:rPr>
        <w:t xml:space="preserve"> </w:t>
      </w:r>
      <w:r>
        <w:rPr>
          <w:lang w:val="fr-CA"/>
        </w:rPr>
        <w:t xml:space="preserve">par un nouveau titre réglementaire. Par conséquent, un nombre net de </w:t>
      </w:r>
      <w:r w:rsidRPr="00FA558D">
        <w:rPr>
          <w:lang w:val="fr-CA"/>
        </w:rPr>
        <w:t>[</w:t>
      </w:r>
      <w:r>
        <w:rPr>
          <w:lang w:val="fr-CA"/>
        </w:rPr>
        <w:t>indiquer le nombre</w:t>
      </w:r>
      <w:r w:rsidRPr="00FA558D">
        <w:rPr>
          <w:lang w:val="fr-CA"/>
        </w:rPr>
        <w:t xml:space="preserve">] </w:t>
      </w:r>
      <w:r>
        <w:rPr>
          <w:lang w:val="fr-CA"/>
        </w:rPr>
        <w:t xml:space="preserve">règlements supprimés </w:t>
      </w:r>
      <w:r w:rsidR="007C1161">
        <w:rPr>
          <w:lang w:val="fr-CA"/>
        </w:rPr>
        <w:t>a</w:t>
      </w:r>
      <w:r>
        <w:rPr>
          <w:lang w:val="fr-CA"/>
        </w:rPr>
        <w:t xml:space="preserve"> été pris en compte</w:t>
      </w:r>
      <w:r w:rsidRPr="00FA558D">
        <w:rPr>
          <w:lang w:val="fr-CA"/>
        </w:rPr>
        <w:t xml:space="preserve"> </w:t>
      </w:r>
      <w:r>
        <w:rPr>
          <w:lang w:val="fr-CA"/>
        </w:rPr>
        <w:t>en vertu de la règle</w:t>
      </w:r>
      <w:r w:rsidRPr="00FA558D">
        <w:rPr>
          <w:lang w:val="fr-CA"/>
        </w:rPr>
        <w:t>.</w:t>
      </w:r>
      <w:r>
        <w:rPr>
          <w:lang w:val="fr-CA"/>
        </w:rPr>
        <w:t> »</w:t>
      </w:r>
    </w:p>
    <w:p w14:paraId="3021C9E3" w14:textId="77777777" w:rsidR="00B91619" w:rsidRPr="00FA558D" w:rsidRDefault="00B91619" w:rsidP="00B91619">
      <w:pPr>
        <w:pStyle w:val="ListParagraph"/>
        <w:tabs>
          <w:tab w:val="left" w:pos="9356"/>
        </w:tabs>
        <w:spacing w:after="0" w:line="240" w:lineRule="auto"/>
        <w:ind w:left="360"/>
        <w:rPr>
          <w:lang w:val="fr-CA"/>
        </w:rPr>
      </w:pPr>
    </w:p>
    <w:p w14:paraId="1B4ADDD6" w14:textId="77777777" w:rsidR="00B91619" w:rsidRPr="00FA558D" w:rsidRDefault="00B91619" w:rsidP="00B91619">
      <w:pPr>
        <w:tabs>
          <w:tab w:val="left" w:pos="9356"/>
        </w:tabs>
        <w:spacing w:after="0" w:line="240" w:lineRule="auto"/>
        <w:rPr>
          <w:lang w:val="fr-CA"/>
        </w:rPr>
      </w:pPr>
      <w:r>
        <w:rPr>
          <w:lang w:val="fr-CA"/>
        </w:rPr>
        <w:t>Cet énoncé</w:t>
      </w:r>
      <w:r w:rsidRPr="00FA558D">
        <w:rPr>
          <w:lang w:val="fr-CA"/>
        </w:rPr>
        <w:t xml:space="preserve"> </w:t>
      </w:r>
      <w:r>
        <w:rPr>
          <w:lang w:val="fr-CA"/>
        </w:rPr>
        <w:t>doit être suivi</w:t>
      </w:r>
      <w:r w:rsidRPr="00FA558D">
        <w:rPr>
          <w:lang w:val="fr-CA"/>
        </w:rPr>
        <w:t xml:space="preserve"> </w:t>
      </w:r>
      <w:r>
        <w:rPr>
          <w:lang w:val="fr-CA"/>
        </w:rPr>
        <w:t>par l’analyse</w:t>
      </w:r>
      <w:r w:rsidRPr="00FA558D">
        <w:rPr>
          <w:lang w:val="fr-CA"/>
        </w:rPr>
        <w:t xml:space="preserve"> </w:t>
      </w:r>
      <w:r>
        <w:rPr>
          <w:lang w:val="fr-CA"/>
        </w:rPr>
        <w:t>menée selon les exigences</w:t>
      </w:r>
      <w:r w:rsidRPr="00FA558D">
        <w:rPr>
          <w:lang w:val="fr-CA"/>
        </w:rPr>
        <w:t xml:space="preserve">. </w:t>
      </w:r>
    </w:p>
    <w:p w14:paraId="222D2273" w14:textId="77777777" w:rsidR="00B91619" w:rsidRPr="00FA558D" w:rsidRDefault="00B91619" w:rsidP="00B91619">
      <w:pPr>
        <w:tabs>
          <w:tab w:val="left" w:pos="9356"/>
        </w:tabs>
        <w:spacing w:after="0" w:line="240" w:lineRule="auto"/>
        <w:rPr>
          <w:lang w:val="fr-CA"/>
        </w:rPr>
      </w:pPr>
    </w:p>
    <w:p w14:paraId="388F6919" w14:textId="77777777" w:rsidR="00B91619" w:rsidRPr="00FA558D" w:rsidRDefault="00B91619" w:rsidP="00B91619">
      <w:pPr>
        <w:pStyle w:val="Heading4"/>
        <w:rPr>
          <w:lang w:val="fr-CA"/>
        </w:rPr>
      </w:pPr>
      <w:r w:rsidRPr="00FA558D">
        <w:rPr>
          <w:lang w:val="fr-CA"/>
        </w:rPr>
        <w:t>Exemptions</w:t>
      </w:r>
    </w:p>
    <w:p w14:paraId="70BFBD52" w14:textId="77777777" w:rsidR="00B91619" w:rsidRPr="00FA558D" w:rsidRDefault="00B91619" w:rsidP="00B91619">
      <w:pPr>
        <w:tabs>
          <w:tab w:val="left" w:pos="9356"/>
        </w:tabs>
        <w:spacing w:after="0" w:line="240" w:lineRule="auto"/>
        <w:rPr>
          <w:lang w:val="fr-CA"/>
        </w:rPr>
      </w:pPr>
    </w:p>
    <w:p w14:paraId="06CED972" w14:textId="77777777" w:rsidR="00B91619" w:rsidRPr="00FA558D" w:rsidRDefault="00B91619" w:rsidP="00B91619">
      <w:pPr>
        <w:tabs>
          <w:tab w:val="left" w:pos="9356"/>
        </w:tabs>
        <w:spacing w:after="0" w:line="240" w:lineRule="auto"/>
        <w:rPr>
          <w:lang w:val="fr-CA"/>
        </w:rPr>
      </w:pPr>
      <w:r>
        <w:rPr>
          <w:lang w:val="fr-CA"/>
        </w:rPr>
        <w:t>Le Conseil du Trésor</w:t>
      </w:r>
      <w:r w:rsidRPr="00FA558D">
        <w:rPr>
          <w:lang w:val="fr-CA"/>
        </w:rPr>
        <w:t xml:space="preserve"> </w:t>
      </w:r>
      <w:r>
        <w:rPr>
          <w:lang w:val="fr-CA"/>
        </w:rPr>
        <w:t>peut exempter un projet de l’exigence</w:t>
      </w:r>
      <w:r w:rsidRPr="00FA558D">
        <w:rPr>
          <w:lang w:val="fr-CA"/>
        </w:rPr>
        <w:t xml:space="preserve"> </w:t>
      </w:r>
      <w:r>
        <w:rPr>
          <w:lang w:val="fr-CA"/>
        </w:rPr>
        <w:t>de compenser</w:t>
      </w:r>
      <w:r w:rsidRPr="00FA558D">
        <w:rPr>
          <w:lang w:val="fr-CA"/>
        </w:rPr>
        <w:t xml:space="preserve"> </w:t>
      </w:r>
      <w:r>
        <w:rPr>
          <w:lang w:val="fr-CA"/>
        </w:rPr>
        <w:t>tout nouveau fardeau ou ajout de règlement</w:t>
      </w:r>
      <w:r w:rsidRPr="00FA558D">
        <w:rPr>
          <w:lang w:val="fr-CA"/>
        </w:rPr>
        <w:t xml:space="preserve">. </w:t>
      </w:r>
      <w:r>
        <w:rPr>
          <w:lang w:val="fr-CA"/>
        </w:rPr>
        <w:t>Ce qui suit constitue le libellé standard qui doit apparaître dans la section du REIR sur la règle du « un pour un » pour chacune des trois</w:t>
      </w:r>
      <w:r w:rsidRPr="00FA558D">
        <w:rPr>
          <w:lang w:val="fr-CA"/>
        </w:rPr>
        <w:t> </w:t>
      </w:r>
      <w:r>
        <w:rPr>
          <w:lang w:val="fr-CA"/>
        </w:rPr>
        <w:t>catégories d’ex</w:t>
      </w:r>
      <w:r w:rsidRPr="00FA558D">
        <w:rPr>
          <w:lang w:val="fr-CA"/>
        </w:rPr>
        <w:t>emption</w:t>
      </w:r>
      <w:r>
        <w:rPr>
          <w:lang w:val="fr-CA"/>
        </w:rPr>
        <w:t>s</w:t>
      </w:r>
      <w:r w:rsidRPr="00FA558D">
        <w:rPr>
          <w:lang w:val="fr-CA"/>
        </w:rPr>
        <w:t>.</w:t>
      </w:r>
    </w:p>
    <w:p w14:paraId="4878980C" w14:textId="77777777" w:rsidR="00B91619" w:rsidRPr="00FA558D" w:rsidRDefault="00B91619" w:rsidP="00B91619">
      <w:pPr>
        <w:tabs>
          <w:tab w:val="left" w:pos="9356"/>
        </w:tabs>
        <w:spacing w:after="0" w:line="240" w:lineRule="auto"/>
        <w:rPr>
          <w:lang w:val="fr-CA"/>
        </w:rPr>
      </w:pPr>
    </w:p>
    <w:p w14:paraId="556DCF96" w14:textId="77777777" w:rsidR="00B91619" w:rsidRPr="00FA558D" w:rsidRDefault="00B91619" w:rsidP="00B91619">
      <w:pPr>
        <w:pStyle w:val="ListParagraph"/>
        <w:numPr>
          <w:ilvl w:val="0"/>
          <w:numId w:val="11"/>
        </w:numPr>
        <w:tabs>
          <w:tab w:val="left" w:pos="9356"/>
        </w:tabs>
        <w:spacing w:after="0" w:line="240" w:lineRule="auto"/>
        <w:rPr>
          <w:b/>
          <w:lang w:val="fr-CA"/>
        </w:rPr>
      </w:pPr>
      <w:r>
        <w:rPr>
          <w:b/>
          <w:lang w:val="fr-CA"/>
        </w:rPr>
        <w:t>Impôt ou administration de l’impôt</w:t>
      </w:r>
    </w:p>
    <w:p w14:paraId="70C1956A" w14:textId="317E5938" w:rsidR="00B91619" w:rsidRPr="00FA558D" w:rsidRDefault="00B91619" w:rsidP="00B91619">
      <w:pPr>
        <w:tabs>
          <w:tab w:val="left" w:pos="9356"/>
        </w:tabs>
        <w:spacing w:after="0" w:line="240" w:lineRule="auto"/>
        <w:ind w:left="720"/>
        <w:rPr>
          <w:lang w:val="fr-CA"/>
        </w:rPr>
      </w:pP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Le projet</w:t>
      </w:r>
      <w:r w:rsidRPr="00FA558D">
        <w:rPr>
          <w:lang w:val="fr-CA"/>
        </w:rPr>
        <w:t xml:space="preserve"> </w:t>
      </w:r>
      <w:r>
        <w:rPr>
          <w:lang w:val="fr-CA"/>
        </w:rPr>
        <w:t>est lié à l’impôt ou à l’administration de l’impôt, et est exempté de l’exigence</w:t>
      </w:r>
      <w:r w:rsidRPr="00FA558D">
        <w:rPr>
          <w:lang w:val="fr-CA"/>
        </w:rPr>
        <w:t xml:space="preserve"> </w:t>
      </w:r>
      <w:r>
        <w:rPr>
          <w:lang w:val="fr-CA"/>
        </w:rPr>
        <w:t>de compenser le</w:t>
      </w:r>
      <w:r w:rsidRPr="00FA558D">
        <w:rPr>
          <w:lang w:val="fr-CA"/>
        </w:rPr>
        <w:t xml:space="preserve"> </w:t>
      </w:r>
      <w:r>
        <w:rPr>
          <w:lang w:val="fr-CA"/>
        </w:rPr>
        <w:t>fardeau administratif et les titres réglementaire</w:t>
      </w:r>
      <w:r w:rsidRPr="00FA558D">
        <w:rPr>
          <w:lang w:val="fr-CA"/>
        </w:rPr>
        <w:t xml:space="preserve">s </w:t>
      </w:r>
      <w:r>
        <w:rPr>
          <w:lang w:val="fr-CA"/>
        </w:rPr>
        <w:t>en vertu de la règle du “un pour un”</w:t>
      </w:r>
      <w:r w:rsidRPr="00FA558D">
        <w:rPr>
          <w:lang w:val="fr-CA"/>
        </w:rPr>
        <w:t>.</w:t>
      </w:r>
      <w:r>
        <w:rPr>
          <w:lang w:val="fr-CA"/>
        </w:rPr>
        <w:t> »</w:t>
      </w:r>
    </w:p>
    <w:p w14:paraId="4D8E013D" w14:textId="77777777" w:rsidR="00B91619" w:rsidRPr="00FA558D" w:rsidRDefault="00B91619" w:rsidP="00B91619">
      <w:pPr>
        <w:pStyle w:val="ListParagraph"/>
        <w:tabs>
          <w:tab w:val="left" w:pos="9356"/>
        </w:tabs>
        <w:spacing w:after="0" w:line="240" w:lineRule="auto"/>
        <w:ind w:left="709"/>
        <w:rPr>
          <w:lang w:val="fr-CA"/>
        </w:rPr>
      </w:pPr>
    </w:p>
    <w:p w14:paraId="5BD2530E" w14:textId="77777777" w:rsidR="00B91619" w:rsidRPr="00FA558D" w:rsidRDefault="00B91619" w:rsidP="00B91619">
      <w:pPr>
        <w:pStyle w:val="ListParagraph"/>
        <w:numPr>
          <w:ilvl w:val="0"/>
          <w:numId w:val="11"/>
        </w:numPr>
        <w:tabs>
          <w:tab w:val="left" w:pos="9356"/>
        </w:tabs>
        <w:spacing w:after="0" w:line="240" w:lineRule="auto"/>
        <w:rPr>
          <w:b/>
          <w:lang w:val="fr-CA"/>
        </w:rPr>
      </w:pPr>
      <w:r>
        <w:rPr>
          <w:b/>
          <w:lang w:val="fr-CA"/>
        </w:rPr>
        <w:t>Obligations non assorties d’un pouvoir discrétionnaire</w:t>
      </w:r>
    </w:p>
    <w:p w14:paraId="2EC92E62" w14:textId="120AD851" w:rsidR="00B91619" w:rsidRPr="00FA558D" w:rsidRDefault="00B91619" w:rsidP="00B91619">
      <w:pPr>
        <w:tabs>
          <w:tab w:val="left" w:pos="9356"/>
        </w:tabs>
        <w:spacing w:after="0" w:line="240" w:lineRule="auto"/>
        <w:ind w:left="720"/>
        <w:rPr>
          <w:lang w:val="fr-CA"/>
        </w:rPr>
      </w:pP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Le projet</w:t>
      </w:r>
      <w:r w:rsidRPr="00FA558D">
        <w:rPr>
          <w:lang w:val="fr-CA"/>
        </w:rPr>
        <w:t xml:space="preserve"> </w:t>
      </w:r>
      <w:r>
        <w:rPr>
          <w:lang w:val="fr-CA"/>
        </w:rPr>
        <w:t>met en place une obligation non assortie d’un pouvoir discrétionnaire, et est exempté de l’exigence</w:t>
      </w:r>
      <w:r w:rsidRPr="00FA558D">
        <w:rPr>
          <w:lang w:val="fr-CA"/>
        </w:rPr>
        <w:t xml:space="preserve"> </w:t>
      </w:r>
      <w:r>
        <w:rPr>
          <w:lang w:val="fr-CA"/>
        </w:rPr>
        <w:t>de compenser</w:t>
      </w:r>
      <w:r w:rsidR="00B4147F">
        <w:rPr>
          <w:lang w:val="fr-CA"/>
        </w:rPr>
        <w:t xml:space="preserve"> le</w:t>
      </w:r>
      <w:r w:rsidRPr="00FA558D">
        <w:rPr>
          <w:lang w:val="fr-CA"/>
        </w:rPr>
        <w:t xml:space="preserve"> </w:t>
      </w:r>
      <w:r>
        <w:rPr>
          <w:lang w:val="fr-CA"/>
        </w:rPr>
        <w:t>fardeau administratif et les titres réglementaire</w:t>
      </w:r>
      <w:r w:rsidRPr="00FA558D">
        <w:rPr>
          <w:lang w:val="fr-CA"/>
        </w:rPr>
        <w:t xml:space="preserve">s </w:t>
      </w:r>
      <w:r>
        <w:rPr>
          <w:lang w:val="fr-CA"/>
        </w:rPr>
        <w:t>en vertu de la règle du “un pour un”</w:t>
      </w:r>
      <w:r w:rsidRPr="00FA558D">
        <w:rPr>
          <w:lang w:val="fr-CA"/>
        </w:rPr>
        <w:t>.</w:t>
      </w:r>
      <w:r>
        <w:rPr>
          <w:lang w:val="fr-CA"/>
        </w:rPr>
        <w:t> »</w:t>
      </w:r>
    </w:p>
    <w:p w14:paraId="77052776" w14:textId="77777777" w:rsidR="00B91619" w:rsidRPr="00FA558D" w:rsidRDefault="00B91619" w:rsidP="00B91619">
      <w:pPr>
        <w:pStyle w:val="ListParagraph"/>
        <w:tabs>
          <w:tab w:val="left" w:pos="9356"/>
        </w:tabs>
        <w:spacing w:after="0" w:line="240" w:lineRule="auto"/>
        <w:ind w:left="426"/>
        <w:rPr>
          <w:lang w:val="fr-CA"/>
        </w:rPr>
      </w:pPr>
    </w:p>
    <w:p w14:paraId="1BC7CD1C" w14:textId="77777777" w:rsidR="00B91619" w:rsidRPr="00FA558D" w:rsidRDefault="00B91619" w:rsidP="00B91619">
      <w:pPr>
        <w:pStyle w:val="ListParagraph"/>
        <w:numPr>
          <w:ilvl w:val="0"/>
          <w:numId w:val="11"/>
        </w:numPr>
        <w:tabs>
          <w:tab w:val="left" w:pos="9356"/>
        </w:tabs>
        <w:spacing w:after="0" w:line="240" w:lineRule="auto"/>
        <w:rPr>
          <w:b/>
          <w:lang w:val="fr-CA"/>
        </w:rPr>
      </w:pPr>
      <w:r>
        <w:rPr>
          <w:b/>
          <w:lang w:val="fr-CA"/>
        </w:rPr>
        <w:t>Urgences et circonstances uniques ou exceptionnelles</w:t>
      </w:r>
      <w:r w:rsidRPr="00FA558D">
        <w:rPr>
          <w:b/>
          <w:lang w:val="fr-CA"/>
        </w:rPr>
        <w:t xml:space="preserve"> </w:t>
      </w:r>
    </w:p>
    <w:p w14:paraId="5B146C95" w14:textId="1F5EF7FF" w:rsidR="00B91619" w:rsidRPr="00FA558D" w:rsidRDefault="00B91619" w:rsidP="00B91619">
      <w:pPr>
        <w:tabs>
          <w:tab w:val="left" w:pos="9356"/>
        </w:tabs>
        <w:spacing w:after="0" w:line="240" w:lineRule="auto"/>
        <w:ind w:left="720"/>
        <w:rPr>
          <w:lang w:val="fr-CA"/>
        </w:rPr>
      </w:pP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Le projet</w:t>
      </w:r>
      <w:r w:rsidRPr="00FA558D">
        <w:rPr>
          <w:lang w:val="fr-CA"/>
        </w:rPr>
        <w:t xml:space="preserve"> </w:t>
      </w:r>
      <w:r>
        <w:rPr>
          <w:lang w:val="fr-CA"/>
        </w:rPr>
        <w:t xml:space="preserve">vise une circonstance </w:t>
      </w:r>
      <w:r w:rsidRPr="00FA558D">
        <w:rPr>
          <w:lang w:val="fr-CA"/>
        </w:rPr>
        <w:t>(</w:t>
      </w:r>
      <w:r>
        <w:rPr>
          <w:lang w:val="fr-CA"/>
        </w:rPr>
        <w:t>urgente</w:t>
      </w:r>
      <w:r w:rsidRPr="00FA558D">
        <w:rPr>
          <w:lang w:val="fr-CA"/>
        </w:rPr>
        <w:t>/unique/</w:t>
      </w:r>
      <w:r>
        <w:rPr>
          <w:lang w:val="fr-CA"/>
        </w:rPr>
        <w:t>exceptionnelle</w:t>
      </w:r>
      <w:r w:rsidRPr="00FA558D">
        <w:rPr>
          <w:lang w:val="fr-CA"/>
        </w:rPr>
        <w:t xml:space="preserve">) </w:t>
      </w:r>
      <w:r>
        <w:rPr>
          <w:lang w:val="fr-CA"/>
        </w:rPr>
        <w:t>et est exempté de l’exigence</w:t>
      </w:r>
      <w:r w:rsidRPr="00FA558D">
        <w:rPr>
          <w:lang w:val="fr-CA"/>
        </w:rPr>
        <w:t xml:space="preserve"> </w:t>
      </w:r>
      <w:r>
        <w:rPr>
          <w:lang w:val="fr-CA"/>
        </w:rPr>
        <w:t>de compenser</w:t>
      </w:r>
      <w:r w:rsidRPr="00FA558D">
        <w:rPr>
          <w:lang w:val="fr-CA"/>
        </w:rPr>
        <w:t xml:space="preserve"> </w:t>
      </w:r>
      <w:r>
        <w:rPr>
          <w:lang w:val="fr-CA"/>
        </w:rPr>
        <w:t>fardeau administratif et les titres réglementaire</w:t>
      </w:r>
      <w:r w:rsidRPr="00FA558D">
        <w:rPr>
          <w:lang w:val="fr-CA"/>
        </w:rPr>
        <w:t xml:space="preserve">s </w:t>
      </w:r>
      <w:r>
        <w:rPr>
          <w:lang w:val="fr-CA"/>
        </w:rPr>
        <w:t>en vertu de la règle du “un pour un”</w:t>
      </w:r>
      <w:r w:rsidRPr="00FA558D">
        <w:rPr>
          <w:lang w:val="fr-CA"/>
        </w:rPr>
        <w:t>.</w:t>
      </w:r>
      <w:r>
        <w:rPr>
          <w:lang w:val="fr-CA"/>
        </w:rPr>
        <w:t> »</w:t>
      </w:r>
    </w:p>
    <w:p w14:paraId="39967FEC" w14:textId="77777777" w:rsidR="00B91619" w:rsidRPr="00FA558D" w:rsidRDefault="00B91619" w:rsidP="00B91619">
      <w:pPr>
        <w:tabs>
          <w:tab w:val="left" w:pos="9356"/>
        </w:tabs>
        <w:spacing w:after="0" w:line="240" w:lineRule="auto"/>
        <w:rPr>
          <w:lang w:val="fr-CA"/>
        </w:rPr>
      </w:pPr>
    </w:p>
    <w:p w14:paraId="5DB65ADF" w14:textId="3483A9BF" w:rsidR="00B91619" w:rsidRPr="00FA558D" w:rsidRDefault="00B91619" w:rsidP="00B91619">
      <w:pPr>
        <w:tabs>
          <w:tab w:val="left" w:pos="9356"/>
        </w:tabs>
        <w:spacing w:after="0" w:line="240" w:lineRule="auto"/>
        <w:rPr>
          <w:lang w:val="fr-CA"/>
        </w:rPr>
      </w:pPr>
      <w:r>
        <w:rPr>
          <w:lang w:val="fr-CA"/>
        </w:rPr>
        <w:lastRenderedPageBreak/>
        <w:t>Même si une ex</w:t>
      </w:r>
      <w:r w:rsidRPr="00FA558D">
        <w:rPr>
          <w:lang w:val="fr-CA"/>
        </w:rPr>
        <w:t xml:space="preserve">emption </w:t>
      </w:r>
      <w:r>
        <w:rPr>
          <w:lang w:val="fr-CA"/>
        </w:rPr>
        <w:t>supprime l’exigence</w:t>
      </w:r>
      <w:r w:rsidRPr="00FA558D">
        <w:rPr>
          <w:lang w:val="fr-CA"/>
        </w:rPr>
        <w:t xml:space="preserve"> </w:t>
      </w:r>
      <w:r>
        <w:rPr>
          <w:lang w:val="fr-CA"/>
        </w:rPr>
        <w:t>de compenser</w:t>
      </w:r>
      <w:r w:rsidRPr="00FA558D">
        <w:rPr>
          <w:lang w:val="fr-CA"/>
        </w:rPr>
        <w:t xml:space="preserve"> </w:t>
      </w:r>
      <w:r>
        <w:rPr>
          <w:lang w:val="fr-CA"/>
        </w:rPr>
        <w:t>un nouveau fardeau ou un nouveau règlement, il demeure préférable que les ministre</w:t>
      </w:r>
      <w:r w:rsidRPr="00FA558D">
        <w:rPr>
          <w:lang w:val="fr-CA"/>
        </w:rPr>
        <w:t>s</w:t>
      </w:r>
      <w:r>
        <w:rPr>
          <w:lang w:val="fr-CA"/>
        </w:rPr>
        <w:t xml:space="preserve"> et le grand public connaissent les répercussions d’une modification apportée au fardeau administratif, </w:t>
      </w:r>
      <w:r w:rsidR="001721CD">
        <w:rPr>
          <w:lang w:val="fr-CA"/>
        </w:rPr>
        <w:t>à des fins</w:t>
      </w:r>
      <w:r>
        <w:rPr>
          <w:lang w:val="fr-CA"/>
        </w:rPr>
        <w:t xml:space="preserve"> de tra</w:t>
      </w:r>
      <w:r w:rsidRPr="00FA558D">
        <w:rPr>
          <w:lang w:val="fr-CA"/>
        </w:rPr>
        <w:t>nspa</w:t>
      </w:r>
      <w:r>
        <w:rPr>
          <w:lang w:val="fr-CA"/>
        </w:rPr>
        <w:t xml:space="preserve">rence. Les organismes de réglementation sont fortement encouragés à décrire en termes </w:t>
      </w:r>
      <w:r w:rsidRPr="00FA558D">
        <w:rPr>
          <w:lang w:val="fr-CA"/>
        </w:rPr>
        <w:t>qualitati</w:t>
      </w:r>
      <w:r>
        <w:rPr>
          <w:lang w:val="fr-CA"/>
        </w:rPr>
        <w:t>fs tout fardeau anticipé</w:t>
      </w:r>
      <w:r w:rsidR="00B4147F">
        <w:rPr>
          <w:lang w:val="fr-CA"/>
        </w:rPr>
        <w:t xml:space="preserve"> et à inclure</w:t>
      </w:r>
      <w:r>
        <w:rPr>
          <w:lang w:val="fr-CA"/>
        </w:rPr>
        <w:t xml:space="preserve"> des renseignements quantitatifs, notamment sur les coûts, dans la mesure du pos</w:t>
      </w:r>
      <w:r w:rsidRPr="00FA558D">
        <w:rPr>
          <w:lang w:val="fr-CA"/>
        </w:rPr>
        <w:t>sible.</w:t>
      </w:r>
    </w:p>
    <w:p w14:paraId="37C90A8F" w14:textId="77777777" w:rsidR="00B91619" w:rsidRPr="00FA558D" w:rsidRDefault="00B91619" w:rsidP="00B91619">
      <w:pPr>
        <w:tabs>
          <w:tab w:val="left" w:pos="9356"/>
        </w:tabs>
        <w:spacing w:after="0" w:line="240" w:lineRule="auto"/>
        <w:rPr>
          <w:lang w:val="fr-CA"/>
        </w:rPr>
      </w:pPr>
    </w:p>
    <w:p w14:paraId="36A6D8DB" w14:textId="77777777" w:rsidR="00B91619" w:rsidRPr="00FA558D" w:rsidRDefault="00B91619" w:rsidP="00B91619">
      <w:pPr>
        <w:pStyle w:val="Heading3"/>
        <w:rPr>
          <w:lang w:val="fr-CA"/>
        </w:rPr>
      </w:pPr>
      <w:bookmarkStart w:id="26" w:name="_Toc69891055"/>
      <w:r>
        <w:rPr>
          <w:lang w:val="fr-CA"/>
        </w:rPr>
        <w:t>Exigence de présentation de rapports annuels (sous-s</w:t>
      </w:r>
      <w:r w:rsidRPr="00FA558D">
        <w:rPr>
          <w:lang w:val="fr-CA"/>
        </w:rPr>
        <w:t>ection 7.2.11)</w:t>
      </w:r>
      <w:bookmarkEnd w:id="26"/>
    </w:p>
    <w:p w14:paraId="39DA1948" w14:textId="77777777" w:rsidR="00B91619" w:rsidRPr="00FA558D" w:rsidRDefault="00B91619" w:rsidP="00B91619">
      <w:pPr>
        <w:tabs>
          <w:tab w:val="left" w:pos="9356"/>
        </w:tabs>
        <w:spacing w:after="0" w:line="240" w:lineRule="auto"/>
        <w:rPr>
          <w:lang w:val="fr-CA"/>
        </w:rPr>
      </w:pPr>
    </w:p>
    <w:p w14:paraId="7F08C32F" w14:textId="1470419A" w:rsidR="00B91619" w:rsidRPr="00FA558D" w:rsidRDefault="00B91619" w:rsidP="00B91619">
      <w:pPr>
        <w:tabs>
          <w:tab w:val="left" w:pos="9356"/>
        </w:tabs>
        <w:spacing w:after="0" w:line="240" w:lineRule="auto"/>
        <w:rPr>
          <w:lang w:val="fr-CA"/>
        </w:rPr>
      </w:pPr>
      <w:r>
        <w:rPr>
          <w:lang w:val="fr-CA"/>
        </w:rPr>
        <w:t>L’article </w:t>
      </w:r>
      <w:r w:rsidRPr="00FA558D">
        <w:rPr>
          <w:lang w:val="fr-CA"/>
        </w:rPr>
        <w:t xml:space="preserve">9 </w:t>
      </w:r>
      <w:r>
        <w:rPr>
          <w:lang w:val="fr-CA"/>
        </w:rPr>
        <w:t xml:space="preserve">de la </w:t>
      </w:r>
      <w:r w:rsidRPr="008C5FFA">
        <w:rPr>
          <w:lang w:val="fr-CA"/>
        </w:rPr>
        <w:t>Loi sur la réduction de la paperasse</w:t>
      </w:r>
      <w:r>
        <w:rPr>
          <w:lang w:val="fr-CA"/>
        </w:rPr>
        <w:t xml:space="preserve"> exige la publication annuelle d’un rapport en vertu de l’application de l’article</w:t>
      </w:r>
      <w:r w:rsidR="00A9277E">
        <w:rPr>
          <w:lang w:val="fr-CA"/>
        </w:rPr>
        <w:t> </w:t>
      </w:r>
      <w:r>
        <w:rPr>
          <w:lang w:val="fr-CA"/>
        </w:rPr>
        <w:t xml:space="preserve">5 de la Loi pendant l’exercice </w:t>
      </w:r>
      <w:r w:rsidR="00A230E8">
        <w:rPr>
          <w:lang w:val="fr-CA"/>
        </w:rPr>
        <w:t xml:space="preserve">financier </w:t>
      </w:r>
      <w:r>
        <w:rPr>
          <w:lang w:val="fr-CA"/>
        </w:rPr>
        <w:t xml:space="preserve">précédent. La politique exige qu’un rapport soit présenté chaque année au </w:t>
      </w:r>
      <w:r w:rsidRPr="00FA558D">
        <w:rPr>
          <w:lang w:val="fr-CA"/>
        </w:rPr>
        <w:t>Par</w:t>
      </w:r>
      <w:r>
        <w:rPr>
          <w:lang w:val="fr-CA"/>
        </w:rPr>
        <w:t>leme</w:t>
      </w:r>
      <w:r w:rsidRPr="00FA558D">
        <w:rPr>
          <w:lang w:val="fr-CA"/>
        </w:rPr>
        <w:t xml:space="preserve">nt </w:t>
      </w:r>
      <w:r>
        <w:rPr>
          <w:lang w:val="fr-CA"/>
        </w:rPr>
        <w:t>pour :</w:t>
      </w:r>
    </w:p>
    <w:p w14:paraId="0E34CEB9" w14:textId="25EC5970" w:rsidR="00B91619" w:rsidRPr="00FA558D" w:rsidRDefault="00B91619" w:rsidP="00B91619">
      <w:pPr>
        <w:pStyle w:val="ListParagraph"/>
        <w:numPr>
          <w:ilvl w:val="0"/>
          <w:numId w:val="12"/>
        </w:numPr>
        <w:tabs>
          <w:tab w:val="left" w:pos="9356"/>
        </w:tabs>
        <w:spacing w:after="0" w:line="240" w:lineRule="auto"/>
        <w:rPr>
          <w:lang w:val="fr-CA"/>
        </w:rPr>
      </w:pPr>
      <w:r>
        <w:rPr>
          <w:lang w:val="fr-CA"/>
        </w:rPr>
        <w:t xml:space="preserve">répondre aux exigences sur les rapports énoncées dans la </w:t>
      </w:r>
      <w:r w:rsidRPr="008C5FFA">
        <w:rPr>
          <w:lang w:val="fr-CA"/>
        </w:rPr>
        <w:t>Loi sur la réduction de la paperass</w:t>
      </w:r>
      <w:r w:rsidR="00A230E8">
        <w:rPr>
          <w:lang w:val="fr-CA"/>
        </w:rPr>
        <w:t>e;</w:t>
      </w:r>
    </w:p>
    <w:p w14:paraId="1AEB5139" w14:textId="7C6EF8BB" w:rsidR="00B91619" w:rsidRPr="00FA558D" w:rsidRDefault="00A9277E" w:rsidP="00B91619">
      <w:pPr>
        <w:pStyle w:val="ListParagraph"/>
        <w:numPr>
          <w:ilvl w:val="0"/>
          <w:numId w:val="12"/>
        </w:numPr>
        <w:tabs>
          <w:tab w:val="left" w:pos="9356"/>
        </w:tabs>
        <w:spacing w:after="0" w:line="240" w:lineRule="auto"/>
        <w:rPr>
          <w:lang w:val="fr-CA"/>
        </w:rPr>
      </w:pPr>
      <w:r>
        <w:rPr>
          <w:lang w:val="fr-CA"/>
        </w:rPr>
        <w:t>f</w:t>
      </w:r>
      <w:r w:rsidR="00B91619">
        <w:rPr>
          <w:lang w:val="fr-CA"/>
        </w:rPr>
        <w:t>aire rapport sur les autres initiatives de gestion de la réglementation.</w:t>
      </w:r>
    </w:p>
    <w:p w14:paraId="5097AC28" w14:textId="77777777" w:rsidR="00B91619" w:rsidRPr="00FA558D" w:rsidRDefault="00B91619" w:rsidP="00B91619">
      <w:pPr>
        <w:tabs>
          <w:tab w:val="left" w:pos="9356"/>
        </w:tabs>
        <w:spacing w:after="0" w:line="240" w:lineRule="auto"/>
        <w:rPr>
          <w:lang w:val="fr-CA"/>
        </w:rPr>
      </w:pPr>
    </w:p>
    <w:p w14:paraId="65B45A10" w14:textId="022456AA" w:rsidR="00B91619" w:rsidRPr="00FA558D" w:rsidRDefault="00B91619" w:rsidP="00B91619">
      <w:pPr>
        <w:tabs>
          <w:tab w:val="left" w:pos="9356"/>
        </w:tabs>
        <w:spacing w:after="0" w:line="240" w:lineRule="auto"/>
        <w:rPr>
          <w:lang w:val="fr-CA"/>
        </w:rPr>
      </w:pPr>
      <w:r>
        <w:rPr>
          <w:lang w:val="fr-CA"/>
        </w:rPr>
        <w:t>Le rapport annuel</w:t>
      </w:r>
      <w:r w:rsidRPr="00FA558D">
        <w:rPr>
          <w:lang w:val="fr-CA"/>
        </w:rPr>
        <w:t xml:space="preserve"> </w:t>
      </w:r>
      <w:r>
        <w:rPr>
          <w:lang w:val="fr-CA"/>
        </w:rPr>
        <w:t xml:space="preserve">peut aussi souligner les </w:t>
      </w:r>
      <w:r w:rsidR="00A230E8">
        <w:rPr>
          <w:lang w:val="fr-CA"/>
        </w:rPr>
        <w:t>cas</w:t>
      </w:r>
      <w:r>
        <w:rPr>
          <w:lang w:val="fr-CA"/>
        </w:rPr>
        <w:t xml:space="preserve"> de non-conformité à l’exigence de compenser</w:t>
      </w:r>
      <w:r w:rsidRPr="00FA558D">
        <w:rPr>
          <w:lang w:val="fr-CA"/>
        </w:rPr>
        <w:t xml:space="preserve"> </w:t>
      </w:r>
      <w:r>
        <w:rPr>
          <w:lang w:val="fr-CA"/>
        </w:rPr>
        <w:t>en vertu de la règle du « un pour un »</w:t>
      </w:r>
      <w:r w:rsidRPr="00FA558D">
        <w:rPr>
          <w:lang w:val="fr-CA"/>
        </w:rPr>
        <w:t>.</w:t>
      </w:r>
      <w:r>
        <w:rPr>
          <w:lang w:val="fr-CA"/>
        </w:rPr>
        <w:t xml:space="preserve"> Dans un tel cas, il est attendu que le processus défini dans la sous</w:t>
      </w:r>
      <w:r w:rsidR="00A230E8">
        <w:rPr>
          <w:lang w:val="fr-CA"/>
        </w:rPr>
        <w:noBreakHyphen/>
      </w:r>
      <w:r>
        <w:rPr>
          <w:lang w:val="fr-CA"/>
        </w:rPr>
        <w:t>s</w:t>
      </w:r>
      <w:r w:rsidRPr="00FA558D">
        <w:rPr>
          <w:lang w:val="fr-CA"/>
        </w:rPr>
        <w:t>ection 7.2.8</w:t>
      </w:r>
      <w:r>
        <w:rPr>
          <w:lang w:val="fr-CA"/>
        </w:rPr>
        <w:t xml:space="preserve"> de la politique aura déjà été mis en </w:t>
      </w:r>
      <w:r w:rsidRPr="00FA558D">
        <w:rPr>
          <w:lang w:val="fr-CA"/>
        </w:rPr>
        <w:t xml:space="preserve">place. </w:t>
      </w:r>
    </w:p>
    <w:p w14:paraId="52F0085B" w14:textId="77777777" w:rsidR="00B91619" w:rsidRPr="00FA558D" w:rsidRDefault="00B91619" w:rsidP="00B91619">
      <w:pPr>
        <w:tabs>
          <w:tab w:val="left" w:pos="9356"/>
        </w:tabs>
        <w:spacing w:after="0" w:line="240" w:lineRule="auto"/>
        <w:rPr>
          <w:lang w:val="fr-CA"/>
        </w:rPr>
      </w:pPr>
    </w:p>
    <w:p w14:paraId="5D7D5E27" w14:textId="1FA9D2DD" w:rsidR="00B91619" w:rsidRPr="00FA558D" w:rsidRDefault="00B91619" w:rsidP="00B91619">
      <w:pPr>
        <w:tabs>
          <w:tab w:val="left" w:pos="9356"/>
        </w:tabs>
        <w:spacing w:after="0" w:line="240" w:lineRule="auto"/>
        <w:rPr>
          <w:lang w:val="fr-CA"/>
        </w:rPr>
      </w:pPr>
      <w:r>
        <w:rPr>
          <w:lang w:val="fr-CA"/>
        </w:rPr>
        <w:t>Le premier Rapport annuel au Parlement</w:t>
      </w:r>
      <w:r w:rsidRPr="00FA558D">
        <w:rPr>
          <w:lang w:val="fr-CA"/>
        </w:rPr>
        <w:t xml:space="preserve"> (</w:t>
      </w:r>
      <w:r>
        <w:rPr>
          <w:lang w:val="fr-CA"/>
        </w:rPr>
        <w:t xml:space="preserve">exercice </w:t>
      </w:r>
      <w:r w:rsidR="00A230E8">
        <w:rPr>
          <w:lang w:val="fr-CA"/>
        </w:rPr>
        <w:t xml:space="preserve">financier de </w:t>
      </w:r>
      <w:r w:rsidRPr="00FA558D">
        <w:rPr>
          <w:lang w:val="fr-CA"/>
        </w:rPr>
        <w:t>2016 </w:t>
      </w:r>
      <w:r>
        <w:rPr>
          <w:lang w:val="fr-CA"/>
        </w:rPr>
        <w:t xml:space="preserve">à </w:t>
      </w:r>
      <w:r w:rsidRPr="00FA558D">
        <w:rPr>
          <w:lang w:val="fr-CA"/>
        </w:rPr>
        <w:t xml:space="preserve">2017) </w:t>
      </w:r>
      <w:r>
        <w:rPr>
          <w:lang w:val="fr-CA"/>
        </w:rPr>
        <w:t xml:space="preserve">abordait la règle du « un pour un » </w:t>
      </w:r>
      <w:r w:rsidR="00A230E8">
        <w:rPr>
          <w:lang w:val="fr-CA"/>
        </w:rPr>
        <w:t>ainsi que</w:t>
      </w:r>
      <w:r>
        <w:rPr>
          <w:lang w:val="fr-CA"/>
        </w:rPr>
        <w:t xml:space="preserve"> les avantages et les coûts des règlements les plus significatifs. Le </w:t>
      </w:r>
      <w:r w:rsidRPr="00FA558D">
        <w:rPr>
          <w:lang w:val="fr-CA"/>
        </w:rPr>
        <w:t>format</w:t>
      </w:r>
      <w:r>
        <w:rPr>
          <w:lang w:val="fr-CA"/>
        </w:rPr>
        <w:t xml:space="preserve"> et le contenu du rapport annuel peuvent changer au fil du temps puisque le président du Conseil du Trésor peut choisir d’y inclure des renseignements sur d’autres initiatives de gestion de la réglementation</w:t>
      </w:r>
      <w:r w:rsidRPr="00FA558D">
        <w:rPr>
          <w:lang w:val="fr-CA"/>
        </w:rPr>
        <w:t xml:space="preserve">. </w:t>
      </w:r>
    </w:p>
    <w:p w14:paraId="2D91E8DE" w14:textId="77777777" w:rsidR="00B91619" w:rsidRPr="00FA558D" w:rsidRDefault="00B91619" w:rsidP="00B91619">
      <w:pPr>
        <w:tabs>
          <w:tab w:val="left" w:pos="9356"/>
        </w:tabs>
        <w:spacing w:after="0" w:line="240" w:lineRule="auto"/>
        <w:rPr>
          <w:lang w:val="fr-CA"/>
        </w:rPr>
      </w:pPr>
    </w:p>
    <w:p w14:paraId="519F594D" w14:textId="16A18F12" w:rsidR="00B91619" w:rsidRPr="00FA558D" w:rsidRDefault="00B91619" w:rsidP="00B91619">
      <w:pPr>
        <w:pStyle w:val="Heading1"/>
        <w:rPr>
          <w:lang w:val="fr-CA"/>
        </w:rPr>
      </w:pPr>
      <w:bookmarkStart w:id="27" w:name="_Toc69891056"/>
      <w:r>
        <w:rPr>
          <w:lang w:val="fr-CA"/>
        </w:rPr>
        <w:t xml:space="preserve">La </w:t>
      </w:r>
      <w:r w:rsidR="00827BD1">
        <w:rPr>
          <w:lang w:val="fr-CA"/>
        </w:rPr>
        <w:t>lentille</w:t>
      </w:r>
      <w:r>
        <w:rPr>
          <w:lang w:val="fr-CA"/>
        </w:rPr>
        <w:t xml:space="preserve"> des petites entreprises</w:t>
      </w:r>
      <w:r w:rsidRPr="00FA558D">
        <w:rPr>
          <w:lang w:val="fr-CA"/>
        </w:rPr>
        <w:t xml:space="preserve"> (section 8)</w:t>
      </w:r>
      <w:bookmarkEnd w:id="27"/>
      <w:r w:rsidRPr="00FA558D">
        <w:rPr>
          <w:lang w:val="fr-CA"/>
        </w:rPr>
        <w:t xml:space="preserve"> </w:t>
      </w:r>
    </w:p>
    <w:p w14:paraId="6931B1D7" w14:textId="77777777" w:rsidR="00B91619" w:rsidRPr="00FA558D" w:rsidRDefault="00B91619" w:rsidP="00B91619">
      <w:pPr>
        <w:pStyle w:val="Heading2"/>
        <w:numPr>
          <w:ilvl w:val="1"/>
          <w:numId w:val="26"/>
        </w:numPr>
        <w:ind w:left="720" w:hanging="720"/>
        <w:rPr>
          <w:lang w:val="fr-CA"/>
        </w:rPr>
      </w:pPr>
      <w:bookmarkStart w:id="28" w:name="_Toc69891057"/>
      <w:r>
        <w:rPr>
          <w:lang w:val="fr-CA"/>
        </w:rPr>
        <w:t>Exigences de la politique</w:t>
      </w:r>
      <w:r w:rsidRPr="00FA558D">
        <w:rPr>
          <w:lang w:val="fr-CA"/>
        </w:rPr>
        <w:t xml:space="preserve"> (</w:t>
      </w:r>
      <w:r>
        <w:rPr>
          <w:lang w:val="fr-CA"/>
        </w:rPr>
        <w:t>sous-s</w:t>
      </w:r>
      <w:r w:rsidRPr="00FA558D">
        <w:rPr>
          <w:lang w:val="fr-CA"/>
        </w:rPr>
        <w:t>ection 8.2)</w:t>
      </w:r>
      <w:bookmarkEnd w:id="28"/>
    </w:p>
    <w:p w14:paraId="32808143" w14:textId="77777777" w:rsidR="00B91619" w:rsidRPr="00FA558D" w:rsidRDefault="00B91619" w:rsidP="00B91619">
      <w:pPr>
        <w:tabs>
          <w:tab w:val="left" w:pos="9356"/>
        </w:tabs>
        <w:spacing w:after="0" w:line="240" w:lineRule="auto"/>
        <w:rPr>
          <w:lang w:val="fr-CA"/>
        </w:rPr>
      </w:pPr>
    </w:p>
    <w:p w14:paraId="06EBC05C" w14:textId="510B2A72" w:rsidR="00B91619" w:rsidRPr="00FA558D" w:rsidRDefault="00B91619" w:rsidP="00B91619">
      <w:pPr>
        <w:tabs>
          <w:tab w:val="left" w:pos="9356"/>
        </w:tabs>
        <w:spacing w:after="0" w:line="240" w:lineRule="auto"/>
        <w:rPr>
          <w:lang w:val="fr-CA"/>
        </w:rPr>
      </w:pPr>
      <w:r>
        <w:rPr>
          <w:lang w:val="fr-CA"/>
        </w:rPr>
        <w:t xml:space="preserve">La </w:t>
      </w:r>
      <w:r w:rsidR="00827BD1">
        <w:rPr>
          <w:lang w:val="fr-CA"/>
        </w:rPr>
        <w:t>lentille</w:t>
      </w:r>
      <w:r>
        <w:rPr>
          <w:lang w:val="fr-CA"/>
        </w:rPr>
        <w:t xml:space="preserve"> des petites entreprises</w:t>
      </w:r>
      <w:r w:rsidRPr="00FA558D">
        <w:rPr>
          <w:lang w:val="fr-CA"/>
        </w:rPr>
        <w:t xml:space="preserve"> </w:t>
      </w:r>
      <w:r>
        <w:rPr>
          <w:lang w:val="fr-CA"/>
        </w:rPr>
        <w:t>s’applique aux</w:t>
      </w:r>
      <w:r w:rsidRPr="00FA558D">
        <w:rPr>
          <w:lang w:val="fr-CA"/>
        </w:rPr>
        <w:t xml:space="preserve"> </w:t>
      </w:r>
      <w:r w:rsidR="00F0397A">
        <w:rPr>
          <w:lang w:val="fr-CA"/>
        </w:rPr>
        <w:t xml:space="preserve">modifications </w:t>
      </w:r>
      <w:r>
        <w:rPr>
          <w:lang w:val="fr-CA"/>
        </w:rPr>
        <w:t xml:space="preserve">réglementaires qui </w:t>
      </w:r>
      <w:r w:rsidRPr="00FA558D">
        <w:rPr>
          <w:lang w:val="fr-CA"/>
        </w:rPr>
        <w:t>impose</w:t>
      </w:r>
      <w:r>
        <w:rPr>
          <w:lang w:val="fr-CA"/>
        </w:rPr>
        <w:t>nt</w:t>
      </w:r>
      <w:r w:rsidRPr="00FA558D">
        <w:rPr>
          <w:lang w:val="fr-CA"/>
        </w:rPr>
        <w:t xml:space="preserve"> </w:t>
      </w:r>
      <w:r>
        <w:rPr>
          <w:lang w:val="fr-CA"/>
        </w:rPr>
        <w:t xml:space="preserve">un </w:t>
      </w:r>
      <w:r w:rsidR="00F0397A">
        <w:rPr>
          <w:lang w:val="fr-CA"/>
        </w:rPr>
        <w:t xml:space="preserve">nouveau </w:t>
      </w:r>
      <w:r>
        <w:rPr>
          <w:lang w:val="fr-CA"/>
        </w:rPr>
        <w:t>fardeau complémentaire et progressif, soit-il administratif ou lié à la conformité, aux petites entreprises</w:t>
      </w:r>
      <w:r w:rsidRPr="00FA558D">
        <w:rPr>
          <w:lang w:val="fr-CA"/>
        </w:rPr>
        <w:t>.</w:t>
      </w:r>
      <w:r>
        <w:rPr>
          <w:lang w:val="fr-CA"/>
        </w:rPr>
        <w:t xml:space="preserve"> Les questions ci-après ont été formulées pour aider les organismes de réglementation</w:t>
      </w:r>
      <w:r w:rsidRPr="00FA558D">
        <w:rPr>
          <w:lang w:val="fr-CA"/>
        </w:rPr>
        <w:t xml:space="preserve"> </w:t>
      </w:r>
      <w:r>
        <w:rPr>
          <w:lang w:val="fr-CA"/>
        </w:rPr>
        <w:t>à établir si</w:t>
      </w:r>
      <w:r w:rsidRPr="00FA558D">
        <w:rPr>
          <w:lang w:val="fr-CA"/>
        </w:rPr>
        <w:t xml:space="preserve"> </w:t>
      </w:r>
      <w:r>
        <w:rPr>
          <w:lang w:val="fr-CA"/>
        </w:rPr>
        <w:t xml:space="preserve">la </w:t>
      </w:r>
      <w:r w:rsidR="00827BD1">
        <w:rPr>
          <w:lang w:val="fr-CA"/>
        </w:rPr>
        <w:t>lentille</w:t>
      </w:r>
      <w:r w:rsidRPr="00FA558D">
        <w:rPr>
          <w:lang w:val="fr-CA"/>
        </w:rPr>
        <w:t xml:space="preserve"> </w:t>
      </w:r>
      <w:r>
        <w:rPr>
          <w:lang w:val="fr-CA"/>
        </w:rPr>
        <w:t>s’applique à un projet de règlement</w:t>
      </w:r>
      <w:r w:rsidRPr="00FA558D">
        <w:rPr>
          <w:lang w:val="fr-CA"/>
        </w:rPr>
        <w:t>.</w:t>
      </w:r>
    </w:p>
    <w:p w14:paraId="1D3F34CF" w14:textId="77777777" w:rsidR="00B91619" w:rsidRPr="00FA558D" w:rsidRDefault="00B91619" w:rsidP="00B91619">
      <w:pPr>
        <w:tabs>
          <w:tab w:val="left" w:pos="9356"/>
        </w:tabs>
        <w:spacing w:after="0" w:line="240" w:lineRule="auto"/>
        <w:rPr>
          <w:lang w:val="fr-CA"/>
        </w:rPr>
      </w:pPr>
    </w:p>
    <w:p w14:paraId="1CD9A332" w14:textId="77777777" w:rsidR="00B91619" w:rsidRPr="00FA558D" w:rsidRDefault="00B91619" w:rsidP="00B91619">
      <w:pPr>
        <w:pStyle w:val="ListParagraph"/>
        <w:numPr>
          <w:ilvl w:val="6"/>
          <w:numId w:val="16"/>
        </w:numPr>
        <w:tabs>
          <w:tab w:val="left" w:pos="9356"/>
        </w:tabs>
        <w:spacing w:after="0" w:line="240" w:lineRule="auto"/>
        <w:ind w:left="720"/>
        <w:rPr>
          <w:lang w:val="fr-CA"/>
        </w:rPr>
      </w:pPr>
      <w:r>
        <w:rPr>
          <w:lang w:val="fr-CA"/>
        </w:rPr>
        <w:t>Le règlement proposé a-t-il été adopté ou approuvé par le gouverneur en conseil ou adopté par un ministre de la Couronne </w:t>
      </w:r>
      <w:r w:rsidRPr="00FA558D">
        <w:rPr>
          <w:lang w:val="fr-CA"/>
        </w:rPr>
        <w:t>?</w:t>
      </w:r>
    </w:p>
    <w:p w14:paraId="64567F44" w14:textId="3468402A"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Si ce n’est pas le cas,</w:t>
      </w:r>
      <w:r w:rsidRPr="00FA558D">
        <w:rPr>
          <w:lang w:val="fr-CA"/>
        </w:rPr>
        <w:t xml:space="preserve"> </w:t>
      </w:r>
      <w:r>
        <w:rPr>
          <w:lang w:val="fr-CA"/>
        </w:rPr>
        <w:t xml:space="preserve">la </w:t>
      </w:r>
      <w:r w:rsidR="00827BD1">
        <w:rPr>
          <w:lang w:val="fr-CA"/>
        </w:rPr>
        <w:t>lentille</w:t>
      </w:r>
      <w:r w:rsidRPr="00FA558D">
        <w:rPr>
          <w:lang w:val="fr-CA"/>
        </w:rPr>
        <w:t xml:space="preserve"> </w:t>
      </w:r>
      <w:r>
        <w:rPr>
          <w:lang w:val="fr-CA"/>
        </w:rPr>
        <w:t xml:space="preserve">n’est pas </w:t>
      </w:r>
      <w:r w:rsidR="00F0397A">
        <w:rPr>
          <w:lang w:val="fr-CA"/>
        </w:rPr>
        <w:t>appliquée</w:t>
      </w:r>
      <w:r>
        <w:rPr>
          <w:lang w:val="fr-CA"/>
        </w:rPr>
        <w:t>.</w:t>
      </w:r>
    </w:p>
    <w:p w14:paraId="655D4631" w14:textId="77777777"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Le cas échéant,</w:t>
      </w:r>
      <w:r w:rsidRPr="00FA558D">
        <w:rPr>
          <w:lang w:val="fr-CA"/>
        </w:rPr>
        <w:t xml:space="preserve"> </w:t>
      </w:r>
      <w:r>
        <w:rPr>
          <w:lang w:val="fr-CA"/>
        </w:rPr>
        <w:t>passer</w:t>
      </w:r>
      <w:r w:rsidRPr="00FA558D">
        <w:rPr>
          <w:lang w:val="fr-CA"/>
        </w:rPr>
        <w:t xml:space="preserve"> </w:t>
      </w:r>
      <w:r>
        <w:rPr>
          <w:lang w:val="fr-CA"/>
        </w:rPr>
        <w:t xml:space="preserve">à la </w:t>
      </w:r>
      <w:r w:rsidRPr="00FA558D">
        <w:rPr>
          <w:lang w:val="fr-CA"/>
        </w:rPr>
        <w:t>question 2</w:t>
      </w:r>
      <w:r>
        <w:rPr>
          <w:lang w:val="fr-CA"/>
        </w:rPr>
        <w:t>.</w:t>
      </w:r>
    </w:p>
    <w:p w14:paraId="465AB49F" w14:textId="77777777" w:rsidR="00B91619" w:rsidRPr="00FA558D" w:rsidRDefault="00B91619" w:rsidP="00B91619">
      <w:pPr>
        <w:tabs>
          <w:tab w:val="left" w:pos="9356"/>
        </w:tabs>
        <w:spacing w:after="0" w:line="240" w:lineRule="auto"/>
        <w:rPr>
          <w:lang w:val="fr-CA"/>
        </w:rPr>
      </w:pPr>
    </w:p>
    <w:p w14:paraId="20D0040A" w14:textId="77777777" w:rsidR="00B91619" w:rsidRPr="00FA558D" w:rsidRDefault="00B91619" w:rsidP="00B91619">
      <w:pPr>
        <w:pStyle w:val="ListParagraph"/>
        <w:numPr>
          <w:ilvl w:val="6"/>
          <w:numId w:val="16"/>
        </w:numPr>
        <w:tabs>
          <w:tab w:val="left" w:pos="9356"/>
        </w:tabs>
        <w:spacing w:after="0" w:line="240" w:lineRule="auto"/>
        <w:ind w:left="720"/>
        <w:rPr>
          <w:lang w:val="fr-CA"/>
        </w:rPr>
      </w:pPr>
      <w:r>
        <w:rPr>
          <w:lang w:val="fr-CA"/>
        </w:rPr>
        <w:t>Le règlement proposé</w:t>
      </w:r>
      <w:r w:rsidRPr="00FA558D">
        <w:rPr>
          <w:lang w:val="fr-CA"/>
        </w:rPr>
        <w:t xml:space="preserve"> </w:t>
      </w:r>
      <w:r>
        <w:rPr>
          <w:lang w:val="fr-CA"/>
        </w:rPr>
        <w:t>a-t-il des répercussions sur les entreprises canadiennes </w:t>
      </w:r>
      <w:r w:rsidRPr="00FA558D">
        <w:rPr>
          <w:lang w:val="fr-CA"/>
        </w:rPr>
        <w:t>?</w:t>
      </w:r>
    </w:p>
    <w:p w14:paraId="6737CA06" w14:textId="1E72628D"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Si ce n’est pas le cas,</w:t>
      </w:r>
      <w:r w:rsidRPr="00FA558D">
        <w:rPr>
          <w:lang w:val="fr-CA"/>
        </w:rPr>
        <w:t xml:space="preserve"> </w:t>
      </w:r>
      <w:r>
        <w:rPr>
          <w:lang w:val="fr-CA"/>
        </w:rPr>
        <w:t xml:space="preserve">la </w:t>
      </w:r>
      <w:r w:rsidR="00827BD1">
        <w:rPr>
          <w:lang w:val="fr-CA"/>
        </w:rPr>
        <w:t>lentille</w:t>
      </w:r>
      <w:r w:rsidRPr="00FA558D">
        <w:rPr>
          <w:lang w:val="fr-CA"/>
        </w:rPr>
        <w:t xml:space="preserve"> </w:t>
      </w:r>
      <w:r>
        <w:rPr>
          <w:lang w:val="fr-CA"/>
        </w:rPr>
        <w:t xml:space="preserve">n’est pas </w:t>
      </w:r>
      <w:r w:rsidR="00F0397A">
        <w:rPr>
          <w:lang w:val="fr-CA"/>
        </w:rPr>
        <w:t>appliquée</w:t>
      </w:r>
      <w:r>
        <w:rPr>
          <w:lang w:val="fr-CA"/>
        </w:rPr>
        <w:t>.</w:t>
      </w:r>
    </w:p>
    <w:p w14:paraId="624E3293" w14:textId="5FC6DDF4"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Le cas échéant,</w:t>
      </w:r>
      <w:r w:rsidRPr="00FA558D">
        <w:rPr>
          <w:lang w:val="fr-CA"/>
        </w:rPr>
        <w:t xml:space="preserve"> </w:t>
      </w:r>
      <w:r>
        <w:rPr>
          <w:lang w:val="fr-CA"/>
        </w:rPr>
        <w:t>passer</w:t>
      </w:r>
      <w:r w:rsidRPr="00FA558D">
        <w:rPr>
          <w:lang w:val="fr-CA"/>
        </w:rPr>
        <w:t xml:space="preserve"> </w:t>
      </w:r>
      <w:r w:rsidR="00F0397A">
        <w:rPr>
          <w:lang w:val="fr-CA"/>
        </w:rPr>
        <w:t xml:space="preserve">à la </w:t>
      </w:r>
      <w:r w:rsidRPr="00FA558D">
        <w:rPr>
          <w:lang w:val="fr-CA"/>
        </w:rPr>
        <w:t>question 3</w:t>
      </w:r>
      <w:r>
        <w:rPr>
          <w:lang w:val="fr-CA"/>
        </w:rPr>
        <w:t>.</w:t>
      </w:r>
    </w:p>
    <w:p w14:paraId="6CF72EE8" w14:textId="77777777" w:rsidR="00B91619" w:rsidRPr="00FA558D" w:rsidRDefault="00B91619" w:rsidP="00B91619">
      <w:pPr>
        <w:tabs>
          <w:tab w:val="left" w:pos="9356"/>
        </w:tabs>
        <w:spacing w:after="0" w:line="240" w:lineRule="auto"/>
        <w:rPr>
          <w:lang w:val="fr-CA"/>
        </w:rPr>
      </w:pPr>
    </w:p>
    <w:p w14:paraId="61CF5DA2" w14:textId="77777777" w:rsidR="00B91619" w:rsidRPr="00FA558D" w:rsidRDefault="00B91619" w:rsidP="00B91619">
      <w:pPr>
        <w:pStyle w:val="ListParagraph"/>
        <w:numPr>
          <w:ilvl w:val="6"/>
          <w:numId w:val="16"/>
        </w:numPr>
        <w:tabs>
          <w:tab w:val="left" w:pos="9356"/>
        </w:tabs>
        <w:spacing w:after="0" w:line="240" w:lineRule="auto"/>
        <w:ind w:left="720"/>
        <w:rPr>
          <w:lang w:val="fr-CA"/>
        </w:rPr>
      </w:pPr>
      <w:r>
        <w:rPr>
          <w:lang w:val="fr-CA"/>
        </w:rPr>
        <w:t>Le règlement proposé a-t-il des répercussions sur les petites entreprises canadiennes</w:t>
      </w:r>
      <w:r w:rsidRPr="00FA558D">
        <w:rPr>
          <w:lang w:val="fr-CA"/>
        </w:rPr>
        <w:t xml:space="preserve"> (</w:t>
      </w:r>
      <w:r>
        <w:rPr>
          <w:lang w:val="fr-CA"/>
        </w:rPr>
        <w:t>telles qu’elles sont définies dans la politique</w:t>
      </w:r>
      <w:r w:rsidRPr="00FA558D">
        <w:rPr>
          <w:lang w:val="fr-CA"/>
        </w:rPr>
        <w:t>)</w:t>
      </w:r>
      <w:r>
        <w:rPr>
          <w:lang w:val="fr-CA"/>
        </w:rPr>
        <w:t> </w:t>
      </w:r>
      <w:r w:rsidRPr="00FA558D">
        <w:rPr>
          <w:lang w:val="fr-CA"/>
        </w:rPr>
        <w:t>?</w:t>
      </w:r>
    </w:p>
    <w:p w14:paraId="6B480A82" w14:textId="253B8627"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Si ce n’est pas le cas,</w:t>
      </w:r>
      <w:r w:rsidRPr="00FA558D">
        <w:rPr>
          <w:lang w:val="fr-CA"/>
        </w:rPr>
        <w:t xml:space="preserve"> </w:t>
      </w:r>
      <w:r>
        <w:rPr>
          <w:lang w:val="fr-CA"/>
        </w:rPr>
        <w:t xml:space="preserve">la </w:t>
      </w:r>
      <w:r w:rsidR="00827BD1">
        <w:rPr>
          <w:lang w:val="fr-CA"/>
        </w:rPr>
        <w:t>lentille</w:t>
      </w:r>
      <w:r w:rsidRPr="00FA558D">
        <w:rPr>
          <w:lang w:val="fr-CA"/>
        </w:rPr>
        <w:t xml:space="preserve"> </w:t>
      </w:r>
      <w:r>
        <w:rPr>
          <w:lang w:val="fr-CA"/>
        </w:rPr>
        <w:t xml:space="preserve">n’est pas </w:t>
      </w:r>
      <w:r w:rsidR="00F0397A">
        <w:rPr>
          <w:lang w:val="fr-CA"/>
        </w:rPr>
        <w:t>appliquée</w:t>
      </w:r>
      <w:r>
        <w:rPr>
          <w:lang w:val="fr-CA"/>
        </w:rPr>
        <w:t>.</w:t>
      </w:r>
    </w:p>
    <w:p w14:paraId="45C80454" w14:textId="77965238" w:rsidR="00B91619" w:rsidRPr="00FA558D" w:rsidRDefault="00B91619" w:rsidP="00B91619">
      <w:pPr>
        <w:pStyle w:val="ListParagraph"/>
        <w:numPr>
          <w:ilvl w:val="0"/>
          <w:numId w:val="3"/>
        </w:numPr>
        <w:tabs>
          <w:tab w:val="left" w:pos="9356"/>
        </w:tabs>
        <w:spacing w:after="0" w:line="240" w:lineRule="auto"/>
        <w:ind w:left="1080"/>
        <w:rPr>
          <w:lang w:val="fr-CA"/>
        </w:rPr>
      </w:pPr>
      <w:r>
        <w:rPr>
          <w:lang w:val="fr-CA"/>
        </w:rPr>
        <w:t>Le cas échéant,</w:t>
      </w:r>
      <w:r w:rsidRPr="00FA558D">
        <w:rPr>
          <w:lang w:val="fr-CA"/>
        </w:rPr>
        <w:t xml:space="preserve"> </w:t>
      </w:r>
      <w:r>
        <w:rPr>
          <w:lang w:val="fr-CA"/>
        </w:rPr>
        <w:t>la </w:t>
      </w:r>
      <w:r w:rsidR="00827BD1">
        <w:rPr>
          <w:lang w:val="fr-CA"/>
        </w:rPr>
        <w:t>lentille</w:t>
      </w:r>
      <w:r w:rsidRPr="00FA558D">
        <w:rPr>
          <w:lang w:val="fr-CA"/>
        </w:rPr>
        <w:t xml:space="preserve"> </w:t>
      </w:r>
      <w:r w:rsidR="00F0397A">
        <w:rPr>
          <w:lang w:val="fr-CA"/>
        </w:rPr>
        <w:t>s’applique</w:t>
      </w:r>
      <w:r>
        <w:rPr>
          <w:lang w:val="fr-CA"/>
        </w:rPr>
        <w:t>.</w:t>
      </w:r>
    </w:p>
    <w:p w14:paraId="255AE1F5" w14:textId="77777777" w:rsidR="00B91619" w:rsidRPr="00FA558D" w:rsidRDefault="00B91619" w:rsidP="00B91619">
      <w:pPr>
        <w:tabs>
          <w:tab w:val="left" w:pos="9356"/>
        </w:tabs>
        <w:spacing w:after="0" w:line="240" w:lineRule="auto"/>
        <w:rPr>
          <w:lang w:val="fr-CA"/>
        </w:rPr>
      </w:pPr>
    </w:p>
    <w:p w14:paraId="2A9B4CDF" w14:textId="28A94CB7" w:rsidR="00B91619" w:rsidRPr="00FA558D" w:rsidRDefault="00B91619" w:rsidP="00B91619">
      <w:pPr>
        <w:tabs>
          <w:tab w:val="left" w:pos="9356"/>
        </w:tabs>
        <w:spacing w:after="0" w:line="240" w:lineRule="auto"/>
        <w:rPr>
          <w:lang w:val="fr-CA"/>
        </w:rPr>
      </w:pPr>
      <w:r>
        <w:rPr>
          <w:lang w:val="fr-CA"/>
        </w:rPr>
        <w:lastRenderedPageBreak/>
        <w:t xml:space="preserve">Si la </w:t>
      </w:r>
      <w:r w:rsidR="00827BD1">
        <w:rPr>
          <w:lang w:val="fr-CA"/>
        </w:rPr>
        <w:t>lentille</w:t>
      </w:r>
      <w:r w:rsidRPr="00FA558D">
        <w:rPr>
          <w:lang w:val="fr-CA"/>
        </w:rPr>
        <w:t xml:space="preserve"> </w:t>
      </w:r>
      <w:r w:rsidR="00F0397A">
        <w:rPr>
          <w:lang w:val="fr-CA"/>
        </w:rPr>
        <w:t>s’applique</w:t>
      </w:r>
      <w:r>
        <w:rPr>
          <w:lang w:val="fr-CA"/>
        </w:rPr>
        <w:t>, l’organisme de réglementation</w:t>
      </w:r>
      <w:r w:rsidRPr="00FA558D">
        <w:rPr>
          <w:lang w:val="fr-CA"/>
        </w:rPr>
        <w:t xml:space="preserve"> </w:t>
      </w:r>
      <w:r>
        <w:rPr>
          <w:lang w:val="fr-CA"/>
        </w:rPr>
        <w:t>doit respecter les exigence</w:t>
      </w:r>
      <w:r w:rsidRPr="00FA558D">
        <w:rPr>
          <w:lang w:val="fr-CA"/>
        </w:rPr>
        <w:t xml:space="preserve">s </w:t>
      </w:r>
      <w:r>
        <w:rPr>
          <w:lang w:val="fr-CA"/>
        </w:rPr>
        <w:t>définies dans</w:t>
      </w:r>
      <w:r w:rsidRPr="00FA558D">
        <w:rPr>
          <w:lang w:val="fr-CA"/>
        </w:rPr>
        <w:t xml:space="preserve"> </w:t>
      </w:r>
      <w:r>
        <w:rPr>
          <w:lang w:val="fr-CA"/>
        </w:rPr>
        <w:t xml:space="preserve">la </w:t>
      </w:r>
      <w:r w:rsidR="00F0397A">
        <w:rPr>
          <w:lang w:val="fr-CA"/>
        </w:rPr>
        <w:t>p</w:t>
      </w:r>
      <w:r>
        <w:rPr>
          <w:lang w:val="fr-CA"/>
        </w:rPr>
        <w:t>olitique</w:t>
      </w:r>
      <w:r w:rsidRPr="00FA558D">
        <w:rPr>
          <w:lang w:val="fr-CA"/>
        </w:rPr>
        <w:t xml:space="preserve">. </w:t>
      </w:r>
      <w:r>
        <w:rPr>
          <w:lang w:val="fr-CA"/>
        </w:rPr>
        <w:t>La s</w:t>
      </w:r>
      <w:r w:rsidRPr="00FA558D">
        <w:rPr>
          <w:lang w:val="fr-CA"/>
        </w:rPr>
        <w:t>ection 10</w:t>
      </w:r>
      <w:r>
        <w:rPr>
          <w:lang w:val="fr-CA"/>
        </w:rPr>
        <w:t xml:space="preserve"> du présent guide</w:t>
      </w:r>
      <w:r w:rsidRPr="00FA558D">
        <w:rPr>
          <w:lang w:val="fr-CA"/>
        </w:rPr>
        <w:t xml:space="preserve"> </w:t>
      </w:r>
      <w:r>
        <w:rPr>
          <w:lang w:val="fr-CA"/>
        </w:rPr>
        <w:t>définit l’information et le libellé s</w:t>
      </w:r>
      <w:r w:rsidRPr="00FA558D">
        <w:rPr>
          <w:lang w:val="fr-CA"/>
        </w:rPr>
        <w:t xml:space="preserve">tandard </w:t>
      </w:r>
      <w:r>
        <w:rPr>
          <w:lang w:val="fr-CA"/>
        </w:rPr>
        <w:t>à inclure dans le REIR pour chacune des situations précitées</w:t>
      </w:r>
      <w:r w:rsidRPr="00FA558D">
        <w:rPr>
          <w:lang w:val="fr-CA"/>
        </w:rPr>
        <w:t>.</w:t>
      </w:r>
    </w:p>
    <w:p w14:paraId="22E0CAD3" w14:textId="77777777" w:rsidR="00B91619" w:rsidRPr="00FA558D" w:rsidRDefault="00B91619" w:rsidP="00B91619">
      <w:pPr>
        <w:tabs>
          <w:tab w:val="left" w:pos="9356"/>
        </w:tabs>
        <w:spacing w:after="0" w:line="240" w:lineRule="auto"/>
        <w:rPr>
          <w:lang w:val="fr-CA"/>
        </w:rPr>
      </w:pPr>
    </w:p>
    <w:p w14:paraId="24D1C2E4" w14:textId="0CEB8638" w:rsidR="00B91619" w:rsidRPr="00FA558D" w:rsidRDefault="00F0397A" w:rsidP="00B91619">
      <w:pPr>
        <w:pStyle w:val="Heading3"/>
        <w:numPr>
          <w:ilvl w:val="2"/>
          <w:numId w:val="27"/>
        </w:numPr>
        <w:ind w:left="720" w:hanging="720"/>
        <w:rPr>
          <w:lang w:val="fr-CA"/>
        </w:rPr>
      </w:pPr>
      <w:bookmarkStart w:id="29" w:name="_Toc69891058"/>
      <w:r>
        <w:rPr>
          <w:lang w:val="fr-CA"/>
        </w:rPr>
        <w:t>Détermination</w:t>
      </w:r>
      <w:r w:rsidRPr="00FA558D">
        <w:rPr>
          <w:lang w:val="fr-CA"/>
        </w:rPr>
        <w:t xml:space="preserve"> </w:t>
      </w:r>
      <w:r w:rsidR="00B91619">
        <w:rPr>
          <w:lang w:val="fr-CA"/>
        </w:rPr>
        <w:t>des répercussions</w:t>
      </w:r>
      <w:r w:rsidR="00B91619" w:rsidRPr="00FA558D">
        <w:rPr>
          <w:lang w:val="fr-CA"/>
        </w:rPr>
        <w:t xml:space="preserve"> </w:t>
      </w:r>
      <w:r w:rsidR="00B91619">
        <w:rPr>
          <w:lang w:val="fr-CA"/>
        </w:rPr>
        <w:t>sur les petites entreprises</w:t>
      </w:r>
      <w:r w:rsidR="00B91619" w:rsidRPr="00FA558D">
        <w:rPr>
          <w:lang w:val="fr-CA"/>
        </w:rPr>
        <w:t xml:space="preserve"> (</w:t>
      </w:r>
      <w:r w:rsidR="00B91619">
        <w:rPr>
          <w:lang w:val="fr-CA"/>
        </w:rPr>
        <w:t>sous-s</w:t>
      </w:r>
      <w:r w:rsidR="00B91619" w:rsidRPr="00FA558D">
        <w:rPr>
          <w:lang w:val="fr-CA"/>
        </w:rPr>
        <w:t>ection 8.2.1)</w:t>
      </w:r>
      <w:bookmarkEnd w:id="29"/>
    </w:p>
    <w:p w14:paraId="1E2E6E2F" w14:textId="77777777" w:rsidR="00B91619" w:rsidRPr="00FA558D" w:rsidRDefault="00B91619" w:rsidP="00B91619">
      <w:pPr>
        <w:tabs>
          <w:tab w:val="left" w:pos="9356"/>
        </w:tabs>
        <w:spacing w:after="0" w:line="240" w:lineRule="auto"/>
        <w:rPr>
          <w:lang w:val="fr-CA"/>
        </w:rPr>
      </w:pPr>
    </w:p>
    <w:p w14:paraId="7645D43E" w14:textId="5A894DE2" w:rsidR="00B91619" w:rsidRPr="00FA558D" w:rsidRDefault="00B91619" w:rsidP="00B91619">
      <w:pPr>
        <w:tabs>
          <w:tab w:val="left" w:pos="9356"/>
        </w:tabs>
        <w:spacing w:after="0" w:line="240" w:lineRule="auto"/>
        <w:rPr>
          <w:lang w:val="fr-CA"/>
        </w:rPr>
      </w:pPr>
      <w:r>
        <w:rPr>
          <w:lang w:val="fr-CA"/>
        </w:rPr>
        <w:t>Pour tous les</w:t>
      </w:r>
      <w:r w:rsidRPr="00FA558D">
        <w:rPr>
          <w:lang w:val="fr-CA"/>
        </w:rPr>
        <w:t xml:space="preserve"> </w:t>
      </w:r>
      <w:r>
        <w:rPr>
          <w:lang w:val="fr-CA"/>
        </w:rPr>
        <w:t>projets de règlement, l’organisme de réglementation doit énoncer si</w:t>
      </w:r>
      <w:r w:rsidRPr="00FA558D">
        <w:rPr>
          <w:lang w:val="fr-CA"/>
        </w:rPr>
        <w:t xml:space="preserve"> </w:t>
      </w:r>
      <w:r>
        <w:rPr>
          <w:lang w:val="fr-CA"/>
        </w:rPr>
        <w:t>le règlement</w:t>
      </w:r>
      <w:r w:rsidRPr="00FA558D">
        <w:rPr>
          <w:lang w:val="fr-CA"/>
        </w:rPr>
        <w:t xml:space="preserve"> </w:t>
      </w:r>
      <w:r>
        <w:rPr>
          <w:lang w:val="fr-CA"/>
        </w:rPr>
        <w:t>aurait des répercussions sur les petites entreprises</w:t>
      </w:r>
      <w:r w:rsidRPr="00FA558D">
        <w:rPr>
          <w:lang w:val="fr-CA"/>
        </w:rPr>
        <w:t xml:space="preserve">. </w:t>
      </w:r>
      <w:r>
        <w:rPr>
          <w:lang w:val="fr-CA"/>
        </w:rPr>
        <w:t xml:space="preserve">Dans sa dernière version, la </w:t>
      </w:r>
      <w:r w:rsidR="00827BD1">
        <w:rPr>
          <w:lang w:val="fr-CA"/>
        </w:rPr>
        <w:t>lentille</w:t>
      </w:r>
      <w:r>
        <w:rPr>
          <w:lang w:val="fr-CA"/>
        </w:rPr>
        <w:t xml:space="preserve"> des petites entreprises</w:t>
      </w:r>
      <w:r w:rsidRPr="00FA558D">
        <w:rPr>
          <w:lang w:val="fr-CA"/>
        </w:rPr>
        <w:t xml:space="preserve"> </w:t>
      </w:r>
      <w:r>
        <w:rPr>
          <w:lang w:val="fr-CA"/>
        </w:rPr>
        <w:t>s’appliquait aux :</w:t>
      </w:r>
    </w:p>
    <w:p w14:paraId="6FEC4030" w14:textId="5A58F1BE" w:rsidR="00B91619" w:rsidRPr="00FA558D" w:rsidRDefault="00B91619" w:rsidP="00B91619">
      <w:pPr>
        <w:pStyle w:val="ListParagraph"/>
        <w:numPr>
          <w:ilvl w:val="0"/>
          <w:numId w:val="13"/>
        </w:numPr>
        <w:tabs>
          <w:tab w:val="left" w:pos="9356"/>
        </w:tabs>
        <w:spacing w:after="0" w:line="240" w:lineRule="auto"/>
        <w:rPr>
          <w:lang w:val="fr-CA"/>
        </w:rPr>
      </w:pPr>
      <w:r>
        <w:rPr>
          <w:lang w:val="fr-CA"/>
        </w:rPr>
        <w:t>règlements significatifs;</w:t>
      </w:r>
    </w:p>
    <w:p w14:paraId="55676068" w14:textId="77777777" w:rsidR="00B91619" w:rsidRPr="00FA558D" w:rsidRDefault="00B91619" w:rsidP="00B91619">
      <w:pPr>
        <w:pStyle w:val="ListParagraph"/>
        <w:numPr>
          <w:ilvl w:val="0"/>
          <w:numId w:val="13"/>
        </w:numPr>
        <w:tabs>
          <w:tab w:val="left" w:pos="9356"/>
        </w:tabs>
        <w:spacing w:after="0" w:line="240" w:lineRule="auto"/>
        <w:rPr>
          <w:lang w:val="fr-CA"/>
        </w:rPr>
      </w:pPr>
      <w:r>
        <w:rPr>
          <w:lang w:val="fr-CA"/>
        </w:rPr>
        <w:t>règlement</w:t>
      </w:r>
      <w:r w:rsidRPr="00FA558D">
        <w:rPr>
          <w:lang w:val="fr-CA"/>
        </w:rPr>
        <w:t>s</w:t>
      </w:r>
      <w:r>
        <w:rPr>
          <w:lang w:val="fr-CA"/>
        </w:rPr>
        <w:t xml:space="preserve"> peu significatifs qui auraient des répercussions considérables sur les petites entreprises.</w:t>
      </w:r>
    </w:p>
    <w:p w14:paraId="79EA5011" w14:textId="77777777" w:rsidR="00B91619" w:rsidRPr="00FA558D" w:rsidRDefault="00B91619" w:rsidP="00B91619">
      <w:pPr>
        <w:tabs>
          <w:tab w:val="left" w:pos="9356"/>
        </w:tabs>
        <w:spacing w:after="0" w:line="240" w:lineRule="auto"/>
        <w:rPr>
          <w:lang w:val="fr-CA"/>
        </w:rPr>
      </w:pPr>
    </w:p>
    <w:p w14:paraId="2D0E97A9" w14:textId="607DB031" w:rsidR="00B91619" w:rsidRPr="00FA558D" w:rsidRDefault="00B91619" w:rsidP="00B91619">
      <w:pPr>
        <w:tabs>
          <w:tab w:val="left" w:pos="9356"/>
        </w:tabs>
        <w:spacing w:after="0" w:line="240" w:lineRule="auto"/>
        <w:rPr>
          <w:lang w:val="fr-CA"/>
        </w:rPr>
      </w:pPr>
      <w:r>
        <w:rPr>
          <w:lang w:val="fr-CA"/>
        </w:rPr>
        <w:t xml:space="preserve">La nouvelle version de la </w:t>
      </w:r>
      <w:r w:rsidR="00827BD1">
        <w:rPr>
          <w:lang w:val="fr-CA"/>
        </w:rPr>
        <w:t>lentille</w:t>
      </w:r>
      <w:r>
        <w:rPr>
          <w:lang w:val="fr-CA"/>
        </w:rPr>
        <w:t xml:space="preserve"> des petites entreprises</w:t>
      </w:r>
      <w:r w:rsidRPr="00FA558D">
        <w:rPr>
          <w:lang w:val="fr-CA"/>
        </w:rPr>
        <w:t xml:space="preserve"> </w:t>
      </w:r>
      <w:r>
        <w:rPr>
          <w:lang w:val="fr-CA"/>
        </w:rPr>
        <w:t>s’applique à tous les projet</w:t>
      </w:r>
      <w:r w:rsidRPr="00FA558D">
        <w:rPr>
          <w:lang w:val="fr-CA"/>
        </w:rPr>
        <w:t xml:space="preserve">s, </w:t>
      </w:r>
      <w:r>
        <w:rPr>
          <w:lang w:val="fr-CA"/>
        </w:rPr>
        <w:t>même si les exigences concernant l’analyse peuvent varier selon les coûts</w:t>
      </w:r>
      <w:r w:rsidRPr="00FA558D">
        <w:rPr>
          <w:lang w:val="fr-CA"/>
        </w:rPr>
        <w:t xml:space="preserve"> </w:t>
      </w:r>
      <w:r>
        <w:rPr>
          <w:lang w:val="fr-CA"/>
        </w:rPr>
        <w:t>liés au projet</w:t>
      </w:r>
      <w:r w:rsidRPr="00FA558D">
        <w:rPr>
          <w:lang w:val="fr-CA"/>
        </w:rPr>
        <w:t>.</w:t>
      </w:r>
    </w:p>
    <w:p w14:paraId="23DCEF0F" w14:textId="77777777" w:rsidR="00B91619" w:rsidRPr="00FA558D" w:rsidRDefault="00B91619" w:rsidP="00B91619">
      <w:pPr>
        <w:tabs>
          <w:tab w:val="left" w:pos="9356"/>
        </w:tabs>
        <w:spacing w:after="0" w:line="240" w:lineRule="auto"/>
        <w:rPr>
          <w:lang w:val="fr-CA"/>
        </w:rPr>
      </w:pPr>
    </w:p>
    <w:p w14:paraId="6DCBE2EB" w14:textId="213EFCA3" w:rsidR="00B91619" w:rsidRPr="00FA558D" w:rsidRDefault="00F0397A" w:rsidP="00B91619">
      <w:pPr>
        <w:pStyle w:val="Heading3"/>
        <w:numPr>
          <w:ilvl w:val="2"/>
          <w:numId w:val="27"/>
        </w:numPr>
        <w:ind w:left="720" w:hanging="720"/>
        <w:rPr>
          <w:lang w:val="fr-CA"/>
        </w:rPr>
      </w:pPr>
      <w:bookmarkStart w:id="30" w:name="_Toc69891059"/>
      <w:r>
        <w:rPr>
          <w:lang w:val="fr-CA"/>
        </w:rPr>
        <w:t xml:space="preserve">Description </w:t>
      </w:r>
      <w:r w:rsidR="00B91619">
        <w:rPr>
          <w:lang w:val="fr-CA"/>
        </w:rPr>
        <w:t>des répercussions</w:t>
      </w:r>
      <w:r w:rsidR="00B91619" w:rsidRPr="00FA558D">
        <w:rPr>
          <w:lang w:val="fr-CA"/>
        </w:rPr>
        <w:t xml:space="preserve"> </w:t>
      </w:r>
      <w:r w:rsidR="00B91619">
        <w:rPr>
          <w:lang w:val="fr-CA"/>
        </w:rPr>
        <w:t>sur les petites entreprises</w:t>
      </w:r>
      <w:r w:rsidR="00B91619" w:rsidRPr="00FA558D">
        <w:rPr>
          <w:lang w:val="fr-CA"/>
        </w:rPr>
        <w:t xml:space="preserve"> (</w:t>
      </w:r>
      <w:r w:rsidR="00B91619">
        <w:rPr>
          <w:lang w:val="fr-CA"/>
        </w:rPr>
        <w:t>sous-s</w:t>
      </w:r>
      <w:r w:rsidR="00B91619" w:rsidRPr="00FA558D">
        <w:rPr>
          <w:lang w:val="fr-CA"/>
        </w:rPr>
        <w:t>ection 8.2.2)</w:t>
      </w:r>
      <w:bookmarkEnd w:id="30"/>
    </w:p>
    <w:p w14:paraId="41CD54B8" w14:textId="77777777" w:rsidR="00B91619" w:rsidRPr="00FA558D" w:rsidRDefault="00B91619" w:rsidP="00B91619">
      <w:pPr>
        <w:tabs>
          <w:tab w:val="left" w:pos="9356"/>
        </w:tabs>
        <w:spacing w:after="0" w:line="240" w:lineRule="auto"/>
        <w:rPr>
          <w:lang w:val="fr-CA"/>
        </w:rPr>
      </w:pPr>
    </w:p>
    <w:p w14:paraId="7D3800B7" w14:textId="3A13CA85" w:rsidR="00B91619" w:rsidRPr="00FA558D" w:rsidRDefault="00B91619" w:rsidP="00B91619">
      <w:pPr>
        <w:tabs>
          <w:tab w:val="left" w:pos="9356"/>
        </w:tabs>
        <w:spacing w:after="0" w:line="240" w:lineRule="auto"/>
        <w:rPr>
          <w:lang w:val="fr-CA"/>
        </w:rPr>
      </w:pPr>
      <w:r>
        <w:rPr>
          <w:lang w:val="fr-CA"/>
        </w:rPr>
        <w:t xml:space="preserve">Une fois </w:t>
      </w:r>
      <w:r w:rsidR="00F0397A">
        <w:rPr>
          <w:lang w:val="fr-CA"/>
        </w:rPr>
        <w:t>qu’il a été déterminé qu’il y aura des</w:t>
      </w:r>
      <w:r>
        <w:rPr>
          <w:lang w:val="fr-CA"/>
        </w:rPr>
        <w:t xml:space="preserve"> répercussions</w:t>
      </w:r>
      <w:r w:rsidRPr="00FA558D">
        <w:rPr>
          <w:lang w:val="fr-CA"/>
        </w:rPr>
        <w:t xml:space="preserve"> </w:t>
      </w:r>
      <w:r>
        <w:rPr>
          <w:lang w:val="fr-CA"/>
        </w:rPr>
        <w:t>sur les petites entreprises</w:t>
      </w:r>
      <w:r w:rsidRPr="00FA558D">
        <w:rPr>
          <w:lang w:val="fr-CA"/>
        </w:rPr>
        <w:t xml:space="preserve">, </w:t>
      </w:r>
      <w:r>
        <w:rPr>
          <w:lang w:val="fr-CA"/>
        </w:rPr>
        <w:t>ces répercussions</w:t>
      </w:r>
      <w:r w:rsidRPr="00FA558D">
        <w:rPr>
          <w:lang w:val="fr-CA"/>
        </w:rPr>
        <w:t xml:space="preserve"> </w:t>
      </w:r>
      <w:r>
        <w:rPr>
          <w:lang w:val="fr-CA"/>
        </w:rPr>
        <w:t>doivent</w:t>
      </w:r>
      <w:r w:rsidRPr="00FA558D">
        <w:rPr>
          <w:lang w:val="fr-CA"/>
        </w:rPr>
        <w:t xml:space="preserve"> </w:t>
      </w:r>
      <w:r>
        <w:rPr>
          <w:lang w:val="fr-CA"/>
        </w:rPr>
        <w:t xml:space="preserve">faire l’objet d’une description dans la section du REIR portant sur la </w:t>
      </w:r>
      <w:r w:rsidR="00827BD1">
        <w:rPr>
          <w:lang w:val="fr-CA"/>
        </w:rPr>
        <w:t>lentille</w:t>
      </w:r>
      <w:r>
        <w:rPr>
          <w:lang w:val="fr-CA"/>
        </w:rPr>
        <w:t xml:space="preserve"> des petites entreprises</w:t>
      </w:r>
      <w:r w:rsidRPr="00FA558D">
        <w:rPr>
          <w:lang w:val="fr-CA"/>
        </w:rPr>
        <w:t xml:space="preserve">. </w:t>
      </w:r>
      <w:r>
        <w:rPr>
          <w:lang w:val="fr-CA"/>
        </w:rPr>
        <w:t>La des</w:t>
      </w:r>
      <w:r w:rsidRPr="00FA558D">
        <w:rPr>
          <w:lang w:val="fr-CA"/>
        </w:rPr>
        <w:t xml:space="preserve">cription </w:t>
      </w:r>
      <w:r>
        <w:rPr>
          <w:lang w:val="fr-CA"/>
        </w:rPr>
        <w:t>des répercussions</w:t>
      </w:r>
      <w:r w:rsidRPr="00FA558D">
        <w:rPr>
          <w:lang w:val="fr-CA"/>
        </w:rPr>
        <w:t xml:space="preserve"> </w:t>
      </w:r>
      <w:r>
        <w:rPr>
          <w:lang w:val="fr-CA"/>
        </w:rPr>
        <w:t>formera le fondement de tout établissement éventuel des coûts des répercussions sur les petites entreprises</w:t>
      </w:r>
      <w:r w:rsidRPr="00FA558D">
        <w:rPr>
          <w:lang w:val="fr-CA"/>
        </w:rPr>
        <w:t>.</w:t>
      </w:r>
      <w:r>
        <w:rPr>
          <w:lang w:val="fr-CA"/>
        </w:rPr>
        <w:t xml:space="preserve"> La description des coûts correspond aux exigence</w:t>
      </w:r>
      <w:r w:rsidRPr="00FA558D">
        <w:rPr>
          <w:lang w:val="fr-CA"/>
        </w:rPr>
        <w:t>s</w:t>
      </w:r>
      <w:r>
        <w:rPr>
          <w:lang w:val="fr-CA"/>
        </w:rPr>
        <w:t xml:space="preserve"> relatives à l’énoncé de l’analyse coûts</w:t>
      </w:r>
      <w:r w:rsidR="00F0397A">
        <w:rPr>
          <w:lang w:val="fr-CA"/>
        </w:rPr>
        <w:noBreakHyphen/>
      </w:r>
      <w:r>
        <w:rPr>
          <w:lang w:val="fr-CA"/>
        </w:rPr>
        <w:t xml:space="preserve">avantages du projet. Pour obtenir des renseignements plus approfondis, </w:t>
      </w:r>
      <w:r w:rsidR="00B4147F">
        <w:rPr>
          <w:lang w:val="fr-CA"/>
        </w:rPr>
        <w:t>consulter les</w:t>
      </w:r>
      <w:r>
        <w:rPr>
          <w:lang w:val="fr-CA"/>
        </w:rPr>
        <w:t xml:space="preserve"> exigences liées à l’analyse définies dans</w:t>
      </w:r>
      <w:r w:rsidRPr="00FA558D">
        <w:rPr>
          <w:lang w:val="fr-CA"/>
        </w:rPr>
        <w:t xml:space="preserve"> </w:t>
      </w:r>
      <w:r>
        <w:rPr>
          <w:lang w:val="fr-CA"/>
        </w:rPr>
        <w:t>la sous</w:t>
      </w:r>
      <w:r w:rsidR="00F0397A">
        <w:rPr>
          <w:lang w:val="fr-CA"/>
        </w:rPr>
        <w:noBreakHyphen/>
      </w:r>
      <w:r>
        <w:rPr>
          <w:lang w:val="fr-CA"/>
        </w:rPr>
        <w:t>s</w:t>
      </w:r>
      <w:r w:rsidRPr="00FA558D">
        <w:rPr>
          <w:lang w:val="fr-CA"/>
        </w:rPr>
        <w:t xml:space="preserve">ection 6.1 </w:t>
      </w:r>
      <w:r>
        <w:rPr>
          <w:lang w:val="fr-CA"/>
        </w:rPr>
        <w:t xml:space="preserve">de la </w:t>
      </w:r>
      <w:r w:rsidR="00091D6E">
        <w:fldChar w:fldCharType="begin"/>
      </w:r>
      <w:r w:rsidR="00091D6E" w:rsidRPr="000117F2">
        <w:rPr>
          <w:lang w:val="fr-CA"/>
        </w:rPr>
        <w:instrText xml:space="preserve"> HYPERLINK "https://www.canada.ca/fr/secretariat-conseil-tresor/services/gestion-reglementation-federale/lignes-directrices-outils/politique-analyse-couts-avantages.html" </w:instrText>
      </w:r>
      <w:r w:rsidR="00091D6E">
        <w:fldChar w:fldCharType="separate"/>
      </w:r>
      <w:r>
        <w:rPr>
          <w:rStyle w:val="Hyperlink"/>
          <w:lang w:val="fr-CA"/>
        </w:rPr>
        <w:t>Politique sur l’analyse coûts-avantages</w:t>
      </w:r>
      <w:r w:rsidR="00091D6E">
        <w:rPr>
          <w:rStyle w:val="Hyperlink"/>
          <w:lang w:val="fr-CA"/>
        </w:rPr>
        <w:fldChar w:fldCharType="end"/>
      </w:r>
      <w:r w:rsidRPr="00FA558D">
        <w:rPr>
          <w:lang w:val="fr-CA"/>
        </w:rPr>
        <w:t>.</w:t>
      </w:r>
    </w:p>
    <w:p w14:paraId="68805F91" w14:textId="77777777" w:rsidR="00B91619" w:rsidRPr="00FA558D" w:rsidRDefault="00B91619" w:rsidP="00B91619">
      <w:pPr>
        <w:tabs>
          <w:tab w:val="left" w:pos="9356"/>
        </w:tabs>
        <w:spacing w:after="0" w:line="240" w:lineRule="auto"/>
        <w:rPr>
          <w:lang w:val="fr-CA"/>
        </w:rPr>
      </w:pPr>
    </w:p>
    <w:p w14:paraId="1FDF3DE1" w14:textId="2C563277" w:rsidR="00B91619" w:rsidRPr="00FA558D" w:rsidRDefault="007D009F" w:rsidP="00B91619">
      <w:pPr>
        <w:tabs>
          <w:tab w:val="left" w:pos="9356"/>
        </w:tabs>
        <w:spacing w:after="0" w:line="240" w:lineRule="auto"/>
        <w:rPr>
          <w:lang w:val="fr-CA"/>
        </w:rPr>
      </w:pPr>
      <w:r>
        <w:rPr>
          <w:lang w:val="fr-CA"/>
        </w:rPr>
        <w:t>Le niveau d’impact</w:t>
      </w:r>
      <w:r w:rsidR="00B91619">
        <w:rPr>
          <w:lang w:val="fr-CA"/>
        </w:rPr>
        <w:t xml:space="preserve"> dépend avant tout du </w:t>
      </w:r>
      <w:r w:rsidR="00B91619">
        <w:rPr>
          <w:b/>
          <w:lang w:val="fr-CA"/>
        </w:rPr>
        <w:t>coût total anticipé à l’échelle nation</w:t>
      </w:r>
      <w:r w:rsidR="00B91619" w:rsidRPr="00FA558D">
        <w:rPr>
          <w:b/>
          <w:lang w:val="fr-CA"/>
        </w:rPr>
        <w:t>al</w:t>
      </w:r>
      <w:r w:rsidR="00B91619">
        <w:rPr>
          <w:b/>
          <w:lang w:val="fr-CA"/>
        </w:rPr>
        <w:t>e</w:t>
      </w:r>
      <w:r w:rsidR="00B91619">
        <w:rPr>
          <w:lang w:val="fr-CA"/>
        </w:rPr>
        <w:t xml:space="preserve"> du projet, et </w:t>
      </w:r>
      <w:r w:rsidR="00B91619" w:rsidRPr="00FA558D">
        <w:rPr>
          <w:lang w:val="fr-CA"/>
        </w:rPr>
        <w:t>no</w:t>
      </w:r>
      <w:r w:rsidR="00B91619">
        <w:rPr>
          <w:lang w:val="fr-CA"/>
        </w:rPr>
        <w:t>n du total des coûts pour les petites entreprises</w:t>
      </w:r>
      <w:r w:rsidR="00B91619" w:rsidRPr="00FA558D">
        <w:rPr>
          <w:lang w:val="fr-CA"/>
        </w:rPr>
        <w:t xml:space="preserve">. </w:t>
      </w:r>
    </w:p>
    <w:p w14:paraId="5255B269" w14:textId="77777777" w:rsidR="00B91619" w:rsidRPr="00FA558D" w:rsidRDefault="00B91619" w:rsidP="00B91619">
      <w:pPr>
        <w:tabs>
          <w:tab w:val="left" w:pos="9356"/>
        </w:tabs>
        <w:spacing w:after="0" w:line="240" w:lineRule="auto"/>
        <w:rPr>
          <w:lang w:val="fr-CA"/>
        </w:rPr>
      </w:pPr>
    </w:p>
    <w:p w14:paraId="3CAA3F89" w14:textId="7F415356" w:rsidR="00B91619" w:rsidRPr="00FA558D" w:rsidRDefault="00B91619" w:rsidP="00B91619">
      <w:pPr>
        <w:tabs>
          <w:tab w:val="left" w:pos="9356"/>
        </w:tabs>
        <w:spacing w:after="0" w:line="240" w:lineRule="auto"/>
        <w:rPr>
          <w:lang w:val="fr-CA"/>
        </w:rPr>
      </w:pPr>
      <w:r>
        <w:rPr>
          <w:lang w:val="fr-CA"/>
        </w:rPr>
        <w:t>Pour les projet</w:t>
      </w:r>
      <w:r w:rsidRPr="00FA558D">
        <w:rPr>
          <w:lang w:val="fr-CA"/>
        </w:rPr>
        <w:t>s</w:t>
      </w:r>
      <w:r>
        <w:rPr>
          <w:lang w:val="fr-CA"/>
        </w:rPr>
        <w:t xml:space="preserve"> dont les coûts annuels anticipés sont inférieurs à un million de dollars, il faut présenter une description qualitative des répercussions</w:t>
      </w:r>
      <w:r w:rsidRPr="00FA558D">
        <w:rPr>
          <w:lang w:val="fr-CA"/>
        </w:rPr>
        <w:t xml:space="preserve"> </w:t>
      </w:r>
      <w:r>
        <w:rPr>
          <w:lang w:val="fr-CA"/>
        </w:rPr>
        <w:t>sur les petites entreprises</w:t>
      </w:r>
      <w:r w:rsidRPr="00FA558D">
        <w:rPr>
          <w:lang w:val="fr-CA"/>
        </w:rPr>
        <w:t xml:space="preserve">. </w:t>
      </w:r>
      <w:r>
        <w:rPr>
          <w:lang w:val="fr-CA"/>
        </w:rPr>
        <w:t xml:space="preserve">Des renseignements chiffrés et </w:t>
      </w:r>
      <w:r w:rsidR="00F0397A">
        <w:rPr>
          <w:lang w:val="fr-CA"/>
        </w:rPr>
        <w:t xml:space="preserve">monétisés </w:t>
      </w:r>
      <w:r>
        <w:rPr>
          <w:lang w:val="fr-CA"/>
        </w:rPr>
        <w:t>peuvent aussi être présentés s’ils sont disponibles.</w:t>
      </w:r>
    </w:p>
    <w:p w14:paraId="6A5438FE" w14:textId="77777777" w:rsidR="00B91619" w:rsidRPr="00FA558D" w:rsidRDefault="00B91619" w:rsidP="00B91619">
      <w:pPr>
        <w:tabs>
          <w:tab w:val="left" w:pos="9356"/>
        </w:tabs>
        <w:spacing w:after="0" w:line="240" w:lineRule="auto"/>
        <w:rPr>
          <w:lang w:val="fr-CA"/>
        </w:rPr>
      </w:pPr>
    </w:p>
    <w:p w14:paraId="3C1B5A64" w14:textId="63684CC2" w:rsidR="00B91619" w:rsidRPr="00FA558D" w:rsidRDefault="00B91619" w:rsidP="00B91619">
      <w:pPr>
        <w:tabs>
          <w:tab w:val="left" w:pos="9356"/>
        </w:tabs>
        <w:spacing w:after="0" w:line="240" w:lineRule="auto"/>
        <w:rPr>
          <w:lang w:val="fr-CA"/>
        </w:rPr>
      </w:pPr>
      <w:r>
        <w:rPr>
          <w:lang w:val="fr-CA"/>
        </w:rPr>
        <w:t>Pour les projets dont les coûts annuels anticipés sont d’un million de dollars</w:t>
      </w:r>
      <w:r w:rsidR="00F0397A">
        <w:rPr>
          <w:lang w:val="fr-CA"/>
        </w:rPr>
        <w:t xml:space="preserve"> ou plus</w:t>
      </w:r>
      <w:r>
        <w:rPr>
          <w:lang w:val="fr-CA"/>
        </w:rPr>
        <w:t>, il faut décrire ces répercussions pour les petites entreprises en termes quantitatifs</w:t>
      </w:r>
      <w:r w:rsidRPr="00FA558D">
        <w:rPr>
          <w:lang w:val="fr-CA"/>
        </w:rPr>
        <w:t>.</w:t>
      </w:r>
      <w:r>
        <w:rPr>
          <w:lang w:val="fr-CA"/>
        </w:rPr>
        <w:t xml:space="preserve"> Dans les cas où les </w:t>
      </w:r>
      <w:r>
        <w:rPr>
          <w:b/>
          <w:lang w:val="fr-CA"/>
        </w:rPr>
        <w:t xml:space="preserve">avantages </w:t>
      </w:r>
      <w:r>
        <w:rPr>
          <w:lang w:val="fr-CA"/>
        </w:rPr>
        <w:t xml:space="preserve">ne peuvent être facilement </w:t>
      </w:r>
      <w:r w:rsidR="00F0397A">
        <w:rPr>
          <w:lang w:val="fr-CA"/>
        </w:rPr>
        <w:t>monétisés</w:t>
      </w:r>
      <w:r>
        <w:rPr>
          <w:lang w:val="fr-CA"/>
        </w:rPr>
        <w:t>, une analyse quantitative des avantages peut être présentée. Néanmoins, tous les coûts</w:t>
      </w:r>
      <w:r w:rsidR="00C5160F">
        <w:rPr>
          <w:lang w:val="fr-CA"/>
        </w:rPr>
        <w:t xml:space="preserve"> </w:t>
      </w:r>
      <w:r>
        <w:rPr>
          <w:lang w:val="fr-CA"/>
        </w:rPr>
        <w:t>doivent être</w:t>
      </w:r>
      <w:r w:rsidR="00C5160F">
        <w:rPr>
          <w:lang w:val="fr-CA"/>
        </w:rPr>
        <w:t xml:space="preserve"> </w:t>
      </w:r>
      <w:r w:rsidR="00F0397A">
        <w:rPr>
          <w:lang w:val="fr-CA"/>
        </w:rPr>
        <w:t>monétisés</w:t>
      </w:r>
      <w:r w:rsidRPr="00FA558D">
        <w:rPr>
          <w:lang w:val="fr-CA"/>
        </w:rPr>
        <w:t xml:space="preserve">. </w:t>
      </w:r>
    </w:p>
    <w:p w14:paraId="00677A4F" w14:textId="77777777" w:rsidR="00B91619" w:rsidRPr="00FA558D" w:rsidRDefault="00B91619" w:rsidP="00B91619">
      <w:pPr>
        <w:tabs>
          <w:tab w:val="left" w:pos="9356"/>
        </w:tabs>
        <w:spacing w:after="0" w:line="240" w:lineRule="auto"/>
        <w:rPr>
          <w:lang w:val="fr-CA"/>
        </w:rPr>
      </w:pPr>
    </w:p>
    <w:p w14:paraId="1CCBE338" w14:textId="5275A83D" w:rsidR="00B91619" w:rsidRPr="00FA558D" w:rsidRDefault="00B91619" w:rsidP="00B91619">
      <w:pPr>
        <w:tabs>
          <w:tab w:val="left" w:pos="9356"/>
        </w:tabs>
        <w:spacing w:after="0" w:line="240" w:lineRule="auto"/>
        <w:rPr>
          <w:lang w:val="fr-CA"/>
        </w:rPr>
      </w:pPr>
      <w:r>
        <w:rPr>
          <w:lang w:val="fr-CA"/>
        </w:rPr>
        <w:t xml:space="preserve">En vertu de la nouvelle </w:t>
      </w:r>
      <w:r w:rsidRPr="00FA558D">
        <w:rPr>
          <w:lang w:val="fr-CA"/>
        </w:rPr>
        <w:t>directive</w:t>
      </w:r>
      <w:r>
        <w:rPr>
          <w:lang w:val="fr-CA"/>
        </w:rPr>
        <w:t xml:space="preserve"> et de la nouvelle politique, la </w:t>
      </w:r>
      <w:r w:rsidR="00827BD1">
        <w:rPr>
          <w:lang w:val="fr-CA"/>
        </w:rPr>
        <w:t>lentille</w:t>
      </w:r>
      <w:r>
        <w:rPr>
          <w:lang w:val="fr-CA"/>
        </w:rPr>
        <w:t xml:space="preserve"> des petites entreprises s’applique maintenant aussi aux</w:t>
      </w:r>
      <w:r w:rsidRPr="00FA558D">
        <w:rPr>
          <w:lang w:val="fr-CA"/>
        </w:rPr>
        <w:t xml:space="preserve"> </w:t>
      </w:r>
      <w:r>
        <w:rPr>
          <w:lang w:val="fr-CA"/>
        </w:rPr>
        <w:t>projet</w:t>
      </w:r>
      <w:r w:rsidRPr="00FA558D">
        <w:rPr>
          <w:lang w:val="fr-CA"/>
        </w:rPr>
        <w:t>s</w:t>
      </w:r>
      <w:r>
        <w:rPr>
          <w:lang w:val="fr-CA"/>
        </w:rPr>
        <w:t xml:space="preserve"> qui </w:t>
      </w:r>
      <w:r>
        <w:rPr>
          <w:b/>
          <w:lang w:val="fr-CA"/>
        </w:rPr>
        <w:t xml:space="preserve">réduiraient </w:t>
      </w:r>
      <w:r w:rsidR="007C1161">
        <w:rPr>
          <w:lang w:val="fr-CA"/>
        </w:rPr>
        <w:t>le f</w:t>
      </w:r>
      <w:r>
        <w:rPr>
          <w:lang w:val="fr-CA"/>
        </w:rPr>
        <w:t xml:space="preserve">ardeau administratif et de conformité </w:t>
      </w:r>
      <w:r w:rsidR="00F0397A">
        <w:rPr>
          <w:lang w:val="fr-CA"/>
        </w:rPr>
        <w:t>imposé aux</w:t>
      </w:r>
      <w:r>
        <w:rPr>
          <w:lang w:val="fr-CA"/>
        </w:rPr>
        <w:t xml:space="preserve"> petites entreprises</w:t>
      </w:r>
      <w:r w:rsidRPr="00FA558D">
        <w:rPr>
          <w:lang w:val="fr-CA"/>
        </w:rPr>
        <w:t xml:space="preserve">. </w:t>
      </w:r>
      <w:r>
        <w:rPr>
          <w:lang w:val="fr-CA"/>
        </w:rPr>
        <w:t>La des</w:t>
      </w:r>
      <w:r w:rsidRPr="00FA558D">
        <w:rPr>
          <w:lang w:val="fr-CA"/>
        </w:rPr>
        <w:t xml:space="preserve">cription </w:t>
      </w:r>
      <w:r>
        <w:rPr>
          <w:lang w:val="fr-CA"/>
        </w:rPr>
        <w:t>de ce fardeau réduit doit être présentée dans la section sur la </w:t>
      </w:r>
      <w:r w:rsidR="00827BD1">
        <w:rPr>
          <w:lang w:val="fr-CA"/>
        </w:rPr>
        <w:t>lentille</w:t>
      </w:r>
      <w:r>
        <w:rPr>
          <w:lang w:val="fr-CA"/>
        </w:rPr>
        <w:t xml:space="preserve"> des petites entreprises, en termes adaptés </w:t>
      </w:r>
      <w:r w:rsidR="007D009F">
        <w:rPr>
          <w:lang w:val="fr-CA"/>
        </w:rPr>
        <w:t>au niveau d’impact</w:t>
      </w:r>
      <w:r>
        <w:rPr>
          <w:lang w:val="fr-CA"/>
        </w:rPr>
        <w:t xml:space="preserve"> du projet.</w:t>
      </w:r>
    </w:p>
    <w:p w14:paraId="54D8AFDD" w14:textId="77777777" w:rsidR="00B91619" w:rsidRPr="00FA558D" w:rsidRDefault="00B91619" w:rsidP="00B91619">
      <w:pPr>
        <w:tabs>
          <w:tab w:val="left" w:pos="9356"/>
        </w:tabs>
        <w:spacing w:after="0" w:line="240" w:lineRule="auto"/>
        <w:rPr>
          <w:lang w:val="fr-CA"/>
        </w:rPr>
      </w:pPr>
    </w:p>
    <w:p w14:paraId="17DF9551" w14:textId="78746261" w:rsidR="00B91619" w:rsidRPr="00FA558D" w:rsidRDefault="00B91619" w:rsidP="00B91619">
      <w:pPr>
        <w:pStyle w:val="Heading3"/>
        <w:numPr>
          <w:ilvl w:val="2"/>
          <w:numId w:val="27"/>
        </w:numPr>
        <w:ind w:left="720" w:hanging="720"/>
        <w:rPr>
          <w:lang w:val="fr-CA"/>
        </w:rPr>
      </w:pPr>
      <w:bookmarkStart w:id="31" w:name="_Toc69891060"/>
      <w:r>
        <w:rPr>
          <w:lang w:val="fr-CA"/>
        </w:rPr>
        <w:t>Validation des</w:t>
      </w:r>
      <w:r w:rsidRPr="00FA558D">
        <w:rPr>
          <w:lang w:val="fr-CA"/>
        </w:rPr>
        <w:t xml:space="preserve"> </w:t>
      </w:r>
      <w:r>
        <w:rPr>
          <w:lang w:val="fr-CA"/>
        </w:rPr>
        <w:t>estimation</w:t>
      </w:r>
      <w:r w:rsidRPr="00FA558D">
        <w:rPr>
          <w:lang w:val="fr-CA"/>
        </w:rPr>
        <w:t xml:space="preserve">s </w:t>
      </w:r>
      <w:r>
        <w:rPr>
          <w:lang w:val="fr-CA"/>
        </w:rPr>
        <w:t>du fardeau administratif et de conformité</w:t>
      </w:r>
      <w:r w:rsidRPr="00FA558D">
        <w:rPr>
          <w:lang w:val="fr-CA"/>
        </w:rPr>
        <w:t xml:space="preserve"> (</w:t>
      </w:r>
      <w:r>
        <w:rPr>
          <w:lang w:val="fr-CA"/>
        </w:rPr>
        <w:t>sous</w:t>
      </w:r>
      <w:r w:rsidR="00F0397A">
        <w:rPr>
          <w:lang w:val="fr-CA"/>
        </w:rPr>
        <w:noBreakHyphen/>
      </w:r>
      <w:r>
        <w:rPr>
          <w:lang w:val="fr-CA"/>
        </w:rPr>
        <w:t>s</w:t>
      </w:r>
      <w:r w:rsidRPr="00FA558D">
        <w:rPr>
          <w:lang w:val="fr-CA"/>
        </w:rPr>
        <w:t>ection 8.2.3)</w:t>
      </w:r>
      <w:bookmarkEnd w:id="31"/>
    </w:p>
    <w:p w14:paraId="77700AB5" w14:textId="77777777" w:rsidR="00B91619" w:rsidRPr="00FA558D" w:rsidRDefault="00B91619" w:rsidP="00B91619">
      <w:pPr>
        <w:tabs>
          <w:tab w:val="left" w:pos="9356"/>
        </w:tabs>
        <w:spacing w:after="0" w:line="240" w:lineRule="auto"/>
        <w:rPr>
          <w:lang w:val="fr-CA"/>
        </w:rPr>
      </w:pPr>
    </w:p>
    <w:p w14:paraId="2057AA22" w14:textId="5454246F" w:rsidR="00B91619" w:rsidRPr="00FA558D" w:rsidRDefault="00F0397A" w:rsidP="00B91619">
      <w:pPr>
        <w:tabs>
          <w:tab w:val="left" w:pos="9356"/>
        </w:tabs>
        <w:spacing w:after="0" w:line="240" w:lineRule="auto"/>
        <w:rPr>
          <w:lang w:val="fr-CA"/>
        </w:rPr>
      </w:pPr>
      <w:r w:rsidRPr="00FA558D">
        <w:rPr>
          <w:lang w:val="fr-CA"/>
        </w:rPr>
        <w:lastRenderedPageBreak/>
        <w:t>I</w:t>
      </w:r>
      <w:r>
        <w:rPr>
          <w:lang w:val="fr-CA"/>
        </w:rPr>
        <w:t>l est essentiel que les hypothèse</w:t>
      </w:r>
      <w:r w:rsidRPr="00FA558D">
        <w:rPr>
          <w:lang w:val="fr-CA"/>
        </w:rPr>
        <w:t xml:space="preserve">s </w:t>
      </w:r>
      <w:r>
        <w:rPr>
          <w:lang w:val="fr-CA"/>
        </w:rPr>
        <w:t>utilisées pour estimer les répercussions</w:t>
      </w:r>
      <w:r w:rsidRPr="00FA558D">
        <w:rPr>
          <w:lang w:val="fr-CA"/>
        </w:rPr>
        <w:t xml:space="preserve"> </w:t>
      </w:r>
      <w:r>
        <w:rPr>
          <w:lang w:val="fr-CA"/>
        </w:rPr>
        <w:t>d’un projet</w:t>
      </w:r>
      <w:r w:rsidRPr="00FA558D">
        <w:rPr>
          <w:lang w:val="fr-CA"/>
        </w:rPr>
        <w:t xml:space="preserve"> </w:t>
      </w:r>
      <w:r>
        <w:rPr>
          <w:lang w:val="fr-CA"/>
        </w:rPr>
        <w:t xml:space="preserve">soient aussi exactes que </w:t>
      </w:r>
      <w:r w:rsidRPr="00FA558D">
        <w:rPr>
          <w:lang w:val="fr-CA"/>
        </w:rPr>
        <w:t xml:space="preserve">possible. </w:t>
      </w:r>
      <w:r>
        <w:rPr>
          <w:lang w:val="fr-CA"/>
        </w:rPr>
        <w:t>Les organismes de réglementation</w:t>
      </w:r>
      <w:r w:rsidRPr="00FA558D">
        <w:rPr>
          <w:lang w:val="fr-CA"/>
        </w:rPr>
        <w:t xml:space="preserve"> </w:t>
      </w:r>
      <w:r>
        <w:rPr>
          <w:lang w:val="fr-CA"/>
        </w:rPr>
        <w:t>devraient valider ces</w:t>
      </w:r>
      <w:r w:rsidRPr="00FA558D">
        <w:rPr>
          <w:lang w:val="fr-CA"/>
        </w:rPr>
        <w:t xml:space="preserve"> </w:t>
      </w:r>
      <w:r>
        <w:rPr>
          <w:lang w:val="fr-CA"/>
        </w:rPr>
        <w:t>hypothèse</w:t>
      </w:r>
      <w:r w:rsidRPr="00FA558D">
        <w:rPr>
          <w:lang w:val="fr-CA"/>
        </w:rPr>
        <w:t xml:space="preserve">s </w:t>
      </w:r>
      <w:r>
        <w:rPr>
          <w:lang w:val="fr-CA"/>
        </w:rPr>
        <w:t>le plus tôt possible dans le processus d’élaboration de la réglementation</w:t>
      </w:r>
      <w:r w:rsidR="00B91619" w:rsidRPr="00FA558D">
        <w:rPr>
          <w:lang w:val="fr-CA"/>
        </w:rPr>
        <w:t xml:space="preserve">. </w:t>
      </w:r>
    </w:p>
    <w:p w14:paraId="5E268EE0" w14:textId="77777777" w:rsidR="00B91619" w:rsidRPr="00FA558D" w:rsidRDefault="00B91619" w:rsidP="00B91619">
      <w:pPr>
        <w:tabs>
          <w:tab w:val="left" w:pos="9356"/>
        </w:tabs>
        <w:spacing w:after="0" w:line="240" w:lineRule="auto"/>
        <w:rPr>
          <w:lang w:val="fr-CA"/>
        </w:rPr>
      </w:pPr>
    </w:p>
    <w:p w14:paraId="08440DE1" w14:textId="1C21B8A8" w:rsidR="00B91619" w:rsidRPr="00FA558D" w:rsidRDefault="00F0397A" w:rsidP="00B91619">
      <w:pPr>
        <w:tabs>
          <w:tab w:val="left" w:pos="9356"/>
        </w:tabs>
        <w:spacing w:after="0" w:line="240" w:lineRule="auto"/>
        <w:rPr>
          <w:lang w:val="fr-CA"/>
        </w:rPr>
      </w:pPr>
      <w:r>
        <w:rPr>
          <w:lang w:val="fr-CA"/>
        </w:rPr>
        <w:t>Les hypothèses</w:t>
      </w:r>
      <w:r w:rsidRPr="00FA558D">
        <w:rPr>
          <w:lang w:val="fr-CA"/>
        </w:rPr>
        <w:t xml:space="preserve"> </w:t>
      </w:r>
      <w:r>
        <w:rPr>
          <w:lang w:val="fr-CA"/>
        </w:rPr>
        <w:t>devraient être fondées sur les contributions significatives</w:t>
      </w:r>
      <w:r w:rsidRPr="00FA558D">
        <w:rPr>
          <w:lang w:val="fr-CA"/>
        </w:rPr>
        <w:t xml:space="preserve"> </w:t>
      </w:r>
      <w:r>
        <w:rPr>
          <w:lang w:val="fr-CA"/>
        </w:rPr>
        <w:t>des</w:t>
      </w:r>
      <w:r w:rsidRPr="00FA558D">
        <w:rPr>
          <w:lang w:val="fr-CA"/>
        </w:rPr>
        <w:t xml:space="preserve"> </w:t>
      </w:r>
      <w:r>
        <w:rPr>
          <w:lang w:val="fr-CA"/>
        </w:rPr>
        <w:t>intervenants</w:t>
      </w:r>
      <w:r w:rsidRPr="00FA558D">
        <w:rPr>
          <w:lang w:val="fr-CA"/>
        </w:rPr>
        <w:t xml:space="preserve">, </w:t>
      </w:r>
      <w:r>
        <w:rPr>
          <w:lang w:val="fr-CA"/>
        </w:rPr>
        <w:t>qui peuvent être obtenues par divers moyens. Les organismes de réglementation</w:t>
      </w:r>
      <w:r w:rsidRPr="00FA558D">
        <w:rPr>
          <w:lang w:val="fr-CA"/>
        </w:rPr>
        <w:t xml:space="preserve"> </w:t>
      </w:r>
      <w:r>
        <w:rPr>
          <w:lang w:val="fr-CA"/>
        </w:rPr>
        <w:t>peuvent choisir de mobiliser les intervenants</w:t>
      </w:r>
      <w:r w:rsidRPr="00FA558D">
        <w:rPr>
          <w:lang w:val="fr-CA"/>
        </w:rPr>
        <w:t xml:space="preserve"> </w:t>
      </w:r>
      <w:r>
        <w:rPr>
          <w:lang w:val="fr-CA"/>
        </w:rPr>
        <w:t xml:space="preserve">dans le cadre d’un vaste processus de </w:t>
      </w:r>
      <w:r w:rsidRPr="00FA558D">
        <w:rPr>
          <w:lang w:val="fr-CA"/>
        </w:rPr>
        <w:t>consultati</w:t>
      </w:r>
      <w:r>
        <w:rPr>
          <w:lang w:val="fr-CA"/>
        </w:rPr>
        <w:t>on</w:t>
      </w:r>
      <w:r w:rsidRPr="00C11261">
        <w:rPr>
          <w:lang w:val="fr-CA"/>
        </w:rPr>
        <w:t xml:space="preserve"> </w:t>
      </w:r>
      <w:r>
        <w:rPr>
          <w:lang w:val="fr-CA"/>
        </w:rPr>
        <w:t>officiel, bien qu’il puisse aussi être opportun de communiquer de manière informelle avec les principaux intervenants</w:t>
      </w:r>
      <w:r w:rsidRPr="00FA558D">
        <w:rPr>
          <w:lang w:val="fr-CA"/>
        </w:rPr>
        <w:t xml:space="preserve">. </w:t>
      </w:r>
      <w:r>
        <w:rPr>
          <w:lang w:val="fr-CA"/>
        </w:rPr>
        <w:t>Au bout du compte, les</w:t>
      </w:r>
      <w:r w:rsidRPr="00FA558D">
        <w:rPr>
          <w:lang w:val="fr-CA"/>
        </w:rPr>
        <w:t xml:space="preserve"> </w:t>
      </w:r>
      <w:r>
        <w:rPr>
          <w:lang w:val="fr-CA"/>
        </w:rPr>
        <w:t>organismes de réglementation sont les mieux placés pour déterminer la façon de valider les hypothèses</w:t>
      </w:r>
      <w:r w:rsidR="00B91619" w:rsidRPr="00FA558D">
        <w:rPr>
          <w:lang w:val="fr-CA"/>
        </w:rPr>
        <w:t>,</w:t>
      </w:r>
      <w:r w:rsidR="00B91619">
        <w:rPr>
          <w:lang w:val="fr-CA"/>
        </w:rPr>
        <w:t xml:space="preserve"> et la section du REIR portant sur la </w:t>
      </w:r>
      <w:r w:rsidR="00827BD1">
        <w:rPr>
          <w:lang w:val="fr-CA"/>
        </w:rPr>
        <w:t>lentille</w:t>
      </w:r>
      <w:r w:rsidR="00B91619">
        <w:rPr>
          <w:lang w:val="fr-CA"/>
        </w:rPr>
        <w:t xml:space="preserve"> des petites entreprises</w:t>
      </w:r>
      <w:r w:rsidR="00B91619" w:rsidRPr="00FA558D">
        <w:rPr>
          <w:lang w:val="fr-CA"/>
        </w:rPr>
        <w:t xml:space="preserve"> </w:t>
      </w:r>
      <w:r>
        <w:rPr>
          <w:lang w:val="fr-CA"/>
        </w:rPr>
        <w:t>devrait indiquer de quelle façon les hypothèses ont été validées</w:t>
      </w:r>
      <w:r w:rsidR="00B91619" w:rsidRPr="00FA558D">
        <w:rPr>
          <w:lang w:val="fr-CA"/>
        </w:rPr>
        <w:t xml:space="preserve">. </w:t>
      </w:r>
    </w:p>
    <w:p w14:paraId="35D536CC" w14:textId="77777777" w:rsidR="00B91619" w:rsidRPr="00FA558D" w:rsidRDefault="00B91619" w:rsidP="00B91619">
      <w:pPr>
        <w:tabs>
          <w:tab w:val="left" w:pos="9356"/>
        </w:tabs>
        <w:spacing w:after="0" w:line="240" w:lineRule="auto"/>
        <w:rPr>
          <w:lang w:val="fr-CA"/>
        </w:rPr>
      </w:pPr>
    </w:p>
    <w:p w14:paraId="4FA40394" w14:textId="01CEEA45" w:rsidR="00B91619" w:rsidRPr="00FA558D" w:rsidRDefault="00F0397A" w:rsidP="00B91619">
      <w:pPr>
        <w:tabs>
          <w:tab w:val="left" w:pos="9356"/>
        </w:tabs>
        <w:spacing w:after="0" w:line="240" w:lineRule="auto"/>
        <w:rPr>
          <w:lang w:val="fr-CA"/>
        </w:rPr>
      </w:pPr>
      <w:r>
        <w:rPr>
          <w:lang w:val="fr-CA"/>
        </w:rPr>
        <w:t>S’il n’est pas réaliste de faire participer les intervenants, les organismes de réglementation</w:t>
      </w:r>
      <w:r w:rsidRPr="00FA558D">
        <w:rPr>
          <w:lang w:val="fr-CA"/>
        </w:rPr>
        <w:t xml:space="preserve"> </w:t>
      </w:r>
      <w:r>
        <w:rPr>
          <w:lang w:val="fr-CA"/>
        </w:rPr>
        <w:t>doivent</w:t>
      </w:r>
      <w:r w:rsidRPr="00FA558D">
        <w:rPr>
          <w:lang w:val="fr-CA"/>
        </w:rPr>
        <w:t xml:space="preserve"> </w:t>
      </w:r>
      <w:r>
        <w:rPr>
          <w:lang w:val="fr-CA"/>
        </w:rPr>
        <w:t>expliquer comment ils ont validé les hypothèses dans le cadre du projet. Les organismes de réglementation</w:t>
      </w:r>
      <w:r w:rsidRPr="00FA558D">
        <w:rPr>
          <w:lang w:val="fr-CA"/>
        </w:rPr>
        <w:t xml:space="preserve"> </w:t>
      </w:r>
      <w:r>
        <w:rPr>
          <w:lang w:val="fr-CA"/>
        </w:rPr>
        <w:t>pourraient choisir de se référer à des échanges antérieurs avec les intervenants</w:t>
      </w:r>
      <w:r w:rsidRPr="00FA558D">
        <w:rPr>
          <w:lang w:val="fr-CA"/>
        </w:rPr>
        <w:t xml:space="preserve"> </w:t>
      </w:r>
      <w:r>
        <w:rPr>
          <w:lang w:val="fr-CA"/>
        </w:rPr>
        <w:t>sur les hypothèses</w:t>
      </w:r>
      <w:r w:rsidRPr="00FA558D">
        <w:rPr>
          <w:lang w:val="fr-CA"/>
        </w:rPr>
        <w:t xml:space="preserve">, </w:t>
      </w:r>
      <w:r>
        <w:rPr>
          <w:lang w:val="fr-CA"/>
        </w:rPr>
        <w:t xml:space="preserve">si ces renseignements sont toujours considérés comme </w:t>
      </w:r>
      <w:r w:rsidRPr="00FA558D">
        <w:rPr>
          <w:lang w:val="fr-CA"/>
        </w:rPr>
        <w:t>valid</w:t>
      </w:r>
      <w:r>
        <w:rPr>
          <w:lang w:val="fr-CA"/>
        </w:rPr>
        <w:t>es</w:t>
      </w:r>
      <w:r w:rsidRPr="00FA558D">
        <w:rPr>
          <w:lang w:val="fr-CA"/>
        </w:rPr>
        <w:t xml:space="preserve">. </w:t>
      </w:r>
      <w:r>
        <w:rPr>
          <w:lang w:val="fr-CA"/>
        </w:rPr>
        <w:t>Les renseignements provenant d’échanges antérieurs</w:t>
      </w:r>
      <w:r w:rsidRPr="00FA558D">
        <w:rPr>
          <w:lang w:val="fr-CA"/>
        </w:rPr>
        <w:t xml:space="preserve"> </w:t>
      </w:r>
      <w:r>
        <w:rPr>
          <w:lang w:val="fr-CA"/>
        </w:rPr>
        <w:t xml:space="preserve">devraient être indiqués </w:t>
      </w:r>
      <w:r w:rsidR="00B91619">
        <w:rPr>
          <w:lang w:val="fr-CA"/>
        </w:rPr>
        <w:t xml:space="preserve">dans la section du REIR portant sur la </w:t>
      </w:r>
      <w:r w:rsidR="00827BD1">
        <w:rPr>
          <w:lang w:val="fr-CA"/>
        </w:rPr>
        <w:t>lentille</w:t>
      </w:r>
      <w:r w:rsidR="00B91619">
        <w:rPr>
          <w:lang w:val="fr-CA"/>
        </w:rPr>
        <w:t xml:space="preserve"> des petites entreprises</w:t>
      </w:r>
      <w:r w:rsidR="00B91619" w:rsidRPr="00FA558D">
        <w:rPr>
          <w:lang w:val="fr-CA"/>
        </w:rPr>
        <w:t xml:space="preserve">. </w:t>
      </w:r>
    </w:p>
    <w:p w14:paraId="622A2BF1" w14:textId="77777777" w:rsidR="00B91619" w:rsidRPr="00FA558D" w:rsidRDefault="00B91619" w:rsidP="00B91619">
      <w:pPr>
        <w:tabs>
          <w:tab w:val="left" w:pos="9356"/>
        </w:tabs>
        <w:spacing w:after="0" w:line="240" w:lineRule="auto"/>
        <w:rPr>
          <w:lang w:val="fr-CA"/>
        </w:rPr>
      </w:pPr>
    </w:p>
    <w:p w14:paraId="06E49AF7" w14:textId="6D311341" w:rsidR="00B91619" w:rsidRPr="00FA558D" w:rsidRDefault="00F0397A" w:rsidP="00B91619">
      <w:pPr>
        <w:tabs>
          <w:tab w:val="left" w:pos="9356"/>
        </w:tabs>
        <w:spacing w:after="0" w:line="240" w:lineRule="auto"/>
        <w:rPr>
          <w:lang w:val="fr-CA"/>
        </w:rPr>
      </w:pPr>
      <w:r>
        <w:rPr>
          <w:lang w:val="fr-CA"/>
        </w:rPr>
        <w:t xml:space="preserve">Il existe une exigence distincte pour remplir la section du REIR portant sur la </w:t>
      </w:r>
      <w:r w:rsidRPr="00FA558D">
        <w:rPr>
          <w:lang w:val="fr-CA"/>
        </w:rPr>
        <w:t>consultation</w:t>
      </w:r>
      <w:r>
        <w:rPr>
          <w:lang w:val="fr-CA"/>
        </w:rPr>
        <w:t>. Afin d’éviter les dédoublements, la section sur la consultation devrait donner un aperçu complet de toutes les activités de consultation</w:t>
      </w:r>
      <w:r w:rsidR="00B91619" w:rsidRPr="00FA558D">
        <w:rPr>
          <w:lang w:val="fr-CA"/>
        </w:rPr>
        <w:t xml:space="preserve">. </w:t>
      </w:r>
      <w:r w:rsidR="00B91619">
        <w:rPr>
          <w:lang w:val="fr-CA"/>
        </w:rPr>
        <w:t xml:space="preserve">La section sur la </w:t>
      </w:r>
      <w:r w:rsidR="00827BD1">
        <w:rPr>
          <w:lang w:val="fr-CA"/>
        </w:rPr>
        <w:t>lentille</w:t>
      </w:r>
      <w:r w:rsidR="00B91619">
        <w:rPr>
          <w:lang w:val="fr-CA"/>
        </w:rPr>
        <w:t xml:space="preserve"> des petites entreprises</w:t>
      </w:r>
      <w:r w:rsidR="00B91619" w:rsidRPr="00FA558D">
        <w:rPr>
          <w:lang w:val="fr-CA"/>
        </w:rPr>
        <w:t xml:space="preserve"> </w:t>
      </w:r>
      <w:r w:rsidR="00B91619">
        <w:rPr>
          <w:lang w:val="fr-CA"/>
        </w:rPr>
        <w:t xml:space="preserve">devrait relever </w:t>
      </w:r>
      <w:r>
        <w:rPr>
          <w:lang w:val="fr-CA"/>
        </w:rPr>
        <w:t>toute question précise liée</w:t>
      </w:r>
      <w:r w:rsidDel="00F0397A">
        <w:rPr>
          <w:lang w:val="fr-CA"/>
        </w:rPr>
        <w:t xml:space="preserve"> </w:t>
      </w:r>
      <w:r>
        <w:rPr>
          <w:lang w:val="fr-CA"/>
        </w:rPr>
        <w:t>à</w:t>
      </w:r>
      <w:r w:rsidR="00B91619">
        <w:rPr>
          <w:lang w:val="fr-CA"/>
        </w:rPr>
        <w:t xml:space="preserve"> la </w:t>
      </w:r>
      <w:r w:rsidR="00827BD1">
        <w:rPr>
          <w:lang w:val="fr-CA"/>
        </w:rPr>
        <w:t>lentille</w:t>
      </w:r>
      <w:r w:rsidR="00B91619">
        <w:rPr>
          <w:lang w:val="fr-CA"/>
        </w:rPr>
        <w:t xml:space="preserve">, et </w:t>
      </w:r>
      <w:r w:rsidR="00B91619" w:rsidRPr="00FA558D">
        <w:rPr>
          <w:lang w:val="fr-CA"/>
        </w:rPr>
        <w:t>re</w:t>
      </w:r>
      <w:r w:rsidR="00B91619">
        <w:rPr>
          <w:lang w:val="fr-CA"/>
        </w:rPr>
        <w:t>nvoyer le lecteur à la section sur la consultation</w:t>
      </w:r>
      <w:r w:rsidR="00B91619" w:rsidRPr="00FA558D">
        <w:rPr>
          <w:lang w:val="fr-CA"/>
        </w:rPr>
        <w:t xml:space="preserve"> </w:t>
      </w:r>
      <w:r w:rsidR="00B91619">
        <w:rPr>
          <w:lang w:val="fr-CA"/>
        </w:rPr>
        <w:t>pour en savoir plus</w:t>
      </w:r>
      <w:r w:rsidR="00B91619" w:rsidRPr="00FA558D">
        <w:rPr>
          <w:lang w:val="fr-CA"/>
        </w:rPr>
        <w:t xml:space="preserve">. </w:t>
      </w:r>
      <w:r>
        <w:rPr>
          <w:lang w:val="fr-CA"/>
        </w:rPr>
        <w:t>Pour e</w:t>
      </w:r>
      <w:r w:rsidR="00B91619">
        <w:rPr>
          <w:lang w:val="fr-CA"/>
        </w:rPr>
        <w:t>n savoir plus sur la section sur la consultation</w:t>
      </w:r>
      <w:r w:rsidR="00B91619" w:rsidRPr="00FA558D">
        <w:rPr>
          <w:lang w:val="fr-CA"/>
        </w:rPr>
        <w:t xml:space="preserve">, </w:t>
      </w:r>
      <w:r w:rsidR="00B91619">
        <w:rPr>
          <w:lang w:val="fr-CA"/>
        </w:rPr>
        <w:t>consulter le présent guide</w:t>
      </w:r>
      <w:r w:rsidR="00B91619" w:rsidRPr="00FA558D">
        <w:rPr>
          <w:lang w:val="fr-CA"/>
        </w:rPr>
        <w:t xml:space="preserve"> </w:t>
      </w:r>
      <w:r w:rsidR="00B91619">
        <w:rPr>
          <w:lang w:val="fr-CA"/>
        </w:rPr>
        <w:t>sur l’élaboration de la réglementation et sur la rédaction du Résumé de l’étude d’impact de la réglementation</w:t>
      </w:r>
      <w:r w:rsidR="00B91619" w:rsidRPr="00FA558D">
        <w:rPr>
          <w:lang w:val="fr-CA"/>
        </w:rPr>
        <w:t>.</w:t>
      </w:r>
    </w:p>
    <w:p w14:paraId="0B19A41D" w14:textId="77777777" w:rsidR="00B91619" w:rsidRPr="00FA558D" w:rsidRDefault="00B91619" w:rsidP="00B91619">
      <w:pPr>
        <w:tabs>
          <w:tab w:val="left" w:pos="9356"/>
        </w:tabs>
        <w:spacing w:after="0" w:line="240" w:lineRule="auto"/>
        <w:rPr>
          <w:lang w:val="fr-CA"/>
        </w:rPr>
      </w:pPr>
    </w:p>
    <w:p w14:paraId="71B9B0B8" w14:textId="77777777" w:rsidR="00B91619" w:rsidRPr="00FA558D" w:rsidRDefault="00B91619" w:rsidP="00B91619">
      <w:pPr>
        <w:pStyle w:val="Heading3"/>
        <w:numPr>
          <w:ilvl w:val="2"/>
          <w:numId w:val="27"/>
        </w:numPr>
        <w:ind w:left="720" w:hanging="720"/>
        <w:rPr>
          <w:lang w:val="fr-CA"/>
        </w:rPr>
      </w:pPr>
      <w:bookmarkStart w:id="32" w:name="_Toc69891061"/>
      <w:r>
        <w:rPr>
          <w:lang w:val="fr-CA"/>
        </w:rPr>
        <w:t>Prise en compte des besoins des petites entreprises</w:t>
      </w:r>
      <w:r w:rsidRPr="00FA558D">
        <w:rPr>
          <w:lang w:val="fr-CA"/>
        </w:rPr>
        <w:t xml:space="preserve"> (</w:t>
      </w:r>
      <w:r>
        <w:rPr>
          <w:lang w:val="fr-CA"/>
        </w:rPr>
        <w:t>sous-s</w:t>
      </w:r>
      <w:r w:rsidRPr="00FA558D">
        <w:rPr>
          <w:lang w:val="fr-CA"/>
        </w:rPr>
        <w:t>ection 8.2.4)</w:t>
      </w:r>
      <w:bookmarkEnd w:id="32"/>
    </w:p>
    <w:p w14:paraId="7BBD67EB" w14:textId="77777777" w:rsidR="00B91619" w:rsidRPr="00FA558D" w:rsidRDefault="00B91619" w:rsidP="00B91619">
      <w:pPr>
        <w:tabs>
          <w:tab w:val="left" w:pos="9356"/>
        </w:tabs>
        <w:spacing w:after="0" w:line="240" w:lineRule="auto"/>
        <w:rPr>
          <w:lang w:val="fr-CA"/>
        </w:rPr>
      </w:pPr>
    </w:p>
    <w:p w14:paraId="2C48A3EC" w14:textId="13A7006F" w:rsidR="00B91619" w:rsidRPr="00FA558D" w:rsidRDefault="00B91619" w:rsidP="00B91619">
      <w:pPr>
        <w:tabs>
          <w:tab w:val="left" w:pos="9356"/>
        </w:tabs>
        <w:spacing w:after="0" w:line="240" w:lineRule="auto"/>
        <w:rPr>
          <w:lang w:val="fr-CA"/>
        </w:rPr>
      </w:pPr>
      <w:r>
        <w:rPr>
          <w:lang w:val="fr-CA"/>
        </w:rPr>
        <w:t>Les organismes de réglementation</w:t>
      </w:r>
      <w:r w:rsidRPr="00FA558D">
        <w:rPr>
          <w:lang w:val="fr-CA"/>
        </w:rPr>
        <w:t xml:space="preserve"> </w:t>
      </w:r>
      <w:r>
        <w:rPr>
          <w:lang w:val="fr-CA"/>
        </w:rPr>
        <w:t>doivent évaluer comment le règlement proposé</w:t>
      </w:r>
      <w:r w:rsidRPr="00FA558D">
        <w:rPr>
          <w:lang w:val="fr-CA"/>
        </w:rPr>
        <w:t xml:space="preserve"> </w:t>
      </w:r>
      <w:r>
        <w:rPr>
          <w:lang w:val="fr-CA"/>
        </w:rPr>
        <w:t>aurait des répercussions sur les petites entreprises, et formuler le règlement</w:t>
      </w:r>
      <w:r w:rsidRPr="00FA558D">
        <w:rPr>
          <w:lang w:val="fr-CA"/>
        </w:rPr>
        <w:t xml:space="preserve"> </w:t>
      </w:r>
      <w:r>
        <w:rPr>
          <w:lang w:val="fr-CA"/>
        </w:rPr>
        <w:t>afin d’atténuer au maximum ces répercussions</w:t>
      </w:r>
      <w:r w:rsidRPr="00FA558D">
        <w:rPr>
          <w:lang w:val="fr-CA"/>
        </w:rPr>
        <w:t xml:space="preserve">. </w:t>
      </w:r>
      <w:r>
        <w:rPr>
          <w:lang w:val="fr-CA"/>
        </w:rPr>
        <w:t xml:space="preserve">La section sur la </w:t>
      </w:r>
      <w:r w:rsidR="00827BD1">
        <w:rPr>
          <w:lang w:val="fr-CA"/>
        </w:rPr>
        <w:t>lentille</w:t>
      </w:r>
      <w:r>
        <w:rPr>
          <w:lang w:val="fr-CA"/>
        </w:rPr>
        <w:t xml:space="preserve"> des petites entreprises</w:t>
      </w:r>
      <w:r w:rsidRPr="00FA558D">
        <w:rPr>
          <w:lang w:val="fr-CA"/>
        </w:rPr>
        <w:t xml:space="preserve"> </w:t>
      </w:r>
      <w:r>
        <w:rPr>
          <w:lang w:val="fr-CA"/>
        </w:rPr>
        <w:t>dans le REIR</w:t>
      </w:r>
      <w:r w:rsidRPr="00FA558D">
        <w:rPr>
          <w:lang w:val="fr-CA"/>
        </w:rPr>
        <w:t xml:space="preserve"> </w:t>
      </w:r>
      <w:r>
        <w:rPr>
          <w:lang w:val="fr-CA"/>
        </w:rPr>
        <w:t>devrait</w:t>
      </w:r>
      <w:r w:rsidRPr="00FA558D">
        <w:rPr>
          <w:lang w:val="fr-CA"/>
        </w:rPr>
        <w:t xml:space="preserve"> </w:t>
      </w:r>
      <w:r>
        <w:rPr>
          <w:lang w:val="fr-CA"/>
        </w:rPr>
        <w:t>expliquer</w:t>
      </w:r>
      <w:r w:rsidRPr="00FA558D">
        <w:rPr>
          <w:lang w:val="fr-CA"/>
        </w:rPr>
        <w:t xml:space="preserve"> </w:t>
      </w:r>
      <w:r>
        <w:rPr>
          <w:lang w:val="fr-CA"/>
        </w:rPr>
        <w:t xml:space="preserve">ce processus afin </w:t>
      </w:r>
      <w:r w:rsidR="00F0397A">
        <w:rPr>
          <w:lang w:val="fr-CA"/>
        </w:rPr>
        <w:t xml:space="preserve">que </w:t>
      </w:r>
      <w:r>
        <w:rPr>
          <w:lang w:val="fr-CA"/>
        </w:rPr>
        <w:t xml:space="preserve">les </w:t>
      </w:r>
      <w:r w:rsidR="00F0397A">
        <w:rPr>
          <w:lang w:val="fr-CA"/>
        </w:rPr>
        <w:t xml:space="preserve">décideurs sachent en quoi </w:t>
      </w:r>
      <w:r>
        <w:rPr>
          <w:lang w:val="fr-CA"/>
        </w:rPr>
        <w:t>le projet tient compte des besoins des</w:t>
      </w:r>
      <w:r w:rsidRPr="00FA558D">
        <w:rPr>
          <w:lang w:val="fr-CA"/>
        </w:rPr>
        <w:t xml:space="preserve"> </w:t>
      </w:r>
      <w:r>
        <w:rPr>
          <w:lang w:val="fr-CA"/>
        </w:rPr>
        <w:t>petites entreprises</w:t>
      </w:r>
      <w:r w:rsidRPr="00FA558D">
        <w:rPr>
          <w:lang w:val="fr-CA"/>
        </w:rPr>
        <w:t xml:space="preserve">. </w:t>
      </w:r>
    </w:p>
    <w:p w14:paraId="79C570D1" w14:textId="77777777" w:rsidR="00B91619" w:rsidRPr="00FA558D" w:rsidRDefault="00B91619" w:rsidP="00B91619">
      <w:pPr>
        <w:tabs>
          <w:tab w:val="left" w:pos="9356"/>
        </w:tabs>
        <w:spacing w:after="0" w:line="240" w:lineRule="auto"/>
        <w:rPr>
          <w:lang w:val="fr-CA"/>
        </w:rPr>
      </w:pPr>
    </w:p>
    <w:p w14:paraId="26860B32" w14:textId="1A56CA35" w:rsidR="00B91619" w:rsidRPr="00FA558D" w:rsidRDefault="00B91619" w:rsidP="00B91619">
      <w:pPr>
        <w:tabs>
          <w:tab w:val="left" w:pos="9356"/>
        </w:tabs>
        <w:spacing w:after="0" w:line="240" w:lineRule="auto"/>
        <w:rPr>
          <w:lang w:val="fr-CA"/>
        </w:rPr>
      </w:pPr>
      <w:r>
        <w:rPr>
          <w:lang w:val="fr-CA"/>
        </w:rPr>
        <w:t xml:space="preserve">La réduction au minimum des coûts </w:t>
      </w:r>
      <w:r w:rsidRPr="00FA558D">
        <w:rPr>
          <w:lang w:val="fr-CA"/>
        </w:rPr>
        <w:t>administrati</w:t>
      </w:r>
      <w:r>
        <w:rPr>
          <w:lang w:val="fr-CA"/>
        </w:rPr>
        <w:t xml:space="preserve">fs ou de </w:t>
      </w:r>
      <w:r w:rsidRPr="00FA558D">
        <w:rPr>
          <w:lang w:val="fr-CA"/>
        </w:rPr>
        <w:t>co</w:t>
      </w:r>
      <w:r>
        <w:rPr>
          <w:lang w:val="fr-CA"/>
        </w:rPr>
        <w:t>nformité</w:t>
      </w:r>
      <w:r w:rsidRPr="00FA558D">
        <w:rPr>
          <w:lang w:val="fr-CA"/>
        </w:rPr>
        <w:t xml:space="preserve"> </w:t>
      </w:r>
      <w:r>
        <w:rPr>
          <w:lang w:val="fr-CA"/>
        </w:rPr>
        <w:t>pour les petites entreprises</w:t>
      </w:r>
      <w:r w:rsidRPr="00FA558D">
        <w:rPr>
          <w:lang w:val="fr-CA"/>
        </w:rPr>
        <w:t xml:space="preserve"> </w:t>
      </w:r>
      <w:r>
        <w:rPr>
          <w:lang w:val="fr-CA"/>
        </w:rPr>
        <w:t>ne doit pas être aux dépens de la santé</w:t>
      </w:r>
      <w:r w:rsidRPr="00FA558D">
        <w:rPr>
          <w:lang w:val="fr-CA"/>
        </w:rPr>
        <w:t>,</w:t>
      </w:r>
      <w:r>
        <w:rPr>
          <w:lang w:val="fr-CA"/>
        </w:rPr>
        <w:t xml:space="preserve"> de la</w:t>
      </w:r>
      <w:r w:rsidRPr="00FA558D">
        <w:rPr>
          <w:lang w:val="fr-CA"/>
        </w:rPr>
        <w:t xml:space="preserve"> </w:t>
      </w:r>
      <w:r>
        <w:rPr>
          <w:lang w:val="fr-CA"/>
        </w:rPr>
        <w:t>sécurité ou de la sûreté</w:t>
      </w:r>
      <w:r w:rsidRPr="00FA558D">
        <w:rPr>
          <w:lang w:val="fr-CA"/>
        </w:rPr>
        <w:t xml:space="preserve"> </w:t>
      </w:r>
      <w:r>
        <w:rPr>
          <w:lang w:val="fr-CA"/>
        </w:rPr>
        <w:t>des</w:t>
      </w:r>
      <w:r w:rsidRPr="00FA558D">
        <w:rPr>
          <w:lang w:val="fr-CA"/>
        </w:rPr>
        <w:t xml:space="preserve"> C</w:t>
      </w:r>
      <w:r>
        <w:rPr>
          <w:lang w:val="fr-CA"/>
        </w:rPr>
        <w:t>anadien</w:t>
      </w:r>
      <w:r w:rsidRPr="00FA558D">
        <w:rPr>
          <w:lang w:val="fr-CA"/>
        </w:rPr>
        <w:t>s.</w:t>
      </w:r>
    </w:p>
    <w:p w14:paraId="7F684E02" w14:textId="77777777" w:rsidR="00B91619" w:rsidRPr="00FA558D" w:rsidRDefault="00B91619" w:rsidP="00B91619">
      <w:pPr>
        <w:tabs>
          <w:tab w:val="left" w:pos="9356"/>
        </w:tabs>
        <w:spacing w:after="0" w:line="240" w:lineRule="auto"/>
        <w:rPr>
          <w:lang w:val="fr-CA"/>
        </w:rPr>
      </w:pPr>
    </w:p>
    <w:p w14:paraId="5F85A28D" w14:textId="2090550E" w:rsidR="00B91619" w:rsidRPr="00FA558D" w:rsidRDefault="00B91619" w:rsidP="00B91619">
      <w:pPr>
        <w:tabs>
          <w:tab w:val="left" w:pos="9356"/>
        </w:tabs>
        <w:spacing w:after="0" w:line="240" w:lineRule="auto"/>
        <w:rPr>
          <w:lang w:val="fr-CA"/>
        </w:rPr>
      </w:pPr>
      <w:r>
        <w:rPr>
          <w:lang w:val="fr-CA"/>
        </w:rPr>
        <w:t xml:space="preserve">La </w:t>
      </w:r>
      <w:r w:rsidR="00827BD1">
        <w:rPr>
          <w:lang w:val="fr-CA"/>
        </w:rPr>
        <w:t>lentille</w:t>
      </w:r>
      <w:r>
        <w:rPr>
          <w:lang w:val="fr-CA"/>
        </w:rPr>
        <w:t xml:space="preserve"> des petites entreprises</w:t>
      </w:r>
      <w:r w:rsidRPr="00FA558D">
        <w:rPr>
          <w:lang w:val="fr-CA"/>
        </w:rPr>
        <w:t xml:space="preserve"> </w:t>
      </w:r>
      <w:r>
        <w:rPr>
          <w:lang w:val="fr-CA"/>
        </w:rPr>
        <w:t xml:space="preserve">n’exige pas l’application d’une méthode </w:t>
      </w:r>
      <w:r w:rsidR="00AB7A63">
        <w:rPr>
          <w:lang w:val="fr-CA"/>
        </w:rPr>
        <w:t xml:space="preserve">précise </w:t>
      </w:r>
      <w:r>
        <w:rPr>
          <w:lang w:val="fr-CA"/>
        </w:rPr>
        <w:t xml:space="preserve">pour </w:t>
      </w:r>
      <w:r w:rsidR="00AB7A63">
        <w:rPr>
          <w:lang w:val="fr-CA"/>
        </w:rPr>
        <w:t>tenir compte des</w:t>
      </w:r>
      <w:r>
        <w:rPr>
          <w:lang w:val="fr-CA"/>
        </w:rPr>
        <w:t xml:space="preserve"> besoins des</w:t>
      </w:r>
      <w:r w:rsidRPr="00FA558D">
        <w:rPr>
          <w:lang w:val="fr-CA"/>
        </w:rPr>
        <w:t xml:space="preserve"> </w:t>
      </w:r>
      <w:r>
        <w:rPr>
          <w:lang w:val="fr-CA"/>
        </w:rPr>
        <w:t>petites entreprises</w:t>
      </w:r>
      <w:r w:rsidRPr="00FA558D">
        <w:rPr>
          <w:lang w:val="fr-CA"/>
        </w:rPr>
        <w:t>,</w:t>
      </w:r>
      <w:r>
        <w:rPr>
          <w:lang w:val="fr-CA"/>
        </w:rPr>
        <w:t xml:space="preserve"> et les organismes de réglementation peuvent choisir tout moyen, parmi les exemples suivants, entre autres, qu’ils considèrent</w:t>
      </w:r>
      <w:r w:rsidR="00AB7A63">
        <w:rPr>
          <w:lang w:val="fr-CA"/>
        </w:rPr>
        <w:t xml:space="preserve"> comme</w:t>
      </w:r>
      <w:r>
        <w:rPr>
          <w:lang w:val="fr-CA"/>
        </w:rPr>
        <w:t xml:space="preserve"> opportun</w:t>
      </w:r>
      <w:r w:rsidR="007C1161">
        <w:rPr>
          <w:lang w:val="fr-CA"/>
        </w:rPr>
        <w:t>s </w:t>
      </w:r>
      <w:r>
        <w:rPr>
          <w:lang w:val="fr-CA"/>
        </w:rPr>
        <w:t>:</w:t>
      </w:r>
      <w:r w:rsidRPr="00FA558D">
        <w:rPr>
          <w:lang w:val="fr-CA"/>
        </w:rPr>
        <w:t xml:space="preserve"> </w:t>
      </w:r>
    </w:p>
    <w:p w14:paraId="24B9F6C8" w14:textId="77777777" w:rsidR="00B91619" w:rsidRPr="00FA558D" w:rsidRDefault="00B91619" w:rsidP="00B91619">
      <w:pPr>
        <w:tabs>
          <w:tab w:val="left" w:pos="9356"/>
        </w:tabs>
        <w:spacing w:after="0" w:line="240" w:lineRule="auto"/>
        <w:rPr>
          <w:lang w:val="fr-CA"/>
        </w:rPr>
      </w:pPr>
    </w:p>
    <w:p w14:paraId="0D3D1E4B" w14:textId="709CF638" w:rsidR="00B91619" w:rsidRDefault="00AB7A63" w:rsidP="00B91619">
      <w:pPr>
        <w:pStyle w:val="ListParagraph"/>
        <w:numPr>
          <w:ilvl w:val="0"/>
          <w:numId w:val="1"/>
        </w:numPr>
        <w:tabs>
          <w:tab w:val="left" w:pos="9356"/>
        </w:tabs>
        <w:spacing w:after="0" w:line="240" w:lineRule="auto"/>
        <w:rPr>
          <w:lang w:val="fr-CA"/>
        </w:rPr>
      </w:pPr>
      <w:r>
        <w:rPr>
          <w:lang w:val="fr-CA"/>
        </w:rPr>
        <w:t>d</w:t>
      </w:r>
      <w:r w:rsidR="00B91619">
        <w:rPr>
          <w:lang w:val="fr-CA"/>
        </w:rPr>
        <w:t>élais plus longs pour répondre aux exigences, prolong</w:t>
      </w:r>
      <w:r w:rsidR="00A9277E">
        <w:rPr>
          <w:lang w:val="fr-CA"/>
        </w:rPr>
        <w:t>ation</w:t>
      </w:r>
      <w:r w:rsidR="00B91619">
        <w:rPr>
          <w:lang w:val="fr-CA"/>
        </w:rPr>
        <w:t xml:space="preserve"> des périodes de </w:t>
      </w:r>
      <w:r w:rsidR="00B91619" w:rsidRPr="00FA558D">
        <w:rPr>
          <w:lang w:val="fr-CA"/>
        </w:rPr>
        <w:t xml:space="preserve">transition </w:t>
      </w:r>
      <w:r w:rsidR="00B91619">
        <w:rPr>
          <w:lang w:val="fr-CA"/>
        </w:rPr>
        <w:t>ou exemptions temporaire</w:t>
      </w:r>
      <w:r>
        <w:rPr>
          <w:lang w:val="fr-CA"/>
        </w:rPr>
        <w:t>s</w:t>
      </w:r>
      <w:r w:rsidR="00B91619">
        <w:rPr>
          <w:lang w:val="fr-CA"/>
        </w:rPr>
        <w:t>;</w:t>
      </w:r>
    </w:p>
    <w:p w14:paraId="7CBFC93B" w14:textId="509EAD1E" w:rsidR="00B91619" w:rsidRPr="00FA558D" w:rsidRDefault="00B91619" w:rsidP="00B91619">
      <w:pPr>
        <w:pStyle w:val="ListParagraph"/>
        <w:numPr>
          <w:ilvl w:val="0"/>
          <w:numId w:val="1"/>
        </w:numPr>
        <w:tabs>
          <w:tab w:val="left" w:pos="9356"/>
        </w:tabs>
        <w:spacing w:after="0" w:line="240" w:lineRule="auto"/>
        <w:rPr>
          <w:lang w:val="fr-CA"/>
        </w:rPr>
      </w:pPr>
      <w:r>
        <w:rPr>
          <w:lang w:val="fr-CA"/>
        </w:rPr>
        <w:t>normes fondées sur le rendement;</w:t>
      </w:r>
    </w:p>
    <w:p w14:paraId="6497E028" w14:textId="07E93BF1" w:rsidR="00B91619" w:rsidRPr="00FA558D" w:rsidRDefault="00B91619" w:rsidP="00B91619">
      <w:pPr>
        <w:pStyle w:val="ListParagraph"/>
        <w:numPr>
          <w:ilvl w:val="0"/>
          <w:numId w:val="1"/>
        </w:numPr>
        <w:tabs>
          <w:tab w:val="left" w:pos="9356"/>
        </w:tabs>
        <w:spacing w:after="0" w:line="240" w:lineRule="auto"/>
        <w:rPr>
          <w:lang w:val="fr-CA"/>
        </w:rPr>
      </w:pPr>
      <w:r>
        <w:rPr>
          <w:lang w:val="fr-CA"/>
        </w:rPr>
        <w:t>exemptions partielles ou complètes des obligations de conformité, surtout pour les entreprises qui ont de bons antécédents (</w:t>
      </w:r>
      <w:r w:rsidR="00AB7A63">
        <w:rPr>
          <w:lang w:val="fr-CA"/>
        </w:rPr>
        <w:t>demander les</w:t>
      </w:r>
      <w:r>
        <w:rPr>
          <w:lang w:val="fr-CA"/>
        </w:rPr>
        <w:t xml:space="preserve"> conseil</w:t>
      </w:r>
      <w:r w:rsidR="00AB7A63">
        <w:rPr>
          <w:lang w:val="fr-CA"/>
        </w:rPr>
        <w:t>s</w:t>
      </w:r>
      <w:r>
        <w:rPr>
          <w:lang w:val="fr-CA"/>
        </w:rPr>
        <w:t xml:space="preserve"> d’un avocat si cette option est envisagée</w:t>
      </w:r>
      <w:r w:rsidRPr="00FA558D">
        <w:rPr>
          <w:lang w:val="fr-CA"/>
        </w:rPr>
        <w:t>)</w:t>
      </w:r>
      <w:r>
        <w:rPr>
          <w:lang w:val="fr-CA"/>
        </w:rPr>
        <w:t>;</w:t>
      </w:r>
    </w:p>
    <w:p w14:paraId="317F44CF" w14:textId="0A55214B" w:rsidR="00B91619" w:rsidRPr="00FA558D" w:rsidRDefault="00B91619" w:rsidP="00B91619">
      <w:pPr>
        <w:pStyle w:val="ListParagraph"/>
        <w:numPr>
          <w:ilvl w:val="0"/>
          <w:numId w:val="1"/>
        </w:numPr>
        <w:tabs>
          <w:tab w:val="left" w:pos="9356"/>
        </w:tabs>
        <w:spacing w:after="0" w:line="240" w:lineRule="auto"/>
        <w:rPr>
          <w:lang w:val="fr-CA"/>
        </w:rPr>
      </w:pPr>
      <w:r>
        <w:rPr>
          <w:lang w:val="fr-CA"/>
        </w:rPr>
        <w:t>rédu</w:t>
      </w:r>
      <w:r w:rsidRPr="00FA558D">
        <w:rPr>
          <w:lang w:val="fr-CA"/>
        </w:rPr>
        <w:t>c</w:t>
      </w:r>
      <w:r>
        <w:rPr>
          <w:lang w:val="fr-CA"/>
        </w:rPr>
        <w:t>tion des coûts liés à la conformité</w:t>
      </w:r>
      <w:r w:rsidR="00AB7A63">
        <w:rPr>
          <w:lang w:val="fr-CA"/>
        </w:rPr>
        <w:t>;</w:t>
      </w:r>
    </w:p>
    <w:p w14:paraId="7A7F90B6" w14:textId="19AD383D" w:rsidR="00B91619" w:rsidRPr="00FA558D" w:rsidRDefault="00B91619" w:rsidP="00B91619">
      <w:pPr>
        <w:pStyle w:val="ListParagraph"/>
        <w:numPr>
          <w:ilvl w:val="0"/>
          <w:numId w:val="1"/>
        </w:numPr>
        <w:tabs>
          <w:tab w:val="left" w:pos="9356"/>
        </w:tabs>
        <w:spacing w:after="0" w:line="240" w:lineRule="auto"/>
        <w:rPr>
          <w:lang w:val="fr-CA"/>
        </w:rPr>
      </w:pPr>
      <w:r>
        <w:rPr>
          <w:lang w:val="fr-CA"/>
        </w:rPr>
        <w:lastRenderedPageBreak/>
        <w:t xml:space="preserve">réduction des frais ou des autres </w:t>
      </w:r>
      <w:r w:rsidRPr="00FA558D">
        <w:rPr>
          <w:lang w:val="fr-CA"/>
        </w:rPr>
        <w:t>charges</w:t>
      </w:r>
      <w:r>
        <w:rPr>
          <w:lang w:val="fr-CA"/>
        </w:rPr>
        <w:t xml:space="preserve"> ou pénalités;</w:t>
      </w:r>
    </w:p>
    <w:p w14:paraId="0ADF9C51" w14:textId="25532BAB" w:rsidR="00B91619" w:rsidRPr="00FA558D" w:rsidRDefault="00B91619" w:rsidP="00B91619">
      <w:pPr>
        <w:pStyle w:val="ListParagraph"/>
        <w:numPr>
          <w:ilvl w:val="0"/>
          <w:numId w:val="1"/>
        </w:numPr>
        <w:tabs>
          <w:tab w:val="left" w:pos="9356"/>
        </w:tabs>
        <w:spacing w:after="0" w:line="240" w:lineRule="auto"/>
        <w:rPr>
          <w:lang w:val="fr-CA"/>
        </w:rPr>
      </w:pPr>
      <w:r>
        <w:rPr>
          <w:lang w:val="fr-CA"/>
        </w:rPr>
        <w:t>recours aux incitatifs commerciaux;</w:t>
      </w:r>
    </w:p>
    <w:p w14:paraId="3F7C8F31" w14:textId="02BEF8BF" w:rsidR="00B91619" w:rsidRPr="00FA558D" w:rsidRDefault="00B91619" w:rsidP="00B91619">
      <w:pPr>
        <w:pStyle w:val="ListParagraph"/>
        <w:numPr>
          <w:ilvl w:val="0"/>
          <w:numId w:val="1"/>
        </w:numPr>
        <w:tabs>
          <w:tab w:val="left" w:pos="9356"/>
        </w:tabs>
        <w:spacing w:after="0" w:line="240" w:lineRule="auto"/>
        <w:rPr>
          <w:lang w:val="fr-CA"/>
        </w:rPr>
      </w:pPr>
      <w:r>
        <w:rPr>
          <w:lang w:val="fr-CA"/>
        </w:rPr>
        <w:t xml:space="preserve">obligations </w:t>
      </w:r>
      <w:r w:rsidRPr="00FA558D">
        <w:rPr>
          <w:lang w:val="fr-CA"/>
        </w:rPr>
        <w:t>simplifi</w:t>
      </w:r>
      <w:r>
        <w:rPr>
          <w:lang w:val="fr-CA"/>
        </w:rPr>
        <w:t xml:space="preserve">ées sur la préparation de rapports et les </w:t>
      </w:r>
      <w:r w:rsidRPr="00FA558D">
        <w:rPr>
          <w:lang w:val="fr-CA"/>
        </w:rPr>
        <w:t>inspections</w:t>
      </w:r>
      <w:r>
        <w:rPr>
          <w:lang w:val="fr-CA"/>
        </w:rPr>
        <w:t>, notamment la diminution de leur fréquence;</w:t>
      </w:r>
    </w:p>
    <w:p w14:paraId="288E1462" w14:textId="77777777" w:rsidR="00B91619" w:rsidRPr="00FA558D" w:rsidRDefault="00B91619" w:rsidP="00B91619">
      <w:pPr>
        <w:pStyle w:val="ListParagraph"/>
        <w:numPr>
          <w:ilvl w:val="0"/>
          <w:numId w:val="1"/>
        </w:numPr>
        <w:tabs>
          <w:tab w:val="left" w:pos="9356"/>
        </w:tabs>
        <w:spacing w:after="0" w:line="240" w:lineRule="auto"/>
        <w:rPr>
          <w:lang w:val="fr-CA"/>
        </w:rPr>
      </w:pPr>
      <w:r>
        <w:rPr>
          <w:lang w:val="fr-CA"/>
        </w:rPr>
        <w:t>autorisation</w:t>
      </w:r>
      <w:r w:rsidRPr="00FA558D">
        <w:rPr>
          <w:lang w:val="fr-CA"/>
        </w:rPr>
        <w:t xml:space="preserve">s </w:t>
      </w:r>
      <w:r>
        <w:rPr>
          <w:lang w:val="fr-CA"/>
        </w:rPr>
        <w:t>accordées de manière</w:t>
      </w:r>
      <w:r w:rsidRPr="00FA558D">
        <w:rPr>
          <w:lang w:val="fr-CA"/>
        </w:rPr>
        <w:t xml:space="preserve"> permanent</w:t>
      </w:r>
      <w:r>
        <w:rPr>
          <w:lang w:val="fr-CA"/>
        </w:rPr>
        <w:t xml:space="preserve">e, ou </w:t>
      </w:r>
      <w:r w:rsidRPr="00FA558D">
        <w:rPr>
          <w:lang w:val="fr-CA"/>
        </w:rPr>
        <w:t>ren</w:t>
      </w:r>
      <w:r>
        <w:rPr>
          <w:lang w:val="fr-CA"/>
        </w:rPr>
        <w:t>ouvelées moins souvent.</w:t>
      </w:r>
    </w:p>
    <w:p w14:paraId="6DB0B550" w14:textId="77777777" w:rsidR="00B91619" w:rsidRPr="00FA558D" w:rsidRDefault="00B91619" w:rsidP="00B91619">
      <w:pPr>
        <w:tabs>
          <w:tab w:val="left" w:pos="9356"/>
        </w:tabs>
        <w:spacing w:after="0" w:line="240" w:lineRule="auto"/>
        <w:rPr>
          <w:lang w:val="fr-CA"/>
        </w:rPr>
      </w:pPr>
    </w:p>
    <w:p w14:paraId="2F28A35E" w14:textId="77777777" w:rsidR="00B91619" w:rsidRPr="00FA558D" w:rsidRDefault="00B91619" w:rsidP="00B91619">
      <w:pPr>
        <w:tabs>
          <w:tab w:val="left" w:pos="9356"/>
        </w:tabs>
        <w:spacing w:after="0" w:line="240" w:lineRule="auto"/>
        <w:rPr>
          <w:lang w:val="fr-CA"/>
        </w:rPr>
      </w:pPr>
      <w:r>
        <w:rPr>
          <w:lang w:val="fr-CA"/>
        </w:rPr>
        <w:t>La collecte d’</w:t>
      </w:r>
      <w:r w:rsidRPr="00FA558D">
        <w:rPr>
          <w:lang w:val="fr-CA"/>
        </w:rPr>
        <w:t xml:space="preserve">information </w:t>
      </w:r>
      <w:r>
        <w:rPr>
          <w:lang w:val="fr-CA"/>
        </w:rPr>
        <w:t>auprès des parties réglementées</w:t>
      </w:r>
      <w:r w:rsidRPr="00FA558D">
        <w:rPr>
          <w:lang w:val="fr-CA"/>
        </w:rPr>
        <w:t xml:space="preserve"> </w:t>
      </w:r>
      <w:r>
        <w:rPr>
          <w:lang w:val="fr-CA"/>
        </w:rPr>
        <w:t>peut être</w:t>
      </w:r>
      <w:r w:rsidRPr="00FA558D">
        <w:rPr>
          <w:lang w:val="fr-CA"/>
        </w:rPr>
        <w:t xml:space="preserve"> </w:t>
      </w:r>
      <w:r>
        <w:rPr>
          <w:lang w:val="fr-CA"/>
        </w:rPr>
        <w:t>complexe pour l’ensemble des entreprises, et surtout pour les petites entreprises. Les organismes de réglementation</w:t>
      </w:r>
      <w:r w:rsidRPr="00FA558D">
        <w:rPr>
          <w:lang w:val="fr-CA"/>
        </w:rPr>
        <w:t xml:space="preserve"> </w:t>
      </w:r>
      <w:r>
        <w:rPr>
          <w:lang w:val="fr-CA"/>
        </w:rPr>
        <w:t>pourront envisager des moyens de réduire ce fardeau, notamment les suivants :</w:t>
      </w:r>
    </w:p>
    <w:p w14:paraId="451016CE" w14:textId="77777777" w:rsidR="00B91619" w:rsidRPr="00FA558D" w:rsidRDefault="00B91619" w:rsidP="00B91619">
      <w:pPr>
        <w:tabs>
          <w:tab w:val="left" w:pos="9356"/>
        </w:tabs>
        <w:spacing w:after="0" w:line="240" w:lineRule="auto"/>
        <w:rPr>
          <w:lang w:val="fr-CA"/>
        </w:rPr>
      </w:pPr>
    </w:p>
    <w:p w14:paraId="1547A585" w14:textId="73595EA5" w:rsidR="00B91619" w:rsidRPr="00FA558D" w:rsidRDefault="00B91619" w:rsidP="00B91619">
      <w:pPr>
        <w:pStyle w:val="ListParagraph"/>
        <w:numPr>
          <w:ilvl w:val="0"/>
          <w:numId w:val="2"/>
        </w:numPr>
        <w:tabs>
          <w:tab w:val="left" w:pos="9356"/>
        </w:tabs>
        <w:spacing w:after="0" w:line="240" w:lineRule="auto"/>
        <w:rPr>
          <w:lang w:val="fr-CA"/>
        </w:rPr>
      </w:pPr>
      <w:r>
        <w:rPr>
          <w:lang w:val="fr-CA"/>
        </w:rPr>
        <w:t>processus simplifiés pour la collecte d’</w:t>
      </w:r>
      <w:r w:rsidRPr="00FA558D">
        <w:rPr>
          <w:lang w:val="fr-CA"/>
        </w:rPr>
        <w:t xml:space="preserve">information, </w:t>
      </w:r>
      <w:r>
        <w:rPr>
          <w:lang w:val="fr-CA"/>
        </w:rPr>
        <w:t xml:space="preserve">tels que </w:t>
      </w:r>
      <w:proofErr w:type="spellStart"/>
      <w:r w:rsidRPr="00FA558D">
        <w:rPr>
          <w:lang w:val="fr-CA"/>
        </w:rPr>
        <w:t>BizPaL</w:t>
      </w:r>
      <w:proofErr w:type="spellEnd"/>
      <w:r>
        <w:rPr>
          <w:lang w:val="fr-CA"/>
        </w:rPr>
        <w:t xml:space="preserve"> ou l’initiative de guichet unique de l’Agence des services frontaliers du Canada;</w:t>
      </w:r>
    </w:p>
    <w:p w14:paraId="78A59A22" w14:textId="244D2AC2" w:rsidR="00B91619" w:rsidRPr="00FA558D" w:rsidRDefault="00AB7A63" w:rsidP="00B91619">
      <w:pPr>
        <w:pStyle w:val="ListParagraph"/>
        <w:numPr>
          <w:ilvl w:val="0"/>
          <w:numId w:val="2"/>
        </w:numPr>
        <w:tabs>
          <w:tab w:val="left" w:pos="9356"/>
        </w:tabs>
        <w:spacing w:after="0" w:line="240" w:lineRule="auto"/>
        <w:rPr>
          <w:lang w:val="fr-CA"/>
        </w:rPr>
      </w:pPr>
      <w:r>
        <w:rPr>
          <w:lang w:val="fr-CA"/>
        </w:rPr>
        <w:t xml:space="preserve">utilisation </w:t>
      </w:r>
      <w:r w:rsidR="00B91619">
        <w:rPr>
          <w:lang w:val="fr-CA"/>
        </w:rPr>
        <w:t>d’</w:t>
      </w:r>
      <w:r w:rsidR="00B91619" w:rsidRPr="00FA558D">
        <w:rPr>
          <w:lang w:val="fr-CA"/>
        </w:rPr>
        <w:t>information (</w:t>
      </w:r>
      <w:r w:rsidR="00B91619">
        <w:rPr>
          <w:lang w:val="fr-CA"/>
        </w:rPr>
        <w:t>sauf les renseignements personnels</w:t>
      </w:r>
      <w:r w:rsidR="00B91619" w:rsidRPr="00FA558D">
        <w:rPr>
          <w:lang w:val="fr-CA"/>
        </w:rPr>
        <w:t xml:space="preserve">) </w:t>
      </w:r>
      <w:r w:rsidR="00B91619">
        <w:rPr>
          <w:lang w:val="fr-CA"/>
        </w:rPr>
        <w:t>déjà</w:t>
      </w:r>
      <w:r w:rsidR="00B91619" w:rsidRPr="00FA558D">
        <w:rPr>
          <w:lang w:val="fr-CA"/>
        </w:rPr>
        <w:t xml:space="preserve"> collect</w:t>
      </w:r>
      <w:r w:rsidR="00B91619">
        <w:rPr>
          <w:lang w:val="fr-CA"/>
        </w:rPr>
        <w:t>é</w:t>
      </w:r>
      <w:r w:rsidR="00A9277E">
        <w:rPr>
          <w:lang w:val="fr-CA"/>
        </w:rPr>
        <w:t>e</w:t>
      </w:r>
      <w:r w:rsidR="00B91619">
        <w:rPr>
          <w:lang w:val="fr-CA"/>
        </w:rPr>
        <w:t xml:space="preserve"> par un autre ministère ou une autre </w:t>
      </w:r>
      <w:r>
        <w:rPr>
          <w:lang w:val="fr-CA"/>
        </w:rPr>
        <w:t>administration</w:t>
      </w:r>
      <w:r w:rsidRPr="00FA558D">
        <w:rPr>
          <w:lang w:val="fr-CA"/>
        </w:rPr>
        <w:t xml:space="preserve"> </w:t>
      </w:r>
      <w:r w:rsidR="00B91619">
        <w:rPr>
          <w:lang w:val="fr-CA"/>
        </w:rPr>
        <w:t xml:space="preserve">au lieu de </w:t>
      </w:r>
      <w:r w:rsidR="00B4147F">
        <w:rPr>
          <w:lang w:val="fr-CA"/>
        </w:rPr>
        <w:t>demander</w:t>
      </w:r>
      <w:r w:rsidR="00B91619">
        <w:rPr>
          <w:lang w:val="fr-CA"/>
        </w:rPr>
        <w:t xml:space="preserve"> la même </w:t>
      </w:r>
      <w:r w:rsidR="00B91619" w:rsidRPr="00FA558D">
        <w:rPr>
          <w:lang w:val="fr-CA"/>
        </w:rPr>
        <w:t xml:space="preserve">information </w:t>
      </w:r>
      <w:r w:rsidR="00B91619">
        <w:rPr>
          <w:lang w:val="fr-CA"/>
        </w:rPr>
        <w:t>auprès des petites entreprises</w:t>
      </w:r>
      <w:r w:rsidR="00B91619" w:rsidRPr="00FA558D">
        <w:rPr>
          <w:rStyle w:val="FootnoteReference"/>
          <w:lang w:val="fr-CA"/>
        </w:rPr>
        <w:footnoteReference w:id="2"/>
      </w:r>
      <w:r w:rsidR="00B91619">
        <w:rPr>
          <w:lang w:val="fr-CA"/>
        </w:rPr>
        <w:t>;</w:t>
      </w:r>
    </w:p>
    <w:p w14:paraId="0416FABF" w14:textId="4BDEF4EF" w:rsidR="00B91619" w:rsidRPr="00FA558D" w:rsidRDefault="00AB7A63" w:rsidP="00B91619">
      <w:pPr>
        <w:pStyle w:val="ListParagraph"/>
        <w:numPr>
          <w:ilvl w:val="0"/>
          <w:numId w:val="2"/>
        </w:numPr>
        <w:tabs>
          <w:tab w:val="left" w:pos="9356"/>
        </w:tabs>
        <w:spacing w:after="0" w:line="240" w:lineRule="auto"/>
        <w:rPr>
          <w:lang w:val="fr-CA"/>
        </w:rPr>
      </w:pPr>
      <w:r>
        <w:rPr>
          <w:lang w:val="fr-CA"/>
        </w:rPr>
        <w:t xml:space="preserve">utilisation </w:t>
      </w:r>
      <w:r w:rsidR="00B91619">
        <w:rPr>
          <w:lang w:val="fr-CA"/>
        </w:rPr>
        <w:t>de formulaires où sont déjà indiqués les renseignements ou les données déjà accessibles pour le ministère,</w:t>
      </w:r>
      <w:r w:rsidR="00B91619" w:rsidRPr="00FA558D">
        <w:rPr>
          <w:lang w:val="fr-CA"/>
        </w:rPr>
        <w:t xml:space="preserve"> </w:t>
      </w:r>
      <w:r w:rsidR="00B91619">
        <w:rPr>
          <w:lang w:val="fr-CA"/>
        </w:rPr>
        <w:t>afin de</w:t>
      </w:r>
      <w:r w:rsidR="00B91619" w:rsidRPr="00FA558D">
        <w:rPr>
          <w:lang w:val="fr-CA"/>
        </w:rPr>
        <w:t xml:space="preserve"> </w:t>
      </w:r>
      <w:r w:rsidR="00B91619">
        <w:rPr>
          <w:lang w:val="fr-CA"/>
        </w:rPr>
        <w:t xml:space="preserve">réduire l’investissement de temps </w:t>
      </w:r>
      <w:r>
        <w:rPr>
          <w:lang w:val="fr-CA"/>
        </w:rPr>
        <w:t xml:space="preserve">et </w:t>
      </w:r>
      <w:r w:rsidR="00B91619">
        <w:rPr>
          <w:lang w:val="fr-CA"/>
        </w:rPr>
        <w:t>d’argent requis pour remplir les formulaires;</w:t>
      </w:r>
    </w:p>
    <w:p w14:paraId="009E368D" w14:textId="4367466C" w:rsidR="00B91619" w:rsidRPr="00FA558D" w:rsidRDefault="00B91619" w:rsidP="00B91619">
      <w:pPr>
        <w:pStyle w:val="ListParagraph"/>
        <w:numPr>
          <w:ilvl w:val="0"/>
          <w:numId w:val="2"/>
        </w:numPr>
        <w:tabs>
          <w:tab w:val="left" w:pos="9356"/>
        </w:tabs>
        <w:spacing w:after="0" w:line="240" w:lineRule="auto"/>
        <w:rPr>
          <w:lang w:val="fr-CA"/>
        </w:rPr>
      </w:pPr>
      <w:r>
        <w:rPr>
          <w:lang w:val="fr-CA"/>
        </w:rPr>
        <w:t>collecte électronique ou en ligne de rapports et de données, y compris la validation et la confirmation électroniques de réception des rapports;</w:t>
      </w:r>
    </w:p>
    <w:p w14:paraId="509F656F" w14:textId="27995261" w:rsidR="00B91619" w:rsidRPr="00FA558D" w:rsidRDefault="00AB7A63" w:rsidP="00B91619">
      <w:pPr>
        <w:pStyle w:val="ListParagraph"/>
        <w:numPr>
          <w:ilvl w:val="0"/>
          <w:numId w:val="2"/>
        </w:numPr>
        <w:tabs>
          <w:tab w:val="left" w:pos="9356"/>
        </w:tabs>
        <w:spacing w:after="0" w:line="240" w:lineRule="auto"/>
        <w:rPr>
          <w:lang w:val="fr-CA"/>
        </w:rPr>
      </w:pPr>
      <w:r>
        <w:rPr>
          <w:lang w:val="fr-CA"/>
        </w:rPr>
        <w:t>adoption</w:t>
      </w:r>
      <w:r w:rsidR="00B91619">
        <w:rPr>
          <w:lang w:val="fr-CA"/>
        </w:rPr>
        <w:t xml:space="preserve"> de méthodes compatibles avec les processus d’affaires généralement acceptés ou les normes internationales, si </w:t>
      </w:r>
      <w:r w:rsidR="00B91619" w:rsidRPr="00FA558D">
        <w:rPr>
          <w:lang w:val="fr-CA"/>
        </w:rPr>
        <w:t>possible</w:t>
      </w:r>
      <w:r w:rsidR="00B91619">
        <w:rPr>
          <w:lang w:val="fr-CA"/>
        </w:rPr>
        <w:t>.</w:t>
      </w:r>
    </w:p>
    <w:p w14:paraId="0E034598" w14:textId="77777777" w:rsidR="00B91619" w:rsidRPr="00FA558D" w:rsidRDefault="00B91619" w:rsidP="00B91619">
      <w:pPr>
        <w:tabs>
          <w:tab w:val="left" w:pos="9356"/>
        </w:tabs>
        <w:spacing w:after="0" w:line="240" w:lineRule="auto"/>
        <w:rPr>
          <w:lang w:val="fr-CA"/>
        </w:rPr>
      </w:pPr>
    </w:p>
    <w:p w14:paraId="2E91973C" w14:textId="77777777" w:rsidR="00B91619" w:rsidRPr="00FA558D" w:rsidRDefault="00B91619" w:rsidP="00B91619">
      <w:pPr>
        <w:pStyle w:val="Heading3"/>
        <w:numPr>
          <w:ilvl w:val="2"/>
          <w:numId w:val="27"/>
        </w:numPr>
        <w:ind w:left="720" w:hanging="720"/>
        <w:rPr>
          <w:lang w:val="fr-CA"/>
        </w:rPr>
      </w:pPr>
      <w:bookmarkStart w:id="33" w:name="_Toc69891062"/>
      <w:r>
        <w:rPr>
          <w:lang w:val="fr-CA"/>
        </w:rPr>
        <w:t>Exigences plus souples pour les petites entreprises</w:t>
      </w:r>
      <w:r w:rsidRPr="00FA558D">
        <w:rPr>
          <w:lang w:val="fr-CA"/>
        </w:rPr>
        <w:t xml:space="preserve"> (</w:t>
      </w:r>
      <w:r>
        <w:rPr>
          <w:lang w:val="fr-CA"/>
        </w:rPr>
        <w:t>sous-s</w:t>
      </w:r>
      <w:r w:rsidRPr="00FA558D">
        <w:rPr>
          <w:lang w:val="fr-CA"/>
        </w:rPr>
        <w:t>ection 8.2.5)</w:t>
      </w:r>
      <w:bookmarkEnd w:id="33"/>
    </w:p>
    <w:p w14:paraId="2263A96C" w14:textId="77777777" w:rsidR="00B91619" w:rsidRPr="00FA558D" w:rsidRDefault="00B91619" w:rsidP="00B91619">
      <w:pPr>
        <w:tabs>
          <w:tab w:val="left" w:pos="9356"/>
        </w:tabs>
        <w:spacing w:after="0" w:line="240" w:lineRule="auto"/>
        <w:rPr>
          <w:lang w:val="fr-CA"/>
        </w:rPr>
      </w:pPr>
    </w:p>
    <w:p w14:paraId="646758CB" w14:textId="3FFA1EB1" w:rsidR="00B91619" w:rsidRPr="00FA558D" w:rsidRDefault="00B91619" w:rsidP="00B91619">
      <w:pPr>
        <w:tabs>
          <w:tab w:val="left" w:pos="9356"/>
        </w:tabs>
        <w:spacing w:after="0" w:line="240" w:lineRule="auto"/>
        <w:rPr>
          <w:lang w:val="fr-CA"/>
        </w:rPr>
      </w:pPr>
      <w:r>
        <w:rPr>
          <w:lang w:val="fr-CA"/>
        </w:rPr>
        <w:t>En plus de</w:t>
      </w:r>
      <w:r w:rsidRPr="00FA558D">
        <w:rPr>
          <w:lang w:val="fr-CA"/>
        </w:rPr>
        <w:t xml:space="preserve"> </w:t>
      </w:r>
      <w:r>
        <w:rPr>
          <w:lang w:val="fr-CA"/>
        </w:rPr>
        <w:t>formuler le règlement</w:t>
      </w:r>
      <w:r w:rsidRPr="00FA558D">
        <w:rPr>
          <w:lang w:val="fr-CA"/>
        </w:rPr>
        <w:t xml:space="preserve"> </w:t>
      </w:r>
      <w:r>
        <w:rPr>
          <w:lang w:val="fr-CA"/>
        </w:rPr>
        <w:t>afin qu’il soit adapté aux besoins des</w:t>
      </w:r>
      <w:r w:rsidRPr="00FA558D">
        <w:rPr>
          <w:lang w:val="fr-CA"/>
        </w:rPr>
        <w:t xml:space="preserve"> </w:t>
      </w:r>
      <w:r>
        <w:rPr>
          <w:lang w:val="fr-CA"/>
        </w:rPr>
        <w:t>petites entreprises, les organismes de réglementation</w:t>
      </w:r>
      <w:r w:rsidRPr="00FA558D">
        <w:rPr>
          <w:lang w:val="fr-CA"/>
        </w:rPr>
        <w:t xml:space="preserve"> </w:t>
      </w:r>
      <w:r>
        <w:rPr>
          <w:lang w:val="fr-CA"/>
        </w:rPr>
        <w:t xml:space="preserve">peuvent aussi proposer des exigences alternatives relatives à la </w:t>
      </w:r>
      <w:r w:rsidRPr="00FA558D">
        <w:rPr>
          <w:lang w:val="fr-CA"/>
        </w:rPr>
        <w:t>co</w:t>
      </w:r>
      <w:r>
        <w:rPr>
          <w:lang w:val="fr-CA"/>
        </w:rPr>
        <w:t>nformité ou à l’administration pour apporter plus de souplesse</w:t>
      </w:r>
      <w:r w:rsidRPr="00FA558D">
        <w:rPr>
          <w:lang w:val="fr-CA"/>
        </w:rPr>
        <w:t xml:space="preserve"> </w:t>
      </w:r>
      <w:r>
        <w:rPr>
          <w:lang w:val="fr-CA"/>
        </w:rPr>
        <w:t>aux</w:t>
      </w:r>
      <w:r w:rsidRPr="00FA558D">
        <w:rPr>
          <w:lang w:val="fr-CA"/>
        </w:rPr>
        <w:t xml:space="preserve"> </w:t>
      </w:r>
      <w:r>
        <w:rPr>
          <w:lang w:val="fr-CA"/>
        </w:rPr>
        <w:t>petites entreprises</w:t>
      </w:r>
      <w:r w:rsidRPr="00FA558D">
        <w:rPr>
          <w:lang w:val="fr-CA"/>
        </w:rPr>
        <w:t xml:space="preserve">. </w:t>
      </w:r>
      <w:r w:rsidR="00AB7A63">
        <w:rPr>
          <w:lang w:val="fr-CA"/>
        </w:rPr>
        <w:t>Ces exigences plus souples</w:t>
      </w:r>
      <w:r>
        <w:rPr>
          <w:lang w:val="fr-CA"/>
        </w:rPr>
        <w:t xml:space="preserve"> ne doi</w:t>
      </w:r>
      <w:r w:rsidR="00AB7A63">
        <w:rPr>
          <w:lang w:val="fr-CA"/>
        </w:rPr>
        <w:t>ven</w:t>
      </w:r>
      <w:r>
        <w:rPr>
          <w:lang w:val="fr-CA"/>
        </w:rPr>
        <w:t>t pas nécessairement se limiter aux petites entreprises, et peu</w:t>
      </w:r>
      <w:r w:rsidR="00AB7A63">
        <w:rPr>
          <w:lang w:val="fr-CA"/>
        </w:rPr>
        <w:t>ven</w:t>
      </w:r>
      <w:r>
        <w:rPr>
          <w:lang w:val="fr-CA"/>
        </w:rPr>
        <w:t>t aussi être</w:t>
      </w:r>
      <w:r w:rsidRPr="00FA558D">
        <w:rPr>
          <w:lang w:val="fr-CA"/>
        </w:rPr>
        <w:t xml:space="preserve"> pro</w:t>
      </w:r>
      <w:r>
        <w:rPr>
          <w:lang w:val="fr-CA"/>
        </w:rPr>
        <w:t>posée</w:t>
      </w:r>
      <w:r w:rsidR="00AB7A63">
        <w:rPr>
          <w:lang w:val="fr-CA"/>
        </w:rPr>
        <w:t>s</w:t>
      </w:r>
      <w:r>
        <w:rPr>
          <w:lang w:val="fr-CA"/>
        </w:rPr>
        <w:t xml:space="preserve"> aux entreprises de toutes les dimensions</w:t>
      </w:r>
      <w:r w:rsidRPr="00FA558D">
        <w:rPr>
          <w:lang w:val="fr-CA"/>
        </w:rPr>
        <w:t xml:space="preserve">. </w:t>
      </w:r>
      <w:r>
        <w:rPr>
          <w:lang w:val="fr-CA"/>
        </w:rPr>
        <w:t xml:space="preserve">Les </w:t>
      </w:r>
      <w:r w:rsidRPr="00FA558D">
        <w:rPr>
          <w:lang w:val="fr-CA"/>
        </w:rPr>
        <w:t xml:space="preserve">options </w:t>
      </w:r>
      <w:r>
        <w:rPr>
          <w:lang w:val="fr-CA"/>
        </w:rPr>
        <w:t>devraient être</w:t>
      </w:r>
      <w:r w:rsidRPr="00FA558D">
        <w:rPr>
          <w:lang w:val="fr-CA"/>
        </w:rPr>
        <w:t xml:space="preserve"> d</w:t>
      </w:r>
      <w:r>
        <w:rPr>
          <w:lang w:val="fr-CA"/>
        </w:rPr>
        <w:t xml:space="preserve">écrites en détail dans la section du REIR portant sur la </w:t>
      </w:r>
      <w:r w:rsidR="00827BD1">
        <w:rPr>
          <w:lang w:val="fr-CA"/>
        </w:rPr>
        <w:t>lentille</w:t>
      </w:r>
      <w:r>
        <w:rPr>
          <w:lang w:val="fr-CA"/>
        </w:rPr>
        <w:t xml:space="preserve"> des petites entreprises</w:t>
      </w:r>
      <w:r w:rsidRPr="00FA558D">
        <w:rPr>
          <w:lang w:val="fr-CA"/>
        </w:rPr>
        <w:t xml:space="preserve">. </w:t>
      </w:r>
    </w:p>
    <w:p w14:paraId="6BC6454D" w14:textId="77777777" w:rsidR="00B91619" w:rsidRPr="00FA558D" w:rsidRDefault="00B91619" w:rsidP="00B91619">
      <w:pPr>
        <w:tabs>
          <w:tab w:val="left" w:pos="9356"/>
        </w:tabs>
        <w:spacing w:after="0" w:line="240" w:lineRule="auto"/>
        <w:rPr>
          <w:lang w:val="fr-CA"/>
        </w:rPr>
      </w:pPr>
    </w:p>
    <w:p w14:paraId="305D87D8" w14:textId="4B382F1C" w:rsidR="00B91619" w:rsidRPr="00FA558D" w:rsidRDefault="00B91619" w:rsidP="00B91619">
      <w:pPr>
        <w:tabs>
          <w:tab w:val="left" w:pos="9356"/>
        </w:tabs>
        <w:spacing w:after="0" w:line="240" w:lineRule="auto"/>
        <w:rPr>
          <w:lang w:val="fr-CA"/>
        </w:rPr>
      </w:pPr>
      <w:r w:rsidRPr="00FA558D">
        <w:rPr>
          <w:lang w:val="fr-CA"/>
        </w:rPr>
        <w:t>I</w:t>
      </w:r>
      <w:r>
        <w:rPr>
          <w:lang w:val="fr-CA"/>
        </w:rPr>
        <w:t xml:space="preserve">l est reconnu que dans certaines </w:t>
      </w:r>
      <w:r w:rsidRPr="00FA558D">
        <w:rPr>
          <w:lang w:val="fr-CA"/>
        </w:rPr>
        <w:t>situations</w:t>
      </w:r>
      <w:r>
        <w:rPr>
          <w:lang w:val="fr-CA"/>
        </w:rPr>
        <w:t>, une telle souplesse n’est pas recommandée ou impossible, par exemple lorsque la loi habilitante définit un pouvoir de réglementation étroit ou prescriptif. Dans une telle situation, il revient aux organismes de réglementation d’expliquer</w:t>
      </w:r>
      <w:r w:rsidRPr="00FA558D">
        <w:rPr>
          <w:lang w:val="fr-CA"/>
        </w:rPr>
        <w:t xml:space="preserve"> </w:t>
      </w:r>
      <w:r>
        <w:rPr>
          <w:lang w:val="fr-CA"/>
        </w:rPr>
        <w:t>ces</w:t>
      </w:r>
      <w:r w:rsidRPr="00FA558D">
        <w:rPr>
          <w:lang w:val="fr-CA"/>
        </w:rPr>
        <w:t xml:space="preserve"> </w:t>
      </w:r>
      <w:r>
        <w:rPr>
          <w:lang w:val="fr-CA"/>
        </w:rPr>
        <w:t xml:space="preserve">motifs dans la section du REIR portant sur la </w:t>
      </w:r>
      <w:r w:rsidR="00827BD1">
        <w:rPr>
          <w:lang w:val="fr-CA"/>
        </w:rPr>
        <w:t>lentille</w:t>
      </w:r>
      <w:r>
        <w:rPr>
          <w:lang w:val="fr-CA"/>
        </w:rPr>
        <w:t xml:space="preserve"> des petites entreprises</w:t>
      </w:r>
      <w:r w:rsidRPr="00FA558D">
        <w:rPr>
          <w:lang w:val="fr-CA"/>
        </w:rPr>
        <w:t>.</w:t>
      </w:r>
    </w:p>
    <w:p w14:paraId="0F314077" w14:textId="77777777" w:rsidR="00B91619" w:rsidRPr="00FA558D" w:rsidRDefault="00B91619" w:rsidP="00B91619">
      <w:pPr>
        <w:tabs>
          <w:tab w:val="left" w:pos="9356"/>
        </w:tabs>
        <w:spacing w:after="0" w:line="240" w:lineRule="auto"/>
        <w:rPr>
          <w:lang w:val="fr-CA"/>
        </w:rPr>
      </w:pPr>
    </w:p>
    <w:p w14:paraId="6F82C448" w14:textId="77777777" w:rsidR="00B91619" w:rsidRPr="00FA558D" w:rsidRDefault="00B91619" w:rsidP="00B91619">
      <w:pPr>
        <w:pStyle w:val="Heading3"/>
        <w:numPr>
          <w:ilvl w:val="2"/>
          <w:numId w:val="27"/>
        </w:numPr>
        <w:ind w:left="720" w:hanging="720"/>
        <w:rPr>
          <w:lang w:val="fr-CA"/>
        </w:rPr>
      </w:pPr>
      <w:bookmarkStart w:id="34" w:name="_Toc69891063"/>
      <w:r>
        <w:rPr>
          <w:lang w:val="fr-CA"/>
        </w:rPr>
        <w:t>Calcul des coûts administratifs et de conformité</w:t>
      </w:r>
      <w:r w:rsidRPr="00FA558D">
        <w:rPr>
          <w:lang w:val="fr-CA"/>
        </w:rPr>
        <w:t xml:space="preserve"> (</w:t>
      </w:r>
      <w:r>
        <w:rPr>
          <w:lang w:val="fr-CA"/>
        </w:rPr>
        <w:t>sous-s</w:t>
      </w:r>
      <w:r w:rsidRPr="00FA558D">
        <w:rPr>
          <w:lang w:val="fr-CA"/>
        </w:rPr>
        <w:t>ection 8.2.6)</w:t>
      </w:r>
      <w:bookmarkEnd w:id="34"/>
    </w:p>
    <w:p w14:paraId="06B1010F" w14:textId="77777777" w:rsidR="00B91619" w:rsidRPr="00FA558D" w:rsidRDefault="00B91619" w:rsidP="00B91619">
      <w:pPr>
        <w:tabs>
          <w:tab w:val="left" w:pos="9356"/>
        </w:tabs>
        <w:spacing w:after="0" w:line="240" w:lineRule="auto"/>
        <w:rPr>
          <w:lang w:val="fr-CA"/>
        </w:rPr>
      </w:pPr>
    </w:p>
    <w:p w14:paraId="4F825C83" w14:textId="797842C4" w:rsidR="00B91619" w:rsidRPr="00FA558D" w:rsidRDefault="00B91619" w:rsidP="00B91619">
      <w:pPr>
        <w:tabs>
          <w:tab w:val="left" w:pos="9356"/>
        </w:tabs>
        <w:spacing w:after="0" w:line="240" w:lineRule="auto"/>
        <w:rPr>
          <w:lang w:val="fr-CA"/>
        </w:rPr>
      </w:pPr>
      <w:r>
        <w:rPr>
          <w:lang w:val="fr-CA"/>
        </w:rPr>
        <w:t>Les coûts administratifs et de conformité</w:t>
      </w:r>
      <w:r w:rsidRPr="00FA558D">
        <w:rPr>
          <w:lang w:val="fr-CA"/>
        </w:rPr>
        <w:t xml:space="preserve"> </w:t>
      </w:r>
      <w:r>
        <w:rPr>
          <w:lang w:val="fr-CA"/>
        </w:rPr>
        <w:t>pour les</w:t>
      </w:r>
      <w:r w:rsidRPr="00FA558D">
        <w:rPr>
          <w:lang w:val="fr-CA"/>
        </w:rPr>
        <w:t xml:space="preserve"> </w:t>
      </w:r>
      <w:r>
        <w:rPr>
          <w:lang w:val="fr-CA"/>
        </w:rPr>
        <w:t>petites entreprises</w:t>
      </w:r>
      <w:r w:rsidRPr="00FA558D">
        <w:rPr>
          <w:lang w:val="fr-CA"/>
        </w:rPr>
        <w:t xml:space="preserve"> </w:t>
      </w:r>
      <w:r>
        <w:rPr>
          <w:lang w:val="fr-CA"/>
        </w:rPr>
        <w:t>doivent être calculés pour les</w:t>
      </w:r>
      <w:r w:rsidRPr="00FA558D">
        <w:rPr>
          <w:lang w:val="fr-CA"/>
        </w:rPr>
        <w:t xml:space="preserve"> </w:t>
      </w:r>
      <w:r>
        <w:rPr>
          <w:lang w:val="fr-CA"/>
        </w:rPr>
        <w:t>projet</w:t>
      </w:r>
      <w:r w:rsidRPr="00FA558D">
        <w:rPr>
          <w:lang w:val="fr-CA"/>
        </w:rPr>
        <w:t>s</w:t>
      </w:r>
      <w:r>
        <w:rPr>
          <w:lang w:val="fr-CA"/>
        </w:rPr>
        <w:t xml:space="preserve"> </w:t>
      </w:r>
      <w:r w:rsidR="00A9277E">
        <w:rPr>
          <w:lang w:val="fr-CA"/>
        </w:rPr>
        <w:t xml:space="preserve">qui </w:t>
      </w:r>
      <w:r>
        <w:rPr>
          <w:lang w:val="fr-CA"/>
        </w:rPr>
        <w:t>ont un coût significatif</w:t>
      </w:r>
      <w:r w:rsidRPr="00FA558D">
        <w:rPr>
          <w:lang w:val="fr-CA"/>
        </w:rPr>
        <w:t xml:space="preserve">. </w:t>
      </w:r>
      <w:r>
        <w:rPr>
          <w:lang w:val="fr-CA"/>
        </w:rPr>
        <w:t xml:space="preserve">Dans la pratique, cette </w:t>
      </w:r>
      <w:r w:rsidRPr="00FA558D">
        <w:rPr>
          <w:lang w:val="fr-CA"/>
        </w:rPr>
        <w:t xml:space="preserve">information </w:t>
      </w:r>
      <w:r>
        <w:rPr>
          <w:lang w:val="fr-CA"/>
        </w:rPr>
        <w:t>serait</w:t>
      </w:r>
      <w:r w:rsidRPr="00FA558D">
        <w:rPr>
          <w:lang w:val="fr-CA"/>
        </w:rPr>
        <w:t xml:space="preserve"> </w:t>
      </w:r>
      <w:r>
        <w:rPr>
          <w:lang w:val="fr-CA"/>
        </w:rPr>
        <w:t>é</w:t>
      </w:r>
      <w:r w:rsidR="00A9277E">
        <w:rPr>
          <w:lang w:val="fr-CA"/>
        </w:rPr>
        <w:t>tayée</w:t>
      </w:r>
      <w:r>
        <w:rPr>
          <w:lang w:val="fr-CA"/>
        </w:rPr>
        <w:t xml:space="preserve"> dans le cadre de </w:t>
      </w:r>
      <w:r>
        <w:rPr>
          <w:lang w:val="fr-CA"/>
        </w:rPr>
        <w:lastRenderedPageBreak/>
        <w:t>l’analyse coût</w:t>
      </w:r>
      <w:r w:rsidR="00AB7A63">
        <w:rPr>
          <w:lang w:val="fr-CA"/>
        </w:rPr>
        <w:t>s</w:t>
      </w:r>
      <w:r w:rsidR="00AB7A63">
        <w:rPr>
          <w:lang w:val="fr-CA"/>
        </w:rPr>
        <w:noBreakHyphen/>
        <w:t>avantages</w:t>
      </w:r>
      <w:r w:rsidRPr="00FA558D">
        <w:rPr>
          <w:lang w:val="fr-CA"/>
        </w:rPr>
        <w:t xml:space="preserve"> </w:t>
      </w:r>
      <w:r>
        <w:rPr>
          <w:lang w:val="fr-CA"/>
        </w:rPr>
        <w:t>du projet</w:t>
      </w:r>
      <w:r w:rsidRPr="00FA558D">
        <w:rPr>
          <w:lang w:val="fr-CA"/>
        </w:rPr>
        <w:t xml:space="preserve">. </w:t>
      </w:r>
      <w:r>
        <w:rPr>
          <w:lang w:val="fr-CA"/>
        </w:rPr>
        <w:t xml:space="preserve">La section du REIR portant sur la </w:t>
      </w:r>
      <w:r w:rsidR="00827BD1">
        <w:rPr>
          <w:lang w:val="fr-CA"/>
        </w:rPr>
        <w:t>lentille</w:t>
      </w:r>
      <w:r>
        <w:rPr>
          <w:lang w:val="fr-CA"/>
        </w:rPr>
        <w:t xml:space="preserve"> des petites entreprises</w:t>
      </w:r>
      <w:r w:rsidRPr="00FA558D">
        <w:rPr>
          <w:lang w:val="fr-CA"/>
        </w:rPr>
        <w:t xml:space="preserve"> </w:t>
      </w:r>
      <w:r>
        <w:rPr>
          <w:lang w:val="fr-CA"/>
        </w:rPr>
        <w:t>devrait :</w:t>
      </w:r>
    </w:p>
    <w:p w14:paraId="5723F30B" w14:textId="15A64A93" w:rsidR="00B91619" w:rsidRPr="00FA558D" w:rsidRDefault="00B91619" w:rsidP="00B91619">
      <w:pPr>
        <w:pStyle w:val="ListParagraph"/>
        <w:numPr>
          <w:ilvl w:val="0"/>
          <w:numId w:val="23"/>
        </w:numPr>
        <w:tabs>
          <w:tab w:val="left" w:pos="9356"/>
        </w:tabs>
        <w:spacing w:after="0" w:line="240" w:lineRule="auto"/>
        <w:rPr>
          <w:lang w:val="fr-CA"/>
        </w:rPr>
      </w:pPr>
      <w:r>
        <w:rPr>
          <w:lang w:val="fr-CA"/>
        </w:rPr>
        <w:t>référer expressément aux coûts pour les petites entreprises</w:t>
      </w:r>
      <w:r w:rsidRPr="00FA558D">
        <w:rPr>
          <w:lang w:val="fr-CA"/>
        </w:rPr>
        <w:t xml:space="preserve"> </w:t>
      </w:r>
      <w:r>
        <w:rPr>
          <w:lang w:val="fr-CA"/>
        </w:rPr>
        <w:t>uniquement;</w:t>
      </w:r>
    </w:p>
    <w:p w14:paraId="192FC497" w14:textId="27879623" w:rsidR="00B91619" w:rsidRPr="00FA558D" w:rsidRDefault="00B91619" w:rsidP="00B91619">
      <w:pPr>
        <w:pStyle w:val="ListParagraph"/>
        <w:numPr>
          <w:ilvl w:val="0"/>
          <w:numId w:val="23"/>
        </w:numPr>
        <w:tabs>
          <w:tab w:val="left" w:pos="9356"/>
        </w:tabs>
        <w:spacing w:after="0" w:line="240" w:lineRule="auto"/>
        <w:rPr>
          <w:lang w:val="fr-CA"/>
        </w:rPr>
      </w:pPr>
      <w:r>
        <w:rPr>
          <w:lang w:val="fr-CA"/>
        </w:rPr>
        <w:t>renvoyer le lecteur</w:t>
      </w:r>
      <w:r w:rsidRPr="00FA558D">
        <w:rPr>
          <w:lang w:val="fr-CA"/>
        </w:rPr>
        <w:t xml:space="preserve"> </w:t>
      </w:r>
      <w:r>
        <w:rPr>
          <w:lang w:val="fr-CA"/>
        </w:rPr>
        <w:t>à l’analyse sur l’analyse coût</w:t>
      </w:r>
      <w:r w:rsidR="00AB7A63">
        <w:rPr>
          <w:lang w:val="fr-CA"/>
        </w:rPr>
        <w:t>s</w:t>
      </w:r>
      <w:r w:rsidR="00AB7A63">
        <w:rPr>
          <w:lang w:val="fr-CA"/>
        </w:rPr>
        <w:noBreakHyphen/>
        <w:t>avantages</w:t>
      </w:r>
      <w:r w:rsidRPr="00FA558D">
        <w:rPr>
          <w:lang w:val="fr-CA"/>
        </w:rPr>
        <w:t xml:space="preserve"> </w:t>
      </w:r>
      <w:r>
        <w:rPr>
          <w:lang w:val="fr-CA"/>
        </w:rPr>
        <w:t>pour en savoir plus.</w:t>
      </w:r>
    </w:p>
    <w:p w14:paraId="5895954B" w14:textId="77777777" w:rsidR="00B91619" w:rsidRPr="00FA558D" w:rsidRDefault="00B91619" w:rsidP="00B91619">
      <w:pPr>
        <w:tabs>
          <w:tab w:val="left" w:pos="9356"/>
        </w:tabs>
        <w:spacing w:after="0" w:line="240" w:lineRule="auto"/>
        <w:rPr>
          <w:lang w:val="fr-CA"/>
        </w:rPr>
      </w:pPr>
    </w:p>
    <w:p w14:paraId="7D8D402D" w14:textId="3F6E112B" w:rsidR="00B91619" w:rsidRPr="00FA558D" w:rsidRDefault="00B91619" w:rsidP="00B91619">
      <w:pPr>
        <w:spacing w:after="0" w:line="240" w:lineRule="auto"/>
        <w:rPr>
          <w:lang w:val="fr-CA"/>
        </w:rPr>
      </w:pPr>
      <w:r>
        <w:rPr>
          <w:lang w:val="fr-CA"/>
        </w:rPr>
        <w:t>Si les répercussions</w:t>
      </w:r>
      <w:r w:rsidRPr="00FA558D">
        <w:rPr>
          <w:lang w:val="fr-CA"/>
        </w:rPr>
        <w:t xml:space="preserve"> </w:t>
      </w:r>
      <w:r>
        <w:rPr>
          <w:lang w:val="fr-CA"/>
        </w:rPr>
        <w:t>sur les petites entreprises</w:t>
      </w:r>
      <w:r w:rsidRPr="00FA558D">
        <w:rPr>
          <w:lang w:val="fr-CA"/>
        </w:rPr>
        <w:t xml:space="preserve"> </w:t>
      </w:r>
      <w:r w:rsidR="00B4147F">
        <w:rPr>
          <w:lang w:val="fr-CA"/>
        </w:rPr>
        <w:t>d’</w:t>
      </w:r>
      <w:r>
        <w:rPr>
          <w:lang w:val="fr-CA"/>
        </w:rPr>
        <w:t>un projet dont les coûts</w:t>
      </w:r>
      <w:r w:rsidR="00A9277E">
        <w:rPr>
          <w:lang w:val="fr-CA"/>
        </w:rPr>
        <w:t xml:space="preserve"> sont</w:t>
      </w:r>
      <w:r>
        <w:rPr>
          <w:lang w:val="fr-CA"/>
        </w:rPr>
        <w:t xml:space="preserve"> significatifs sont calculées dans le cadre de l’analyse coût</w:t>
      </w:r>
      <w:r w:rsidR="000628AB">
        <w:rPr>
          <w:lang w:val="fr-CA"/>
        </w:rPr>
        <w:t>s</w:t>
      </w:r>
      <w:r w:rsidR="000628AB">
        <w:rPr>
          <w:lang w:val="fr-CA"/>
        </w:rPr>
        <w:noBreakHyphen/>
        <w:t>avantages</w:t>
      </w:r>
      <w:r w:rsidRPr="00FA558D">
        <w:rPr>
          <w:lang w:val="fr-CA"/>
        </w:rPr>
        <w:t xml:space="preserve">, </w:t>
      </w:r>
      <w:r>
        <w:rPr>
          <w:lang w:val="fr-CA"/>
        </w:rPr>
        <w:t>les données chiffrées devraient être</w:t>
      </w:r>
      <w:r w:rsidRPr="00FA558D">
        <w:rPr>
          <w:lang w:val="fr-CA"/>
        </w:rPr>
        <w:t xml:space="preserve"> expr</w:t>
      </w:r>
      <w:r>
        <w:rPr>
          <w:lang w:val="fr-CA"/>
        </w:rPr>
        <w:t>imées pour la même année de base que l’analyse coût</w:t>
      </w:r>
      <w:r w:rsidR="00A155C4">
        <w:rPr>
          <w:lang w:val="fr-CA"/>
        </w:rPr>
        <w:t>s</w:t>
      </w:r>
      <w:r w:rsidR="00A155C4">
        <w:rPr>
          <w:lang w:val="fr-CA"/>
        </w:rPr>
        <w:noBreakHyphen/>
        <w:t>avantages</w:t>
      </w:r>
      <w:r w:rsidRPr="00FA558D">
        <w:rPr>
          <w:lang w:val="fr-CA"/>
        </w:rPr>
        <w:t>,</w:t>
      </w:r>
      <w:r>
        <w:rPr>
          <w:lang w:val="fr-CA"/>
        </w:rPr>
        <w:t xml:space="preserve"> et l’année de base</w:t>
      </w:r>
      <w:r w:rsidRPr="00FA558D">
        <w:rPr>
          <w:lang w:val="fr-CA"/>
        </w:rPr>
        <w:t xml:space="preserve"> </w:t>
      </w:r>
      <w:r>
        <w:rPr>
          <w:lang w:val="fr-CA"/>
        </w:rPr>
        <w:t>doit être i</w:t>
      </w:r>
      <w:r w:rsidR="00A155C4">
        <w:rPr>
          <w:lang w:val="fr-CA"/>
        </w:rPr>
        <w:t>ndiqu</w:t>
      </w:r>
      <w:r>
        <w:rPr>
          <w:lang w:val="fr-CA"/>
        </w:rPr>
        <w:t xml:space="preserve">ée en termes </w:t>
      </w:r>
      <w:r w:rsidRPr="00FA558D">
        <w:rPr>
          <w:lang w:val="fr-CA"/>
        </w:rPr>
        <w:t>explicit</w:t>
      </w:r>
      <w:r>
        <w:rPr>
          <w:lang w:val="fr-CA"/>
        </w:rPr>
        <w:t xml:space="preserve">es dans la section sur la </w:t>
      </w:r>
      <w:r w:rsidR="00827BD1">
        <w:rPr>
          <w:lang w:val="fr-CA"/>
        </w:rPr>
        <w:t>lentille</w:t>
      </w:r>
      <w:r>
        <w:rPr>
          <w:lang w:val="fr-CA"/>
        </w:rPr>
        <w:t xml:space="preserve"> des petites entreprises</w:t>
      </w:r>
      <w:r w:rsidRPr="00FA558D">
        <w:rPr>
          <w:lang w:val="fr-CA"/>
        </w:rPr>
        <w:t>.</w:t>
      </w:r>
      <w:r w:rsidRPr="00FA558D">
        <w:rPr>
          <w:strike/>
          <w:lang w:val="fr-CA"/>
        </w:rPr>
        <w:t xml:space="preserve"> </w:t>
      </w:r>
    </w:p>
    <w:p w14:paraId="2EE3E7B3" w14:textId="77777777" w:rsidR="00B91619" w:rsidRPr="00FA558D" w:rsidRDefault="00B91619" w:rsidP="00B91619">
      <w:pPr>
        <w:spacing w:after="0" w:line="240" w:lineRule="auto"/>
        <w:rPr>
          <w:lang w:val="fr-CA"/>
        </w:rPr>
      </w:pPr>
    </w:p>
    <w:p w14:paraId="783C8056" w14:textId="17DBD86F" w:rsidR="00B91619" w:rsidRPr="00FA558D" w:rsidRDefault="00B91619" w:rsidP="00B91619">
      <w:pPr>
        <w:spacing w:after="0" w:line="240" w:lineRule="auto"/>
        <w:rPr>
          <w:lang w:val="fr-CA"/>
        </w:rPr>
      </w:pPr>
      <w:r>
        <w:rPr>
          <w:lang w:val="fr-CA"/>
        </w:rPr>
        <w:t xml:space="preserve">Pour les </w:t>
      </w:r>
      <w:r w:rsidR="00EF7655" w:rsidRPr="00EF7655">
        <w:rPr>
          <w:lang w:val="fr-CA"/>
        </w:rPr>
        <w:t xml:space="preserve">projets de règlement qui génèrent des coûts </w:t>
      </w:r>
      <w:r>
        <w:rPr>
          <w:lang w:val="fr-CA"/>
        </w:rPr>
        <w:t>faibles, l’analyse coût</w:t>
      </w:r>
      <w:r w:rsidR="00A155C4">
        <w:rPr>
          <w:lang w:val="fr-CA"/>
        </w:rPr>
        <w:t>s</w:t>
      </w:r>
      <w:r w:rsidR="00A155C4">
        <w:rPr>
          <w:lang w:val="fr-CA"/>
        </w:rPr>
        <w:noBreakHyphen/>
        <w:t>avantages</w:t>
      </w:r>
      <w:r>
        <w:rPr>
          <w:lang w:val="fr-CA"/>
        </w:rPr>
        <w:t xml:space="preserve"> n’est pas</w:t>
      </w:r>
      <w:r w:rsidRPr="00FA558D">
        <w:rPr>
          <w:lang w:val="fr-CA"/>
        </w:rPr>
        <w:t xml:space="preserve"> </w:t>
      </w:r>
      <w:r>
        <w:rPr>
          <w:lang w:val="fr-CA"/>
        </w:rPr>
        <w:t>obligatoire. Cependant, si des données quantitatives et monét</w:t>
      </w:r>
      <w:r w:rsidR="00A155C4">
        <w:rPr>
          <w:lang w:val="fr-CA"/>
        </w:rPr>
        <w:t>isées</w:t>
      </w:r>
      <w:r>
        <w:rPr>
          <w:lang w:val="fr-CA"/>
        </w:rPr>
        <w:t xml:space="preserve"> existent sur les répercussions sur les petites entreprises, les organismes de réglementation</w:t>
      </w:r>
      <w:r w:rsidRPr="00FA558D">
        <w:rPr>
          <w:lang w:val="fr-CA"/>
        </w:rPr>
        <w:t xml:space="preserve"> </w:t>
      </w:r>
      <w:r>
        <w:rPr>
          <w:lang w:val="fr-CA"/>
        </w:rPr>
        <w:t>peuvent utiliser le Calculateur des coûts réglementaires du SCT ou un autre outil pour</w:t>
      </w:r>
      <w:r w:rsidR="00A9277E">
        <w:rPr>
          <w:lang w:val="fr-CA"/>
        </w:rPr>
        <w:t xml:space="preserve"> </w:t>
      </w:r>
      <w:r w:rsidR="00A155C4">
        <w:rPr>
          <w:lang w:val="fr-CA"/>
        </w:rPr>
        <w:t xml:space="preserve">établir </w:t>
      </w:r>
      <w:r>
        <w:rPr>
          <w:lang w:val="fr-CA"/>
        </w:rPr>
        <w:t xml:space="preserve">leurs estimations des coûts </w:t>
      </w:r>
      <w:r w:rsidRPr="00FA558D">
        <w:rPr>
          <w:lang w:val="fr-CA"/>
        </w:rPr>
        <w:t>administrati</w:t>
      </w:r>
      <w:r>
        <w:rPr>
          <w:lang w:val="fr-CA"/>
        </w:rPr>
        <w:t xml:space="preserve">fs et de </w:t>
      </w:r>
      <w:r w:rsidRPr="00FA558D">
        <w:rPr>
          <w:lang w:val="fr-CA"/>
        </w:rPr>
        <w:t>co</w:t>
      </w:r>
      <w:r>
        <w:rPr>
          <w:lang w:val="fr-CA"/>
        </w:rPr>
        <w:t xml:space="preserve">nformité. Les justificatifs </w:t>
      </w:r>
      <w:r w:rsidR="00A155C4">
        <w:rPr>
          <w:lang w:val="fr-CA"/>
        </w:rPr>
        <w:t>à l’appui d</w:t>
      </w:r>
      <w:r>
        <w:rPr>
          <w:lang w:val="fr-CA"/>
        </w:rPr>
        <w:t>es calcul</w:t>
      </w:r>
      <w:r w:rsidRPr="00FA558D">
        <w:rPr>
          <w:lang w:val="fr-CA"/>
        </w:rPr>
        <w:t xml:space="preserve">s, </w:t>
      </w:r>
      <w:r>
        <w:rPr>
          <w:lang w:val="fr-CA"/>
        </w:rPr>
        <w:t>incluant</w:t>
      </w:r>
      <w:r w:rsidRPr="00FA558D">
        <w:rPr>
          <w:lang w:val="fr-CA"/>
        </w:rPr>
        <w:t xml:space="preserve"> </w:t>
      </w:r>
      <w:r>
        <w:rPr>
          <w:lang w:val="fr-CA"/>
        </w:rPr>
        <w:t>le modèle, les données et les hypothèse</w:t>
      </w:r>
      <w:r w:rsidRPr="00FA558D">
        <w:rPr>
          <w:lang w:val="fr-CA"/>
        </w:rPr>
        <w:t xml:space="preserve">s, </w:t>
      </w:r>
      <w:r>
        <w:rPr>
          <w:lang w:val="fr-CA"/>
        </w:rPr>
        <w:t xml:space="preserve">doivent être </w:t>
      </w:r>
      <w:r w:rsidRPr="00FA558D">
        <w:rPr>
          <w:lang w:val="fr-CA"/>
        </w:rPr>
        <w:t>pr</w:t>
      </w:r>
      <w:r>
        <w:rPr>
          <w:lang w:val="fr-CA"/>
        </w:rPr>
        <w:t>ésentés au SCT</w:t>
      </w:r>
      <w:r w:rsidRPr="00FA558D">
        <w:rPr>
          <w:lang w:val="fr-CA"/>
        </w:rPr>
        <w:t xml:space="preserve">. </w:t>
      </w:r>
      <w:r>
        <w:rPr>
          <w:lang w:val="fr-CA"/>
        </w:rPr>
        <w:t>L’année de base</w:t>
      </w:r>
      <w:r w:rsidRPr="00FA558D">
        <w:rPr>
          <w:lang w:val="fr-CA"/>
        </w:rPr>
        <w:t xml:space="preserve"> </w:t>
      </w:r>
      <w:r>
        <w:rPr>
          <w:lang w:val="fr-CA"/>
        </w:rPr>
        <w:t xml:space="preserve">pour l’estimation des répercussions des coûts de la </w:t>
      </w:r>
      <w:r w:rsidR="00827BD1">
        <w:rPr>
          <w:lang w:val="fr-CA"/>
        </w:rPr>
        <w:t>lentille</w:t>
      </w:r>
      <w:r>
        <w:rPr>
          <w:lang w:val="fr-CA"/>
        </w:rPr>
        <w:t xml:space="preserve"> des petites entreprises</w:t>
      </w:r>
      <w:r w:rsidRPr="00FA558D">
        <w:rPr>
          <w:lang w:val="fr-CA"/>
        </w:rPr>
        <w:t xml:space="preserve"> </w:t>
      </w:r>
      <w:r>
        <w:rPr>
          <w:lang w:val="fr-CA"/>
        </w:rPr>
        <w:t>doit être clairement</w:t>
      </w:r>
      <w:r w:rsidRPr="00FA558D">
        <w:rPr>
          <w:lang w:val="fr-CA"/>
        </w:rPr>
        <w:t xml:space="preserve"> </w:t>
      </w:r>
      <w:r>
        <w:rPr>
          <w:lang w:val="fr-CA"/>
        </w:rPr>
        <w:t xml:space="preserve">énoncée dans la section du REIR portant sur la </w:t>
      </w:r>
      <w:r w:rsidR="00827BD1">
        <w:rPr>
          <w:lang w:val="fr-CA"/>
        </w:rPr>
        <w:t>lentille</w:t>
      </w:r>
      <w:r>
        <w:rPr>
          <w:lang w:val="fr-CA"/>
        </w:rPr>
        <w:t xml:space="preserve"> des petites entreprises</w:t>
      </w:r>
      <w:r w:rsidRPr="00FA558D">
        <w:rPr>
          <w:lang w:val="fr-CA"/>
        </w:rPr>
        <w:t xml:space="preserve">. </w:t>
      </w:r>
    </w:p>
    <w:p w14:paraId="441459EE" w14:textId="77777777" w:rsidR="00B91619" w:rsidRPr="00FA558D" w:rsidRDefault="00B91619" w:rsidP="00B91619">
      <w:pPr>
        <w:tabs>
          <w:tab w:val="left" w:pos="9356"/>
        </w:tabs>
        <w:spacing w:after="0" w:line="240" w:lineRule="auto"/>
        <w:rPr>
          <w:lang w:val="fr-CA"/>
        </w:rPr>
      </w:pPr>
    </w:p>
    <w:p w14:paraId="5BCACE82" w14:textId="64A0A3C0" w:rsidR="00B91619" w:rsidRPr="00FA558D" w:rsidRDefault="00B91619" w:rsidP="00B91619">
      <w:pPr>
        <w:pStyle w:val="Heading3"/>
        <w:numPr>
          <w:ilvl w:val="2"/>
          <w:numId w:val="27"/>
        </w:numPr>
        <w:ind w:left="720" w:hanging="720"/>
        <w:rPr>
          <w:lang w:val="fr-CA"/>
        </w:rPr>
      </w:pPr>
      <w:bookmarkStart w:id="35" w:name="_Toc69891064"/>
      <w:r>
        <w:rPr>
          <w:lang w:val="fr-CA"/>
        </w:rPr>
        <w:t xml:space="preserve">Exigences liées aux résumés de l’étude d’impact de la réglementation </w:t>
      </w:r>
      <w:r w:rsidRPr="00FA558D">
        <w:rPr>
          <w:lang w:val="fr-CA"/>
        </w:rPr>
        <w:t>(</w:t>
      </w:r>
      <w:r>
        <w:rPr>
          <w:lang w:val="fr-CA"/>
        </w:rPr>
        <w:t>sous</w:t>
      </w:r>
      <w:r w:rsidR="00A155C4">
        <w:rPr>
          <w:lang w:val="fr-CA"/>
        </w:rPr>
        <w:noBreakHyphen/>
      </w:r>
      <w:r>
        <w:rPr>
          <w:lang w:val="fr-CA"/>
        </w:rPr>
        <w:t>s</w:t>
      </w:r>
      <w:r w:rsidRPr="00FA558D">
        <w:rPr>
          <w:lang w:val="fr-CA"/>
        </w:rPr>
        <w:t>ection 8.2.7)</w:t>
      </w:r>
      <w:bookmarkEnd w:id="35"/>
    </w:p>
    <w:p w14:paraId="0E614345" w14:textId="77777777" w:rsidR="00B91619" w:rsidRPr="00FA558D" w:rsidRDefault="00B91619" w:rsidP="00B91619">
      <w:pPr>
        <w:tabs>
          <w:tab w:val="left" w:pos="9356"/>
        </w:tabs>
        <w:spacing w:after="0" w:line="240" w:lineRule="auto"/>
        <w:rPr>
          <w:lang w:val="fr-CA"/>
        </w:rPr>
      </w:pPr>
    </w:p>
    <w:p w14:paraId="445E7313" w14:textId="640021ED" w:rsidR="00B91619" w:rsidRPr="00FA558D" w:rsidRDefault="00B91619" w:rsidP="00B91619">
      <w:pPr>
        <w:tabs>
          <w:tab w:val="left" w:pos="9356"/>
        </w:tabs>
        <w:spacing w:after="0" w:line="240" w:lineRule="auto"/>
        <w:rPr>
          <w:lang w:val="fr-CA"/>
        </w:rPr>
      </w:pPr>
      <w:r>
        <w:rPr>
          <w:lang w:val="fr-CA"/>
        </w:rPr>
        <w:t xml:space="preserve">L’information qui </w:t>
      </w:r>
      <w:r w:rsidR="00A9277E">
        <w:rPr>
          <w:lang w:val="fr-CA"/>
        </w:rPr>
        <w:t>d</w:t>
      </w:r>
      <w:r>
        <w:rPr>
          <w:lang w:val="fr-CA"/>
        </w:rPr>
        <w:t xml:space="preserve">oit être présentée dans la section du REIR portant sur la </w:t>
      </w:r>
      <w:r w:rsidR="00827BD1">
        <w:rPr>
          <w:lang w:val="fr-CA"/>
        </w:rPr>
        <w:t>lentille</w:t>
      </w:r>
      <w:r>
        <w:rPr>
          <w:lang w:val="fr-CA"/>
        </w:rPr>
        <w:t xml:space="preserve"> des petites entreprises dépend de multiples facteur</w:t>
      </w:r>
      <w:r w:rsidRPr="00FA558D">
        <w:rPr>
          <w:lang w:val="fr-CA"/>
        </w:rPr>
        <w:t>s,</w:t>
      </w:r>
      <w:r>
        <w:rPr>
          <w:lang w:val="fr-CA"/>
        </w:rPr>
        <w:t xml:space="preserve"> dont le plus important est lié à la question de savoir si la lentille</w:t>
      </w:r>
      <w:r w:rsidRPr="00FA558D">
        <w:rPr>
          <w:lang w:val="fr-CA"/>
        </w:rPr>
        <w:t xml:space="preserve"> </w:t>
      </w:r>
      <w:r>
        <w:rPr>
          <w:lang w:val="fr-CA"/>
        </w:rPr>
        <w:t>s’applique au règlement proposé</w:t>
      </w:r>
      <w:r w:rsidRPr="00FA558D">
        <w:rPr>
          <w:lang w:val="fr-CA"/>
        </w:rPr>
        <w:t xml:space="preserve">. </w:t>
      </w:r>
      <w:r>
        <w:rPr>
          <w:lang w:val="fr-CA"/>
        </w:rPr>
        <w:t>Ce qui suit constitue une synthèse de l’</w:t>
      </w:r>
      <w:r w:rsidRPr="00FA558D">
        <w:rPr>
          <w:lang w:val="fr-CA"/>
        </w:rPr>
        <w:t xml:space="preserve">information </w:t>
      </w:r>
      <w:r>
        <w:rPr>
          <w:lang w:val="fr-CA"/>
        </w:rPr>
        <w:t>exigée dans divers scénarios</w:t>
      </w:r>
      <w:r w:rsidRPr="00FA558D">
        <w:rPr>
          <w:lang w:val="fr-CA"/>
        </w:rPr>
        <w:t xml:space="preserve">. </w:t>
      </w:r>
    </w:p>
    <w:p w14:paraId="767184E7" w14:textId="77777777" w:rsidR="00B91619" w:rsidRPr="00FA558D" w:rsidRDefault="00B91619" w:rsidP="00B91619">
      <w:pPr>
        <w:tabs>
          <w:tab w:val="left" w:pos="9356"/>
        </w:tabs>
        <w:spacing w:after="0" w:line="240" w:lineRule="auto"/>
        <w:rPr>
          <w:lang w:val="fr-CA"/>
        </w:rPr>
      </w:pPr>
    </w:p>
    <w:p w14:paraId="7C048C6C" w14:textId="742261FA" w:rsidR="00B91619" w:rsidRPr="00FA558D" w:rsidRDefault="00B91619" w:rsidP="00B91619">
      <w:pPr>
        <w:pStyle w:val="Heading4"/>
        <w:rPr>
          <w:lang w:val="fr-CA"/>
        </w:rPr>
      </w:pPr>
      <w:r>
        <w:rPr>
          <w:lang w:val="fr-CA"/>
        </w:rPr>
        <w:t xml:space="preserve">La </w:t>
      </w:r>
      <w:r w:rsidR="00827BD1">
        <w:rPr>
          <w:lang w:val="fr-CA"/>
        </w:rPr>
        <w:t>lentille</w:t>
      </w:r>
      <w:r w:rsidRPr="00FA558D">
        <w:rPr>
          <w:lang w:val="fr-CA"/>
        </w:rPr>
        <w:t xml:space="preserve"> </w:t>
      </w:r>
      <w:r>
        <w:rPr>
          <w:lang w:val="fr-CA"/>
        </w:rPr>
        <w:t>ne s’applique pas</w:t>
      </w:r>
      <w:r w:rsidRPr="00FA558D">
        <w:rPr>
          <w:lang w:val="fr-CA"/>
        </w:rPr>
        <w:t xml:space="preserve"> </w:t>
      </w:r>
    </w:p>
    <w:p w14:paraId="558C0AD6" w14:textId="77777777" w:rsidR="00B91619" w:rsidRPr="00FA558D" w:rsidRDefault="00B91619" w:rsidP="00B91619">
      <w:pPr>
        <w:tabs>
          <w:tab w:val="left" w:pos="9356"/>
        </w:tabs>
        <w:spacing w:after="0" w:line="240" w:lineRule="auto"/>
        <w:rPr>
          <w:lang w:val="fr-CA"/>
        </w:rPr>
      </w:pPr>
    </w:p>
    <w:p w14:paraId="78889A77" w14:textId="25A54DC7" w:rsidR="00B91619" w:rsidRPr="00FA558D" w:rsidRDefault="00B91619" w:rsidP="00B91619">
      <w:pPr>
        <w:tabs>
          <w:tab w:val="left" w:pos="9356"/>
        </w:tabs>
        <w:spacing w:after="0" w:line="240" w:lineRule="auto"/>
        <w:rPr>
          <w:lang w:val="fr-CA"/>
        </w:rPr>
      </w:pPr>
      <w:r>
        <w:rPr>
          <w:lang w:val="fr-CA"/>
        </w:rPr>
        <w:t xml:space="preserve">Même si la </w:t>
      </w:r>
      <w:r w:rsidR="00827BD1">
        <w:rPr>
          <w:lang w:val="fr-CA"/>
        </w:rPr>
        <w:t>lentille</w:t>
      </w:r>
      <w:r w:rsidRPr="00FA558D">
        <w:rPr>
          <w:lang w:val="fr-CA"/>
        </w:rPr>
        <w:t xml:space="preserve"> </w:t>
      </w:r>
      <w:r>
        <w:rPr>
          <w:lang w:val="fr-CA"/>
        </w:rPr>
        <w:t xml:space="preserve">n’est pas </w:t>
      </w:r>
      <w:r w:rsidR="00962EDA">
        <w:rPr>
          <w:lang w:val="fr-CA"/>
        </w:rPr>
        <w:t>appliquée</w:t>
      </w:r>
      <w:r>
        <w:rPr>
          <w:lang w:val="fr-CA"/>
        </w:rPr>
        <w:t>, il demeure nécessaire de présenter, dans la section sur la lentille des petites entreprises</w:t>
      </w:r>
      <w:r w:rsidRPr="00FA558D">
        <w:rPr>
          <w:lang w:val="fr-CA"/>
        </w:rPr>
        <w:t xml:space="preserve"> </w:t>
      </w:r>
      <w:r>
        <w:rPr>
          <w:lang w:val="fr-CA"/>
        </w:rPr>
        <w:t xml:space="preserve">dans le REIR, les raisons pour lesquelles la </w:t>
      </w:r>
      <w:r w:rsidR="00827BD1">
        <w:rPr>
          <w:lang w:val="fr-CA"/>
        </w:rPr>
        <w:t>lentille</w:t>
      </w:r>
      <w:r>
        <w:rPr>
          <w:lang w:val="fr-CA"/>
        </w:rPr>
        <w:t xml:space="preserve"> des petites entreprises</w:t>
      </w:r>
      <w:r w:rsidRPr="00FA558D">
        <w:rPr>
          <w:lang w:val="fr-CA"/>
        </w:rPr>
        <w:t xml:space="preserve"> </w:t>
      </w:r>
      <w:r>
        <w:rPr>
          <w:lang w:val="fr-CA"/>
        </w:rPr>
        <w:t>ne s’applique pas</w:t>
      </w:r>
      <w:r w:rsidRPr="00FA558D">
        <w:rPr>
          <w:lang w:val="fr-CA"/>
        </w:rPr>
        <w:t xml:space="preserve">. </w:t>
      </w:r>
      <w:r>
        <w:rPr>
          <w:lang w:val="fr-CA"/>
        </w:rPr>
        <w:t xml:space="preserve">Les scénarios suivants apparaissent en ordre de </w:t>
      </w:r>
      <w:r w:rsidRPr="00FA558D">
        <w:rPr>
          <w:lang w:val="fr-CA"/>
        </w:rPr>
        <w:t>prior</w:t>
      </w:r>
      <w:r>
        <w:rPr>
          <w:lang w:val="fr-CA"/>
        </w:rPr>
        <w:t>ité, et reposent sur l’arbre décisionnel présenté dans la sous-s</w:t>
      </w:r>
      <w:r w:rsidRPr="00FA558D">
        <w:rPr>
          <w:lang w:val="fr-CA"/>
        </w:rPr>
        <w:t>ection 4.1</w:t>
      </w:r>
      <w:r>
        <w:rPr>
          <w:lang w:val="fr-CA"/>
        </w:rPr>
        <w:t xml:space="preserve"> du présent guide</w:t>
      </w:r>
      <w:r w:rsidRPr="00FA558D">
        <w:rPr>
          <w:lang w:val="fr-CA"/>
        </w:rPr>
        <w:t xml:space="preserve">. </w:t>
      </w:r>
      <w:r>
        <w:rPr>
          <w:lang w:val="fr-CA"/>
        </w:rPr>
        <w:t xml:space="preserve">Les motifs présentés pour justifier </w:t>
      </w:r>
      <w:r w:rsidR="00962EDA">
        <w:rPr>
          <w:lang w:val="fr-CA"/>
        </w:rPr>
        <w:t xml:space="preserve">la raison pour laquelle </w:t>
      </w:r>
      <w:r>
        <w:rPr>
          <w:lang w:val="fr-CA"/>
        </w:rPr>
        <w:t xml:space="preserve">la </w:t>
      </w:r>
      <w:r w:rsidR="00827BD1">
        <w:rPr>
          <w:lang w:val="fr-CA"/>
        </w:rPr>
        <w:t>lentille</w:t>
      </w:r>
      <w:r w:rsidRPr="00FA558D">
        <w:rPr>
          <w:lang w:val="fr-CA"/>
        </w:rPr>
        <w:t xml:space="preserve"> </w:t>
      </w:r>
      <w:r>
        <w:rPr>
          <w:lang w:val="fr-CA"/>
        </w:rPr>
        <w:t>ne s’applique pas</w:t>
      </w:r>
      <w:r w:rsidRPr="00FA558D">
        <w:rPr>
          <w:lang w:val="fr-CA"/>
        </w:rPr>
        <w:t xml:space="preserve"> </w:t>
      </w:r>
      <w:r>
        <w:rPr>
          <w:lang w:val="fr-CA"/>
        </w:rPr>
        <w:t>doivent se fonder sur le niveau de décision le plus élevé de l’arbre décisionnel, et les motifs complémentaires doivent être précisés selon ce qui est indiqué ci</w:t>
      </w:r>
      <w:r w:rsidR="00962EDA">
        <w:rPr>
          <w:lang w:val="fr-CA"/>
        </w:rPr>
        <w:noBreakHyphen/>
      </w:r>
      <w:r>
        <w:rPr>
          <w:lang w:val="fr-CA"/>
        </w:rPr>
        <w:t>après</w:t>
      </w:r>
      <w:r w:rsidRPr="00FA558D">
        <w:rPr>
          <w:lang w:val="fr-CA"/>
        </w:rPr>
        <w:t xml:space="preserve">. </w:t>
      </w:r>
    </w:p>
    <w:p w14:paraId="2B9AC88F" w14:textId="77777777" w:rsidR="00B91619" w:rsidRPr="00FA558D" w:rsidRDefault="00B91619" w:rsidP="00B91619">
      <w:pPr>
        <w:pStyle w:val="ListParagraph"/>
        <w:tabs>
          <w:tab w:val="left" w:pos="9356"/>
        </w:tabs>
        <w:spacing w:after="0" w:line="240" w:lineRule="auto"/>
        <w:rPr>
          <w:lang w:val="fr-CA"/>
        </w:rPr>
      </w:pPr>
    </w:p>
    <w:p w14:paraId="6C0CDD0E" w14:textId="08063153" w:rsidR="00B91619" w:rsidRPr="00FA558D" w:rsidRDefault="00B91619" w:rsidP="00B91619">
      <w:pPr>
        <w:tabs>
          <w:tab w:val="left" w:pos="9356"/>
        </w:tabs>
        <w:spacing w:after="0" w:line="240" w:lineRule="auto"/>
        <w:rPr>
          <w:lang w:val="fr-CA"/>
        </w:rPr>
      </w:pPr>
      <w:r>
        <w:rPr>
          <w:b/>
          <w:lang w:val="fr-CA"/>
        </w:rPr>
        <w:t xml:space="preserve">Le projet n’est pas visé par la </w:t>
      </w:r>
      <w:r w:rsidR="00827BD1">
        <w:rPr>
          <w:b/>
          <w:lang w:val="fr-CA"/>
        </w:rPr>
        <w:t>lentille</w:t>
      </w:r>
      <w:r w:rsidRPr="00FA558D">
        <w:rPr>
          <w:lang w:val="fr-CA"/>
        </w:rPr>
        <w:t xml:space="preserve"> </w:t>
      </w:r>
    </w:p>
    <w:p w14:paraId="44894A63" w14:textId="51A584C3" w:rsidR="00B91619" w:rsidRPr="00FA558D" w:rsidRDefault="00B91619" w:rsidP="00B91619">
      <w:pPr>
        <w:tabs>
          <w:tab w:val="left" w:pos="9356"/>
        </w:tabs>
        <w:spacing w:after="0" w:line="240" w:lineRule="auto"/>
        <w:rPr>
          <w:lang w:val="fr-CA"/>
        </w:rPr>
      </w:pPr>
      <w:r>
        <w:rPr>
          <w:lang w:val="fr-CA"/>
        </w:rPr>
        <w:t xml:space="preserve">Le projet dépasse le champ d’application de la </w:t>
      </w:r>
      <w:r w:rsidR="00827BD1">
        <w:rPr>
          <w:lang w:val="fr-CA"/>
        </w:rPr>
        <w:t>lentille</w:t>
      </w:r>
      <w:r w:rsidRPr="00FA558D">
        <w:rPr>
          <w:lang w:val="fr-CA"/>
        </w:rPr>
        <w:t xml:space="preserve"> </w:t>
      </w:r>
      <w:r>
        <w:rPr>
          <w:lang w:val="fr-CA"/>
        </w:rPr>
        <w:t>tel qu’il est défini</w:t>
      </w:r>
      <w:r w:rsidRPr="00FA558D">
        <w:rPr>
          <w:lang w:val="fr-CA"/>
        </w:rPr>
        <w:t xml:space="preserve"> </w:t>
      </w:r>
      <w:r>
        <w:rPr>
          <w:lang w:val="fr-CA"/>
        </w:rPr>
        <w:t>dans la sec</w:t>
      </w:r>
      <w:r w:rsidRPr="00FA558D">
        <w:rPr>
          <w:lang w:val="fr-CA"/>
        </w:rPr>
        <w:t xml:space="preserve">tion 2 </w:t>
      </w:r>
      <w:r>
        <w:rPr>
          <w:lang w:val="fr-CA"/>
        </w:rPr>
        <w:t xml:space="preserve">de la Directive du cabinet et la </w:t>
      </w:r>
      <w:r w:rsidRPr="00FA558D">
        <w:rPr>
          <w:lang w:val="fr-CA"/>
        </w:rPr>
        <w:t>section 3</w:t>
      </w:r>
      <w:r>
        <w:rPr>
          <w:lang w:val="fr-CA"/>
        </w:rPr>
        <w:t xml:space="preserve"> de la </w:t>
      </w:r>
      <w:r w:rsidR="00962EDA">
        <w:rPr>
          <w:lang w:val="fr-CA"/>
        </w:rPr>
        <w:t>p</w:t>
      </w:r>
      <w:r>
        <w:rPr>
          <w:lang w:val="fr-CA"/>
        </w:rPr>
        <w:t>olitique</w:t>
      </w:r>
      <w:r w:rsidRPr="00FA558D">
        <w:rPr>
          <w:lang w:val="fr-CA"/>
        </w:rPr>
        <w:t xml:space="preserve">. </w:t>
      </w:r>
    </w:p>
    <w:p w14:paraId="61F78BCF" w14:textId="77777777" w:rsidR="00B91619" w:rsidRPr="00FA558D" w:rsidRDefault="00B91619" w:rsidP="00B91619">
      <w:pPr>
        <w:pStyle w:val="ListParagraph"/>
        <w:tabs>
          <w:tab w:val="left" w:pos="9356"/>
        </w:tabs>
        <w:spacing w:after="0" w:line="240" w:lineRule="auto"/>
        <w:rPr>
          <w:lang w:val="fr-CA"/>
        </w:rPr>
      </w:pPr>
    </w:p>
    <w:p w14:paraId="70BB67DA" w14:textId="5FA57098" w:rsidR="00B91619" w:rsidRPr="00FA558D" w:rsidRDefault="00B91619" w:rsidP="00B91619">
      <w:pPr>
        <w:tabs>
          <w:tab w:val="left" w:pos="9356"/>
        </w:tabs>
        <w:spacing w:after="0" w:line="240" w:lineRule="auto"/>
        <w:rPr>
          <w:lang w:val="fr-CA"/>
        </w:rPr>
      </w:pPr>
      <w:r>
        <w:rPr>
          <w:lang w:val="fr-CA"/>
        </w:rPr>
        <w:t xml:space="preserve">La portée de la </w:t>
      </w:r>
      <w:r w:rsidR="00827BD1">
        <w:rPr>
          <w:lang w:val="fr-CA"/>
        </w:rPr>
        <w:t>lentille</w:t>
      </w:r>
      <w:r w:rsidRPr="00FA558D">
        <w:rPr>
          <w:lang w:val="fr-CA"/>
        </w:rPr>
        <w:t xml:space="preserve"> </w:t>
      </w:r>
      <w:r>
        <w:rPr>
          <w:lang w:val="fr-CA"/>
        </w:rPr>
        <w:t>englobe les règlement</w:t>
      </w:r>
      <w:r w:rsidRPr="00FA558D">
        <w:rPr>
          <w:lang w:val="fr-CA"/>
        </w:rPr>
        <w:t xml:space="preserve">s </w:t>
      </w:r>
      <w:r>
        <w:rPr>
          <w:lang w:val="fr-CA"/>
        </w:rPr>
        <w:t>adoptés ou approuvés par le gouverneur en conseil et ceux adoptés par un ministre de la Couronne</w:t>
      </w:r>
      <w:r w:rsidRPr="00FA558D">
        <w:rPr>
          <w:lang w:val="fr-CA"/>
        </w:rPr>
        <w:t xml:space="preserve">. </w:t>
      </w:r>
      <w:r>
        <w:rPr>
          <w:lang w:val="fr-CA"/>
        </w:rPr>
        <w:t>Elle ne vise pas les règlement</w:t>
      </w:r>
      <w:r w:rsidRPr="00FA558D">
        <w:rPr>
          <w:lang w:val="fr-CA"/>
        </w:rPr>
        <w:t xml:space="preserve">s </w:t>
      </w:r>
      <w:r>
        <w:rPr>
          <w:lang w:val="fr-CA"/>
        </w:rPr>
        <w:t>adoptés par</w:t>
      </w:r>
      <w:r w:rsidRPr="00FA558D">
        <w:rPr>
          <w:lang w:val="fr-CA"/>
        </w:rPr>
        <w:t xml:space="preserve"> </w:t>
      </w:r>
      <w:r>
        <w:rPr>
          <w:lang w:val="fr-CA"/>
        </w:rPr>
        <w:t>un organisme</w:t>
      </w:r>
      <w:r w:rsidRPr="00FA558D">
        <w:rPr>
          <w:lang w:val="fr-CA"/>
        </w:rPr>
        <w:t xml:space="preserve">, </w:t>
      </w:r>
      <w:r>
        <w:rPr>
          <w:lang w:val="fr-CA"/>
        </w:rPr>
        <w:t xml:space="preserve">un </w:t>
      </w:r>
      <w:r w:rsidRPr="00FA558D">
        <w:rPr>
          <w:lang w:val="fr-CA"/>
        </w:rPr>
        <w:t>tribunal</w:t>
      </w:r>
      <w:r>
        <w:rPr>
          <w:lang w:val="fr-CA"/>
        </w:rPr>
        <w:t xml:space="preserve"> ou une autre </w:t>
      </w:r>
      <w:r w:rsidRPr="00FA558D">
        <w:rPr>
          <w:lang w:val="fr-CA"/>
        </w:rPr>
        <w:t>ent</w:t>
      </w:r>
      <w:r>
        <w:rPr>
          <w:lang w:val="fr-CA"/>
        </w:rPr>
        <w:t xml:space="preserve">ité habilitée par le </w:t>
      </w:r>
      <w:r w:rsidRPr="00FA558D">
        <w:rPr>
          <w:lang w:val="fr-CA"/>
        </w:rPr>
        <w:t>Par</w:t>
      </w:r>
      <w:r>
        <w:rPr>
          <w:lang w:val="fr-CA"/>
        </w:rPr>
        <w:t>lement dans un autre secteur d’activité</w:t>
      </w:r>
      <w:r w:rsidR="00962EDA">
        <w:rPr>
          <w:lang w:val="fr-CA"/>
        </w:rPr>
        <w:t>s</w:t>
      </w:r>
      <w:r w:rsidRPr="00FA558D">
        <w:rPr>
          <w:lang w:val="fr-CA"/>
        </w:rPr>
        <w:t xml:space="preserve">. </w:t>
      </w:r>
    </w:p>
    <w:p w14:paraId="608C065C" w14:textId="77777777" w:rsidR="00B91619" w:rsidRPr="00FA558D" w:rsidRDefault="00B91619" w:rsidP="00B91619">
      <w:pPr>
        <w:pStyle w:val="ListParagraph"/>
        <w:tabs>
          <w:tab w:val="left" w:pos="9356"/>
        </w:tabs>
        <w:spacing w:after="0" w:line="240" w:lineRule="auto"/>
        <w:rPr>
          <w:lang w:val="fr-CA"/>
        </w:rPr>
      </w:pPr>
    </w:p>
    <w:p w14:paraId="76DCF479" w14:textId="7C3E3CF6" w:rsidR="00B91619" w:rsidRPr="00FA558D" w:rsidRDefault="00B91619" w:rsidP="00B91619">
      <w:pPr>
        <w:tabs>
          <w:tab w:val="left" w:pos="9356"/>
        </w:tabs>
        <w:spacing w:after="0" w:line="240" w:lineRule="auto"/>
        <w:rPr>
          <w:lang w:val="fr-CA"/>
        </w:rPr>
      </w:pPr>
      <w:r>
        <w:rPr>
          <w:lang w:val="fr-CA"/>
        </w:rPr>
        <w:lastRenderedPageBreak/>
        <w:t>Si le</w:t>
      </w:r>
      <w:r w:rsidRPr="00FA558D">
        <w:rPr>
          <w:lang w:val="fr-CA"/>
        </w:rPr>
        <w:t xml:space="preserve"> </w:t>
      </w:r>
      <w:r>
        <w:rPr>
          <w:lang w:val="fr-CA"/>
        </w:rPr>
        <w:t>projet</w:t>
      </w:r>
      <w:r w:rsidRPr="00FA558D">
        <w:rPr>
          <w:lang w:val="fr-CA"/>
        </w:rPr>
        <w:t xml:space="preserve"> </w:t>
      </w:r>
      <w:r>
        <w:rPr>
          <w:lang w:val="fr-CA"/>
        </w:rPr>
        <w:t>comprend</w:t>
      </w:r>
      <w:r w:rsidRPr="00FA558D">
        <w:rPr>
          <w:lang w:val="fr-CA"/>
        </w:rPr>
        <w:t xml:space="preserve"> </w:t>
      </w:r>
      <w:r>
        <w:rPr>
          <w:lang w:val="fr-CA"/>
        </w:rPr>
        <w:t>une</w:t>
      </w:r>
      <w:r w:rsidRPr="00FA558D">
        <w:rPr>
          <w:lang w:val="fr-CA"/>
        </w:rPr>
        <w:t xml:space="preserve"> </w:t>
      </w:r>
      <w:r w:rsidR="00962EDA">
        <w:rPr>
          <w:lang w:val="fr-CA"/>
        </w:rPr>
        <w:t>s</w:t>
      </w:r>
      <w:r>
        <w:rPr>
          <w:lang w:val="fr-CA"/>
        </w:rPr>
        <w:t xml:space="preserve">ection sur la </w:t>
      </w:r>
      <w:r w:rsidR="00827BD1">
        <w:rPr>
          <w:lang w:val="fr-CA"/>
        </w:rPr>
        <w:t>lentille</w:t>
      </w:r>
      <w:r>
        <w:rPr>
          <w:lang w:val="fr-CA"/>
        </w:rPr>
        <w:t xml:space="preserve"> des petites entreprises</w:t>
      </w:r>
      <w:r w:rsidRPr="00FA558D">
        <w:rPr>
          <w:lang w:val="fr-CA"/>
        </w:rPr>
        <w:t>, i</w:t>
      </w:r>
      <w:r>
        <w:rPr>
          <w:lang w:val="fr-CA"/>
        </w:rPr>
        <w:t>l</w:t>
      </w:r>
      <w:r w:rsidRPr="00FA558D">
        <w:rPr>
          <w:lang w:val="fr-CA"/>
        </w:rPr>
        <w:t xml:space="preserve"> </w:t>
      </w:r>
      <w:r>
        <w:rPr>
          <w:lang w:val="fr-CA"/>
        </w:rPr>
        <w:t>doit comprendre le libellé suivant :</w:t>
      </w:r>
      <w:r w:rsidRPr="00FA558D">
        <w:rPr>
          <w:lang w:val="fr-CA"/>
        </w:rPr>
        <w:t xml:space="preserve"> </w:t>
      </w:r>
      <w:r>
        <w:rPr>
          <w:lang w:val="fr-CA"/>
        </w:rPr>
        <w:t>« </w:t>
      </w:r>
      <w:r w:rsidR="00AE7920" w:rsidRPr="00AE7920">
        <w:rPr>
          <w:lang w:val="fr-CA"/>
        </w:rPr>
        <w:t xml:space="preserve">Le règlement </w:t>
      </w:r>
      <w:r w:rsidR="00616176">
        <w:rPr>
          <w:lang w:val="fr-CA"/>
        </w:rPr>
        <w:t xml:space="preserve">n’est pas visé par </w:t>
      </w:r>
      <w:r w:rsidR="00AE7920" w:rsidRPr="00AE7920">
        <w:rPr>
          <w:lang w:val="fr-CA"/>
        </w:rPr>
        <w:t>la lentille des petites entreprises parce qu’il est pris par un organisme de réglementation indépendant.</w:t>
      </w:r>
      <w:r>
        <w:rPr>
          <w:lang w:val="fr-CA"/>
        </w:rPr>
        <w:t> »</w:t>
      </w:r>
      <w:r w:rsidRPr="00FA558D">
        <w:rPr>
          <w:lang w:val="fr-CA"/>
        </w:rPr>
        <w:t xml:space="preserve"> </w:t>
      </w:r>
    </w:p>
    <w:p w14:paraId="159BCC3B" w14:textId="77777777" w:rsidR="00B91619" w:rsidRPr="00FA558D" w:rsidRDefault="00B91619" w:rsidP="00B91619">
      <w:pPr>
        <w:tabs>
          <w:tab w:val="left" w:pos="9356"/>
        </w:tabs>
        <w:spacing w:after="0" w:line="240" w:lineRule="auto"/>
        <w:rPr>
          <w:lang w:val="fr-CA"/>
        </w:rPr>
      </w:pPr>
    </w:p>
    <w:p w14:paraId="14F6BA18" w14:textId="79AAADAA" w:rsidR="00B91619" w:rsidRPr="00FA558D" w:rsidRDefault="00B91619" w:rsidP="00B91619">
      <w:pPr>
        <w:tabs>
          <w:tab w:val="left" w:pos="9356"/>
        </w:tabs>
        <w:spacing w:after="0" w:line="240" w:lineRule="auto"/>
        <w:rPr>
          <w:lang w:val="fr-CA"/>
        </w:rPr>
      </w:pPr>
      <w:r>
        <w:rPr>
          <w:b/>
          <w:lang w:val="fr-CA"/>
        </w:rPr>
        <w:t>Aucune répercussion</w:t>
      </w:r>
      <w:r w:rsidRPr="00FA558D">
        <w:rPr>
          <w:b/>
          <w:lang w:val="fr-CA"/>
        </w:rPr>
        <w:t xml:space="preserve"> </w:t>
      </w:r>
      <w:r w:rsidR="00962EDA">
        <w:rPr>
          <w:b/>
          <w:lang w:val="fr-CA"/>
        </w:rPr>
        <w:t xml:space="preserve">sur </w:t>
      </w:r>
      <w:r>
        <w:rPr>
          <w:b/>
          <w:lang w:val="fr-CA"/>
        </w:rPr>
        <w:t>les entreprises</w:t>
      </w:r>
      <w:r w:rsidRPr="00FA558D">
        <w:rPr>
          <w:lang w:val="fr-CA"/>
        </w:rPr>
        <w:t xml:space="preserve"> </w:t>
      </w:r>
    </w:p>
    <w:p w14:paraId="584DE935" w14:textId="480B82AC" w:rsidR="00B91619" w:rsidRPr="00FA558D" w:rsidRDefault="00B4147F" w:rsidP="00B91619">
      <w:pPr>
        <w:tabs>
          <w:tab w:val="left" w:pos="9356"/>
        </w:tabs>
        <w:spacing w:after="0" w:line="240" w:lineRule="auto"/>
        <w:rPr>
          <w:lang w:val="fr-CA"/>
        </w:rPr>
      </w:pPr>
      <w:r>
        <w:rPr>
          <w:lang w:val="fr-CA"/>
        </w:rPr>
        <w:t>Le projet</w:t>
      </w:r>
      <w:r w:rsidRPr="00FA558D">
        <w:rPr>
          <w:lang w:val="fr-CA"/>
        </w:rPr>
        <w:t xml:space="preserve"> </w:t>
      </w:r>
      <w:r>
        <w:rPr>
          <w:lang w:val="fr-CA"/>
        </w:rPr>
        <w:t>n’a aucune répercussion</w:t>
      </w:r>
      <w:r w:rsidRPr="00FA558D">
        <w:rPr>
          <w:lang w:val="fr-CA"/>
        </w:rPr>
        <w:t xml:space="preserve"> </w:t>
      </w:r>
      <w:r>
        <w:rPr>
          <w:lang w:val="fr-CA"/>
        </w:rPr>
        <w:t>sur tout type d’entreprise</w:t>
      </w:r>
      <w:r w:rsidRPr="00FA558D">
        <w:rPr>
          <w:lang w:val="fr-CA"/>
        </w:rPr>
        <w:t xml:space="preserve"> </w:t>
      </w:r>
      <w:r>
        <w:rPr>
          <w:lang w:val="fr-CA"/>
        </w:rPr>
        <w:t>tel que défini dans la sec</w:t>
      </w:r>
      <w:r w:rsidRPr="00FA558D">
        <w:rPr>
          <w:lang w:val="fr-CA"/>
        </w:rPr>
        <w:t>tion 5</w:t>
      </w:r>
      <w:r>
        <w:rPr>
          <w:lang w:val="fr-CA"/>
        </w:rPr>
        <w:t xml:space="preserve"> de la politique</w:t>
      </w:r>
      <w:r w:rsidR="00B91619" w:rsidRPr="00FA558D">
        <w:rPr>
          <w:lang w:val="fr-CA"/>
        </w:rPr>
        <w:t xml:space="preserve">. </w:t>
      </w:r>
    </w:p>
    <w:p w14:paraId="3FF882D3" w14:textId="77777777" w:rsidR="00B91619" w:rsidRPr="00FA558D" w:rsidRDefault="00B91619" w:rsidP="00B91619">
      <w:pPr>
        <w:pStyle w:val="ListParagraph"/>
        <w:tabs>
          <w:tab w:val="left" w:pos="9356"/>
        </w:tabs>
        <w:spacing w:after="0" w:line="240" w:lineRule="auto"/>
        <w:ind w:left="426"/>
        <w:rPr>
          <w:lang w:val="fr-CA"/>
        </w:rPr>
      </w:pPr>
    </w:p>
    <w:p w14:paraId="3BBFBA0F" w14:textId="7FE0A898" w:rsidR="00B91619" w:rsidRPr="00FA558D" w:rsidRDefault="00B91619" w:rsidP="00B91619">
      <w:pPr>
        <w:tabs>
          <w:tab w:val="left" w:pos="9356"/>
        </w:tabs>
        <w:spacing w:after="0" w:line="240" w:lineRule="auto"/>
        <w:rPr>
          <w:lang w:val="fr-CA"/>
        </w:rPr>
      </w:pPr>
      <w:r>
        <w:rPr>
          <w:lang w:val="fr-CA"/>
        </w:rPr>
        <w:t>Dans un tel cas</w:t>
      </w:r>
      <w:r w:rsidRPr="00FA558D">
        <w:rPr>
          <w:lang w:val="fr-CA"/>
        </w:rPr>
        <w:t xml:space="preserve">, </w:t>
      </w:r>
      <w:r>
        <w:rPr>
          <w:lang w:val="fr-CA"/>
        </w:rPr>
        <w:t>la section sur la lentille des petites entreprises</w:t>
      </w:r>
      <w:r w:rsidRPr="00FA558D">
        <w:rPr>
          <w:lang w:val="fr-CA"/>
        </w:rPr>
        <w:t xml:space="preserve"> </w:t>
      </w:r>
      <w:r>
        <w:rPr>
          <w:lang w:val="fr-CA"/>
        </w:rPr>
        <w:t>doit comprendre le libellé suivant :</w:t>
      </w:r>
      <w:r w:rsidRPr="00FA558D">
        <w:rPr>
          <w:lang w:val="fr-CA"/>
        </w:rPr>
        <w:t xml:space="preserve"> </w:t>
      </w:r>
      <w:r>
        <w:rPr>
          <w:lang w:val="fr-CA"/>
        </w:rPr>
        <w:t>« </w:t>
      </w:r>
      <w:r w:rsidR="00AE7920" w:rsidRPr="00AE7920">
        <w:rPr>
          <w:lang w:val="fr-CA"/>
        </w:rPr>
        <w:t xml:space="preserve">L’analyse effectuée </w:t>
      </w:r>
      <w:r w:rsidR="0097054A">
        <w:rPr>
          <w:lang w:val="fr-CA"/>
        </w:rPr>
        <w:t xml:space="preserve">dans le </w:t>
      </w:r>
      <w:r w:rsidR="00AE7920" w:rsidRPr="00AE7920">
        <w:rPr>
          <w:lang w:val="fr-CA"/>
        </w:rPr>
        <w:t xml:space="preserve">cadre de la lentille des petites entreprises a conclu que le règlement proposé n’aura aucune répercussion sur les </w:t>
      </w:r>
      <w:r w:rsidR="00AE7920">
        <w:rPr>
          <w:lang w:val="fr-CA"/>
        </w:rPr>
        <w:t xml:space="preserve">petites </w:t>
      </w:r>
      <w:r w:rsidR="00AE7920" w:rsidRPr="00AE7920">
        <w:rPr>
          <w:lang w:val="fr-CA"/>
        </w:rPr>
        <w:t>entreprises canadiennes</w:t>
      </w:r>
      <w:proofErr w:type="gramStart"/>
      <w:r w:rsidR="00AE7920" w:rsidRPr="00AE7920">
        <w:rPr>
          <w:lang w:val="fr-CA"/>
        </w:rPr>
        <w:t>. </w:t>
      </w:r>
      <w:r w:rsidRPr="00FA558D">
        <w:rPr>
          <w:lang w:val="fr-CA"/>
        </w:rPr>
        <w:t>.</w:t>
      </w:r>
      <w:proofErr w:type="gramEnd"/>
      <w:r>
        <w:rPr>
          <w:lang w:val="fr-CA"/>
        </w:rPr>
        <w:t> »</w:t>
      </w:r>
    </w:p>
    <w:p w14:paraId="4551B062" w14:textId="77777777" w:rsidR="00B91619" w:rsidRPr="00FA558D" w:rsidRDefault="00B91619" w:rsidP="00B91619">
      <w:pPr>
        <w:pStyle w:val="ListParagraph"/>
        <w:tabs>
          <w:tab w:val="left" w:pos="9356"/>
        </w:tabs>
        <w:spacing w:after="0" w:line="240" w:lineRule="auto"/>
        <w:ind w:left="426"/>
        <w:rPr>
          <w:lang w:val="fr-CA"/>
        </w:rPr>
      </w:pPr>
    </w:p>
    <w:p w14:paraId="69E87EC2" w14:textId="77777777" w:rsidR="00B91619" w:rsidRPr="00FA558D" w:rsidRDefault="00B91619" w:rsidP="00B91619">
      <w:pPr>
        <w:tabs>
          <w:tab w:val="left" w:pos="9356"/>
        </w:tabs>
        <w:spacing w:after="0" w:line="240" w:lineRule="auto"/>
        <w:rPr>
          <w:lang w:val="fr-CA"/>
        </w:rPr>
      </w:pPr>
      <w:r>
        <w:rPr>
          <w:lang w:val="fr-CA"/>
        </w:rPr>
        <w:t>La section</w:t>
      </w:r>
      <w:r w:rsidRPr="00FA558D">
        <w:rPr>
          <w:lang w:val="fr-CA"/>
        </w:rPr>
        <w:t xml:space="preserve"> </w:t>
      </w:r>
      <w:r>
        <w:rPr>
          <w:lang w:val="fr-CA"/>
        </w:rPr>
        <w:t>devrait</w:t>
      </w:r>
      <w:r w:rsidRPr="00FA558D">
        <w:rPr>
          <w:lang w:val="fr-CA"/>
        </w:rPr>
        <w:t xml:space="preserve"> </w:t>
      </w:r>
      <w:r>
        <w:rPr>
          <w:lang w:val="fr-CA"/>
        </w:rPr>
        <w:t>aussi</w:t>
      </w:r>
      <w:r w:rsidRPr="00FA558D">
        <w:rPr>
          <w:lang w:val="fr-CA"/>
        </w:rPr>
        <w:t xml:space="preserve"> </w:t>
      </w:r>
      <w:r>
        <w:rPr>
          <w:lang w:val="fr-CA"/>
        </w:rPr>
        <w:t>comprendre</w:t>
      </w:r>
      <w:r w:rsidRPr="00FA558D">
        <w:rPr>
          <w:lang w:val="fr-CA"/>
        </w:rPr>
        <w:t xml:space="preserve"> </w:t>
      </w:r>
      <w:r>
        <w:rPr>
          <w:lang w:val="fr-CA"/>
        </w:rPr>
        <w:t>une courte</w:t>
      </w:r>
      <w:r w:rsidRPr="00FA558D">
        <w:rPr>
          <w:lang w:val="fr-CA"/>
        </w:rPr>
        <w:t xml:space="preserve"> </w:t>
      </w:r>
      <w:r>
        <w:rPr>
          <w:lang w:val="fr-CA"/>
        </w:rPr>
        <w:t>explication</w:t>
      </w:r>
      <w:r w:rsidRPr="00FA558D">
        <w:rPr>
          <w:lang w:val="fr-CA"/>
        </w:rPr>
        <w:t xml:space="preserve"> </w:t>
      </w:r>
      <w:r>
        <w:rPr>
          <w:lang w:val="fr-CA"/>
        </w:rPr>
        <w:t>de la na</w:t>
      </w:r>
      <w:r w:rsidRPr="00FA558D">
        <w:rPr>
          <w:lang w:val="fr-CA"/>
        </w:rPr>
        <w:t xml:space="preserve">ture </w:t>
      </w:r>
      <w:r>
        <w:rPr>
          <w:lang w:val="fr-CA"/>
        </w:rPr>
        <w:t>du règlement et de l’</w:t>
      </w:r>
      <w:r w:rsidRPr="00FA558D">
        <w:rPr>
          <w:lang w:val="fr-CA"/>
        </w:rPr>
        <w:t>ent</w:t>
      </w:r>
      <w:r>
        <w:rPr>
          <w:lang w:val="fr-CA"/>
        </w:rPr>
        <w:t xml:space="preserve">ité ou des </w:t>
      </w:r>
      <w:r w:rsidRPr="00FA558D">
        <w:rPr>
          <w:lang w:val="fr-CA"/>
        </w:rPr>
        <w:t>enti</w:t>
      </w:r>
      <w:r>
        <w:rPr>
          <w:lang w:val="fr-CA"/>
        </w:rPr>
        <w:t>tés qui subira ou subiront les répercussions</w:t>
      </w:r>
      <w:r w:rsidRPr="00FA558D">
        <w:rPr>
          <w:lang w:val="fr-CA"/>
        </w:rPr>
        <w:t>.</w:t>
      </w:r>
    </w:p>
    <w:p w14:paraId="1753CC8B" w14:textId="77777777" w:rsidR="00B91619" w:rsidRPr="00FA558D" w:rsidRDefault="00B91619" w:rsidP="00B91619">
      <w:pPr>
        <w:pStyle w:val="ListParagraph"/>
        <w:tabs>
          <w:tab w:val="left" w:pos="9356"/>
        </w:tabs>
        <w:spacing w:after="0" w:line="240" w:lineRule="auto"/>
        <w:rPr>
          <w:lang w:val="fr-CA"/>
        </w:rPr>
      </w:pPr>
    </w:p>
    <w:p w14:paraId="04DAB1D6" w14:textId="77777777" w:rsidR="00B91619" w:rsidRPr="00FA558D" w:rsidRDefault="00B91619" w:rsidP="00B91619">
      <w:pPr>
        <w:tabs>
          <w:tab w:val="left" w:pos="9356"/>
        </w:tabs>
        <w:spacing w:after="0" w:line="240" w:lineRule="auto"/>
        <w:rPr>
          <w:lang w:val="fr-CA"/>
        </w:rPr>
      </w:pPr>
      <w:r>
        <w:rPr>
          <w:b/>
          <w:lang w:val="fr-CA"/>
        </w:rPr>
        <w:t>Aucune répercussion</w:t>
      </w:r>
      <w:r w:rsidRPr="00FA558D">
        <w:rPr>
          <w:b/>
          <w:lang w:val="fr-CA"/>
        </w:rPr>
        <w:t xml:space="preserve"> </w:t>
      </w:r>
      <w:r>
        <w:rPr>
          <w:b/>
          <w:lang w:val="fr-CA"/>
        </w:rPr>
        <w:t>sur les petites entreprises</w:t>
      </w:r>
      <w:r w:rsidRPr="00FA558D">
        <w:rPr>
          <w:lang w:val="fr-CA"/>
        </w:rPr>
        <w:t xml:space="preserve"> </w:t>
      </w:r>
    </w:p>
    <w:p w14:paraId="54E52134" w14:textId="6FB4798B" w:rsidR="00B91619" w:rsidRPr="00FA558D" w:rsidRDefault="00B91619" w:rsidP="00B91619">
      <w:pPr>
        <w:tabs>
          <w:tab w:val="left" w:pos="9356"/>
        </w:tabs>
        <w:spacing w:after="0" w:line="240" w:lineRule="auto"/>
        <w:rPr>
          <w:lang w:val="fr-CA"/>
        </w:rPr>
      </w:pPr>
      <w:r>
        <w:rPr>
          <w:lang w:val="fr-CA"/>
        </w:rPr>
        <w:t>Le projet</w:t>
      </w:r>
      <w:r w:rsidRPr="00FA558D">
        <w:rPr>
          <w:lang w:val="fr-CA"/>
        </w:rPr>
        <w:t xml:space="preserve"> </w:t>
      </w:r>
      <w:r>
        <w:rPr>
          <w:lang w:val="fr-CA"/>
        </w:rPr>
        <w:t>n’a aucune répercussion</w:t>
      </w:r>
      <w:r w:rsidRPr="00FA558D">
        <w:rPr>
          <w:lang w:val="fr-CA"/>
        </w:rPr>
        <w:t xml:space="preserve"> </w:t>
      </w:r>
      <w:r>
        <w:rPr>
          <w:lang w:val="fr-CA"/>
        </w:rPr>
        <w:t xml:space="preserve">sur les petites entreprises, mais aura des répercussions sur les entreprises qui dépassent les critères </w:t>
      </w:r>
      <w:r w:rsidR="00962EDA">
        <w:rPr>
          <w:lang w:val="fr-CA"/>
        </w:rPr>
        <w:t xml:space="preserve">utilisés </w:t>
      </w:r>
      <w:r>
        <w:rPr>
          <w:lang w:val="fr-CA"/>
        </w:rPr>
        <w:t>pour définir une « petite entreprise »</w:t>
      </w:r>
      <w:r w:rsidRPr="00FA558D">
        <w:rPr>
          <w:lang w:val="fr-CA"/>
        </w:rPr>
        <w:t xml:space="preserve"> </w:t>
      </w:r>
      <w:r>
        <w:rPr>
          <w:lang w:val="fr-CA"/>
        </w:rPr>
        <w:t>dans la sec</w:t>
      </w:r>
      <w:r w:rsidRPr="00FA558D">
        <w:rPr>
          <w:lang w:val="fr-CA"/>
        </w:rPr>
        <w:t>tion 5</w:t>
      </w:r>
      <w:r>
        <w:rPr>
          <w:lang w:val="fr-CA"/>
        </w:rPr>
        <w:t xml:space="preserve"> de la </w:t>
      </w:r>
      <w:r w:rsidR="00962EDA">
        <w:rPr>
          <w:lang w:val="fr-CA"/>
        </w:rPr>
        <w:t>p</w:t>
      </w:r>
      <w:r>
        <w:rPr>
          <w:lang w:val="fr-CA"/>
        </w:rPr>
        <w:t>olitique</w:t>
      </w:r>
      <w:r w:rsidRPr="00FA558D">
        <w:rPr>
          <w:lang w:val="fr-CA"/>
        </w:rPr>
        <w:t xml:space="preserve">. </w:t>
      </w:r>
    </w:p>
    <w:p w14:paraId="7537A626" w14:textId="77777777" w:rsidR="00B91619" w:rsidRPr="00FA558D" w:rsidRDefault="00B91619" w:rsidP="00B91619">
      <w:pPr>
        <w:pStyle w:val="ListParagraph"/>
        <w:tabs>
          <w:tab w:val="left" w:pos="9356"/>
        </w:tabs>
        <w:spacing w:after="0" w:line="240" w:lineRule="auto"/>
        <w:rPr>
          <w:lang w:val="fr-CA"/>
        </w:rPr>
      </w:pPr>
    </w:p>
    <w:p w14:paraId="72EDECF9" w14:textId="15D113A8" w:rsidR="00B91619" w:rsidRPr="00FA558D" w:rsidRDefault="00B91619" w:rsidP="00B91619">
      <w:pPr>
        <w:tabs>
          <w:tab w:val="left" w:pos="9356"/>
        </w:tabs>
        <w:spacing w:after="0" w:line="240" w:lineRule="auto"/>
        <w:rPr>
          <w:lang w:val="fr-CA"/>
        </w:rPr>
      </w:pPr>
      <w:r>
        <w:rPr>
          <w:lang w:val="fr-CA"/>
        </w:rPr>
        <w:t>Dans un tel cas</w:t>
      </w:r>
      <w:r w:rsidRPr="00FA558D">
        <w:rPr>
          <w:lang w:val="fr-CA"/>
        </w:rPr>
        <w:t xml:space="preserve">, </w:t>
      </w:r>
      <w:r>
        <w:rPr>
          <w:lang w:val="fr-CA"/>
        </w:rPr>
        <w:t>la section sur la lentille des petites entreprises</w:t>
      </w:r>
      <w:r w:rsidRPr="00FA558D">
        <w:rPr>
          <w:lang w:val="fr-CA"/>
        </w:rPr>
        <w:t xml:space="preserve"> </w:t>
      </w:r>
      <w:r>
        <w:rPr>
          <w:lang w:val="fr-CA"/>
        </w:rPr>
        <w:t>doit comprendre le libellé suivant :</w:t>
      </w:r>
      <w:r w:rsidRPr="00FA558D">
        <w:rPr>
          <w:lang w:val="fr-CA"/>
        </w:rPr>
        <w:t xml:space="preserve"> </w:t>
      </w:r>
      <w:r>
        <w:rPr>
          <w:lang w:val="fr-CA"/>
        </w:rPr>
        <w:t>« </w:t>
      </w:r>
      <w:r w:rsidR="00AE7920" w:rsidRPr="00AE7920">
        <w:rPr>
          <w:lang w:val="fr-CA"/>
        </w:rPr>
        <w:t xml:space="preserve">L’analyse </w:t>
      </w:r>
      <w:r w:rsidR="004C7ECA">
        <w:rPr>
          <w:lang w:val="fr-CA"/>
        </w:rPr>
        <w:t xml:space="preserve">effectuée </w:t>
      </w:r>
      <w:r w:rsidR="00AE7920" w:rsidRPr="00AE7920">
        <w:rPr>
          <w:lang w:val="fr-CA"/>
        </w:rPr>
        <w:t>dans le cadre de la lentille des petites entreprises a conclu que le règlement proposé n’aura aucune répercussion sur les petites entreprises canadiennes</w:t>
      </w:r>
      <w:r w:rsidRPr="00FA558D">
        <w:rPr>
          <w:lang w:val="fr-CA"/>
        </w:rPr>
        <w:t>.</w:t>
      </w:r>
      <w:r>
        <w:rPr>
          <w:lang w:val="fr-CA"/>
        </w:rPr>
        <w:t> »</w:t>
      </w:r>
      <w:r w:rsidRPr="00FA558D">
        <w:rPr>
          <w:lang w:val="fr-CA"/>
        </w:rPr>
        <w:t xml:space="preserve"> </w:t>
      </w:r>
    </w:p>
    <w:p w14:paraId="2CA8FF53" w14:textId="77777777" w:rsidR="00B91619" w:rsidRPr="00FA558D" w:rsidRDefault="00B91619" w:rsidP="00B91619">
      <w:pPr>
        <w:tabs>
          <w:tab w:val="left" w:pos="9356"/>
        </w:tabs>
        <w:spacing w:after="0" w:line="240" w:lineRule="auto"/>
        <w:ind w:left="720"/>
        <w:rPr>
          <w:lang w:val="fr-CA"/>
        </w:rPr>
      </w:pPr>
    </w:p>
    <w:p w14:paraId="6A57D829" w14:textId="5017E67F" w:rsidR="00B91619" w:rsidRPr="00FA558D" w:rsidRDefault="00B91619" w:rsidP="00B91619">
      <w:pPr>
        <w:tabs>
          <w:tab w:val="left" w:pos="9356"/>
        </w:tabs>
        <w:spacing w:after="0" w:line="240" w:lineRule="auto"/>
        <w:rPr>
          <w:lang w:val="fr-CA"/>
        </w:rPr>
      </w:pPr>
      <w:r>
        <w:rPr>
          <w:lang w:val="fr-CA"/>
        </w:rPr>
        <w:t>Vu les répercussions sur les plus grandes entreprises</w:t>
      </w:r>
      <w:r w:rsidRPr="00FA558D">
        <w:rPr>
          <w:lang w:val="fr-CA"/>
        </w:rPr>
        <w:t xml:space="preserve">, </w:t>
      </w:r>
      <w:r>
        <w:rPr>
          <w:lang w:val="fr-CA"/>
        </w:rPr>
        <w:t>il est recommandé de donner une courte explication</w:t>
      </w:r>
      <w:r w:rsidRPr="00FA558D">
        <w:rPr>
          <w:lang w:val="fr-CA"/>
        </w:rPr>
        <w:t xml:space="preserve"> </w:t>
      </w:r>
      <w:r>
        <w:rPr>
          <w:lang w:val="fr-CA"/>
        </w:rPr>
        <w:t xml:space="preserve">qualitative de ces répercussions </w:t>
      </w:r>
      <w:r w:rsidR="00962EDA">
        <w:rPr>
          <w:lang w:val="fr-CA"/>
        </w:rPr>
        <w:t>à des fins</w:t>
      </w:r>
      <w:r>
        <w:rPr>
          <w:lang w:val="fr-CA"/>
        </w:rPr>
        <w:t xml:space="preserve"> de tra</w:t>
      </w:r>
      <w:r w:rsidRPr="00FA558D">
        <w:rPr>
          <w:lang w:val="fr-CA"/>
        </w:rPr>
        <w:t>nspa</w:t>
      </w:r>
      <w:r>
        <w:rPr>
          <w:lang w:val="fr-CA"/>
        </w:rPr>
        <w:t>rence</w:t>
      </w:r>
      <w:r w:rsidRPr="00FA558D">
        <w:rPr>
          <w:lang w:val="fr-CA"/>
        </w:rPr>
        <w:t>.</w:t>
      </w:r>
    </w:p>
    <w:p w14:paraId="470C81E6" w14:textId="77777777" w:rsidR="00B91619" w:rsidRPr="00FA558D" w:rsidRDefault="00B91619" w:rsidP="00B91619">
      <w:pPr>
        <w:tabs>
          <w:tab w:val="left" w:pos="9356"/>
        </w:tabs>
        <w:spacing w:after="0" w:line="240" w:lineRule="auto"/>
        <w:rPr>
          <w:lang w:val="fr-CA"/>
        </w:rPr>
      </w:pPr>
    </w:p>
    <w:p w14:paraId="45E028B3" w14:textId="77777777" w:rsidR="00B91619" w:rsidRPr="00FA558D" w:rsidRDefault="00B91619" w:rsidP="00B91619">
      <w:pPr>
        <w:pStyle w:val="Heading4"/>
        <w:rPr>
          <w:lang w:val="fr-CA"/>
        </w:rPr>
      </w:pPr>
      <w:r>
        <w:rPr>
          <w:lang w:val="fr-CA"/>
        </w:rPr>
        <w:t>La lentille</w:t>
      </w:r>
      <w:r w:rsidRPr="00FA558D">
        <w:rPr>
          <w:lang w:val="fr-CA"/>
        </w:rPr>
        <w:t xml:space="preserve"> </w:t>
      </w:r>
      <w:r>
        <w:rPr>
          <w:lang w:val="fr-CA"/>
        </w:rPr>
        <w:t>s’applique</w:t>
      </w:r>
    </w:p>
    <w:p w14:paraId="43863431" w14:textId="77777777" w:rsidR="00B91619" w:rsidRPr="00FA558D" w:rsidRDefault="00B91619" w:rsidP="00B91619">
      <w:pPr>
        <w:tabs>
          <w:tab w:val="left" w:pos="9356"/>
        </w:tabs>
        <w:spacing w:after="0" w:line="240" w:lineRule="auto"/>
        <w:rPr>
          <w:lang w:val="fr-CA"/>
        </w:rPr>
      </w:pPr>
    </w:p>
    <w:p w14:paraId="0E8D1B7D" w14:textId="611A091E" w:rsidR="00B91619" w:rsidRPr="00FA558D" w:rsidRDefault="00B91619" w:rsidP="00B91619">
      <w:pPr>
        <w:tabs>
          <w:tab w:val="left" w:pos="9356"/>
        </w:tabs>
        <w:spacing w:after="0" w:line="240" w:lineRule="auto"/>
        <w:rPr>
          <w:lang w:val="fr-CA"/>
        </w:rPr>
      </w:pPr>
      <w:r>
        <w:rPr>
          <w:lang w:val="fr-CA"/>
        </w:rPr>
        <w:t xml:space="preserve">La </w:t>
      </w:r>
      <w:r w:rsidR="00827BD1">
        <w:rPr>
          <w:lang w:val="fr-CA"/>
        </w:rPr>
        <w:t>lentille</w:t>
      </w:r>
      <w:r w:rsidRPr="00FA558D">
        <w:rPr>
          <w:lang w:val="fr-CA"/>
        </w:rPr>
        <w:t xml:space="preserve"> </w:t>
      </w:r>
      <w:r>
        <w:rPr>
          <w:lang w:val="fr-CA"/>
        </w:rPr>
        <w:t xml:space="preserve">est </w:t>
      </w:r>
      <w:r w:rsidR="00A73285">
        <w:rPr>
          <w:lang w:val="fr-CA"/>
        </w:rPr>
        <w:t xml:space="preserve">appliquée </w:t>
      </w:r>
      <w:r>
        <w:rPr>
          <w:lang w:val="fr-CA"/>
        </w:rPr>
        <w:t>si le règlement proposé</w:t>
      </w:r>
      <w:r w:rsidRPr="00FA558D">
        <w:rPr>
          <w:lang w:val="fr-CA"/>
        </w:rPr>
        <w:t xml:space="preserve"> </w:t>
      </w:r>
      <w:r>
        <w:rPr>
          <w:lang w:val="fr-CA"/>
        </w:rPr>
        <w:t>impos</w:t>
      </w:r>
      <w:r w:rsidR="00EC2B82">
        <w:rPr>
          <w:lang w:val="fr-CA"/>
        </w:rPr>
        <w:t>e</w:t>
      </w:r>
      <w:r w:rsidRPr="00FA558D">
        <w:rPr>
          <w:lang w:val="fr-CA"/>
        </w:rPr>
        <w:t xml:space="preserve"> </w:t>
      </w:r>
      <w:r>
        <w:rPr>
          <w:lang w:val="fr-CA"/>
        </w:rPr>
        <w:t xml:space="preserve">de nouveaux coûts </w:t>
      </w:r>
      <w:r w:rsidRPr="00FA558D">
        <w:rPr>
          <w:lang w:val="fr-CA"/>
        </w:rPr>
        <w:t>administrati</w:t>
      </w:r>
      <w:r>
        <w:rPr>
          <w:lang w:val="fr-CA"/>
        </w:rPr>
        <w:t>fs ou de conformité</w:t>
      </w:r>
      <w:r w:rsidRPr="00FA558D">
        <w:rPr>
          <w:lang w:val="fr-CA"/>
        </w:rPr>
        <w:t xml:space="preserve"> </w:t>
      </w:r>
      <w:r>
        <w:rPr>
          <w:lang w:val="fr-CA"/>
        </w:rPr>
        <w:t>aux petites entreprises du Canada</w:t>
      </w:r>
      <w:r w:rsidRPr="00FA558D">
        <w:rPr>
          <w:lang w:val="fr-CA"/>
        </w:rPr>
        <w:t>.</w:t>
      </w:r>
      <w:r>
        <w:rPr>
          <w:lang w:val="fr-CA"/>
        </w:rPr>
        <w:t xml:space="preserve"> Lorsque la </w:t>
      </w:r>
      <w:r w:rsidR="00827BD1">
        <w:rPr>
          <w:lang w:val="fr-CA"/>
        </w:rPr>
        <w:t>lentille</w:t>
      </w:r>
      <w:r w:rsidRPr="00FA558D">
        <w:rPr>
          <w:lang w:val="fr-CA"/>
        </w:rPr>
        <w:t xml:space="preserve"> </w:t>
      </w:r>
      <w:r>
        <w:rPr>
          <w:lang w:val="fr-CA"/>
        </w:rPr>
        <w:t xml:space="preserve">est </w:t>
      </w:r>
      <w:r w:rsidR="00A73285">
        <w:rPr>
          <w:lang w:val="fr-CA"/>
        </w:rPr>
        <w:t>appliquée</w:t>
      </w:r>
      <w:r w:rsidRPr="00FA558D">
        <w:rPr>
          <w:lang w:val="fr-CA"/>
        </w:rPr>
        <w:t xml:space="preserve">, </w:t>
      </w:r>
      <w:r>
        <w:rPr>
          <w:lang w:val="fr-CA"/>
        </w:rPr>
        <w:t xml:space="preserve">la section du REIR portant sur la </w:t>
      </w:r>
      <w:r w:rsidR="00827BD1">
        <w:rPr>
          <w:lang w:val="fr-CA"/>
        </w:rPr>
        <w:t>lentille</w:t>
      </w:r>
      <w:r>
        <w:rPr>
          <w:lang w:val="fr-CA"/>
        </w:rPr>
        <w:t xml:space="preserve"> des petites entreprises</w:t>
      </w:r>
      <w:r w:rsidRPr="00FA558D">
        <w:rPr>
          <w:lang w:val="fr-CA"/>
        </w:rPr>
        <w:t xml:space="preserve"> </w:t>
      </w:r>
      <w:r>
        <w:rPr>
          <w:lang w:val="fr-CA"/>
        </w:rPr>
        <w:t>doit comprendre le libellé suivant :</w:t>
      </w:r>
      <w:r w:rsidRPr="00FA558D">
        <w:rPr>
          <w:lang w:val="fr-CA"/>
        </w:rPr>
        <w:t xml:space="preserve"> </w:t>
      </w:r>
      <w:r>
        <w:rPr>
          <w:lang w:val="fr-CA"/>
        </w:rPr>
        <w:t>« </w:t>
      </w:r>
      <w:r w:rsidR="00453B4A" w:rsidRPr="00453B4A">
        <w:rPr>
          <w:lang w:val="fr-CA"/>
        </w:rPr>
        <w:t xml:space="preserve">L’analyse </w:t>
      </w:r>
      <w:r w:rsidR="004C7ECA">
        <w:rPr>
          <w:lang w:val="fr-CA"/>
        </w:rPr>
        <w:t xml:space="preserve">effectuée </w:t>
      </w:r>
      <w:r w:rsidR="00453B4A" w:rsidRPr="00453B4A">
        <w:rPr>
          <w:lang w:val="fr-CA"/>
        </w:rPr>
        <w:t xml:space="preserve">dans le cadre de la lentille des petites entreprises a conclu que le règlement proposé </w:t>
      </w:r>
      <w:r w:rsidR="00453B4A">
        <w:rPr>
          <w:lang w:val="fr-CA"/>
        </w:rPr>
        <w:t xml:space="preserve">aura </w:t>
      </w:r>
      <w:r w:rsidR="00453B4A" w:rsidRPr="00453B4A">
        <w:rPr>
          <w:lang w:val="fr-CA"/>
        </w:rPr>
        <w:t>une incidence sur les petites entreprises</w:t>
      </w:r>
      <w:r w:rsidRPr="00FA558D">
        <w:rPr>
          <w:lang w:val="fr-CA"/>
        </w:rPr>
        <w:t>.</w:t>
      </w:r>
      <w:r>
        <w:rPr>
          <w:lang w:val="fr-CA"/>
        </w:rPr>
        <w:t> »</w:t>
      </w:r>
      <w:r w:rsidRPr="00FA558D">
        <w:rPr>
          <w:lang w:val="fr-CA"/>
        </w:rPr>
        <w:t xml:space="preserve"> </w:t>
      </w:r>
    </w:p>
    <w:p w14:paraId="56643C29" w14:textId="77777777" w:rsidR="00B91619" w:rsidRPr="00FA558D" w:rsidRDefault="00B91619" w:rsidP="00B91619">
      <w:pPr>
        <w:tabs>
          <w:tab w:val="left" w:pos="9356"/>
        </w:tabs>
        <w:spacing w:after="0" w:line="240" w:lineRule="auto"/>
        <w:rPr>
          <w:lang w:val="fr-CA"/>
        </w:rPr>
      </w:pPr>
    </w:p>
    <w:p w14:paraId="5E64E21C" w14:textId="5ED5BF09" w:rsidR="00B91619" w:rsidRPr="00FA558D" w:rsidRDefault="00B91619" w:rsidP="00B91619">
      <w:pPr>
        <w:tabs>
          <w:tab w:val="left" w:pos="9356"/>
        </w:tabs>
        <w:spacing w:after="0" w:line="240" w:lineRule="auto"/>
        <w:rPr>
          <w:lang w:val="fr-CA"/>
        </w:rPr>
      </w:pPr>
      <w:r>
        <w:rPr>
          <w:lang w:val="fr-CA"/>
        </w:rPr>
        <w:t>L’analyse</w:t>
      </w:r>
      <w:r w:rsidRPr="00FA558D">
        <w:rPr>
          <w:lang w:val="fr-CA"/>
        </w:rPr>
        <w:t xml:space="preserve"> </w:t>
      </w:r>
      <w:r>
        <w:rPr>
          <w:lang w:val="fr-CA"/>
        </w:rPr>
        <w:t>exigée</w:t>
      </w:r>
      <w:r w:rsidRPr="00FA558D">
        <w:rPr>
          <w:lang w:val="fr-CA"/>
        </w:rPr>
        <w:t xml:space="preserve"> </w:t>
      </w:r>
      <w:r>
        <w:rPr>
          <w:lang w:val="fr-CA"/>
        </w:rPr>
        <w:t xml:space="preserve">en vertu de la </w:t>
      </w:r>
      <w:r w:rsidR="00827BD1">
        <w:rPr>
          <w:lang w:val="fr-CA"/>
        </w:rPr>
        <w:t>lentille</w:t>
      </w:r>
      <w:r w:rsidRPr="00FA558D">
        <w:rPr>
          <w:lang w:val="fr-CA"/>
        </w:rPr>
        <w:t xml:space="preserve"> </w:t>
      </w:r>
      <w:r>
        <w:rPr>
          <w:lang w:val="fr-CA"/>
        </w:rPr>
        <w:t>doit être présentée en vertu de cet énoncé</w:t>
      </w:r>
      <w:r w:rsidRPr="00FA558D">
        <w:rPr>
          <w:lang w:val="fr-CA"/>
        </w:rPr>
        <w:t xml:space="preserve">. </w:t>
      </w:r>
    </w:p>
    <w:p w14:paraId="5F43379E" w14:textId="77777777" w:rsidR="00B91619" w:rsidRPr="00FA558D" w:rsidRDefault="00B91619" w:rsidP="00B91619">
      <w:pPr>
        <w:tabs>
          <w:tab w:val="left" w:pos="9356"/>
        </w:tabs>
        <w:spacing w:after="0" w:line="240" w:lineRule="auto"/>
        <w:rPr>
          <w:lang w:val="fr-CA"/>
        </w:rPr>
      </w:pPr>
    </w:p>
    <w:p w14:paraId="30B9945F" w14:textId="691CE607" w:rsidR="00B91619" w:rsidRPr="00FA558D" w:rsidRDefault="00B91619" w:rsidP="00B91619">
      <w:pPr>
        <w:tabs>
          <w:tab w:val="left" w:pos="9356"/>
        </w:tabs>
        <w:spacing w:after="0" w:line="240" w:lineRule="auto"/>
        <w:rPr>
          <w:lang w:val="fr-CA"/>
        </w:rPr>
      </w:pPr>
      <w:r>
        <w:rPr>
          <w:lang w:val="fr-CA"/>
        </w:rPr>
        <w:t>Les répercussions</w:t>
      </w:r>
      <w:r w:rsidRPr="00FA558D">
        <w:rPr>
          <w:lang w:val="fr-CA"/>
        </w:rPr>
        <w:t xml:space="preserve"> </w:t>
      </w:r>
      <w:r>
        <w:rPr>
          <w:lang w:val="fr-CA"/>
        </w:rPr>
        <w:t>sur les petites entreprises</w:t>
      </w:r>
      <w:r w:rsidRPr="00FA558D">
        <w:rPr>
          <w:lang w:val="fr-CA"/>
        </w:rPr>
        <w:t xml:space="preserve"> </w:t>
      </w:r>
      <w:r>
        <w:rPr>
          <w:lang w:val="fr-CA"/>
        </w:rPr>
        <w:t xml:space="preserve">doivent être </w:t>
      </w:r>
      <w:r w:rsidRPr="00FA558D">
        <w:rPr>
          <w:lang w:val="fr-CA"/>
        </w:rPr>
        <w:t>d</w:t>
      </w:r>
      <w:r>
        <w:rPr>
          <w:lang w:val="fr-CA"/>
        </w:rPr>
        <w:t>écrites conformément aux exigences</w:t>
      </w:r>
      <w:r w:rsidRPr="00FA558D">
        <w:rPr>
          <w:lang w:val="fr-CA"/>
        </w:rPr>
        <w:t xml:space="preserve"> </w:t>
      </w:r>
      <w:r>
        <w:rPr>
          <w:lang w:val="fr-CA"/>
        </w:rPr>
        <w:t>définies dans la</w:t>
      </w:r>
      <w:r w:rsidRPr="00FA558D">
        <w:rPr>
          <w:lang w:val="fr-CA"/>
        </w:rPr>
        <w:t xml:space="preserve"> </w:t>
      </w:r>
      <w:r>
        <w:rPr>
          <w:lang w:val="fr-CA"/>
        </w:rPr>
        <w:t>sous-s</w:t>
      </w:r>
      <w:r w:rsidRPr="00FA558D">
        <w:rPr>
          <w:lang w:val="fr-CA"/>
        </w:rPr>
        <w:t>ection 8.2.2</w:t>
      </w:r>
      <w:r>
        <w:rPr>
          <w:lang w:val="fr-CA"/>
        </w:rPr>
        <w:t xml:space="preserve"> de la </w:t>
      </w:r>
      <w:r w:rsidR="00A73285">
        <w:rPr>
          <w:lang w:val="fr-CA"/>
        </w:rPr>
        <w:t>p</w:t>
      </w:r>
      <w:r>
        <w:rPr>
          <w:lang w:val="fr-CA"/>
        </w:rPr>
        <w:t>olitique</w:t>
      </w:r>
      <w:r w:rsidRPr="00FA558D">
        <w:rPr>
          <w:lang w:val="fr-CA"/>
        </w:rPr>
        <w:t>.</w:t>
      </w:r>
    </w:p>
    <w:p w14:paraId="5A7DD089" w14:textId="77777777" w:rsidR="00B91619" w:rsidRPr="00FA558D" w:rsidRDefault="00B91619" w:rsidP="00B91619">
      <w:pPr>
        <w:tabs>
          <w:tab w:val="left" w:pos="9356"/>
        </w:tabs>
        <w:spacing w:after="0" w:line="240" w:lineRule="auto"/>
        <w:rPr>
          <w:lang w:val="fr-CA"/>
        </w:rPr>
      </w:pPr>
    </w:p>
    <w:p w14:paraId="27B5F150" w14:textId="486DAE17" w:rsidR="00B91619" w:rsidRPr="00FA558D" w:rsidRDefault="00B91619" w:rsidP="00B91619">
      <w:pPr>
        <w:tabs>
          <w:tab w:val="left" w:pos="9356"/>
        </w:tabs>
        <w:spacing w:after="0" w:line="240" w:lineRule="auto"/>
        <w:rPr>
          <w:lang w:val="fr-CA"/>
        </w:rPr>
      </w:pPr>
      <w:r>
        <w:rPr>
          <w:lang w:val="fr-CA"/>
        </w:rPr>
        <w:t>Tous les projet</w:t>
      </w:r>
      <w:r w:rsidRPr="00FA558D">
        <w:rPr>
          <w:lang w:val="fr-CA"/>
        </w:rPr>
        <w:t xml:space="preserve">s </w:t>
      </w:r>
      <w:r>
        <w:rPr>
          <w:lang w:val="fr-CA"/>
        </w:rPr>
        <w:t>doivent</w:t>
      </w:r>
      <w:r w:rsidRPr="00FA558D">
        <w:rPr>
          <w:lang w:val="fr-CA"/>
        </w:rPr>
        <w:t xml:space="preserve"> d</w:t>
      </w:r>
      <w:r>
        <w:rPr>
          <w:lang w:val="fr-CA"/>
        </w:rPr>
        <w:t>écrire en termes qualitatifs les répercussions</w:t>
      </w:r>
      <w:r w:rsidRPr="00FA558D">
        <w:rPr>
          <w:lang w:val="fr-CA"/>
        </w:rPr>
        <w:t xml:space="preserve"> </w:t>
      </w:r>
      <w:r>
        <w:rPr>
          <w:lang w:val="fr-CA"/>
        </w:rPr>
        <w:t>sur les petites entreprises afin de permettre aux déci</w:t>
      </w:r>
      <w:r w:rsidR="00A73285">
        <w:rPr>
          <w:lang w:val="fr-CA"/>
        </w:rPr>
        <w:t>deurs</w:t>
      </w:r>
      <w:r>
        <w:rPr>
          <w:lang w:val="fr-CA"/>
        </w:rPr>
        <w:t xml:space="preserve"> de comprendre la </w:t>
      </w:r>
      <w:r w:rsidRPr="00FA558D">
        <w:rPr>
          <w:lang w:val="fr-CA"/>
        </w:rPr>
        <w:t xml:space="preserve">nature </w:t>
      </w:r>
      <w:r>
        <w:rPr>
          <w:lang w:val="fr-CA"/>
        </w:rPr>
        <w:t>des répercussions. Les projets dont les répercussions auront des coûts significatifs doivent aussi présenter une analyse monét</w:t>
      </w:r>
      <w:r w:rsidR="00C5160F">
        <w:rPr>
          <w:lang w:val="fr-CA"/>
        </w:rPr>
        <w:t>aire</w:t>
      </w:r>
      <w:r>
        <w:rPr>
          <w:lang w:val="fr-CA"/>
        </w:rPr>
        <w:t xml:space="preserve"> des répercussions</w:t>
      </w:r>
      <w:r w:rsidRPr="00FA558D">
        <w:rPr>
          <w:lang w:val="fr-CA"/>
        </w:rPr>
        <w:t xml:space="preserve"> </w:t>
      </w:r>
      <w:r>
        <w:rPr>
          <w:lang w:val="fr-CA"/>
        </w:rPr>
        <w:t xml:space="preserve">sur les petites entreprises et des justifications chiffrées, selon le cas. Les projets dont les répercussions auront des coûts peu élevés doivent </w:t>
      </w:r>
      <w:r w:rsidR="00A9277E">
        <w:rPr>
          <w:lang w:val="fr-CA"/>
        </w:rPr>
        <w:t xml:space="preserve">être </w:t>
      </w:r>
      <w:r>
        <w:rPr>
          <w:lang w:val="fr-CA"/>
        </w:rPr>
        <w:t>étay</w:t>
      </w:r>
      <w:r w:rsidR="00A9277E">
        <w:rPr>
          <w:lang w:val="fr-CA"/>
        </w:rPr>
        <w:t>és</w:t>
      </w:r>
      <w:r>
        <w:rPr>
          <w:lang w:val="fr-CA"/>
        </w:rPr>
        <w:t xml:space="preserve"> par une description </w:t>
      </w:r>
      <w:r w:rsidRPr="00FA558D">
        <w:rPr>
          <w:lang w:val="fr-CA"/>
        </w:rPr>
        <w:t>qualitative</w:t>
      </w:r>
      <w:r>
        <w:rPr>
          <w:lang w:val="fr-CA"/>
        </w:rPr>
        <w:t>, mais peuvent aussi présenter une analyse chiffrée ou monétaire si cela est possible.</w:t>
      </w:r>
    </w:p>
    <w:p w14:paraId="09F73FDD" w14:textId="77777777" w:rsidR="00B91619" w:rsidRPr="00FA558D" w:rsidRDefault="00B91619" w:rsidP="00B91619">
      <w:pPr>
        <w:tabs>
          <w:tab w:val="left" w:pos="9356"/>
        </w:tabs>
        <w:spacing w:after="0" w:line="240" w:lineRule="auto"/>
        <w:rPr>
          <w:lang w:val="fr-CA"/>
        </w:rPr>
      </w:pPr>
    </w:p>
    <w:p w14:paraId="6D59C4CB" w14:textId="77777777" w:rsidR="00B91619" w:rsidRPr="00FA558D" w:rsidRDefault="00B91619" w:rsidP="00B91619">
      <w:pPr>
        <w:tabs>
          <w:tab w:val="left" w:pos="9356"/>
        </w:tabs>
        <w:spacing w:after="0" w:line="240" w:lineRule="auto"/>
        <w:rPr>
          <w:lang w:val="fr-CA"/>
        </w:rPr>
      </w:pPr>
      <w:r>
        <w:rPr>
          <w:lang w:val="fr-CA"/>
        </w:rPr>
        <w:t>La section</w:t>
      </w:r>
      <w:r w:rsidRPr="00FA558D">
        <w:rPr>
          <w:lang w:val="fr-CA"/>
        </w:rPr>
        <w:t xml:space="preserve"> </w:t>
      </w:r>
      <w:r>
        <w:rPr>
          <w:lang w:val="fr-CA"/>
        </w:rPr>
        <w:t>devrait</w:t>
      </w:r>
      <w:r w:rsidRPr="00FA558D">
        <w:rPr>
          <w:lang w:val="fr-CA"/>
        </w:rPr>
        <w:t xml:space="preserve"> </w:t>
      </w:r>
      <w:r>
        <w:rPr>
          <w:lang w:val="fr-CA"/>
        </w:rPr>
        <w:t>comprendre</w:t>
      </w:r>
      <w:r w:rsidRPr="00FA558D">
        <w:rPr>
          <w:lang w:val="fr-CA"/>
        </w:rPr>
        <w:t xml:space="preserve"> </w:t>
      </w:r>
      <w:r>
        <w:rPr>
          <w:lang w:val="fr-CA"/>
        </w:rPr>
        <w:t>des renseignements tels que les suivants :</w:t>
      </w:r>
    </w:p>
    <w:p w14:paraId="27DF92D6" w14:textId="32BC7CA7" w:rsidR="00B91619" w:rsidRPr="00FA558D" w:rsidRDefault="00B91619" w:rsidP="00B91619">
      <w:pPr>
        <w:pStyle w:val="ListParagraph"/>
        <w:numPr>
          <w:ilvl w:val="0"/>
          <w:numId w:val="4"/>
        </w:numPr>
        <w:tabs>
          <w:tab w:val="left" w:pos="9356"/>
        </w:tabs>
        <w:spacing w:after="0" w:line="240" w:lineRule="auto"/>
        <w:rPr>
          <w:lang w:val="fr-CA"/>
        </w:rPr>
      </w:pPr>
      <w:r>
        <w:rPr>
          <w:lang w:val="fr-CA"/>
        </w:rPr>
        <w:lastRenderedPageBreak/>
        <w:t>le nombre de</w:t>
      </w:r>
      <w:r w:rsidRPr="00FA558D">
        <w:rPr>
          <w:lang w:val="fr-CA"/>
        </w:rPr>
        <w:t xml:space="preserve"> </w:t>
      </w:r>
      <w:r>
        <w:rPr>
          <w:lang w:val="fr-CA"/>
        </w:rPr>
        <w:t>petites entreprises</w:t>
      </w:r>
      <w:r w:rsidRPr="00FA558D">
        <w:rPr>
          <w:lang w:val="fr-CA"/>
        </w:rPr>
        <w:t xml:space="preserve"> </w:t>
      </w:r>
      <w:r>
        <w:rPr>
          <w:lang w:val="fr-CA"/>
        </w:rPr>
        <w:t>touchées par les répercussions;</w:t>
      </w:r>
    </w:p>
    <w:p w14:paraId="4710F595" w14:textId="0406D369" w:rsidR="00B91619" w:rsidRPr="00FA558D" w:rsidRDefault="00B91619" w:rsidP="00B91619">
      <w:pPr>
        <w:pStyle w:val="ListParagraph"/>
        <w:numPr>
          <w:ilvl w:val="0"/>
          <w:numId w:val="4"/>
        </w:numPr>
        <w:tabs>
          <w:tab w:val="left" w:pos="9356"/>
        </w:tabs>
        <w:spacing w:after="0" w:line="240" w:lineRule="auto"/>
        <w:rPr>
          <w:lang w:val="fr-CA"/>
        </w:rPr>
      </w:pPr>
      <w:r>
        <w:rPr>
          <w:lang w:val="fr-CA"/>
        </w:rPr>
        <w:t>le coût estimé par petite entreprise;</w:t>
      </w:r>
    </w:p>
    <w:p w14:paraId="70AA26CC" w14:textId="77777777" w:rsidR="00B91619" w:rsidRPr="00FA558D" w:rsidRDefault="00B91619" w:rsidP="00B91619">
      <w:pPr>
        <w:pStyle w:val="ListParagraph"/>
        <w:numPr>
          <w:ilvl w:val="0"/>
          <w:numId w:val="4"/>
        </w:numPr>
        <w:tabs>
          <w:tab w:val="left" w:pos="9356"/>
        </w:tabs>
        <w:spacing w:after="0" w:line="240" w:lineRule="auto"/>
        <w:rPr>
          <w:lang w:val="fr-CA"/>
        </w:rPr>
      </w:pPr>
      <w:r>
        <w:rPr>
          <w:lang w:val="fr-CA"/>
        </w:rPr>
        <w:t>comment la population des petites entreprises</w:t>
      </w:r>
      <w:r w:rsidRPr="00FA558D">
        <w:rPr>
          <w:lang w:val="fr-CA"/>
        </w:rPr>
        <w:t xml:space="preserve"> </w:t>
      </w:r>
      <w:r>
        <w:rPr>
          <w:lang w:val="fr-CA"/>
        </w:rPr>
        <w:t>touchées se compare à la population de grandes et moyennes entreprises touchées.</w:t>
      </w:r>
    </w:p>
    <w:p w14:paraId="4A9F5FDD" w14:textId="77777777" w:rsidR="00B91619" w:rsidRPr="00FA558D" w:rsidRDefault="00B91619" w:rsidP="00B91619">
      <w:pPr>
        <w:tabs>
          <w:tab w:val="left" w:pos="9356"/>
        </w:tabs>
        <w:spacing w:after="0" w:line="240" w:lineRule="auto"/>
        <w:rPr>
          <w:lang w:val="fr-CA"/>
        </w:rPr>
      </w:pPr>
    </w:p>
    <w:p w14:paraId="5F2D6F95" w14:textId="4CB9A792" w:rsidR="00B91619" w:rsidRPr="00FA558D" w:rsidRDefault="00B91619" w:rsidP="00B91619">
      <w:pPr>
        <w:tabs>
          <w:tab w:val="left" w:pos="9356"/>
        </w:tabs>
        <w:spacing w:after="0" w:line="240" w:lineRule="auto"/>
        <w:rPr>
          <w:lang w:val="fr-CA"/>
        </w:rPr>
      </w:pPr>
      <w:r>
        <w:rPr>
          <w:lang w:val="fr-CA"/>
        </w:rPr>
        <w:t>La section</w:t>
      </w:r>
      <w:r w:rsidRPr="00FA558D">
        <w:rPr>
          <w:lang w:val="fr-CA"/>
        </w:rPr>
        <w:t xml:space="preserve"> </w:t>
      </w:r>
      <w:r>
        <w:rPr>
          <w:lang w:val="fr-CA"/>
        </w:rPr>
        <w:t>doit</w:t>
      </w:r>
      <w:r w:rsidRPr="00FA558D">
        <w:rPr>
          <w:lang w:val="fr-CA"/>
        </w:rPr>
        <w:t xml:space="preserve"> </w:t>
      </w:r>
      <w:r>
        <w:rPr>
          <w:lang w:val="fr-CA"/>
        </w:rPr>
        <w:t>aussi</w:t>
      </w:r>
      <w:r w:rsidRPr="00FA558D">
        <w:rPr>
          <w:lang w:val="fr-CA"/>
        </w:rPr>
        <w:t xml:space="preserve"> </w:t>
      </w:r>
      <w:r>
        <w:rPr>
          <w:lang w:val="fr-CA"/>
        </w:rPr>
        <w:t xml:space="preserve">indiquer </w:t>
      </w:r>
      <w:r w:rsidR="00A73285">
        <w:rPr>
          <w:lang w:val="fr-CA"/>
        </w:rPr>
        <w:t xml:space="preserve">de quelle façon </w:t>
      </w:r>
      <w:r>
        <w:rPr>
          <w:lang w:val="fr-CA"/>
        </w:rPr>
        <w:t>les estimation</w:t>
      </w:r>
      <w:r w:rsidRPr="00FA558D">
        <w:rPr>
          <w:lang w:val="fr-CA"/>
        </w:rPr>
        <w:t>s</w:t>
      </w:r>
      <w:r>
        <w:rPr>
          <w:lang w:val="fr-CA"/>
        </w:rPr>
        <w:t xml:space="preserve"> et les hypothèse</w:t>
      </w:r>
      <w:r w:rsidRPr="00FA558D">
        <w:rPr>
          <w:lang w:val="fr-CA"/>
        </w:rPr>
        <w:t xml:space="preserve">s </w:t>
      </w:r>
      <w:r>
        <w:rPr>
          <w:lang w:val="fr-CA"/>
        </w:rPr>
        <w:t>ont été validées ou formulées à partir de la contribution d</w:t>
      </w:r>
      <w:r w:rsidR="00A73285">
        <w:rPr>
          <w:lang w:val="fr-CA"/>
        </w:rPr>
        <w:t xml:space="preserve">es </w:t>
      </w:r>
      <w:r>
        <w:rPr>
          <w:lang w:val="fr-CA"/>
        </w:rPr>
        <w:t>intervenants</w:t>
      </w:r>
      <w:r w:rsidRPr="00FA558D">
        <w:rPr>
          <w:lang w:val="fr-CA"/>
        </w:rPr>
        <w:t>.</w:t>
      </w:r>
    </w:p>
    <w:p w14:paraId="6D1EA036" w14:textId="77777777" w:rsidR="00B91619" w:rsidRPr="00FA558D" w:rsidRDefault="00B91619" w:rsidP="00B91619">
      <w:pPr>
        <w:tabs>
          <w:tab w:val="left" w:pos="9356"/>
        </w:tabs>
        <w:spacing w:after="0" w:line="240" w:lineRule="auto"/>
        <w:rPr>
          <w:lang w:val="fr-CA"/>
        </w:rPr>
      </w:pPr>
    </w:p>
    <w:p w14:paraId="4AF525D6" w14:textId="095E7637" w:rsidR="00B91619" w:rsidRPr="00FA558D" w:rsidRDefault="00B91619" w:rsidP="00B91619">
      <w:pPr>
        <w:tabs>
          <w:tab w:val="left" w:pos="9356"/>
        </w:tabs>
        <w:spacing w:after="0" w:line="240" w:lineRule="auto"/>
        <w:rPr>
          <w:lang w:val="fr-CA"/>
        </w:rPr>
      </w:pPr>
      <w:r>
        <w:rPr>
          <w:lang w:val="fr-CA"/>
        </w:rPr>
        <w:t>D’après la sous-s</w:t>
      </w:r>
      <w:r w:rsidRPr="00FA558D">
        <w:rPr>
          <w:lang w:val="fr-CA"/>
        </w:rPr>
        <w:t>ection 8.2.4</w:t>
      </w:r>
      <w:r>
        <w:rPr>
          <w:lang w:val="fr-CA"/>
        </w:rPr>
        <w:t xml:space="preserve"> de la </w:t>
      </w:r>
      <w:r w:rsidR="003773D7">
        <w:rPr>
          <w:lang w:val="fr-CA"/>
        </w:rPr>
        <w:t>p</w:t>
      </w:r>
      <w:r>
        <w:rPr>
          <w:lang w:val="fr-CA"/>
        </w:rPr>
        <w:t>olitique</w:t>
      </w:r>
      <w:r w:rsidRPr="00FA558D">
        <w:rPr>
          <w:lang w:val="fr-CA"/>
        </w:rPr>
        <w:t xml:space="preserve">, </w:t>
      </w:r>
      <w:r>
        <w:rPr>
          <w:lang w:val="fr-CA"/>
        </w:rPr>
        <w:t xml:space="preserve">la section sur la </w:t>
      </w:r>
      <w:r w:rsidR="00827BD1">
        <w:rPr>
          <w:lang w:val="fr-CA"/>
        </w:rPr>
        <w:t>lentille</w:t>
      </w:r>
      <w:r>
        <w:rPr>
          <w:lang w:val="fr-CA"/>
        </w:rPr>
        <w:t xml:space="preserve"> des petites entreprises</w:t>
      </w:r>
      <w:r w:rsidRPr="00FA558D">
        <w:rPr>
          <w:lang w:val="fr-CA"/>
        </w:rPr>
        <w:t xml:space="preserve"> </w:t>
      </w:r>
      <w:r>
        <w:rPr>
          <w:lang w:val="fr-CA"/>
        </w:rPr>
        <w:t>devrait</w:t>
      </w:r>
      <w:r w:rsidRPr="00FA558D">
        <w:rPr>
          <w:lang w:val="fr-CA"/>
        </w:rPr>
        <w:t xml:space="preserve"> </w:t>
      </w:r>
      <w:r>
        <w:rPr>
          <w:lang w:val="fr-CA"/>
        </w:rPr>
        <w:t>indiquer comment les besoins des petites entreprises ont été pris en compte dans la formulation de règlements. Si l’organisme de réglementation n’avait pas le pouvoir discrétionnaire de concevoir le projet</w:t>
      </w:r>
      <w:r w:rsidRPr="00FA558D">
        <w:rPr>
          <w:lang w:val="fr-CA"/>
        </w:rPr>
        <w:t xml:space="preserve">, </w:t>
      </w:r>
      <w:r>
        <w:rPr>
          <w:lang w:val="fr-CA"/>
        </w:rPr>
        <w:t>cet état de fait devrait faire l’objet d’une courte explication informative.</w:t>
      </w:r>
    </w:p>
    <w:p w14:paraId="39B96413" w14:textId="77777777" w:rsidR="00B91619" w:rsidRPr="00FA558D" w:rsidRDefault="00B91619" w:rsidP="00B91619">
      <w:pPr>
        <w:tabs>
          <w:tab w:val="left" w:pos="9356"/>
        </w:tabs>
        <w:spacing w:after="0" w:line="240" w:lineRule="auto"/>
        <w:rPr>
          <w:lang w:val="fr-CA"/>
        </w:rPr>
      </w:pPr>
    </w:p>
    <w:p w14:paraId="184104DF" w14:textId="31FED3B3" w:rsidR="00B91619" w:rsidRPr="00FA558D" w:rsidRDefault="00B91619" w:rsidP="00B91619">
      <w:pPr>
        <w:tabs>
          <w:tab w:val="left" w:pos="9356"/>
        </w:tabs>
        <w:spacing w:after="0" w:line="240" w:lineRule="auto"/>
        <w:rPr>
          <w:lang w:val="fr-CA"/>
        </w:rPr>
      </w:pPr>
      <w:r>
        <w:rPr>
          <w:lang w:val="fr-CA"/>
        </w:rPr>
        <w:t>La sous-s</w:t>
      </w:r>
      <w:r w:rsidRPr="00FA558D">
        <w:rPr>
          <w:lang w:val="fr-CA"/>
        </w:rPr>
        <w:t>ection 8.2.5</w:t>
      </w:r>
      <w:r>
        <w:rPr>
          <w:lang w:val="fr-CA"/>
        </w:rPr>
        <w:t xml:space="preserve"> de la </w:t>
      </w:r>
      <w:r w:rsidR="003773D7">
        <w:rPr>
          <w:lang w:val="fr-CA"/>
        </w:rPr>
        <w:t>p</w:t>
      </w:r>
      <w:r>
        <w:rPr>
          <w:lang w:val="fr-CA"/>
        </w:rPr>
        <w:t>olitique</w:t>
      </w:r>
      <w:r w:rsidRPr="00FA558D">
        <w:rPr>
          <w:lang w:val="fr-CA"/>
        </w:rPr>
        <w:t xml:space="preserve"> </w:t>
      </w:r>
      <w:r>
        <w:rPr>
          <w:lang w:val="fr-CA"/>
        </w:rPr>
        <w:t>oblige les organismes de réglementation</w:t>
      </w:r>
      <w:r w:rsidRPr="00FA558D">
        <w:rPr>
          <w:lang w:val="fr-CA"/>
        </w:rPr>
        <w:t xml:space="preserve"> </w:t>
      </w:r>
      <w:r>
        <w:rPr>
          <w:lang w:val="fr-CA"/>
        </w:rPr>
        <w:t xml:space="preserve">à formuler des règlements permettant de faire preuve de plus de souplesse vis-à-vis </w:t>
      </w:r>
      <w:r w:rsidR="003773D7">
        <w:rPr>
          <w:lang w:val="fr-CA"/>
        </w:rPr>
        <w:t>l</w:t>
      </w:r>
      <w:r>
        <w:rPr>
          <w:lang w:val="fr-CA"/>
        </w:rPr>
        <w:t xml:space="preserve">es petites entreprises. La section sur la </w:t>
      </w:r>
      <w:r w:rsidR="00827BD1">
        <w:rPr>
          <w:lang w:val="fr-CA"/>
        </w:rPr>
        <w:t>lentille</w:t>
      </w:r>
      <w:r>
        <w:rPr>
          <w:lang w:val="fr-CA"/>
        </w:rPr>
        <w:t xml:space="preserve"> des petites entreprises</w:t>
      </w:r>
      <w:r w:rsidRPr="00FA558D">
        <w:rPr>
          <w:lang w:val="fr-CA"/>
        </w:rPr>
        <w:t xml:space="preserve"> </w:t>
      </w:r>
      <w:r>
        <w:rPr>
          <w:lang w:val="fr-CA"/>
        </w:rPr>
        <w:t>devrait</w:t>
      </w:r>
      <w:r w:rsidRPr="00FA558D">
        <w:rPr>
          <w:lang w:val="fr-CA"/>
        </w:rPr>
        <w:t xml:space="preserve"> </w:t>
      </w:r>
      <w:r>
        <w:rPr>
          <w:lang w:val="fr-CA"/>
        </w:rPr>
        <w:t xml:space="preserve">comprendre une </w:t>
      </w:r>
      <w:r w:rsidRPr="00FA558D">
        <w:rPr>
          <w:lang w:val="fr-CA"/>
        </w:rPr>
        <w:t xml:space="preserve">description </w:t>
      </w:r>
      <w:r>
        <w:rPr>
          <w:lang w:val="fr-CA"/>
        </w:rPr>
        <w:t>de ces mesures plus souples. Si aucune souplesse n’est prévue, la section</w:t>
      </w:r>
      <w:r w:rsidRPr="00FA558D">
        <w:rPr>
          <w:lang w:val="fr-CA"/>
        </w:rPr>
        <w:t xml:space="preserve"> </w:t>
      </w:r>
      <w:r>
        <w:rPr>
          <w:lang w:val="fr-CA"/>
        </w:rPr>
        <w:t>devrait</w:t>
      </w:r>
      <w:r w:rsidRPr="00FA558D">
        <w:rPr>
          <w:lang w:val="fr-CA"/>
        </w:rPr>
        <w:t xml:space="preserve"> </w:t>
      </w:r>
      <w:r>
        <w:rPr>
          <w:lang w:val="fr-CA"/>
        </w:rPr>
        <w:t>comprendre</w:t>
      </w:r>
      <w:r w:rsidRPr="00FA558D">
        <w:rPr>
          <w:lang w:val="fr-CA"/>
        </w:rPr>
        <w:t xml:space="preserve"> </w:t>
      </w:r>
      <w:r>
        <w:rPr>
          <w:lang w:val="fr-CA"/>
        </w:rPr>
        <w:t>une courte explication des facteurs qui ont motivé cette décision</w:t>
      </w:r>
      <w:r w:rsidRPr="00FA558D">
        <w:rPr>
          <w:lang w:val="fr-CA"/>
        </w:rPr>
        <w:t xml:space="preserve">. </w:t>
      </w:r>
    </w:p>
    <w:p w14:paraId="11649BEE" w14:textId="77777777" w:rsidR="00B91619" w:rsidRPr="00FA558D" w:rsidRDefault="00B91619" w:rsidP="00B91619">
      <w:pPr>
        <w:tabs>
          <w:tab w:val="left" w:pos="9356"/>
        </w:tabs>
        <w:spacing w:after="0" w:line="240" w:lineRule="auto"/>
        <w:rPr>
          <w:lang w:val="fr-CA"/>
        </w:rPr>
      </w:pPr>
    </w:p>
    <w:p w14:paraId="5BBEC6C9" w14:textId="77777777" w:rsidR="00B91619" w:rsidRPr="00FA558D" w:rsidRDefault="00B91619" w:rsidP="00B91619">
      <w:pPr>
        <w:tabs>
          <w:tab w:val="left" w:pos="9356"/>
        </w:tabs>
        <w:spacing w:after="0" w:line="240" w:lineRule="auto"/>
        <w:rPr>
          <w:lang w:val="fr-CA"/>
        </w:rPr>
      </w:pPr>
      <w:r>
        <w:rPr>
          <w:lang w:val="fr-CA"/>
        </w:rPr>
        <w:t>Le calcul des coû</w:t>
      </w:r>
      <w:r w:rsidRPr="00FA558D">
        <w:rPr>
          <w:lang w:val="fr-CA"/>
        </w:rPr>
        <w:t xml:space="preserve">ts </w:t>
      </w:r>
      <w:r>
        <w:rPr>
          <w:lang w:val="fr-CA"/>
        </w:rPr>
        <w:t xml:space="preserve">des activités </w:t>
      </w:r>
      <w:r w:rsidRPr="00FA558D">
        <w:rPr>
          <w:lang w:val="fr-CA"/>
        </w:rPr>
        <w:t>administrative</w:t>
      </w:r>
      <w:r>
        <w:rPr>
          <w:lang w:val="fr-CA"/>
        </w:rPr>
        <w:t>s et de conformité :</w:t>
      </w:r>
    </w:p>
    <w:p w14:paraId="40DCF83E" w14:textId="2AFA68D5" w:rsidR="00B91619" w:rsidRPr="00FA558D" w:rsidRDefault="00B91619" w:rsidP="00B91619">
      <w:pPr>
        <w:pStyle w:val="ListParagraph"/>
        <w:numPr>
          <w:ilvl w:val="0"/>
          <w:numId w:val="25"/>
        </w:numPr>
        <w:tabs>
          <w:tab w:val="left" w:pos="9356"/>
        </w:tabs>
        <w:spacing w:after="0" w:line="240" w:lineRule="auto"/>
        <w:rPr>
          <w:lang w:val="fr-CA"/>
        </w:rPr>
      </w:pPr>
      <w:r>
        <w:rPr>
          <w:lang w:val="fr-CA"/>
        </w:rPr>
        <w:t>doit être présenté pour les règlement</w:t>
      </w:r>
      <w:r w:rsidRPr="00FA558D">
        <w:rPr>
          <w:lang w:val="fr-CA"/>
        </w:rPr>
        <w:t>s</w:t>
      </w:r>
      <w:r>
        <w:rPr>
          <w:lang w:val="fr-CA"/>
        </w:rPr>
        <w:t xml:space="preserve"> dont les répercussions ont un coût significatif et </w:t>
      </w:r>
      <w:r w:rsidR="003773D7">
        <w:rPr>
          <w:lang w:val="fr-CA"/>
        </w:rPr>
        <w:t>pour lesquels s’applique</w:t>
      </w:r>
      <w:r w:rsidRPr="00FA558D">
        <w:rPr>
          <w:lang w:val="fr-CA"/>
        </w:rPr>
        <w:t xml:space="preserve"> </w:t>
      </w:r>
      <w:r>
        <w:rPr>
          <w:lang w:val="fr-CA"/>
        </w:rPr>
        <w:t xml:space="preserve">la </w:t>
      </w:r>
      <w:r w:rsidR="00827BD1">
        <w:rPr>
          <w:lang w:val="fr-CA"/>
        </w:rPr>
        <w:t>lentille</w:t>
      </w:r>
      <w:r>
        <w:rPr>
          <w:lang w:val="fr-CA"/>
        </w:rPr>
        <w:t>;</w:t>
      </w:r>
    </w:p>
    <w:p w14:paraId="782C3996" w14:textId="7CA0E21D" w:rsidR="00B91619" w:rsidRPr="00FA558D" w:rsidRDefault="00B91619" w:rsidP="00B91619">
      <w:pPr>
        <w:pStyle w:val="ListParagraph"/>
        <w:numPr>
          <w:ilvl w:val="0"/>
          <w:numId w:val="25"/>
        </w:numPr>
        <w:tabs>
          <w:tab w:val="left" w:pos="9356"/>
        </w:tabs>
        <w:spacing w:after="0" w:line="240" w:lineRule="auto"/>
        <w:rPr>
          <w:lang w:val="fr-CA"/>
        </w:rPr>
      </w:pPr>
      <w:r>
        <w:rPr>
          <w:lang w:val="fr-CA"/>
        </w:rPr>
        <w:t>devrait être</w:t>
      </w:r>
      <w:r w:rsidRPr="00FA558D">
        <w:rPr>
          <w:lang w:val="fr-CA"/>
        </w:rPr>
        <w:t xml:space="preserve"> </w:t>
      </w:r>
      <w:r>
        <w:rPr>
          <w:lang w:val="fr-CA"/>
        </w:rPr>
        <w:t>présenté sous forme de récit, et des données monét</w:t>
      </w:r>
      <w:r w:rsidR="00B4147F">
        <w:rPr>
          <w:lang w:val="fr-CA"/>
        </w:rPr>
        <w:t>isées</w:t>
      </w:r>
      <w:r>
        <w:rPr>
          <w:lang w:val="fr-CA"/>
        </w:rPr>
        <w:t xml:space="preserve"> devraient être associées à chaque </w:t>
      </w:r>
      <w:r w:rsidRPr="00FA558D">
        <w:rPr>
          <w:lang w:val="fr-CA"/>
        </w:rPr>
        <w:t>activ</w:t>
      </w:r>
      <w:r>
        <w:rPr>
          <w:lang w:val="fr-CA"/>
        </w:rPr>
        <w:t>ité</w:t>
      </w:r>
      <w:r w:rsidRPr="00FA558D">
        <w:rPr>
          <w:lang w:val="fr-CA"/>
        </w:rPr>
        <w:t xml:space="preserve"> </w:t>
      </w:r>
      <w:r w:rsidR="003773D7">
        <w:rPr>
          <w:lang w:val="fr-CA"/>
        </w:rPr>
        <w:t>énumérée</w:t>
      </w:r>
      <w:r>
        <w:rPr>
          <w:lang w:val="fr-CA"/>
        </w:rPr>
        <w:t>;</w:t>
      </w:r>
    </w:p>
    <w:p w14:paraId="53AA323E" w14:textId="61B35EDA" w:rsidR="00B91619" w:rsidRPr="00FA558D" w:rsidRDefault="00B91619" w:rsidP="00B91619">
      <w:pPr>
        <w:pStyle w:val="ListParagraph"/>
        <w:numPr>
          <w:ilvl w:val="0"/>
          <w:numId w:val="25"/>
        </w:numPr>
        <w:tabs>
          <w:tab w:val="left" w:pos="9356"/>
        </w:tabs>
        <w:spacing w:after="0" w:line="240" w:lineRule="auto"/>
        <w:rPr>
          <w:lang w:val="fr-CA"/>
        </w:rPr>
      </w:pPr>
      <w:r>
        <w:rPr>
          <w:lang w:val="fr-CA"/>
        </w:rPr>
        <w:t xml:space="preserve">doit être </w:t>
      </w:r>
      <w:r w:rsidRPr="00FA558D">
        <w:rPr>
          <w:lang w:val="fr-CA"/>
        </w:rPr>
        <w:t>s</w:t>
      </w:r>
      <w:r>
        <w:rPr>
          <w:lang w:val="fr-CA"/>
        </w:rPr>
        <w:t>ynthétisé dans le format de tableau ci-après et être inclus</w:t>
      </w:r>
      <w:r w:rsidRPr="00FA558D">
        <w:rPr>
          <w:lang w:val="fr-CA"/>
        </w:rPr>
        <w:t xml:space="preserve"> </w:t>
      </w:r>
      <w:r>
        <w:rPr>
          <w:lang w:val="fr-CA"/>
        </w:rPr>
        <w:t>dans le REIR pour les projets significatifs qui ont des répercussions</w:t>
      </w:r>
      <w:r w:rsidRPr="00FA558D">
        <w:rPr>
          <w:lang w:val="fr-CA"/>
        </w:rPr>
        <w:t xml:space="preserve"> </w:t>
      </w:r>
      <w:r>
        <w:rPr>
          <w:lang w:val="fr-CA"/>
        </w:rPr>
        <w:t xml:space="preserve">sur les petites entreprises et qui </w:t>
      </w:r>
      <w:r w:rsidR="003773D7">
        <w:rPr>
          <w:lang w:val="fr-CA"/>
        </w:rPr>
        <w:t>entraînent</w:t>
      </w:r>
      <w:r>
        <w:rPr>
          <w:lang w:val="fr-CA"/>
        </w:rPr>
        <w:t xml:space="preserve"> l’application de la </w:t>
      </w:r>
      <w:r w:rsidR="00827BD1">
        <w:rPr>
          <w:lang w:val="fr-CA"/>
        </w:rPr>
        <w:t>lentille</w:t>
      </w:r>
      <w:r>
        <w:rPr>
          <w:lang w:val="fr-CA"/>
        </w:rPr>
        <w:t>.</w:t>
      </w:r>
    </w:p>
    <w:p w14:paraId="43564D04" w14:textId="77777777" w:rsidR="00B91619" w:rsidRPr="00FA558D" w:rsidRDefault="00B91619" w:rsidP="00B91619">
      <w:pPr>
        <w:tabs>
          <w:tab w:val="left" w:pos="9356"/>
        </w:tabs>
        <w:spacing w:after="0" w:line="240" w:lineRule="auto"/>
        <w:rPr>
          <w:lang w:val="fr-CA"/>
        </w:rPr>
      </w:pPr>
    </w:p>
    <w:p w14:paraId="60D559C8" w14:textId="40D743D2" w:rsidR="00B91619" w:rsidRPr="00FA558D" w:rsidRDefault="00B91619" w:rsidP="00B91619">
      <w:pPr>
        <w:tabs>
          <w:tab w:val="left" w:pos="9356"/>
        </w:tabs>
        <w:spacing w:after="0" w:line="240" w:lineRule="auto"/>
        <w:rPr>
          <w:b/>
          <w:lang w:val="fr-CA"/>
        </w:rPr>
      </w:pPr>
      <w:r w:rsidRPr="00FA558D">
        <w:rPr>
          <w:b/>
          <w:lang w:val="fr-CA"/>
        </w:rPr>
        <w:t>Table</w:t>
      </w:r>
      <w:r>
        <w:rPr>
          <w:b/>
          <w:lang w:val="fr-CA"/>
        </w:rPr>
        <w:t>au</w:t>
      </w:r>
      <w:r w:rsidRPr="00FA558D">
        <w:rPr>
          <w:b/>
          <w:lang w:val="fr-CA"/>
        </w:rPr>
        <w:t> 3</w:t>
      </w:r>
      <w:r>
        <w:rPr>
          <w:b/>
          <w:lang w:val="fr-CA"/>
        </w:rPr>
        <w:t> :</w:t>
      </w:r>
      <w:r w:rsidRPr="00FA558D">
        <w:rPr>
          <w:b/>
          <w:lang w:val="fr-CA"/>
        </w:rPr>
        <w:t xml:space="preserve"> </w:t>
      </w:r>
      <w:r w:rsidR="009A2387">
        <w:rPr>
          <w:b/>
          <w:lang w:val="fr-CA"/>
        </w:rPr>
        <w:t>m</w:t>
      </w:r>
      <w:r>
        <w:rPr>
          <w:b/>
          <w:lang w:val="fr-CA"/>
        </w:rPr>
        <w:t xml:space="preserve">odèle de synthèse </w:t>
      </w:r>
      <w:r w:rsidR="009A2387">
        <w:rPr>
          <w:b/>
          <w:lang w:val="fr-CA"/>
        </w:rPr>
        <w:t xml:space="preserve">de la </w:t>
      </w:r>
      <w:r w:rsidR="00827BD1">
        <w:rPr>
          <w:b/>
          <w:lang w:val="fr-CA"/>
        </w:rPr>
        <w:t>lentille</w:t>
      </w:r>
      <w:r>
        <w:rPr>
          <w:b/>
          <w:lang w:val="fr-CA"/>
        </w:rPr>
        <w:t xml:space="preserve"> des petites entreprises</w:t>
      </w:r>
      <w:r w:rsidRPr="00FA558D">
        <w:rPr>
          <w:b/>
          <w:lang w:val="fr-CA"/>
        </w:rPr>
        <w:t xml:space="preserve"> </w:t>
      </w:r>
    </w:p>
    <w:p w14:paraId="2D4758C0" w14:textId="77777777" w:rsidR="00A45213" w:rsidRDefault="00A45213" w:rsidP="00A45213">
      <w:pPr>
        <w:rPr>
          <w:lang w:val="fr-CA"/>
        </w:rPr>
      </w:pPr>
    </w:p>
    <w:p w14:paraId="08316986" w14:textId="03517293" w:rsidR="00A45213" w:rsidRPr="004A3225" w:rsidRDefault="00A45213" w:rsidP="004A3225">
      <w:pPr>
        <w:spacing w:line="240" w:lineRule="auto"/>
        <w:rPr>
          <w:rFonts w:cstheme="minorHAnsi"/>
          <w:b/>
          <w:bCs/>
          <w:lang w:val="fr-CA"/>
        </w:rPr>
      </w:pPr>
      <w:r w:rsidRPr="004A3225">
        <w:rPr>
          <w:rFonts w:cstheme="minorHAnsi"/>
          <w:b/>
          <w:bCs/>
          <w:lang w:val="fr-CA"/>
        </w:rPr>
        <w:t>Résumé de la lentille des petites entreprises</w:t>
      </w:r>
    </w:p>
    <w:p w14:paraId="57A75501" w14:textId="252499EA" w:rsidR="00A45213" w:rsidRPr="004A3225" w:rsidRDefault="00A45213" w:rsidP="004A3225">
      <w:pPr>
        <w:spacing w:line="240" w:lineRule="auto"/>
        <w:rPr>
          <w:rFonts w:cstheme="minorHAnsi"/>
          <w:bCs/>
          <w:lang w:val="fr-CA"/>
        </w:rPr>
      </w:pPr>
      <w:r w:rsidRPr="004A3225">
        <w:rPr>
          <w:rFonts w:cstheme="minorHAnsi"/>
          <w:lang w:val="fr-CA"/>
        </w:rPr>
        <w:t>Nombre de petites entreprises touchées : #</w:t>
      </w:r>
      <w:r w:rsidRPr="004A3225">
        <w:rPr>
          <w:rFonts w:cstheme="minorHAnsi"/>
          <w:lang w:val="fr-CA"/>
        </w:rPr>
        <w:br/>
      </w:r>
      <w:r w:rsidRPr="004A3225">
        <w:rPr>
          <w:rFonts w:cstheme="minorHAnsi"/>
          <w:bCs/>
          <w:lang w:val="fr-CA"/>
        </w:rPr>
        <w:t>Nombre d’années : # (</w:t>
      </w:r>
      <w:r w:rsidRPr="004A3225">
        <w:rPr>
          <w:rFonts w:cstheme="minorHAnsi"/>
          <w:bCs/>
          <w:i/>
          <w:lang w:val="fr-CA"/>
        </w:rPr>
        <w:t>indiquer aussi les années, p. ex.</w:t>
      </w:r>
      <w:r w:rsidRPr="004A3225">
        <w:rPr>
          <w:rFonts w:cstheme="minorHAnsi"/>
          <w:bCs/>
          <w:lang w:val="fr-CA"/>
        </w:rPr>
        <w:t> de 2020 à 2029)</w:t>
      </w:r>
      <w:r w:rsidRPr="004A3225">
        <w:rPr>
          <w:rFonts w:cstheme="minorHAnsi"/>
          <w:bCs/>
          <w:lang w:val="fr-CA"/>
        </w:rPr>
        <w:br/>
        <w:t>Année de référence pour l’établissement des coûts : 20##</w:t>
      </w:r>
      <w:r w:rsidRPr="004A3225">
        <w:rPr>
          <w:rFonts w:cstheme="minorHAnsi"/>
          <w:bCs/>
          <w:lang w:val="fr-CA"/>
        </w:rPr>
        <w:br/>
        <w:t>Année de référence pour la valeur actualisée : 20##</w:t>
      </w:r>
      <w:r w:rsidRPr="004A3225">
        <w:rPr>
          <w:rFonts w:cstheme="minorHAnsi"/>
          <w:bCs/>
          <w:lang w:val="fr-CA"/>
        </w:rPr>
        <w:br/>
        <w:t>Taux d’actualisation : # %</w:t>
      </w:r>
    </w:p>
    <w:p w14:paraId="4974FF40" w14:textId="77777777" w:rsidR="00A45213" w:rsidRPr="004A3225" w:rsidRDefault="00A45213" w:rsidP="00A45213">
      <w:pPr>
        <w:pStyle w:val="Title"/>
        <w:rPr>
          <w:rFonts w:asciiTheme="minorHAnsi" w:hAnsiTheme="minorHAnsi" w:cstheme="minorHAnsi"/>
          <w:sz w:val="22"/>
        </w:rPr>
      </w:pPr>
      <w:r w:rsidRPr="004A3225">
        <w:rPr>
          <w:rFonts w:asciiTheme="minorHAnsi" w:hAnsiTheme="minorHAnsi" w:cstheme="minorHAnsi"/>
          <w:sz w:val="22"/>
        </w:rPr>
        <w:t>Coûts de conformité</w:t>
      </w:r>
    </w:p>
    <w:tbl>
      <w:tblPr>
        <w:tblStyle w:val="TableGrid1"/>
        <w:tblW w:w="0" w:type="auto"/>
        <w:tblLook w:val="04A0" w:firstRow="1" w:lastRow="0" w:firstColumn="1" w:lastColumn="0" w:noHBand="0" w:noVBand="1"/>
      </w:tblPr>
      <w:tblGrid>
        <w:gridCol w:w="5382"/>
        <w:gridCol w:w="1984"/>
        <w:gridCol w:w="1957"/>
      </w:tblGrid>
      <w:tr w:rsidR="00A45213" w:rsidRPr="00A45213" w14:paraId="21CD711F" w14:textId="77777777" w:rsidTr="003D3A0E">
        <w:tc>
          <w:tcPr>
            <w:tcW w:w="5382" w:type="dxa"/>
            <w:shd w:val="clear" w:color="auto" w:fill="auto"/>
          </w:tcPr>
          <w:p w14:paraId="287105B4"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Activité</w:t>
            </w:r>
          </w:p>
        </w:tc>
        <w:tc>
          <w:tcPr>
            <w:tcW w:w="1984" w:type="dxa"/>
            <w:shd w:val="clear" w:color="auto" w:fill="auto"/>
          </w:tcPr>
          <w:p w14:paraId="12F4A0DC"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Valeur annualisée</w:t>
            </w:r>
          </w:p>
        </w:tc>
        <w:tc>
          <w:tcPr>
            <w:tcW w:w="1957" w:type="dxa"/>
            <w:shd w:val="clear" w:color="auto" w:fill="auto"/>
          </w:tcPr>
          <w:p w14:paraId="4DCBE2ED"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Valeur actualisée</w:t>
            </w:r>
          </w:p>
        </w:tc>
      </w:tr>
      <w:tr w:rsidR="00A45213" w:rsidRPr="00A45213" w14:paraId="7F283B0E" w14:textId="77777777" w:rsidTr="003D3A0E">
        <w:tc>
          <w:tcPr>
            <w:tcW w:w="5382" w:type="dxa"/>
          </w:tcPr>
          <w:p w14:paraId="61796FA0"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Utiliser une nouvelle rangée pour chaque activité, ou un total général seulement si l’activité est décrite dans le texte.</w:t>
            </w:r>
          </w:p>
        </w:tc>
        <w:tc>
          <w:tcPr>
            <w:tcW w:w="1984" w:type="dxa"/>
          </w:tcPr>
          <w:p w14:paraId="0ABC4444" w14:textId="1FB57699" w:rsidR="00A45213" w:rsidRPr="004A3225" w:rsidRDefault="00DC59F8" w:rsidP="003D3A0E">
            <w:pPr>
              <w:pStyle w:val="Subtitle"/>
              <w:rPr>
                <w:rFonts w:asciiTheme="minorHAnsi" w:hAnsiTheme="minorHAnsi" w:cstheme="minorHAnsi"/>
                <w:sz w:val="22"/>
                <w:szCs w:val="22"/>
              </w:rPr>
            </w:pPr>
            <w:r>
              <w:rPr>
                <w:rFonts w:asciiTheme="minorHAnsi" w:hAnsiTheme="minorHAnsi" w:cstheme="minorHAnsi"/>
                <w:sz w:val="22"/>
                <w:szCs w:val="22"/>
              </w:rPr>
              <w:t> </w:t>
            </w:r>
            <w:r w:rsidR="00A45213" w:rsidRPr="004A3225">
              <w:rPr>
                <w:rFonts w:asciiTheme="minorHAnsi" w:hAnsiTheme="minorHAnsi" w:cstheme="minorHAnsi"/>
                <w:sz w:val="22"/>
                <w:szCs w:val="22"/>
              </w:rPr>
              <w:t>$</w:t>
            </w:r>
          </w:p>
        </w:tc>
        <w:tc>
          <w:tcPr>
            <w:tcW w:w="1957" w:type="dxa"/>
          </w:tcPr>
          <w:p w14:paraId="739390D5" w14:textId="063307D2" w:rsidR="00A45213" w:rsidRPr="004A3225" w:rsidRDefault="00DC59F8" w:rsidP="003D3A0E">
            <w:pPr>
              <w:pStyle w:val="Subtitle"/>
              <w:rPr>
                <w:rFonts w:asciiTheme="minorHAnsi" w:hAnsiTheme="minorHAnsi" w:cstheme="minorHAnsi"/>
                <w:sz w:val="22"/>
                <w:szCs w:val="22"/>
              </w:rPr>
            </w:pPr>
            <w:r>
              <w:rPr>
                <w:rFonts w:asciiTheme="minorHAnsi" w:hAnsiTheme="minorHAnsi" w:cstheme="minorHAnsi"/>
                <w:sz w:val="22"/>
                <w:szCs w:val="22"/>
              </w:rPr>
              <w:t> </w:t>
            </w:r>
            <w:r w:rsidR="00A45213" w:rsidRPr="004A3225">
              <w:rPr>
                <w:rFonts w:asciiTheme="minorHAnsi" w:hAnsiTheme="minorHAnsi" w:cstheme="minorHAnsi"/>
                <w:sz w:val="22"/>
                <w:szCs w:val="22"/>
              </w:rPr>
              <w:t>$</w:t>
            </w:r>
          </w:p>
        </w:tc>
      </w:tr>
      <w:tr w:rsidR="00A45213" w:rsidRPr="00A45213" w14:paraId="15266CA7" w14:textId="77777777" w:rsidTr="003D3A0E">
        <w:tc>
          <w:tcPr>
            <w:tcW w:w="5382" w:type="dxa"/>
          </w:tcPr>
          <w:p w14:paraId="456E75B5"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lastRenderedPageBreak/>
              <w:t>Total des coûts de conformité</w:t>
            </w:r>
          </w:p>
        </w:tc>
        <w:tc>
          <w:tcPr>
            <w:tcW w:w="1984" w:type="dxa"/>
          </w:tcPr>
          <w:p w14:paraId="39A670B4" w14:textId="0F939431" w:rsidR="00A45213" w:rsidRPr="004A3225" w:rsidRDefault="00DC59F8" w:rsidP="003D3A0E">
            <w:pPr>
              <w:pStyle w:val="Subtitle"/>
              <w:rPr>
                <w:rFonts w:asciiTheme="minorHAnsi" w:hAnsiTheme="minorHAnsi" w:cstheme="minorHAnsi"/>
                <w:b/>
                <w:sz w:val="22"/>
                <w:szCs w:val="22"/>
              </w:rPr>
            </w:pPr>
            <w:r>
              <w:rPr>
                <w:rFonts w:asciiTheme="minorHAnsi" w:hAnsiTheme="minorHAnsi" w:cstheme="minorHAnsi"/>
                <w:b/>
                <w:sz w:val="22"/>
                <w:szCs w:val="22"/>
              </w:rPr>
              <w:t> </w:t>
            </w:r>
            <w:r w:rsidR="00A45213" w:rsidRPr="004A3225">
              <w:rPr>
                <w:rFonts w:asciiTheme="minorHAnsi" w:hAnsiTheme="minorHAnsi" w:cstheme="minorHAnsi"/>
                <w:b/>
                <w:sz w:val="22"/>
                <w:szCs w:val="22"/>
              </w:rPr>
              <w:t>$</w:t>
            </w:r>
          </w:p>
        </w:tc>
        <w:tc>
          <w:tcPr>
            <w:tcW w:w="1957" w:type="dxa"/>
          </w:tcPr>
          <w:p w14:paraId="413E7BF6" w14:textId="2BA8CFA7" w:rsidR="00A45213" w:rsidRPr="004A3225" w:rsidRDefault="00DC59F8" w:rsidP="003D3A0E">
            <w:pPr>
              <w:pStyle w:val="Subtitle"/>
              <w:rPr>
                <w:rFonts w:asciiTheme="minorHAnsi" w:hAnsiTheme="minorHAnsi" w:cstheme="minorHAnsi"/>
                <w:b/>
                <w:sz w:val="22"/>
                <w:szCs w:val="22"/>
              </w:rPr>
            </w:pPr>
            <w:r>
              <w:rPr>
                <w:rFonts w:asciiTheme="minorHAnsi" w:hAnsiTheme="minorHAnsi" w:cstheme="minorHAnsi"/>
                <w:b/>
                <w:sz w:val="22"/>
                <w:szCs w:val="22"/>
              </w:rPr>
              <w:t> </w:t>
            </w:r>
            <w:r w:rsidR="00A45213" w:rsidRPr="004A3225">
              <w:rPr>
                <w:rFonts w:asciiTheme="minorHAnsi" w:hAnsiTheme="minorHAnsi" w:cstheme="minorHAnsi"/>
                <w:b/>
                <w:sz w:val="22"/>
                <w:szCs w:val="22"/>
              </w:rPr>
              <w:t>$</w:t>
            </w:r>
          </w:p>
        </w:tc>
      </w:tr>
    </w:tbl>
    <w:p w14:paraId="7E2305CD" w14:textId="77777777" w:rsidR="00A45213" w:rsidRPr="004A3225" w:rsidRDefault="00A45213" w:rsidP="00A45213">
      <w:pPr>
        <w:pStyle w:val="Title"/>
        <w:rPr>
          <w:rFonts w:asciiTheme="minorHAnsi" w:hAnsiTheme="minorHAnsi" w:cstheme="minorHAnsi"/>
          <w:sz w:val="22"/>
        </w:rPr>
      </w:pPr>
      <w:r w:rsidRPr="004A3225">
        <w:rPr>
          <w:rFonts w:asciiTheme="minorHAnsi" w:hAnsiTheme="minorHAnsi" w:cstheme="minorHAnsi"/>
          <w:sz w:val="22"/>
        </w:rPr>
        <w:t>Coûts administratifs</w:t>
      </w:r>
    </w:p>
    <w:tbl>
      <w:tblPr>
        <w:tblStyle w:val="TableGrid1"/>
        <w:tblW w:w="0" w:type="auto"/>
        <w:tblLook w:val="04A0" w:firstRow="1" w:lastRow="0" w:firstColumn="1" w:lastColumn="0" w:noHBand="0" w:noVBand="1"/>
      </w:tblPr>
      <w:tblGrid>
        <w:gridCol w:w="5382"/>
        <w:gridCol w:w="1984"/>
        <w:gridCol w:w="1957"/>
      </w:tblGrid>
      <w:tr w:rsidR="00A45213" w:rsidRPr="00A45213" w14:paraId="529E63EA" w14:textId="77777777" w:rsidTr="003D3A0E">
        <w:tc>
          <w:tcPr>
            <w:tcW w:w="5382" w:type="dxa"/>
            <w:shd w:val="clear" w:color="auto" w:fill="auto"/>
          </w:tcPr>
          <w:p w14:paraId="20A28016"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Activité</w:t>
            </w:r>
          </w:p>
        </w:tc>
        <w:tc>
          <w:tcPr>
            <w:tcW w:w="1984" w:type="dxa"/>
            <w:shd w:val="clear" w:color="auto" w:fill="auto"/>
          </w:tcPr>
          <w:p w14:paraId="15189427"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Valeur annualisée</w:t>
            </w:r>
          </w:p>
        </w:tc>
        <w:tc>
          <w:tcPr>
            <w:tcW w:w="1957" w:type="dxa"/>
            <w:shd w:val="clear" w:color="auto" w:fill="auto"/>
          </w:tcPr>
          <w:p w14:paraId="6AF84C92"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Valeur actualisée</w:t>
            </w:r>
          </w:p>
        </w:tc>
      </w:tr>
      <w:tr w:rsidR="00A45213" w:rsidRPr="00A45213" w14:paraId="31CC75CC" w14:textId="77777777" w:rsidTr="003D3A0E">
        <w:tc>
          <w:tcPr>
            <w:tcW w:w="5382" w:type="dxa"/>
          </w:tcPr>
          <w:p w14:paraId="216BF0FC"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Utiliser une nouvelle rangée pour chaque activité, ou un total général seulement si l’activité est décrite dans le texte.</w:t>
            </w:r>
          </w:p>
        </w:tc>
        <w:tc>
          <w:tcPr>
            <w:tcW w:w="1984" w:type="dxa"/>
          </w:tcPr>
          <w:p w14:paraId="4508B961" w14:textId="38031B78" w:rsidR="00A45213" w:rsidRPr="004A3225" w:rsidRDefault="00823A0D" w:rsidP="003D3A0E">
            <w:pPr>
              <w:pStyle w:val="Subtitle"/>
              <w:rPr>
                <w:rFonts w:asciiTheme="minorHAnsi" w:hAnsiTheme="minorHAnsi" w:cstheme="minorHAnsi"/>
                <w:sz w:val="22"/>
                <w:szCs w:val="22"/>
              </w:rPr>
            </w:pPr>
            <w:r>
              <w:rPr>
                <w:rFonts w:asciiTheme="minorHAnsi" w:hAnsiTheme="minorHAnsi" w:cstheme="minorHAnsi"/>
                <w:sz w:val="22"/>
                <w:szCs w:val="22"/>
              </w:rPr>
              <w:t> </w:t>
            </w:r>
            <w:r w:rsidR="00A45213" w:rsidRPr="004A3225">
              <w:rPr>
                <w:rFonts w:asciiTheme="minorHAnsi" w:hAnsiTheme="minorHAnsi" w:cstheme="minorHAnsi"/>
                <w:sz w:val="22"/>
                <w:szCs w:val="22"/>
              </w:rPr>
              <w:t>$</w:t>
            </w:r>
          </w:p>
        </w:tc>
        <w:tc>
          <w:tcPr>
            <w:tcW w:w="1957" w:type="dxa"/>
          </w:tcPr>
          <w:p w14:paraId="7ABCA32A" w14:textId="37A458C8" w:rsidR="00A45213" w:rsidRPr="004A3225" w:rsidRDefault="00823A0D" w:rsidP="003D3A0E">
            <w:pPr>
              <w:pStyle w:val="Subtitle"/>
              <w:rPr>
                <w:rFonts w:asciiTheme="minorHAnsi" w:hAnsiTheme="minorHAnsi" w:cstheme="minorHAnsi"/>
                <w:sz w:val="22"/>
                <w:szCs w:val="22"/>
              </w:rPr>
            </w:pPr>
            <w:r>
              <w:rPr>
                <w:rFonts w:asciiTheme="minorHAnsi" w:hAnsiTheme="minorHAnsi" w:cstheme="minorHAnsi"/>
                <w:sz w:val="22"/>
                <w:szCs w:val="22"/>
              </w:rPr>
              <w:t> </w:t>
            </w:r>
            <w:r w:rsidR="00A45213" w:rsidRPr="004A3225">
              <w:rPr>
                <w:rFonts w:asciiTheme="minorHAnsi" w:hAnsiTheme="minorHAnsi" w:cstheme="minorHAnsi"/>
                <w:sz w:val="22"/>
                <w:szCs w:val="22"/>
              </w:rPr>
              <w:t>$</w:t>
            </w:r>
          </w:p>
        </w:tc>
      </w:tr>
      <w:tr w:rsidR="00A45213" w:rsidRPr="00A45213" w14:paraId="50F2BE14" w14:textId="77777777" w:rsidTr="003D3A0E">
        <w:tc>
          <w:tcPr>
            <w:tcW w:w="5382" w:type="dxa"/>
          </w:tcPr>
          <w:p w14:paraId="0BCFF08C"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Total des coûts administratifs</w:t>
            </w:r>
          </w:p>
        </w:tc>
        <w:tc>
          <w:tcPr>
            <w:tcW w:w="1984" w:type="dxa"/>
          </w:tcPr>
          <w:p w14:paraId="434BF1BE" w14:textId="6A418BEE" w:rsidR="00A45213" w:rsidRPr="004A3225" w:rsidRDefault="00823A0D" w:rsidP="003D3A0E">
            <w:pPr>
              <w:pStyle w:val="Subtitle"/>
              <w:rPr>
                <w:rFonts w:asciiTheme="minorHAnsi" w:hAnsiTheme="minorHAnsi" w:cstheme="minorHAnsi"/>
                <w:b/>
                <w:sz w:val="22"/>
                <w:szCs w:val="22"/>
              </w:rPr>
            </w:pPr>
            <w:r>
              <w:rPr>
                <w:rFonts w:asciiTheme="minorHAnsi" w:hAnsiTheme="minorHAnsi" w:cstheme="minorHAnsi"/>
                <w:b/>
                <w:sz w:val="22"/>
                <w:szCs w:val="22"/>
              </w:rPr>
              <w:t> </w:t>
            </w:r>
            <w:r w:rsidR="00A45213" w:rsidRPr="004A3225">
              <w:rPr>
                <w:rFonts w:asciiTheme="minorHAnsi" w:hAnsiTheme="minorHAnsi" w:cstheme="minorHAnsi"/>
                <w:b/>
                <w:sz w:val="22"/>
                <w:szCs w:val="22"/>
              </w:rPr>
              <w:t>$</w:t>
            </w:r>
          </w:p>
        </w:tc>
        <w:tc>
          <w:tcPr>
            <w:tcW w:w="1957" w:type="dxa"/>
          </w:tcPr>
          <w:p w14:paraId="5385D96B" w14:textId="6FA21248" w:rsidR="00A45213" w:rsidRPr="004A3225" w:rsidRDefault="00823A0D" w:rsidP="003D3A0E">
            <w:pPr>
              <w:pStyle w:val="Subtitle"/>
              <w:rPr>
                <w:rFonts w:asciiTheme="minorHAnsi" w:hAnsiTheme="minorHAnsi" w:cstheme="minorHAnsi"/>
                <w:b/>
                <w:sz w:val="22"/>
                <w:szCs w:val="22"/>
              </w:rPr>
            </w:pPr>
            <w:r>
              <w:rPr>
                <w:rFonts w:asciiTheme="minorHAnsi" w:hAnsiTheme="minorHAnsi" w:cstheme="minorHAnsi"/>
                <w:b/>
                <w:sz w:val="22"/>
                <w:szCs w:val="22"/>
              </w:rPr>
              <w:t> </w:t>
            </w:r>
            <w:r w:rsidR="00A45213" w:rsidRPr="004A3225">
              <w:rPr>
                <w:rFonts w:asciiTheme="minorHAnsi" w:hAnsiTheme="minorHAnsi" w:cstheme="minorHAnsi"/>
                <w:b/>
                <w:sz w:val="22"/>
                <w:szCs w:val="22"/>
              </w:rPr>
              <w:t>$</w:t>
            </w:r>
          </w:p>
        </w:tc>
      </w:tr>
    </w:tbl>
    <w:p w14:paraId="0B72E7CD" w14:textId="77777777" w:rsidR="00A45213" w:rsidRPr="004A3225" w:rsidRDefault="00A45213" w:rsidP="00A45213">
      <w:pPr>
        <w:pStyle w:val="Heading6"/>
        <w:keepNext w:val="0"/>
        <w:keepLines w:val="0"/>
        <w:rPr>
          <w:rFonts w:asciiTheme="minorHAnsi" w:hAnsiTheme="minorHAnsi" w:cstheme="minorHAnsi"/>
        </w:rPr>
      </w:pPr>
    </w:p>
    <w:p w14:paraId="5233517A" w14:textId="77777777" w:rsidR="00A45213" w:rsidRPr="004A3225" w:rsidRDefault="00A45213" w:rsidP="00A45213">
      <w:pPr>
        <w:pStyle w:val="Title"/>
        <w:rPr>
          <w:rFonts w:asciiTheme="minorHAnsi" w:hAnsiTheme="minorHAnsi" w:cstheme="minorHAnsi"/>
          <w:sz w:val="22"/>
        </w:rPr>
      </w:pPr>
      <w:r w:rsidRPr="004A3225">
        <w:rPr>
          <w:rFonts w:asciiTheme="minorHAnsi" w:hAnsiTheme="minorHAnsi" w:cstheme="minorHAnsi"/>
          <w:sz w:val="22"/>
        </w:rPr>
        <w:t>Total des coûts administratifs et de conformité</w:t>
      </w:r>
    </w:p>
    <w:tbl>
      <w:tblPr>
        <w:tblStyle w:val="TableGrid1"/>
        <w:tblW w:w="0" w:type="auto"/>
        <w:tblLook w:val="04A0" w:firstRow="1" w:lastRow="0" w:firstColumn="1" w:lastColumn="0" w:noHBand="0" w:noVBand="1"/>
      </w:tblPr>
      <w:tblGrid>
        <w:gridCol w:w="5382"/>
        <w:gridCol w:w="1984"/>
        <w:gridCol w:w="1957"/>
      </w:tblGrid>
      <w:tr w:rsidR="00A45213" w:rsidRPr="00A45213" w14:paraId="203CA63A" w14:textId="77777777" w:rsidTr="003D3A0E">
        <w:tc>
          <w:tcPr>
            <w:tcW w:w="5382" w:type="dxa"/>
            <w:shd w:val="clear" w:color="auto" w:fill="auto"/>
          </w:tcPr>
          <w:p w14:paraId="15C9A365"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Totaux</w:t>
            </w:r>
          </w:p>
        </w:tc>
        <w:tc>
          <w:tcPr>
            <w:tcW w:w="1984" w:type="dxa"/>
            <w:shd w:val="clear" w:color="auto" w:fill="auto"/>
          </w:tcPr>
          <w:p w14:paraId="738E06A5"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Valeur annualisée</w:t>
            </w:r>
          </w:p>
        </w:tc>
        <w:tc>
          <w:tcPr>
            <w:tcW w:w="1957" w:type="dxa"/>
            <w:shd w:val="clear" w:color="auto" w:fill="auto"/>
          </w:tcPr>
          <w:p w14:paraId="2AA1E78C"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Valeur actualisée</w:t>
            </w:r>
          </w:p>
        </w:tc>
      </w:tr>
      <w:tr w:rsidR="00A45213" w:rsidRPr="00A45213" w14:paraId="2D4FCB61" w14:textId="77777777" w:rsidTr="003D3A0E">
        <w:tc>
          <w:tcPr>
            <w:tcW w:w="5382" w:type="dxa"/>
          </w:tcPr>
          <w:p w14:paraId="51C1B3AB" w14:textId="77777777"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 xml:space="preserve">Coût total (toutes les petites entreprises touchées) </w:t>
            </w:r>
          </w:p>
        </w:tc>
        <w:tc>
          <w:tcPr>
            <w:tcW w:w="1984" w:type="dxa"/>
          </w:tcPr>
          <w:p w14:paraId="0F169498" w14:textId="36EEB79D" w:rsidR="00A45213" w:rsidRPr="004A3225" w:rsidRDefault="00823A0D" w:rsidP="003D3A0E">
            <w:pPr>
              <w:pStyle w:val="Subtitle"/>
              <w:rPr>
                <w:rFonts w:asciiTheme="minorHAnsi" w:hAnsiTheme="minorHAnsi" w:cstheme="minorHAnsi"/>
                <w:sz w:val="22"/>
                <w:szCs w:val="22"/>
              </w:rPr>
            </w:pPr>
            <w:r>
              <w:rPr>
                <w:rFonts w:asciiTheme="minorHAnsi" w:hAnsiTheme="minorHAnsi" w:cstheme="minorHAnsi"/>
                <w:sz w:val="22"/>
                <w:szCs w:val="22"/>
              </w:rPr>
              <w:t> </w:t>
            </w:r>
            <w:r w:rsidR="00A45213" w:rsidRPr="004A3225">
              <w:rPr>
                <w:rFonts w:asciiTheme="minorHAnsi" w:hAnsiTheme="minorHAnsi" w:cstheme="minorHAnsi"/>
                <w:sz w:val="22"/>
                <w:szCs w:val="22"/>
              </w:rPr>
              <w:t>$</w:t>
            </w:r>
          </w:p>
        </w:tc>
        <w:tc>
          <w:tcPr>
            <w:tcW w:w="1957" w:type="dxa"/>
          </w:tcPr>
          <w:p w14:paraId="704F4D27" w14:textId="45421124" w:rsidR="00A45213" w:rsidRPr="004A3225" w:rsidRDefault="00823A0D" w:rsidP="003D3A0E">
            <w:pPr>
              <w:pStyle w:val="Subtitle"/>
              <w:rPr>
                <w:rFonts w:asciiTheme="minorHAnsi" w:hAnsiTheme="minorHAnsi" w:cstheme="minorHAnsi"/>
                <w:sz w:val="22"/>
                <w:szCs w:val="22"/>
              </w:rPr>
            </w:pPr>
            <w:r>
              <w:rPr>
                <w:rFonts w:asciiTheme="minorHAnsi" w:hAnsiTheme="minorHAnsi" w:cstheme="minorHAnsi"/>
                <w:sz w:val="22"/>
                <w:szCs w:val="22"/>
              </w:rPr>
              <w:t> </w:t>
            </w:r>
            <w:r w:rsidR="00A45213" w:rsidRPr="004A3225">
              <w:rPr>
                <w:rFonts w:asciiTheme="minorHAnsi" w:hAnsiTheme="minorHAnsi" w:cstheme="minorHAnsi"/>
                <w:sz w:val="22"/>
                <w:szCs w:val="22"/>
              </w:rPr>
              <w:t>$</w:t>
            </w:r>
          </w:p>
        </w:tc>
      </w:tr>
      <w:tr w:rsidR="00A45213" w:rsidRPr="00A45213" w14:paraId="70247903" w14:textId="77777777" w:rsidTr="003D3A0E">
        <w:tc>
          <w:tcPr>
            <w:tcW w:w="5382" w:type="dxa"/>
          </w:tcPr>
          <w:p w14:paraId="693A059A" w14:textId="38BD8816" w:rsidR="00A45213" w:rsidRPr="004A3225" w:rsidRDefault="00A45213" w:rsidP="003D3A0E">
            <w:pPr>
              <w:pStyle w:val="Subtitle"/>
              <w:rPr>
                <w:rFonts w:asciiTheme="minorHAnsi" w:hAnsiTheme="minorHAnsi" w:cstheme="minorHAnsi"/>
                <w:b/>
                <w:sz w:val="22"/>
                <w:szCs w:val="22"/>
              </w:rPr>
            </w:pPr>
            <w:r w:rsidRPr="004A3225">
              <w:rPr>
                <w:rFonts w:asciiTheme="minorHAnsi" w:hAnsiTheme="minorHAnsi" w:cstheme="minorHAnsi"/>
                <w:b/>
                <w:sz w:val="22"/>
                <w:szCs w:val="22"/>
              </w:rPr>
              <w:t xml:space="preserve">Coût </w:t>
            </w:r>
            <w:r w:rsidR="00DC59F8">
              <w:rPr>
                <w:rFonts w:asciiTheme="minorHAnsi" w:hAnsiTheme="minorHAnsi" w:cstheme="minorHAnsi"/>
                <w:b/>
                <w:sz w:val="22"/>
                <w:szCs w:val="22"/>
              </w:rPr>
              <w:t xml:space="preserve">par </w:t>
            </w:r>
            <w:r w:rsidRPr="004A3225">
              <w:rPr>
                <w:rFonts w:asciiTheme="minorHAnsi" w:hAnsiTheme="minorHAnsi" w:cstheme="minorHAnsi"/>
                <w:b/>
                <w:sz w:val="22"/>
                <w:szCs w:val="22"/>
              </w:rPr>
              <w:t>petite entreprise touchée</w:t>
            </w:r>
          </w:p>
        </w:tc>
        <w:tc>
          <w:tcPr>
            <w:tcW w:w="1984" w:type="dxa"/>
          </w:tcPr>
          <w:p w14:paraId="71F5DC14" w14:textId="7F06DC65" w:rsidR="00A45213" w:rsidRPr="004A3225" w:rsidRDefault="00823A0D" w:rsidP="003D3A0E">
            <w:pPr>
              <w:pStyle w:val="Subtitle"/>
              <w:rPr>
                <w:rFonts w:asciiTheme="minorHAnsi" w:hAnsiTheme="minorHAnsi" w:cstheme="minorHAnsi"/>
                <w:sz w:val="22"/>
                <w:szCs w:val="22"/>
              </w:rPr>
            </w:pPr>
            <w:r>
              <w:rPr>
                <w:rFonts w:asciiTheme="minorHAnsi" w:hAnsiTheme="minorHAnsi" w:cstheme="minorHAnsi"/>
                <w:sz w:val="22"/>
                <w:szCs w:val="22"/>
              </w:rPr>
              <w:t> </w:t>
            </w:r>
            <w:r w:rsidR="00A45213" w:rsidRPr="004A3225">
              <w:rPr>
                <w:rFonts w:asciiTheme="minorHAnsi" w:hAnsiTheme="minorHAnsi" w:cstheme="minorHAnsi"/>
                <w:sz w:val="22"/>
                <w:szCs w:val="22"/>
              </w:rPr>
              <w:t>$</w:t>
            </w:r>
          </w:p>
        </w:tc>
        <w:tc>
          <w:tcPr>
            <w:tcW w:w="1957" w:type="dxa"/>
          </w:tcPr>
          <w:p w14:paraId="0008E421" w14:textId="12987510" w:rsidR="00A45213" w:rsidRPr="004A3225" w:rsidRDefault="00823A0D" w:rsidP="003D3A0E">
            <w:pPr>
              <w:pStyle w:val="Subtitle"/>
              <w:rPr>
                <w:rFonts w:asciiTheme="minorHAnsi" w:hAnsiTheme="minorHAnsi" w:cstheme="minorHAnsi"/>
                <w:sz w:val="22"/>
                <w:szCs w:val="22"/>
              </w:rPr>
            </w:pPr>
            <w:r>
              <w:rPr>
                <w:rFonts w:asciiTheme="minorHAnsi" w:hAnsiTheme="minorHAnsi" w:cstheme="minorHAnsi"/>
                <w:sz w:val="22"/>
                <w:szCs w:val="22"/>
              </w:rPr>
              <w:t> </w:t>
            </w:r>
            <w:r w:rsidR="00A45213" w:rsidRPr="004A3225">
              <w:rPr>
                <w:rFonts w:asciiTheme="minorHAnsi" w:hAnsiTheme="minorHAnsi" w:cstheme="minorHAnsi"/>
                <w:sz w:val="22"/>
                <w:szCs w:val="22"/>
              </w:rPr>
              <w:t>$</w:t>
            </w:r>
          </w:p>
        </w:tc>
      </w:tr>
    </w:tbl>
    <w:p w14:paraId="7DC454B8" w14:textId="77777777" w:rsidR="00B91619" w:rsidRPr="00FA558D" w:rsidRDefault="00B91619" w:rsidP="00B91619">
      <w:pPr>
        <w:tabs>
          <w:tab w:val="left" w:pos="9356"/>
        </w:tabs>
        <w:spacing w:after="0" w:line="240" w:lineRule="auto"/>
        <w:rPr>
          <w:lang w:val="fr-CA"/>
        </w:rPr>
      </w:pPr>
    </w:p>
    <w:p w14:paraId="6FF321AF" w14:textId="571E045A" w:rsidR="00B91619" w:rsidRPr="00FA558D" w:rsidRDefault="00B91619" w:rsidP="00B91619">
      <w:pPr>
        <w:pStyle w:val="Heading1"/>
        <w:rPr>
          <w:lang w:val="fr-CA"/>
        </w:rPr>
      </w:pPr>
      <w:bookmarkStart w:id="36" w:name="_Toc69891065"/>
      <w:r>
        <w:rPr>
          <w:lang w:val="fr-CA"/>
        </w:rPr>
        <w:t xml:space="preserve">Liste de vérification </w:t>
      </w:r>
      <w:r w:rsidR="00F35652">
        <w:rPr>
          <w:lang w:val="fr-CA"/>
        </w:rPr>
        <w:t xml:space="preserve">de </w:t>
      </w:r>
      <w:r>
        <w:rPr>
          <w:lang w:val="fr-CA"/>
        </w:rPr>
        <w:t xml:space="preserve">la </w:t>
      </w:r>
      <w:r w:rsidR="00827BD1">
        <w:rPr>
          <w:lang w:val="fr-CA"/>
        </w:rPr>
        <w:t>lentille</w:t>
      </w:r>
      <w:r>
        <w:rPr>
          <w:lang w:val="fr-CA"/>
        </w:rPr>
        <w:t xml:space="preserve"> des petites entreprises </w:t>
      </w:r>
      <w:r w:rsidRPr="00FA558D">
        <w:rPr>
          <w:lang w:val="fr-CA"/>
        </w:rPr>
        <w:t>(</w:t>
      </w:r>
      <w:r w:rsidR="00F35652">
        <w:rPr>
          <w:lang w:val="fr-CA"/>
        </w:rPr>
        <w:t>a</w:t>
      </w:r>
      <w:r>
        <w:rPr>
          <w:lang w:val="fr-CA"/>
        </w:rPr>
        <w:t>nnexe</w:t>
      </w:r>
      <w:r w:rsidRPr="00FA558D">
        <w:rPr>
          <w:lang w:val="fr-CA"/>
        </w:rPr>
        <w:t> C)</w:t>
      </w:r>
      <w:bookmarkEnd w:id="36"/>
    </w:p>
    <w:p w14:paraId="5D6026BE" w14:textId="77777777" w:rsidR="00B91619" w:rsidRPr="00FA558D" w:rsidRDefault="00B91619" w:rsidP="00B91619">
      <w:pPr>
        <w:tabs>
          <w:tab w:val="left" w:pos="9356"/>
        </w:tabs>
        <w:spacing w:after="0" w:line="240" w:lineRule="auto"/>
        <w:rPr>
          <w:lang w:val="fr-CA"/>
        </w:rPr>
      </w:pPr>
    </w:p>
    <w:p w14:paraId="4CBB1DB7" w14:textId="64E4B2CB" w:rsidR="00B91619" w:rsidRPr="00FA558D" w:rsidRDefault="00B91619" w:rsidP="00B91619">
      <w:pPr>
        <w:tabs>
          <w:tab w:val="left" w:pos="9356"/>
        </w:tabs>
        <w:spacing w:after="0" w:line="240" w:lineRule="auto"/>
        <w:rPr>
          <w:lang w:val="fr-CA"/>
        </w:rPr>
      </w:pPr>
      <w:r>
        <w:rPr>
          <w:lang w:val="fr-CA"/>
        </w:rPr>
        <w:t xml:space="preserve">Il n’est plus obligatoire d’utiliser la liste de vérification de la </w:t>
      </w:r>
      <w:r w:rsidR="00827BD1">
        <w:rPr>
          <w:lang w:val="fr-CA"/>
        </w:rPr>
        <w:t>lentille</w:t>
      </w:r>
      <w:r>
        <w:rPr>
          <w:lang w:val="fr-CA"/>
        </w:rPr>
        <w:t xml:space="preserve"> des petites entreprises en vertu de la </w:t>
      </w:r>
      <w:r w:rsidR="00F35652">
        <w:rPr>
          <w:lang w:val="fr-CA"/>
        </w:rPr>
        <w:t>p</w:t>
      </w:r>
      <w:r>
        <w:rPr>
          <w:lang w:val="fr-CA"/>
        </w:rPr>
        <w:t>olitique</w:t>
      </w:r>
      <w:r w:rsidRPr="00FA558D">
        <w:rPr>
          <w:lang w:val="fr-CA"/>
        </w:rPr>
        <w:t>,</w:t>
      </w:r>
      <w:r>
        <w:rPr>
          <w:lang w:val="fr-CA"/>
        </w:rPr>
        <w:t xml:space="preserve"> et les organismes de réglementation ne sont pas</w:t>
      </w:r>
      <w:r w:rsidRPr="00FA558D">
        <w:rPr>
          <w:lang w:val="fr-CA"/>
        </w:rPr>
        <w:t xml:space="preserve"> </w:t>
      </w:r>
      <w:r>
        <w:rPr>
          <w:lang w:val="fr-CA"/>
        </w:rPr>
        <w:t>obligés de l’intégrer à la version publique de leur REIR</w:t>
      </w:r>
      <w:r w:rsidRPr="00FA558D">
        <w:rPr>
          <w:lang w:val="fr-CA"/>
        </w:rPr>
        <w:t xml:space="preserve">. </w:t>
      </w:r>
    </w:p>
    <w:p w14:paraId="416FD564" w14:textId="77777777" w:rsidR="00B91619" w:rsidRPr="00FA558D" w:rsidRDefault="00B91619" w:rsidP="00B91619">
      <w:pPr>
        <w:tabs>
          <w:tab w:val="left" w:pos="9356"/>
        </w:tabs>
        <w:spacing w:after="0" w:line="240" w:lineRule="auto"/>
        <w:rPr>
          <w:lang w:val="fr-CA"/>
        </w:rPr>
      </w:pPr>
    </w:p>
    <w:p w14:paraId="7A5A23FB" w14:textId="6142439D" w:rsidR="00B91619" w:rsidRPr="00FA558D" w:rsidRDefault="00B91619" w:rsidP="00B91619">
      <w:pPr>
        <w:tabs>
          <w:tab w:val="left" w:pos="9356"/>
        </w:tabs>
        <w:spacing w:after="0" w:line="240" w:lineRule="auto"/>
        <w:rPr>
          <w:lang w:val="fr-CA"/>
        </w:rPr>
      </w:pPr>
      <w:r>
        <w:rPr>
          <w:lang w:val="fr-CA"/>
        </w:rPr>
        <w:t>Malgré cela, la</w:t>
      </w:r>
      <w:r w:rsidRPr="00FA558D">
        <w:rPr>
          <w:lang w:val="fr-CA"/>
        </w:rPr>
        <w:t xml:space="preserve"> </w:t>
      </w:r>
      <w:r>
        <w:rPr>
          <w:lang w:val="fr-CA"/>
        </w:rPr>
        <w:t>liste de vérification</w:t>
      </w:r>
      <w:r w:rsidRPr="00FA558D">
        <w:rPr>
          <w:lang w:val="fr-CA"/>
        </w:rPr>
        <w:t xml:space="preserve"> </w:t>
      </w:r>
      <w:r>
        <w:rPr>
          <w:lang w:val="fr-CA"/>
        </w:rPr>
        <w:t>a été</w:t>
      </w:r>
      <w:r w:rsidRPr="00FA558D">
        <w:rPr>
          <w:lang w:val="fr-CA"/>
        </w:rPr>
        <w:t xml:space="preserve"> </w:t>
      </w:r>
      <w:r>
        <w:rPr>
          <w:lang w:val="fr-CA"/>
        </w:rPr>
        <w:t xml:space="preserve">simplifiée et mise à jour. Elle est intégrée à la </w:t>
      </w:r>
      <w:r w:rsidR="00F35652">
        <w:rPr>
          <w:lang w:val="fr-CA"/>
        </w:rPr>
        <w:t>p</w:t>
      </w:r>
      <w:r>
        <w:rPr>
          <w:lang w:val="fr-CA"/>
        </w:rPr>
        <w:t>olitique comme un outil pour aider les organismes de réglementation</w:t>
      </w:r>
      <w:r w:rsidRPr="00FA558D">
        <w:rPr>
          <w:lang w:val="fr-CA"/>
        </w:rPr>
        <w:t xml:space="preserve"> </w:t>
      </w:r>
      <w:r>
        <w:rPr>
          <w:lang w:val="fr-CA"/>
        </w:rPr>
        <w:t xml:space="preserve">à examiner de manière uniforme et systématique </w:t>
      </w:r>
      <w:r w:rsidR="00F35652">
        <w:rPr>
          <w:lang w:val="fr-CA"/>
        </w:rPr>
        <w:t>les</w:t>
      </w:r>
      <w:r>
        <w:rPr>
          <w:lang w:val="fr-CA"/>
        </w:rPr>
        <w:t xml:space="preserve"> répercussions </w:t>
      </w:r>
      <w:r w:rsidR="00F35652">
        <w:rPr>
          <w:lang w:val="fr-CA"/>
        </w:rPr>
        <w:t xml:space="preserve">sur les </w:t>
      </w:r>
      <w:r w:rsidR="00B4147F">
        <w:rPr>
          <w:lang w:val="fr-CA"/>
        </w:rPr>
        <w:t xml:space="preserve">petites </w:t>
      </w:r>
      <w:r w:rsidR="00F35652">
        <w:rPr>
          <w:lang w:val="fr-CA"/>
        </w:rPr>
        <w:t>entreprises</w:t>
      </w:r>
      <w:r>
        <w:rPr>
          <w:lang w:val="fr-CA"/>
        </w:rPr>
        <w:t xml:space="preserve"> dans </w:t>
      </w:r>
      <w:r w:rsidR="00F35652">
        <w:rPr>
          <w:lang w:val="fr-CA"/>
        </w:rPr>
        <w:t>l’élaboration</w:t>
      </w:r>
      <w:r>
        <w:rPr>
          <w:lang w:val="fr-CA"/>
        </w:rPr>
        <w:t xml:space="preserve"> de nouveaux règlements, ou la modification de règlements en vigueur. La liste de vérification </w:t>
      </w:r>
      <w:r w:rsidR="00F35652">
        <w:rPr>
          <w:lang w:val="fr-CA"/>
        </w:rPr>
        <w:t xml:space="preserve">se trouve à </w:t>
      </w:r>
      <w:r>
        <w:rPr>
          <w:lang w:val="fr-CA"/>
        </w:rPr>
        <w:t>l’</w:t>
      </w:r>
      <w:r w:rsidR="00F35652">
        <w:rPr>
          <w:lang w:val="fr-CA"/>
        </w:rPr>
        <w:t>a</w:t>
      </w:r>
      <w:r>
        <w:rPr>
          <w:lang w:val="fr-CA"/>
        </w:rPr>
        <w:t>nnexe</w:t>
      </w:r>
      <w:r w:rsidRPr="00FA558D">
        <w:rPr>
          <w:lang w:val="fr-CA"/>
        </w:rPr>
        <w:t> C</w:t>
      </w:r>
      <w:r>
        <w:rPr>
          <w:lang w:val="fr-CA"/>
        </w:rPr>
        <w:t xml:space="preserve"> de la </w:t>
      </w:r>
      <w:r w:rsidR="00F35652">
        <w:rPr>
          <w:lang w:val="fr-CA"/>
        </w:rPr>
        <w:t>p</w:t>
      </w:r>
      <w:r>
        <w:rPr>
          <w:lang w:val="fr-CA"/>
        </w:rPr>
        <w:t>olitique</w:t>
      </w:r>
      <w:r w:rsidRPr="00FA558D">
        <w:rPr>
          <w:lang w:val="fr-CA"/>
        </w:rPr>
        <w:t>.</w:t>
      </w:r>
    </w:p>
    <w:p w14:paraId="123A8B5C" w14:textId="1A5323E5" w:rsidR="00405FDA" w:rsidRPr="007B1101" w:rsidRDefault="00405FDA" w:rsidP="00B91619">
      <w:pPr>
        <w:rPr>
          <w:lang w:val="fr-CA"/>
        </w:rPr>
      </w:pPr>
    </w:p>
    <w:sectPr w:rsidR="00405FDA" w:rsidRPr="007B1101" w:rsidSect="00FE05C4">
      <w:footerReference w:type="first" r:id="rId18"/>
      <w:pgSz w:w="12240" w:h="15840"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FFE8A" w14:textId="77777777" w:rsidR="00091D6E" w:rsidRDefault="00091D6E" w:rsidP="00405FDA">
      <w:pPr>
        <w:spacing w:after="0" w:line="240" w:lineRule="auto"/>
      </w:pPr>
      <w:r>
        <w:separator/>
      </w:r>
    </w:p>
  </w:endnote>
  <w:endnote w:type="continuationSeparator" w:id="0">
    <w:p w14:paraId="702EE5EB" w14:textId="77777777" w:rsidR="00091D6E" w:rsidRDefault="00091D6E"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3F47" w14:textId="77777777" w:rsidR="003D3A0E" w:rsidRDefault="003D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694310"/>
      <w:docPartObj>
        <w:docPartGallery w:val="Page Numbers (Bottom of Page)"/>
        <w:docPartUnique/>
      </w:docPartObj>
    </w:sdtPr>
    <w:sdtEndPr>
      <w:rPr>
        <w:noProof/>
      </w:rPr>
    </w:sdtEndPr>
    <w:sdtContent>
      <w:p w14:paraId="7B716455" w14:textId="77777777" w:rsidR="003D3A0E" w:rsidRDefault="003D3A0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8231CC5" w14:textId="77777777" w:rsidR="003D3A0E" w:rsidRDefault="003D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CE37" w14:textId="77777777" w:rsidR="003D3A0E" w:rsidRDefault="003D3A0E">
    <w:pPr>
      <w:pStyle w:val="Footer"/>
      <w:jc w:val="center"/>
    </w:pPr>
  </w:p>
  <w:p w14:paraId="1A151E4D" w14:textId="77777777" w:rsidR="003D3A0E" w:rsidRDefault="003D3A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390814"/>
      <w:docPartObj>
        <w:docPartGallery w:val="Page Numbers (Bottom of Page)"/>
        <w:docPartUnique/>
      </w:docPartObj>
    </w:sdtPr>
    <w:sdtEndPr>
      <w:rPr>
        <w:noProof/>
      </w:rPr>
    </w:sdtEndPr>
    <w:sdtContent>
      <w:p w14:paraId="017AF005" w14:textId="77777777" w:rsidR="003D3A0E" w:rsidRDefault="003D3A0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456A3E4" w14:textId="77777777" w:rsidR="003D3A0E" w:rsidRDefault="003D3A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3BB7" w14:textId="77777777" w:rsidR="003D3A0E" w:rsidRDefault="003D3A0E">
    <w:pPr>
      <w:pStyle w:val="Footer"/>
      <w:jc w:val="center"/>
    </w:pPr>
  </w:p>
  <w:p w14:paraId="45B3A343" w14:textId="77777777" w:rsidR="003D3A0E" w:rsidRDefault="003D3A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780390"/>
      <w:docPartObj>
        <w:docPartGallery w:val="Page Numbers (Bottom of Page)"/>
        <w:docPartUnique/>
      </w:docPartObj>
    </w:sdtPr>
    <w:sdtEndPr>
      <w:rPr>
        <w:noProof/>
      </w:rPr>
    </w:sdtEndPr>
    <w:sdtContent>
      <w:p w14:paraId="5DD7060B" w14:textId="00F0D55D" w:rsidR="003D3A0E" w:rsidRDefault="003D3A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8370F3" w14:textId="77777777" w:rsidR="003D3A0E" w:rsidRDefault="003D3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649E5" w14:textId="77777777" w:rsidR="00091D6E" w:rsidRDefault="00091D6E" w:rsidP="00405FDA">
      <w:pPr>
        <w:spacing w:after="0" w:line="240" w:lineRule="auto"/>
      </w:pPr>
      <w:r>
        <w:separator/>
      </w:r>
    </w:p>
  </w:footnote>
  <w:footnote w:type="continuationSeparator" w:id="0">
    <w:p w14:paraId="6AFC52E5" w14:textId="77777777" w:rsidR="00091D6E" w:rsidRDefault="00091D6E" w:rsidP="00405FDA">
      <w:pPr>
        <w:spacing w:after="0" w:line="240" w:lineRule="auto"/>
      </w:pPr>
      <w:r>
        <w:continuationSeparator/>
      </w:r>
    </w:p>
  </w:footnote>
  <w:footnote w:id="1">
    <w:p w14:paraId="55A21DA7" w14:textId="33DE5A26" w:rsidR="003D3A0E" w:rsidRPr="00CE2D33" w:rsidRDefault="003D3A0E" w:rsidP="00B91619">
      <w:pPr>
        <w:rPr>
          <w:sz w:val="20"/>
          <w:szCs w:val="20"/>
          <w:lang w:val="fr-CA"/>
        </w:rPr>
      </w:pPr>
      <w:r w:rsidRPr="00CE2D33">
        <w:rPr>
          <w:rStyle w:val="FootnoteReference"/>
          <w:sz w:val="20"/>
          <w:szCs w:val="20"/>
          <w:vertAlign w:val="baseline"/>
          <w:lang w:val="fr-CA"/>
        </w:rPr>
        <w:footnoteRef/>
      </w:r>
      <w:r w:rsidRPr="00CE2D33">
        <w:rPr>
          <w:sz w:val="20"/>
          <w:szCs w:val="20"/>
          <w:lang w:val="fr-CA"/>
        </w:rPr>
        <w:t xml:space="preserve">. Utiliser les données dans le </w:t>
      </w:r>
      <w:hyperlink r:id="rId1" w:history="1">
        <w:r w:rsidRPr="00CE2D33">
          <w:rPr>
            <w:rStyle w:val="Hyperlink"/>
            <w:sz w:val="20"/>
            <w:szCs w:val="20"/>
            <w:lang w:val="fr-CA"/>
          </w:rPr>
          <w:t>Tableau 18-10-0005-01</w:t>
        </w:r>
      </w:hyperlink>
      <w:r w:rsidRPr="00CE2D33">
        <w:rPr>
          <w:sz w:val="20"/>
          <w:szCs w:val="20"/>
          <w:lang w:val="fr-CA"/>
        </w:rPr>
        <w:t xml:space="preserve"> de Statistique Canada. S’il n’existe aucune donnée sur l’IPC pour l’année visée par l’estimation des coûts, utiliser les données pour l’année la plus rapprochée pour laquelle des données sont disponibles.</w:t>
      </w:r>
    </w:p>
    <w:p w14:paraId="4758841B" w14:textId="77777777" w:rsidR="003D3A0E" w:rsidRPr="00CE2D33" w:rsidRDefault="003D3A0E" w:rsidP="00B91619">
      <w:pPr>
        <w:pStyle w:val="FootnoteText"/>
        <w:rPr>
          <w:lang w:val="fr-CA"/>
        </w:rPr>
      </w:pPr>
    </w:p>
  </w:footnote>
  <w:footnote w:id="2">
    <w:p w14:paraId="29D0E3FD" w14:textId="77777777" w:rsidR="003D3A0E" w:rsidRPr="00CE2D33" w:rsidRDefault="003D3A0E" w:rsidP="00B91619">
      <w:pPr>
        <w:pStyle w:val="FootnoteText"/>
        <w:rPr>
          <w:lang w:val="fr-CA"/>
        </w:rPr>
      </w:pPr>
      <w:r w:rsidRPr="00CE2D33">
        <w:rPr>
          <w:rStyle w:val="FootnoteReference"/>
          <w:vertAlign w:val="baseline"/>
          <w:lang w:val="fr-CA"/>
        </w:rPr>
        <w:footnoteRef/>
      </w:r>
      <w:r w:rsidRPr="00CE2D33">
        <w:rPr>
          <w:lang w:val="fr-CA"/>
        </w:rPr>
        <w:t>. La collecte, la c</w:t>
      </w:r>
      <w:r>
        <w:rPr>
          <w:lang w:val="fr-CA"/>
        </w:rPr>
        <w:t xml:space="preserve">onservation, l’utilisation, la divulgation et l’élimination des renseignements personnels sont toutes </w:t>
      </w:r>
      <w:r w:rsidRPr="00CE2D33">
        <w:rPr>
          <w:lang w:val="fr-CA"/>
        </w:rPr>
        <w:t>assujetti</w:t>
      </w:r>
      <w:r>
        <w:rPr>
          <w:lang w:val="fr-CA"/>
        </w:rPr>
        <w:t>e</w:t>
      </w:r>
      <w:r w:rsidRPr="00CE2D33">
        <w:rPr>
          <w:lang w:val="fr-CA"/>
        </w:rPr>
        <w:t>s</w:t>
      </w:r>
      <w:r>
        <w:rPr>
          <w:lang w:val="fr-CA"/>
        </w:rPr>
        <w:t xml:space="preserve"> aux </w:t>
      </w:r>
      <w:r w:rsidRPr="00CE2D33">
        <w:rPr>
          <w:lang w:val="fr-CA"/>
        </w:rPr>
        <w:t xml:space="preserve">exigences </w:t>
      </w:r>
      <w:r>
        <w:rPr>
          <w:lang w:val="fr-CA"/>
        </w:rPr>
        <w:t xml:space="preserve">de la </w:t>
      </w:r>
      <w:r w:rsidRPr="002C14E0">
        <w:rPr>
          <w:lang w:val="fr-CA"/>
        </w:rPr>
        <w:t>Loi sur la protection des renseignements personnels</w:t>
      </w:r>
      <w:r>
        <w:rPr>
          <w:lang w:val="fr-CA"/>
        </w:rPr>
        <w:t xml:space="preserve">, et toutes les </w:t>
      </w:r>
      <w:r w:rsidRPr="00CE2D33">
        <w:rPr>
          <w:lang w:val="fr-CA"/>
        </w:rPr>
        <w:t xml:space="preserve">questions </w:t>
      </w:r>
      <w:r>
        <w:rPr>
          <w:lang w:val="fr-CA"/>
        </w:rPr>
        <w:t xml:space="preserve">de conformité liées à la </w:t>
      </w:r>
      <w:r w:rsidRPr="002C14E0">
        <w:rPr>
          <w:lang w:val="fr-CA"/>
        </w:rPr>
        <w:t>Loi sur la protection des renseignements personnels</w:t>
      </w:r>
      <w:r w:rsidRPr="00CE2D33">
        <w:rPr>
          <w:lang w:val="fr-CA"/>
        </w:rPr>
        <w:t xml:space="preserve"> devraient être re</w:t>
      </w:r>
      <w:r>
        <w:rPr>
          <w:lang w:val="fr-CA"/>
        </w:rPr>
        <w:t xml:space="preserve">nvoyées au service ou au spécialiste de l’accès à l’information ou de la protection des renseignements personnels du </w:t>
      </w:r>
      <w:r w:rsidRPr="00CE2D33">
        <w:rPr>
          <w:lang w:val="fr-CA"/>
        </w:rPr>
        <w:t xml:space="preserve">ministère ou </w:t>
      </w:r>
      <w:r>
        <w:rPr>
          <w:lang w:val="fr-CA"/>
        </w:rPr>
        <w:t>de l’organisme</w:t>
      </w:r>
      <w:r w:rsidRPr="00CE2D33">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3521" w14:textId="77777777" w:rsidR="003D3A0E" w:rsidRDefault="003D3A0E" w:rsidP="00061274">
    <w:pPr>
      <w:pStyle w:val="Header"/>
      <w:jc w:val="right"/>
      <w:rPr>
        <w:rFonts w:ascii="Arial" w:hAnsi="Arial" w:cs="Arial"/>
        <w:color w:val="000000"/>
        <w:sz w:val="24"/>
        <w:lang w:val="fr-CA"/>
      </w:rPr>
    </w:pPr>
    <w:bookmarkStart w:id="0" w:name="aliashPOLUnclassified1HeaderEvenPages"/>
    <w:r>
      <w:rPr>
        <w:rFonts w:ascii="Arial" w:hAnsi="Arial" w:cs="Arial"/>
        <w:color w:val="000000"/>
        <w:sz w:val="24"/>
        <w:lang w:val="fr-CA"/>
      </w:rPr>
      <w:t>UNCLASSIFIED / NON CLASSIFIÉ</w:t>
    </w:r>
  </w:p>
  <w:bookmarkEnd w:id="0"/>
  <w:p w14:paraId="6E4E131E" w14:textId="77777777" w:rsidR="003D3A0E" w:rsidRPr="00405FDA" w:rsidRDefault="003D3A0E" w:rsidP="004270B7">
    <w:pPr>
      <w:pStyle w:val="Header"/>
      <w:jc w:val="righ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E224" w14:textId="2ECFB938" w:rsidR="003D3A0E" w:rsidRDefault="003D3A0E" w:rsidP="00061274">
    <w:pPr>
      <w:pStyle w:val="Header"/>
      <w:jc w:val="right"/>
      <w:rPr>
        <w:rFonts w:ascii="Arial" w:hAnsi="Arial" w:cs="Arial"/>
        <w:color w:val="000000"/>
        <w:sz w:val="24"/>
        <w:lang w:val="fr-CA"/>
      </w:rPr>
    </w:pPr>
    <w:bookmarkStart w:id="1" w:name="aliashPOLUnclassified1HeaderPrimary"/>
    <w:r>
      <w:rPr>
        <w:rFonts w:ascii="Arial" w:hAnsi="Arial" w:cs="Arial"/>
        <w:color w:val="000000"/>
        <w:sz w:val="24"/>
        <w:lang w:val="fr-CA"/>
      </w:rPr>
      <w:t>UNCLASSIFIED / NON CLASSIFIÉ</w:t>
    </w:r>
  </w:p>
  <w:bookmarkEnd w:id="1"/>
  <w:p w14:paraId="0F7F6CC7" w14:textId="77777777" w:rsidR="003D3A0E" w:rsidRPr="00405FDA" w:rsidRDefault="003D3A0E" w:rsidP="00424FCF">
    <w:pPr>
      <w:pStyle w:val="Header"/>
      <w:jc w:val="right"/>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DE2D" w14:textId="77777777" w:rsidR="003D3A0E" w:rsidRDefault="003D3A0E" w:rsidP="00061274">
    <w:pPr>
      <w:pStyle w:val="Header"/>
      <w:jc w:val="right"/>
      <w:rPr>
        <w:rFonts w:ascii="Arial" w:hAnsi="Arial" w:cs="Arial"/>
        <w:color w:val="000000"/>
        <w:sz w:val="24"/>
      </w:rPr>
    </w:pPr>
    <w:bookmarkStart w:id="2" w:name="aliashPOLUnclassified1HeaderFirstPage"/>
    <w:r>
      <w:rPr>
        <w:rFonts w:ascii="Arial" w:hAnsi="Arial" w:cs="Arial"/>
        <w:color w:val="000000"/>
        <w:sz w:val="24"/>
      </w:rPr>
      <w:t>UNCLASSIFIED / NON CLASSIFIÉ</w:t>
    </w:r>
  </w:p>
  <w:bookmarkEnd w:id="2"/>
  <w:p w14:paraId="254B4289" w14:textId="77777777" w:rsidR="003D3A0E" w:rsidRDefault="003D3A0E" w:rsidP="00424FCF">
    <w:pPr>
      <w:pStyle w:val="Header"/>
      <w:jc w:val="right"/>
    </w:pPr>
    <w:r>
      <w:rPr>
        <w:noProof/>
        <w:lang w:eastAsia="en-CA"/>
      </w:rPr>
      <w:drawing>
        <wp:anchor distT="0" distB="0" distL="114300" distR="114300" simplePos="0" relativeHeight="251659264" behindDoc="1" locked="0" layoutInCell="1" allowOverlap="1" wp14:anchorId="4EAFC49B" wp14:editId="48165556">
          <wp:simplePos x="0" y="0"/>
          <wp:positionH relativeFrom="column">
            <wp:posOffset>-624840</wp:posOffset>
          </wp:positionH>
          <wp:positionV relativeFrom="paragraph">
            <wp:posOffset>214630</wp:posOffset>
          </wp:positionV>
          <wp:extent cx="7191375" cy="966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7C59" w14:textId="77777777" w:rsidR="003D3A0E" w:rsidRDefault="003D3A0E" w:rsidP="00061274">
    <w:pPr>
      <w:pStyle w:val="Header"/>
      <w:jc w:val="right"/>
      <w:rPr>
        <w:rFonts w:ascii="Arial" w:hAnsi="Arial" w:cs="Arial"/>
        <w:color w:val="000000"/>
        <w:sz w:val="24"/>
        <w:lang w:val="fr-CA"/>
      </w:rPr>
    </w:pPr>
    <w:bookmarkStart w:id="5" w:name="aliashPOLUnclassified2HeaderFirstPage"/>
    <w:r>
      <w:rPr>
        <w:rFonts w:ascii="Arial" w:hAnsi="Arial" w:cs="Arial"/>
        <w:color w:val="000000"/>
        <w:sz w:val="24"/>
        <w:lang w:val="fr-CA"/>
      </w:rPr>
      <w:t>UNCLASSIFIED / NON CLASSIFIÉ</w:t>
    </w:r>
  </w:p>
  <w:bookmarkEnd w:id="5"/>
  <w:p w14:paraId="325C51E7" w14:textId="77777777" w:rsidR="003D3A0E" w:rsidRPr="00570404" w:rsidRDefault="003D3A0E">
    <w:pPr>
      <w:pStyle w:val="Header"/>
      <w:jc w:val="right"/>
      <w:rPr>
        <w:rFonts w:ascii="Arial" w:hAnsi="Arial" w:cs="Arial"/>
        <w:color w:val="000000"/>
        <w:sz w:val="17"/>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1C5"/>
    <w:multiLevelType w:val="hybridMultilevel"/>
    <w:tmpl w:val="D45EB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8A2876"/>
    <w:multiLevelType w:val="hybridMultilevel"/>
    <w:tmpl w:val="CCFA2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FC1FA0"/>
    <w:multiLevelType w:val="hybridMultilevel"/>
    <w:tmpl w:val="18D4F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EC769B"/>
    <w:multiLevelType w:val="hybridMultilevel"/>
    <w:tmpl w:val="EEFA9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A07C1B"/>
    <w:multiLevelType w:val="hybridMultilevel"/>
    <w:tmpl w:val="B5CA9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BB0C84"/>
    <w:multiLevelType w:val="hybridMultilevel"/>
    <w:tmpl w:val="A41650C8"/>
    <w:lvl w:ilvl="0" w:tplc="8C7E455E">
      <w:start w:val="1"/>
      <w:numFmt w:val="decimal"/>
      <w:pStyle w:val="Heading2"/>
      <w:lvlText w:val="3.%1"/>
      <w:lvlJc w:val="left"/>
      <w:pPr>
        <w:ind w:left="72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6" w15:restartNumberingAfterBreak="0">
    <w:nsid w:val="1C702427"/>
    <w:multiLevelType w:val="hybridMultilevel"/>
    <w:tmpl w:val="6D060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945D70"/>
    <w:multiLevelType w:val="hybridMultilevel"/>
    <w:tmpl w:val="93AC9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821F56"/>
    <w:multiLevelType w:val="hybridMultilevel"/>
    <w:tmpl w:val="DE68E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004AB4"/>
    <w:multiLevelType w:val="hybridMultilevel"/>
    <w:tmpl w:val="520AC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AB104E"/>
    <w:multiLevelType w:val="hybridMultilevel"/>
    <w:tmpl w:val="4E160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DD45DD"/>
    <w:multiLevelType w:val="hybridMultilevel"/>
    <w:tmpl w:val="C81A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8B18EB"/>
    <w:multiLevelType w:val="hybridMultilevel"/>
    <w:tmpl w:val="699E45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0C3FD9"/>
    <w:multiLevelType w:val="multilevel"/>
    <w:tmpl w:val="252678D2"/>
    <w:lvl w:ilvl="0">
      <w:start w:val="1"/>
      <w:numFmt w:val="decimal"/>
      <w:pStyle w:val="Heading3"/>
      <w:lvlText w:val="3.2.%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F5663"/>
    <w:multiLevelType w:val="hybridMultilevel"/>
    <w:tmpl w:val="DAA2F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E05029"/>
    <w:multiLevelType w:val="hybridMultilevel"/>
    <w:tmpl w:val="F17808CC"/>
    <w:lvl w:ilvl="0" w:tplc="E9169F48">
      <w:start w:val="1"/>
      <w:numFmt w:val="decimal"/>
      <w:lvlText w:val="4.1.%1."/>
      <w:lvlJc w:val="left"/>
      <w:pPr>
        <w:ind w:left="720" w:hanging="360"/>
      </w:pPr>
      <w:rPr>
        <w:rFonts w:hint="default"/>
      </w:rPr>
    </w:lvl>
    <w:lvl w:ilvl="1" w:tplc="10090019" w:tentative="1">
      <w:start w:val="1"/>
      <w:numFmt w:val="lowerLetter"/>
      <w:lvlText w:val="%2."/>
      <w:lvlJc w:val="left"/>
      <w:pPr>
        <w:ind w:left="1440" w:hanging="360"/>
      </w:pPr>
    </w:lvl>
    <w:lvl w:ilvl="2" w:tplc="E9169F48">
      <w:start w:val="1"/>
      <w:numFmt w:val="decimal"/>
      <w:lvlText w:val="4.1.%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7D56E9"/>
    <w:multiLevelType w:val="hybridMultilevel"/>
    <w:tmpl w:val="027EF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D86D34"/>
    <w:multiLevelType w:val="hybridMultilevel"/>
    <w:tmpl w:val="5B785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1A46A4"/>
    <w:multiLevelType w:val="multilevel"/>
    <w:tmpl w:val="EBC44676"/>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82E5914"/>
    <w:multiLevelType w:val="hybridMultilevel"/>
    <w:tmpl w:val="28965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8A1E4E"/>
    <w:multiLevelType w:val="hybridMultilevel"/>
    <w:tmpl w:val="AB9638B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6D7A1F"/>
    <w:multiLevelType w:val="hybridMultilevel"/>
    <w:tmpl w:val="EA16165A"/>
    <w:lvl w:ilvl="0" w:tplc="E8EC27F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CA0BA0"/>
    <w:multiLevelType w:val="hybridMultilevel"/>
    <w:tmpl w:val="38D0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9F659D"/>
    <w:multiLevelType w:val="hybridMultilevel"/>
    <w:tmpl w:val="0C521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7B589C"/>
    <w:multiLevelType w:val="hybridMultilevel"/>
    <w:tmpl w:val="37287B88"/>
    <w:lvl w:ilvl="0" w:tplc="55C01B94">
      <w:start w:val="1"/>
      <w:numFmt w:val="decimal"/>
      <w:lvlText w:val="4.%1"/>
      <w:lvlJc w:val="left"/>
      <w:pPr>
        <w:ind w:left="720" w:hanging="360"/>
      </w:pPr>
      <w:rPr>
        <w:rFonts w:hint="default"/>
      </w:rPr>
    </w:lvl>
    <w:lvl w:ilvl="1" w:tplc="55C01B94">
      <w:start w:val="1"/>
      <w:numFmt w:val="decimal"/>
      <w:lvlText w:val="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250B98"/>
    <w:multiLevelType w:val="hybridMultilevel"/>
    <w:tmpl w:val="CBEA5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515903"/>
    <w:multiLevelType w:val="hybridMultilevel"/>
    <w:tmpl w:val="6D4A0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C20279"/>
    <w:multiLevelType w:val="hybridMultilevel"/>
    <w:tmpl w:val="2FEA7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C740B7"/>
    <w:multiLevelType w:val="hybridMultilevel"/>
    <w:tmpl w:val="DDEC37D8"/>
    <w:lvl w:ilvl="0" w:tplc="BF0A7C80">
      <w:start w:val="1"/>
      <w:numFmt w:val="lowerRoman"/>
      <w:lvlText w:val="%1."/>
      <w:lvlJc w:val="right"/>
      <w:pPr>
        <w:tabs>
          <w:tab w:val="num" w:pos="720"/>
        </w:tabs>
        <w:ind w:left="720" w:hanging="360"/>
      </w:pPr>
    </w:lvl>
    <w:lvl w:ilvl="1" w:tplc="CE44969A" w:tentative="1">
      <w:start w:val="1"/>
      <w:numFmt w:val="lowerRoman"/>
      <w:lvlText w:val="%2."/>
      <w:lvlJc w:val="right"/>
      <w:pPr>
        <w:tabs>
          <w:tab w:val="num" w:pos="1440"/>
        </w:tabs>
        <w:ind w:left="1440" w:hanging="360"/>
      </w:pPr>
    </w:lvl>
    <w:lvl w:ilvl="2" w:tplc="324AC448" w:tentative="1">
      <w:start w:val="1"/>
      <w:numFmt w:val="lowerRoman"/>
      <w:lvlText w:val="%3."/>
      <w:lvlJc w:val="right"/>
      <w:pPr>
        <w:tabs>
          <w:tab w:val="num" w:pos="2160"/>
        </w:tabs>
        <w:ind w:left="2160" w:hanging="360"/>
      </w:pPr>
    </w:lvl>
    <w:lvl w:ilvl="3" w:tplc="AC3619A4" w:tentative="1">
      <w:start w:val="1"/>
      <w:numFmt w:val="lowerRoman"/>
      <w:lvlText w:val="%4."/>
      <w:lvlJc w:val="right"/>
      <w:pPr>
        <w:tabs>
          <w:tab w:val="num" w:pos="2880"/>
        </w:tabs>
        <w:ind w:left="2880" w:hanging="360"/>
      </w:pPr>
    </w:lvl>
    <w:lvl w:ilvl="4" w:tplc="E8DE2884" w:tentative="1">
      <w:start w:val="1"/>
      <w:numFmt w:val="lowerRoman"/>
      <w:lvlText w:val="%5."/>
      <w:lvlJc w:val="right"/>
      <w:pPr>
        <w:tabs>
          <w:tab w:val="num" w:pos="3600"/>
        </w:tabs>
        <w:ind w:left="3600" w:hanging="360"/>
      </w:pPr>
    </w:lvl>
    <w:lvl w:ilvl="5" w:tplc="B60C878C" w:tentative="1">
      <w:start w:val="1"/>
      <w:numFmt w:val="lowerRoman"/>
      <w:lvlText w:val="%6."/>
      <w:lvlJc w:val="right"/>
      <w:pPr>
        <w:tabs>
          <w:tab w:val="num" w:pos="4320"/>
        </w:tabs>
        <w:ind w:left="4320" w:hanging="360"/>
      </w:pPr>
    </w:lvl>
    <w:lvl w:ilvl="6" w:tplc="8906540C" w:tentative="1">
      <w:start w:val="1"/>
      <w:numFmt w:val="lowerRoman"/>
      <w:lvlText w:val="%7."/>
      <w:lvlJc w:val="right"/>
      <w:pPr>
        <w:tabs>
          <w:tab w:val="num" w:pos="5040"/>
        </w:tabs>
        <w:ind w:left="5040" w:hanging="360"/>
      </w:pPr>
    </w:lvl>
    <w:lvl w:ilvl="7" w:tplc="D8061CFA" w:tentative="1">
      <w:start w:val="1"/>
      <w:numFmt w:val="lowerRoman"/>
      <w:lvlText w:val="%8."/>
      <w:lvlJc w:val="right"/>
      <w:pPr>
        <w:tabs>
          <w:tab w:val="num" w:pos="5760"/>
        </w:tabs>
        <w:ind w:left="5760" w:hanging="360"/>
      </w:pPr>
    </w:lvl>
    <w:lvl w:ilvl="8" w:tplc="E42C019E" w:tentative="1">
      <w:start w:val="1"/>
      <w:numFmt w:val="lowerRoman"/>
      <w:lvlText w:val="%9."/>
      <w:lvlJc w:val="right"/>
      <w:pPr>
        <w:tabs>
          <w:tab w:val="num" w:pos="6480"/>
        </w:tabs>
        <w:ind w:left="6480" w:hanging="360"/>
      </w:pPr>
    </w:lvl>
  </w:abstractNum>
  <w:num w:numId="1">
    <w:abstractNumId w:val="1"/>
  </w:num>
  <w:num w:numId="2">
    <w:abstractNumId w:val="6"/>
  </w:num>
  <w:num w:numId="3">
    <w:abstractNumId w:val="17"/>
  </w:num>
  <w:num w:numId="4">
    <w:abstractNumId w:val="0"/>
  </w:num>
  <w:num w:numId="5">
    <w:abstractNumId w:val="11"/>
  </w:num>
  <w:num w:numId="6">
    <w:abstractNumId w:val="26"/>
  </w:num>
  <w:num w:numId="7">
    <w:abstractNumId w:val="9"/>
  </w:num>
  <w:num w:numId="8">
    <w:abstractNumId w:val="27"/>
  </w:num>
  <w:num w:numId="9">
    <w:abstractNumId w:val="14"/>
  </w:num>
  <w:num w:numId="10">
    <w:abstractNumId w:val="25"/>
  </w:num>
  <w:num w:numId="11">
    <w:abstractNumId w:val="21"/>
  </w:num>
  <w:num w:numId="12">
    <w:abstractNumId w:val="3"/>
  </w:num>
  <w:num w:numId="13">
    <w:abstractNumId w:val="10"/>
  </w:num>
  <w:num w:numId="14">
    <w:abstractNumId w:val="18"/>
  </w:num>
  <w:num w:numId="15">
    <w:abstractNumId w:val="5"/>
  </w:num>
  <w:num w:numId="16">
    <w:abstractNumId w:val="13"/>
  </w:num>
  <w:num w:numId="17">
    <w:abstractNumId w:val="23"/>
  </w:num>
  <w:num w:numId="18">
    <w:abstractNumId w:val="7"/>
  </w:num>
  <w:num w:numId="19">
    <w:abstractNumId w:val="19"/>
  </w:num>
  <w:num w:numId="20">
    <w:abstractNumId w:val="8"/>
  </w:num>
  <w:num w:numId="21">
    <w:abstractNumId w:val="22"/>
  </w:num>
  <w:num w:numId="22">
    <w:abstractNumId w:val="20"/>
  </w:num>
  <w:num w:numId="23">
    <w:abstractNumId w:val="4"/>
  </w:num>
  <w:num w:numId="24">
    <w:abstractNumId w:val="2"/>
  </w:num>
  <w:num w:numId="25">
    <w:abstractNumId w:val="16"/>
  </w:num>
  <w:num w:numId="26">
    <w:abstractNumId w:val="24"/>
  </w:num>
  <w:num w:numId="27">
    <w:abstractNumId w:val="15"/>
  </w:num>
  <w:num w:numId="28">
    <w:abstractNumId w:val="28"/>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DA"/>
    <w:rsid w:val="0000070B"/>
    <w:rsid w:val="000022F3"/>
    <w:rsid w:val="000035FF"/>
    <w:rsid w:val="00005931"/>
    <w:rsid w:val="000117F2"/>
    <w:rsid w:val="000118CD"/>
    <w:rsid w:val="00015A3F"/>
    <w:rsid w:val="000171EF"/>
    <w:rsid w:val="000265B6"/>
    <w:rsid w:val="0002683F"/>
    <w:rsid w:val="000401FF"/>
    <w:rsid w:val="00041A15"/>
    <w:rsid w:val="000438BD"/>
    <w:rsid w:val="000530AF"/>
    <w:rsid w:val="00061274"/>
    <w:rsid w:val="000628AB"/>
    <w:rsid w:val="00062D3A"/>
    <w:rsid w:val="00063AA9"/>
    <w:rsid w:val="0007359E"/>
    <w:rsid w:val="000818F6"/>
    <w:rsid w:val="00083B98"/>
    <w:rsid w:val="000913B3"/>
    <w:rsid w:val="00091D6E"/>
    <w:rsid w:val="000931CA"/>
    <w:rsid w:val="000A1440"/>
    <w:rsid w:val="000A1645"/>
    <w:rsid w:val="000A4950"/>
    <w:rsid w:val="000A4E58"/>
    <w:rsid w:val="000A684A"/>
    <w:rsid w:val="000B13BD"/>
    <w:rsid w:val="000B1EE7"/>
    <w:rsid w:val="000B5248"/>
    <w:rsid w:val="000C07AA"/>
    <w:rsid w:val="000C2D84"/>
    <w:rsid w:val="000C6E51"/>
    <w:rsid w:val="000E12DB"/>
    <w:rsid w:val="000F0698"/>
    <w:rsid w:val="000F2DBF"/>
    <w:rsid w:val="000F796E"/>
    <w:rsid w:val="00100850"/>
    <w:rsid w:val="001140B1"/>
    <w:rsid w:val="00114E33"/>
    <w:rsid w:val="0011519D"/>
    <w:rsid w:val="00124032"/>
    <w:rsid w:val="001253B8"/>
    <w:rsid w:val="001309DC"/>
    <w:rsid w:val="001331D8"/>
    <w:rsid w:val="00133B5A"/>
    <w:rsid w:val="00141CF0"/>
    <w:rsid w:val="00142328"/>
    <w:rsid w:val="0014795E"/>
    <w:rsid w:val="00152892"/>
    <w:rsid w:val="0015438F"/>
    <w:rsid w:val="00164437"/>
    <w:rsid w:val="00165F77"/>
    <w:rsid w:val="001721CD"/>
    <w:rsid w:val="00177BD4"/>
    <w:rsid w:val="001827D5"/>
    <w:rsid w:val="0018519D"/>
    <w:rsid w:val="0018535F"/>
    <w:rsid w:val="00186FE2"/>
    <w:rsid w:val="00187A73"/>
    <w:rsid w:val="00190077"/>
    <w:rsid w:val="00191E5D"/>
    <w:rsid w:val="00191EAC"/>
    <w:rsid w:val="00196B4A"/>
    <w:rsid w:val="001A1F15"/>
    <w:rsid w:val="001A2C81"/>
    <w:rsid w:val="001A4A51"/>
    <w:rsid w:val="001A4DD6"/>
    <w:rsid w:val="001A6497"/>
    <w:rsid w:val="001B5453"/>
    <w:rsid w:val="001B5F83"/>
    <w:rsid w:val="001B78FE"/>
    <w:rsid w:val="001C5932"/>
    <w:rsid w:val="001D44B7"/>
    <w:rsid w:val="001E034C"/>
    <w:rsid w:val="001E12E2"/>
    <w:rsid w:val="001E16E1"/>
    <w:rsid w:val="001E3B40"/>
    <w:rsid w:val="001E7E14"/>
    <w:rsid w:val="001F031D"/>
    <w:rsid w:val="002004B9"/>
    <w:rsid w:val="00201B3B"/>
    <w:rsid w:val="002023F9"/>
    <w:rsid w:val="00205505"/>
    <w:rsid w:val="00210CE9"/>
    <w:rsid w:val="002248ED"/>
    <w:rsid w:val="00234887"/>
    <w:rsid w:val="00234DF1"/>
    <w:rsid w:val="00243889"/>
    <w:rsid w:val="0024670D"/>
    <w:rsid w:val="002504DC"/>
    <w:rsid w:val="00265202"/>
    <w:rsid w:val="0026546F"/>
    <w:rsid w:val="0026584F"/>
    <w:rsid w:val="00267509"/>
    <w:rsid w:val="00273F76"/>
    <w:rsid w:val="00276A6C"/>
    <w:rsid w:val="0027753C"/>
    <w:rsid w:val="00292D3D"/>
    <w:rsid w:val="00294027"/>
    <w:rsid w:val="002A09C5"/>
    <w:rsid w:val="002A1737"/>
    <w:rsid w:val="002A1869"/>
    <w:rsid w:val="002A5413"/>
    <w:rsid w:val="002A5BE2"/>
    <w:rsid w:val="002B0E0A"/>
    <w:rsid w:val="002B2C9B"/>
    <w:rsid w:val="002B2DED"/>
    <w:rsid w:val="002C04DC"/>
    <w:rsid w:val="002C06AA"/>
    <w:rsid w:val="002C14E0"/>
    <w:rsid w:val="002C1C8E"/>
    <w:rsid w:val="002C1F9C"/>
    <w:rsid w:val="002C383C"/>
    <w:rsid w:val="002C49CA"/>
    <w:rsid w:val="002C62CA"/>
    <w:rsid w:val="002D17F6"/>
    <w:rsid w:val="002D4D38"/>
    <w:rsid w:val="002E5EE2"/>
    <w:rsid w:val="002F7E8E"/>
    <w:rsid w:val="0030290E"/>
    <w:rsid w:val="00310BFA"/>
    <w:rsid w:val="00325413"/>
    <w:rsid w:val="003273F3"/>
    <w:rsid w:val="00330543"/>
    <w:rsid w:val="00330EA2"/>
    <w:rsid w:val="003311FE"/>
    <w:rsid w:val="00342532"/>
    <w:rsid w:val="003435CF"/>
    <w:rsid w:val="003447E4"/>
    <w:rsid w:val="003450CF"/>
    <w:rsid w:val="00345657"/>
    <w:rsid w:val="003505C2"/>
    <w:rsid w:val="00352090"/>
    <w:rsid w:val="00361A34"/>
    <w:rsid w:val="00370BB6"/>
    <w:rsid w:val="00371FC3"/>
    <w:rsid w:val="00372ACD"/>
    <w:rsid w:val="003752CC"/>
    <w:rsid w:val="003773D7"/>
    <w:rsid w:val="00393FDB"/>
    <w:rsid w:val="003947BB"/>
    <w:rsid w:val="003A19FC"/>
    <w:rsid w:val="003A225E"/>
    <w:rsid w:val="003A65B4"/>
    <w:rsid w:val="003A67B5"/>
    <w:rsid w:val="003B0477"/>
    <w:rsid w:val="003B494F"/>
    <w:rsid w:val="003C3B9F"/>
    <w:rsid w:val="003D07C4"/>
    <w:rsid w:val="003D3A0E"/>
    <w:rsid w:val="003E2555"/>
    <w:rsid w:val="003F1B64"/>
    <w:rsid w:val="003F1C2A"/>
    <w:rsid w:val="003F2635"/>
    <w:rsid w:val="003F4EFE"/>
    <w:rsid w:val="003F64EC"/>
    <w:rsid w:val="003F6C56"/>
    <w:rsid w:val="003F7E4C"/>
    <w:rsid w:val="004053CF"/>
    <w:rsid w:val="00405FDA"/>
    <w:rsid w:val="00406E94"/>
    <w:rsid w:val="004106F8"/>
    <w:rsid w:val="00411BD6"/>
    <w:rsid w:val="00411D10"/>
    <w:rsid w:val="004133E3"/>
    <w:rsid w:val="004163E8"/>
    <w:rsid w:val="004169CB"/>
    <w:rsid w:val="004206E0"/>
    <w:rsid w:val="004216BC"/>
    <w:rsid w:val="00423DE5"/>
    <w:rsid w:val="00424EA2"/>
    <w:rsid w:val="00424FCF"/>
    <w:rsid w:val="00425D3E"/>
    <w:rsid w:val="004270B7"/>
    <w:rsid w:val="00427BDC"/>
    <w:rsid w:val="004311E3"/>
    <w:rsid w:val="004318B8"/>
    <w:rsid w:val="00433BA1"/>
    <w:rsid w:val="00433D33"/>
    <w:rsid w:val="004349BF"/>
    <w:rsid w:val="00437EB5"/>
    <w:rsid w:val="0044675E"/>
    <w:rsid w:val="00453B4A"/>
    <w:rsid w:val="004575D2"/>
    <w:rsid w:val="00461122"/>
    <w:rsid w:val="00467AA4"/>
    <w:rsid w:val="00470FB1"/>
    <w:rsid w:val="004823AF"/>
    <w:rsid w:val="00492D07"/>
    <w:rsid w:val="00493821"/>
    <w:rsid w:val="00493F03"/>
    <w:rsid w:val="004A0F37"/>
    <w:rsid w:val="004A3225"/>
    <w:rsid w:val="004A7CE1"/>
    <w:rsid w:val="004B2B6A"/>
    <w:rsid w:val="004C02F4"/>
    <w:rsid w:val="004C0F60"/>
    <w:rsid w:val="004C10EE"/>
    <w:rsid w:val="004C4813"/>
    <w:rsid w:val="004C4F46"/>
    <w:rsid w:val="004C6229"/>
    <w:rsid w:val="004C7ECA"/>
    <w:rsid w:val="004D3F6E"/>
    <w:rsid w:val="004D629D"/>
    <w:rsid w:val="004D66A5"/>
    <w:rsid w:val="004E2CFE"/>
    <w:rsid w:val="004F26F7"/>
    <w:rsid w:val="004F720D"/>
    <w:rsid w:val="00504BBA"/>
    <w:rsid w:val="00505D5D"/>
    <w:rsid w:val="00507129"/>
    <w:rsid w:val="00510A05"/>
    <w:rsid w:val="0051339D"/>
    <w:rsid w:val="00516E87"/>
    <w:rsid w:val="005178FC"/>
    <w:rsid w:val="00522026"/>
    <w:rsid w:val="0052311F"/>
    <w:rsid w:val="00523C5D"/>
    <w:rsid w:val="00527555"/>
    <w:rsid w:val="00535203"/>
    <w:rsid w:val="00542014"/>
    <w:rsid w:val="00553C20"/>
    <w:rsid w:val="0055438E"/>
    <w:rsid w:val="005610E5"/>
    <w:rsid w:val="0056374C"/>
    <w:rsid w:val="00566134"/>
    <w:rsid w:val="00570404"/>
    <w:rsid w:val="005714BD"/>
    <w:rsid w:val="00571953"/>
    <w:rsid w:val="0057650A"/>
    <w:rsid w:val="00583439"/>
    <w:rsid w:val="00583D1F"/>
    <w:rsid w:val="00584F51"/>
    <w:rsid w:val="005851F7"/>
    <w:rsid w:val="005879AB"/>
    <w:rsid w:val="00590465"/>
    <w:rsid w:val="0059052D"/>
    <w:rsid w:val="00591037"/>
    <w:rsid w:val="0059159A"/>
    <w:rsid w:val="00591CBD"/>
    <w:rsid w:val="00597641"/>
    <w:rsid w:val="005B3C9C"/>
    <w:rsid w:val="005B4E27"/>
    <w:rsid w:val="005B71FF"/>
    <w:rsid w:val="005C0CB7"/>
    <w:rsid w:val="005D2904"/>
    <w:rsid w:val="005D4DC6"/>
    <w:rsid w:val="005D4F31"/>
    <w:rsid w:val="005D7360"/>
    <w:rsid w:val="005E0B27"/>
    <w:rsid w:val="005E26B0"/>
    <w:rsid w:val="005E3753"/>
    <w:rsid w:val="005F4693"/>
    <w:rsid w:val="005F4DCB"/>
    <w:rsid w:val="0060028E"/>
    <w:rsid w:val="006062EA"/>
    <w:rsid w:val="0061375C"/>
    <w:rsid w:val="00613E36"/>
    <w:rsid w:val="00613F6E"/>
    <w:rsid w:val="00616176"/>
    <w:rsid w:val="0062532F"/>
    <w:rsid w:val="006276DD"/>
    <w:rsid w:val="006315BB"/>
    <w:rsid w:val="0063313C"/>
    <w:rsid w:val="00636512"/>
    <w:rsid w:val="00637594"/>
    <w:rsid w:val="0064057E"/>
    <w:rsid w:val="006428C8"/>
    <w:rsid w:val="00643563"/>
    <w:rsid w:val="00651FEA"/>
    <w:rsid w:val="006537AC"/>
    <w:rsid w:val="00653C54"/>
    <w:rsid w:val="00654409"/>
    <w:rsid w:val="006561EB"/>
    <w:rsid w:val="00666A25"/>
    <w:rsid w:val="00667D8E"/>
    <w:rsid w:val="0067459D"/>
    <w:rsid w:val="006752D9"/>
    <w:rsid w:val="006800A1"/>
    <w:rsid w:val="00681F2D"/>
    <w:rsid w:val="0068319C"/>
    <w:rsid w:val="00697721"/>
    <w:rsid w:val="006B1A0B"/>
    <w:rsid w:val="006B79F0"/>
    <w:rsid w:val="006C3A5F"/>
    <w:rsid w:val="006C5169"/>
    <w:rsid w:val="006C598A"/>
    <w:rsid w:val="006D5EF0"/>
    <w:rsid w:val="006D7F43"/>
    <w:rsid w:val="006E07DF"/>
    <w:rsid w:val="006E4B4E"/>
    <w:rsid w:val="006E6290"/>
    <w:rsid w:val="006F2A6C"/>
    <w:rsid w:val="006F4D69"/>
    <w:rsid w:val="00701DCB"/>
    <w:rsid w:val="00701FB2"/>
    <w:rsid w:val="00702F86"/>
    <w:rsid w:val="007114A2"/>
    <w:rsid w:val="0071462D"/>
    <w:rsid w:val="007223BA"/>
    <w:rsid w:val="00732D91"/>
    <w:rsid w:val="007353B2"/>
    <w:rsid w:val="00736F15"/>
    <w:rsid w:val="00737B62"/>
    <w:rsid w:val="00757F46"/>
    <w:rsid w:val="0076431F"/>
    <w:rsid w:val="007711DA"/>
    <w:rsid w:val="00771FF7"/>
    <w:rsid w:val="00772886"/>
    <w:rsid w:val="00773D4B"/>
    <w:rsid w:val="00774F02"/>
    <w:rsid w:val="00775F5F"/>
    <w:rsid w:val="007804CD"/>
    <w:rsid w:val="007849A6"/>
    <w:rsid w:val="00786412"/>
    <w:rsid w:val="00790029"/>
    <w:rsid w:val="007916A9"/>
    <w:rsid w:val="00791CAB"/>
    <w:rsid w:val="00791E59"/>
    <w:rsid w:val="00797CFD"/>
    <w:rsid w:val="007A0D82"/>
    <w:rsid w:val="007A1B48"/>
    <w:rsid w:val="007A2B72"/>
    <w:rsid w:val="007B00CD"/>
    <w:rsid w:val="007B1101"/>
    <w:rsid w:val="007B1429"/>
    <w:rsid w:val="007B27C9"/>
    <w:rsid w:val="007B7108"/>
    <w:rsid w:val="007C1034"/>
    <w:rsid w:val="007C1161"/>
    <w:rsid w:val="007C4793"/>
    <w:rsid w:val="007D009F"/>
    <w:rsid w:val="007D1035"/>
    <w:rsid w:val="007E1652"/>
    <w:rsid w:val="007E5828"/>
    <w:rsid w:val="007F0581"/>
    <w:rsid w:val="007F2A58"/>
    <w:rsid w:val="008015CF"/>
    <w:rsid w:val="00804527"/>
    <w:rsid w:val="00805E16"/>
    <w:rsid w:val="00806D06"/>
    <w:rsid w:val="008105D7"/>
    <w:rsid w:val="00814EFF"/>
    <w:rsid w:val="00816BEF"/>
    <w:rsid w:val="00821023"/>
    <w:rsid w:val="00823A0D"/>
    <w:rsid w:val="00827BD1"/>
    <w:rsid w:val="00830614"/>
    <w:rsid w:val="008334C2"/>
    <w:rsid w:val="0084002F"/>
    <w:rsid w:val="00840F92"/>
    <w:rsid w:val="00841DE8"/>
    <w:rsid w:val="00857269"/>
    <w:rsid w:val="0086406B"/>
    <w:rsid w:val="008670D0"/>
    <w:rsid w:val="00871931"/>
    <w:rsid w:val="0087429D"/>
    <w:rsid w:val="0087431F"/>
    <w:rsid w:val="00881054"/>
    <w:rsid w:val="00890073"/>
    <w:rsid w:val="00891080"/>
    <w:rsid w:val="00891238"/>
    <w:rsid w:val="00893F58"/>
    <w:rsid w:val="008A0D9E"/>
    <w:rsid w:val="008A46B9"/>
    <w:rsid w:val="008A4C45"/>
    <w:rsid w:val="008A60FA"/>
    <w:rsid w:val="008A6165"/>
    <w:rsid w:val="008A6216"/>
    <w:rsid w:val="008B26E9"/>
    <w:rsid w:val="008B26FD"/>
    <w:rsid w:val="008B3A14"/>
    <w:rsid w:val="008B3E67"/>
    <w:rsid w:val="008B5735"/>
    <w:rsid w:val="008C3FAE"/>
    <w:rsid w:val="008C5FFA"/>
    <w:rsid w:val="008E25E5"/>
    <w:rsid w:val="008F09A7"/>
    <w:rsid w:val="008F6504"/>
    <w:rsid w:val="00902409"/>
    <w:rsid w:val="00903EB3"/>
    <w:rsid w:val="00905AF8"/>
    <w:rsid w:val="00912B91"/>
    <w:rsid w:val="00914150"/>
    <w:rsid w:val="009147E3"/>
    <w:rsid w:val="00914E1E"/>
    <w:rsid w:val="0092046D"/>
    <w:rsid w:val="0092130F"/>
    <w:rsid w:val="009233B9"/>
    <w:rsid w:val="009413C7"/>
    <w:rsid w:val="009452FA"/>
    <w:rsid w:val="009458E4"/>
    <w:rsid w:val="009474F8"/>
    <w:rsid w:val="00952A8E"/>
    <w:rsid w:val="00954701"/>
    <w:rsid w:val="00954CED"/>
    <w:rsid w:val="00957832"/>
    <w:rsid w:val="00962EDA"/>
    <w:rsid w:val="00964F33"/>
    <w:rsid w:val="0097054A"/>
    <w:rsid w:val="00970D54"/>
    <w:rsid w:val="009719D9"/>
    <w:rsid w:val="00975C3B"/>
    <w:rsid w:val="00977C62"/>
    <w:rsid w:val="009817E7"/>
    <w:rsid w:val="00986715"/>
    <w:rsid w:val="00986CEC"/>
    <w:rsid w:val="00991304"/>
    <w:rsid w:val="009959E0"/>
    <w:rsid w:val="009A2387"/>
    <w:rsid w:val="009B3F6D"/>
    <w:rsid w:val="009C1C59"/>
    <w:rsid w:val="009C75B0"/>
    <w:rsid w:val="009D66A0"/>
    <w:rsid w:val="009F4681"/>
    <w:rsid w:val="009F4F20"/>
    <w:rsid w:val="00A01D72"/>
    <w:rsid w:val="00A13199"/>
    <w:rsid w:val="00A134F0"/>
    <w:rsid w:val="00A155C4"/>
    <w:rsid w:val="00A17E17"/>
    <w:rsid w:val="00A22C48"/>
    <w:rsid w:val="00A230E8"/>
    <w:rsid w:val="00A2367D"/>
    <w:rsid w:val="00A31CF9"/>
    <w:rsid w:val="00A32A67"/>
    <w:rsid w:val="00A37ED5"/>
    <w:rsid w:val="00A41059"/>
    <w:rsid w:val="00A41BBA"/>
    <w:rsid w:val="00A4316E"/>
    <w:rsid w:val="00A450D1"/>
    <w:rsid w:val="00A45213"/>
    <w:rsid w:val="00A475D2"/>
    <w:rsid w:val="00A51243"/>
    <w:rsid w:val="00A52AF9"/>
    <w:rsid w:val="00A55ECF"/>
    <w:rsid w:val="00A5699B"/>
    <w:rsid w:val="00A63D3C"/>
    <w:rsid w:val="00A64664"/>
    <w:rsid w:val="00A71A48"/>
    <w:rsid w:val="00A71E31"/>
    <w:rsid w:val="00A71FAA"/>
    <w:rsid w:val="00A731D1"/>
    <w:rsid w:val="00A73285"/>
    <w:rsid w:val="00A74E34"/>
    <w:rsid w:val="00A76B27"/>
    <w:rsid w:val="00A77A60"/>
    <w:rsid w:val="00A9277E"/>
    <w:rsid w:val="00A94E60"/>
    <w:rsid w:val="00A958CE"/>
    <w:rsid w:val="00A9736F"/>
    <w:rsid w:val="00AA25BC"/>
    <w:rsid w:val="00AB0A46"/>
    <w:rsid w:val="00AB5286"/>
    <w:rsid w:val="00AB5ED3"/>
    <w:rsid w:val="00AB6E71"/>
    <w:rsid w:val="00AB7A63"/>
    <w:rsid w:val="00AD1E01"/>
    <w:rsid w:val="00AD2A01"/>
    <w:rsid w:val="00AD5CDC"/>
    <w:rsid w:val="00AD63B8"/>
    <w:rsid w:val="00AE0B14"/>
    <w:rsid w:val="00AE3F65"/>
    <w:rsid w:val="00AE791F"/>
    <w:rsid w:val="00AE7920"/>
    <w:rsid w:val="00B028FC"/>
    <w:rsid w:val="00B04409"/>
    <w:rsid w:val="00B07EC6"/>
    <w:rsid w:val="00B128AB"/>
    <w:rsid w:val="00B1542B"/>
    <w:rsid w:val="00B2071C"/>
    <w:rsid w:val="00B2794C"/>
    <w:rsid w:val="00B30CC8"/>
    <w:rsid w:val="00B34BC9"/>
    <w:rsid w:val="00B4147F"/>
    <w:rsid w:val="00B424E2"/>
    <w:rsid w:val="00B50320"/>
    <w:rsid w:val="00B56BC9"/>
    <w:rsid w:val="00B6592F"/>
    <w:rsid w:val="00B67E41"/>
    <w:rsid w:val="00B730A0"/>
    <w:rsid w:val="00B76A69"/>
    <w:rsid w:val="00B76EB0"/>
    <w:rsid w:val="00B771D4"/>
    <w:rsid w:val="00B816E9"/>
    <w:rsid w:val="00B82C09"/>
    <w:rsid w:val="00B83E08"/>
    <w:rsid w:val="00B861BF"/>
    <w:rsid w:val="00B91619"/>
    <w:rsid w:val="00B91FA9"/>
    <w:rsid w:val="00B946BC"/>
    <w:rsid w:val="00BB140C"/>
    <w:rsid w:val="00BB3F36"/>
    <w:rsid w:val="00BB7047"/>
    <w:rsid w:val="00BC429C"/>
    <w:rsid w:val="00BD2B51"/>
    <w:rsid w:val="00BD4C1D"/>
    <w:rsid w:val="00BD7549"/>
    <w:rsid w:val="00BE336B"/>
    <w:rsid w:val="00BE59FB"/>
    <w:rsid w:val="00BE5E62"/>
    <w:rsid w:val="00BE6E30"/>
    <w:rsid w:val="00BF0A36"/>
    <w:rsid w:val="00BF2E7F"/>
    <w:rsid w:val="00BF4776"/>
    <w:rsid w:val="00C016BD"/>
    <w:rsid w:val="00C111D6"/>
    <w:rsid w:val="00C11261"/>
    <w:rsid w:val="00C1149E"/>
    <w:rsid w:val="00C11A15"/>
    <w:rsid w:val="00C125C6"/>
    <w:rsid w:val="00C16412"/>
    <w:rsid w:val="00C202DD"/>
    <w:rsid w:val="00C273BE"/>
    <w:rsid w:val="00C308A7"/>
    <w:rsid w:val="00C31CDE"/>
    <w:rsid w:val="00C45796"/>
    <w:rsid w:val="00C46701"/>
    <w:rsid w:val="00C5160F"/>
    <w:rsid w:val="00C63F6D"/>
    <w:rsid w:val="00C65108"/>
    <w:rsid w:val="00C71B9E"/>
    <w:rsid w:val="00C71F16"/>
    <w:rsid w:val="00C74EE2"/>
    <w:rsid w:val="00C87B5D"/>
    <w:rsid w:val="00C957DA"/>
    <w:rsid w:val="00CA035F"/>
    <w:rsid w:val="00CA44D6"/>
    <w:rsid w:val="00CA7AFD"/>
    <w:rsid w:val="00CB1851"/>
    <w:rsid w:val="00CB3046"/>
    <w:rsid w:val="00CB67FC"/>
    <w:rsid w:val="00CB6C09"/>
    <w:rsid w:val="00CB797B"/>
    <w:rsid w:val="00CC30E8"/>
    <w:rsid w:val="00CC5B44"/>
    <w:rsid w:val="00CC6868"/>
    <w:rsid w:val="00CD1408"/>
    <w:rsid w:val="00CD204E"/>
    <w:rsid w:val="00CD6050"/>
    <w:rsid w:val="00CD78C8"/>
    <w:rsid w:val="00CE14D3"/>
    <w:rsid w:val="00CE6276"/>
    <w:rsid w:val="00CF2035"/>
    <w:rsid w:val="00CF2578"/>
    <w:rsid w:val="00CF2A62"/>
    <w:rsid w:val="00CF3F1F"/>
    <w:rsid w:val="00CF69BA"/>
    <w:rsid w:val="00D05192"/>
    <w:rsid w:val="00D14090"/>
    <w:rsid w:val="00D149DE"/>
    <w:rsid w:val="00D15107"/>
    <w:rsid w:val="00D17A62"/>
    <w:rsid w:val="00D30255"/>
    <w:rsid w:val="00D32649"/>
    <w:rsid w:val="00D356A1"/>
    <w:rsid w:val="00D3606A"/>
    <w:rsid w:val="00D37565"/>
    <w:rsid w:val="00D41812"/>
    <w:rsid w:val="00D424F9"/>
    <w:rsid w:val="00D4611E"/>
    <w:rsid w:val="00D54115"/>
    <w:rsid w:val="00D63706"/>
    <w:rsid w:val="00D64CE0"/>
    <w:rsid w:val="00D71B42"/>
    <w:rsid w:val="00D75431"/>
    <w:rsid w:val="00D76162"/>
    <w:rsid w:val="00D8362F"/>
    <w:rsid w:val="00D87AD1"/>
    <w:rsid w:val="00D87C83"/>
    <w:rsid w:val="00D87F4D"/>
    <w:rsid w:val="00D90806"/>
    <w:rsid w:val="00D919E3"/>
    <w:rsid w:val="00DA4B2C"/>
    <w:rsid w:val="00DC133F"/>
    <w:rsid w:val="00DC1356"/>
    <w:rsid w:val="00DC232E"/>
    <w:rsid w:val="00DC2C78"/>
    <w:rsid w:val="00DC4BC7"/>
    <w:rsid w:val="00DC4DBA"/>
    <w:rsid w:val="00DC5257"/>
    <w:rsid w:val="00DC59F8"/>
    <w:rsid w:val="00DC5DCE"/>
    <w:rsid w:val="00DD022E"/>
    <w:rsid w:val="00DE19B1"/>
    <w:rsid w:val="00DE768C"/>
    <w:rsid w:val="00DF3408"/>
    <w:rsid w:val="00DF5421"/>
    <w:rsid w:val="00E008F5"/>
    <w:rsid w:val="00E049BE"/>
    <w:rsid w:val="00E0602E"/>
    <w:rsid w:val="00E1547A"/>
    <w:rsid w:val="00E16A0C"/>
    <w:rsid w:val="00E21643"/>
    <w:rsid w:val="00E247A7"/>
    <w:rsid w:val="00E31E75"/>
    <w:rsid w:val="00E33234"/>
    <w:rsid w:val="00E342F8"/>
    <w:rsid w:val="00E52BF1"/>
    <w:rsid w:val="00E54ED0"/>
    <w:rsid w:val="00E64454"/>
    <w:rsid w:val="00E6468A"/>
    <w:rsid w:val="00E70E54"/>
    <w:rsid w:val="00E71A46"/>
    <w:rsid w:val="00E77873"/>
    <w:rsid w:val="00E819D1"/>
    <w:rsid w:val="00E822C3"/>
    <w:rsid w:val="00E84CED"/>
    <w:rsid w:val="00E9164E"/>
    <w:rsid w:val="00E9350F"/>
    <w:rsid w:val="00EA0E42"/>
    <w:rsid w:val="00EA0E71"/>
    <w:rsid w:val="00EA148A"/>
    <w:rsid w:val="00EA4CD7"/>
    <w:rsid w:val="00EA7754"/>
    <w:rsid w:val="00EB2B87"/>
    <w:rsid w:val="00EB2D72"/>
    <w:rsid w:val="00EB5ED5"/>
    <w:rsid w:val="00EC2B82"/>
    <w:rsid w:val="00EC43A2"/>
    <w:rsid w:val="00EC44A9"/>
    <w:rsid w:val="00ED4296"/>
    <w:rsid w:val="00ED5303"/>
    <w:rsid w:val="00ED7950"/>
    <w:rsid w:val="00EE11C3"/>
    <w:rsid w:val="00EF1D37"/>
    <w:rsid w:val="00EF43F5"/>
    <w:rsid w:val="00EF4B0D"/>
    <w:rsid w:val="00EF50D5"/>
    <w:rsid w:val="00EF724B"/>
    <w:rsid w:val="00EF7655"/>
    <w:rsid w:val="00F03649"/>
    <w:rsid w:val="00F0397A"/>
    <w:rsid w:val="00F0695C"/>
    <w:rsid w:val="00F13729"/>
    <w:rsid w:val="00F15364"/>
    <w:rsid w:val="00F17203"/>
    <w:rsid w:val="00F2145B"/>
    <w:rsid w:val="00F222CA"/>
    <w:rsid w:val="00F2535D"/>
    <w:rsid w:val="00F31D8D"/>
    <w:rsid w:val="00F34D64"/>
    <w:rsid w:val="00F35458"/>
    <w:rsid w:val="00F35652"/>
    <w:rsid w:val="00F36933"/>
    <w:rsid w:val="00F37093"/>
    <w:rsid w:val="00F460E3"/>
    <w:rsid w:val="00F528C2"/>
    <w:rsid w:val="00F6227E"/>
    <w:rsid w:val="00F66497"/>
    <w:rsid w:val="00F674E5"/>
    <w:rsid w:val="00F708C5"/>
    <w:rsid w:val="00F7246A"/>
    <w:rsid w:val="00F74F6E"/>
    <w:rsid w:val="00F765A8"/>
    <w:rsid w:val="00F805FD"/>
    <w:rsid w:val="00F80967"/>
    <w:rsid w:val="00F812D0"/>
    <w:rsid w:val="00F8465B"/>
    <w:rsid w:val="00F86D39"/>
    <w:rsid w:val="00F9277C"/>
    <w:rsid w:val="00F95F99"/>
    <w:rsid w:val="00FA2F22"/>
    <w:rsid w:val="00FA4DD8"/>
    <w:rsid w:val="00FA64B5"/>
    <w:rsid w:val="00FB277F"/>
    <w:rsid w:val="00FB4EB5"/>
    <w:rsid w:val="00FB6D15"/>
    <w:rsid w:val="00FB768C"/>
    <w:rsid w:val="00FC065B"/>
    <w:rsid w:val="00FD1E1C"/>
    <w:rsid w:val="00FD2140"/>
    <w:rsid w:val="00FE05C4"/>
    <w:rsid w:val="00FF0A94"/>
    <w:rsid w:val="00FF3690"/>
    <w:rsid w:val="00FF44CA"/>
    <w:rsid w:val="00FF514C"/>
    <w:rsid w:val="00FF6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A48BD"/>
  <w15:docId w15:val="{DA848473-08DC-44CC-A013-14DE1E8B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19"/>
  </w:style>
  <w:style w:type="paragraph" w:styleId="Heading1">
    <w:name w:val="heading 1"/>
    <w:basedOn w:val="Normal"/>
    <w:next w:val="Normal"/>
    <w:link w:val="Heading1Char"/>
    <w:uiPriority w:val="9"/>
    <w:qFormat/>
    <w:rsid w:val="004C10EE"/>
    <w:pPr>
      <w:keepNext/>
      <w:keepLines/>
      <w:numPr>
        <w:numId w:val="14"/>
      </w:numPr>
      <w:spacing w:after="0"/>
      <w:ind w:hanging="7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79AB"/>
    <w:pPr>
      <w:keepNext/>
      <w:keepLines/>
      <w:numPr>
        <w:numId w:val="15"/>
      </w:numPr>
      <w:spacing w:before="40" w:after="0"/>
      <w:ind w:hanging="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79AB"/>
    <w:pPr>
      <w:keepNext/>
      <w:keepLines/>
      <w:numPr>
        <w:numId w:val="16"/>
      </w:numPr>
      <w:spacing w:before="40" w:after="0"/>
      <w:ind w:left="720" w:hanging="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77BD4"/>
    <w:pPr>
      <w:keepNext/>
      <w:keepLines/>
      <w:tabs>
        <w:tab w:val="left" w:pos="9356"/>
      </w:tab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unhideWhenUsed/>
    <w:qFormat/>
    <w:rsid w:val="002023F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521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1Char">
    <w:name w:val="Heading 1 Char"/>
    <w:basedOn w:val="DefaultParagraphFont"/>
    <w:link w:val="Heading1"/>
    <w:uiPriority w:val="9"/>
    <w:rsid w:val="004C10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1462D"/>
    <w:pPr>
      <w:spacing w:line="259" w:lineRule="auto"/>
      <w:outlineLvl w:val="9"/>
    </w:pPr>
    <w:rPr>
      <w:lang w:val="en-US"/>
    </w:rPr>
  </w:style>
  <w:style w:type="character" w:customStyle="1" w:styleId="Heading2Char">
    <w:name w:val="Heading 2 Char"/>
    <w:basedOn w:val="DefaultParagraphFont"/>
    <w:link w:val="Heading2"/>
    <w:uiPriority w:val="9"/>
    <w:rsid w:val="005879A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1462D"/>
    <w:pPr>
      <w:ind w:left="720"/>
      <w:contextualSpacing/>
    </w:pPr>
  </w:style>
  <w:style w:type="table" w:styleId="TableGrid">
    <w:name w:val="Table Grid"/>
    <w:basedOn w:val="TableNormal"/>
    <w:uiPriority w:val="39"/>
    <w:rsid w:val="0071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79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77BD4"/>
    <w:rPr>
      <w:rFonts w:asciiTheme="majorHAnsi" w:eastAsiaTheme="majorEastAsia" w:hAnsiTheme="majorHAnsi" w:cstheme="majorBidi"/>
      <w:iCs/>
      <w:color w:val="365F91" w:themeColor="accent1" w:themeShade="BF"/>
    </w:rPr>
  </w:style>
  <w:style w:type="paragraph" w:styleId="TOC2">
    <w:name w:val="toc 2"/>
    <w:basedOn w:val="Normal"/>
    <w:next w:val="Normal"/>
    <w:autoRedefine/>
    <w:uiPriority w:val="39"/>
    <w:unhideWhenUsed/>
    <w:rsid w:val="0063313C"/>
    <w:pPr>
      <w:tabs>
        <w:tab w:val="left" w:pos="1080"/>
        <w:tab w:val="right" w:leader="dot" w:pos="9350"/>
      </w:tabs>
      <w:spacing w:after="100"/>
      <w:ind w:left="360"/>
    </w:pPr>
  </w:style>
  <w:style w:type="paragraph" w:styleId="TOC3">
    <w:name w:val="toc 3"/>
    <w:basedOn w:val="Normal"/>
    <w:next w:val="Normal"/>
    <w:autoRedefine/>
    <w:uiPriority w:val="39"/>
    <w:unhideWhenUsed/>
    <w:rsid w:val="0063313C"/>
    <w:pPr>
      <w:tabs>
        <w:tab w:val="left" w:pos="1440"/>
        <w:tab w:val="right" w:leader="dot" w:pos="9350"/>
      </w:tabs>
      <w:spacing w:after="100"/>
      <w:ind w:left="720"/>
    </w:pPr>
  </w:style>
  <w:style w:type="character" w:styleId="Hyperlink">
    <w:name w:val="Hyperlink"/>
    <w:basedOn w:val="DefaultParagraphFont"/>
    <w:uiPriority w:val="99"/>
    <w:unhideWhenUsed/>
    <w:rsid w:val="003B0477"/>
    <w:rPr>
      <w:color w:val="0000FF" w:themeColor="hyperlink"/>
      <w:u w:val="single"/>
    </w:rPr>
  </w:style>
  <w:style w:type="character" w:customStyle="1" w:styleId="Heading5Char">
    <w:name w:val="Heading 5 Char"/>
    <w:basedOn w:val="DefaultParagraphFont"/>
    <w:link w:val="Heading5"/>
    <w:uiPriority w:val="9"/>
    <w:rsid w:val="002023F9"/>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584F51"/>
    <w:pPr>
      <w:tabs>
        <w:tab w:val="left" w:pos="720"/>
        <w:tab w:val="right" w:leader="dot" w:pos="9350"/>
      </w:tabs>
      <w:spacing w:after="100"/>
    </w:pPr>
  </w:style>
  <w:style w:type="character" w:styleId="CommentReference">
    <w:name w:val="annotation reference"/>
    <w:basedOn w:val="DefaultParagraphFont"/>
    <w:uiPriority w:val="99"/>
    <w:semiHidden/>
    <w:unhideWhenUsed/>
    <w:rsid w:val="00A31CF9"/>
    <w:rPr>
      <w:sz w:val="16"/>
      <w:szCs w:val="16"/>
    </w:rPr>
  </w:style>
  <w:style w:type="paragraph" w:styleId="CommentText">
    <w:name w:val="annotation text"/>
    <w:basedOn w:val="Normal"/>
    <w:link w:val="CommentTextChar"/>
    <w:uiPriority w:val="99"/>
    <w:unhideWhenUsed/>
    <w:rsid w:val="00A31CF9"/>
    <w:pPr>
      <w:spacing w:line="240" w:lineRule="auto"/>
    </w:pPr>
    <w:rPr>
      <w:sz w:val="20"/>
      <w:szCs w:val="20"/>
    </w:rPr>
  </w:style>
  <w:style w:type="character" w:customStyle="1" w:styleId="CommentTextChar">
    <w:name w:val="Comment Text Char"/>
    <w:basedOn w:val="DefaultParagraphFont"/>
    <w:link w:val="CommentText"/>
    <w:uiPriority w:val="99"/>
    <w:rsid w:val="00A31CF9"/>
    <w:rPr>
      <w:sz w:val="20"/>
      <w:szCs w:val="20"/>
    </w:rPr>
  </w:style>
  <w:style w:type="paragraph" w:styleId="CommentSubject">
    <w:name w:val="annotation subject"/>
    <w:basedOn w:val="CommentText"/>
    <w:next w:val="CommentText"/>
    <w:link w:val="CommentSubjectChar"/>
    <w:uiPriority w:val="99"/>
    <w:semiHidden/>
    <w:unhideWhenUsed/>
    <w:rsid w:val="00A31CF9"/>
    <w:rPr>
      <w:b/>
      <w:bCs/>
    </w:rPr>
  </w:style>
  <w:style w:type="character" w:customStyle="1" w:styleId="CommentSubjectChar">
    <w:name w:val="Comment Subject Char"/>
    <w:basedOn w:val="CommentTextChar"/>
    <w:link w:val="CommentSubject"/>
    <w:uiPriority w:val="99"/>
    <w:semiHidden/>
    <w:rsid w:val="00A31CF9"/>
    <w:rPr>
      <w:b/>
      <w:bCs/>
      <w:sz w:val="20"/>
      <w:szCs w:val="20"/>
    </w:rPr>
  </w:style>
  <w:style w:type="paragraph" w:styleId="Revision">
    <w:name w:val="Revision"/>
    <w:hidden/>
    <w:uiPriority w:val="99"/>
    <w:semiHidden/>
    <w:rsid w:val="00A31CF9"/>
    <w:pPr>
      <w:spacing w:after="0" w:line="240" w:lineRule="auto"/>
    </w:pPr>
  </w:style>
  <w:style w:type="character" w:styleId="Strong">
    <w:name w:val="Strong"/>
    <w:basedOn w:val="DefaultParagraphFont"/>
    <w:uiPriority w:val="22"/>
    <w:qFormat/>
    <w:rsid w:val="00954701"/>
    <w:rPr>
      <w:b/>
      <w:bCs/>
    </w:rPr>
  </w:style>
  <w:style w:type="paragraph" w:styleId="NormalWeb">
    <w:name w:val="Normal (Web)"/>
    <w:basedOn w:val="Normal"/>
    <w:uiPriority w:val="99"/>
    <w:semiHidden/>
    <w:unhideWhenUsed/>
    <w:rsid w:val="00954701"/>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4D3F6E"/>
    <w:rPr>
      <w:color w:val="800080" w:themeColor="followedHyperlink"/>
      <w:u w:val="single"/>
    </w:rPr>
  </w:style>
  <w:style w:type="paragraph" w:styleId="FootnoteText">
    <w:name w:val="footnote text"/>
    <w:basedOn w:val="Normal"/>
    <w:link w:val="FootnoteTextChar"/>
    <w:uiPriority w:val="99"/>
    <w:semiHidden/>
    <w:unhideWhenUsed/>
    <w:rsid w:val="00C11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1D6"/>
    <w:rPr>
      <w:sz w:val="20"/>
      <w:szCs w:val="20"/>
    </w:rPr>
  </w:style>
  <w:style w:type="character" w:styleId="FootnoteReference">
    <w:name w:val="footnote reference"/>
    <w:basedOn w:val="DefaultParagraphFont"/>
    <w:uiPriority w:val="99"/>
    <w:semiHidden/>
    <w:unhideWhenUsed/>
    <w:rsid w:val="00C111D6"/>
    <w:rPr>
      <w:vertAlign w:val="superscript"/>
    </w:rPr>
  </w:style>
  <w:style w:type="paragraph" w:styleId="Caption">
    <w:name w:val="caption"/>
    <w:basedOn w:val="Normal"/>
    <w:next w:val="Normal"/>
    <w:uiPriority w:val="35"/>
    <w:unhideWhenUsed/>
    <w:qFormat/>
    <w:rsid w:val="007E1652"/>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D356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6A1"/>
    <w:rPr>
      <w:sz w:val="20"/>
      <w:szCs w:val="20"/>
    </w:rPr>
  </w:style>
  <w:style w:type="character" w:styleId="EndnoteReference">
    <w:name w:val="endnote reference"/>
    <w:basedOn w:val="DefaultParagraphFont"/>
    <w:uiPriority w:val="99"/>
    <w:semiHidden/>
    <w:unhideWhenUsed/>
    <w:rsid w:val="00D356A1"/>
    <w:rPr>
      <w:vertAlign w:val="superscript"/>
    </w:rPr>
  </w:style>
  <w:style w:type="character" w:customStyle="1" w:styleId="Heading6Char">
    <w:name w:val="Heading 6 Char"/>
    <w:basedOn w:val="DefaultParagraphFont"/>
    <w:link w:val="Heading6"/>
    <w:uiPriority w:val="9"/>
    <w:semiHidden/>
    <w:rsid w:val="00A45213"/>
    <w:rPr>
      <w:rFonts w:asciiTheme="majorHAnsi" w:eastAsiaTheme="majorEastAsia" w:hAnsiTheme="majorHAnsi" w:cstheme="majorBidi"/>
      <w:color w:val="243F60" w:themeColor="accent1" w:themeShade="7F"/>
    </w:rPr>
  </w:style>
  <w:style w:type="paragraph" w:styleId="Title">
    <w:name w:val="Title"/>
    <w:aliases w:val="Table Title"/>
    <w:next w:val="Normal"/>
    <w:link w:val="TitleChar"/>
    <w:uiPriority w:val="10"/>
    <w:qFormat/>
    <w:rsid w:val="00A45213"/>
    <w:pPr>
      <w:keepNext/>
      <w:keepLines/>
      <w:spacing w:before="400" w:line="240" w:lineRule="auto"/>
    </w:pPr>
    <w:rPr>
      <w:rFonts w:ascii="Arial" w:hAnsi="Arial"/>
      <w:b/>
      <w:sz w:val="20"/>
      <w:lang w:val="fr-CA"/>
    </w:rPr>
  </w:style>
  <w:style w:type="character" w:customStyle="1" w:styleId="TitleChar">
    <w:name w:val="Title Char"/>
    <w:aliases w:val="Table Title Char"/>
    <w:basedOn w:val="DefaultParagraphFont"/>
    <w:link w:val="Title"/>
    <w:uiPriority w:val="10"/>
    <w:rsid w:val="00A45213"/>
    <w:rPr>
      <w:rFonts w:ascii="Arial" w:hAnsi="Arial"/>
      <w:b/>
      <w:sz w:val="20"/>
      <w:lang w:val="fr-CA"/>
    </w:rPr>
  </w:style>
  <w:style w:type="paragraph" w:styleId="Subtitle">
    <w:name w:val="Subtitle"/>
    <w:aliases w:val="Table paragraph"/>
    <w:basedOn w:val="Normal"/>
    <w:next w:val="Normal"/>
    <w:link w:val="SubtitleChar"/>
    <w:uiPriority w:val="11"/>
    <w:qFormat/>
    <w:rsid w:val="00A45213"/>
    <w:pPr>
      <w:numPr>
        <w:ilvl w:val="1"/>
      </w:numPr>
      <w:spacing w:before="120" w:after="120" w:line="240" w:lineRule="auto"/>
    </w:pPr>
    <w:rPr>
      <w:rFonts w:ascii="Arial" w:eastAsiaTheme="minorEastAsia" w:hAnsi="Arial" w:cs="Arial"/>
      <w:bCs/>
      <w:iCs/>
      <w:color w:val="000000" w:themeColor="text1"/>
      <w:sz w:val="18"/>
      <w:szCs w:val="18"/>
      <w:lang w:val="fr-CA"/>
    </w:rPr>
  </w:style>
  <w:style w:type="character" w:customStyle="1" w:styleId="SubtitleChar">
    <w:name w:val="Subtitle Char"/>
    <w:aliases w:val="Table paragraph Char"/>
    <w:basedOn w:val="DefaultParagraphFont"/>
    <w:link w:val="Subtitle"/>
    <w:uiPriority w:val="11"/>
    <w:rsid w:val="00A45213"/>
    <w:rPr>
      <w:rFonts w:ascii="Arial" w:eastAsiaTheme="minorEastAsia" w:hAnsi="Arial" w:cs="Arial"/>
      <w:bCs/>
      <w:iCs/>
      <w:color w:val="000000" w:themeColor="text1"/>
      <w:sz w:val="18"/>
      <w:szCs w:val="18"/>
      <w:lang w:val="fr-CA"/>
    </w:rPr>
  </w:style>
  <w:style w:type="table" w:customStyle="1" w:styleId="TableGrid1">
    <w:name w:val="Table Grid1"/>
    <w:basedOn w:val="TableNormal"/>
    <w:next w:val="TableGrid"/>
    <w:uiPriority w:val="39"/>
    <w:rsid w:val="00A4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20285">
      <w:bodyDiv w:val="1"/>
      <w:marLeft w:val="0"/>
      <w:marRight w:val="0"/>
      <w:marTop w:val="0"/>
      <w:marBottom w:val="0"/>
      <w:divBdr>
        <w:top w:val="none" w:sz="0" w:space="0" w:color="auto"/>
        <w:left w:val="none" w:sz="0" w:space="0" w:color="auto"/>
        <w:bottom w:val="none" w:sz="0" w:space="0" w:color="auto"/>
        <w:right w:val="none" w:sz="0" w:space="0" w:color="auto"/>
      </w:divBdr>
      <w:divsChild>
        <w:div w:id="1838689364">
          <w:marLeft w:val="0"/>
          <w:marRight w:val="0"/>
          <w:marTop w:val="0"/>
          <w:marBottom w:val="0"/>
          <w:divBdr>
            <w:top w:val="none" w:sz="0" w:space="0" w:color="auto"/>
            <w:left w:val="none" w:sz="0" w:space="0" w:color="auto"/>
            <w:bottom w:val="none" w:sz="0" w:space="0" w:color="auto"/>
            <w:right w:val="none" w:sz="0" w:space="0" w:color="auto"/>
          </w:divBdr>
          <w:divsChild>
            <w:div w:id="19665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34">
      <w:bodyDiv w:val="1"/>
      <w:marLeft w:val="0"/>
      <w:marRight w:val="0"/>
      <w:marTop w:val="0"/>
      <w:marBottom w:val="0"/>
      <w:divBdr>
        <w:top w:val="none" w:sz="0" w:space="0" w:color="auto"/>
        <w:left w:val="none" w:sz="0" w:space="0" w:color="auto"/>
        <w:bottom w:val="none" w:sz="0" w:space="0" w:color="auto"/>
        <w:right w:val="none" w:sz="0" w:space="0" w:color="auto"/>
      </w:divBdr>
      <w:divsChild>
        <w:div w:id="911961657">
          <w:marLeft w:val="0"/>
          <w:marRight w:val="0"/>
          <w:marTop w:val="0"/>
          <w:marBottom w:val="0"/>
          <w:divBdr>
            <w:top w:val="none" w:sz="0" w:space="0" w:color="auto"/>
            <w:left w:val="none" w:sz="0" w:space="0" w:color="auto"/>
            <w:bottom w:val="none" w:sz="0" w:space="0" w:color="auto"/>
            <w:right w:val="none" w:sz="0" w:space="0" w:color="auto"/>
          </w:divBdr>
          <w:divsChild>
            <w:div w:id="9459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9067">
      <w:bodyDiv w:val="1"/>
      <w:marLeft w:val="0"/>
      <w:marRight w:val="0"/>
      <w:marTop w:val="0"/>
      <w:marBottom w:val="0"/>
      <w:divBdr>
        <w:top w:val="none" w:sz="0" w:space="0" w:color="auto"/>
        <w:left w:val="none" w:sz="0" w:space="0" w:color="auto"/>
        <w:bottom w:val="none" w:sz="0" w:space="0" w:color="auto"/>
        <w:right w:val="none" w:sz="0" w:space="0" w:color="auto"/>
      </w:divBdr>
      <w:divsChild>
        <w:div w:id="1884100161">
          <w:marLeft w:val="0"/>
          <w:marRight w:val="0"/>
          <w:marTop w:val="0"/>
          <w:marBottom w:val="0"/>
          <w:divBdr>
            <w:top w:val="none" w:sz="0" w:space="0" w:color="auto"/>
            <w:left w:val="none" w:sz="0" w:space="0" w:color="auto"/>
            <w:bottom w:val="none" w:sz="0" w:space="0" w:color="auto"/>
            <w:right w:val="none" w:sz="0" w:space="0" w:color="auto"/>
          </w:divBdr>
          <w:divsChild>
            <w:div w:id="7833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2291">
      <w:bodyDiv w:val="1"/>
      <w:marLeft w:val="0"/>
      <w:marRight w:val="0"/>
      <w:marTop w:val="0"/>
      <w:marBottom w:val="0"/>
      <w:divBdr>
        <w:top w:val="none" w:sz="0" w:space="0" w:color="auto"/>
        <w:left w:val="none" w:sz="0" w:space="0" w:color="auto"/>
        <w:bottom w:val="none" w:sz="0" w:space="0" w:color="auto"/>
        <w:right w:val="none" w:sz="0" w:space="0" w:color="auto"/>
      </w:divBdr>
      <w:divsChild>
        <w:div w:id="812259662">
          <w:marLeft w:val="0"/>
          <w:marRight w:val="0"/>
          <w:marTop w:val="0"/>
          <w:marBottom w:val="0"/>
          <w:divBdr>
            <w:top w:val="none" w:sz="0" w:space="0" w:color="auto"/>
            <w:left w:val="none" w:sz="0" w:space="0" w:color="auto"/>
            <w:bottom w:val="none" w:sz="0" w:space="0" w:color="auto"/>
            <w:right w:val="none" w:sz="0" w:space="0" w:color="auto"/>
          </w:divBdr>
          <w:divsChild>
            <w:div w:id="21155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1360">
      <w:bodyDiv w:val="1"/>
      <w:marLeft w:val="0"/>
      <w:marRight w:val="0"/>
      <w:marTop w:val="0"/>
      <w:marBottom w:val="0"/>
      <w:divBdr>
        <w:top w:val="none" w:sz="0" w:space="0" w:color="auto"/>
        <w:left w:val="none" w:sz="0" w:space="0" w:color="auto"/>
        <w:bottom w:val="none" w:sz="0" w:space="0" w:color="auto"/>
        <w:right w:val="none" w:sz="0" w:space="0" w:color="auto"/>
      </w:divBdr>
      <w:divsChild>
        <w:div w:id="1062751674">
          <w:marLeft w:val="0"/>
          <w:marRight w:val="0"/>
          <w:marTop w:val="0"/>
          <w:marBottom w:val="0"/>
          <w:divBdr>
            <w:top w:val="none" w:sz="0" w:space="0" w:color="auto"/>
            <w:left w:val="none" w:sz="0" w:space="0" w:color="auto"/>
            <w:bottom w:val="none" w:sz="0" w:space="0" w:color="auto"/>
            <w:right w:val="none" w:sz="0" w:space="0" w:color="auto"/>
          </w:divBdr>
          <w:divsChild>
            <w:div w:id="5829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7728">
      <w:bodyDiv w:val="1"/>
      <w:marLeft w:val="0"/>
      <w:marRight w:val="0"/>
      <w:marTop w:val="0"/>
      <w:marBottom w:val="0"/>
      <w:divBdr>
        <w:top w:val="none" w:sz="0" w:space="0" w:color="auto"/>
        <w:left w:val="none" w:sz="0" w:space="0" w:color="auto"/>
        <w:bottom w:val="none" w:sz="0" w:space="0" w:color="auto"/>
        <w:right w:val="none" w:sz="0" w:space="0" w:color="auto"/>
      </w:divBdr>
      <w:divsChild>
        <w:div w:id="1513034036">
          <w:marLeft w:val="0"/>
          <w:marRight w:val="0"/>
          <w:marTop w:val="0"/>
          <w:marBottom w:val="0"/>
          <w:divBdr>
            <w:top w:val="none" w:sz="0" w:space="0" w:color="auto"/>
            <w:left w:val="none" w:sz="0" w:space="0" w:color="auto"/>
            <w:bottom w:val="none" w:sz="0" w:space="0" w:color="auto"/>
            <w:right w:val="none" w:sz="0" w:space="0" w:color="auto"/>
          </w:divBdr>
          <w:divsChild>
            <w:div w:id="902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150.statcan.gc.ca/t1/tbl1/fr/tv.action?pid=1810000501&amp;request_locale=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E388-5CF8-4FF2-B9F6-0D362D06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10198</Words>
  <Characters>58030</Characters>
  <Application>Microsoft Office Word</Application>
  <DocSecurity>0</DocSecurity>
  <Lines>1208</Lines>
  <Paragraphs>480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67748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Perrier, Matthew C.</dc:creator>
  <cp:lastModifiedBy>Dodson, Christopher</cp:lastModifiedBy>
  <cp:revision>22</cp:revision>
  <cp:lastPrinted>2018-11-09T12:34:00Z</cp:lastPrinted>
  <dcterms:created xsi:type="dcterms:W3CDTF">2018-11-15T21:05:00Z</dcterms:created>
  <dcterms:modified xsi:type="dcterms:W3CDTF">2021-04-21T13:50:00Z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cb06ce51-be55-4952-887c-2d86bc905171</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2021-03-26T17:59:31.5387076Z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aaeabd14-a784-4fa5-88d2-90c8089b7838</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CDODSON@tbs-sct.gc.ca</vt:lpwstr>
  </property>
  <property fmtid="{D5CDD505-2E9C-101B-9397-08002B2CF9AE}" pid="17" name="MSIP_Label_3515d617-256d-4284-aedb-1064be1c4b48_SetDate">
    <vt:lpwstr>2021-03-26T17:59:31.5387076Z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aaeabd14-a784-4fa5-88d2-90c8089b7838</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