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F64B4" w14:textId="001447FD" w:rsidR="00830B74" w:rsidRPr="00417ACA" w:rsidRDefault="009E4BB2" w:rsidP="007F5A48">
      <w:pPr>
        <w:rPr>
          <w:b/>
          <w:sz w:val="24"/>
          <w:szCs w:val="24"/>
          <w:lang w:val="fr-CA"/>
        </w:rPr>
      </w:pPr>
      <w:bookmarkStart w:id="0" w:name="_GoBack"/>
      <w:bookmarkEnd w:id="0"/>
      <w:r w:rsidRPr="00417ACA">
        <w:rPr>
          <w:b/>
          <w:sz w:val="24"/>
          <w:szCs w:val="24"/>
          <w:lang w:val="fr-CA"/>
        </w:rPr>
        <w:t>Réunion syndicale avec Alex, Debi et Chris</w:t>
      </w:r>
      <w:r w:rsidR="00417ACA" w:rsidRPr="00417ACA">
        <w:rPr>
          <w:b/>
          <w:sz w:val="24"/>
          <w:szCs w:val="24"/>
          <w:lang w:val="fr-CA"/>
        </w:rPr>
        <w:t>.</w:t>
      </w:r>
    </w:p>
    <w:p w14:paraId="3EE0FDF9" w14:textId="047B0598" w:rsidR="00B0032D" w:rsidRPr="00417ACA" w:rsidRDefault="003B1F70" w:rsidP="00F2231A">
      <w:pPr>
        <w:spacing w:after="0"/>
        <w:rPr>
          <w:sz w:val="24"/>
          <w:szCs w:val="24"/>
          <w:lang w:val="fr-CA"/>
        </w:rPr>
      </w:pPr>
      <w:r w:rsidRPr="00417ACA">
        <w:rPr>
          <w:b/>
          <w:sz w:val="24"/>
          <w:szCs w:val="24"/>
          <w:lang w:val="fr-CA"/>
        </w:rPr>
        <w:t>Mise à jour</w:t>
      </w:r>
    </w:p>
    <w:p w14:paraId="05973C4A" w14:textId="502EFDA7" w:rsidR="007F5A48" w:rsidRPr="00417ACA" w:rsidRDefault="00776919" w:rsidP="007F5A48">
      <w:pPr>
        <w:rPr>
          <w:sz w:val="24"/>
          <w:szCs w:val="24"/>
          <w:lang w:val="fr-CA"/>
        </w:rPr>
      </w:pPr>
      <w:r w:rsidRPr="00417ACA">
        <w:rPr>
          <w:sz w:val="24"/>
          <w:szCs w:val="24"/>
          <w:lang w:val="fr-CA"/>
        </w:rPr>
        <w:t>Points à aborder pour Alex</w:t>
      </w:r>
      <w:r w:rsidR="00B0032D" w:rsidRPr="00417ACA">
        <w:rPr>
          <w:sz w:val="24"/>
          <w:szCs w:val="24"/>
          <w:lang w:val="fr-CA"/>
        </w:rPr>
        <w:t> </w:t>
      </w:r>
      <w:r w:rsidRPr="00417ACA">
        <w:rPr>
          <w:sz w:val="24"/>
          <w:szCs w:val="24"/>
          <w:lang w:val="fr-CA"/>
        </w:rPr>
        <w:t>Benay</w:t>
      </w:r>
    </w:p>
    <w:p w14:paraId="15F08FC5" w14:textId="77777777" w:rsidR="00290B7C" w:rsidRPr="00417ACA" w:rsidRDefault="00040419" w:rsidP="00A32688">
      <w:pPr>
        <w:spacing w:after="120" w:line="240" w:lineRule="auto"/>
        <w:rPr>
          <w:b/>
          <w:sz w:val="24"/>
          <w:szCs w:val="24"/>
          <w:lang w:val="fr-CA"/>
        </w:rPr>
      </w:pPr>
    </w:p>
    <w:p w14:paraId="48C82479" w14:textId="7DED679F" w:rsidR="00A32688" w:rsidRPr="00417ACA" w:rsidRDefault="00511025" w:rsidP="00290B7C">
      <w:pPr>
        <w:spacing w:after="120" w:line="360" w:lineRule="auto"/>
        <w:rPr>
          <w:b/>
          <w:sz w:val="24"/>
          <w:szCs w:val="24"/>
          <w:lang w:val="fr-CA"/>
        </w:rPr>
      </w:pPr>
      <w:r w:rsidRPr="00417ACA">
        <w:rPr>
          <w:b/>
          <w:sz w:val="24"/>
          <w:szCs w:val="24"/>
          <w:lang w:val="fr-CA"/>
        </w:rPr>
        <w:t>LANCEMENT ET ÉVALUATIONS DU POINT DE CONTRÔLE N</w:t>
      </w:r>
      <w:r w:rsidRPr="00417ACA">
        <w:rPr>
          <w:b/>
          <w:sz w:val="24"/>
          <w:szCs w:val="24"/>
          <w:vertAlign w:val="superscript"/>
          <w:lang w:val="fr-CA"/>
        </w:rPr>
        <w:t>O</w:t>
      </w:r>
      <w:r w:rsidR="00A641AE" w:rsidRPr="00417ACA">
        <w:rPr>
          <w:b/>
          <w:sz w:val="24"/>
          <w:szCs w:val="24"/>
          <w:lang w:val="fr-CA"/>
        </w:rPr>
        <w:t> </w:t>
      </w:r>
      <w:r w:rsidRPr="00417ACA">
        <w:rPr>
          <w:b/>
          <w:sz w:val="24"/>
          <w:szCs w:val="24"/>
          <w:lang w:val="fr-CA"/>
        </w:rPr>
        <w:t>2</w:t>
      </w:r>
    </w:p>
    <w:p w14:paraId="412C20BB" w14:textId="6296A9B5" w:rsidR="003C7361" w:rsidRPr="00417ACA" w:rsidRDefault="004A609B" w:rsidP="003C736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Le point de contrôle du processus d’approvisionnement agile de ProGen est fermé le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13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novembre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2018 et a entraîné cinq soumissionnaires retenus admissibles pour participer à l’</w:t>
      </w:r>
      <w:r w:rsidR="00775C70" w:rsidRPr="00417ACA">
        <w:rPr>
          <w:rFonts w:cstheme="minorHAnsi"/>
          <w:lang w:val="fr-CA"/>
        </w:rPr>
        <w:t>invitation</w:t>
      </w:r>
      <w:r w:rsidRPr="00417ACA">
        <w:rPr>
          <w:rFonts w:cstheme="minorHAnsi"/>
          <w:lang w:val="fr-CA"/>
        </w:rPr>
        <w:t xml:space="preserve"> à se qualifier.</w:t>
      </w:r>
    </w:p>
    <w:p w14:paraId="54F0798D" w14:textId="0E437971" w:rsidR="009B5DF5" w:rsidRPr="00417ACA" w:rsidRDefault="007731EB" w:rsidP="009B5DF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Le deuxième point de contrôle a été lancé le 23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novembre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2018 et devrait être achevé le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4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février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2019.</w:t>
      </w:r>
    </w:p>
    <w:p w14:paraId="28740B56" w14:textId="7F042814" w:rsidR="00CD3633" w:rsidRPr="00417ACA" w:rsidRDefault="00123F94" w:rsidP="009B5DF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À ce point de contrôle, nous demandons aux fournisseurs de nous laisser effectuer des séances pratiques </w:t>
      </w:r>
      <w:r w:rsidR="00417ACA" w:rsidRPr="00417ACA">
        <w:rPr>
          <w:rFonts w:cstheme="minorHAnsi"/>
          <w:lang w:val="fr-CA"/>
        </w:rPr>
        <w:t>auprès</w:t>
      </w:r>
      <w:r w:rsidRPr="00417ACA">
        <w:rPr>
          <w:rFonts w:cstheme="minorHAnsi"/>
          <w:lang w:val="fr-CA"/>
        </w:rPr>
        <w:t xml:space="preserve"> des utilisateurs, des syndicats et des experts en la matière pour prouver leur solution par rapport aux 47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critères cotés, répartis dans trois domaines clés d</w:t>
      </w:r>
      <w:r w:rsidR="00A641AE" w:rsidRPr="00417ACA">
        <w:rPr>
          <w:rFonts w:cstheme="minorHAnsi"/>
          <w:lang w:val="fr-CA"/>
        </w:rPr>
        <w:t>’</w:t>
      </w:r>
      <w:r w:rsidRPr="00417ACA">
        <w:rPr>
          <w:rFonts w:cstheme="minorHAnsi"/>
          <w:lang w:val="fr-CA"/>
        </w:rPr>
        <w:t>évaluation :</w:t>
      </w:r>
      <w:r w:rsidR="00A641AE" w:rsidRPr="00417ACA">
        <w:rPr>
          <w:rFonts w:cstheme="minorHAnsi"/>
          <w:lang w:val="fr-CA"/>
        </w:rPr>
        <w:t xml:space="preserve"> </w:t>
      </w:r>
    </w:p>
    <w:p w14:paraId="06E3B86A" w14:textId="25C701A3" w:rsidR="00CD3633" w:rsidRPr="00417ACA" w:rsidRDefault="00C759F6" w:rsidP="00CD363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1) expérience pratique de l</w:t>
      </w:r>
      <w:r w:rsidR="00A641AE" w:rsidRPr="00417ACA">
        <w:rPr>
          <w:rFonts w:cstheme="minorHAnsi"/>
          <w:lang w:val="fr-CA"/>
        </w:rPr>
        <w:t>’</w:t>
      </w:r>
      <w:r w:rsidRPr="00417ACA">
        <w:rPr>
          <w:rFonts w:cstheme="minorHAnsi"/>
          <w:lang w:val="fr-CA"/>
        </w:rPr>
        <w:t>utilisateur;</w:t>
      </w:r>
    </w:p>
    <w:p w14:paraId="692669A3" w14:textId="5E96A1BB" w:rsidR="00CD3633" w:rsidRPr="00417ACA" w:rsidRDefault="00A641AE" w:rsidP="00CD363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2) </w:t>
      </w:r>
      <w:r w:rsidR="0025088A" w:rsidRPr="00417ACA">
        <w:rPr>
          <w:rFonts w:cstheme="minorHAnsi"/>
          <w:lang w:val="fr-CA"/>
        </w:rPr>
        <w:t>harmonisation avec les capacités opérationnelles, les résultats et l’a</w:t>
      </w:r>
      <w:r w:rsidRPr="00417ACA">
        <w:rPr>
          <w:rFonts w:cstheme="minorHAnsi"/>
          <w:lang w:val="fr-CA"/>
        </w:rPr>
        <w:t>r</w:t>
      </w:r>
      <w:r w:rsidR="0025088A" w:rsidRPr="00417ACA">
        <w:rPr>
          <w:rFonts w:cstheme="minorHAnsi"/>
          <w:lang w:val="fr-CA"/>
        </w:rPr>
        <w:t xml:space="preserve">chitecture de solution du </w:t>
      </w:r>
      <w:r w:rsidR="00B0032D" w:rsidRPr="00417ACA">
        <w:rPr>
          <w:rFonts w:cstheme="minorHAnsi"/>
          <w:lang w:val="fr-CA"/>
        </w:rPr>
        <w:t>gouvernement du Canada (</w:t>
      </w:r>
      <w:r w:rsidR="0025088A" w:rsidRPr="00417ACA">
        <w:rPr>
          <w:rFonts w:cstheme="minorHAnsi"/>
          <w:lang w:val="fr-CA"/>
        </w:rPr>
        <w:t>GC</w:t>
      </w:r>
      <w:r w:rsidR="00B0032D" w:rsidRPr="00417ACA">
        <w:rPr>
          <w:rFonts w:cstheme="minorHAnsi"/>
          <w:lang w:val="fr-CA"/>
        </w:rPr>
        <w:t>)</w:t>
      </w:r>
      <w:r w:rsidR="0025088A" w:rsidRPr="00417ACA">
        <w:rPr>
          <w:rFonts w:cstheme="minorHAnsi"/>
          <w:lang w:val="fr-CA"/>
        </w:rPr>
        <w:t>;</w:t>
      </w:r>
    </w:p>
    <w:p w14:paraId="01AF75B9" w14:textId="0097CBB1" w:rsidR="009B5DF5" w:rsidRPr="00417ACA" w:rsidRDefault="00A641AE" w:rsidP="00CD363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3) </w:t>
      </w:r>
      <w:r w:rsidR="006C4E46" w:rsidRPr="00417ACA">
        <w:rPr>
          <w:rFonts w:cstheme="minorHAnsi"/>
          <w:lang w:val="fr-CA"/>
        </w:rPr>
        <w:t>mise en œuvre, soutien continu et avantages socio-économiques tout en prouvant leur solution par rapport aux 13</w:t>
      </w:r>
      <w:r w:rsidR="00B0032D" w:rsidRPr="00417ACA">
        <w:rPr>
          <w:rFonts w:cstheme="minorHAnsi"/>
          <w:lang w:val="fr-CA"/>
        </w:rPr>
        <w:t> </w:t>
      </w:r>
      <w:r w:rsidR="006C4E46" w:rsidRPr="00417ACA">
        <w:rPr>
          <w:rFonts w:cstheme="minorHAnsi"/>
          <w:lang w:val="fr-CA"/>
        </w:rPr>
        <w:t>exigences, y compris les capacités opérationnelles, les résultats et les résultats de l</w:t>
      </w:r>
      <w:r w:rsidRPr="00417ACA">
        <w:rPr>
          <w:rFonts w:cstheme="minorHAnsi"/>
          <w:lang w:val="fr-CA"/>
        </w:rPr>
        <w:t>’</w:t>
      </w:r>
      <w:r w:rsidR="006C4E46" w:rsidRPr="00417ACA">
        <w:rPr>
          <w:rFonts w:cstheme="minorHAnsi"/>
          <w:lang w:val="fr-CA"/>
        </w:rPr>
        <w:t>architecture du GC.</w:t>
      </w:r>
      <w:r w:rsidRPr="00417ACA">
        <w:rPr>
          <w:rFonts w:cstheme="minorHAnsi"/>
          <w:lang w:val="fr-CA"/>
        </w:rPr>
        <w:t xml:space="preserve"> </w:t>
      </w:r>
      <w:r w:rsidR="008A580A" w:rsidRPr="00417ACA">
        <w:rPr>
          <w:rFonts w:cstheme="minorHAnsi"/>
          <w:lang w:val="fr-CA"/>
        </w:rPr>
        <w:t xml:space="preserve">L’ébauche des exigences vous </w:t>
      </w:r>
      <w:r w:rsidR="00B0032D" w:rsidRPr="00417ACA">
        <w:rPr>
          <w:rFonts w:cstheme="minorHAnsi"/>
          <w:lang w:val="fr-CA"/>
        </w:rPr>
        <w:t xml:space="preserve">a </w:t>
      </w:r>
      <w:r w:rsidR="008A580A" w:rsidRPr="00417ACA">
        <w:rPr>
          <w:rFonts w:cstheme="minorHAnsi"/>
          <w:lang w:val="fr-CA"/>
        </w:rPr>
        <w:t>déjà été fourni</w:t>
      </w:r>
      <w:r w:rsidR="00B0032D" w:rsidRPr="00417ACA">
        <w:rPr>
          <w:rFonts w:cstheme="minorHAnsi"/>
          <w:lang w:val="fr-CA"/>
        </w:rPr>
        <w:t>e</w:t>
      </w:r>
      <w:r w:rsidR="008A580A" w:rsidRPr="00417ACA">
        <w:rPr>
          <w:rFonts w:cstheme="minorHAnsi"/>
          <w:lang w:val="fr-CA"/>
        </w:rPr>
        <w:t xml:space="preserve"> </w:t>
      </w:r>
      <w:r w:rsidR="00B0032D" w:rsidRPr="00417ACA">
        <w:rPr>
          <w:rFonts w:cstheme="minorHAnsi"/>
          <w:lang w:val="fr-CA"/>
        </w:rPr>
        <w:t xml:space="preserve">pour connaître </w:t>
      </w:r>
      <w:r w:rsidR="008A580A" w:rsidRPr="00417ACA">
        <w:rPr>
          <w:rFonts w:cstheme="minorHAnsi"/>
          <w:lang w:val="fr-CA"/>
        </w:rPr>
        <w:t xml:space="preserve">votre </w:t>
      </w:r>
      <w:r w:rsidR="00B0032D" w:rsidRPr="00417ACA">
        <w:rPr>
          <w:rFonts w:cstheme="minorHAnsi"/>
          <w:lang w:val="fr-CA"/>
        </w:rPr>
        <w:t>avis</w:t>
      </w:r>
      <w:r w:rsidR="008A580A" w:rsidRPr="00417ACA">
        <w:rPr>
          <w:rFonts w:cstheme="minorHAnsi"/>
          <w:lang w:val="fr-CA"/>
        </w:rPr>
        <w:t>.</w:t>
      </w:r>
    </w:p>
    <w:p w14:paraId="4343F613" w14:textId="604D5A16" w:rsidR="00CD3633" w:rsidRPr="00417ACA" w:rsidRDefault="00285343" w:rsidP="00CD3633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</w:t>
      </w:r>
      <w:r w:rsidR="00A641AE" w:rsidRPr="00417ACA">
        <w:rPr>
          <w:rFonts w:cstheme="minorHAnsi"/>
          <w:lang w:val="fr-CA"/>
        </w:rPr>
        <w:t>’</w:t>
      </w:r>
      <w:r w:rsidRPr="00417ACA">
        <w:rPr>
          <w:rFonts w:cstheme="minorHAnsi"/>
          <w:lang w:val="fr-CA"/>
        </w:rPr>
        <w:t>équipe de ProGen utilise une stratégie d’évaluation novatrice, qui exploitera les trois méthodes suivantes :</w:t>
      </w:r>
    </w:p>
    <w:p w14:paraId="214415C4" w14:textId="121963A1" w:rsidR="00CD3633" w:rsidRPr="00417ACA" w:rsidRDefault="00B0032D" w:rsidP="00CD3633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É</w:t>
      </w:r>
      <w:r w:rsidR="00417ACA" w:rsidRPr="00417ACA">
        <w:rPr>
          <w:rFonts w:cstheme="minorHAnsi"/>
          <w:lang w:val="fr-CA"/>
        </w:rPr>
        <w:t>valuations des soumissions : U</w:t>
      </w:r>
      <w:r w:rsidR="0077798D" w:rsidRPr="00417ACA">
        <w:rPr>
          <w:rFonts w:cstheme="minorHAnsi"/>
          <w:lang w:val="fr-CA"/>
        </w:rPr>
        <w:t>ne évaluation plus traditionnelle des soumissions a été menée par une équipe multidisciplinaire d’évaluateurs</w:t>
      </w:r>
      <w:r w:rsidR="00417ACA" w:rsidRPr="00417ACA">
        <w:rPr>
          <w:rFonts w:cstheme="minorHAnsi"/>
          <w:lang w:val="fr-CA"/>
        </w:rPr>
        <w:t>.</w:t>
      </w:r>
    </w:p>
    <w:p w14:paraId="4C03C908" w14:textId="0FC0B3B4" w:rsidR="00CD3633" w:rsidRPr="00417ACA" w:rsidRDefault="00B0032D" w:rsidP="00CD3633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É</w:t>
      </w:r>
      <w:r w:rsidR="00B82BCD" w:rsidRPr="00417ACA">
        <w:rPr>
          <w:rFonts w:cstheme="minorHAnsi"/>
          <w:lang w:val="fr-CA"/>
        </w:rPr>
        <w:t>valuation critique des experts en la matière (EM)</w:t>
      </w:r>
      <w:r w:rsidR="00A641AE" w:rsidRPr="00417ACA">
        <w:rPr>
          <w:rFonts w:cstheme="minorHAnsi"/>
          <w:lang w:val="fr-CA"/>
        </w:rPr>
        <w:t> </w:t>
      </w:r>
      <w:r w:rsidR="00417ACA" w:rsidRPr="00417ACA">
        <w:rPr>
          <w:rFonts w:cstheme="minorHAnsi"/>
          <w:lang w:val="fr-CA"/>
        </w:rPr>
        <w:t>: U</w:t>
      </w:r>
      <w:r w:rsidR="00B82BCD" w:rsidRPr="00417ACA">
        <w:rPr>
          <w:rFonts w:cstheme="minorHAnsi"/>
          <w:lang w:val="fr-CA"/>
        </w:rPr>
        <w:t>ne séance d’évaluation interactive durant laquelle les soumissionnaires présenteront leur solution proposée aux principaux EM de l’ensemble du GC</w:t>
      </w:r>
      <w:r w:rsidR="00417ACA" w:rsidRPr="00417ACA">
        <w:rPr>
          <w:rFonts w:cstheme="minorHAnsi"/>
          <w:lang w:val="fr-CA"/>
        </w:rPr>
        <w:t>.</w:t>
      </w:r>
    </w:p>
    <w:p w14:paraId="48442706" w14:textId="0F561200" w:rsidR="00CD3633" w:rsidRPr="00417ACA" w:rsidRDefault="00B0032D" w:rsidP="00CD3633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É</w:t>
      </w:r>
      <w:r w:rsidR="00CA77EF" w:rsidRPr="00417ACA">
        <w:rPr>
          <w:rFonts w:cstheme="minorHAnsi"/>
          <w:lang w:val="fr-CA"/>
        </w:rPr>
        <w:t>valuation de l’expérience utilisateur</w:t>
      </w:r>
      <w:r w:rsidR="00A641AE" w:rsidRPr="00417ACA">
        <w:rPr>
          <w:rFonts w:cstheme="minorHAnsi"/>
          <w:lang w:val="fr-CA"/>
        </w:rPr>
        <w:t> </w:t>
      </w:r>
      <w:r w:rsidR="00417ACA" w:rsidRPr="00417ACA">
        <w:rPr>
          <w:rFonts w:cstheme="minorHAnsi"/>
          <w:lang w:val="fr-CA"/>
        </w:rPr>
        <w:t>: U</w:t>
      </w:r>
      <w:r w:rsidR="00CA77EF" w:rsidRPr="00417ACA">
        <w:rPr>
          <w:rFonts w:cstheme="minorHAnsi"/>
          <w:lang w:val="fr-CA"/>
        </w:rPr>
        <w:t>ne évaluation pratique des solutions proposées menée par 200</w:t>
      </w:r>
      <w:r w:rsidRPr="00417ACA">
        <w:rPr>
          <w:rFonts w:cstheme="minorHAnsi"/>
          <w:lang w:val="fr-CA"/>
        </w:rPr>
        <w:t> </w:t>
      </w:r>
      <w:r w:rsidR="00CA77EF" w:rsidRPr="00417ACA">
        <w:rPr>
          <w:rFonts w:cstheme="minorHAnsi"/>
          <w:lang w:val="fr-CA"/>
        </w:rPr>
        <w:t>fonctionnaires d’un bout à l’autre du pays.</w:t>
      </w:r>
    </w:p>
    <w:p w14:paraId="7999F954" w14:textId="4DC48570" w:rsidR="00CD3633" w:rsidRPr="00417ACA" w:rsidRDefault="00C36B6B" w:rsidP="00CD3633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Le niveau de difficulté augmentera tout au long du point de contrôle à mesure que davantage de contenu </w:t>
      </w:r>
      <w:r w:rsidR="00B0032D" w:rsidRPr="00417ACA">
        <w:rPr>
          <w:rFonts w:cstheme="minorHAnsi"/>
          <w:lang w:val="fr-CA"/>
        </w:rPr>
        <w:t>es</w:t>
      </w:r>
      <w:r w:rsidRPr="00417ACA">
        <w:rPr>
          <w:rFonts w:cstheme="minorHAnsi"/>
          <w:lang w:val="fr-CA"/>
        </w:rPr>
        <w:t>t diffusé pour mieux exprimer la complexité et la réalité du contexte de</w:t>
      </w:r>
      <w:r w:rsidR="00964B04" w:rsidRPr="00417ACA">
        <w:rPr>
          <w:rFonts w:cstheme="minorHAnsi"/>
          <w:lang w:val="fr-CA"/>
        </w:rPr>
        <w:t xml:space="preserve">s ressources </w:t>
      </w:r>
      <w:r w:rsidR="006B1B7E" w:rsidRPr="00417ACA">
        <w:rPr>
          <w:rFonts w:cstheme="minorHAnsi"/>
          <w:lang w:val="fr-CA"/>
        </w:rPr>
        <w:t>humaines</w:t>
      </w:r>
      <w:r w:rsidRPr="00417ACA">
        <w:rPr>
          <w:rFonts w:cstheme="minorHAnsi"/>
          <w:lang w:val="fr-CA"/>
        </w:rPr>
        <w:t xml:space="preserve"> </w:t>
      </w:r>
      <w:r w:rsidR="00964B04" w:rsidRPr="00417ACA">
        <w:rPr>
          <w:rFonts w:cstheme="minorHAnsi"/>
          <w:lang w:val="fr-CA"/>
        </w:rPr>
        <w:t>(</w:t>
      </w:r>
      <w:r w:rsidRPr="00417ACA">
        <w:rPr>
          <w:rFonts w:cstheme="minorHAnsi"/>
          <w:lang w:val="fr-CA"/>
        </w:rPr>
        <w:t>RH</w:t>
      </w:r>
      <w:r w:rsidR="00964B04" w:rsidRPr="00417ACA">
        <w:rPr>
          <w:rFonts w:cstheme="minorHAnsi"/>
          <w:lang w:val="fr-CA"/>
        </w:rPr>
        <w:t>)</w:t>
      </w:r>
      <w:r w:rsidRPr="00417ACA">
        <w:rPr>
          <w:rFonts w:cstheme="minorHAnsi"/>
          <w:lang w:val="fr-CA"/>
        </w:rPr>
        <w:t xml:space="preserve"> et </w:t>
      </w:r>
      <w:r w:rsidR="00DB032C" w:rsidRPr="00417ACA">
        <w:rPr>
          <w:rFonts w:cstheme="minorHAnsi"/>
          <w:lang w:val="fr-CA"/>
        </w:rPr>
        <w:t xml:space="preserve">de la </w:t>
      </w:r>
      <w:r w:rsidRPr="00417ACA">
        <w:rPr>
          <w:rFonts w:cstheme="minorHAnsi"/>
          <w:lang w:val="fr-CA"/>
        </w:rPr>
        <w:t>paye du GC.</w:t>
      </w:r>
    </w:p>
    <w:p w14:paraId="22FEF7CA" w14:textId="00F1A00C" w:rsidR="00290B7C" w:rsidRPr="00417ACA" w:rsidRDefault="00FA32E6" w:rsidP="00CD3633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Les résultats de cette stratégie d’évaluation permettront de préciser le nombre de soumissions et d’élaborer une liste de répondants qualifiés qui seront invités à participer au point de contrôle n</w:t>
      </w:r>
      <w:r w:rsidRPr="00417ACA">
        <w:rPr>
          <w:rFonts w:cstheme="minorHAnsi"/>
          <w:vertAlign w:val="superscript"/>
          <w:lang w:val="fr-CA"/>
        </w:rPr>
        <w:t>o</w:t>
      </w:r>
      <w:r w:rsidR="00A641AE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3, le dernier.</w:t>
      </w:r>
    </w:p>
    <w:p w14:paraId="2A74C5FE" w14:textId="04BAC0FB" w:rsidR="00E3601F" w:rsidRPr="00417ACA" w:rsidRDefault="00855DD3" w:rsidP="00F2231A">
      <w:pPr>
        <w:keepNext/>
        <w:keepLines/>
        <w:spacing w:after="0" w:line="360" w:lineRule="auto"/>
        <w:rPr>
          <w:rFonts w:cstheme="minorHAnsi"/>
          <w:b/>
          <w:sz w:val="24"/>
          <w:szCs w:val="24"/>
          <w:lang w:val="fr-CA"/>
        </w:rPr>
      </w:pPr>
      <w:r w:rsidRPr="00417ACA">
        <w:rPr>
          <w:rFonts w:cstheme="minorHAnsi"/>
          <w:b/>
          <w:sz w:val="24"/>
          <w:szCs w:val="24"/>
          <w:lang w:val="fr-CA"/>
        </w:rPr>
        <w:lastRenderedPageBreak/>
        <w:t>EXPOSITION POUR LES UTILISATEURS/LEADERSGC</w:t>
      </w:r>
    </w:p>
    <w:p w14:paraId="5CDC714C" w14:textId="530E821A" w:rsidR="00CD3633" w:rsidRPr="00417ACA" w:rsidRDefault="00B0032D" w:rsidP="00F2231A">
      <w:pPr>
        <w:pStyle w:val="ListParagraph"/>
        <w:keepNext/>
        <w:keepLines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Dans le but de </w:t>
      </w:r>
      <w:r w:rsidR="00B304F1" w:rsidRPr="00417ACA">
        <w:rPr>
          <w:rFonts w:cstheme="minorHAnsi"/>
          <w:lang w:val="fr-CA"/>
        </w:rPr>
        <w:t xml:space="preserve">mobiliser les utilisateurs partout au Canada, l’équipe ProGen prévoit plusieurs séances de mobilisation dans la région de la capitale nationale et partout au Canada, </w:t>
      </w:r>
      <w:r w:rsidR="00673070" w:rsidRPr="00417ACA">
        <w:rPr>
          <w:rFonts w:cstheme="minorHAnsi"/>
          <w:lang w:val="fr-CA"/>
        </w:rPr>
        <w:t>en vue</w:t>
      </w:r>
      <w:r w:rsidR="00B304F1" w:rsidRPr="00417ACA">
        <w:rPr>
          <w:rFonts w:cstheme="minorHAnsi"/>
          <w:lang w:val="fr-CA"/>
        </w:rPr>
        <w:t xml:space="preserve"> de favoriser la sensibilisation et d’offrir </w:t>
      </w:r>
      <w:bookmarkStart w:id="1" w:name="_Hlk6291517"/>
      <w:r w:rsidR="00673070" w:rsidRPr="00417ACA">
        <w:rPr>
          <w:szCs w:val="24"/>
          <w:lang w:val="fr-CA"/>
        </w:rPr>
        <w:t xml:space="preserve">des possibilités de participation directe </w:t>
      </w:r>
      <w:bookmarkEnd w:id="1"/>
      <w:r w:rsidR="00673070" w:rsidRPr="00417ACA">
        <w:rPr>
          <w:rFonts w:cstheme="minorHAnsi"/>
          <w:lang w:val="fr-CA"/>
        </w:rPr>
        <w:t>permettant</w:t>
      </w:r>
      <w:r w:rsidR="00B304F1" w:rsidRPr="00417ACA">
        <w:rPr>
          <w:rFonts w:cstheme="minorHAnsi"/>
          <w:lang w:val="fr-CA"/>
        </w:rPr>
        <w:t xml:space="preserve"> aux utilisateurs d’expérimenter les solutions possibles.</w:t>
      </w:r>
    </w:p>
    <w:p w14:paraId="0FF34A27" w14:textId="56314B37" w:rsidR="00CD3633" w:rsidRPr="00417ACA" w:rsidRDefault="00714C71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L’exposition pour les utilisateurs a été lancée à Ottawa le 14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janvier et prendra fin le 11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février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2019.</w:t>
      </w:r>
      <w:r w:rsidR="00A641AE" w:rsidRPr="00417ACA">
        <w:rPr>
          <w:rFonts w:cstheme="minorHAnsi"/>
          <w:lang w:val="fr-CA"/>
        </w:rPr>
        <w:t xml:space="preserve"> </w:t>
      </w:r>
      <w:r w:rsidR="00D952A8" w:rsidRPr="00417ACA">
        <w:rPr>
          <w:rFonts w:cstheme="minorHAnsi"/>
          <w:lang w:val="fr-CA"/>
        </w:rPr>
        <w:t>Au total, 14</w:t>
      </w:r>
      <w:r w:rsidR="00B0032D" w:rsidRPr="00417ACA">
        <w:rPr>
          <w:rFonts w:cstheme="minorHAnsi"/>
          <w:lang w:val="fr-CA"/>
        </w:rPr>
        <w:t> </w:t>
      </w:r>
      <w:r w:rsidR="00D952A8" w:rsidRPr="00417ACA">
        <w:rPr>
          <w:rFonts w:cstheme="minorHAnsi"/>
          <w:lang w:val="fr-CA"/>
        </w:rPr>
        <w:t>séances sont prévues pendant cette période à Ottawa, Gatineau, Montréal, Edmonton, Victoria, Winnipeg et Dartmouth.</w:t>
      </w:r>
      <w:r w:rsidR="00A641AE" w:rsidRPr="00417ACA">
        <w:rPr>
          <w:rFonts w:cstheme="minorHAnsi"/>
          <w:lang w:val="fr-CA"/>
        </w:rPr>
        <w:t xml:space="preserve"> </w:t>
      </w:r>
      <w:r w:rsidR="005574F2" w:rsidRPr="00417ACA">
        <w:rPr>
          <w:rFonts w:cstheme="minorHAnsi"/>
          <w:lang w:val="fr-CA"/>
        </w:rPr>
        <w:t>D’</w:t>
      </w:r>
      <w:r w:rsidR="00A641AE" w:rsidRPr="00417ACA">
        <w:rPr>
          <w:rFonts w:cstheme="minorHAnsi"/>
          <w:lang w:val="fr-CA"/>
        </w:rPr>
        <w:t>a</w:t>
      </w:r>
      <w:r w:rsidR="005574F2" w:rsidRPr="00417ACA">
        <w:rPr>
          <w:rFonts w:cstheme="minorHAnsi"/>
          <w:lang w:val="fr-CA"/>
        </w:rPr>
        <w:t xml:space="preserve">utres expositions sont prévues pour Miramichi, au 219, </w:t>
      </w:r>
      <w:r w:rsidR="00EE7FDD" w:rsidRPr="00417ACA">
        <w:rPr>
          <w:rFonts w:cstheme="minorHAnsi"/>
          <w:lang w:val="fr-CA"/>
        </w:rPr>
        <w:t>avenue</w:t>
      </w:r>
      <w:r w:rsidR="005574F2" w:rsidRPr="00417ACA">
        <w:rPr>
          <w:rFonts w:cstheme="minorHAnsi"/>
          <w:lang w:val="fr-CA"/>
        </w:rPr>
        <w:t xml:space="preserve"> Laurier et une autre séance au 90, rue Elgin pour poursuivre ces efforts de mobilisation, en fonction des commentaires reçus à ce jour.</w:t>
      </w:r>
    </w:p>
    <w:p w14:paraId="03706FF8" w14:textId="73FD3D9F" w:rsidR="00CD3633" w:rsidRPr="00417ACA" w:rsidRDefault="00673070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lang w:val="fr-CA"/>
        </w:rPr>
        <w:t xml:space="preserve">Dans la trajectoire menant </w:t>
      </w:r>
      <w:r w:rsidR="00453B31" w:rsidRPr="00417ACA">
        <w:rPr>
          <w:rFonts w:cstheme="minorHAnsi"/>
          <w:lang w:val="fr-CA"/>
        </w:rPr>
        <w:t>au lancement de l’exposition pour les utilisateurs, une séance de mobilisation</w:t>
      </w:r>
      <w:r w:rsidR="00417ACA" w:rsidRPr="00417ACA">
        <w:rPr>
          <w:rFonts w:cstheme="minorHAnsi"/>
          <w:lang w:val="fr-CA"/>
        </w:rPr>
        <w:t xml:space="preserve"> sur le</w:t>
      </w:r>
      <w:r w:rsidR="00453B31" w:rsidRPr="00417ACA">
        <w:rPr>
          <w:rFonts w:cstheme="minorHAnsi"/>
          <w:lang w:val="fr-CA"/>
        </w:rPr>
        <w:t xml:space="preserve"> numérique a eu lieu le 13</w:t>
      </w:r>
      <w:r w:rsidR="00B0032D" w:rsidRPr="00417ACA">
        <w:rPr>
          <w:rFonts w:cstheme="minorHAnsi"/>
          <w:lang w:val="fr-CA"/>
        </w:rPr>
        <w:t> </w:t>
      </w:r>
      <w:r w:rsidR="00453B31" w:rsidRPr="00417ACA">
        <w:rPr>
          <w:rFonts w:cstheme="minorHAnsi"/>
          <w:lang w:val="fr-CA"/>
        </w:rPr>
        <w:t>décembre comme une occasion de mobilisation en ligne avec les fonctionnaires de partout au Canada.</w:t>
      </w:r>
    </w:p>
    <w:p w14:paraId="0B84409C" w14:textId="1E25B613" w:rsidR="00CD3633" w:rsidRPr="00417ACA" w:rsidRDefault="00643871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La séance de mobilisation </w:t>
      </w:r>
      <w:r w:rsidR="00417ACA" w:rsidRPr="00417ACA">
        <w:rPr>
          <w:rFonts w:cstheme="minorHAnsi"/>
          <w:lang w:val="fr-CA"/>
        </w:rPr>
        <w:t xml:space="preserve">sur le </w:t>
      </w:r>
      <w:r w:rsidRPr="00417ACA">
        <w:rPr>
          <w:rFonts w:cstheme="minorHAnsi"/>
          <w:lang w:val="fr-CA"/>
        </w:rPr>
        <w:t xml:space="preserve">numérique a eu lieu en partenariat avec LeadersGC – </w:t>
      </w:r>
      <w:r w:rsidR="00417ACA" w:rsidRPr="00417ACA">
        <w:rPr>
          <w:rFonts w:cstheme="minorHAnsi"/>
          <w:lang w:val="fr-CA"/>
        </w:rPr>
        <w:t>U</w:t>
      </w:r>
      <w:r w:rsidRPr="00417ACA">
        <w:rPr>
          <w:rFonts w:cstheme="minorHAnsi"/>
          <w:lang w:val="fr-CA"/>
        </w:rPr>
        <w:t xml:space="preserve">ne initiative des fonctionnaires qui mobilise les fonctionnaires de partout au Canada au moyen d’un clavardage en direct sur Twitter. </w:t>
      </w:r>
      <w:r w:rsidR="00850B65" w:rsidRPr="00417ACA">
        <w:rPr>
          <w:rFonts w:cstheme="minorHAnsi"/>
          <w:lang w:val="fr-CA"/>
        </w:rPr>
        <w:t>L’événement a eu lieu de 20</w:t>
      </w:r>
      <w:r w:rsidR="00A641AE" w:rsidRPr="00417ACA">
        <w:rPr>
          <w:rFonts w:cstheme="minorHAnsi"/>
          <w:lang w:val="fr-CA"/>
        </w:rPr>
        <w:t> </w:t>
      </w:r>
      <w:r w:rsidR="00850B65" w:rsidRPr="00417ACA">
        <w:rPr>
          <w:rFonts w:cstheme="minorHAnsi"/>
          <w:lang w:val="fr-CA"/>
        </w:rPr>
        <w:t>h à 21</w:t>
      </w:r>
      <w:r w:rsidR="00A641AE" w:rsidRPr="00417ACA">
        <w:rPr>
          <w:rFonts w:cstheme="minorHAnsi"/>
          <w:lang w:val="fr-CA"/>
        </w:rPr>
        <w:t> </w:t>
      </w:r>
      <w:r w:rsidR="00850B65" w:rsidRPr="00417ACA">
        <w:rPr>
          <w:rFonts w:cstheme="minorHAnsi"/>
          <w:lang w:val="fr-CA"/>
        </w:rPr>
        <w:t>h et comportait six questions.</w:t>
      </w:r>
    </w:p>
    <w:p w14:paraId="6BAF4708" w14:textId="5D020BAF" w:rsidR="00CD3633" w:rsidRPr="00417ACA" w:rsidRDefault="004B172A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Quatre de ces questions visaient les participants pour éclairer nos recherches sur les préférences de l’utilisateur, les processus opérationnels et la sensibilisation sur l’initiative.</w:t>
      </w:r>
      <w:r w:rsidR="00A641AE" w:rsidRPr="00417ACA">
        <w:rPr>
          <w:rFonts w:cstheme="minorHAnsi"/>
          <w:lang w:val="fr-CA"/>
        </w:rPr>
        <w:t xml:space="preserve"> </w:t>
      </w:r>
      <w:r w:rsidR="0013312E" w:rsidRPr="00417ACA">
        <w:rPr>
          <w:rFonts w:cstheme="minorHAnsi"/>
          <w:lang w:val="fr-CA"/>
        </w:rPr>
        <w:t>Les deux autres questions ont été tirées de sli.do – un outil en ligne qui permet aux participants de soumettre des questions.</w:t>
      </w:r>
      <w:r w:rsidR="00A641AE" w:rsidRPr="00417ACA">
        <w:rPr>
          <w:rFonts w:cstheme="minorHAnsi"/>
          <w:lang w:val="fr-CA"/>
        </w:rPr>
        <w:t xml:space="preserve"> </w:t>
      </w:r>
      <w:r w:rsidR="00BC331F" w:rsidRPr="00417ACA">
        <w:rPr>
          <w:rFonts w:cstheme="minorHAnsi"/>
          <w:lang w:val="fr-CA"/>
        </w:rPr>
        <w:t>Ces questions ont été traitées par les panélistes de l’équipe ProGen</w:t>
      </w:r>
      <w:r w:rsidR="00A641AE" w:rsidRPr="00417ACA">
        <w:rPr>
          <w:rFonts w:cstheme="minorHAnsi"/>
          <w:lang w:val="fr-CA"/>
        </w:rPr>
        <w:t> </w:t>
      </w:r>
      <w:r w:rsidR="00BC331F" w:rsidRPr="00417ACA">
        <w:rPr>
          <w:rFonts w:cstheme="minorHAnsi"/>
          <w:lang w:val="fr-CA"/>
        </w:rPr>
        <w:t>: Jacquie</w:t>
      </w:r>
      <w:r w:rsidR="00673070" w:rsidRPr="00417ACA">
        <w:rPr>
          <w:rFonts w:cstheme="minorHAnsi"/>
          <w:lang w:val="fr-CA"/>
        </w:rPr>
        <w:t> </w:t>
      </w:r>
      <w:r w:rsidR="00BC331F" w:rsidRPr="00417ACA">
        <w:rPr>
          <w:rFonts w:cstheme="minorHAnsi"/>
          <w:lang w:val="fr-CA"/>
        </w:rPr>
        <w:t>Manchevsky, Dominic</w:t>
      </w:r>
      <w:r w:rsidR="00B0032D" w:rsidRPr="00417ACA">
        <w:rPr>
          <w:rFonts w:cstheme="minorHAnsi"/>
          <w:lang w:val="fr-CA"/>
        </w:rPr>
        <w:t> </w:t>
      </w:r>
      <w:r w:rsidR="00BC331F" w:rsidRPr="00417ACA">
        <w:rPr>
          <w:rFonts w:cstheme="minorHAnsi"/>
          <w:lang w:val="fr-CA"/>
        </w:rPr>
        <w:t>Rochon, et Vernon</w:t>
      </w:r>
      <w:r w:rsidR="00673070" w:rsidRPr="00417ACA">
        <w:rPr>
          <w:rFonts w:cstheme="minorHAnsi"/>
          <w:lang w:val="fr-CA"/>
        </w:rPr>
        <w:t> </w:t>
      </w:r>
      <w:r w:rsidR="00BC331F" w:rsidRPr="00417ACA">
        <w:rPr>
          <w:rFonts w:cstheme="minorHAnsi"/>
          <w:lang w:val="fr-CA"/>
        </w:rPr>
        <w:t>Von</w:t>
      </w:r>
      <w:r w:rsidR="00673070" w:rsidRPr="00417ACA">
        <w:rPr>
          <w:rFonts w:cstheme="minorHAnsi"/>
          <w:lang w:val="fr-CA"/>
        </w:rPr>
        <w:t> </w:t>
      </w:r>
      <w:r w:rsidR="00BC331F" w:rsidRPr="00417ACA">
        <w:rPr>
          <w:rFonts w:cstheme="minorHAnsi"/>
          <w:lang w:val="fr-CA"/>
        </w:rPr>
        <w:t>Finckenstein.</w:t>
      </w:r>
    </w:p>
    <w:p w14:paraId="3E44FE1C" w14:textId="1F514431" w:rsidR="00CD3633" w:rsidRPr="00417ACA" w:rsidRDefault="00EF0CEB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Dans l’ensemble, le clavardage a été très positif et est resté axé sur la prochaine génération de solutions de</w:t>
      </w:r>
      <w:r w:rsidR="00417ACA" w:rsidRPr="00417ACA">
        <w:rPr>
          <w:rFonts w:cstheme="minorHAnsi"/>
          <w:lang w:val="fr-CA"/>
        </w:rPr>
        <w:t>s</w:t>
      </w:r>
      <w:r w:rsidRPr="00417ACA">
        <w:rPr>
          <w:rFonts w:cstheme="minorHAnsi"/>
          <w:lang w:val="fr-CA"/>
        </w:rPr>
        <w:t xml:space="preserve"> RH et </w:t>
      </w:r>
      <w:r w:rsidR="00673070" w:rsidRPr="00417ACA">
        <w:rPr>
          <w:rFonts w:cstheme="minorHAnsi"/>
          <w:lang w:val="fr-CA"/>
        </w:rPr>
        <w:t xml:space="preserve">de </w:t>
      </w:r>
      <w:r w:rsidR="00417ACA" w:rsidRPr="00417ACA">
        <w:rPr>
          <w:rFonts w:cstheme="minorHAnsi"/>
          <w:lang w:val="fr-CA"/>
        </w:rPr>
        <w:t xml:space="preserve">la </w:t>
      </w:r>
      <w:r w:rsidRPr="00417ACA">
        <w:rPr>
          <w:rFonts w:cstheme="minorHAnsi"/>
          <w:lang w:val="fr-CA"/>
        </w:rPr>
        <w:t>paye plutôt que sur la stabilisation.</w:t>
      </w:r>
    </w:p>
    <w:p w14:paraId="77D549EA" w14:textId="466AC1C4" w:rsidR="00CD3633" w:rsidRPr="00417ACA" w:rsidRDefault="007D51A4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Dans le cadre du travail de l’équipe ProGen à venir, une synthèse du clavardage a été </w:t>
      </w:r>
      <w:r w:rsidR="00417ACA" w:rsidRPr="00417ACA">
        <w:rPr>
          <w:rFonts w:cstheme="minorHAnsi"/>
          <w:lang w:val="fr-CA"/>
        </w:rPr>
        <w:t>publiée par l’entremise de</w:t>
      </w:r>
      <w:r w:rsidRPr="00417ACA">
        <w:rPr>
          <w:rFonts w:cstheme="minorHAnsi"/>
          <w:lang w:val="fr-CA"/>
        </w:rPr>
        <w:t xml:space="preserve"> notre site Web</w:t>
      </w:r>
      <w:r w:rsidR="00417ACA" w:rsidRPr="00417ACA">
        <w:rPr>
          <w:rFonts w:cstheme="minorHAnsi"/>
          <w:lang w:val="fr-CA"/>
        </w:rPr>
        <w:t>,</w:t>
      </w:r>
      <w:r w:rsidRPr="00417ACA">
        <w:rPr>
          <w:rFonts w:cstheme="minorHAnsi"/>
          <w:lang w:val="fr-CA"/>
        </w:rPr>
        <w:t xml:space="preserve"> </w:t>
      </w:r>
      <w:r w:rsidR="00FF284F">
        <w:rPr>
          <w:rFonts w:cstheme="minorHAnsi"/>
          <w:lang w:val="fr-CA"/>
        </w:rPr>
        <w:t>à compter du</w:t>
      </w:r>
      <w:r w:rsidRPr="00417ACA">
        <w:rPr>
          <w:rFonts w:cstheme="minorHAnsi"/>
          <w:lang w:val="fr-CA"/>
        </w:rPr>
        <w:t xml:space="preserve"> 27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décembre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2018.</w:t>
      </w:r>
    </w:p>
    <w:p w14:paraId="4C819CBA" w14:textId="396642C7" w:rsidR="0035019E" w:rsidRPr="00417ACA" w:rsidRDefault="009D6798" w:rsidP="00CD3633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La participation à ce jour a été évalué</w:t>
      </w:r>
      <w:r w:rsidR="00A641AE" w:rsidRPr="00417ACA">
        <w:rPr>
          <w:rFonts w:cstheme="minorHAnsi"/>
          <w:lang w:val="fr-CA"/>
        </w:rPr>
        <w:t>e</w:t>
      </w:r>
      <w:r w:rsidRPr="00417ACA">
        <w:rPr>
          <w:rFonts w:cstheme="minorHAnsi"/>
          <w:lang w:val="fr-CA"/>
        </w:rPr>
        <w:t xml:space="preserve"> par l’achèvement de deux sondages numériques auprès des utilisateurs à la suite de leur expérience à l</w:t>
      </w:r>
      <w:r w:rsidR="00A641AE" w:rsidRPr="00417ACA">
        <w:rPr>
          <w:rFonts w:cstheme="minorHAnsi"/>
          <w:lang w:val="fr-CA"/>
        </w:rPr>
        <w:t>’</w:t>
      </w:r>
      <w:r w:rsidRPr="00417ACA">
        <w:rPr>
          <w:rFonts w:cstheme="minorHAnsi"/>
          <w:lang w:val="fr-CA"/>
        </w:rPr>
        <w:t>exposition pour les utilisateurs.</w:t>
      </w:r>
      <w:r w:rsidR="00A641AE" w:rsidRPr="00417ACA">
        <w:rPr>
          <w:rFonts w:cstheme="minorHAnsi"/>
          <w:lang w:val="fr-CA"/>
        </w:rPr>
        <w:t xml:space="preserve"> </w:t>
      </w:r>
      <w:r w:rsidR="00F440AF" w:rsidRPr="00417ACA">
        <w:rPr>
          <w:rFonts w:cstheme="minorHAnsi"/>
          <w:lang w:val="fr-CA"/>
        </w:rPr>
        <w:t>Des 14</w:t>
      </w:r>
      <w:r w:rsidR="00B0032D" w:rsidRPr="00417ACA">
        <w:rPr>
          <w:rFonts w:cstheme="minorHAnsi"/>
          <w:lang w:val="fr-CA"/>
        </w:rPr>
        <w:t> </w:t>
      </w:r>
      <w:r w:rsidR="00F440AF" w:rsidRPr="00417ACA">
        <w:rPr>
          <w:rFonts w:cstheme="minorHAnsi"/>
          <w:lang w:val="fr-CA"/>
        </w:rPr>
        <w:t>séances prévues, sept ont été réalisées à ce jour, le plus récent, à Dartmouth (Nouvelle-Écosse).</w:t>
      </w:r>
      <w:r w:rsidR="00A641AE" w:rsidRPr="00417ACA">
        <w:rPr>
          <w:rFonts w:cstheme="minorHAnsi"/>
          <w:lang w:val="fr-CA"/>
        </w:rPr>
        <w:t xml:space="preserve"> </w:t>
      </w:r>
      <w:r w:rsidR="004D58F2" w:rsidRPr="00417ACA">
        <w:rPr>
          <w:rFonts w:cstheme="minorHAnsi"/>
          <w:lang w:val="fr-CA"/>
        </w:rPr>
        <w:t>L</w:t>
      </w:r>
      <w:r w:rsidR="00A641AE" w:rsidRPr="00417ACA">
        <w:rPr>
          <w:rFonts w:cstheme="minorHAnsi"/>
          <w:lang w:val="fr-CA"/>
        </w:rPr>
        <w:t>’</w:t>
      </w:r>
      <w:r w:rsidR="004D58F2" w:rsidRPr="00417ACA">
        <w:rPr>
          <w:rFonts w:cstheme="minorHAnsi"/>
          <w:lang w:val="fr-CA"/>
        </w:rPr>
        <w:t>équipe est actuellement dans l</w:t>
      </w:r>
      <w:r w:rsidR="00A641AE" w:rsidRPr="00417ACA">
        <w:rPr>
          <w:rFonts w:cstheme="minorHAnsi"/>
          <w:lang w:val="fr-CA"/>
        </w:rPr>
        <w:t>’</w:t>
      </w:r>
      <w:r w:rsidR="004D58F2" w:rsidRPr="00417ACA">
        <w:rPr>
          <w:rFonts w:cstheme="minorHAnsi"/>
          <w:lang w:val="fr-CA"/>
        </w:rPr>
        <w:t>Ouest pour visiter les fonctionnaires à Victoria, à Edmonton et à Winnipeg.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214199" w:rsidRPr="00417ACA" w14:paraId="72917C4A" w14:textId="77777777" w:rsidTr="00830B74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7C31" w14:textId="409A3509" w:rsidR="00830B74" w:rsidRPr="00417ACA" w:rsidRDefault="00026734">
            <w:pPr>
              <w:rPr>
                <w:b/>
                <w:bCs/>
                <w:color w:val="1F497D"/>
                <w:lang w:val="fr-CA"/>
              </w:rPr>
            </w:pPr>
            <w:r w:rsidRPr="00417ACA">
              <w:rPr>
                <w:b/>
                <w:bCs/>
                <w:color w:val="1F497D"/>
                <w:lang w:val="fr-CA"/>
              </w:rPr>
              <w:t>Emplacement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1781" w14:textId="58867C74" w:rsidR="00830B74" w:rsidRPr="00417ACA" w:rsidRDefault="00892929">
            <w:pPr>
              <w:rPr>
                <w:b/>
                <w:bCs/>
                <w:color w:val="1F497D"/>
                <w:lang w:val="fr-CA"/>
              </w:rPr>
            </w:pPr>
            <w:r w:rsidRPr="00417ACA">
              <w:rPr>
                <w:b/>
                <w:bCs/>
                <w:color w:val="1F497D"/>
                <w:lang w:val="fr-CA"/>
              </w:rPr>
              <w:t>Nombre de sondages de rétroaction effectués sur les solutions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7013" w14:textId="384BA69F" w:rsidR="00830B74" w:rsidRPr="00417ACA" w:rsidRDefault="00044308">
            <w:pPr>
              <w:rPr>
                <w:b/>
                <w:bCs/>
                <w:color w:val="1F497D"/>
                <w:lang w:val="fr-CA"/>
              </w:rPr>
            </w:pPr>
            <w:r w:rsidRPr="00417ACA">
              <w:rPr>
                <w:b/>
                <w:bCs/>
                <w:color w:val="1F497D"/>
                <w:lang w:val="fr-CA"/>
              </w:rPr>
              <w:t>Nombre de sondages de recherche effectués auprès des utilisateurs</w:t>
            </w:r>
          </w:p>
        </w:tc>
      </w:tr>
      <w:tr w:rsidR="00214199" w:rsidRPr="00417ACA" w14:paraId="7105A888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1898" w14:textId="14E92F4A" w:rsidR="00830B74" w:rsidRPr="00417ACA" w:rsidRDefault="00A641AE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t>90</w:t>
            </w:r>
            <w:r w:rsidR="00A73BF1" w:rsidRPr="00417ACA">
              <w:rPr>
                <w:color w:val="1F497D"/>
                <w:lang w:val="fr-CA"/>
              </w:rPr>
              <w:t>, rue Elgin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66D8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144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4E53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40</w:t>
            </w:r>
          </w:p>
        </w:tc>
      </w:tr>
      <w:tr w:rsidR="00214199" w:rsidRPr="00417ACA" w14:paraId="6BAB12A1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5635" w14:textId="50C7DE42" w:rsidR="00830B74" w:rsidRPr="00417ACA" w:rsidRDefault="00A641AE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t>395</w:t>
            </w:r>
            <w:r w:rsidR="00371F1F" w:rsidRPr="00417ACA">
              <w:rPr>
                <w:color w:val="1F497D"/>
                <w:lang w:val="fr-CA"/>
              </w:rPr>
              <w:t>, avenue Terminal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D8D7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145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82AE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52</w:t>
            </w:r>
          </w:p>
        </w:tc>
      </w:tr>
      <w:tr w:rsidR="00214199" w:rsidRPr="00417ACA" w14:paraId="2CD36035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A2A3" w14:textId="15C01653" w:rsidR="00830B74" w:rsidRPr="00417ACA" w:rsidRDefault="006B79FD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t>Place du Portage, Phase</w:t>
            </w:r>
            <w:r w:rsidR="00A641AE" w:rsidRPr="00417ACA">
              <w:rPr>
                <w:color w:val="1F497D"/>
                <w:lang w:val="fr-CA"/>
              </w:rPr>
              <w:t> </w:t>
            </w:r>
            <w:r w:rsidRPr="00417ACA">
              <w:rPr>
                <w:color w:val="1F497D"/>
                <w:lang w:val="fr-CA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17EA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167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3789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49</w:t>
            </w:r>
          </w:p>
        </w:tc>
      </w:tr>
      <w:tr w:rsidR="00214199" w:rsidRPr="00417ACA" w14:paraId="02CE0FC6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9823" w14:textId="1EA6628B" w:rsidR="00830B74" w:rsidRPr="00417ACA" w:rsidRDefault="00A641AE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t>101</w:t>
            </w:r>
            <w:r w:rsidR="00964FAE" w:rsidRPr="00417ACA">
              <w:rPr>
                <w:color w:val="1F497D"/>
                <w:lang w:val="fr-CA"/>
              </w:rPr>
              <w:t>, promenade Colonel By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4A1C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F462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23</w:t>
            </w:r>
          </w:p>
        </w:tc>
      </w:tr>
      <w:tr w:rsidR="00214199" w:rsidRPr="00417ACA" w14:paraId="20353121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CCF0" w14:textId="701F3CCB" w:rsidR="00830B74" w:rsidRPr="00417ACA" w:rsidRDefault="00A641AE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t>875</w:t>
            </w:r>
            <w:r w:rsidR="00AA2BBA" w:rsidRPr="00417ACA">
              <w:rPr>
                <w:color w:val="1F497D"/>
                <w:lang w:val="fr-CA"/>
              </w:rPr>
              <w:t>, chemin Heron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DAE5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128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6D84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57</w:t>
            </w:r>
          </w:p>
        </w:tc>
      </w:tr>
      <w:tr w:rsidR="00214199" w:rsidRPr="00417ACA" w14:paraId="464474D4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801A" w14:textId="796C30D4" w:rsidR="00830B74" w:rsidRPr="00417ACA" w:rsidRDefault="00A641AE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lastRenderedPageBreak/>
              <w:t>200</w:t>
            </w:r>
            <w:r w:rsidR="00810B37" w:rsidRPr="00417ACA">
              <w:rPr>
                <w:color w:val="1F497D"/>
                <w:lang w:val="fr-CA"/>
              </w:rPr>
              <w:t>, boulevard René-Lévesque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395E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107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8F68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41</w:t>
            </w:r>
          </w:p>
        </w:tc>
      </w:tr>
      <w:tr w:rsidR="00214199" w:rsidRPr="00417ACA" w14:paraId="57E33A2C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C002" w14:textId="469A233C" w:rsidR="00830B74" w:rsidRPr="00417ACA" w:rsidRDefault="00A641AE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t>45</w:t>
            </w:r>
            <w:r w:rsidR="0041734E" w:rsidRPr="00417ACA">
              <w:rPr>
                <w:color w:val="1F497D"/>
                <w:lang w:val="fr-CA"/>
              </w:rPr>
              <w:t>, promenade Alderney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E225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61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81FB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20</w:t>
            </w:r>
          </w:p>
        </w:tc>
      </w:tr>
      <w:tr w:rsidR="00214199" w:rsidRPr="00417ACA" w14:paraId="64CD5C90" w14:textId="77777777" w:rsidTr="00830B7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8878" w14:textId="096BFB89" w:rsidR="00830B74" w:rsidRPr="00417ACA" w:rsidRDefault="00B83688">
            <w:pPr>
              <w:rPr>
                <w:color w:val="1F497D"/>
                <w:lang w:val="fr-CA"/>
              </w:rPr>
            </w:pPr>
            <w:r w:rsidRPr="00417ACA">
              <w:rPr>
                <w:color w:val="1F497D"/>
                <w:lang w:val="fr-CA"/>
              </w:rPr>
              <w:t>Participation totale à ce jour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4AC5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797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45FA" w14:textId="77777777" w:rsidR="00830B74" w:rsidRPr="00417ACA" w:rsidRDefault="00A641AE">
            <w:pPr>
              <w:rPr>
                <w:lang w:val="fr-CA"/>
              </w:rPr>
            </w:pPr>
            <w:r w:rsidRPr="00417ACA">
              <w:rPr>
                <w:lang w:val="fr-CA"/>
              </w:rPr>
              <w:t>282</w:t>
            </w:r>
          </w:p>
        </w:tc>
      </w:tr>
    </w:tbl>
    <w:p w14:paraId="3564EADD" w14:textId="77777777" w:rsidR="00830B74" w:rsidRPr="00417ACA" w:rsidRDefault="00040419" w:rsidP="00830B74">
      <w:pPr>
        <w:spacing w:after="120" w:line="276" w:lineRule="auto"/>
        <w:rPr>
          <w:rFonts w:cstheme="minorHAnsi"/>
          <w:lang w:val="fr-CA"/>
        </w:rPr>
      </w:pPr>
    </w:p>
    <w:p w14:paraId="7B92DEFF" w14:textId="2144A3EA" w:rsidR="00CD3633" w:rsidRPr="00417ACA" w:rsidRDefault="00DA175E" w:rsidP="00290B7C">
      <w:pPr>
        <w:spacing w:after="0" w:line="360" w:lineRule="auto"/>
        <w:rPr>
          <w:rFonts w:cstheme="minorHAnsi"/>
          <w:b/>
          <w:sz w:val="24"/>
          <w:szCs w:val="24"/>
          <w:lang w:val="fr-CA"/>
        </w:rPr>
      </w:pPr>
      <w:r w:rsidRPr="00417ACA">
        <w:rPr>
          <w:rFonts w:cstheme="minorHAnsi"/>
          <w:b/>
          <w:sz w:val="24"/>
          <w:szCs w:val="24"/>
          <w:lang w:val="fr-CA"/>
        </w:rPr>
        <w:t>COMITÉ MIXTE SYNDICAL-PATRONAL SUR LE SYSTÈME DE</w:t>
      </w:r>
      <w:r w:rsidR="00417ACA" w:rsidRPr="00417ACA">
        <w:rPr>
          <w:rFonts w:cstheme="minorHAnsi"/>
          <w:b/>
          <w:sz w:val="24"/>
          <w:szCs w:val="24"/>
          <w:lang w:val="fr-CA"/>
        </w:rPr>
        <w:t>S</w:t>
      </w:r>
      <w:r w:rsidRPr="00417ACA">
        <w:rPr>
          <w:rFonts w:cstheme="minorHAnsi"/>
          <w:b/>
          <w:sz w:val="24"/>
          <w:szCs w:val="24"/>
          <w:lang w:val="fr-CA"/>
        </w:rPr>
        <w:t xml:space="preserve"> RH ET DE </w:t>
      </w:r>
      <w:r w:rsidR="00417ACA" w:rsidRPr="00417ACA">
        <w:rPr>
          <w:rFonts w:cstheme="minorHAnsi"/>
          <w:b/>
          <w:sz w:val="24"/>
          <w:szCs w:val="24"/>
          <w:lang w:val="fr-CA"/>
        </w:rPr>
        <w:t xml:space="preserve">LA </w:t>
      </w:r>
      <w:r w:rsidRPr="00417ACA">
        <w:rPr>
          <w:rFonts w:cstheme="minorHAnsi"/>
          <w:b/>
          <w:sz w:val="24"/>
          <w:szCs w:val="24"/>
          <w:lang w:val="fr-CA"/>
        </w:rPr>
        <w:t>PAYE DE LA PROCHAINE GÉNÉRATION</w:t>
      </w:r>
    </w:p>
    <w:p w14:paraId="4C81DE1D" w14:textId="23692CC9" w:rsidR="00290B7C" w:rsidRPr="00417ACA" w:rsidRDefault="00FA2A8E" w:rsidP="00290B7C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Le Comité mixte a été créé en remplacement d’un sous-comité pour faire avancer l’objectif commun de discuter et de cerner les possibilités et les éléments à prendre en considération pour une solution possible de</w:t>
      </w:r>
      <w:r w:rsidR="00417ACA" w:rsidRPr="00417ACA">
        <w:rPr>
          <w:rFonts w:cstheme="minorHAnsi"/>
          <w:lang w:val="fr-CA"/>
        </w:rPr>
        <w:t>s</w:t>
      </w:r>
      <w:r w:rsidRPr="00417ACA">
        <w:rPr>
          <w:rFonts w:cstheme="minorHAnsi"/>
          <w:lang w:val="fr-CA"/>
        </w:rPr>
        <w:t xml:space="preserve"> RH et </w:t>
      </w:r>
      <w:r w:rsidR="00673070" w:rsidRPr="00417ACA">
        <w:rPr>
          <w:rFonts w:cstheme="minorHAnsi"/>
          <w:lang w:val="fr-CA"/>
        </w:rPr>
        <w:t xml:space="preserve">de </w:t>
      </w:r>
      <w:r w:rsidR="00417ACA" w:rsidRPr="00417ACA">
        <w:rPr>
          <w:rFonts w:cstheme="minorHAnsi"/>
          <w:lang w:val="fr-CA"/>
        </w:rPr>
        <w:t xml:space="preserve">la </w:t>
      </w:r>
      <w:r w:rsidRPr="00417ACA">
        <w:rPr>
          <w:rFonts w:cstheme="minorHAnsi"/>
          <w:lang w:val="fr-CA"/>
        </w:rPr>
        <w:t>paye de la prochaine génération aussitôt que possible dans le processus et avant la mise en œuvre des décisions formatives.</w:t>
      </w:r>
    </w:p>
    <w:p w14:paraId="2D32D395" w14:textId="14E7DD69" w:rsidR="00290B7C" w:rsidRPr="00417ACA" w:rsidRDefault="00E9385A" w:rsidP="00290B7C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Le Comité de gestion mixte s’est réuni pour la première fois le 18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décembre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2018 pour discuter du mandat proposé et recevoir une mise à jour sur le lancement du point de contrôle n</w:t>
      </w:r>
      <w:r w:rsidRPr="00417ACA">
        <w:rPr>
          <w:rFonts w:cstheme="minorHAnsi"/>
          <w:vertAlign w:val="superscript"/>
          <w:lang w:val="fr-CA"/>
        </w:rPr>
        <w:t>o</w:t>
      </w:r>
      <w:r w:rsidR="00A641AE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2, la journée des utilisateurs du 20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 xml:space="preserve">novembre, la prochaine exposition pour les utilisateurs, d’autres séances de mobilisation à ce jour, y compris la Séance de mobilisation </w:t>
      </w:r>
      <w:r w:rsidR="00417ACA" w:rsidRPr="00417ACA">
        <w:rPr>
          <w:rFonts w:cstheme="minorHAnsi"/>
          <w:lang w:val="fr-CA"/>
        </w:rPr>
        <w:t xml:space="preserve">sur le </w:t>
      </w:r>
      <w:r w:rsidRPr="00417ACA">
        <w:rPr>
          <w:rFonts w:cstheme="minorHAnsi"/>
          <w:lang w:val="fr-CA"/>
        </w:rPr>
        <w:t>numérique avec LeadersGC.</w:t>
      </w:r>
    </w:p>
    <w:p w14:paraId="11EBB4D4" w14:textId="485F829B" w:rsidR="00290B7C" w:rsidRPr="00417ACA" w:rsidRDefault="00565405" w:rsidP="00290B7C">
      <w:pPr>
        <w:pStyle w:val="ListParagraph"/>
        <w:numPr>
          <w:ilvl w:val="0"/>
          <w:numId w:val="5"/>
        </w:numPr>
        <w:spacing w:after="120" w:line="276" w:lineRule="auto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Une réunion suivante a eu lieu la semaine passée où nous avons fourni un aperçu du SaaS, et avons discuté des communications continues sur ProGen avec les employés de la fonction publique en général.</w:t>
      </w:r>
    </w:p>
    <w:p w14:paraId="1A84D740" w14:textId="77777777" w:rsidR="00830B74" w:rsidRPr="00417ACA" w:rsidRDefault="00040419" w:rsidP="00C14F38">
      <w:pPr>
        <w:spacing w:after="120" w:line="240" w:lineRule="auto"/>
        <w:rPr>
          <w:rFonts w:cstheme="minorHAnsi"/>
          <w:b/>
          <w:sz w:val="24"/>
          <w:szCs w:val="24"/>
          <w:lang w:val="fr-CA"/>
        </w:rPr>
      </w:pPr>
    </w:p>
    <w:p w14:paraId="7542687F" w14:textId="77777777" w:rsidR="00830B74" w:rsidRPr="00417ACA" w:rsidRDefault="00040419" w:rsidP="00C14F38">
      <w:pPr>
        <w:spacing w:after="120" w:line="240" w:lineRule="auto"/>
        <w:rPr>
          <w:rFonts w:cstheme="minorHAnsi"/>
          <w:b/>
          <w:sz w:val="24"/>
          <w:szCs w:val="24"/>
          <w:lang w:val="fr-CA"/>
        </w:rPr>
      </w:pPr>
    </w:p>
    <w:p w14:paraId="0FAFBD76" w14:textId="50A5127F" w:rsidR="00C14F38" w:rsidRPr="00417ACA" w:rsidRDefault="006D4285" w:rsidP="00C14F38">
      <w:pPr>
        <w:spacing w:after="120" w:line="240" w:lineRule="auto"/>
        <w:rPr>
          <w:rFonts w:cstheme="minorHAnsi"/>
          <w:b/>
          <w:sz w:val="24"/>
          <w:szCs w:val="24"/>
          <w:lang w:val="fr-CA"/>
        </w:rPr>
      </w:pPr>
      <w:r w:rsidRPr="00417ACA">
        <w:rPr>
          <w:rFonts w:cstheme="minorHAnsi"/>
          <w:b/>
          <w:sz w:val="24"/>
          <w:szCs w:val="24"/>
          <w:lang w:val="fr-CA"/>
        </w:rPr>
        <w:t>PROCHAINES ÉTAPES</w:t>
      </w:r>
    </w:p>
    <w:p w14:paraId="64040BF1" w14:textId="28532000" w:rsidR="00C14F38" w:rsidRPr="00417ACA" w:rsidRDefault="001B0BA2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L’exposition pour les utilisateurs continuera jusqu’au 11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février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2019.</w:t>
      </w:r>
    </w:p>
    <w:p w14:paraId="0A4AFF9C" w14:textId="00DB3B05" w:rsidR="0035019E" w:rsidRPr="00417ACA" w:rsidRDefault="0077080E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Planification de la phase</w:t>
      </w:r>
      <w:r w:rsidR="00A641AE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 de l</w:t>
      </w:r>
      <w:r w:rsidR="00A641AE" w:rsidRPr="00417ACA">
        <w:rPr>
          <w:rFonts w:cstheme="minorHAnsi"/>
          <w:lang w:val="fr-CA"/>
        </w:rPr>
        <w:t>’</w:t>
      </w:r>
      <w:r w:rsidRPr="00417ACA">
        <w:rPr>
          <w:rFonts w:cstheme="minorHAnsi"/>
          <w:lang w:val="fr-CA"/>
        </w:rPr>
        <w:t xml:space="preserve">exposition pour les utilisateurs (Miramichi, 219, avenue Laurier, </w:t>
      </w:r>
      <w:r w:rsidR="00673070" w:rsidRPr="00417ACA">
        <w:rPr>
          <w:rFonts w:cstheme="minorHAnsi"/>
          <w:lang w:val="fr-CA"/>
        </w:rPr>
        <w:t xml:space="preserve">et </w:t>
      </w:r>
      <w:r w:rsidRPr="00417ACA">
        <w:rPr>
          <w:rFonts w:cstheme="minorHAnsi"/>
          <w:lang w:val="fr-CA"/>
        </w:rPr>
        <w:t>90, rue Elgin)</w:t>
      </w:r>
    </w:p>
    <w:p w14:paraId="7A3CBC17" w14:textId="3DF22A4A" w:rsidR="00A26E83" w:rsidRPr="00417ACA" w:rsidRDefault="00EE7FDD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Les évaluations de l’expérience utilisateur ont commencé le 21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janvier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2019</w:t>
      </w:r>
      <w:r w:rsidR="00673070" w:rsidRPr="00417ACA">
        <w:rPr>
          <w:rFonts w:cstheme="minorHAnsi"/>
          <w:lang w:val="fr-CA"/>
        </w:rPr>
        <w:t>.</w:t>
      </w:r>
    </w:p>
    <w:p w14:paraId="0708B5F2" w14:textId="4007B2C1" w:rsidR="00A26E83" w:rsidRPr="00417ACA" w:rsidRDefault="003428DA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Les évaluations critiques des EM ont commencé le 28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janvier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2019</w:t>
      </w:r>
      <w:r w:rsidR="00673070" w:rsidRPr="00417ACA">
        <w:rPr>
          <w:rFonts w:cstheme="minorHAnsi"/>
          <w:lang w:val="fr-CA"/>
        </w:rPr>
        <w:t>.</w:t>
      </w:r>
    </w:p>
    <w:p w14:paraId="7438B47E" w14:textId="209EB9DB" w:rsidR="00A26E83" w:rsidRPr="00417ACA" w:rsidRDefault="00B351DB" w:rsidP="00A26E8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 xml:space="preserve">Le point de contrôle </w:t>
      </w:r>
      <w:r w:rsidR="00673070" w:rsidRPr="00417ACA">
        <w:rPr>
          <w:rFonts w:cstheme="minorHAnsi"/>
          <w:lang w:val="fr-CA"/>
        </w:rPr>
        <w:t>n</w:t>
      </w:r>
      <w:r w:rsidR="00673070" w:rsidRPr="00417ACA">
        <w:rPr>
          <w:rFonts w:cstheme="minorHAnsi"/>
          <w:vertAlign w:val="superscript"/>
          <w:lang w:val="fr-CA"/>
        </w:rPr>
        <w:t>o</w:t>
      </w:r>
      <w:r w:rsidR="00673070" w:rsidRPr="00417ACA">
        <w:rPr>
          <w:rFonts w:cstheme="minorHAnsi"/>
          <w:lang w:val="fr-CA"/>
        </w:rPr>
        <w:t xml:space="preserve"> 2 </w:t>
      </w:r>
      <w:bookmarkStart w:id="2" w:name="_Hlk6294081"/>
      <w:r w:rsidRPr="00417ACA">
        <w:rPr>
          <w:rFonts w:cstheme="minorHAnsi"/>
          <w:lang w:val="fr-CA"/>
        </w:rPr>
        <w:t xml:space="preserve">devait être </w:t>
      </w:r>
      <w:bookmarkEnd w:id="2"/>
      <w:r w:rsidRPr="00417ACA">
        <w:rPr>
          <w:rFonts w:cstheme="minorHAnsi"/>
          <w:lang w:val="fr-CA"/>
        </w:rPr>
        <w:t>achevé le 4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février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2019</w:t>
      </w:r>
      <w:r w:rsidR="00673070" w:rsidRPr="00417ACA">
        <w:rPr>
          <w:rFonts w:cstheme="minorHAnsi"/>
          <w:lang w:val="fr-CA"/>
        </w:rPr>
        <w:t>.</w:t>
      </w:r>
    </w:p>
    <w:p w14:paraId="3E712CBA" w14:textId="7DE31227" w:rsidR="00A26E83" w:rsidRPr="00417ACA" w:rsidRDefault="003B2422" w:rsidP="00C14F3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lang w:val="fr-CA"/>
        </w:rPr>
      </w:pPr>
      <w:r w:rsidRPr="00417ACA">
        <w:rPr>
          <w:rFonts w:cstheme="minorHAnsi"/>
          <w:lang w:val="fr-CA"/>
        </w:rPr>
        <w:t>La prochaine réunion du Comité mixte syndical-patronal sur le système de</w:t>
      </w:r>
      <w:r w:rsidR="00417ACA" w:rsidRPr="00417ACA">
        <w:rPr>
          <w:rFonts w:cstheme="minorHAnsi"/>
          <w:lang w:val="fr-CA"/>
        </w:rPr>
        <w:t>s</w:t>
      </w:r>
      <w:r w:rsidRPr="00417ACA">
        <w:rPr>
          <w:rFonts w:cstheme="minorHAnsi"/>
          <w:lang w:val="fr-CA"/>
        </w:rPr>
        <w:t xml:space="preserve"> RH et de </w:t>
      </w:r>
      <w:r w:rsidR="00417ACA" w:rsidRPr="00417ACA">
        <w:rPr>
          <w:rFonts w:cstheme="minorHAnsi"/>
          <w:lang w:val="fr-CA"/>
        </w:rPr>
        <w:t xml:space="preserve">la </w:t>
      </w:r>
      <w:r w:rsidRPr="00417ACA">
        <w:rPr>
          <w:rFonts w:cstheme="minorHAnsi"/>
          <w:lang w:val="fr-CA"/>
        </w:rPr>
        <w:t>paye de la prochaine génération aura lieu en février</w:t>
      </w:r>
      <w:r w:rsidR="00B0032D" w:rsidRPr="00417ACA">
        <w:rPr>
          <w:rFonts w:cstheme="minorHAnsi"/>
          <w:lang w:val="fr-CA"/>
        </w:rPr>
        <w:t> </w:t>
      </w:r>
      <w:r w:rsidRPr="00417ACA">
        <w:rPr>
          <w:rFonts w:cstheme="minorHAnsi"/>
          <w:lang w:val="fr-CA"/>
        </w:rPr>
        <w:t>2019.</w:t>
      </w:r>
    </w:p>
    <w:p w14:paraId="16CDA53A" w14:textId="77777777" w:rsidR="007F5A48" w:rsidRPr="00417ACA" w:rsidRDefault="00040419" w:rsidP="007F5A48">
      <w:pPr>
        <w:rPr>
          <w:rFonts w:cstheme="minorHAnsi"/>
          <w:sz w:val="24"/>
          <w:szCs w:val="24"/>
          <w:lang w:val="fr-CA"/>
        </w:rPr>
      </w:pPr>
    </w:p>
    <w:sectPr w:rsidR="007F5A48" w:rsidRPr="00417ACA" w:rsidSect="00A9106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55DC1" w14:textId="77777777" w:rsidR="00040419" w:rsidRDefault="00040419">
      <w:pPr>
        <w:spacing w:after="0" w:line="240" w:lineRule="auto"/>
      </w:pPr>
      <w:r>
        <w:separator/>
      </w:r>
    </w:p>
  </w:endnote>
  <w:endnote w:type="continuationSeparator" w:id="0">
    <w:p w14:paraId="127DD830" w14:textId="77777777" w:rsidR="00040419" w:rsidRDefault="0004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F842C" w14:textId="77777777" w:rsidR="00040419" w:rsidRDefault="00040419">
      <w:pPr>
        <w:spacing w:after="0" w:line="240" w:lineRule="auto"/>
      </w:pPr>
      <w:r>
        <w:separator/>
      </w:r>
    </w:p>
  </w:footnote>
  <w:footnote w:type="continuationSeparator" w:id="0">
    <w:p w14:paraId="25265A66" w14:textId="77777777" w:rsidR="00040419" w:rsidRDefault="0004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E3F18" w14:textId="77777777" w:rsidR="00A91063" w:rsidRDefault="00040419" w:rsidP="00A91063">
    <w:pPr>
      <w:pStyle w:val="Header"/>
    </w:pPr>
    <w:bookmarkStart w:id="3" w:name="TITUS1HeaderEvenPages"/>
  </w:p>
  <w:bookmarkEnd w:id="3"/>
  <w:p w14:paraId="17273A83" w14:textId="77777777" w:rsidR="00A91063" w:rsidRDefault="00040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FAA0" w14:textId="77777777" w:rsidR="00A91063" w:rsidRDefault="00040419" w:rsidP="00A91063">
    <w:pPr>
      <w:pStyle w:val="Header"/>
    </w:pPr>
    <w:bookmarkStart w:id="4" w:name="TITUS1HeaderPrimary"/>
  </w:p>
  <w:bookmarkEnd w:id="4"/>
  <w:p w14:paraId="17098632" w14:textId="77777777" w:rsidR="00A91063" w:rsidRDefault="000404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D52B" w14:textId="77777777" w:rsidR="00A91063" w:rsidRDefault="00040419" w:rsidP="00A91063">
    <w:pPr>
      <w:pStyle w:val="Header"/>
    </w:pPr>
    <w:bookmarkStart w:id="5" w:name="TITUS1HeaderFirstPage"/>
  </w:p>
  <w:bookmarkEnd w:id="5"/>
  <w:p w14:paraId="3B369B74" w14:textId="77777777" w:rsidR="00A91063" w:rsidRDefault="00040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724"/>
    <w:multiLevelType w:val="hybridMultilevel"/>
    <w:tmpl w:val="B0BCAFB2"/>
    <w:lvl w:ilvl="0" w:tplc="F0569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60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80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B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0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AD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46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EB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236A"/>
    <w:multiLevelType w:val="hybridMultilevel"/>
    <w:tmpl w:val="AC04BE4C"/>
    <w:lvl w:ilvl="0" w:tplc="AAFAD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CD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CC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6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E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69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B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8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C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6E6C"/>
    <w:multiLevelType w:val="hybridMultilevel"/>
    <w:tmpl w:val="CF9AE454"/>
    <w:lvl w:ilvl="0" w:tplc="0AA0F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29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8C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A5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6D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ED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E9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C0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8B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2A46"/>
    <w:multiLevelType w:val="hybridMultilevel"/>
    <w:tmpl w:val="4F1A2592"/>
    <w:lvl w:ilvl="0" w:tplc="1E54C4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CAF0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CCEE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5215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4405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3826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62E6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6AD0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2EF8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83A46"/>
    <w:multiLevelType w:val="hybridMultilevel"/>
    <w:tmpl w:val="6C380EE6"/>
    <w:lvl w:ilvl="0" w:tplc="96548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621CC" w:tentative="1">
      <w:start w:val="1"/>
      <w:numFmt w:val="lowerLetter"/>
      <w:lvlText w:val="%2."/>
      <w:lvlJc w:val="left"/>
      <w:pPr>
        <w:ind w:left="1440" w:hanging="360"/>
      </w:pPr>
    </w:lvl>
    <w:lvl w:ilvl="2" w:tplc="EB104DC0" w:tentative="1">
      <w:start w:val="1"/>
      <w:numFmt w:val="lowerRoman"/>
      <w:lvlText w:val="%3."/>
      <w:lvlJc w:val="right"/>
      <w:pPr>
        <w:ind w:left="2160" w:hanging="180"/>
      </w:pPr>
    </w:lvl>
    <w:lvl w:ilvl="3" w:tplc="3BF81E98" w:tentative="1">
      <w:start w:val="1"/>
      <w:numFmt w:val="decimal"/>
      <w:lvlText w:val="%4."/>
      <w:lvlJc w:val="left"/>
      <w:pPr>
        <w:ind w:left="2880" w:hanging="360"/>
      </w:pPr>
    </w:lvl>
    <w:lvl w:ilvl="4" w:tplc="FD80C8FE" w:tentative="1">
      <w:start w:val="1"/>
      <w:numFmt w:val="lowerLetter"/>
      <w:lvlText w:val="%5."/>
      <w:lvlJc w:val="left"/>
      <w:pPr>
        <w:ind w:left="3600" w:hanging="360"/>
      </w:pPr>
    </w:lvl>
    <w:lvl w:ilvl="5" w:tplc="3D24184C" w:tentative="1">
      <w:start w:val="1"/>
      <w:numFmt w:val="lowerRoman"/>
      <w:lvlText w:val="%6."/>
      <w:lvlJc w:val="right"/>
      <w:pPr>
        <w:ind w:left="4320" w:hanging="180"/>
      </w:pPr>
    </w:lvl>
    <w:lvl w:ilvl="6" w:tplc="8A288A86" w:tentative="1">
      <w:start w:val="1"/>
      <w:numFmt w:val="decimal"/>
      <w:lvlText w:val="%7."/>
      <w:lvlJc w:val="left"/>
      <w:pPr>
        <w:ind w:left="5040" w:hanging="360"/>
      </w:pPr>
    </w:lvl>
    <w:lvl w:ilvl="7" w:tplc="D6980B9C" w:tentative="1">
      <w:start w:val="1"/>
      <w:numFmt w:val="lowerLetter"/>
      <w:lvlText w:val="%8."/>
      <w:lvlJc w:val="left"/>
      <w:pPr>
        <w:ind w:left="5760" w:hanging="360"/>
      </w:pPr>
    </w:lvl>
    <w:lvl w:ilvl="8" w:tplc="DCD0C7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42B495D-3D6A-48F3-B140-EDC319B316E2}"/>
    <w:docVar w:name="dgnword-eventsink" w:val="993375568"/>
  </w:docVars>
  <w:rsids>
    <w:rsidRoot w:val="00214199"/>
    <w:rsid w:val="00026734"/>
    <w:rsid w:val="00040419"/>
    <w:rsid w:val="00044308"/>
    <w:rsid w:val="00060F42"/>
    <w:rsid w:val="000C5153"/>
    <w:rsid w:val="000F7F1F"/>
    <w:rsid w:val="00123F94"/>
    <w:rsid w:val="0013312E"/>
    <w:rsid w:val="0018345F"/>
    <w:rsid w:val="001B0BA2"/>
    <w:rsid w:val="00214199"/>
    <w:rsid w:val="0025088A"/>
    <w:rsid w:val="00285343"/>
    <w:rsid w:val="003428DA"/>
    <w:rsid w:val="003560BE"/>
    <w:rsid w:val="00371F1F"/>
    <w:rsid w:val="003B1F70"/>
    <w:rsid w:val="003B2422"/>
    <w:rsid w:val="0041734E"/>
    <w:rsid w:val="00417ACA"/>
    <w:rsid w:val="00424E18"/>
    <w:rsid w:val="00453B31"/>
    <w:rsid w:val="004A609B"/>
    <w:rsid w:val="004B172A"/>
    <w:rsid w:val="004D58F2"/>
    <w:rsid w:val="00511025"/>
    <w:rsid w:val="005574F2"/>
    <w:rsid w:val="00565405"/>
    <w:rsid w:val="00643871"/>
    <w:rsid w:val="00673070"/>
    <w:rsid w:val="006B1B7E"/>
    <w:rsid w:val="006B79FD"/>
    <w:rsid w:val="006C4E46"/>
    <w:rsid w:val="006D4285"/>
    <w:rsid w:val="00714C71"/>
    <w:rsid w:val="0077080E"/>
    <w:rsid w:val="007731EB"/>
    <w:rsid w:val="00775C70"/>
    <w:rsid w:val="00776919"/>
    <w:rsid w:val="0077798D"/>
    <w:rsid w:val="007D51A4"/>
    <w:rsid w:val="007F0F68"/>
    <w:rsid w:val="00810B37"/>
    <w:rsid w:val="00850B65"/>
    <w:rsid w:val="00855DD3"/>
    <w:rsid w:val="00892929"/>
    <w:rsid w:val="008A580A"/>
    <w:rsid w:val="00964B04"/>
    <w:rsid w:val="00964FAE"/>
    <w:rsid w:val="009D6798"/>
    <w:rsid w:val="009E4BB2"/>
    <w:rsid w:val="00A641AE"/>
    <w:rsid w:val="00A73BF1"/>
    <w:rsid w:val="00AA2BBA"/>
    <w:rsid w:val="00AE4401"/>
    <w:rsid w:val="00B0032D"/>
    <w:rsid w:val="00B304F1"/>
    <w:rsid w:val="00B351DB"/>
    <w:rsid w:val="00B82BCD"/>
    <w:rsid w:val="00B83688"/>
    <w:rsid w:val="00BC331F"/>
    <w:rsid w:val="00BD1545"/>
    <w:rsid w:val="00BF55DF"/>
    <w:rsid w:val="00C36B6B"/>
    <w:rsid w:val="00C759F6"/>
    <w:rsid w:val="00CA77EF"/>
    <w:rsid w:val="00D30259"/>
    <w:rsid w:val="00D952A8"/>
    <w:rsid w:val="00DA175E"/>
    <w:rsid w:val="00DB032C"/>
    <w:rsid w:val="00E9385A"/>
    <w:rsid w:val="00EE7FDD"/>
    <w:rsid w:val="00EF0CEB"/>
    <w:rsid w:val="00F2231A"/>
    <w:rsid w:val="00F440AF"/>
    <w:rsid w:val="00FA2A8E"/>
    <w:rsid w:val="00FA32E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D431"/>
  <w15:chartTrackingRefBased/>
  <w15:docId w15:val="{3F0AEBEB-D7A2-4586-8BDB-F196968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063"/>
  </w:style>
  <w:style w:type="paragraph" w:styleId="Footer">
    <w:name w:val="footer"/>
    <w:basedOn w:val="Normal"/>
    <w:link w:val="FooterChar"/>
    <w:uiPriority w:val="99"/>
    <w:unhideWhenUsed/>
    <w:rsid w:val="00A9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63"/>
  </w:style>
  <w:style w:type="paragraph" w:styleId="ListParagraph">
    <w:name w:val="List Paragraph"/>
    <w:basedOn w:val="Normal"/>
    <w:uiPriority w:val="34"/>
    <w:qFormat/>
    <w:rsid w:val="007F5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Bernardo, Amanda</dc:creator>
  <cp:lastModifiedBy>Leblanc, Isabelle</cp:lastModifiedBy>
  <cp:revision>2</cp:revision>
  <cp:lastPrinted>2019-01-07T16:04:00Z</cp:lastPrinted>
  <dcterms:created xsi:type="dcterms:W3CDTF">2019-04-16T15:58:00Z</dcterms:created>
  <dcterms:modified xsi:type="dcterms:W3CDTF">2019-04-16T15:58:00Z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CLASS">
    <vt:lpwstr>CLASSU</vt:lpwstr>
  </property>
  <property fmtid="{D5CDD505-2E9C-101B-9397-08002B2CF9AE}" pid="3" name="TitusGUID">
    <vt:lpwstr>5e303b2f-178c-428f-b0b6-966f78bc6297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