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E0B70" w14:textId="0B83A0E5" w:rsidR="002F651A" w:rsidRPr="00202DA2" w:rsidRDefault="3D7DF765" w:rsidP="469FE2CA">
      <w:pPr>
        <w:rPr>
          <w:rFonts w:asciiTheme="minorHAnsi" w:hAnsiTheme="minorHAnsi" w:cstheme="minorBidi"/>
          <w:b/>
          <w:bCs/>
          <w:sz w:val="36"/>
          <w:szCs w:val="36"/>
          <w:lang w:val="en-US" w:eastAsia="en-US"/>
        </w:rPr>
      </w:pPr>
      <w:r w:rsidRPr="469FE2CA">
        <w:rPr>
          <w:rFonts w:asciiTheme="minorHAnsi" w:hAnsiTheme="minorHAnsi" w:cstheme="minorBidi"/>
          <w:b/>
          <w:bCs/>
          <w:sz w:val="36"/>
          <w:szCs w:val="36"/>
          <w:lang w:val="en-US" w:eastAsia="en-US"/>
        </w:rPr>
        <w:t>A</w:t>
      </w:r>
      <w:r w:rsidR="3FECA37D" w:rsidRPr="469FE2CA">
        <w:rPr>
          <w:rFonts w:asciiTheme="minorHAnsi" w:hAnsiTheme="minorHAnsi" w:cstheme="minorBidi"/>
          <w:b/>
          <w:bCs/>
          <w:sz w:val="36"/>
          <w:szCs w:val="36"/>
          <w:lang w:val="en-US" w:eastAsia="en-US"/>
        </w:rPr>
        <w:t>NNEX</w:t>
      </w:r>
      <w:r w:rsidRPr="469FE2CA">
        <w:rPr>
          <w:rFonts w:asciiTheme="minorHAnsi" w:hAnsiTheme="minorHAnsi" w:cstheme="minorBidi"/>
          <w:b/>
          <w:bCs/>
          <w:sz w:val="36"/>
          <w:szCs w:val="36"/>
          <w:lang w:val="en-US" w:eastAsia="en-US"/>
        </w:rPr>
        <w:t xml:space="preserve"> A</w:t>
      </w:r>
      <w:r w:rsidR="75C8FBD9" w:rsidRPr="469FE2CA">
        <w:rPr>
          <w:rFonts w:asciiTheme="minorHAnsi" w:hAnsiTheme="minorHAnsi" w:cstheme="minorBidi"/>
          <w:b/>
          <w:bCs/>
          <w:sz w:val="36"/>
          <w:szCs w:val="36"/>
          <w:lang w:val="en-US" w:eastAsia="en-US"/>
        </w:rPr>
        <w:t xml:space="preserve">: </w:t>
      </w:r>
      <w:r w:rsidR="4CC2B246" w:rsidRPr="469FE2CA">
        <w:rPr>
          <w:rFonts w:asciiTheme="minorHAnsi" w:hAnsiTheme="minorHAnsi" w:cstheme="minorBidi"/>
          <w:b/>
          <w:bCs/>
          <w:sz w:val="36"/>
          <w:szCs w:val="36"/>
          <w:lang w:val="en-US" w:eastAsia="en-US"/>
        </w:rPr>
        <w:t xml:space="preserve">Content </w:t>
      </w:r>
      <w:r w:rsidRPr="469FE2CA">
        <w:rPr>
          <w:rFonts w:asciiTheme="minorHAnsi" w:hAnsiTheme="minorHAnsi" w:cstheme="minorBidi"/>
          <w:b/>
          <w:bCs/>
          <w:sz w:val="36"/>
          <w:szCs w:val="36"/>
          <w:lang w:val="en-US" w:eastAsia="en-US"/>
        </w:rPr>
        <w:t xml:space="preserve">Requirements for </w:t>
      </w:r>
      <w:r w:rsidR="3DAE8410" w:rsidRPr="469FE2CA">
        <w:rPr>
          <w:rFonts w:asciiTheme="minorHAnsi" w:hAnsiTheme="minorHAnsi" w:cstheme="minorBidi"/>
          <w:b/>
          <w:bCs/>
          <w:sz w:val="36"/>
          <w:szCs w:val="36"/>
          <w:lang w:val="en-US" w:eastAsia="en-US"/>
        </w:rPr>
        <w:t>2024</w:t>
      </w:r>
      <w:r w:rsidR="00661438">
        <w:rPr>
          <w:rFonts w:asciiTheme="minorHAnsi" w:hAnsiTheme="minorHAnsi" w:cstheme="minorBidi"/>
          <w:b/>
          <w:bCs/>
          <w:sz w:val="36"/>
          <w:szCs w:val="36"/>
          <w:lang w:val="en-US" w:eastAsia="en-US"/>
        </w:rPr>
        <w:t>–</w:t>
      </w:r>
      <w:r w:rsidR="3DAE8410" w:rsidRPr="469FE2CA">
        <w:rPr>
          <w:rFonts w:asciiTheme="minorHAnsi" w:hAnsiTheme="minorHAnsi" w:cstheme="minorBidi"/>
          <w:b/>
          <w:bCs/>
          <w:sz w:val="36"/>
          <w:szCs w:val="36"/>
          <w:lang w:val="en-US" w:eastAsia="en-US"/>
        </w:rPr>
        <w:t>2025</w:t>
      </w:r>
      <w:r w:rsidR="299A6E58" w:rsidRPr="469FE2CA">
        <w:rPr>
          <w:rFonts w:asciiTheme="minorHAnsi" w:hAnsiTheme="minorHAnsi" w:cstheme="minorBidi"/>
          <w:b/>
          <w:bCs/>
          <w:sz w:val="36"/>
          <w:szCs w:val="36"/>
          <w:lang w:val="en-US" w:eastAsia="en-US"/>
        </w:rPr>
        <w:t xml:space="preserve"> </w:t>
      </w:r>
      <w:r w:rsidRPr="469FE2CA">
        <w:rPr>
          <w:rFonts w:asciiTheme="minorHAnsi" w:hAnsiTheme="minorHAnsi" w:cstheme="minorBidi"/>
          <w:b/>
          <w:bCs/>
          <w:sz w:val="36"/>
          <w:szCs w:val="36"/>
          <w:lang w:val="en-US" w:eastAsia="en-US"/>
        </w:rPr>
        <w:t>Annual Report</w:t>
      </w:r>
      <w:r w:rsidR="7616B74E" w:rsidRPr="469FE2CA">
        <w:rPr>
          <w:rFonts w:asciiTheme="minorHAnsi" w:hAnsiTheme="minorHAnsi" w:cstheme="minorBidi"/>
          <w:b/>
          <w:bCs/>
          <w:sz w:val="36"/>
          <w:szCs w:val="36"/>
          <w:lang w:val="en-US" w:eastAsia="en-US"/>
        </w:rPr>
        <w:t>s</w:t>
      </w:r>
    </w:p>
    <w:p w14:paraId="5552B459" w14:textId="7485C9F4" w:rsidR="0D3E1EDC" w:rsidRPr="00202DA2" w:rsidRDefault="0D3E1EDC" w:rsidP="0D3E1EDC">
      <w:pPr>
        <w:rPr>
          <w:rFonts w:asciiTheme="minorHAnsi" w:hAnsiTheme="minorHAnsi" w:cstheme="minorHAnsi"/>
          <w:b/>
          <w:bCs/>
          <w:lang w:val="en-US" w:eastAsia="en-US"/>
        </w:rPr>
      </w:pPr>
    </w:p>
    <w:p w14:paraId="271E0B72" w14:textId="3BD44B5B" w:rsidR="00904EC8" w:rsidRPr="00202DA2" w:rsidRDefault="7616B74E" w:rsidP="469FE2CA">
      <w:pPr>
        <w:autoSpaceDE w:val="0"/>
        <w:autoSpaceDN w:val="0"/>
        <w:adjustRightInd w:val="0"/>
        <w:rPr>
          <w:rFonts w:asciiTheme="minorHAnsi" w:hAnsiTheme="minorHAnsi" w:cstheme="minorBidi"/>
          <w:b/>
          <w:bCs/>
          <w:lang w:val="en-US" w:eastAsia="en-US"/>
        </w:rPr>
      </w:pPr>
      <w:r w:rsidRPr="469FE2CA">
        <w:rPr>
          <w:rFonts w:asciiTheme="minorHAnsi" w:hAnsiTheme="minorHAnsi" w:cstheme="minorBidi"/>
          <w:b/>
          <w:bCs/>
          <w:lang w:val="en-US" w:eastAsia="en-US"/>
        </w:rPr>
        <w:t xml:space="preserve">Section A: Annual Report on the </w:t>
      </w:r>
      <w:r w:rsidRPr="469FE2CA">
        <w:rPr>
          <w:rFonts w:asciiTheme="minorHAnsi" w:hAnsiTheme="minorHAnsi" w:cstheme="minorBidi"/>
          <w:b/>
          <w:bCs/>
          <w:i/>
          <w:iCs/>
          <w:lang w:val="en-US" w:eastAsia="en-US"/>
        </w:rPr>
        <w:t>Access to Information Act</w:t>
      </w:r>
      <w:r w:rsidR="299A6E58" w:rsidRPr="469FE2CA">
        <w:rPr>
          <w:rFonts w:asciiTheme="minorHAnsi" w:hAnsiTheme="minorHAnsi" w:cstheme="minorBidi"/>
          <w:b/>
          <w:bCs/>
          <w:lang w:val="en-US" w:eastAsia="en-US"/>
        </w:rPr>
        <w:t>,</w:t>
      </w:r>
      <w:r w:rsidR="299A6E58" w:rsidRPr="469FE2CA">
        <w:rPr>
          <w:rFonts w:asciiTheme="minorHAnsi" w:hAnsiTheme="minorHAnsi" w:cstheme="minorBidi"/>
          <w:b/>
          <w:bCs/>
          <w:i/>
          <w:iCs/>
          <w:lang w:val="en-US" w:eastAsia="en-US"/>
        </w:rPr>
        <w:t xml:space="preserve"> </w:t>
      </w:r>
      <w:r w:rsidR="3DAE8410" w:rsidRPr="469FE2CA">
        <w:rPr>
          <w:rFonts w:asciiTheme="minorHAnsi" w:hAnsiTheme="minorHAnsi" w:cstheme="minorBidi"/>
          <w:b/>
          <w:bCs/>
          <w:lang w:val="en-US" w:eastAsia="en-US"/>
        </w:rPr>
        <w:t>2024</w:t>
      </w:r>
      <w:r w:rsidR="00661438">
        <w:rPr>
          <w:rFonts w:asciiTheme="minorHAnsi" w:hAnsiTheme="minorHAnsi" w:cstheme="minorBidi"/>
          <w:b/>
          <w:bCs/>
          <w:lang w:val="en-US" w:eastAsia="en-US"/>
        </w:rPr>
        <w:t>–</w:t>
      </w:r>
      <w:r w:rsidR="3DAE8410" w:rsidRPr="469FE2CA">
        <w:rPr>
          <w:rFonts w:asciiTheme="minorHAnsi" w:hAnsiTheme="minorHAnsi" w:cstheme="minorBidi"/>
          <w:b/>
          <w:bCs/>
          <w:lang w:val="en-US" w:eastAsia="en-US"/>
        </w:rPr>
        <w:t>2025</w:t>
      </w:r>
    </w:p>
    <w:p w14:paraId="3D7184ED" w14:textId="2D85E213" w:rsidR="0D3E1EDC" w:rsidRPr="00202DA2" w:rsidRDefault="0D3E1EDC" w:rsidP="0D3E1EDC">
      <w:pPr>
        <w:rPr>
          <w:rFonts w:asciiTheme="minorHAnsi" w:hAnsiTheme="minorHAnsi" w:cstheme="minorHAnsi"/>
          <w:b/>
          <w:bCs/>
          <w:lang w:val="en-US" w:eastAsia="en-US"/>
        </w:rPr>
      </w:pPr>
    </w:p>
    <w:p w14:paraId="2D3FBFD2" w14:textId="25DB6C45" w:rsidR="005B14A9" w:rsidRPr="00202DA2" w:rsidRDefault="00F50230" w:rsidP="0D3E1EDC">
      <w:pPr>
        <w:autoSpaceDE w:val="0"/>
        <w:autoSpaceDN w:val="0"/>
        <w:adjustRightInd w:val="0"/>
        <w:rPr>
          <w:rFonts w:asciiTheme="minorHAnsi" w:hAnsiTheme="minorHAnsi" w:cstheme="minorHAnsi"/>
          <w:lang w:val="en-US" w:eastAsia="en-US"/>
        </w:rPr>
      </w:pPr>
      <w:r w:rsidRPr="00202DA2">
        <w:rPr>
          <w:rFonts w:asciiTheme="minorHAnsi" w:hAnsiTheme="minorHAnsi" w:cstheme="minorHAnsi"/>
          <w:lang w:val="en-US" w:eastAsia="en-US"/>
        </w:rPr>
        <w:t>T</w:t>
      </w:r>
      <w:r w:rsidR="005B14A9" w:rsidRPr="00202DA2">
        <w:rPr>
          <w:rFonts w:asciiTheme="minorHAnsi" w:hAnsiTheme="minorHAnsi" w:cstheme="minorHAnsi"/>
          <w:lang w:val="en-US" w:eastAsia="en-US"/>
        </w:rPr>
        <w:t xml:space="preserve">he </w:t>
      </w:r>
      <w:r w:rsidR="00863892" w:rsidRPr="00202DA2">
        <w:rPr>
          <w:rFonts w:asciiTheme="minorHAnsi" w:hAnsiTheme="minorHAnsi" w:cstheme="minorHAnsi"/>
          <w:lang w:val="en-US" w:eastAsia="en-US"/>
        </w:rPr>
        <w:t xml:space="preserve">content set out below </w:t>
      </w:r>
      <w:r w:rsidR="00907BF5" w:rsidRPr="00202DA2">
        <w:rPr>
          <w:rFonts w:asciiTheme="minorHAnsi" w:hAnsiTheme="minorHAnsi" w:cstheme="minorHAnsi"/>
          <w:lang w:val="en-US" w:eastAsia="en-US"/>
        </w:rPr>
        <w:t>must be included</w:t>
      </w:r>
      <w:r w:rsidR="002F651A" w:rsidRPr="00202DA2">
        <w:rPr>
          <w:rFonts w:asciiTheme="minorHAnsi" w:hAnsiTheme="minorHAnsi" w:cstheme="minorHAnsi"/>
          <w:lang w:val="en-US" w:eastAsia="en-US"/>
        </w:rPr>
        <w:t xml:space="preserve"> in </w:t>
      </w:r>
      <w:r w:rsidR="002A76A7" w:rsidRPr="00202DA2">
        <w:rPr>
          <w:rFonts w:asciiTheme="minorHAnsi" w:hAnsiTheme="minorHAnsi" w:cstheme="minorHAnsi"/>
          <w:lang w:val="en-US" w:eastAsia="en-US"/>
        </w:rPr>
        <w:t>the</w:t>
      </w:r>
      <w:r w:rsidR="00297AE5" w:rsidRPr="00202DA2">
        <w:rPr>
          <w:rFonts w:asciiTheme="minorHAnsi" w:hAnsiTheme="minorHAnsi" w:cstheme="minorHAnsi"/>
          <w:lang w:val="en-US" w:eastAsia="en-US"/>
        </w:rPr>
        <w:t xml:space="preserve"> </w:t>
      </w:r>
      <w:r w:rsidR="005B14A9" w:rsidRPr="00202DA2">
        <w:rPr>
          <w:rFonts w:asciiTheme="minorHAnsi" w:hAnsiTheme="minorHAnsi" w:cstheme="minorHAnsi"/>
          <w:lang w:val="en-US" w:eastAsia="en-US"/>
        </w:rPr>
        <w:t>A</w:t>
      </w:r>
      <w:r w:rsidR="002F651A" w:rsidRPr="00202DA2">
        <w:rPr>
          <w:rFonts w:asciiTheme="minorHAnsi" w:hAnsiTheme="minorHAnsi" w:cstheme="minorHAnsi"/>
          <w:lang w:val="en-US" w:eastAsia="en-US"/>
        </w:rPr>
        <w:t xml:space="preserve">nnual </w:t>
      </w:r>
      <w:r w:rsidR="005B14A9" w:rsidRPr="00202DA2">
        <w:rPr>
          <w:rFonts w:asciiTheme="minorHAnsi" w:hAnsiTheme="minorHAnsi" w:cstheme="minorHAnsi"/>
          <w:lang w:val="en-US" w:eastAsia="en-US"/>
        </w:rPr>
        <w:t>R</w:t>
      </w:r>
      <w:r w:rsidR="00297AE5" w:rsidRPr="00202DA2">
        <w:rPr>
          <w:rFonts w:asciiTheme="minorHAnsi" w:hAnsiTheme="minorHAnsi" w:cstheme="minorHAnsi"/>
          <w:lang w:val="en-US" w:eastAsia="en-US"/>
        </w:rPr>
        <w:t>eport</w:t>
      </w:r>
      <w:r w:rsidR="005B14A9" w:rsidRPr="00202DA2">
        <w:rPr>
          <w:rFonts w:asciiTheme="minorHAnsi" w:hAnsiTheme="minorHAnsi" w:cstheme="minorHAnsi"/>
          <w:lang w:val="en-US" w:eastAsia="en-US"/>
        </w:rPr>
        <w:t xml:space="preserve"> on the </w:t>
      </w:r>
      <w:hyperlink r:id="rId12" w:history="1">
        <w:r w:rsidR="005B14A9" w:rsidRPr="0069665E">
          <w:rPr>
            <w:rStyle w:val="Hyperlink"/>
            <w:rFonts w:asciiTheme="minorHAnsi" w:hAnsiTheme="minorHAnsi" w:cstheme="minorHAnsi"/>
            <w:i/>
            <w:iCs/>
            <w:lang w:val="en-US" w:eastAsia="en-US"/>
          </w:rPr>
          <w:t>Access to Information Act</w:t>
        </w:r>
      </w:hyperlink>
      <w:r w:rsidR="002F651A" w:rsidRPr="00202DA2">
        <w:rPr>
          <w:rFonts w:asciiTheme="minorHAnsi" w:hAnsiTheme="minorHAnsi" w:cstheme="minorHAnsi"/>
          <w:lang w:val="en-US" w:eastAsia="en-US"/>
        </w:rPr>
        <w:t xml:space="preserve">. </w:t>
      </w:r>
      <w:r w:rsidR="00863892" w:rsidRPr="00202DA2">
        <w:rPr>
          <w:rFonts w:asciiTheme="minorHAnsi" w:hAnsiTheme="minorHAnsi" w:cstheme="minorHAnsi"/>
          <w:lang w:eastAsia="en-US"/>
        </w:rPr>
        <w:t xml:space="preserve">Institutions may also choose to </w:t>
      </w:r>
      <w:r w:rsidR="00863892" w:rsidRPr="00202DA2">
        <w:rPr>
          <w:rFonts w:asciiTheme="minorHAnsi" w:hAnsiTheme="minorHAnsi" w:cstheme="minorHAnsi"/>
          <w:lang w:val="en" w:eastAsia="en-US"/>
        </w:rPr>
        <w:t xml:space="preserve">include additional information to reflect their </w:t>
      </w:r>
      <w:r w:rsidR="00943EB2" w:rsidRPr="00202DA2">
        <w:rPr>
          <w:rFonts w:asciiTheme="minorHAnsi" w:hAnsiTheme="minorHAnsi" w:cstheme="minorHAnsi"/>
          <w:lang w:val="en" w:eastAsia="en-US"/>
        </w:rPr>
        <w:t>successes</w:t>
      </w:r>
      <w:r w:rsidR="00863892" w:rsidRPr="00202DA2">
        <w:rPr>
          <w:rFonts w:asciiTheme="minorHAnsi" w:hAnsiTheme="minorHAnsi" w:cstheme="minorHAnsi"/>
          <w:lang w:val="en" w:eastAsia="en-US"/>
        </w:rPr>
        <w:t xml:space="preserve"> and challenges.</w:t>
      </w:r>
    </w:p>
    <w:p w14:paraId="78CD1D9C" w14:textId="69C1291B" w:rsidR="0D3E1EDC" w:rsidRPr="00202DA2" w:rsidRDefault="0D3E1EDC" w:rsidP="0D3E1EDC">
      <w:pPr>
        <w:rPr>
          <w:rFonts w:asciiTheme="minorHAnsi" w:hAnsiTheme="minorHAnsi" w:cstheme="minorHAnsi"/>
          <w:lang w:val="en" w:eastAsia="en-US"/>
        </w:rPr>
      </w:pPr>
    </w:p>
    <w:p w14:paraId="5A8D91B9" w14:textId="265C5B24" w:rsidR="003C3E41" w:rsidRPr="00202DA2" w:rsidRDefault="003C3E41" w:rsidP="0D3E1EDC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202DA2">
        <w:rPr>
          <w:rFonts w:asciiTheme="minorHAnsi" w:hAnsiTheme="minorHAnsi" w:cstheme="minorHAnsi"/>
          <w:lang w:eastAsia="en-US"/>
        </w:rPr>
        <w:t xml:space="preserve">While institutions must </w:t>
      </w:r>
      <w:r w:rsidR="00863892" w:rsidRPr="00202DA2">
        <w:rPr>
          <w:rFonts w:asciiTheme="minorHAnsi" w:hAnsiTheme="minorHAnsi" w:cstheme="minorHAnsi"/>
          <w:lang w:eastAsia="en-US"/>
        </w:rPr>
        <w:t xml:space="preserve">include </w:t>
      </w:r>
      <w:r w:rsidRPr="00202DA2">
        <w:rPr>
          <w:rFonts w:asciiTheme="minorHAnsi" w:hAnsiTheme="minorHAnsi" w:cstheme="minorHAnsi"/>
          <w:lang w:eastAsia="en-US"/>
        </w:rPr>
        <w:t>th</w:t>
      </w:r>
      <w:r w:rsidR="00863892" w:rsidRPr="00202DA2">
        <w:rPr>
          <w:rFonts w:asciiTheme="minorHAnsi" w:hAnsiTheme="minorHAnsi" w:cstheme="minorHAnsi"/>
          <w:lang w:eastAsia="en-US"/>
        </w:rPr>
        <w:t>e</w:t>
      </w:r>
      <w:r w:rsidRPr="00202DA2">
        <w:rPr>
          <w:rFonts w:asciiTheme="minorHAnsi" w:hAnsiTheme="minorHAnsi" w:cstheme="minorHAnsi"/>
          <w:lang w:eastAsia="en-US"/>
        </w:rPr>
        <w:t xml:space="preserve"> required content in the Report, the</w:t>
      </w:r>
      <w:r w:rsidR="00863892" w:rsidRPr="00202DA2">
        <w:rPr>
          <w:rFonts w:asciiTheme="minorHAnsi" w:hAnsiTheme="minorHAnsi" w:cstheme="minorHAnsi"/>
          <w:lang w:eastAsia="en-US"/>
        </w:rPr>
        <w:t xml:space="preserve"> l</w:t>
      </w:r>
      <w:r w:rsidRPr="00202DA2">
        <w:rPr>
          <w:rFonts w:asciiTheme="minorHAnsi" w:hAnsiTheme="minorHAnsi" w:cstheme="minorHAnsi"/>
          <w:lang w:eastAsia="en-US"/>
        </w:rPr>
        <w:t>ayout</w:t>
      </w:r>
      <w:r w:rsidR="00863892" w:rsidRPr="00202DA2">
        <w:rPr>
          <w:rFonts w:asciiTheme="minorHAnsi" w:hAnsiTheme="minorHAnsi" w:cstheme="minorHAnsi"/>
          <w:lang w:eastAsia="en-US"/>
        </w:rPr>
        <w:t xml:space="preserve"> and s</w:t>
      </w:r>
      <w:r w:rsidR="00826D34" w:rsidRPr="00202DA2">
        <w:rPr>
          <w:rFonts w:asciiTheme="minorHAnsi" w:hAnsiTheme="minorHAnsi" w:cstheme="minorHAnsi"/>
          <w:lang w:eastAsia="en-US"/>
        </w:rPr>
        <w:t>tructure</w:t>
      </w:r>
      <w:r w:rsidRPr="00202DA2">
        <w:rPr>
          <w:rFonts w:asciiTheme="minorHAnsi" w:hAnsiTheme="minorHAnsi" w:cstheme="minorHAnsi"/>
          <w:lang w:eastAsia="en-US"/>
        </w:rPr>
        <w:t xml:space="preserve"> of the Report remain at the discretion of the institution.</w:t>
      </w:r>
    </w:p>
    <w:p w14:paraId="6B7F5AE9" w14:textId="431685A3" w:rsidR="0D3E1EDC" w:rsidRDefault="0D3E1EDC" w:rsidP="0D3E1EDC">
      <w:pPr>
        <w:rPr>
          <w:rFonts w:asciiTheme="minorHAnsi" w:hAnsiTheme="minorHAnsi" w:cstheme="minorHAnsi"/>
          <w:b/>
          <w:bCs/>
          <w:lang w:val="en-US" w:eastAsia="en-US"/>
        </w:rPr>
      </w:pPr>
    </w:p>
    <w:p w14:paraId="5D541B82" w14:textId="77777777" w:rsidR="00F402C9" w:rsidRPr="00202DA2" w:rsidRDefault="00F402C9" w:rsidP="0D3E1EDC">
      <w:pPr>
        <w:rPr>
          <w:rFonts w:asciiTheme="minorHAnsi" w:hAnsiTheme="minorHAnsi" w:cstheme="minorHAnsi"/>
          <w:b/>
          <w:bCs/>
          <w:lang w:val="en-US" w:eastAsia="en-US"/>
        </w:rPr>
      </w:pPr>
    </w:p>
    <w:p w14:paraId="30411052" w14:textId="2759B975" w:rsidR="002203E4" w:rsidRPr="00202DA2" w:rsidRDefault="005B14A9" w:rsidP="0D3E1ED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-US" w:eastAsia="en-US"/>
        </w:rPr>
      </w:pPr>
      <w:r w:rsidRPr="00202DA2">
        <w:rPr>
          <w:rFonts w:asciiTheme="minorHAnsi" w:hAnsiTheme="minorHAnsi" w:cstheme="minorHAnsi"/>
          <w:b/>
          <w:bCs/>
          <w:lang w:val="en-US" w:eastAsia="en-US"/>
        </w:rPr>
        <w:t>A</w:t>
      </w:r>
      <w:r w:rsidR="002F651A" w:rsidRPr="00202DA2">
        <w:rPr>
          <w:rFonts w:asciiTheme="minorHAnsi" w:hAnsiTheme="minorHAnsi" w:cstheme="minorHAnsi"/>
          <w:b/>
          <w:bCs/>
          <w:lang w:val="en-US" w:eastAsia="en-US"/>
        </w:rPr>
        <w:t>1. Introduction</w:t>
      </w:r>
    </w:p>
    <w:p w14:paraId="271E0B76" w14:textId="49C11273" w:rsidR="002F651A" w:rsidRPr="00202DA2" w:rsidRDefault="00623893" w:rsidP="0D3E1EDC">
      <w:pPr>
        <w:autoSpaceDE w:val="0"/>
        <w:autoSpaceDN w:val="0"/>
        <w:adjustRightInd w:val="0"/>
        <w:rPr>
          <w:rFonts w:asciiTheme="minorHAnsi" w:hAnsiTheme="minorHAnsi" w:cstheme="minorHAnsi"/>
          <w:lang w:val="en-US" w:eastAsia="en-US"/>
        </w:rPr>
      </w:pPr>
      <w:r w:rsidRPr="00202DA2">
        <w:rPr>
          <w:rFonts w:asciiTheme="minorHAnsi" w:hAnsiTheme="minorHAnsi" w:cstheme="minorHAnsi"/>
          <w:lang w:val="en-US" w:eastAsia="en-US"/>
        </w:rPr>
        <w:t>I</w:t>
      </w:r>
      <w:r w:rsidR="005B14A9" w:rsidRPr="00202DA2">
        <w:rPr>
          <w:rFonts w:asciiTheme="minorHAnsi" w:hAnsiTheme="minorHAnsi" w:cstheme="minorHAnsi"/>
          <w:lang w:val="en-US" w:eastAsia="en-US"/>
        </w:rPr>
        <w:t xml:space="preserve">nclude: </w:t>
      </w:r>
      <w:r w:rsidR="00150BA4" w:rsidRPr="00202DA2">
        <w:rPr>
          <w:rFonts w:asciiTheme="minorHAnsi" w:hAnsiTheme="minorHAnsi" w:cstheme="minorHAnsi"/>
          <w:lang w:val="en-US" w:eastAsia="en-US"/>
        </w:rPr>
        <w:t xml:space="preserve"> </w:t>
      </w:r>
    </w:p>
    <w:p w14:paraId="271E0B77" w14:textId="3E0F2918" w:rsidR="00D62922" w:rsidRPr="00202DA2" w:rsidRDefault="00024092" w:rsidP="00B14D0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60" w:line="240" w:lineRule="auto"/>
        <w:ind w:left="360"/>
        <w:rPr>
          <w:rFonts w:cstheme="minorHAnsi"/>
          <w:sz w:val="24"/>
          <w:szCs w:val="24"/>
          <w:lang w:val="en-US"/>
        </w:rPr>
      </w:pPr>
      <w:r w:rsidRPr="00202DA2">
        <w:rPr>
          <w:rFonts w:cstheme="minorHAnsi"/>
          <w:sz w:val="24"/>
          <w:szCs w:val="24"/>
          <w:lang w:val="en-US"/>
        </w:rPr>
        <w:t xml:space="preserve">A </w:t>
      </w:r>
      <w:r w:rsidR="002F651A" w:rsidRPr="00202DA2">
        <w:rPr>
          <w:rFonts w:cstheme="minorHAnsi"/>
          <w:sz w:val="24"/>
          <w:szCs w:val="24"/>
          <w:lang w:val="en-US"/>
        </w:rPr>
        <w:t xml:space="preserve">brief summary of the purpose of the </w:t>
      </w:r>
      <w:r w:rsidR="002F651A" w:rsidRPr="00202DA2">
        <w:rPr>
          <w:rFonts w:cstheme="minorHAnsi"/>
          <w:i/>
          <w:iCs/>
          <w:sz w:val="24"/>
          <w:szCs w:val="24"/>
          <w:lang w:val="en-US"/>
        </w:rPr>
        <w:t xml:space="preserve">Access to Information Act </w:t>
      </w:r>
    </w:p>
    <w:p w14:paraId="00FB3E60" w14:textId="77777777" w:rsidR="008F656E" w:rsidRPr="00202DA2" w:rsidRDefault="00024092" w:rsidP="00B14D0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60" w:line="240" w:lineRule="auto"/>
        <w:ind w:left="360"/>
        <w:rPr>
          <w:rFonts w:cstheme="minorHAnsi"/>
          <w:sz w:val="24"/>
          <w:szCs w:val="24"/>
          <w:lang w:val="en-US"/>
        </w:rPr>
      </w:pPr>
      <w:r w:rsidRPr="00202DA2">
        <w:rPr>
          <w:rFonts w:cstheme="minorHAnsi"/>
          <w:sz w:val="24"/>
          <w:szCs w:val="24"/>
          <w:lang w:val="en-US"/>
        </w:rPr>
        <w:t>A</w:t>
      </w:r>
      <w:r w:rsidR="00AC2636" w:rsidRPr="00202DA2">
        <w:rPr>
          <w:rFonts w:cstheme="minorHAnsi"/>
          <w:sz w:val="24"/>
          <w:szCs w:val="24"/>
          <w:lang w:val="en-US"/>
        </w:rPr>
        <w:t xml:space="preserve"> statement that</w:t>
      </w:r>
      <w:r w:rsidR="00AC2636" w:rsidRPr="00202DA2">
        <w:rPr>
          <w:rFonts w:cstheme="minorHAnsi"/>
          <w:i/>
          <w:iCs/>
          <w:sz w:val="24"/>
          <w:szCs w:val="24"/>
          <w:lang w:val="en-US"/>
        </w:rPr>
        <w:t xml:space="preserve"> </w:t>
      </w:r>
      <w:r w:rsidR="00AC2636" w:rsidRPr="00202DA2">
        <w:rPr>
          <w:rFonts w:cstheme="minorHAnsi"/>
          <w:sz w:val="24"/>
          <w:szCs w:val="24"/>
          <w:lang w:val="en-US"/>
        </w:rPr>
        <w:t xml:space="preserve">the </w:t>
      </w:r>
      <w:r w:rsidR="005B14A9" w:rsidRPr="00202DA2">
        <w:rPr>
          <w:rFonts w:cstheme="minorHAnsi"/>
          <w:sz w:val="24"/>
          <w:szCs w:val="24"/>
          <w:lang w:val="en-US"/>
        </w:rPr>
        <w:t>A</w:t>
      </w:r>
      <w:r w:rsidR="00AC2636" w:rsidRPr="00202DA2">
        <w:rPr>
          <w:rFonts w:cstheme="minorHAnsi"/>
          <w:sz w:val="24"/>
          <w:szCs w:val="24"/>
          <w:lang w:val="en-US"/>
        </w:rPr>
        <w:t xml:space="preserve">nnual </w:t>
      </w:r>
      <w:r w:rsidR="005B14A9" w:rsidRPr="00202DA2">
        <w:rPr>
          <w:rFonts w:cstheme="minorHAnsi"/>
          <w:sz w:val="24"/>
          <w:szCs w:val="24"/>
          <w:lang w:val="en-US"/>
        </w:rPr>
        <w:t>R</w:t>
      </w:r>
      <w:r w:rsidR="00AC2636" w:rsidRPr="00202DA2">
        <w:rPr>
          <w:rFonts w:cstheme="minorHAnsi"/>
          <w:sz w:val="24"/>
          <w:szCs w:val="24"/>
          <w:lang w:val="en-US"/>
        </w:rPr>
        <w:t xml:space="preserve">eport is prepared and </w:t>
      </w:r>
      <w:r w:rsidR="008A76E4" w:rsidRPr="00202DA2">
        <w:rPr>
          <w:rFonts w:cstheme="minorHAnsi"/>
          <w:sz w:val="24"/>
          <w:szCs w:val="24"/>
          <w:lang w:val="en-US"/>
        </w:rPr>
        <w:t>tabled in Parliamen</w:t>
      </w:r>
      <w:r w:rsidR="00863892" w:rsidRPr="00202DA2">
        <w:rPr>
          <w:rFonts w:cstheme="minorHAnsi"/>
          <w:sz w:val="24"/>
          <w:szCs w:val="24"/>
          <w:lang w:val="en-US"/>
        </w:rPr>
        <w:t xml:space="preserve">t in accordance with section </w:t>
      </w:r>
      <w:r w:rsidR="005F3C82" w:rsidRPr="00202DA2">
        <w:rPr>
          <w:rFonts w:cstheme="minorHAnsi"/>
          <w:sz w:val="24"/>
          <w:szCs w:val="24"/>
          <w:lang w:val="en-US"/>
        </w:rPr>
        <w:t>94</w:t>
      </w:r>
      <w:r w:rsidR="00863892" w:rsidRPr="00202DA2">
        <w:rPr>
          <w:rFonts w:cstheme="minorHAnsi"/>
          <w:sz w:val="24"/>
          <w:szCs w:val="24"/>
          <w:lang w:val="en-US"/>
        </w:rPr>
        <w:t xml:space="preserve"> of the </w:t>
      </w:r>
      <w:r w:rsidR="00863892" w:rsidRPr="00202DA2">
        <w:rPr>
          <w:rFonts w:cstheme="minorHAnsi"/>
          <w:i/>
          <w:iCs/>
          <w:sz w:val="24"/>
          <w:szCs w:val="24"/>
          <w:lang w:val="en-US"/>
        </w:rPr>
        <w:t>Access to Information Act</w:t>
      </w:r>
    </w:p>
    <w:p w14:paraId="7ADFAD02" w14:textId="61178DAF" w:rsidR="00B2797C" w:rsidRPr="00202DA2" w:rsidRDefault="00742FA4" w:rsidP="00B14D0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60" w:line="240" w:lineRule="auto"/>
        <w:ind w:left="360"/>
        <w:rPr>
          <w:rFonts w:cstheme="minorHAnsi"/>
          <w:sz w:val="24"/>
          <w:szCs w:val="24"/>
          <w:lang w:val="en-US"/>
        </w:rPr>
      </w:pPr>
      <w:r w:rsidRPr="00202DA2">
        <w:rPr>
          <w:rFonts w:cstheme="minorHAnsi"/>
          <w:sz w:val="24"/>
          <w:szCs w:val="24"/>
          <w:lang w:val="en-US"/>
        </w:rPr>
        <w:t>The mandate of the institution</w:t>
      </w:r>
      <w:r w:rsidR="00170419" w:rsidRPr="00202DA2">
        <w:rPr>
          <w:rFonts w:cstheme="minorHAnsi"/>
          <w:sz w:val="24"/>
          <w:szCs w:val="24"/>
          <w:lang w:val="en-US"/>
        </w:rPr>
        <w:t xml:space="preserve"> </w:t>
      </w:r>
    </w:p>
    <w:p w14:paraId="4EF6330C" w14:textId="4562E726" w:rsidR="00E06963" w:rsidRPr="00202DA2" w:rsidRDefault="00E6A9B3" w:rsidP="00B14D0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60" w:line="240" w:lineRule="auto"/>
        <w:ind w:left="360"/>
        <w:rPr>
          <w:sz w:val="24"/>
          <w:szCs w:val="24"/>
          <w:lang w:val="en-US"/>
        </w:rPr>
      </w:pPr>
      <w:bookmarkStart w:id="0" w:name="_Hlk100670494"/>
      <w:r w:rsidRPr="469FE2CA">
        <w:rPr>
          <w:sz w:val="24"/>
          <w:szCs w:val="24"/>
          <w:lang w:val="en-US"/>
        </w:rPr>
        <w:t>If th</w:t>
      </w:r>
      <w:r w:rsidR="72BA844B" w:rsidRPr="469FE2CA">
        <w:rPr>
          <w:sz w:val="24"/>
          <w:szCs w:val="24"/>
          <w:lang w:val="en-US"/>
        </w:rPr>
        <w:t>is Annual Report is</w:t>
      </w:r>
      <w:r w:rsidRPr="469FE2CA">
        <w:rPr>
          <w:sz w:val="24"/>
          <w:szCs w:val="24"/>
          <w:lang w:val="en-US"/>
        </w:rPr>
        <w:t xml:space="preserve"> also </w:t>
      </w:r>
      <w:r w:rsidR="72BA844B" w:rsidRPr="469FE2CA">
        <w:rPr>
          <w:sz w:val="24"/>
          <w:szCs w:val="24"/>
          <w:lang w:val="en-US"/>
        </w:rPr>
        <w:t xml:space="preserve">intended to </w:t>
      </w:r>
      <w:r w:rsidR="47DECC3D" w:rsidRPr="469FE2CA">
        <w:rPr>
          <w:sz w:val="24"/>
          <w:szCs w:val="24"/>
          <w:lang w:val="en-US"/>
        </w:rPr>
        <w:t>fulfill reporting requirements</w:t>
      </w:r>
      <w:r w:rsidR="72BA844B" w:rsidRPr="469FE2CA">
        <w:rPr>
          <w:sz w:val="24"/>
          <w:szCs w:val="24"/>
          <w:lang w:val="en-US"/>
        </w:rPr>
        <w:t xml:space="preserve"> for</w:t>
      </w:r>
      <w:r w:rsidR="4A1889F9" w:rsidRPr="469FE2CA">
        <w:rPr>
          <w:sz w:val="24"/>
          <w:szCs w:val="24"/>
          <w:lang w:val="en-US"/>
        </w:rPr>
        <w:t xml:space="preserve"> </w:t>
      </w:r>
      <w:r w:rsidR="47DECC3D" w:rsidRPr="469FE2CA">
        <w:rPr>
          <w:sz w:val="24"/>
          <w:szCs w:val="24"/>
          <w:lang w:val="en-US"/>
        </w:rPr>
        <w:t xml:space="preserve">any </w:t>
      </w:r>
      <w:r w:rsidR="72BA844B" w:rsidRPr="469FE2CA">
        <w:rPr>
          <w:sz w:val="24"/>
          <w:szCs w:val="24"/>
          <w:lang w:val="en-US"/>
        </w:rPr>
        <w:t>non-operational</w:t>
      </w:r>
      <w:r w:rsidR="288F6B17" w:rsidRPr="469FE2CA">
        <w:rPr>
          <w:sz w:val="24"/>
          <w:szCs w:val="24"/>
          <w:lang w:val="en-US"/>
        </w:rPr>
        <w:t xml:space="preserve"> </w:t>
      </w:r>
      <w:r w:rsidR="47DECC3D" w:rsidRPr="469FE2CA">
        <w:rPr>
          <w:sz w:val="24"/>
          <w:szCs w:val="24"/>
          <w:lang w:val="en-US"/>
        </w:rPr>
        <w:t xml:space="preserve">(“paper”) </w:t>
      </w:r>
      <w:r w:rsidR="288F6B17" w:rsidRPr="469FE2CA">
        <w:rPr>
          <w:sz w:val="24"/>
          <w:szCs w:val="24"/>
          <w:lang w:val="en-US"/>
        </w:rPr>
        <w:t>subsidiaries</w:t>
      </w:r>
      <w:r w:rsidR="72BA844B" w:rsidRPr="469FE2CA">
        <w:rPr>
          <w:sz w:val="24"/>
          <w:szCs w:val="24"/>
          <w:lang w:val="en-US"/>
        </w:rPr>
        <w:t xml:space="preserve"> of the institution</w:t>
      </w:r>
      <w:r w:rsidR="47DECC3D" w:rsidRPr="469FE2CA">
        <w:rPr>
          <w:sz w:val="24"/>
          <w:szCs w:val="24"/>
          <w:lang w:val="en-US"/>
        </w:rPr>
        <w:t xml:space="preserve">, </w:t>
      </w:r>
      <w:r w:rsidR="687E9A47" w:rsidRPr="469FE2CA">
        <w:rPr>
          <w:sz w:val="24"/>
          <w:szCs w:val="24"/>
          <w:lang w:val="en-US"/>
        </w:rPr>
        <w:t>or</w:t>
      </w:r>
      <w:r w:rsidR="72BA844B" w:rsidRPr="469FE2CA">
        <w:rPr>
          <w:sz w:val="24"/>
          <w:szCs w:val="24"/>
          <w:lang w:val="en-US"/>
        </w:rPr>
        <w:t xml:space="preserve"> </w:t>
      </w:r>
      <w:r w:rsidR="47DECC3D" w:rsidRPr="469FE2CA">
        <w:rPr>
          <w:sz w:val="24"/>
          <w:szCs w:val="24"/>
          <w:lang w:val="en-US"/>
        </w:rPr>
        <w:t xml:space="preserve">any </w:t>
      </w:r>
      <w:r w:rsidR="72BA844B" w:rsidRPr="469FE2CA">
        <w:rPr>
          <w:sz w:val="24"/>
          <w:szCs w:val="24"/>
          <w:lang w:val="en-US"/>
        </w:rPr>
        <w:t>other</w:t>
      </w:r>
      <w:r w:rsidR="687E9A47" w:rsidRPr="469FE2CA">
        <w:rPr>
          <w:sz w:val="24"/>
          <w:szCs w:val="24"/>
          <w:lang w:val="en-US"/>
        </w:rPr>
        <w:t xml:space="preserve"> non-operational institutions</w:t>
      </w:r>
      <w:r w:rsidR="47DECC3D" w:rsidRPr="469FE2CA">
        <w:rPr>
          <w:sz w:val="24"/>
          <w:szCs w:val="24"/>
          <w:lang w:val="en-US"/>
        </w:rPr>
        <w:t xml:space="preserve">, </w:t>
      </w:r>
      <w:r w:rsidR="4A1889F9" w:rsidRPr="469FE2CA">
        <w:rPr>
          <w:sz w:val="24"/>
          <w:szCs w:val="24"/>
          <w:lang w:val="en-US"/>
        </w:rPr>
        <w:t>a complete list of the titles of th</w:t>
      </w:r>
      <w:r w:rsidR="72BA844B" w:rsidRPr="469FE2CA">
        <w:rPr>
          <w:sz w:val="24"/>
          <w:szCs w:val="24"/>
          <w:lang w:val="en-US"/>
        </w:rPr>
        <w:t>e</w:t>
      </w:r>
      <w:r w:rsidR="47DECC3D" w:rsidRPr="469FE2CA">
        <w:rPr>
          <w:sz w:val="24"/>
          <w:szCs w:val="24"/>
          <w:lang w:val="en-US"/>
        </w:rPr>
        <w:t>se</w:t>
      </w:r>
      <w:r w:rsidR="72BA844B" w:rsidRPr="469FE2CA">
        <w:rPr>
          <w:sz w:val="24"/>
          <w:szCs w:val="24"/>
          <w:lang w:val="en-US"/>
        </w:rPr>
        <w:t xml:space="preserve"> non-operational</w:t>
      </w:r>
      <w:r w:rsidR="4A1889F9" w:rsidRPr="469FE2CA">
        <w:rPr>
          <w:sz w:val="24"/>
          <w:szCs w:val="24"/>
          <w:lang w:val="en-US"/>
        </w:rPr>
        <w:t xml:space="preserve"> institutions</w:t>
      </w:r>
    </w:p>
    <w:p w14:paraId="05A16BC2" w14:textId="0E5EAB57" w:rsidR="000323B1" w:rsidRPr="00202DA2" w:rsidRDefault="000323B1" w:rsidP="00B14D0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160" w:line="240" w:lineRule="auto"/>
        <w:rPr>
          <w:sz w:val="24"/>
          <w:szCs w:val="24"/>
          <w:lang w:val="en-US"/>
        </w:rPr>
      </w:pPr>
      <w:r w:rsidRPr="469FE2CA">
        <w:rPr>
          <w:sz w:val="24"/>
          <w:szCs w:val="24"/>
          <w:lang w:val="en-US"/>
        </w:rPr>
        <w:t xml:space="preserve">This list should </w:t>
      </w:r>
      <w:r w:rsidRPr="19347E07">
        <w:rPr>
          <w:sz w:val="24"/>
          <w:szCs w:val="24"/>
          <w:lang w:val="en-US"/>
        </w:rPr>
        <w:t>indicate</w:t>
      </w:r>
      <w:r w:rsidR="75348EC3" w:rsidRPr="469FE2CA">
        <w:rPr>
          <w:sz w:val="24"/>
          <w:szCs w:val="24"/>
          <w:lang w:val="en-US"/>
        </w:rPr>
        <w:t xml:space="preserve"> any non-operational institutions owned or managed by the parent institution that were dissolved </w:t>
      </w:r>
      <w:r w:rsidR="54B20A64" w:rsidRPr="469FE2CA">
        <w:rPr>
          <w:sz w:val="24"/>
          <w:szCs w:val="24"/>
          <w:lang w:val="en-US"/>
        </w:rPr>
        <w:t xml:space="preserve">or created </w:t>
      </w:r>
      <w:r w:rsidR="75348EC3" w:rsidRPr="469FE2CA">
        <w:rPr>
          <w:sz w:val="24"/>
          <w:szCs w:val="24"/>
          <w:lang w:val="en-US"/>
        </w:rPr>
        <w:t>during the reporting period</w:t>
      </w:r>
    </w:p>
    <w:p w14:paraId="19DB02A3" w14:textId="776CCC32" w:rsidR="000323B1" w:rsidRPr="00202DA2" w:rsidRDefault="00E06963" w:rsidP="00B14D0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r w:rsidRPr="469FE2CA">
        <w:rPr>
          <w:sz w:val="24"/>
          <w:szCs w:val="24"/>
          <w:lang w:val="en-US"/>
        </w:rPr>
        <w:t xml:space="preserve">This list should </w:t>
      </w:r>
      <w:r w:rsidRPr="469FE2CA">
        <w:rPr>
          <w:b/>
          <w:bCs/>
          <w:sz w:val="24"/>
          <w:szCs w:val="24"/>
          <w:lang w:val="en-US"/>
        </w:rPr>
        <w:t>n</w:t>
      </w:r>
      <w:r w:rsidR="47DECC3D" w:rsidRPr="469FE2CA">
        <w:rPr>
          <w:b/>
          <w:bCs/>
          <w:sz w:val="24"/>
          <w:szCs w:val="24"/>
          <w:lang w:val="en-US"/>
        </w:rPr>
        <w:t>ot</w:t>
      </w:r>
      <w:r w:rsidR="47DECC3D" w:rsidRPr="469FE2CA">
        <w:rPr>
          <w:sz w:val="24"/>
          <w:szCs w:val="24"/>
          <w:lang w:val="en-US"/>
        </w:rPr>
        <w:t xml:space="preserve"> include</w:t>
      </w:r>
      <w:r w:rsidR="72BA844B" w:rsidRPr="469FE2CA">
        <w:rPr>
          <w:sz w:val="24"/>
          <w:szCs w:val="24"/>
          <w:lang w:val="en-US"/>
        </w:rPr>
        <w:t xml:space="preserve"> </w:t>
      </w:r>
      <w:r w:rsidR="47DECC3D" w:rsidRPr="469FE2CA">
        <w:rPr>
          <w:sz w:val="24"/>
          <w:szCs w:val="24"/>
          <w:lang w:val="en-US"/>
        </w:rPr>
        <w:t xml:space="preserve">subsidiary </w:t>
      </w:r>
      <w:r w:rsidR="72BA844B" w:rsidRPr="469FE2CA">
        <w:rPr>
          <w:sz w:val="24"/>
          <w:szCs w:val="24"/>
          <w:lang w:val="en-US"/>
        </w:rPr>
        <w:t xml:space="preserve">institutions with </w:t>
      </w:r>
      <w:r w:rsidR="47DECC3D" w:rsidRPr="469FE2CA">
        <w:rPr>
          <w:sz w:val="24"/>
          <w:szCs w:val="24"/>
          <w:lang w:val="en-US"/>
        </w:rPr>
        <w:t>active</w:t>
      </w:r>
      <w:r w:rsidR="72BA844B" w:rsidRPr="469FE2CA">
        <w:rPr>
          <w:sz w:val="24"/>
          <w:szCs w:val="24"/>
          <w:lang w:val="en-US"/>
        </w:rPr>
        <w:t xml:space="preserve"> operations</w:t>
      </w:r>
      <w:r w:rsidR="75348EC3" w:rsidRPr="469FE2CA">
        <w:rPr>
          <w:sz w:val="24"/>
          <w:szCs w:val="24"/>
          <w:lang w:val="en-US"/>
        </w:rPr>
        <w:t>; the reporting requirements of actively operating subsidiaries should be met through separate reports, prepared by whoever is responsible for those subsidiaries’ ATIP operations</w:t>
      </w:r>
    </w:p>
    <w:p w14:paraId="1EFC555D" w14:textId="32B43DC8" w:rsidR="0D3E1EDC" w:rsidRPr="004E338E" w:rsidRDefault="00F74DEB" w:rsidP="00B14D0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160" w:line="240" w:lineRule="auto"/>
        <w:rPr>
          <w:rFonts w:eastAsia="Calibri" w:cstheme="minorHAnsi"/>
          <w:lang w:val="en-US"/>
        </w:rPr>
      </w:pPr>
      <w:r w:rsidRPr="00202DA2">
        <w:rPr>
          <w:rFonts w:cstheme="minorHAnsi"/>
          <w:b/>
          <w:bCs/>
          <w:sz w:val="24"/>
          <w:szCs w:val="24"/>
          <w:lang w:val="en-US"/>
        </w:rPr>
        <w:t xml:space="preserve">Note: </w:t>
      </w:r>
      <w:r w:rsidRPr="00202DA2">
        <w:rPr>
          <w:rFonts w:cstheme="minorHAnsi"/>
          <w:sz w:val="24"/>
          <w:szCs w:val="24"/>
          <w:lang w:val="en-US"/>
        </w:rPr>
        <w:t xml:space="preserve">If your institution </w:t>
      </w:r>
      <w:r w:rsidR="00E12620" w:rsidRPr="00202DA2">
        <w:rPr>
          <w:rFonts w:cstheme="minorHAnsi"/>
          <w:sz w:val="24"/>
          <w:szCs w:val="24"/>
          <w:lang w:val="en-US"/>
        </w:rPr>
        <w:t xml:space="preserve">doesn’t have </w:t>
      </w:r>
      <w:r w:rsidR="00F90FD4" w:rsidRPr="00202DA2">
        <w:rPr>
          <w:rFonts w:cstheme="minorHAnsi"/>
          <w:sz w:val="24"/>
          <w:szCs w:val="24"/>
          <w:lang w:val="en-US"/>
        </w:rPr>
        <w:t xml:space="preserve">any non-operational </w:t>
      </w:r>
      <w:r w:rsidR="00E0697B" w:rsidRPr="00202DA2">
        <w:rPr>
          <w:rFonts w:cstheme="minorHAnsi"/>
          <w:sz w:val="24"/>
          <w:szCs w:val="24"/>
          <w:lang w:val="en-US"/>
        </w:rPr>
        <w:t xml:space="preserve">(“paper”) subsidiaries </w:t>
      </w:r>
      <w:r w:rsidRPr="00202DA2">
        <w:rPr>
          <w:rFonts w:cstheme="minorHAnsi"/>
          <w:sz w:val="24"/>
          <w:szCs w:val="24"/>
          <w:lang w:val="en-US"/>
        </w:rPr>
        <w:t>during this reporting period, include a statement to that effect</w:t>
      </w:r>
      <w:bookmarkEnd w:id="0"/>
    </w:p>
    <w:p w14:paraId="00CFF219" w14:textId="77777777" w:rsidR="00453F9B" w:rsidRPr="00202DA2" w:rsidRDefault="00453F9B" w:rsidP="0D3E1EDC">
      <w:pPr>
        <w:rPr>
          <w:rFonts w:asciiTheme="minorHAnsi" w:eastAsia="Calibri" w:hAnsiTheme="minorHAnsi" w:cstheme="minorHAnsi"/>
          <w:lang w:val="en-US"/>
        </w:rPr>
      </w:pPr>
    </w:p>
    <w:p w14:paraId="4B1BD7FB" w14:textId="02F03984" w:rsidR="002203E4" w:rsidRPr="00202DA2" w:rsidRDefault="005B14A9" w:rsidP="0D3E1ED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-US" w:eastAsia="en-US"/>
        </w:rPr>
      </w:pPr>
      <w:r w:rsidRPr="00202DA2">
        <w:rPr>
          <w:rFonts w:asciiTheme="minorHAnsi" w:hAnsiTheme="minorHAnsi" w:cstheme="minorHAnsi"/>
          <w:b/>
          <w:bCs/>
          <w:lang w:val="en-US" w:eastAsia="en-US"/>
        </w:rPr>
        <w:t>A</w:t>
      </w:r>
      <w:r w:rsidR="002F651A" w:rsidRPr="00202DA2">
        <w:rPr>
          <w:rFonts w:asciiTheme="minorHAnsi" w:hAnsiTheme="minorHAnsi" w:cstheme="minorHAnsi"/>
          <w:b/>
          <w:bCs/>
          <w:lang w:val="en-US" w:eastAsia="en-US"/>
        </w:rPr>
        <w:t xml:space="preserve">2. </w:t>
      </w:r>
      <w:r w:rsidRPr="00202DA2">
        <w:rPr>
          <w:rFonts w:asciiTheme="minorHAnsi" w:hAnsiTheme="minorHAnsi" w:cstheme="minorHAnsi"/>
          <w:b/>
          <w:bCs/>
          <w:lang w:val="en-US" w:eastAsia="en-US"/>
        </w:rPr>
        <w:t>Organizational Structure</w:t>
      </w:r>
    </w:p>
    <w:p w14:paraId="07BB8FF1" w14:textId="47B2DD39" w:rsidR="00E722FC" w:rsidRPr="00202DA2" w:rsidRDefault="001638E9" w:rsidP="0D3E1EDC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Include</w:t>
      </w:r>
      <w:r w:rsidR="00E722FC" w:rsidRPr="00202DA2">
        <w:rPr>
          <w:rFonts w:asciiTheme="minorHAnsi" w:hAnsiTheme="minorHAnsi" w:cstheme="minorHAnsi"/>
          <w:lang w:val="en-US"/>
        </w:rPr>
        <w:t>:</w:t>
      </w:r>
    </w:p>
    <w:p w14:paraId="418DC2D4" w14:textId="565B247E" w:rsidR="00E722FC" w:rsidRPr="00202DA2" w:rsidRDefault="00E722FC" w:rsidP="00B14D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202DA2">
        <w:rPr>
          <w:rFonts w:cstheme="minorHAnsi"/>
          <w:sz w:val="24"/>
          <w:szCs w:val="24"/>
          <w:lang w:val="en-US"/>
        </w:rPr>
        <w:t xml:space="preserve">How the institution is organized to fulfill its </w:t>
      </w:r>
      <w:r w:rsidRPr="00202DA2">
        <w:rPr>
          <w:rFonts w:cstheme="minorHAnsi"/>
          <w:i/>
          <w:iCs/>
          <w:sz w:val="24"/>
          <w:szCs w:val="24"/>
          <w:lang w:val="en-US"/>
        </w:rPr>
        <w:t>Access to Information Act</w:t>
      </w:r>
      <w:r w:rsidRPr="00202DA2">
        <w:rPr>
          <w:rFonts w:cstheme="minorHAnsi"/>
          <w:sz w:val="24"/>
          <w:szCs w:val="24"/>
          <w:lang w:val="en-US"/>
        </w:rPr>
        <w:t xml:space="preserve"> responsibilities</w:t>
      </w:r>
      <w:r w:rsidR="003C3877" w:rsidRPr="00202DA2">
        <w:rPr>
          <w:rFonts w:cstheme="minorHAnsi"/>
          <w:sz w:val="24"/>
          <w:szCs w:val="24"/>
          <w:lang w:val="en-US"/>
        </w:rPr>
        <w:t xml:space="preserve"> including Part 2 Proactive Publication.    </w:t>
      </w:r>
    </w:p>
    <w:p w14:paraId="76781448" w14:textId="3A805920" w:rsidR="00E722FC" w:rsidRPr="00202DA2" w:rsidRDefault="00E722FC" w:rsidP="00B14D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60" w:line="240" w:lineRule="auto"/>
        <w:rPr>
          <w:rFonts w:cstheme="minorHAnsi"/>
          <w:sz w:val="24"/>
          <w:szCs w:val="24"/>
          <w:lang w:val="en-US"/>
        </w:rPr>
      </w:pPr>
      <w:r w:rsidRPr="00202DA2">
        <w:rPr>
          <w:rFonts w:cstheme="minorHAnsi"/>
          <w:sz w:val="24"/>
          <w:szCs w:val="24"/>
          <w:lang w:val="en-US"/>
        </w:rPr>
        <w:t>The structure of the institution’s Access to Information and Privacy (ATIP) Office</w:t>
      </w:r>
    </w:p>
    <w:p w14:paraId="7581C3C7" w14:textId="6D1BEF22" w:rsidR="00E722FC" w:rsidRPr="00202DA2" w:rsidRDefault="00E722FC" w:rsidP="00B14D06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160" w:line="240" w:lineRule="auto"/>
        <w:rPr>
          <w:rFonts w:cstheme="minorHAnsi"/>
          <w:sz w:val="24"/>
          <w:szCs w:val="24"/>
          <w:lang w:val="en-US"/>
        </w:rPr>
      </w:pPr>
      <w:r w:rsidRPr="00202DA2">
        <w:rPr>
          <w:rFonts w:cstheme="minorHAnsi"/>
          <w:sz w:val="24"/>
          <w:szCs w:val="24"/>
          <w:lang w:val="en-US"/>
        </w:rPr>
        <w:t>The number of ATIP officers and regional ATIP staff (if applicable)</w:t>
      </w:r>
    </w:p>
    <w:p w14:paraId="63B1EA0E" w14:textId="06F5C845" w:rsidR="003C3877" w:rsidRPr="00202DA2" w:rsidRDefault="003C3877" w:rsidP="00B14D06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160" w:line="240" w:lineRule="auto"/>
        <w:rPr>
          <w:rFonts w:cstheme="minorHAnsi"/>
          <w:sz w:val="24"/>
          <w:szCs w:val="24"/>
          <w:lang w:val="en-US"/>
        </w:rPr>
      </w:pPr>
      <w:r w:rsidRPr="00202DA2">
        <w:rPr>
          <w:rFonts w:cstheme="minorHAnsi"/>
          <w:sz w:val="24"/>
          <w:szCs w:val="24"/>
          <w:lang w:val="en-US"/>
        </w:rPr>
        <w:t xml:space="preserve">Number of consultants </w:t>
      </w:r>
    </w:p>
    <w:p w14:paraId="41367307" w14:textId="74DA36CF" w:rsidR="00F701F6" w:rsidRPr="00202DA2" w:rsidRDefault="00E722FC" w:rsidP="00B14D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60" w:line="240" w:lineRule="auto"/>
        <w:rPr>
          <w:rFonts w:cstheme="minorHAnsi"/>
          <w:sz w:val="24"/>
          <w:szCs w:val="24"/>
          <w:lang w:val="en-US"/>
        </w:rPr>
      </w:pPr>
      <w:r w:rsidRPr="00202DA2">
        <w:rPr>
          <w:rFonts w:cstheme="minorHAnsi"/>
          <w:sz w:val="24"/>
          <w:szCs w:val="24"/>
          <w:lang w:val="en-US"/>
        </w:rPr>
        <w:t xml:space="preserve">Any </w:t>
      </w:r>
      <w:r w:rsidR="00D20D4A">
        <w:rPr>
          <w:rFonts w:cstheme="minorHAnsi"/>
          <w:sz w:val="24"/>
          <w:szCs w:val="24"/>
          <w:lang w:val="en-US"/>
        </w:rPr>
        <w:t xml:space="preserve">new or </w:t>
      </w:r>
      <w:r w:rsidR="00CC0E91">
        <w:rPr>
          <w:rFonts w:cstheme="minorHAnsi"/>
          <w:sz w:val="24"/>
          <w:szCs w:val="24"/>
          <w:lang w:val="en-US"/>
        </w:rPr>
        <w:t>pre-</w:t>
      </w:r>
      <w:r w:rsidR="00D20D4A">
        <w:rPr>
          <w:rFonts w:cstheme="minorHAnsi"/>
          <w:sz w:val="24"/>
          <w:szCs w:val="24"/>
          <w:lang w:val="en-US"/>
        </w:rPr>
        <w:t xml:space="preserve">existing </w:t>
      </w:r>
      <w:r w:rsidRPr="00202DA2">
        <w:rPr>
          <w:rFonts w:cstheme="minorHAnsi"/>
          <w:sz w:val="24"/>
          <w:szCs w:val="24"/>
          <w:lang w:val="en-US"/>
        </w:rPr>
        <w:t xml:space="preserve">service agreements under section 96 of the </w:t>
      </w:r>
      <w:r w:rsidRPr="00202DA2">
        <w:rPr>
          <w:rFonts w:cstheme="minorHAnsi"/>
          <w:i/>
          <w:iCs/>
          <w:sz w:val="24"/>
          <w:szCs w:val="24"/>
          <w:lang w:val="en-US"/>
        </w:rPr>
        <w:t>Access to Information Act</w:t>
      </w:r>
      <w:r w:rsidRPr="00202DA2">
        <w:rPr>
          <w:rFonts w:cstheme="minorHAnsi"/>
          <w:sz w:val="24"/>
          <w:szCs w:val="24"/>
          <w:lang w:val="en-US"/>
        </w:rPr>
        <w:t xml:space="preserve"> to which your institution was party during the reporting period</w:t>
      </w:r>
      <w:r w:rsidR="00E63800" w:rsidRPr="00202DA2">
        <w:rPr>
          <w:rFonts w:cstheme="minorHAnsi"/>
          <w:sz w:val="24"/>
          <w:szCs w:val="24"/>
          <w:lang w:val="en-US"/>
        </w:rPr>
        <w:t xml:space="preserve">. </w:t>
      </w:r>
    </w:p>
    <w:p w14:paraId="781C195B" w14:textId="3952BEA8" w:rsidR="00F701F6" w:rsidRPr="00202DA2" w:rsidRDefault="00E63800" w:rsidP="00B14D0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60"/>
        <w:rPr>
          <w:rFonts w:cstheme="minorHAnsi"/>
          <w:sz w:val="24"/>
          <w:szCs w:val="24"/>
          <w:lang w:val="en-US"/>
        </w:rPr>
      </w:pPr>
      <w:r w:rsidRPr="00202DA2">
        <w:rPr>
          <w:rFonts w:cstheme="minorHAnsi"/>
          <w:b/>
          <w:bCs/>
          <w:sz w:val="24"/>
          <w:szCs w:val="24"/>
          <w:lang w:val="en-US"/>
        </w:rPr>
        <w:t xml:space="preserve">Note: </w:t>
      </w:r>
      <w:r w:rsidR="007D667D" w:rsidRPr="00202DA2">
        <w:rPr>
          <w:rFonts w:cstheme="minorHAnsi"/>
          <w:sz w:val="24"/>
          <w:szCs w:val="24"/>
          <w:lang w:val="en-US"/>
        </w:rPr>
        <w:t>I</w:t>
      </w:r>
      <w:r w:rsidRPr="00202DA2">
        <w:rPr>
          <w:rFonts w:cstheme="minorHAnsi"/>
          <w:sz w:val="24"/>
          <w:szCs w:val="24"/>
          <w:lang w:val="en-US"/>
        </w:rPr>
        <w:t>f your institution was not party to any such agreements during this reporting period, include a statement to that effect</w:t>
      </w:r>
      <w:bookmarkStart w:id="1" w:name="_Hlk100333401"/>
      <w:r w:rsidR="00750F1B">
        <w:rPr>
          <w:rFonts w:cstheme="minorHAnsi"/>
          <w:sz w:val="24"/>
          <w:szCs w:val="24"/>
          <w:lang w:val="en-US"/>
        </w:rPr>
        <w:t>.</w:t>
      </w:r>
    </w:p>
    <w:p w14:paraId="73CC471F" w14:textId="2491DC77" w:rsidR="009855D6" w:rsidRPr="000713FF" w:rsidRDefault="00891BD7" w:rsidP="00B14D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60" w:line="240" w:lineRule="auto"/>
        <w:rPr>
          <w:rFonts w:cstheme="minorHAnsi"/>
          <w:lang w:val="en-US"/>
        </w:rPr>
      </w:pPr>
      <w:r>
        <w:rPr>
          <w:rFonts w:cstheme="minorHAnsi"/>
          <w:sz w:val="24"/>
          <w:szCs w:val="24"/>
          <w:lang w:val="en-US"/>
        </w:rPr>
        <w:t>The following note</w:t>
      </w:r>
      <w:r w:rsidR="003C3877" w:rsidRPr="00202DA2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regarding p</w:t>
      </w:r>
      <w:r w:rsidR="003C3877" w:rsidRPr="00202DA2">
        <w:rPr>
          <w:rFonts w:cstheme="minorHAnsi"/>
          <w:sz w:val="24"/>
          <w:szCs w:val="24"/>
          <w:lang w:val="en-US"/>
        </w:rPr>
        <w:t xml:space="preserve">roactive </w:t>
      </w:r>
      <w:r>
        <w:rPr>
          <w:rFonts w:cstheme="minorHAnsi"/>
          <w:sz w:val="24"/>
          <w:szCs w:val="24"/>
          <w:lang w:val="en-US"/>
        </w:rPr>
        <w:t>p</w:t>
      </w:r>
      <w:r w:rsidR="003C3877" w:rsidRPr="00202DA2">
        <w:rPr>
          <w:rFonts w:cstheme="minorHAnsi"/>
          <w:sz w:val="24"/>
          <w:szCs w:val="24"/>
          <w:lang w:val="en-US"/>
        </w:rPr>
        <w:t>ublication</w:t>
      </w:r>
      <w:r>
        <w:rPr>
          <w:rFonts w:cstheme="minorHAnsi"/>
          <w:sz w:val="24"/>
          <w:szCs w:val="24"/>
          <w:lang w:val="en-US"/>
        </w:rPr>
        <w:t>:</w:t>
      </w:r>
      <w:r w:rsidR="003C3877" w:rsidRPr="00202DA2">
        <w:rPr>
          <w:rFonts w:cstheme="minorHAnsi"/>
          <w:sz w:val="24"/>
          <w:szCs w:val="24"/>
          <w:lang w:val="en-US"/>
        </w:rPr>
        <w:t xml:space="preserve"> </w:t>
      </w:r>
      <w:r w:rsidR="00F3641A">
        <w:rPr>
          <w:rFonts w:cstheme="minorHAnsi"/>
          <w:sz w:val="24"/>
          <w:szCs w:val="24"/>
          <w:lang w:val="en-US"/>
        </w:rPr>
        <w:t xml:space="preserve">“For a </w:t>
      </w:r>
      <w:r w:rsidR="00192DFA">
        <w:rPr>
          <w:rFonts w:cstheme="minorHAnsi"/>
          <w:sz w:val="24"/>
          <w:szCs w:val="24"/>
          <w:lang w:val="en-US"/>
        </w:rPr>
        <w:t>breakdown</w:t>
      </w:r>
      <w:r w:rsidR="003C3877" w:rsidRPr="00202DA2">
        <w:rPr>
          <w:rFonts w:cstheme="minorHAnsi"/>
          <w:sz w:val="24"/>
          <w:szCs w:val="24"/>
          <w:lang w:val="en-US"/>
        </w:rPr>
        <w:t xml:space="preserve"> of </w:t>
      </w:r>
      <w:r w:rsidR="00DD027F">
        <w:rPr>
          <w:rFonts w:cstheme="minorHAnsi"/>
          <w:sz w:val="24"/>
          <w:szCs w:val="24"/>
          <w:lang w:val="en-US"/>
        </w:rPr>
        <w:t xml:space="preserve">the </w:t>
      </w:r>
      <w:r w:rsidR="4FEBF9F5" w:rsidRPr="00202DA2">
        <w:rPr>
          <w:rFonts w:cstheme="minorHAnsi"/>
          <w:sz w:val="24"/>
          <w:szCs w:val="24"/>
          <w:lang w:val="en-US"/>
        </w:rPr>
        <w:t xml:space="preserve">group(s) </w:t>
      </w:r>
      <w:r w:rsidR="00DD027F">
        <w:rPr>
          <w:rFonts w:cstheme="minorHAnsi"/>
          <w:sz w:val="24"/>
          <w:szCs w:val="24"/>
          <w:lang w:val="en-US"/>
        </w:rPr>
        <w:t>and/</w:t>
      </w:r>
      <w:r w:rsidR="4FEBF9F5" w:rsidRPr="00202DA2">
        <w:rPr>
          <w:rFonts w:cstheme="minorHAnsi"/>
          <w:sz w:val="24"/>
          <w:szCs w:val="24"/>
          <w:lang w:val="en-US"/>
        </w:rPr>
        <w:t xml:space="preserve">or position(s) responsible </w:t>
      </w:r>
      <w:r w:rsidR="00227C85">
        <w:rPr>
          <w:rFonts w:cstheme="minorHAnsi"/>
          <w:sz w:val="24"/>
          <w:szCs w:val="24"/>
          <w:lang w:val="en-US"/>
        </w:rPr>
        <w:t xml:space="preserve">for </w:t>
      </w:r>
      <w:r w:rsidR="00DD027F">
        <w:rPr>
          <w:rFonts w:cstheme="minorHAnsi"/>
          <w:sz w:val="24"/>
          <w:szCs w:val="24"/>
          <w:lang w:val="en-US"/>
        </w:rPr>
        <w:t>meeting</w:t>
      </w:r>
      <w:r w:rsidR="4FEBF9F5" w:rsidRPr="00202DA2">
        <w:rPr>
          <w:rFonts w:cstheme="minorHAnsi"/>
          <w:sz w:val="24"/>
          <w:szCs w:val="24"/>
          <w:lang w:val="en-US"/>
        </w:rPr>
        <w:t xml:space="preserve"> </w:t>
      </w:r>
      <w:r w:rsidR="00192DFA">
        <w:rPr>
          <w:rFonts w:cstheme="minorHAnsi"/>
          <w:sz w:val="24"/>
          <w:szCs w:val="24"/>
          <w:lang w:val="en-US"/>
        </w:rPr>
        <w:t xml:space="preserve">each applicable </w:t>
      </w:r>
      <w:r w:rsidR="4FEBF9F5" w:rsidRPr="00202DA2">
        <w:rPr>
          <w:rFonts w:cstheme="minorHAnsi"/>
          <w:sz w:val="24"/>
          <w:szCs w:val="24"/>
          <w:lang w:val="en-US"/>
        </w:rPr>
        <w:t xml:space="preserve">proactive publication </w:t>
      </w:r>
      <w:r w:rsidR="4FEBF9F5" w:rsidRPr="00202DA2">
        <w:rPr>
          <w:rFonts w:cstheme="minorHAnsi"/>
          <w:sz w:val="24"/>
          <w:szCs w:val="24"/>
          <w:lang w:val="en-US"/>
        </w:rPr>
        <w:lastRenderedPageBreak/>
        <w:t>requirement</w:t>
      </w:r>
      <w:r w:rsidR="00DD027F">
        <w:rPr>
          <w:rFonts w:cstheme="minorHAnsi"/>
          <w:sz w:val="24"/>
          <w:szCs w:val="24"/>
          <w:lang w:val="en-US"/>
        </w:rPr>
        <w:t xml:space="preserve"> under </w:t>
      </w:r>
      <w:r w:rsidR="001C6A25">
        <w:rPr>
          <w:rFonts w:cstheme="minorHAnsi"/>
          <w:sz w:val="24"/>
          <w:szCs w:val="24"/>
          <w:lang w:val="en-US"/>
        </w:rPr>
        <w:t xml:space="preserve">Part 2 of the </w:t>
      </w:r>
      <w:r w:rsidR="001C6A25">
        <w:rPr>
          <w:rFonts w:cstheme="minorHAnsi"/>
          <w:i/>
          <w:iCs/>
          <w:sz w:val="24"/>
          <w:szCs w:val="24"/>
          <w:lang w:val="en-US"/>
        </w:rPr>
        <w:t>Access to Information Act</w:t>
      </w:r>
      <w:r w:rsidR="001C6A25">
        <w:rPr>
          <w:rFonts w:cstheme="minorHAnsi"/>
          <w:sz w:val="24"/>
          <w:szCs w:val="24"/>
          <w:lang w:val="en-US"/>
        </w:rPr>
        <w:t xml:space="preserve">, </w:t>
      </w:r>
      <w:r w:rsidR="00227C85">
        <w:rPr>
          <w:rFonts w:cstheme="minorHAnsi"/>
          <w:lang w:val="en-US"/>
        </w:rPr>
        <w:t>s</w:t>
      </w:r>
      <w:r w:rsidR="009855D6" w:rsidRPr="000713FF">
        <w:rPr>
          <w:rFonts w:cstheme="minorHAnsi"/>
          <w:lang w:val="en-US"/>
        </w:rPr>
        <w:t>ee</w:t>
      </w:r>
      <w:r w:rsidR="00227C85">
        <w:rPr>
          <w:rFonts w:cstheme="minorHAnsi"/>
          <w:lang w:val="en-US"/>
        </w:rPr>
        <w:t xml:space="preserve"> </w:t>
      </w:r>
      <w:r w:rsidR="00192DFA">
        <w:rPr>
          <w:rFonts w:cstheme="minorHAnsi"/>
          <w:lang w:val="en-US"/>
        </w:rPr>
        <w:t xml:space="preserve">the </w:t>
      </w:r>
      <w:r w:rsidR="00227C85">
        <w:rPr>
          <w:rFonts w:cstheme="minorHAnsi"/>
          <w:lang w:val="en-US"/>
        </w:rPr>
        <w:t xml:space="preserve">section </w:t>
      </w:r>
      <w:r w:rsidR="00D7379B">
        <w:rPr>
          <w:rFonts w:cstheme="minorHAnsi"/>
          <w:lang w:val="en-US"/>
        </w:rPr>
        <w:t>“</w:t>
      </w:r>
      <w:r w:rsidR="009855D6" w:rsidRPr="000713FF">
        <w:rPr>
          <w:rStyle w:val="normaltextrun"/>
          <w:rFonts w:cstheme="minorHAnsi"/>
          <w:b/>
          <w:bCs/>
          <w:sz w:val="24"/>
          <w:szCs w:val="24"/>
        </w:rPr>
        <w:t xml:space="preserve">Proactive Publication </w:t>
      </w:r>
      <w:r w:rsidR="00D7379B">
        <w:rPr>
          <w:rStyle w:val="normaltextrun"/>
          <w:rFonts w:cstheme="minorHAnsi"/>
          <w:b/>
          <w:bCs/>
          <w:sz w:val="24"/>
          <w:szCs w:val="24"/>
        </w:rPr>
        <w:t>under Part 2 of the ATIA</w:t>
      </w:r>
      <w:r w:rsidR="00D7379B">
        <w:rPr>
          <w:rStyle w:val="normaltextrun"/>
          <w:rFonts w:cstheme="minorHAnsi"/>
          <w:sz w:val="24"/>
          <w:szCs w:val="24"/>
        </w:rPr>
        <w:t>”</w:t>
      </w:r>
      <w:r w:rsidR="007C4215">
        <w:rPr>
          <w:rStyle w:val="normaltextrun"/>
          <w:rFonts w:cstheme="minorHAnsi"/>
          <w:sz w:val="24"/>
          <w:szCs w:val="24"/>
        </w:rPr>
        <w:t>, below.</w:t>
      </w:r>
    </w:p>
    <w:bookmarkEnd w:id="1"/>
    <w:p w14:paraId="592F7C17" w14:textId="0E34B2C7" w:rsidR="00E722FC" w:rsidRPr="00202DA2" w:rsidRDefault="00E722FC" w:rsidP="00B14D0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202DA2">
        <w:rPr>
          <w:rFonts w:cstheme="minorHAnsi"/>
          <w:sz w:val="24"/>
          <w:szCs w:val="24"/>
          <w:lang w:val="en-US"/>
        </w:rPr>
        <w:t>Other organizational context, as relevant</w:t>
      </w:r>
      <w:r w:rsidR="00A00302">
        <w:rPr>
          <w:rFonts w:cstheme="minorHAnsi"/>
          <w:sz w:val="24"/>
          <w:szCs w:val="24"/>
          <w:lang w:val="en-US"/>
        </w:rPr>
        <w:t>.</w:t>
      </w:r>
    </w:p>
    <w:p w14:paraId="427A7039" w14:textId="4C66403E" w:rsidR="0D3E1EDC" w:rsidRDefault="0D3E1EDC" w:rsidP="0D3E1EDC">
      <w:pPr>
        <w:rPr>
          <w:rFonts w:asciiTheme="minorHAnsi" w:eastAsia="Calibri" w:hAnsiTheme="minorHAnsi" w:cstheme="minorHAnsi"/>
          <w:lang w:val="en-US"/>
        </w:rPr>
      </w:pPr>
    </w:p>
    <w:p w14:paraId="175052DC" w14:textId="77777777" w:rsidR="00453F9B" w:rsidRPr="00202DA2" w:rsidRDefault="00453F9B" w:rsidP="0D3E1EDC">
      <w:pPr>
        <w:rPr>
          <w:rFonts w:asciiTheme="minorHAnsi" w:eastAsia="Calibri" w:hAnsiTheme="minorHAnsi" w:cstheme="minorHAnsi"/>
          <w:lang w:val="en-US"/>
        </w:rPr>
      </w:pPr>
    </w:p>
    <w:p w14:paraId="063988E3" w14:textId="755E1B09" w:rsidR="002203E4" w:rsidRPr="00202DA2" w:rsidRDefault="005B14A9" w:rsidP="0D3E1ED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-US" w:eastAsia="en-US"/>
        </w:rPr>
      </w:pPr>
      <w:r w:rsidRPr="00202DA2">
        <w:rPr>
          <w:rFonts w:asciiTheme="minorHAnsi" w:hAnsiTheme="minorHAnsi" w:cstheme="minorHAnsi"/>
          <w:b/>
          <w:bCs/>
          <w:lang w:val="en-US" w:eastAsia="en-US"/>
        </w:rPr>
        <w:t>A3. Delegation Order</w:t>
      </w:r>
    </w:p>
    <w:p w14:paraId="28A878D8" w14:textId="2CF84CAA" w:rsidR="0050606D" w:rsidRPr="00202DA2" w:rsidRDefault="0050606D" w:rsidP="0D3E1EDC">
      <w:pPr>
        <w:autoSpaceDE w:val="0"/>
        <w:autoSpaceDN w:val="0"/>
        <w:adjustRightInd w:val="0"/>
        <w:rPr>
          <w:rFonts w:asciiTheme="minorHAnsi" w:hAnsiTheme="minorHAnsi" w:cstheme="minorHAnsi"/>
          <w:lang w:val="en-US" w:eastAsia="en-US"/>
        </w:rPr>
      </w:pPr>
      <w:r w:rsidRPr="00202DA2">
        <w:rPr>
          <w:rFonts w:asciiTheme="minorHAnsi" w:hAnsiTheme="minorHAnsi" w:cstheme="minorHAnsi"/>
          <w:lang w:val="en-US" w:eastAsia="en-US"/>
        </w:rPr>
        <w:t xml:space="preserve">Include a copy of the </w:t>
      </w:r>
      <w:r w:rsidRPr="00202DA2">
        <w:rPr>
          <w:rFonts w:asciiTheme="minorHAnsi" w:hAnsiTheme="minorHAnsi" w:cstheme="minorHAnsi"/>
          <w:b/>
          <w:bCs/>
          <w:lang w:val="en-US" w:eastAsia="en-US"/>
        </w:rPr>
        <w:t>signed</w:t>
      </w:r>
      <w:r w:rsidRPr="00202DA2">
        <w:rPr>
          <w:rFonts w:asciiTheme="minorHAnsi" w:hAnsiTheme="minorHAnsi" w:cstheme="minorHAnsi"/>
          <w:lang w:val="en-US" w:eastAsia="en-US"/>
        </w:rPr>
        <w:t xml:space="preserve"> and </w:t>
      </w:r>
      <w:r w:rsidRPr="00202DA2">
        <w:rPr>
          <w:rFonts w:asciiTheme="minorHAnsi" w:hAnsiTheme="minorHAnsi" w:cstheme="minorHAnsi"/>
          <w:b/>
          <w:bCs/>
          <w:lang w:val="en-US" w:eastAsia="en-US"/>
        </w:rPr>
        <w:t>dated</w:t>
      </w:r>
      <w:r w:rsidRPr="00202DA2">
        <w:rPr>
          <w:rFonts w:asciiTheme="minorHAnsi" w:hAnsiTheme="minorHAnsi" w:cstheme="minorHAnsi"/>
          <w:lang w:val="en-US" w:eastAsia="en-US"/>
        </w:rPr>
        <w:t xml:space="preserve"> Delegation Order that was in effect at the </w:t>
      </w:r>
      <w:r w:rsidRPr="00202DA2">
        <w:rPr>
          <w:rFonts w:asciiTheme="minorHAnsi" w:hAnsiTheme="minorHAnsi" w:cstheme="minorHAnsi"/>
          <w:b/>
          <w:bCs/>
          <w:lang w:val="en-US" w:eastAsia="en-US"/>
        </w:rPr>
        <w:t>end</w:t>
      </w:r>
      <w:r w:rsidRPr="00202DA2">
        <w:rPr>
          <w:rFonts w:asciiTheme="minorHAnsi" w:hAnsiTheme="minorHAnsi" w:cstheme="minorHAnsi"/>
          <w:lang w:val="en-US" w:eastAsia="en-US"/>
        </w:rPr>
        <w:t xml:space="preserve"> of the reporting period. Delegation Orders set out what powers, </w:t>
      </w:r>
      <w:r w:rsidR="00943EB2" w:rsidRPr="00202DA2">
        <w:rPr>
          <w:rFonts w:asciiTheme="minorHAnsi" w:hAnsiTheme="minorHAnsi" w:cstheme="minorHAnsi"/>
          <w:lang w:val="en-US" w:eastAsia="en-US"/>
        </w:rPr>
        <w:t>duties,</w:t>
      </w:r>
      <w:r w:rsidRPr="00202DA2">
        <w:rPr>
          <w:rFonts w:asciiTheme="minorHAnsi" w:hAnsiTheme="minorHAnsi" w:cstheme="minorHAnsi"/>
          <w:lang w:val="en-US" w:eastAsia="en-US"/>
        </w:rPr>
        <w:t xml:space="preserve"> and functions for the administration of the </w:t>
      </w:r>
      <w:r w:rsidRPr="00202DA2">
        <w:rPr>
          <w:rFonts w:asciiTheme="minorHAnsi" w:hAnsiTheme="minorHAnsi" w:cstheme="minorHAnsi"/>
          <w:i/>
          <w:iCs/>
          <w:lang w:val="en-US" w:eastAsia="en-US"/>
        </w:rPr>
        <w:t>Access to Information Act</w:t>
      </w:r>
      <w:r w:rsidRPr="00202DA2">
        <w:rPr>
          <w:rFonts w:asciiTheme="minorHAnsi" w:hAnsiTheme="minorHAnsi" w:cstheme="minorHAnsi"/>
          <w:lang w:val="en-US" w:eastAsia="en-US"/>
        </w:rPr>
        <w:t xml:space="preserve"> have been delegated by the head of the institution and to whom.</w:t>
      </w:r>
    </w:p>
    <w:p w14:paraId="6230AC1E" w14:textId="71084171" w:rsidR="0050606D" w:rsidRPr="00202DA2" w:rsidRDefault="0050606D" w:rsidP="00B14D0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cstheme="minorHAnsi"/>
          <w:sz w:val="24"/>
          <w:szCs w:val="24"/>
          <w:lang w:val="en-US"/>
        </w:rPr>
      </w:pPr>
      <w:r w:rsidRPr="00202DA2">
        <w:rPr>
          <w:rFonts w:cstheme="minorHAnsi"/>
          <w:b/>
          <w:bCs/>
          <w:sz w:val="24"/>
          <w:szCs w:val="24"/>
          <w:lang w:val="en-US"/>
        </w:rPr>
        <w:t>Note</w:t>
      </w:r>
      <w:r w:rsidRPr="00202DA2">
        <w:rPr>
          <w:rFonts w:cstheme="minorHAnsi"/>
          <w:sz w:val="24"/>
          <w:szCs w:val="24"/>
          <w:lang w:val="en-US"/>
        </w:rPr>
        <w:t xml:space="preserve">: If the head of the institution did not delegate any of </w:t>
      </w:r>
      <w:r w:rsidR="008B48F4" w:rsidRPr="00202DA2">
        <w:rPr>
          <w:rFonts w:cstheme="minorHAnsi"/>
          <w:sz w:val="24"/>
          <w:szCs w:val="24"/>
          <w:lang w:val="en-US"/>
        </w:rPr>
        <w:t>their</w:t>
      </w:r>
      <w:r w:rsidRPr="00202DA2">
        <w:rPr>
          <w:rFonts w:cstheme="minorHAnsi"/>
          <w:sz w:val="24"/>
          <w:szCs w:val="24"/>
          <w:lang w:val="en-US"/>
        </w:rPr>
        <w:t xml:space="preserve"> powers and responsibilities under the Act, please include a statement to that effect.</w:t>
      </w:r>
    </w:p>
    <w:p w14:paraId="64C38AE7" w14:textId="571CE38E" w:rsidR="000453F3" w:rsidRPr="00202DA2" w:rsidRDefault="785832CF" w:rsidP="00B14D0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rPr>
          <w:sz w:val="24"/>
          <w:szCs w:val="24"/>
          <w:lang w:val="en-US"/>
        </w:rPr>
      </w:pPr>
      <w:r w:rsidRPr="469FE2CA">
        <w:rPr>
          <w:b/>
          <w:bCs/>
          <w:sz w:val="24"/>
          <w:szCs w:val="24"/>
          <w:lang w:val="en-US"/>
        </w:rPr>
        <w:t>Note:</w:t>
      </w:r>
      <w:r w:rsidRPr="469FE2CA">
        <w:rPr>
          <w:sz w:val="24"/>
          <w:szCs w:val="24"/>
          <w:lang w:val="en-US"/>
        </w:rPr>
        <w:t xml:space="preserve"> Proactive Publication requirements under Part 2 of the Act are not subject to formal delegation and </w:t>
      </w:r>
      <w:r w:rsidR="4EFC3069" w:rsidRPr="469FE2CA">
        <w:rPr>
          <w:sz w:val="24"/>
          <w:szCs w:val="24"/>
          <w:lang w:val="en-US"/>
        </w:rPr>
        <w:t>should not be included</w:t>
      </w:r>
      <w:r w:rsidRPr="469FE2CA">
        <w:rPr>
          <w:sz w:val="24"/>
          <w:szCs w:val="24"/>
          <w:lang w:val="en-US"/>
        </w:rPr>
        <w:t xml:space="preserve"> in a Delegation Order. </w:t>
      </w:r>
    </w:p>
    <w:p w14:paraId="143C8A5C" w14:textId="2DB2FEC2" w:rsidR="0D3E1EDC" w:rsidRDefault="0D3E1EDC" w:rsidP="0D3E1EDC">
      <w:pPr>
        <w:rPr>
          <w:rFonts w:asciiTheme="minorHAnsi" w:hAnsiTheme="minorHAnsi" w:cstheme="minorHAnsi"/>
          <w:lang w:val="en-US" w:eastAsia="en-US"/>
        </w:rPr>
      </w:pPr>
    </w:p>
    <w:p w14:paraId="71CC2F46" w14:textId="77777777" w:rsidR="00453F9B" w:rsidRPr="00202DA2" w:rsidRDefault="00453F9B" w:rsidP="0D3E1EDC">
      <w:pPr>
        <w:rPr>
          <w:rFonts w:asciiTheme="minorHAnsi" w:hAnsiTheme="minorHAnsi" w:cstheme="minorHAnsi"/>
          <w:lang w:val="en-US" w:eastAsia="en-US"/>
        </w:rPr>
      </w:pPr>
    </w:p>
    <w:p w14:paraId="271E0B80" w14:textId="2AB589CC" w:rsidR="002F651A" w:rsidRPr="00202DA2" w:rsidRDefault="005B14A9" w:rsidP="0D3E1ED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-US" w:eastAsia="en-US"/>
        </w:rPr>
      </w:pPr>
      <w:r w:rsidRPr="00202DA2">
        <w:rPr>
          <w:rFonts w:asciiTheme="minorHAnsi" w:hAnsiTheme="minorHAnsi" w:cstheme="minorHAnsi"/>
          <w:b/>
          <w:bCs/>
          <w:lang w:val="en-US" w:eastAsia="en-US"/>
        </w:rPr>
        <w:t>A4.</w:t>
      </w:r>
      <w:r w:rsidR="00320DBB" w:rsidRPr="00202DA2">
        <w:rPr>
          <w:rFonts w:asciiTheme="minorHAnsi" w:hAnsiTheme="minorHAnsi" w:cstheme="minorHAnsi"/>
          <w:b/>
          <w:bCs/>
          <w:lang w:val="en-US" w:eastAsia="en-US"/>
        </w:rPr>
        <w:t xml:space="preserve"> </w:t>
      </w:r>
      <w:r w:rsidR="0050606D" w:rsidRPr="00202DA2">
        <w:rPr>
          <w:rFonts w:asciiTheme="minorHAnsi" w:hAnsiTheme="minorHAnsi" w:cstheme="minorHAnsi"/>
          <w:b/>
          <w:bCs/>
          <w:lang w:val="en-US" w:eastAsia="en-US"/>
        </w:rPr>
        <w:t>Performance</w:t>
      </w:r>
      <w:r w:rsidR="0097292A">
        <w:rPr>
          <w:rFonts w:asciiTheme="minorHAnsi" w:hAnsiTheme="minorHAnsi" w:cstheme="minorHAnsi"/>
          <w:b/>
          <w:bCs/>
          <w:lang w:val="en-US" w:eastAsia="en-US"/>
        </w:rPr>
        <w:t xml:space="preserve"> under</w:t>
      </w:r>
      <w:r w:rsidR="00FC14E2">
        <w:rPr>
          <w:rFonts w:asciiTheme="minorHAnsi" w:hAnsiTheme="minorHAnsi" w:cstheme="minorHAnsi"/>
          <w:b/>
          <w:bCs/>
          <w:lang w:val="en-US" w:eastAsia="en-US"/>
        </w:rPr>
        <w:t xml:space="preserve"> Part 1 of the </w:t>
      </w:r>
      <w:r w:rsidR="00FC14E2">
        <w:rPr>
          <w:rFonts w:asciiTheme="minorHAnsi" w:hAnsiTheme="minorHAnsi" w:cstheme="minorHAnsi"/>
          <w:b/>
          <w:bCs/>
          <w:i/>
          <w:iCs/>
          <w:lang w:val="en-US" w:eastAsia="en-US"/>
        </w:rPr>
        <w:t>Access to Information Act</w:t>
      </w:r>
      <w:r w:rsidR="0097292A">
        <w:rPr>
          <w:rFonts w:asciiTheme="minorHAnsi" w:hAnsiTheme="minorHAnsi" w:cstheme="minorHAnsi"/>
          <w:b/>
          <w:bCs/>
          <w:lang w:val="en-US" w:eastAsia="en-US"/>
        </w:rPr>
        <w:t>,</w:t>
      </w:r>
      <w:r w:rsidR="0050606D" w:rsidRPr="00202DA2">
        <w:rPr>
          <w:rFonts w:asciiTheme="minorHAnsi" w:hAnsiTheme="minorHAnsi" w:cstheme="minorHAnsi"/>
          <w:b/>
          <w:bCs/>
          <w:lang w:val="en-US" w:eastAsia="en-US"/>
        </w:rPr>
        <w:t xml:space="preserve"> </w:t>
      </w:r>
      <w:r w:rsidR="00615738">
        <w:rPr>
          <w:rFonts w:asciiTheme="minorHAnsi" w:hAnsiTheme="minorHAnsi" w:cstheme="minorHAnsi"/>
          <w:b/>
          <w:bCs/>
          <w:lang w:val="en-US" w:eastAsia="en-US"/>
        </w:rPr>
        <w:t>2024</w:t>
      </w:r>
      <w:r w:rsidR="00135DBE">
        <w:rPr>
          <w:rFonts w:asciiTheme="minorHAnsi" w:hAnsiTheme="minorHAnsi" w:cstheme="minorHAnsi"/>
          <w:b/>
          <w:bCs/>
          <w:lang w:val="en-US" w:eastAsia="en-US"/>
        </w:rPr>
        <w:t>–</w:t>
      </w:r>
      <w:r w:rsidR="00615738">
        <w:rPr>
          <w:rFonts w:asciiTheme="minorHAnsi" w:hAnsiTheme="minorHAnsi" w:cstheme="minorHAnsi"/>
          <w:b/>
          <w:bCs/>
          <w:lang w:val="en-US" w:eastAsia="en-US"/>
        </w:rPr>
        <w:t>2025</w:t>
      </w:r>
      <w:r w:rsidR="00555739" w:rsidRPr="00202DA2">
        <w:rPr>
          <w:rFonts w:asciiTheme="minorHAnsi" w:hAnsiTheme="minorHAnsi" w:cstheme="minorHAnsi"/>
          <w:b/>
          <w:bCs/>
          <w:lang w:val="en-US" w:eastAsia="en-US"/>
        </w:rPr>
        <w:t xml:space="preserve"> </w:t>
      </w:r>
    </w:p>
    <w:p w14:paraId="1D6F86C3" w14:textId="31EE274B" w:rsidR="001758E1" w:rsidRPr="00202DA2" w:rsidRDefault="2446457E" w:rsidP="469FE2CA">
      <w:pPr>
        <w:autoSpaceDE w:val="0"/>
        <w:autoSpaceDN w:val="0"/>
        <w:adjustRightInd w:val="0"/>
        <w:rPr>
          <w:rFonts w:asciiTheme="minorHAnsi" w:hAnsiTheme="minorHAnsi" w:cstheme="minorBidi"/>
          <w:lang w:val="en-US" w:eastAsia="en-US"/>
        </w:rPr>
      </w:pPr>
      <w:r w:rsidRPr="469FE2CA">
        <w:rPr>
          <w:rFonts w:asciiTheme="minorHAnsi" w:hAnsiTheme="minorHAnsi" w:cstheme="minorBidi"/>
          <w:lang w:val="en-US" w:eastAsia="en-US"/>
        </w:rPr>
        <w:t xml:space="preserve">Provide an </w:t>
      </w:r>
      <w:r w:rsidR="3EB6F917" w:rsidRPr="469FE2CA">
        <w:rPr>
          <w:rFonts w:asciiTheme="minorHAnsi" w:hAnsiTheme="minorHAnsi" w:cstheme="minorBidi"/>
          <w:lang w:val="en-US" w:eastAsia="en-US"/>
        </w:rPr>
        <w:t xml:space="preserve">overview of key data on the institution’s performance </w:t>
      </w:r>
      <w:r w:rsidR="5B30F691" w:rsidRPr="469FE2CA">
        <w:rPr>
          <w:rFonts w:asciiTheme="minorHAnsi" w:hAnsiTheme="minorHAnsi" w:cstheme="minorBidi"/>
          <w:lang w:val="en-US" w:eastAsia="en-US"/>
        </w:rPr>
        <w:t xml:space="preserve">in administering Part 1 of the </w:t>
      </w:r>
      <w:r w:rsidR="5B30F691" w:rsidRPr="469FE2CA">
        <w:rPr>
          <w:rFonts w:asciiTheme="minorHAnsi" w:hAnsiTheme="minorHAnsi" w:cstheme="minorBidi"/>
          <w:i/>
          <w:iCs/>
          <w:lang w:val="en-US" w:eastAsia="en-US"/>
        </w:rPr>
        <w:t xml:space="preserve">Access to Information Act </w:t>
      </w:r>
      <w:r w:rsidR="2248BA74" w:rsidRPr="469FE2CA">
        <w:rPr>
          <w:rFonts w:asciiTheme="minorHAnsi" w:hAnsiTheme="minorHAnsi" w:cstheme="minorBidi"/>
          <w:lang w:val="en-US" w:eastAsia="en-US"/>
        </w:rPr>
        <w:t xml:space="preserve">for </w:t>
      </w:r>
      <w:r w:rsidR="3EB6F917" w:rsidRPr="469FE2CA">
        <w:rPr>
          <w:rFonts w:asciiTheme="minorHAnsi" w:hAnsiTheme="minorHAnsi" w:cstheme="minorBidi"/>
          <w:lang w:val="en-US" w:eastAsia="en-US"/>
        </w:rPr>
        <w:t xml:space="preserve">the </w:t>
      </w:r>
      <w:r w:rsidR="49B301BE" w:rsidRPr="469FE2CA">
        <w:rPr>
          <w:rFonts w:asciiTheme="minorHAnsi" w:hAnsiTheme="minorHAnsi" w:cstheme="minorBidi"/>
          <w:lang w:val="en-US" w:eastAsia="en-US"/>
        </w:rPr>
        <w:t xml:space="preserve">fiscal </w:t>
      </w:r>
      <w:r w:rsidR="3EB6F917" w:rsidRPr="469FE2CA">
        <w:rPr>
          <w:rFonts w:asciiTheme="minorHAnsi" w:hAnsiTheme="minorHAnsi" w:cstheme="minorBidi"/>
          <w:lang w:val="en-US" w:eastAsia="en-US"/>
        </w:rPr>
        <w:t xml:space="preserve">year, as reflected in the institution’s </w:t>
      </w:r>
      <w:r w:rsidR="09CAABE0" w:rsidRPr="469FE2CA">
        <w:rPr>
          <w:rFonts w:asciiTheme="minorHAnsi" w:hAnsiTheme="minorHAnsi" w:cstheme="minorBidi"/>
          <w:lang w:val="en-US" w:eastAsia="en-US"/>
        </w:rPr>
        <w:t>2024</w:t>
      </w:r>
      <w:r w:rsidR="00135DBE">
        <w:rPr>
          <w:rFonts w:asciiTheme="minorHAnsi" w:hAnsiTheme="minorHAnsi" w:cstheme="minorBidi"/>
          <w:lang w:val="en-US" w:eastAsia="en-US"/>
        </w:rPr>
        <w:t>–</w:t>
      </w:r>
      <w:r w:rsidR="09CAABE0" w:rsidRPr="469FE2CA">
        <w:rPr>
          <w:rFonts w:asciiTheme="minorHAnsi" w:hAnsiTheme="minorHAnsi" w:cstheme="minorBidi"/>
          <w:lang w:val="en-US" w:eastAsia="en-US"/>
        </w:rPr>
        <w:t xml:space="preserve">25 </w:t>
      </w:r>
      <w:r w:rsidR="3EB6F917" w:rsidRPr="469FE2CA">
        <w:rPr>
          <w:rFonts w:asciiTheme="minorHAnsi" w:hAnsiTheme="minorHAnsi" w:cstheme="minorBidi"/>
          <w:lang w:val="en-US" w:eastAsia="en-US"/>
        </w:rPr>
        <w:t>Statistical Report</w:t>
      </w:r>
      <w:r w:rsidR="76AADF3D" w:rsidRPr="469FE2CA">
        <w:rPr>
          <w:rFonts w:asciiTheme="minorHAnsi" w:hAnsiTheme="minorHAnsi" w:cstheme="minorBidi"/>
          <w:lang w:val="en-US" w:eastAsia="en-US"/>
        </w:rPr>
        <w:t>s</w:t>
      </w:r>
      <w:r w:rsidR="3EB6F917" w:rsidRPr="469FE2CA">
        <w:rPr>
          <w:rFonts w:asciiTheme="minorHAnsi" w:hAnsiTheme="minorHAnsi" w:cstheme="minorBidi"/>
          <w:lang w:val="en-US" w:eastAsia="en-US"/>
        </w:rPr>
        <w:t>.</w:t>
      </w:r>
      <w:r w:rsidR="64FE953B" w:rsidRPr="469FE2CA">
        <w:rPr>
          <w:rFonts w:asciiTheme="minorHAnsi" w:hAnsiTheme="minorHAnsi" w:cstheme="minorBidi"/>
          <w:lang w:val="en-US" w:eastAsia="en-US"/>
        </w:rPr>
        <w:t xml:space="preserve"> (“Requests” here refers to formal requests under the </w:t>
      </w:r>
      <w:r w:rsidR="64FE953B" w:rsidRPr="469FE2CA">
        <w:rPr>
          <w:rFonts w:asciiTheme="minorHAnsi" w:hAnsiTheme="minorHAnsi" w:cstheme="minorBidi"/>
          <w:i/>
          <w:iCs/>
          <w:lang w:val="en-US" w:eastAsia="en-US"/>
        </w:rPr>
        <w:t>Access to Information Act</w:t>
      </w:r>
      <w:r w:rsidR="64FE953B" w:rsidRPr="469FE2CA">
        <w:rPr>
          <w:rFonts w:asciiTheme="minorHAnsi" w:hAnsiTheme="minorHAnsi" w:cstheme="minorBidi"/>
          <w:lang w:val="en-US" w:eastAsia="en-US"/>
        </w:rPr>
        <w:t>.)</w:t>
      </w:r>
      <w:r w:rsidR="3EB6F917" w:rsidRPr="469FE2CA">
        <w:rPr>
          <w:rFonts w:asciiTheme="minorHAnsi" w:hAnsiTheme="minorHAnsi" w:cstheme="minorBidi"/>
          <w:lang w:val="en-US" w:eastAsia="en-US"/>
        </w:rPr>
        <w:t xml:space="preserve"> </w:t>
      </w:r>
    </w:p>
    <w:p w14:paraId="16623BA3" w14:textId="5B3A066E" w:rsidR="0D3E1EDC" w:rsidRPr="00202DA2" w:rsidRDefault="0D3E1EDC" w:rsidP="0D3E1EDC">
      <w:pPr>
        <w:rPr>
          <w:rFonts w:asciiTheme="minorHAnsi" w:hAnsiTheme="minorHAnsi" w:cstheme="minorHAnsi"/>
          <w:lang w:val="en-US" w:eastAsia="en-US"/>
        </w:rPr>
      </w:pPr>
    </w:p>
    <w:p w14:paraId="13D933C0" w14:textId="5A91B3B7" w:rsidR="007B2AAB" w:rsidRPr="00202DA2" w:rsidRDefault="009074F6" w:rsidP="0D3E1EDC">
      <w:pPr>
        <w:autoSpaceDE w:val="0"/>
        <w:autoSpaceDN w:val="0"/>
        <w:adjustRightInd w:val="0"/>
        <w:rPr>
          <w:rFonts w:asciiTheme="minorHAnsi" w:hAnsiTheme="minorHAnsi" w:cstheme="minorBidi"/>
          <w:lang w:val="en-US" w:eastAsia="en-US"/>
        </w:rPr>
      </w:pPr>
      <w:bookmarkStart w:id="2" w:name="_Hlk41217385"/>
      <w:r w:rsidRPr="4D2F1A4F">
        <w:rPr>
          <w:rFonts w:asciiTheme="minorHAnsi" w:hAnsiTheme="minorHAnsi" w:cstheme="minorBidi"/>
          <w:lang w:val="en-US" w:eastAsia="en-US"/>
        </w:rPr>
        <w:t>Include</w:t>
      </w:r>
      <w:r w:rsidR="00AF5325" w:rsidRPr="4D2F1A4F">
        <w:rPr>
          <w:rFonts w:asciiTheme="minorHAnsi" w:hAnsiTheme="minorHAnsi" w:cstheme="minorBidi"/>
          <w:lang w:val="en-US" w:eastAsia="en-US"/>
        </w:rPr>
        <w:t>:</w:t>
      </w:r>
    </w:p>
    <w:p w14:paraId="293BD855" w14:textId="6BE6A3F6" w:rsidR="00FA0CFA" w:rsidRPr="00202DA2" w:rsidRDefault="00FA0CFA" w:rsidP="00B14D0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0" w:line="240" w:lineRule="auto"/>
        <w:ind w:left="360"/>
        <w:rPr>
          <w:rFonts w:cstheme="minorHAnsi"/>
          <w:sz w:val="24"/>
          <w:szCs w:val="24"/>
          <w:lang w:val="en-US"/>
        </w:rPr>
      </w:pPr>
      <w:r w:rsidRPr="00202DA2">
        <w:rPr>
          <w:rFonts w:cstheme="minorHAnsi"/>
          <w:sz w:val="24"/>
          <w:szCs w:val="24"/>
          <w:lang w:val="en-US"/>
        </w:rPr>
        <w:t>Percentage of requests responded to within legislated timelines</w:t>
      </w:r>
      <w:r w:rsidR="002F3B42" w:rsidRPr="00202DA2">
        <w:rPr>
          <w:rFonts w:cstheme="minorHAnsi"/>
          <w:sz w:val="24"/>
          <w:szCs w:val="24"/>
          <w:lang w:val="en-US"/>
        </w:rPr>
        <w:t>,</w:t>
      </w:r>
      <w:r w:rsidRPr="00202DA2">
        <w:rPr>
          <w:rFonts w:cstheme="minorHAnsi"/>
          <w:sz w:val="24"/>
          <w:szCs w:val="24"/>
          <w:lang w:val="en-US"/>
        </w:rPr>
        <w:t xml:space="preserve"> as the key measure of the institution’s performance </w:t>
      </w:r>
    </w:p>
    <w:p w14:paraId="77E6EFC5" w14:textId="1EBB23F3" w:rsidR="00FA0CFA" w:rsidRPr="00202DA2" w:rsidRDefault="00FA0CFA" w:rsidP="00B14D0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0" w:line="240" w:lineRule="auto"/>
        <w:ind w:left="360"/>
        <w:rPr>
          <w:rFonts w:cstheme="minorHAnsi"/>
          <w:sz w:val="24"/>
          <w:szCs w:val="24"/>
          <w:lang w:val="en-US"/>
        </w:rPr>
      </w:pPr>
      <w:bookmarkStart w:id="3" w:name="_Hlk70028283"/>
      <w:r w:rsidRPr="00202DA2">
        <w:rPr>
          <w:rFonts w:cstheme="minorHAnsi"/>
          <w:sz w:val="24"/>
          <w:szCs w:val="24"/>
          <w:lang w:val="en-US"/>
        </w:rPr>
        <w:t xml:space="preserve">Number of </w:t>
      </w:r>
      <w:r w:rsidR="006039DC" w:rsidRPr="00202DA2">
        <w:rPr>
          <w:rFonts w:cstheme="minorHAnsi"/>
          <w:sz w:val="24"/>
          <w:szCs w:val="24"/>
          <w:lang w:val="en-US"/>
        </w:rPr>
        <w:t xml:space="preserve">completed </w:t>
      </w:r>
      <w:r w:rsidRPr="00202DA2">
        <w:rPr>
          <w:rFonts w:cstheme="minorHAnsi"/>
          <w:sz w:val="24"/>
          <w:szCs w:val="24"/>
          <w:lang w:val="en-US"/>
        </w:rPr>
        <w:t>requests, broken down by completion times, for example, “X completed within 1-30 days, Y completed within 31 to 60 days”</w:t>
      </w:r>
      <w:bookmarkEnd w:id="3"/>
    </w:p>
    <w:p w14:paraId="77F8D4A4" w14:textId="016D97E5" w:rsidR="001737A2" w:rsidRPr="00202DA2" w:rsidRDefault="006039DC" w:rsidP="00B14D0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0" w:line="240" w:lineRule="auto"/>
        <w:ind w:left="360"/>
        <w:rPr>
          <w:rFonts w:cstheme="minorHAnsi"/>
          <w:sz w:val="24"/>
          <w:szCs w:val="24"/>
          <w:lang w:val="en-US"/>
        </w:rPr>
      </w:pPr>
      <w:bookmarkStart w:id="4" w:name="_Hlk100842098"/>
      <w:bookmarkStart w:id="5" w:name="_Hlk94600608"/>
      <w:r w:rsidRPr="00202DA2">
        <w:rPr>
          <w:rFonts w:cstheme="minorHAnsi"/>
          <w:sz w:val="24"/>
          <w:szCs w:val="24"/>
        </w:rPr>
        <w:t>Number of active requests</w:t>
      </w:r>
      <w:r w:rsidR="001737A2" w:rsidRPr="00202DA2">
        <w:rPr>
          <w:rFonts w:cstheme="minorHAnsi"/>
          <w:sz w:val="24"/>
          <w:szCs w:val="24"/>
        </w:rPr>
        <w:t xml:space="preserve"> </w:t>
      </w:r>
      <w:r w:rsidR="00921DB0" w:rsidRPr="00202DA2">
        <w:rPr>
          <w:rFonts w:cstheme="minorHAnsi"/>
          <w:sz w:val="24"/>
          <w:szCs w:val="24"/>
        </w:rPr>
        <w:t>as of the last day of the reporting period</w:t>
      </w:r>
      <w:r w:rsidR="005B626E" w:rsidRPr="00202DA2">
        <w:rPr>
          <w:rFonts w:cstheme="minorHAnsi"/>
          <w:sz w:val="24"/>
          <w:szCs w:val="24"/>
        </w:rPr>
        <w:t xml:space="preserve">, </w:t>
      </w:r>
      <w:r w:rsidR="00450A49" w:rsidRPr="00202DA2">
        <w:rPr>
          <w:rFonts w:cstheme="minorHAnsi"/>
          <w:sz w:val="24"/>
          <w:szCs w:val="24"/>
        </w:rPr>
        <w:t xml:space="preserve">broken down by </w:t>
      </w:r>
      <w:r w:rsidR="00AE05EE" w:rsidRPr="00202DA2">
        <w:rPr>
          <w:rFonts w:cstheme="minorHAnsi"/>
          <w:sz w:val="24"/>
          <w:szCs w:val="24"/>
        </w:rPr>
        <w:t>fiscal year</w:t>
      </w:r>
      <w:r w:rsidR="00450A49" w:rsidRPr="00202DA2">
        <w:rPr>
          <w:rFonts w:cstheme="minorHAnsi"/>
          <w:sz w:val="24"/>
          <w:szCs w:val="24"/>
        </w:rPr>
        <w:t xml:space="preserve"> in which they were received, and </w:t>
      </w:r>
      <w:r w:rsidR="00F73785" w:rsidRPr="00202DA2">
        <w:rPr>
          <w:rFonts w:cstheme="minorHAnsi"/>
          <w:sz w:val="24"/>
          <w:szCs w:val="24"/>
        </w:rPr>
        <w:t xml:space="preserve">by </w:t>
      </w:r>
      <w:r w:rsidR="00450A49" w:rsidRPr="00202DA2">
        <w:rPr>
          <w:rFonts w:cstheme="minorHAnsi"/>
          <w:sz w:val="24"/>
          <w:szCs w:val="24"/>
        </w:rPr>
        <w:t>whether they are still within legislated timelines</w:t>
      </w:r>
      <w:r w:rsidR="00F73785" w:rsidRPr="00202DA2">
        <w:rPr>
          <w:rFonts w:cstheme="minorHAnsi"/>
          <w:sz w:val="24"/>
          <w:szCs w:val="24"/>
        </w:rPr>
        <w:t xml:space="preserve"> (</w:t>
      </w:r>
      <w:r w:rsidR="00450A49" w:rsidRPr="00202DA2">
        <w:rPr>
          <w:rFonts w:cstheme="minorHAnsi"/>
          <w:sz w:val="24"/>
          <w:szCs w:val="24"/>
        </w:rPr>
        <w:t>including extensions</w:t>
      </w:r>
      <w:r w:rsidR="00F73785" w:rsidRPr="00202DA2">
        <w:rPr>
          <w:rFonts w:cstheme="minorHAnsi"/>
          <w:sz w:val="24"/>
          <w:szCs w:val="24"/>
        </w:rPr>
        <w:t>)</w:t>
      </w:r>
    </w:p>
    <w:bookmarkEnd w:id="4"/>
    <w:p w14:paraId="2B13B1FD" w14:textId="654202CA" w:rsidR="001737A2" w:rsidRPr="00202DA2" w:rsidRDefault="00450A49" w:rsidP="00B14D0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0" w:line="240" w:lineRule="auto"/>
        <w:ind w:left="360"/>
        <w:rPr>
          <w:rFonts w:cstheme="minorHAnsi"/>
          <w:sz w:val="24"/>
          <w:szCs w:val="24"/>
          <w:lang w:val="en-US"/>
        </w:rPr>
      </w:pPr>
      <w:r w:rsidRPr="00202DA2">
        <w:rPr>
          <w:rFonts w:cstheme="minorHAnsi"/>
          <w:sz w:val="24"/>
          <w:szCs w:val="24"/>
        </w:rPr>
        <w:t xml:space="preserve">Number of active complaints </w:t>
      </w:r>
      <w:r w:rsidR="00921DB0" w:rsidRPr="00202DA2">
        <w:rPr>
          <w:rFonts w:cstheme="minorHAnsi"/>
          <w:sz w:val="24"/>
          <w:szCs w:val="24"/>
        </w:rPr>
        <w:t xml:space="preserve">as of the end of the </w:t>
      </w:r>
      <w:r w:rsidR="00AE05EE" w:rsidRPr="00202DA2">
        <w:rPr>
          <w:rFonts w:cstheme="minorHAnsi"/>
          <w:sz w:val="24"/>
          <w:szCs w:val="24"/>
        </w:rPr>
        <w:t>fiscal year</w:t>
      </w:r>
      <w:r w:rsidRPr="00202DA2">
        <w:rPr>
          <w:rFonts w:cstheme="minorHAnsi"/>
          <w:sz w:val="24"/>
          <w:szCs w:val="24"/>
        </w:rPr>
        <w:t xml:space="preserve">, broken down by </w:t>
      </w:r>
      <w:r w:rsidR="00F23F3E" w:rsidRPr="00202DA2">
        <w:rPr>
          <w:rFonts w:cstheme="minorHAnsi"/>
          <w:sz w:val="24"/>
          <w:szCs w:val="24"/>
        </w:rPr>
        <w:t xml:space="preserve">specific </w:t>
      </w:r>
      <w:r w:rsidRPr="00202DA2">
        <w:rPr>
          <w:rFonts w:cstheme="minorHAnsi"/>
          <w:sz w:val="24"/>
          <w:szCs w:val="24"/>
        </w:rPr>
        <w:t>reporting period in which they were received</w:t>
      </w:r>
    </w:p>
    <w:bookmarkEnd w:id="5"/>
    <w:p w14:paraId="3BCC1E93" w14:textId="77777777" w:rsidR="00FA0CFA" w:rsidRPr="00202DA2" w:rsidRDefault="00FA0CFA" w:rsidP="00B14D0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0" w:line="240" w:lineRule="auto"/>
        <w:ind w:left="360"/>
        <w:rPr>
          <w:rFonts w:cstheme="minorHAnsi"/>
          <w:sz w:val="24"/>
          <w:szCs w:val="24"/>
          <w:lang w:val="en-US"/>
        </w:rPr>
      </w:pPr>
      <w:r w:rsidRPr="00202DA2">
        <w:rPr>
          <w:rFonts w:cstheme="minorHAnsi"/>
          <w:sz w:val="24"/>
          <w:szCs w:val="24"/>
          <w:lang w:val="en-US"/>
        </w:rPr>
        <w:t xml:space="preserve">Information on the reasons for extensions </w:t>
      </w:r>
    </w:p>
    <w:p w14:paraId="20BDC166" w14:textId="5D92C92E" w:rsidR="00FA0CFA" w:rsidRPr="00202DA2" w:rsidRDefault="00FA0CFA" w:rsidP="00B14D0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0" w:line="240" w:lineRule="auto"/>
        <w:ind w:left="360"/>
        <w:rPr>
          <w:rFonts w:cstheme="minorHAnsi"/>
          <w:sz w:val="24"/>
          <w:szCs w:val="24"/>
          <w:lang w:val="en-US"/>
        </w:rPr>
      </w:pPr>
      <w:r w:rsidRPr="00202DA2">
        <w:rPr>
          <w:rFonts w:cstheme="minorHAnsi"/>
          <w:sz w:val="24"/>
          <w:szCs w:val="24"/>
          <w:lang w:val="en-US"/>
        </w:rPr>
        <w:t>Data on consultations completed for other institutions (</w:t>
      </w:r>
      <w:r w:rsidR="00943EB2" w:rsidRPr="00202DA2">
        <w:rPr>
          <w:rFonts w:cstheme="minorHAnsi"/>
          <w:sz w:val="24"/>
          <w:szCs w:val="24"/>
          <w:lang w:val="en-US"/>
        </w:rPr>
        <w:t>e.g.</w:t>
      </w:r>
      <w:r w:rsidRPr="00202DA2">
        <w:rPr>
          <w:rFonts w:cstheme="minorHAnsi"/>
          <w:sz w:val="24"/>
          <w:szCs w:val="24"/>
          <w:lang w:val="en-US"/>
        </w:rPr>
        <w:t xml:space="preserve"> number, completion times)</w:t>
      </w:r>
    </w:p>
    <w:p w14:paraId="2AB13149" w14:textId="73EC3763" w:rsidR="00FA0CFA" w:rsidRPr="00202DA2" w:rsidRDefault="00FA0CFA" w:rsidP="00B14D0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0" w:line="240" w:lineRule="auto"/>
        <w:ind w:left="360"/>
        <w:rPr>
          <w:rFonts w:cstheme="minorHAnsi"/>
          <w:sz w:val="24"/>
          <w:szCs w:val="24"/>
          <w:lang w:val="en-US"/>
        </w:rPr>
      </w:pPr>
      <w:r w:rsidRPr="00202DA2">
        <w:rPr>
          <w:rFonts w:cstheme="minorHAnsi"/>
          <w:sz w:val="24"/>
          <w:szCs w:val="24"/>
          <w:lang w:val="en-US"/>
        </w:rPr>
        <w:t xml:space="preserve">Percentage of </w:t>
      </w:r>
      <w:r w:rsidR="006039DC" w:rsidRPr="00202DA2">
        <w:rPr>
          <w:rFonts w:cstheme="minorHAnsi"/>
          <w:sz w:val="24"/>
          <w:szCs w:val="24"/>
          <w:lang w:val="en-US"/>
        </w:rPr>
        <w:t>c</w:t>
      </w:r>
      <w:r w:rsidR="00BA6112" w:rsidRPr="00202DA2">
        <w:rPr>
          <w:rFonts w:cstheme="minorHAnsi"/>
          <w:sz w:val="24"/>
          <w:szCs w:val="24"/>
          <w:lang w:val="en-US"/>
        </w:rPr>
        <w:t>omplet</w:t>
      </w:r>
      <w:r w:rsidR="006039DC" w:rsidRPr="00202DA2">
        <w:rPr>
          <w:rFonts w:cstheme="minorHAnsi"/>
          <w:sz w:val="24"/>
          <w:szCs w:val="24"/>
          <w:lang w:val="en-US"/>
        </w:rPr>
        <w:t xml:space="preserve">ed </w:t>
      </w:r>
      <w:r w:rsidRPr="00202DA2">
        <w:rPr>
          <w:rFonts w:cstheme="minorHAnsi"/>
          <w:sz w:val="24"/>
          <w:szCs w:val="24"/>
          <w:lang w:val="en-US"/>
        </w:rPr>
        <w:t>requests for which records were “all disclosed”, and percentage for which records were “disclosed in part”</w:t>
      </w:r>
    </w:p>
    <w:p w14:paraId="3E60B5D9" w14:textId="27D00407" w:rsidR="00877932" w:rsidRPr="00202DA2" w:rsidRDefault="00877932" w:rsidP="00B14D0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  <w:lang w:val="en-US"/>
        </w:rPr>
      </w:pPr>
      <w:r w:rsidRPr="00202DA2">
        <w:rPr>
          <w:rFonts w:cstheme="minorHAnsi"/>
          <w:sz w:val="24"/>
          <w:szCs w:val="24"/>
          <w:lang w:val="en-US"/>
        </w:rPr>
        <w:t xml:space="preserve">Other performance information, </w:t>
      </w:r>
      <w:r w:rsidR="00EF2E04" w:rsidRPr="00202DA2">
        <w:rPr>
          <w:rFonts w:cstheme="minorHAnsi"/>
          <w:sz w:val="24"/>
          <w:szCs w:val="24"/>
          <w:lang w:val="en-US"/>
        </w:rPr>
        <w:t>as relevant</w:t>
      </w:r>
      <w:r w:rsidR="00DE04DE">
        <w:rPr>
          <w:rFonts w:cstheme="minorHAnsi"/>
          <w:sz w:val="24"/>
          <w:szCs w:val="24"/>
          <w:lang w:val="en-US"/>
        </w:rPr>
        <w:t xml:space="preserve"> (e.g. </w:t>
      </w:r>
      <w:r w:rsidR="00DE04DE" w:rsidRPr="00DE04DE">
        <w:rPr>
          <w:rFonts w:cstheme="minorHAnsi"/>
          <w:sz w:val="24"/>
          <w:szCs w:val="24"/>
          <w:lang w:val="en-US"/>
        </w:rPr>
        <w:t>number of requests for translation received and</w:t>
      </w:r>
      <w:r w:rsidR="00506201">
        <w:rPr>
          <w:rFonts w:cstheme="minorHAnsi"/>
          <w:sz w:val="24"/>
          <w:szCs w:val="24"/>
          <w:lang w:val="en-US"/>
        </w:rPr>
        <w:t xml:space="preserve"> fulfilled</w:t>
      </w:r>
      <w:r w:rsidR="003B1B6D">
        <w:rPr>
          <w:rFonts w:cstheme="minorHAnsi"/>
          <w:sz w:val="24"/>
          <w:szCs w:val="24"/>
          <w:lang w:val="en-US"/>
        </w:rPr>
        <w:t xml:space="preserve"> re</w:t>
      </w:r>
      <w:r w:rsidR="00DE04DE" w:rsidRPr="00DE04DE">
        <w:rPr>
          <w:rFonts w:cstheme="minorHAnsi"/>
          <w:sz w:val="24"/>
          <w:szCs w:val="24"/>
          <w:lang w:val="en-US"/>
        </w:rPr>
        <w:t>lating to requests</w:t>
      </w:r>
      <w:r w:rsidR="003B1B6D">
        <w:rPr>
          <w:rFonts w:cstheme="minorHAnsi"/>
          <w:sz w:val="24"/>
          <w:szCs w:val="24"/>
          <w:lang w:val="en-US"/>
        </w:rPr>
        <w:t xml:space="preserve"> for information</w:t>
      </w:r>
      <w:r w:rsidR="0031058D">
        <w:rPr>
          <w:rFonts w:cstheme="minorHAnsi"/>
          <w:sz w:val="24"/>
          <w:szCs w:val="24"/>
          <w:lang w:val="en-US"/>
        </w:rPr>
        <w:t>)</w:t>
      </w:r>
    </w:p>
    <w:bookmarkEnd w:id="2"/>
    <w:p w14:paraId="452F527E" w14:textId="7D746C83" w:rsidR="0D3E1EDC" w:rsidRDefault="0D3E1EDC" w:rsidP="0D3E1EDC">
      <w:pPr>
        <w:rPr>
          <w:rFonts w:asciiTheme="minorHAnsi" w:eastAsia="Calibri" w:hAnsiTheme="minorHAnsi" w:cstheme="minorHAnsi"/>
          <w:lang w:val="en-US"/>
        </w:rPr>
      </w:pPr>
    </w:p>
    <w:p w14:paraId="662CAADC" w14:textId="77777777" w:rsidR="00453F9B" w:rsidRPr="00202DA2" w:rsidRDefault="00453F9B" w:rsidP="0D3E1EDC">
      <w:pPr>
        <w:rPr>
          <w:rFonts w:asciiTheme="minorHAnsi" w:eastAsia="Calibri" w:hAnsiTheme="minorHAnsi" w:cstheme="minorHAnsi"/>
          <w:lang w:val="en-US"/>
        </w:rPr>
      </w:pPr>
    </w:p>
    <w:p w14:paraId="271E0B85" w14:textId="789C0ADB" w:rsidR="002F651A" w:rsidRPr="00202DA2" w:rsidRDefault="005B14A9" w:rsidP="0D3E1EDC">
      <w:pPr>
        <w:autoSpaceDE w:val="0"/>
        <w:autoSpaceDN w:val="0"/>
        <w:adjustRightInd w:val="0"/>
        <w:rPr>
          <w:rFonts w:asciiTheme="minorHAnsi" w:hAnsiTheme="minorHAnsi" w:cstheme="minorHAnsi"/>
          <w:lang w:val="en-US" w:eastAsia="en-US"/>
        </w:rPr>
      </w:pPr>
      <w:r w:rsidRPr="00202DA2">
        <w:rPr>
          <w:rFonts w:asciiTheme="minorHAnsi" w:hAnsiTheme="minorHAnsi" w:cstheme="minorHAnsi"/>
          <w:b/>
          <w:bCs/>
          <w:lang w:val="en-US" w:eastAsia="en-US"/>
        </w:rPr>
        <w:t>A</w:t>
      </w:r>
      <w:r w:rsidR="002F651A" w:rsidRPr="00202DA2">
        <w:rPr>
          <w:rFonts w:asciiTheme="minorHAnsi" w:hAnsiTheme="minorHAnsi" w:cstheme="minorHAnsi"/>
          <w:b/>
          <w:bCs/>
          <w:lang w:val="en-US" w:eastAsia="en-US"/>
        </w:rPr>
        <w:t>5. Training</w:t>
      </w:r>
      <w:r w:rsidR="00026919" w:rsidRPr="00202DA2">
        <w:rPr>
          <w:rFonts w:asciiTheme="minorHAnsi" w:hAnsiTheme="minorHAnsi" w:cstheme="minorHAnsi"/>
          <w:b/>
          <w:bCs/>
          <w:lang w:val="en-US" w:eastAsia="en-US"/>
        </w:rPr>
        <w:t xml:space="preserve"> and Awareness</w:t>
      </w:r>
    </w:p>
    <w:p w14:paraId="619AF1D8" w14:textId="1B773CA2" w:rsidR="00AF14D9" w:rsidRPr="00202DA2" w:rsidRDefault="00D66200" w:rsidP="0D3E1EDC">
      <w:pPr>
        <w:autoSpaceDE w:val="0"/>
        <w:autoSpaceDN w:val="0"/>
        <w:adjustRightInd w:val="0"/>
        <w:rPr>
          <w:rFonts w:asciiTheme="minorHAnsi" w:hAnsiTheme="minorHAnsi" w:cstheme="minorHAnsi"/>
          <w:lang w:val="en-US" w:eastAsia="en-US"/>
        </w:rPr>
      </w:pPr>
      <w:r w:rsidRPr="00202DA2">
        <w:rPr>
          <w:rFonts w:asciiTheme="minorHAnsi" w:hAnsiTheme="minorHAnsi" w:cstheme="minorHAnsi"/>
          <w:lang w:val="en-US" w:eastAsia="en-US"/>
        </w:rPr>
        <w:t xml:space="preserve">Describe </w:t>
      </w:r>
      <w:r w:rsidR="0078777F" w:rsidRPr="00202DA2">
        <w:rPr>
          <w:rFonts w:asciiTheme="minorHAnsi" w:hAnsiTheme="minorHAnsi" w:cstheme="minorHAnsi"/>
          <w:lang w:val="en-US" w:eastAsia="en-US"/>
        </w:rPr>
        <w:t>t</w:t>
      </w:r>
      <w:r w:rsidRPr="00202DA2">
        <w:rPr>
          <w:rFonts w:asciiTheme="minorHAnsi" w:hAnsiTheme="minorHAnsi" w:cstheme="minorHAnsi"/>
          <w:lang w:val="en-US" w:eastAsia="en-US"/>
        </w:rPr>
        <w:t xml:space="preserve">raining and </w:t>
      </w:r>
      <w:r w:rsidR="00AF14D9" w:rsidRPr="00202DA2">
        <w:rPr>
          <w:rFonts w:asciiTheme="minorHAnsi" w:hAnsiTheme="minorHAnsi" w:cstheme="minorHAnsi"/>
          <w:lang w:val="en-US" w:eastAsia="en-US"/>
        </w:rPr>
        <w:t xml:space="preserve">awareness activities related to </w:t>
      </w:r>
      <w:r w:rsidR="003637C4" w:rsidRPr="00202DA2">
        <w:rPr>
          <w:rFonts w:asciiTheme="minorHAnsi" w:hAnsiTheme="minorHAnsi" w:cstheme="minorHAnsi"/>
          <w:lang w:val="en-US" w:eastAsia="en-US"/>
        </w:rPr>
        <w:t>access to information</w:t>
      </w:r>
      <w:r w:rsidR="00864225" w:rsidRPr="00202DA2">
        <w:rPr>
          <w:rFonts w:asciiTheme="minorHAnsi" w:hAnsiTheme="minorHAnsi" w:cstheme="minorHAnsi"/>
          <w:lang w:val="en-US" w:eastAsia="en-US"/>
        </w:rPr>
        <w:t>, including Part 2 Proactive Publication,</w:t>
      </w:r>
      <w:r w:rsidR="00AF14D9" w:rsidRPr="00202DA2">
        <w:rPr>
          <w:rFonts w:asciiTheme="minorHAnsi" w:hAnsiTheme="minorHAnsi" w:cstheme="minorHAnsi"/>
          <w:lang w:val="en-US" w:eastAsia="en-US"/>
        </w:rPr>
        <w:t xml:space="preserve"> that were provided to the institution’s employees during the reporting period. This can include informal briefings, one-on-one training, </w:t>
      </w:r>
      <w:r w:rsidR="00943EB2" w:rsidRPr="00202DA2">
        <w:rPr>
          <w:rFonts w:asciiTheme="minorHAnsi" w:hAnsiTheme="minorHAnsi" w:cstheme="minorHAnsi"/>
          <w:lang w:val="en-US" w:eastAsia="en-US"/>
        </w:rPr>
        <w:t>orientation,</w:t>
      </w:r>
      <w:r w:rsidR="00AF14D9" w:rsidRPr="00202DA2">
        <w:rPr>
          <w:rFonts w:asciiTheme="minorHAnsi" w:hAnsiTheme="minorHAnsi" w:cstheme="minorHAnsi"/>
          <w:lang w:val="en-US" w:eastAsia="en-US"/>
        </w:rPr>
        <w:t xml:space="preserve"> and awareness </w:t>
      </w:r>
      <w:r w:rsidR="00AF14D9" w:rsidRPr="00202DA2">
        <w:rPr>
          <w:rFonts w:asciiTheme="minorHAnsi" w:hAnsiTheme="minorHAnsi" w:cstheme="minorHAnsi"/>
          <w:lang w:val="en-US" w:eastAsia="en-US"/>
        </w:rPr>
        <w:lastRenderedPageBreak/>
        <w:t>sessions, as well as formal training courses. This does not include training taken by ATIP officials.</w:t>
      </w:r>
    </w:p>
    <w:p w14:paraId="5409ACF4" w14:textId="1B83A2F0" w:rsidR="0D3E1EDC" w:rsidRPr="00202DA2" w:rsidRDefault="0D3E1EDC" w:rsidP="0D3E1EDC">
      <w:pPr>
        <w:rPr>
          <w:rFonts w:asciiTheme="minorHAnsi" w:hAnsiTheme="minorHAnsi" w:cstheme="minorHAnsi"/>
          <w:lang w:val="en-US" w:eastAsia="en-US"/>
        </w:rPr>
      </w:pPr>
    </w:p>
    <w:p w14:paraId="7946368F" w14:textId="52D05171" w:rsidR="00D979A3" w:rsidRPr="00202DA2" w:rsidRDefault="00D979A3" w:rsidP="0D3E1EDC">
      <w:pPr>
        <w:rPr>
          <w:rFonts w:asciiTheme="minorHAnsi" w:hAnsiTheme="minorHAnsi" w:cstheme="minorHAnsi"/>
        </w:rPr>
      </w:pPr>
      <w:r w:rsidRPr="00202DA2">
        <w:rPr>
          <w:rFonts w:asciiTheme="minorHAnsi" w:hAnsiTheme="minorHAnsi" w:cstheme="minorHAnsi"/>
        </w:rPr>
        <w:t xml:space="preserve">Institutions are encouraged to elaborate on activities such as web training, information booths, awareness campaigns and </w:t>
      </w:r>
      <w:r w:rsidR="00FA1910" w:rsidRPr="00202DA2">
        <w:rPr>
          <w:rFonts w:asciiTheme="minorHAnsi" w:hAnsiTheme="minorHAnsi" w:cstheme="minorHAnsi"/>
        </w:rPr>
        <w:t xml:space="preserve">other </w:t>
      </w:r>
      <w:r w:rsidRPr="00202DA2">
        <w:rPr>
          <w:rFonts w:asciiTheme="minorHAnsi" w:hAnsiTheme="minorHAnsi" w:cstheme="minorHAnsi"/>
        </w:rPr>
        <w:t>awareness activities.</w:t>
      </w:r>
    </w:p>
    <w:p w14:paraId="5470345F" w14:textId="33A6B0D6" w:rsidR="0D3E1EDC" w:rsidRPr="00202DA2" w:rsidRDefault="0D3E1EDC" w:rsidP="0D3E1EDC">
      <w:pPr>
        <w:rPr>
          <w:rFonts w:asciiTheme="minorHAnsi" w:hAnsiTheme="minorHAnsi" w:cstheme="minorHAnsi"/>
        </w:rPr>
      </w:pPr>
    </w:p>
    <w:p w14:paraId="271E0B89" w14:textId="0703508C" w:rsidR="002F651A" w:rsidRPr="00202DA2" w:rsidRDefault="00D979A3" w:rsidP="0D3E1EDC">
      <w:pPr>
        <w:autoSpaceDE w:val="0"/>
        <w:autoSpaceDN w:val="0"/>
        <w:adjustRightInd w:val="0"/>
        <w:rPr>
          <w:rFonts w:asciiTheme="minorHAnsi" w:hAnsiTheme="minorHAnsi" w:cstheme="minorHAnsi"/>
          <w:lang w:val="en-US" w:eastAsia="en-US"/>
        </w:rPr>
      </w:pPr>
      <w:r w:rsidRPr="00202DA2">
        <w:rPr>
          <w:rFonts w:asciiTheme="minorHAnsi" w:hAnsiTheme="minorHAnsi" w:cstheme="minorHAnsi"/>
          <w:lang w:val="en-US" w:eastAsia="en-US"/>
        </w:rPr>
        <w:t>For formal information and training sessions, you may wish to indicate the number of sessions and the number of participants.</w:t>
      </w:r>
    </w:p>
    <w:p w14:paraId="3E77EA5B" w14:textId="77777777" w:rsidR="00202DA2" w:rsidRPr="00202DA2" w:rsidRDefault="00202DA2" w:rsidP="00202DA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-US"/>
        </w:rPr>
      </w:pPr>
    </w:p>
    <w:p w14:paraId="0122C227" w14:textId="3BDD93B2" w:rsidR="003C3877" w:rsidRPr="00202DA2" w:rsidRDefault="002F651A" w:rsidP="00202DA2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202DA2">
        <w:rPr>
          <w:rFonts w:asciiTheme="minorHAnsi" w:hAnsiTheme="minorHAnsi" w:cstheme="minorHAnsi"/>
          <w:b/>
          <w:bCs/>
          <w:lang w:val="en-US"/>
        </w:rPr>
        <w:t>Note:</w:t>
      </w:r>
      <w:r w:rsidRPr="00202DA2">
        <w:rPr>
          <w:rFonts w:asciiTheme="minorHAnsi" w:hAnsiTheme="minorHAnsi" w:cstheme="minorHAnsi"/>
          <w:lang w:val="en-US"/>
        </w:rPr>
        <w:t xml:space="preserve"> If no tra</w:t>
      </w:r>
      <w:r w:rsidR="00A27951" w:rsidRPr="00202DA2">
        <w:rPr>
          <w:rFonts w:asciiTheme="minorHAnsi" w:hAnsiTheme="minorHAnsi" w:cstheme="minorHAnsi"/>
          <w:lang w:val="en-US"/>
        </w:rPr>
        <w:t>ining</w:t>
      </w:r>
      <w:r w:rsidR="00615B03" w:rsidRPr="00202DA2">
        <w:rPr>
          <w:rFonts w:asciiTheme="minorHAnsi" w:hAnsiTheme="minorHAnsi" w:cstheme="minorHAnsi"/>
          <w:lang w:val="en-US"/>
        </w:rPr>
        <w:t>/awareness</w:t>
      </w:r>
      <w:r w:rsidR="00A27951" w:rsidRPr="00202DA2">
        <w:rPr>
          <w:rFonts w:asciiTheme="minorHAnsi" w:hAnsiTheme="minorHAnsi" w:cstheme="minorHAnsi"/>
          <w:lang w:val="en-US"/>
        </w:rPr>
        <w:t xml:space="preserve"> activities were provided</w:t>
      </w:r>
      <w:r w:rsidRPr="00202DA2">
        <w:rPr>
          <w:rFonts w:asciiTheme="minorHAnsi" w:hAnsiTheme="minorHAnsi" w:cstheme="minorHAnsi"/>
          <w:lang w:val="en-US"/>
        </w:rPr>
        <w:t xml:space="preserve"> during the reporting peri</w:t>
      </w:r>
      <w:r w:rsidR="00907BF5" w:rsidRPr="00202DA2">
        <w:rPr>
          <w:rFonts w:asciiTheme="minorHAnsi" w:hAnsiTheme="minorHAnsi" w:cstheme="minorHAnsi"/>
          <w:lang w:val="en-US"/>
        </w:rPr>
        <w:t xml:space="preserve">od, </w:t>
      </w:r>
      <w:r w:rsidR="003E31F0" w:rsidRPr="00202DA2">
        <w:rPr>
          <w:rFonts w:asciiTheme="minorHAnsi" w:hAnsiTheme="minorHAnsi" w:cstheme="minorHAnsi"/>
          <w:lang w:val="en-US"/>
        </w:rPr>
        <w:t>please include a</w:t>
      </w:r>
      <w:r w:rsidR="00907BF5" w:rsidRPr="00202DA2">
        <w:rPr>
          <w:rFonts w:asciiTheme="minorHAnsi" w:hAnsiTheme="minorHAnsi" w:cstheme="minorHAnsi"/>
          <w:lang w:val="en-US"/>
        </w:rPr>
        <w:t xml:space="preserve"> statement</w:t>
      </w:r>
      <w:r w:rsidR="003E31F0" w:rsidRPr="00202DA2">
        <w:rPr>
          <w:rFonts w:asciiTheme="minorHAnsi" w:hAnsiTheme="minorHAnsi" w:cstheme="minorHAnsi"/>
          <w:lang w:val="en-US"/>
        </w:rPr>
        <w:t xml:space="preserve"> to that effect</w:t>
      </w:r>
      <w:r w:rsidRPr="00202DA2">
        <w:rPr>
          <w:rFonts w:asciiTheme="minorHAnsi" w:hAnsiTheme="minorHAnsi" w:cstheme="minorHAnsi"/>
          <w:lang w:val="en-US"/>
        </w:rPr>
        <w:t>.</w:t>
      </w:r>
    </w:p>
    <w:p w14:paraId="37F42908" w14:textId="47207E6D" w:rsidR="0D3E1EDC" w:rsidRDefault="0D3E1EDC" w:rsidP="0D3E1EDC">
      <w:pPr>
        <w:contextualSpacing/>
        <w:rPr>
          <w:rFonts w:asciiTheme="minorHAnsi" w:hAnsiTheme="minorHAnsi" w:cstheme="minorHAnsi"/>
          <w:lang w:val="en-US" w:eastAsia="en-US"/>
        </w:rPr>
      </w:pPr>
    </w:p>
    <w:p w14:paraId="4C8F6910" w14:textId="77777777" w:rsidR="00453F9B" w:rsidRPr="00202DA2" w:rsidRDefault="00453F9B" w:rsidP="0D3E1EDC">
      <w:pPr>
        <w:contextualSpacing/>
        <w:rPr>
          <w:rFonts w:asciiTheme="minorHAnsi" w:hAnsiTheme="minorHAnsi" w:cstheme="minorHAnsi"/>
          <w:lang w:val="en-US" w:eastAsia="en-US"/>
        </w:rPr>
      </w:pPr>
    </w:p>
    <w:p w14:paraId="0439C7B3" w14:textId="33E45E7F" w:rsidR="005B14A9" w:rsidRPr="00202DA2" w:rsidRDefault="005B14A9" w:rsidP="0D3E1ED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-US" w:eastAsia="en-US"/>
        </w:rPr>
      </w:pPr>
      <w:r w:rsidRPr="00202DA2">
        <w:rPr>
          <w:rFonts w:asciiTheme="minorHAnsi" w:hAnsiTheme="minorHAnsi" w:cstheme="minorHAnsi"/>
          <w:b/>
          <w:bCs/>
          <w:lang w:val="en-US" w:eastAsia="en-US"/>
        </w:rPr>
        <w:t xml:space="preserve">A6. Policies, Guidelines, </w:t>
      </w:r>
      <w:r w:rsidR="005C3D77" w:rsidRPr="00202DA2">
        <w:rPr>
          <w:rFonts w:asciiTheme="minorHAnsi" w:hAnsiTheme="minorHAnsi" w:cstheme="minorHAnsi"/>
          <w:b/>
          <w:bCs/>
          <w:lang w:val="en-US" w:eastAsia="en-US"/>
        </w:rPr>
        <w:t xml:space="preserve">and </w:t>
      </w:r>
      <w:r w:rsidR="00943EB2" w:rsidRPr="00202DA2">
        <w:rPr>
          <w:rFonts w:asciiTheme="minorHAnsi" w:hAnsiTheme="minorHAnsi" w:cstheme="minorHAnsi"/>
          <w:b/>
          <w:bCs/>
          <w:lang w:val="en-US" w:eastAsia="en-US"/>
        </w:rPr>
        <w:t>Procedures</w:t>
      </w:r>
    </w:p>
    <w:p w14:paraId="36057921" w14:textId="355AF032" w:rsidR="001B13E9" w:rsidRPr="00202DA2" w:rsidRDefault="001B13E9" w:rsidP="0D3E1EDC">
      <w:pPr>
        <w:autoSpaceDE w:val="0"/>
        <w:autoSpaceDN w:val="0"/>
        <w:adjustRightInd w:val="0"/>
        <w:rPr>
          <w:rFonts w:asciiTheme="minorHAnsi" w:hAnsiTheme="minorHAnsi" w:cstheme="minorHAnsi"/>
          <w:lang w:val="en-US" w:eastAsia="en-US"/>
        </w:rPr>
      </w:pPr>
      <w:r w:rsidRPr="00202DA2">
        <w:rPr>
          <w:rFonts w:asciiTheme="minorHAnsi" w:hAnsiTheme="minorHAnsi" w:cstheme="minorHAnsi"/>
          <w:lang w:val="en-US" w:eastAsia="en-US"/>
        </w:rPr>
        <w:t>Describe any new or revised institution-specific policies, guidelines</w:t>
      </w:r>
      <w:r w:rsidR="00274FB7" w:rsidRPr="00202DA2">
        <w:rPr>
          <w:rFonts w:asciiTheme="minorHAnsi" w:hAnsiTheme="minorHAnsi" w:cstheme="minorHAnsi"/>
          <w:lang w:val="en-US" w:eastAsia="en-US"/>
        </w:rPr>
        <w:t xml:space="preserve"> and</w:t>
      </w:r>
      <w:r w:rsidRPr="00202DA2">
        <w:rPr>
          <w:rFonts w:asciiTheme="minorHAnsi" w:hAnsiTheme="minorHAnsi" w:cstheme="minorHAnsi"/>
          <w:lang w:val="en-US" w:eastAsia="en-US"/>
        </w:rPr>
        <w:t xml:space="preserve"> </w:t>
      </w:r>
      <w:r w:rsidR="001B26C8">
        <w:rPr>
          <w:rFonts w:asciiTheme="minorHAnsi" w:hAnsiTheme="minorHAnsi" w:cstheme="minorHAnsi"/>
          <w:lang w:val="en-US" w:eastAsia="en-US"/>
        </w:rPr>
        <w:t xml:space="preserve">written </w:t>
      </w:r>
      <w:r w:rsidR="00943EB2" w:rsidRPr="00202DA2">
        <w:rPr>
          <w:rFonts w:asciiTheme="minorHAnsi" w:hAnsiTheme="minorHAnsi" w:cstheme="minorHAnsi"/>
          <w:lang w:val="en-US" w:eastAsia="en-US"/>
        </w:rPr>
        <w:t>procedures</w:t>
      </w:r>
      <w:r w:rsidRPr="00202DA2">
        <w:rPr>
          <w:rFonts w:asciiTheme="minorHAnsi" w:hAnsiTheme="minorHAnsi" w:cstheme="minorHAnsi"/>
          <w:lang w:val="en-US" w:eastAsia="en-US"/>
        </w:rPr>
        <w:t xml:space="preserve"> related to access to information that were implemented in the institution during the reporting period. </w:t>
      </w:r>
    </w:p>
    <w:p w14:paraId="63DF5D28" w14:textId="29506315" w:rsidR="0D3E1EDC" w:rsidRPr="00202DA2" w:rsidRDefault="0D3E1EDC" w:rsidP="0D3E1EDC">
      <w:pPr>
        <w:rPr>
          <w:rFonts w:asciiTheme="minorHAnsi" w:hAnsiTheme="minorHAnsi" w:cstheme="minorHAnsi"/>
          <w:lang w:val="en-US" w:eastAsia="en-US"/>
        </w:rPr>
      </w:pPr>
    </w:p>
    <w:p w14:paraId="0B04BA76" w14:textId="050C7172" w:rsidR="001B13E9" w:rsidRDefault="001B13E9" w:rsidP="0D3E1EDC">
      <w:pPr>
        <w:autoSpaceDE w:val="0"/>
        <w:autoSpaceDN w:val="0"/>
        <w:adjustRightInd w:val="0"/>
        <w:rPr>
          <w:rFonts w:asciiTheme="minorHAnsi" w:hAnsiTheme="minorHAnsi" w:cstheme="minorHAnsi"/>
          <w:lang w:val="en-US" w:eastAsia="en-US"/>
        </w:rPr>
      </w:pPr>
      <w:r w:rsidRPr="00202DA2">
        <w:rPr>
          <w:rFonts w:asciiTheme="minorHAnsi" w:hAnsiTheme="minorHAnsi" w:cstheme="minorHAnsi"/>
          <w:lang w:val="en-US" w:eastAsia="en-US"/>
        </w:rPr>
        <w:t>Such policies, guidelines</w:t>
      </w:r>
      <w:r w:rsidR="00274FB7" w:rsidRPr="00202DA2">
        <w:rPr>
          <w:rFonts w:asciiTheme="minorHAnsi" w:hAnsiTheme="minorHAnsi" w:cstheme="minorHAnsi"/>
          <w:lang w:val="en-US" w:eastAsia="en-US"/>
        </w:rPr>
        <w:t xml:space="preserve"> and</w:t>
      </w:r>
      <w:r w:rsidRPr="00202DA2">
        <w:rPr>
          <w:rFonts w:asciiTheme="minorHAnsi" w:hAnsiTheme="minorHAnsi" w:cstheme="minorHAnsi"/>
          <w:lang w:val="en-US" w:eastAsia="en-US"/>
        </w:rPr>
        <w:t xml:space="preserve"> </w:t>
      </w:r>
      <w:r w:rsidR="00EF2E04" w:rsidRPr="00202DA2">
        <w:rPr>
          <w:rFonts w:asciiTheme="minorHAnsi" w:hAnsiTheme="minorHAnsi" w:cstheme="minorHAnsi"/>
          <w:lang w:val="en-US" w:eastAsia="en-US"/>
        </w:rPr>
        <w:t>procedures</w:t>
      </w:r>
      <w:r w:rsidRPr="00202DA2">
        <w:rPr>
          <w:rFonts w:asciiTheme="minorHAnsi" w:hAnsiTheme="minorHAnsi" w:cstheme="minorHAnsi"/>
          <w:lang w:val="en-US" w:eastAsia="en-US"/>
        </w:rPr>
        <w:t xml:space="preserve"> may have been implemented to comply with new Treasury Board of Canada Secretariat policies and directives, </w:t>
      </w:r>
      <w:r w:rsidR="00943EB2" w:rsidRPr="00202DA2">
        <w:rPr>
          <w:rFonts w:asciiTheme="minorHAnsi" w:hAnsiTheme="minorHAnsi" w:cstheme="minorHAnsi"/>
          <w:lang w:val="en-US" w:eastAsia="en-US"/>
        </w:rPr>
        <w:t>because of</w:t>
      </w:r>
      <w:r w:rsidRPr="00202DA2">
        <w:rPr>
          <w:rFonts w:asciiTheme="minorHAnsi" w:hAnsiTheme="minorHAnsi" w:cstheme="minorHAnsi"/>
          <w:lang w:val="en-US" w:eastAsia="en-US"/>
        </w:rPr>
        <w:t xml:space="preserve"> issues raised by the Office of the Information Commissioner or other Agents of Parliament, or for other reasons. </w:t>
      </w:r>
    </w:p>
    <w:p w14:paraId="3FCC4BB9" w14:textId="77777777" w:rsidR="00E6794A" w:rsidRDefault="00E6794A" w:rsidP="0D3E1EDC">
      <w:pPr>
        <w:autoSpaceDE w:val="0"/>
        <w:autoSpaceDN w:val="0"/>
        <w:adjustRightInd w:val="0"/>
        <w:rPr>
          <w:rFonts w:asciiTheme="minorHAnsi" w:hAnsiTheme="minorHAnsi" w:cstheme="minorHAnsi"/>
          <w:lang w:val="en-US" w:eastAsia="en-US"/>
        </w:rPr>
      </w:pPr>
    </w:p>
    <w:p w14:paraId="24735EB9" w14:textId="79DA9AB9" w:rsidR="00E6794A" w:rsidRPr="00E6794A" w:rsidRDefault="00E6794A" w:rsidP="0D3E1EDC">
      <w:pPr>
        <w:autoSpaceDE w:val="0"/>
        <w:autoSpaceDN w:val="0"/>
        <w:adjustRightInd w:val="0"/>
        <w:rPr>
          <w:rFonts w:asciiTheme="minorHAnsi" w:hAnsiTheme="minorHAnsi" w:cstheme="minorHAnsi"/>
          <w:lang w:val="en-US" w:eastAsia="en-US"/>
        </w:rPr>
      </w:pPr>
      <w:r>
        <w:rPr>
          <w:rFonts w:asciiTheme="minorHAnsi" w:hAnsiTheme="minorHAnsi" w:cstheme="minorHAnsi"/>
          <w:b/>
          <w:bCs/>
          <w:lang w:val="en-US" w:eastAsia="en-US"/>
        </w:rPr>
        <w:t>Please include</w:t>
      </w:r>
      <w:r>
        <w:rPr>
          <w:rFonts w:asciiTheme="minorHAnsi" w:hAnsiTheme="minorHAnsi" w:cstheme="minorHAnsi"/>
          <w:lang w:val="en-US" w:eastAsia="en-US"/>
        </w:rPr>
        <w:t xml:space="preserve"> </w:t>
      </w:r>
      <w:r w:rsidRPr="00E6794A">
        <w:rPr>
          <w:rFonts w:asciiTheme="minorHAnsi" w:hAnsiTheme="minorHAnsi" w:cstheme="minorHAnsi"/>
          <w:lang w:val="en-US" w:eastAsia="en-US"/>
        </w:rPr>
        <w:t>any procedures and systems the institution has put in place to meet proactive publication requirements</w:t>
      </w:r>
      <w:r w:rsidR="008A4BBA">
        <w:rPr>
          <w:rFonts w:asciiTheme="minorHAnsi" w:hAnsiTheme="minorHAnsi" w:cstheme="minorHAnsi"/>
          <w:lang w:val="en-US" w:eastAsia="en-US"/>
        </w:rPr>
        <w:t xml:space="preserve"> under Part 2 of the </w:t>
      </w:r>
      <w:r w:rsidR="008A4BBA">
        <w:rPr>
          <w:rFonts w:asciiTheme="minorHAnsi" w:hAnsiTheme="minorHAnsi" w:cstheme="minorHAnsi"/>
          <w:i/>
          <w:iCs/>
          <w:lang w:val="en-US" w:eastAsia="en-US"/>
        </w:rPr>
        <w:t>Access to Information Act</w:t>
      </w:r>
      <w:r w:rsidRPr="00E6794A">
        <w:rPr>
          <w:rFonts w:asciiTheme="minorHAnsi" w:hAnsiTheme="minorHAnsi" w:cstheme="minorHAnsi"/>
          <w:lang w:val="en-US" w:eastAsia="en-US"/>
        </w:rPr>
        <w:t>.</w:t>
      </w:r>
    </w:p>
    <w:p w14:paraId="444EC436" w14:textId="77777777" w:rsidR="00202DA2" w:rsidRPr="00202DA2" w:rsidRDefault="00202DA2" w:rsidP="00202DA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-US"/>
        </w:rPr>
      </w:pPr>
    </w:p>
    <w:p w14:paraId="4F7201AE" w14:textId="6FB66BB4" w:rsidR="001B13E9" w:rsidRPr="00202DA2" w:rsidRDefault="001B13E9" w:rsidP="00202DA2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202DA2">
        <w:rPr>
          <w:rFonts w:asciiTheme="minorHAnsi" w:hAnsiTheme="minorHAnsi" w:cstheme="minorHAnsi"/>
          <w:b/>
          <w:bCs/>
          <w:lang w:val="en-US"/>
        </w:rPr>
        <w:t>Note:</w:t>
      </w:r>
      <w:r w:rsidRPr="00202DA2">
        <w:rPr>
          <w:rFonts w:asciiTheme="minorHAnsi" w:hAnsiTheme="minorHAnsi" w:cstheme="minorHAnsi"/>
          <w:lang w:val="en-US"/>
        </w:rPr>
        <w:t xml:space="preserve"> If your institution did not implement any such policies, </w:t>
      </w:r>
      <w:r w:rsidR="002D228B" w:rsidRPr="00202DA2">
        <w:rPr>
          <w:rFonts w:asciiTheme="minorHAnsi" w:hAnsiTheme="minorHAnsi" w:cstheme="minorHAnsi"/>
          <w:lang w:val="en-US"/>
        </w:rPr>
        <w:t>guidelines,</w:t>
      </w:r>
      <w:r w:rsidR="00274FB7" w:rsidRPr="00202DA2">
        <w:rPr>
          <w:rFonts w:asciiTheme="minorHAnsi" w:hAnsiTheme="minorHAnsi" w:cstheme="minorHAnsi"/>
          <w:lang w:val="en-US"/>
        </w:rPr>
        <w:t xml:space="preserve"> and</w:t>
      </w:r>
      <w:r w:rsidRPr="00202DA2">
        <w:rPr>
          <w:rFonts w:asciiTheme="minorHAnsi" w:hAnsiTheme="minorHAnsi" w:cstheme="minorHAnsi"/>
          <w:lang w:val="en-US"/>
        </w:rPr>
        <w:t xml:space="preserve"> </w:t>
      </w:r>
      <w:r w:rsidR="00943EB2" w:rsidRPr="00202DA2">
        <w:rPr>
          <w:rFonts w:asciiTheme="minorHAnsi" w:hAnsiTheme="minorHAnsi" w:cstheme="minorHAnsi"/>
          <w:lang w:val="en-US"/>
        </w:rPr>
        <w:t>procedures</w:t>
      </w:r>
      <w:r w:rsidR="00274FB7" w:rsidRPr="00202DA2">
        <w:rPr>
          <w:rFonts w:asciiTheme="minorHAnsi" w:hAnsiTheme="minorHAnsi" w:cstheme="minorHAnsi"/>
          <w:lang w:val="en-US"/>
        </w:rPr>
        <w:t xml:space="preserve"> </w:t>
      </w:r>
      <w:r w:rsidRPr="00202DA2">
        <w:rPr>
          <w:rFonts w:asciiTheme="minorHAnsi" w:hAnsiTheme="minorHAnsi" w:cstheme="minorHAnsi"/>
          <w:lang w:val="en-US"/>
        </w:rPr>
        <w:t>during the reporting period, please include a statement to that effect.</w:t>
      </w:r>
    </w:p>
    <w:p w14:paraId="3D9828B0" w14:textId="2D1B8D3B" w:rsidR="0D3E1EDC" w:rsidRDefault="0D3E1EDC" w:rsidP="0D3E1EDC">
      <w:pPr>
        <w:rPr>
          <w:rFonts w:asciiTheme="minorHAnsi" w:hAnsiTheme="minorHAnsi" w:cstheme="minorHAnsi"/>
          <w:lang w:val="en-US" w:eastAsia="en-US"/>
        </w:rPr>
      </w:pPr>
    </w:p>
    <w:p w14:paraId="67937781" w14:textId="77777777" w:rsidR="00E31453" w:rsidRDefault="00E31453" w:rsidP="0D3E1EDC">
      <w:pPr>
        <w:rPr>
          <w:rFonts w:asciiTheme="minorHAnsi" w:hAnsiTheme="minorHAnsi" w:cstheme="minorHAnsi"/>
          <w:lang w:val="en-US" w:eastAsia="en-US"/>
        </w:rPr>
      </w:pPr>
    </w:p>
    <w:p w14:paraId="3F9B0E77" w14:textId="5BAA4A28" w:rsidR="00B83BFD" w:rsidRPr="00202DA2" w:rsidRDefault="00B83BFD" w:rsidP="00B83BF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-US" w:eastAsia="en-US"/>
        </w:rPr>
      </w:pPr>
      <w:r w:rsidRPr="00202DA2">
        <w:rPr>
          <w:rFonts w:asciiTheme="minorHAnsi" w:hAnsiTheme="minorHAnsi" w:cstheme="minorHAnsi"/>
          <w:b/>
          <w:bCs/>
          <w:lang w:val="en-US" w:eastAsia="en-US"/>
        </w:rPr>
        <w:t>A</w:t>
      </w:r>
      <w:r w:rsidR="00B425B4">
        <w:rPr>
          <w:rFonts w:asciiTheme="minorHAnsi" w:hAnsiTheme="minorHAnsi" w:cstheme="minorHAnsi"/>
          <w:b/>
          <w:bCs/>
          <w:lang w:val="en-US" w:eastAsia="en-US"/>
        </w:rPr>
        <w:t>7</w:t>
      </w:r>
      <w:r w:rsidRPr="00202DA2">
        <w:rPr>
          <w:rFonts w:asciiTheme="minorHAnsi" w:hAnsiTheme="minorHAnsi" w:cstheme="minorHAnsi"/>
          <w:b/>
          <w:bCs/>
          <w:lang w:val="en-US" w:eastAsia="en-US"/>
        </w:rPr>
        <w:t xml:space="preserve">.  Initiatives and Projects to Improve Access to Information </w:t>
      </w:r>
    </w:p>
    <w:p w14:paraId="78873D92" w14:textId="2EEBBEA4" w:rsidR="00871A5D" w:rsidRDefault="1C69B7AC" w:rsidP="469FE2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</w:rPr>
      </w:pPr>
      <w:r w:rsidRPr="469FE2CA">
        <w:rPr>
          <w:rStyle w:val="normaltextrun"/>
          <w:rFonts w:asciiTheme="minorHAnsi" w:hAnsiTheme="minorHAnsi" w:cstheme="minorBidi"/>
        </w:rPr>
        <w:t>Describe any</w:t>
      </w:r>
      <w:r w:rsidR="1E2DAC85" w:rsidRPr="469FE2CA">
        <w:rPr>
          <w:rStyle w:val="normaltextrun"/>
          <w:rFonts w:asciiTheme="minorHAnsi" w:hAnsiTheme="minorHAnsi" w:cstheme="minorBidi"/>
        </w:rPr>
        <w:t xml:space="preserve"> other</w:t>
      </w:r>
      <w:r w:rsidRPr="469FE2CA">
        <w:rPr>
          <w:rStyle w:val="normaltextrun"/>
          <w:rFonts w:asciiTheme="minorHAnsi" w:hAnsiTheme="minorHAnsi" w:cstheme="minorBidi"/>
        </w:rPr>
        <w:t xml:space="preserve"> initiatives or projects to improve access to information</w:t>
      </w:r>
      <w:r w:rsidR="008A5EC6">
        <w:rPr>
          <w:rStyle w:val="normaltextrun"/>
          <w:rFonts w:asciiTheme="minorHAnsi" w:hAnsiTheme="minorHAnsi" w:cstheme="minorBidi"/>
        </w:rPr>
        <w:t xml:space="preserve"> (ATI)</w:t>
      </w:r>
      <w:r w:rsidRPr="469FE2CA">
        <w:rPr>
          <w:rStyle w:val="normaltextrun"/>
          <w:rFonts w:asciiTheme="minorHAnsi" w:hAnsiTheme="minorHAnsi" w:cstheme="minorBidi"/>
        </w:rPr>
        <w:t xml:space="preserve"> </w:t>
      </w:r>
      <w:r w:rsidR="5A14B70C" w:rsidRPr="469FE2CA">
        <w:rPr>
          <w:rStyle w:val="normaltextrun"/>
          <w:rFonts w:asciiTheme="minorHAnsi" w:hAnsiTheme="minorHAnsi" w:cstheme="minorBidi"/>
        </w:rPr>
        <w:t xml:space="preserve">that were implemented or ongoing </w:t>
      </w:r>
      <w:r w:rsidRPr="469FE2CA">
        <w:rPr>
          <w:rStyle w:val="normaltextrun"/>
          <w:rFonts w:asciiTheme="minorHAnsi" w:hAnsiTheme="minorHAnsi" w:cstheme="minorBidi"/>
        </w:rPr>
        <w:t xml:space="preserve">within the institution during the reporting period. </w:t>
      </w:r>
    </w:p>
    <w:p w14:paraId="38A22E53" w14:textId="77777777" w:rsidR="00871A5D" w:rsidRDefault="00871A5D" w:rsidP="00B83B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3A86AFA4" w14:textId="36ACF304" w:rsidR="00B83BFD" w:rsidRPr="00202DA2" w:rsidRDefault="00871A5D" w:rsidP="00B83BF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For example:</w:t>
      </w:r>
    </w:p>
    <w:p w14:paraId="5C0CFA32" w14:textId="0EC748D2" w:rsidR="00B83BFD" w:rsidRPr="00202DA2" w:rsidRDefault="00B83BFD" w:rsidP="00B83BFD">
      <w:pPr>
        <w:pStyle w:val="ListParagraph"/>
        <w:numPr>
          <w:ilvl w:val="0"/>
          <w:numId w:val="1"/>
        </w:numPr>
        <w:spacing w:after="160" w:line="240" w:lineRule="auto"/>
        <w:ind w:left="360"/>
        <w:rPr>
          <w:rFonts w:cstheme="minorHAnsi"/>
          <w:sz w:val="24"/>
          <w:szCs w:val="24"/>
        </w:rPr>
      </w:pPr>
      <w:r w:rsidRPr="00202DA2">
        <w:rPr>
          <w:rFonts w:cstheme="minorHAnsi"/>
          <w:sz w:val="24"/>
          <w:szCs w:val="24"/>
        </w:rPr>
        <w:t xml:space="preserve">Technological </w:t>
      </w:r>
      <w:r w:rsidR="00EA219E">
        <w:rPr>
          <w:rFonts w:cstheme="minorHAnsi"/>
          <w:sz w:val="24"/>
          <w:szCs w:val="24"/>
        </w:rPr>
        <w:t>upgrade</w:t>
      </w:r>
      <w:r w:rsidR="00EA219E" w:rsidRPr="00202DA2">
        <w:rPr>
          <w:rFonts w:cstheme="minorHAnsi"/>
          <w:sz w:val="24"/>
          <w:szCs w:val="24"/>
        </w:rPr>
        <w:t xml:space="preserve">s </w:t>
      </w:r>
      <w:r w:rsidRPr="00202DA2">
        <w:rPr>
          <w:rFonts w:cstheme="minorHAnsi"/>
          <w:sz w:val="24"/>
          <w:szCs w:val="24"/>
        </w:rPr>
        <w:t>or innovation</w:t>
      </w:r>
      <w:r w:rsidR="00EA219E">
        <w:rPr>
          <w:rFonts w:cstheme="minorHAnsi"/>
          <w:sz w:val="24"/>
          <w:szCs w:val="24"/>
        </w:rPr>
        <w:t>s</w:t>
      </w:r>
      <w:r w:rsidRPr="00202DA2">
        <w:rPr>
          <w:rFonts w:cstheme="minorHAnsi"/>
          <w:sz w:val="24"/>
          <w:szCs w:val="24"/>
        </w:rPr>
        <w:t xml:space="preserve"> to </w:t>
      </w:r>
      <w:r w:rsidR="00086995">
        <w:rPr>
          <w:rFonts w:cstheme="minorHAnsi"/>
          <w:sz w:val="24"/>
          <w:szCs w:val="24"/>
        </w:rPr>
        <w:t>improve</w:t>
      </w:r>
      <w:r w:rsidRPr="00202DA2">
        <w:rPr>
          <w:rFonts w:cstheme="minorHAnsi"/>
          <w:sz w:val="24"/>
          <w:szCs w:val="24"/>
        </w:rPr>
        <w:t xml:space="preserve"> services</w:t>
      </w:r>
    </w:p>
    <w:p w14:paraId="78E74546" w14:textId="3B2C7121" w:rsidR="00B83BFD" w:rsidRDefault="1C69B7AC" w:rsidP="469FE2CA">
      <w:pPr>
        <w:pStyle w:val="ListParagraph"/>
        <w:numPr>
          <w:ilvl w:val="0"/>
          <w:numId w:val="1"/>
        </w:numPr>
        <w:spacing w:after="160" w:line="240" w:lineRule="auto"/>
        <w:ind w:left="360"/>
        <w:rPr>
          <w:sz w:val="24"/>
          <w:szCs w:val="24"/>
        </w:rPr>
      </w:pPr>
      <w:r w:rsidRPr="469FE2CA">
        <w:rPr>
          <w:sz w:val="24"/>
          <w:szCs w:val="24"/>
        </w:rPr>
        <w:t xml:space="preserve">Initiatives advancing Indigenous reconciliation (removing barriers to </w:t>
      </w:r>
      <w:r w:rsidR="001B7FD3">
        <w:rPr>
          <w:sz w:val="24"/>
          <w:szCs w:val="24"/>
        </w:rPr>
        <w:t>ATI</w:t>
      </w:r>
      <w:r w:rsidR="001B7FD3" w:rsidRPr="469FE2CA">
        <w:rPr>
          <w:sz w:val="24"/>
          <w:szCs w:val="24"/>
        </w:rPr>
        <w:t xml:space="preserve"> </w:t>
      </w:r>
      <w:r w:rsidR="36931F46" w:rsidRPr="469FE2CA">
        <w:rPr>
          <w:sz w:val="24"/>
          <w:szCs w:val="24"/>
        </w:rPr>
        <w:t>for Indigenous requesters</w:t>
      </w:r>
      <w:r w:rsidRPr="469FE2CA">
        <w:rPr>
          <w:sz w:val="24"/>
          <w:szCs w:val="24"/>
        </w:rPr>
        <w:t>, Indigenous engagement as it relates to ATI, etc.)</w:t>
      </w:r>
    </w:p>
    <w:p w14:paraId="2B9C9038" w14:textId="627F93C6" w:rsidR="00076B7D" w:rsidRPr="00202DA2" w:rsidRDefault="00192236" w:rsidP="469FE2CA">
      <w:pPr>
        <w:pStyle w:val="ListParagraph"/>
        <w:numPr>
          <w:ilvl w:val="0"/>
          <w:numId w:val="1"/>
        </w:numPr>
        <w:spacing w:after="16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The process used</w:t>
      </w:r>
      <w:r w:rsidR="006C54A5" w:rsidRPr="006C54A5">
        <w:rPr>
          <w:sz w:val="24"/>
          <w:szCs w:val="24"/>
        </w:rPr>
        <w:t xml:space="preserve"> to review types of information </w:t>
      </w:r>
      <w:r w:rsidR="00CF1318">
        <w:rPr>
          <w:sz w:val="24"/>
          <w:szCs w:val="24"/>
        </w:rPr>
        <w:t xml:space="preserve">that are frequently </w:t>
      </w:r>
      <w:r w:rsidR="00DA4E69">
        <w:rPr>
          <w:sz w:val="24"/>
          <w:szCs w:val="24"/>
        </w:rPr>
        <w:t>requested via ATI</w:t>
      </w:r>
      <w:r w:rsidR="00BF4151">
        <w:rPr>
          <w:sz w:val="24"/>
          <w:szCs w:val="24"/>
        </w:rPr>
        <w:t xml:space="preserve">, </w:t>
      </w:r>
      <w:r w:rsidR="006C54A5" w:rsidRPr="00BF4151">
        <w:rPr>
          <w:sz w:val="24"/>
          <w:szCs w:val="24"/>
        </w:rPr>
        <w:t>and</w:t>
      </w:r>
      <w:r w:rsidR="006C54A5" w:rsidRPr="006C54A5">
        <w:rPr>
          <w:sz w:val="24"/>
          <w:szCs w:val="24"/>
        </w:rPr>
        <w:t xml:space="preserve"> </w:t>
      </w:r>
      <w:r w:rsidR="00BF4151">
        <w:rPr>
          <w:sz w:val="24"/>
          <w:szCs w:val="24"/>
        </w:rPr>
        <w:t xml:space="preserve">to </w:t>
      </w:r>
      <w:r w:rsidR="006C54A5" w:rsidRPr="006C54A5">
        <w:rPr>
          <w:sz w:val="24"/>
          <w:szCs w:val="24"/>
        </w:rPr>
        <w:t>assesses the feasibility of making that information available by other means</w:t>
      </w:r>
    </w:p>
    <w:p w14:paraId="5B598AF6" w14:textId="16DA6B46" w:rsidR="00B83BFD" w:rsidRPr="00202DA2" w:rsidRDefault="00192236" w:rsidP="00B83BF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A</w:t>
      </w:r>
      <w:r w:rsidR="00A13FCF">
        <w:rPr>
          <w:sz w:val="24"/>
          <w:szCs w:val="24"/>
        </w:rPr>
        <w:t>ctions</w:t>
      </w:r>
      <w:r w:rsidR="008747A9">
        <w:rPr>
          <w:sz w:val="24"/>
          <w:szCs w:val="24"/>
        </w:rPr>
        <w:t xml:space="preserve"> taken</w:t>
      </w:r>
      <w:r w:rsidR="00A13FCF">
        <w:rPr>
          <w:sz w:val="24"/>
          <w:szCs w:val="24"/>
        </w:rPr>
        <w:t xml:space="preserve"> </w:t>
      </w:r>
      <w:r w:rsidR="006B1407">
        <w:rPr>
          <w:sz w:val="24"/>
          <w:szCs w:val="24"/>
        </w:rPr>
        <w:t xml:space="preserve">to make </w:t>
      </w:r>
      <w:r w:rsidR="007679C5">
        <w:rPr>
          <w:sz w:val="24"/>
          <w:szCs w:val="24"/>
        </w:rPr>
        <w:t xml:space="preserve">more </w:t>
      </w:r>
      <w:r w:rsidR="00B83BFD" w:rsidRPr="3AF63788">
        <w:rPr>
          <w:sz w:val="24"/>
          <w:szCs w:val="24"/>
        </w:rPr>
        <w:t>government information</w:t>
      </w:r>
      <w:r w:rsidR="00E01C81">
        <w:rPr>
          <w:sz w:val="24"/>
          <w:szCs w:val="24"/>
        </w:rPr>
        <w:t xml:space="preserve"> </w:t>
      </w:r>
      <w:r w:rsidR="006B1407">
        <w:rPr>
          <w:sz w:val="24"/>
          <w:szCs w:val="24"/>
        </w:rPr>
        <w:t>a</w:t>
      </w:r>
      <w:r w:rsidR="008747A9">
        <w:rPr>
          <w:sz w:val="24"/>
          <w:szCs w:val="24"/>
        </w:rPr>
        <w:t>vailable</w:t>
      </w:r>
      <w:r w:rsidR="006B1407">
        <w:rPr>
          <w:sz w:val="24"/>
          <w:szCs w:val="24"/>
        </w:rPr>
        <w:t xml:space="preserve"> to Canadians</w:t>
      </w:r>
      <w:r w:rsidR="003878AF" w:rsidRPr="3AF63788">
        <w:rPr>
          <w:sz w:val="24"/>
          <w:szCs w:val="24"/>
        </w:rPr>
        <w:t xml:space="preserve"> </w:t>
      </w:r>
      <w:r w:rsidR="00110520">
        <w:rPr>
          <w:sz w:val="24"/>
          <w:szCs w:val="24"/>
        </w:rPr>
        <w:t xml:space="preserve">without an ATI request </w:t>
      </w:r>
      <w:r w:rsidR="00B83BFD" w:rsidRPr="3AF63788">
        <w:rPr>
          <w:sz w:val="24"/>
          <w:szCs w:val="24"/>
        </w:rPr>
        <w:t xml:space="preserve">(e.g. </w:t>
      </w:r>
      <w:r w:rsidR="002C062A" w:rsidRPr="3AF63788">
        <w:rPr>
          <w:sz w:val="24"/>
          <w:szCs w:val="24"/>
        </w:rPr>
        <w:t>publishing additional information, beyond what is required</w:t>
      </w:r>
      <w:r w:rsidR="00F9390B" w:rsidRPr="3AF63788">
        <w:rPr>
          <w:sz w:val="24"/>
          <w:szCs w:val="24"/>
        </w:rPr>
        <w:t xml:space="preserve"> </w:t>
      </w:r>
      <w:r w:rsidR="002C062A" w:rsidRPr="3AF63788">
        <w:rPr>
          <w:sz w:val="24"/>
          <w:szCs w:val="24"/>
        </w:rPr>
        <w:t>by Part 2 of the Act</w:t>
      </w:r>
      <w:r w:rsidR="00B83BFD" w:rsidRPr="3AF63788">
        <w:rPr>
          <w:sz w:val="24"/>
          <w:szCs w:val="24"/>
        </w:rPr>
        <w:t>)</w:t>
      </w:r>
    </w:p>
    <w:p w14:paraId="1026E7E6" w14:textId="77777777" w:rsidR="00B83BFD" w:rsidRDefault="00B83BFD" w:rsidP="0D3E1EDC">
      <w:pPr>
        <w:rPr>
          <w:rFonts w:asciiTheme="minorHAnsi" w:hAnsiTheme="minorHAnsi" w:cstheme="minorHAnsi"/>
          <w:lang w:eastAsia="en-US"/>
        </w:rPr>
      </w:pPr>
    </w:p>
    <w:p w14:paraId="6C027C78" w14:textId="02B9C214" w:rsidR="00304BAF" w:rsidRDefault="00304BAF" w:rsidP="0D3E1EDC">
      <w:pPr>
        <w:rPr>
          <w:rFonts w:asciiTheme="minorHAnsi" w:hAnsiTheme="minorHAnsi" w:cstheme="minorHAnsi"/>
          <w:lang w:val="en-US"/>
        </w:rPr>
      </w:pPr>
      <w:r w:rsidRPr="00202DA2">
        <w:rPr>
          <w:rFonts w:asciiTheme="minorHAnsi" w:hAnsiTheme="minorHAnsi" w:cstheme="minorHAnsi"/>
          <w:b/>
          <w:bCs/>
          <w:lang w:val="en-US"/>
        </w:rPr>
        <w:t>Note:</w:t>
      </w:r>
      <w:r w:rsidRPr="00202DA2">
        <w:rPr>
          <w:rFonts w:asciiTheme="minorHAnsi" w:hAnsiTheme="minorHAnsi" w:cstheme="minorHAnsi"/>
          <w:lang w:val="en-US"/>
        </w:rPr>
        <w:t xml:space="preserve"> If your institution did not implement</w:t>
      </w:r>
      <w:r w:rsidR="00C7440A">
        <w:rPr>
          <w:rFonts w:asciiTheme="minorHAnsi" w:hAnsiTheme="minorHAnsi" w:cstheme="minorHAnsi"/>
          <w:lang w:val="en-US"/>
        </w:rPr>
        <w:t xml:space="preserve"> or continue</w:t>
      </w:r>
      <w:r w:rsidRPr="00202DA2">
        <w:rPr>
          <w:rFonts w:asciiTheme="minorHAnsi" w:hAnsiTheme="minorHAnsi" w:cstheme="minorHAnsi"/>
          <w:lang w:val="en-US"/>
        </w:rPr>
        <w:t xml:space="preserve"> any such </w:t>
      </w:r>
      <w:r w:rsidR="00C7440A">
        <w:rPr>
          <w:rFonts w:asciiTheme="minorHAnsi" w:hAnsiTheme="minorHAnsi" w:cstheme="minorHAnsi"/>
          <w:lang w:val="en-US"/>
        </w:rPr>
        <w:t>initiatives or projects</w:t>
      </w:r>
      <w:r w:rsidRPr="00202DA2">
        <w:rPr>
          <w:rFonts w:asciiTheme="minorHAnsi" w:hAnsiTheme="minorHAnsi" w:cstheme="minorHAnsi"/>
          <w:lang w:val="en-US"/>
        </w:rPr>
        <w:t xml:space="preserve"> during the reporting period, please include a statement to that effect.</w:t>
      </w:r>
    </w:p>
    <w:p w14:paraId="4ABEDC65" w14:textId="77777777" w:rsidR="00C7440A" w:rsidRDefault="00C7440A" w:rsidP="0D3E1EDC">
      <w:pPr>
        <w:rPr>
          <w:rFonts w:asciiTheme="minorHAnsi" w:hAnsiTheme="minorHAnsi" w:cstheme="minorHAnsi"/>
          <w:lang w:eastAsia="en-US"/>
        </w:rPr>
      </w:pPr>
    </w:p>
    <w:p w14:paraId="49B3E261" w14:textId="77777777" w:rsidR="00B83BFD" w:rsidRDefault="00B83BFD" w:rsidP="0D3E1EDC">
      <w:pPr>
        <w:rPr>
          <w:rFonts w:asciiTheme="minorHAnsi" w:hAnsiTheme="minorHAnsi" w:cstheme="minorHAnsi"/>
          <w:lang w:eastAsia="en-US"/>
        </w:rPr>
      </w:pPr>
    </w:p>
    <w:p w14:paraId="1ADF6C4A" w14:textId="545227CE" w:rsidR="00B425B4" w:rsidRPr="00202DA2" w:rsidRDefault="00B425B4" w:rsidP="00B425B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-US" w:eastAsia="en-US"/>
        </w:rPr>
      </w:pPr>
      <w:r w:rsidRPr="00202DA2">
        <w:rPr>
          <w:rFonts w:asciiTheme="minorHAnsi" w:hAnsiTheme="minorHAnsi" w:cstheme="minorHAnsi"/>
          <w:b/>
          <w:bCs/>
          <w:lang w:val="en-US" w:eastAsia="en-US"/>
        </w:rPr>
        <w:t>A</w:t>
      </w:r>
      <w:r>
        <w:rPr>
          <w:rFonts w:asciiTheme="minorHAnsi" w:hAnsiTheme="minorHAnsi" w:cstheme="minorHAnsi"/>
          <w:b/>
          <w:bCs/>
          <w:lang w:val="en-US" w:eastAsia="en-US"/>
        </w:rPr>
        <w:t>8</w:t>
      </w:r>
      <w:r w:rsidRPr="00202DA2">
        <w:rPr>
          <w:rFonts w:asciiTheme="minorHAnsi" w:hAnsiTheme="minorHAnsi" w:cstheme="minorHAnsi"/>
          <w:b/>
          <w:bCs/>
          <w:lang w:val="en-US" w:eastAsia="en-US"/>
        </w:rPr>
        <w:t>.  Summary of Key Issues and Actions Taken on Complaints</w:t>
      </w:r>
    </w:p>
    <w:p w14:paraId="084A052A" w14:textId="77777777" w:rsidR="00B425B4" w:rsidRPr="00202DA2" w:rsidRDefault="00B425B4" w:rsidP="00B425B4">
      <w:pPr>
        <w:autoSpaceDE w:val="0"/>
        <w:autoSpaceDN w:val="0"/>
        <w:adjustRightInd w:val="0"/>
        <w:rPr>
          <w:rFonts w:asciiTheme="minorHAnsi" w:hAnsiTheme="minorHAnsi" w:cstheme="minorHAnsi"/>
          <w:spacing w:val="-4"/>
          <w:lang w:val="en-US" w:eastAsia="en-US"/>
        </w:rPr>
      </w:pPr>
      <w:r w:rsidRPr="00202DA2">
        <w:rPr>
          <w:rFonts w:asciiTheme="minorHAnsi" w:hAnsiTheme="minorHAnsi" w:cstheme="minorHAnsi"/>
          <w:spacing w:val="-4"/>
          <w:lang w:val="en-US" w:eastAsia="en-US"/>
        </w:rPr>
        <w:t>Summarize:</w:t>
      </w:r>
    </w:p>
    <w:p w14:paraId="1AB4CB2A" w14:textId="59F5D634" w:rsidR="00B425B4" w:rsidRPr="00202DA2" w:rsidRDefault="017CECF0" w:rsidP="00B14D06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sz w:val="24"/>
          <w:szCs w:val="24"/>
          <w:lang w:val="en-US"/>
        </w:rPr>
      </w:pPr>
      <w:r w:rsidRPr="469FE2CA">
        <w:rPr>
          <w:sz w:val="24"/>
          <w:szCs w:val="24"/>
          <w:lang w:val="en-US"/>
        </w:rPr>
        <w:t xml:space="preserve">Issues raised by access to information complaints </w:t>
      </w:r>
      <w:r w:rsidR="1219790F" w:rsidRPr="469FE2CA">
        <w:rPr>
          <w:sz w:val="24"/>
          <w:szCs w:val="24"/>
          <w:lang w:val="en-US"/>
        </w:rPr>
        <w:t xml:space="preserve">that </w:t>
      </w:r>
      <w:r w:rsidRPr="469FE2CA">
        <w:rPr>
          <w:sz w:val="24"/>
          <w:szCs w:val="24"/>
          <w:lang w:val="en-US"/>
        </w:rPr>
        <w:t>your institution received during the reporting period</w:t>
      </w:r>
    </w:p>
    <w:p w14:paraId="24E2D8DC" w14:textId="77777777" w:rsidR="00B425B4" w:rsidRPr="00202DA2" w:rsidRDefault="00B425B4" w:rsidP="00B14D06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cstheme="minorHAnsi"/>
          <w:sz w:val="24"/>
          <w:szCs w:val="24"/>
          <w:lang w:val="en-US"/>
        </w:rPr>
      </w:pPr>
      <w:r w:rsidRPr="00202DA2">
        <w:rPr>
          <w:rFonts w:cstheme="minorHAnsi"/>
          <w:sz w:val="24"/>
          <w:szCs w:val="24"/>
          <w:lang w:val="en-US"/>
        </w:rPr>
        <w:t>What actions your institution took during the reporting period to resolve access to information complaints. (e.g. “conducted new searches”, “disclosed additional records”)</w:t>
      </w:r>
    </w:p>
    <w:p w14:paraId="2DA63827" w14:textId="77777777" w:rsidR="00B425B4" w:rsidRPr="00202DA2" w:rsidRDefault="00B425B4" w:rsidP="00B425B4">
      <w:pPr>
        <w:rPr>
          <w:rFonts w:asciiTheme="minorHAnsi" w:eastAsia="Calibri" w:hAnsiTheme="minorHAnsi" w:cstheme="minorHAnsi"/>
          <w:lang w:val="en-US"/>
        </w:rPr>
      </w:pPr>
    </w:p>
    <w:p w14:paraId="5CC50DE7" w14:textId="77777777" w:rsidR="00B425B4" w:rsidRPr="00202DA2" w:rsidRDefault="00B425B4" w:rsidP="00B425B4">
      <w:pPr>
        <w:autoSpaceDE w:val="0"/>
        <w:autoSpaceDN w:val="0"/>
        <w:adjustRightInd w:val="0"/>
        <w:rPr>
          <w:rFonts w:asciiTheme="minorHAnsi" w:hAnsiTheme="minorHAnsi" w:cstheme="minorHAnsi"/>
          <w:lang w:val="en-US" w:eastAsia="en-US"/>
        </w:rPr>
      </w:pPr>
      <w:r w:rsidRPr="00202DA2">
        <w:rPr>
          <w:rFonts w:asciiTheme="minorHAnsi" w:hAnsiTheme="minorHAnsi" w:cstheme="minorHAnsi"/>
          <w:b/>
          <w:bCs/>
          <w:lang w:val="en-US" w:eastAsia="en-US"/>
        </w:rPr>
        <w:t>Note:</w:t>
      </w:r>
      <w:r w:rsidRPr="00202DA2">
        <w:rPr>
          <w:rFonts w:asciiTheme="minorHAnsi" w:hAnsiTheme="minorHAnsi" w:cstheme="minorHAnsi"/>
          <w:lang w:val="en-US" w:eastAsia="en-US"/>
        </w:rPr>
        <w:t xml:space="preserve"> If no complaints were received or concluded during the reporting period, please include a statement to that effect.</w:t>
      </w:r>
    </w:p>
    <w:p w14:paraId="6C3726FB" w14:textId="77777777" w:rsidR="00B425B4" w:rsidRDefault="00B425B4" w:rsidP="0D3E1EDC">
      <w:pPr>
        <w:rPr>
          <w:rFonts w:asciiTheme="minorHAnsi" w:hAnsiTheme="minorHAnsi" w:cstheme="minorHAnsi"/>
          <w:lang w:val="en-US" w:eastAsia="en-US"/>
        </w:rPr>
      </w:pPr>
    </w:p>
    <w:p w14:paraId="6CE62D51" w14:textId="77777777" w:rsidR="00B425B4" w:rsidRPr="00B425B4" w:rsidRDefault="00B425B4" w:rsidP="0D3E1EDC">
      <w:pPr>
        <w:rPr>
          <w:rFonts w:asciiTheme="minorHAnsi" w:hAnsiTheme="minorHAnsi" w:cstheme="minorHAnsi"/>
          <w:lang w:val="en-US" w:eastAsia="en-US"/>
        </w:rPr>
      </w:pPr>
    </w:p>
    <w:p w14:paraId="6EB5D6FC" w14:textId="6ECDFFB2" w:rsidR="000453F3" w:rsidRPr="00202DA2" w:rsidRDefault="000453F3" w:rsidP="0D3E1ED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-US" w:eastAsia="en-US"/>
        </w:rPr>
      </w:pPr>
      <w:r w:rsidRPr="00202DA2">
        <w:rPr>
          <w:rFonts w:asciiTheme="minorHAnsi" w:hAnsiTheme="minorHAnsi" w:cstheme="minorHAnsi"/>
          <w:b/>
          <w:bCs/>
          <w:lang w:val="en-US" w:eastAsia="en-US"/>
        </w:rPr>
        <w:t>A</w:t>
      </w:r>
      <w:r w:rsidR="00F23696">
        <w:rPr>
          <w:rFonts w:asciiTheme="minorHAnsi" w:hAnsiTheme="minorHAnsi" w:cstheme="minorHAnsi"/>
          <w:b/>
          <w:bCs/>
          <w:lang w:val="en-US" w:eastAsia="en-US"/>
        </w:rPr>
        <w:t>9</w:t>
      </w:r>
      <w:r w:rsidRPr="00202DA2">
        <w:rPr>
          <w:rFonts w:asciiTheme="minorHAnsi" w:hAnsiTheme="minorHAnsi" w:cstheme="minorHAnsi"/>
          <w:b/>
          <w:bCs/>
          <w:lang w:val="en-US" w:eastAsia="en-US"/>
        </w:rPr>
        <w:t>. Proactive Publication</w:t>
      </w:r>
      <w:r w:rsidR="00663ABE" w:rsidRPr="00202DA2">
        <w:rPr>
          <w:rFonts w:asciiTheme="minorHAnsi" w:hAnsiTheme="minorHAnsi" w:cstheme="minorHAnsi"/>
          <w:b/>
          <w:bCs/>
          <w:lang w:val="en-US" w:eastAsia="en-US"/>
        </w:rPr>
        <w:t xml:space="preserve"> under Part 2 of the ATIA</w:t>
      </w:r>
    </w:p>
    <w:p w14:paraId="3FEBB3AB" w14:textId="38CB1ED4" w:rsidR="00D9356E" w:rsidRPr="000B03E5" w:rsidRDefault="00D64E35" w:rsidP="00EC15E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bookmarkStart w:id="6" w:name="_Hlk129003334"/>
      <w:r w:rsidRPr="000B03E5">
        <w:rPr>
          <w:rStyle w:val="normaltextrun"/>
          <w:rFonts w:asciiTheme="minorHAnsi" w:hAnsiTheme="minorHAnsi" w:cstheme="minorHAnsi"/>
        </w:rPr>
        <w:t>In</w:t>
      </w:r>
      <w:r w:rsidR="002B6184">
        <w:rPr>
          <w:rStyle w:val="normaltextrun"/>
          <w:rFonts w:asciiTheme="minorHAnsi" w:hAnsiTheme="minorHAnsi" w:cstheme="minorHAnsi"/>
        </w:rPr>
        <w:t xml:space="preserve">sert </w:t>
      </w:r>
      <w:r w:rsidRPr="000B03E5">
        <w:rPr>
          <w:rStyle w:val="normaltextrun"/>
          <w:rFonts w:asciiTheme="minorHAnsi" w:hAnsiTheme="minorHAnsi" w:cstheme="minorHAnsi"/>
        </w:rPr>
        <w:t>t</w:t>
      </w:r>
      <w:r w:rsidR="003160EA" w:rsidRPr="000B03E5">
        <w:rPr>
          <w:rStyle w:val="normaltextrun"/>
          <w:rFonts w:asciiTheme="minorHAnsi" w:hAnsiTheme="minorHAnsi" w:cstheme="minorHAnsi"/>
        </w:rPr>
        <w:t xml:space="preserve">he </w:t>
      </w:r>
      <w:r w:rsidR="001D0752" w:rsidRPr="000B03E5">
        <w:rPr>
          <w:rStyle w:val="normaltextrun"/>
          <w:rFonts w:asciiTheme="minorHAnsi" w:hAnsiTheme="minorHAnsi" w:cstheme="minorHAnsi"/>
        </w:rPr>
        <w:t xml:space="preserve">following </w:t>
      </w:r>
      <w:r w:rsidR="003160EA" w:rsidRPr="000B03E5">
        <w:rPr>
          <w:rStyle w:val="normaltextrun"/>
          <w:rFonts w:asciiTheme="minorHAnsi" w:hAnsiTheme="minorHAnsi" w:cstheme="minorHAnsi"/>
        </w:rPr>
        <w:t>t</w:t>
      </w:r>
      <w:r w:rsidR="00B310BC" w:rsidRPr="000B03E5">
        <w:rPr>
          <w:rStyle w:val="normaltextrun"/>
          <w:rFonts w:asciiTheme="minorHAnsi" w:hAnsiTheme="minorHAnsi" w:cstheme="minorHAnsi"/>
        </w:rPr>
        <w:t>able</w:t>
      </w:r>
      <w:r w:rsidR="00044625">
        <w:rPr>
          <w:rStyle w:val="normaltextrun"/>
          <w:rFonts w:asciiTheme="minorHAnsi" w:hAnsiTheme="minorHAnsi" w:cstheme="minorHAnsi"/>
        </w:rPr>
        <w:t>, with all portions</w:t>
      </w:r>
      <w:r w:rsidR="002B6184">
        <w:rPr>
          <w:rStyle w:val="normaltextrun"/>
          <w:rFonts w:asciiTheme="minorHAnsi" w:hAnsiTheme="minorHAnsi" w:cstheme="minorHAnsi"/>
        </w:rPr>
        <w:t xml:space="preserve"> applicable to your </w:t>
      </w:r>
      <w:r w:rsidR="00481DD8">
        <w:rPr>
          <w:rStyle w:val="normaltextrun"/>
          <w:rFonts w:asciiTheme="minorHAnsi" w:hAnsiTheme="minorHAnsi" w:cstheme="minorHAnsi"/>
        </w:rPr>
        <w:t>institution</w:t>
      </w:r>
      <w:r w:rsidR="00044625">
        <w:rPr>
          <w:rStyle w:val="normaltextrun"/>
          <w:rFonts w:asciiTheme="minorHAnsi" w:hAnsiTheme="minorHAnsi" w:cstheme="minorHAnsi"/>
        </w:rPr>
        <w:t xml:space="preserve"> completed</w:t>
      </w:r>
      <w:r w:rsidR="00B91193" w:rsidRPr="000B03E5">
        <w:rPr>
          <w:rStyle w:val="normaltextrun"/>
          <w:rFonts w:asciiTheme="minorHAnsi" w:hAnsiTheme="minorHAnsi" w:cstheme="minorHAnsi"/>
        </w:rPr>
        <w:t>.</w:t>
      </w:r>
    </w:p>
    <w:p w14:paraId="6E4F8F6D" w14:textId="77777777" w:rsidR="00D9356E" w:rsidRDefault="00D9356E" w:rsidP="00EC15E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30CF751F" w14:textId="505880BC" w:rsidR="00EC15EF" w:rsidRPr="00995657" w:rsidRDefault="00EC15EF" w:rsidP="00EC15E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995657">
        <w:rPr>
          <w:rStyle w:val="normaltextrun"/>
          <w:rFonts w:asciiTheme="minorHAnsi" w:hAnsiTheme="minorHAnsi" w:cstheme="minorHAnsi"/>
          <w:b/>
          <w:bCs/>
        </w:rPr>
        <w:t>Proactive Publication Requirements Table</w:t>
      </w:r>
    </w:p>
    <w:p w14:paraId="21CCF623" w14:textId="77777777" w:rsidR="00EC15EF" w:rsidRPr="00202DA2" w:rsidRDefault="00EC15EF" w:rsidP="00EC15E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1080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710"/>
        <w:gridCol w:w="900"/>
        <w:gridCol w:w="1980"/>
        <w:gridCol w:w="1440"/>
        <w:gridCol w:w="1530"/>
        <w:gridCol w:w="1530"/>
        <w:gridCol w:w="1710"/>
      </w:tblGrid>
      <w:tr w:rsidR="00575A6F" w:rsidRPr="00202DA2" w14:paraId="42C36285" w14:textId="0819FD74" w:rsidTr="003C639E">
        <w:tc>
          <w:tcPr>
            <w:tcW w:w="1710" w:type="dxa"/>
            <w:shd w:val="clear" w:color="auto" w:fill="BFBFBF" w:themeFill="background1" w:themeFillShade="BF"/>
          </w:tcPr>
          <w:p w14:paraId="4F0B6851" w14:textId="77777777" w:rsidR="00B81DB6" w:rsidRPr="00FF7DC9" w:rsidRDefault="00B81DB6" w:rsidP="00B81DB6">
            <w:pPr>
              <w:spacing w:after="80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bookmarkStart w:id="7" w:name="_Hlk115182788"/>
            <w:r w:rsidRPr="00FF7DC9">
              <w:rPr>
                <w:rFonts w:cstheme="minorHAnsi"/>
                <w:b/>
                <w:bCs/>
                <w:sz w:val="22"/>
                <w:szCs w:val="22"/>
                <w:lang w:val="en-US"/>
              </w:rPr>
              <w:t>Legislative Requirement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03ADCFD5" w14:textId="381D4D39" w:rsidR="00B81DB6" w:rsidRPr="00FF7DC9" w:rsidRDefault="00B81DB6" w:rsidP="00B81DB6">
            <w:pPr>
              <w:spacing w:after="80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FF7DC9">
              <w:rPr>
                <w:rFonts w:cstheme="minorHAnsi"/>
                <w:b/>
                <w:bCs/>
                <w:sz w:val="22"/>
                <w:szCs w:val="22"/>
                <w:lang w:val="en-US"/>
              </w:rPr>
              <w:t>Section</w:t>
            </w:r>
            <w:r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of ATIA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3E0AE124" w14:textId="77777777" w:rsidR="00B81DB6" w:rsidRPr="00FF7DC9" w:rsidRDefault="00B81DB6" w:rsidP="00B81DB6">
            <w:pPr>
              <w:spacing w:after="80"/>
              <w:rPr>
                <w:rFonts w:cstheme="minorHAnsi"/>
                <w:b/>
                <w:bCs/>
                <w:sz w:val="22"/>
                <w:szCs w:val="22"/>
                <w:highlight w:val="yellow"/>
                <w:lang w:val="en-US"/>
              </w:rPr>
            </w:pPr>
            <w:r w:rsidRPr="00FF7DC9">
              <w:rPr>
                <w:rFonts w:cstheme="minorHAnsi"/>
                <w:b/>
                <w:bCs/>
                <w:sz w:val="22"/>
                <w:szCs w:val="22"/>
                <w:lang w:val="en-US"/>
              </w:rPr>
              <w:t>Publication Timeline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426BF5D9" w14:textId="061C0965" w:rsidR="00B81DB6" w:rsidRPr="00FF7DC9" w:rsidRDefault="00B81DB6" w:rsidP="00B81DB6">
            <w:pPr>
              <w:spacing w:after="80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en-US"/>
              </w:rPr>
              <w:t>Does</w:t>
            </w:r>
            <w:r w:rsidRPr="00FF7DC9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sz w:val="22"/>
                <w:szCs w:val="22"/>
                <w:lang w:val="en-US"/>
              </w:rPr>
              <w:t>r</w:t>
            </w:r>
            <w:r w:rsidRPr="00FF7DC9">
              <w:rPr>
                <w:rFonts w:cstheme="minorHAnsi"/>
                <w:b/>
                <w:bCs/>
                <w:sz w:val="22"/>
                <w:szCs w:val="22"/>
                <w:lang w:val="en-US"/>
              </w:rPr>
              <w:t>equirement</w:t>
            </w:r>
            <w:r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apply to your institution? (Y/N)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78DBE58F" w14:textId="39004798" w:rsidR="00B81DB6" w:rsidRPr="00573132" w:rsidDel="007248EE" w:rsidRDefault="0029400F" w:rsidP="00B81DB6">
            <w:pPr>
              <w:spacing w:after="80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en-US"/>
              </w:rPr>
              <w:t>Internal g</w:t>
            </w:r>
            <w:r w:rsidR="00B81DB6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roup(s) or positions(s) responsible for </w:t>
            </w:r>
            <w:r w:rsidR="003C639E">
              <w:rPr>
                <w:rFonts w:cstheme="minorHAnsi"/>
                <w:b/>
                <w:bCs/>
                <w:sz w:val="22"/>
                <w:szCs w:val="22"/>
                <w:lang w:val="en-US"/>
              </w:rPr>
              <w:t>fulfilling requirement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466279CD" w14:textId="0C6E35EF" w:rsidR="00B81DB6" w:rsidRPr="00FF7DC9" w:rsidDel="007248EE" w:rsidRDefault="00B81DB6" w:rsidP="00B81DB6">
            <w:pPr>
              <w:spacing w:after="80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573132">
              <w:rPr>
                <w:rFonts w:cstheme="minorHAnsi"/>
                <w:b/>
                <w:bCs/>
                <w:sz w:val="22"/>
                <w:szCs w:val="22"/>
                <w:lang w:val="en-US"/>
              </w:rPr>
              <w:t>% of proactive publication requirements published within legislated timelines</w:t>
            </w:r>
            <w:r>
              <w:rPr>
                <w:rFonts w:cstheme="minorHAnsi"/>
                <w:b/>
                <w:bCs/>
                <w:sz w:val="22"/>
                <w:szCs w:val="22"/>
                <w:lang w:val="en-US"/>
              </w:rPr>
              <w:t>*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681CFD6A" w14:textId="7B17C585" w:rsidR="00B81DB6" w:rsidRDefault="00B81DB6" w:rsidP="00B81DB6">
            <w:pPr>
              <w:spacing w:after="80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en-US"/>
              </w:rPr>
              <w:t>Link to web page where published**</w:t>
            </w:r>
          </w:p>
        </w:tc>
      </w:tr>
      <w:tr w:rsidR="00B81DB6" w:rsidRPr="00202DA2" w14:paraId="2ED461AA" w14:textId="151EA172" w:rsidTr="00B47BAB">
        <w:tc>
          <w:tcPr>
            <w:tcW w:w="10800" w:type="dxa"/>
            <w:gridSpan w:val="7"/>
            <w:shd w:val="clear" w:color="auto" w:fill="D9D9D9" w:themeFill="background1" w:themeFillShade="D9"/>
          </w:tcPr>
          <w:p w14:paraId="532449C9" w14:textId="7CA12714" w:rsidR="00B81DB6" w:rsidRPr="00FF7DC9" w:rsidRDefault="00B81DB6" w:rsidP="00B81DB6">
            <w:pPr>
              <w:spacing w:after="80"/>
              <w:rPr>
                <w:b/>
                <w:bCs/>
                <w:sz w:val="22"/>
                <w:szCs w:val="22"/>
                <w:lang w:val="en-US"/>
              </w:rPr>
            </w:pPr>
            <w:r w:rsidRPr="00FF7DC9">
              <w:rPr>
                <w:b/>
                <w:bCs/>
                <w:sz w:val="22"/>
                <w:szCs w:val="22"/>
                <w:lang w:val="en-US"/>
              </w:rPr>
              <w:t>A</w:t>
            </w:r>
            <w:r>
              <w:rPr>
                <w:b/>
                <w:bCs/>
                <w:sz w:val="22"/>
                <w:szCs w:val="22"/>
                <w:lang w:val="en-US"/>
              </w:rPr>
              <w:t>pply to a</w:t>
            </w:r>
            <w:r w:rsidRPr="00FF7DC9">
              <w:rPr>
                <w:b/>
                <w:bCs/>
                <w:sz w:val="22"/>
                <w:szCs w:val="22"/>
                <w:lang w:val="en-US"/>
              </w:rPr>
              <w:t xml:space="preserve">ll Government Institutions as defined in section 3 of the </w:t>
            </w:r>
            <w:r w:rsidRPr="00FF7DC9">
              <w:rPr>
                <w:b/>
                <w:bCs/>
                <w:i/>
                <w:iCs/>
                <w:sz w:val="22"/>
                <w:szCs w:val="22"/>
                <w:lang w:val="en-US"/>
              </w:rPr>
              <w:t>Access to Information Act</w:t>
            </w:r>
          </w:p>
        </w:tc>
      </w:tr>
      <w:tr w:rsidR="00B81DB6" w:rsidRPr="00202DA2" w14:paraId="78392C0F" w14:textId="42E90399" w:rsidTr="003C639E">
        <w:tc>
          <w:tcPr>
            <w:tcW w:w="1710" w:type="dxa"/>
          </w:tcPr>
          <w:p w14:paraId="24B39625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t>Travel Expenses</w:t>
            </w:r>
          </w:p>
        </w:tc>
        <w:tc>
          <w:tcPr>
            <w:tcW w:w="900" w:type="dxa"/>
          </w:tcPr>
          <w:p w14:paraId="1893C5B0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t>82</w:t>
            </w:r>
          </w:p>
        </w:tc>
        <w:tc>
          <w:tcPr>
            <w:tcW w:w="1980" w:type="dxa"/>
          </w:tcPr>
          <w:p w14:paraId="7813A5E9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highlight w:val="yellow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t>Within 30 days after the end of the month of reimbursement</w:t>
            </w:r>
          </w:p>
        </w:tc>
        <w:tc>
          <w:tcPr>
            <w:tcW w:w="1440" w:type="dxa"/>
          </w:tcPr>
          <w:p w14:paraId="24D0C598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14:paraId="7D9A5110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14:paraId="2B476DBD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14:paraId="003BD908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B81DB6" w:rsidRPr="00202DA2" w14:paraId="66E808C8" w14:textId="12AA737B" w:rsidTr="003C639E">
        <w:trPr>
          <w:trHeight w:val="635"/>
        </w:trPr>
        <w:tc>
          <w:tcPr>
            <w:tcW w:w="1710" w:type="dxa"/>
          </w:tcPr>
          <w:p w14:paraId="445C4578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t>Hospitality Expenses</w:t>
            </w:r>
          </w:p>
        </w:tc>
        <w:tc>
          <w:tcPr>
            <w:tcW w:w="900" w:type="dxa"/>
          </w:tcPr>
          <w:p w14:paraId="22E1D68D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t>83</w:t>
            </w:r>
          </w:p>
        </w:tc>
        <w:tc>
          <w:tcPr>
            <w:tcW w:w="1980" w:type="dxa"/>
          </w:tcPr>
          <w:p w14:paraId="4CF09D6A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highlight w:val="yellow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t>Within 30 days after the end of the month of reimbursement</w:t>
            </w:r>
          </w:p>
        </w:tc>
        <w:tc>
          <w:tcPr>
            <w:tcW w:w="1440" w:type="dxa"/>
          </w:tcPr>
          <w:p w14:paraId="45D3BC35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14:paraId="11945CBA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14:paraId="2742237D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14:paraId="301CF586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B81DB6" w:rsidRPr="00202DA2" w14:paraId="35BFDEE0" w14:textId="15E082DC" w:rsidTr="003C639E">
        <w:trPr>
          <w:trHeight w:val="305"/>
        </w:trPr>
        <w:tc>
          <w:tcPr>
            <w:tcW w:w="1710" w:type="dxa"/>
          </w:tcPr>
          <w:p w14:paraId="6EA5BE17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t>Reports tabled in Parliament</w:t>
            </w:r>
          </w:p>
        </w:tc>
        <w:tc>
          <w:tcPr>
            <w:tcW w:w="900" w:type="dxa"/>
          </w:tcPr>
          <w:p w14:paraId="677A6599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t>84</w:t>
            </w:r>
          </w:p>
        </w:tc>
        <w:tc>
          <w:tcPr>
            <w:tcW w:w="1980" w:type="dxa"/>
          </w:tcPr>
          <w:p w14:paraId="5D98987D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t>Within 30 days after tabling</w:t>
            </w:r>
          </w:p>
        </w:tc>
        <w:tc>
          <w:tcPr>
            <w:tcW w:w="1440" w:type="dxa"/>
          </w:tcPr>
          <w:p w14:paraId="421EE18E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14:paraId="6C86D70A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14:paraId="629EEE44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14:paraId="6108F80E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B81DB6" w:rsidRPr="00202DA2" w14:paraId="4C529CF2" w14:textId="3EDD6915" w:rsidTr="00B47BAB">
        <w:tc>
          <w:tcPr>
            <w:tcW w:w="10800" w:type="dxa"/>
            <w:gridSpan w:val="7"/>
            <w:shd w:val="clear" w:color="auto" w:fill="D9D9D9" w:themeFill="background1" w:themeFillShade="D9"/>
          </w:tcPr>
          <w:p w14:paraId="4F151BED" w14:textId="4D651DBB" w:rsidR="00B81DB6" w:rsidRDefault="00B81DB6" w:rsidP="00B81DB6">
            <w:pPr>
              <w:spacing w:after="80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en-US"/>
              </w:rPr>
              <w:t>Apply to g</w:t>
            </w:r>
            <w:r w:rsidRPr="00FF7DC9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overnment entities or Departments, agencies, and other bodies subject to the Act and listed in Schedules I, I.1, or II of the </w:t>
            </w:r>
            <w:r w:rsidRPr="00FF7DC9">
              <w:rPr>
                <w:rFonts w:cstheme="minorHAnsi"/>
                <w:b/>
                <w:bCs/>
                <w:i/>
                <w:iCs/>
                <w:sz w:val="22"/>
                <w:szCs w:val="22"/>
                <w:lang w:val="en-US"/>
              </w:rPr>
              <w:t>Financial Administration Act</w:t>
            </w:r>
          </w:p>
        </w:tc>
      </w:tr>
      <w:tr w:rsidR="00B81DB6" w:rsidRPr="00202DA2" w14:paraId="557472C0" w14:textId="1D00FAE8" w:rsidTr="003C639E">
        <w:tc>
          <w:tcPr>
            <w:tcW w:w="1710" w:type="dxa"/>
          </w:tcPr>
          <w:p w14:paraId="185BCCE7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t>Contracts over $10,000</w:t>
            </w:r>
          </w:p>
        </w:tc>
        <w:tc>
          <w:tcPr>
            <w:tcW w:w="900" w:type="dxa"/>
          </w:tcPr>
          <w:p w14:paraId="14D07D5B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t>86</w:t>
            </w:r>
          </w:p>
        </w:tc>
        <w:tc>
          <w:tcPr>
            <w:tcW w:w="1980" w:type="dxa"/>
          </w:tcPr>
          <w:p w14:paraId="1D65D1D2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t>Q1-3: Within 30 days after the quarter</w:t>
            </w:r>
          </w:p>
          <w:p w14:paraId="662F1CE2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highlight w:val="yellow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t>Q4: Within 60 days after the quarter</w:t>
            </w:r>
          </w:p>
        </w:tc>
        <w:tc>
          <w:tcPr>
            <w:tcW w:w="1440" w:type="dxa"/>
          </w:tcPr>
          <w:p w14:paraId="387401C3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14:paraId="6C6CF862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14:paraId="36E163FA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14:paraId="49A6548C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B81DB6" w:rsidRPr="00202DA2" w14:paraId="075CAC0A" w14:textId="6DDF5996" w:rsidTr="003C639E">
        <w:tc>
          <w:tcPr>
            <w:tcW w:w="1710" w:type="dxa"/>
          </w:tcPr>
          <w:p w14:paraId="6F631294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lastRenderedPageBreak/>
              <w:t>Grants &amp; Contributions over $25,000</w:t>
            </w:r>
          </w:p>
        </w:tc>
        <w:tc>
          <w:tcPr>
            <w:tcW w:w="900" w:type="dxa"/>
          </w:tcPr>
          <w:p w14:paraId="46CCA802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t>87</w:t>
            </w:r>
          </w:p>
        </w:tc>
        <w:tc>
          <w:tcPr>
            <w:tcW w:w="1980" w:type="dxa"/>
          </w:tcPr>
          <w:p w14:paraId="34563277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highlight w:val="yellow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t>Within 30 days after the quarter</w:t>
            </w:r>
          </w:p>
        </w:tc>
        <w:tc>
          <w:tcPr>
            <w:tcW w:w="1440" w:type="dxa"/>
          </w:tcPr>
          <w:p w14:paraId="69DABB9F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14:paraId="6F80AEB0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14:paraId="2E48EE70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14:paraId="2C7CB938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B81DB6" w:rsidRPr="00202DA2" w14:paraId="7E0FDE4C" w14:textId="4F6EC723" w:rsidTr="003C639E">
        <w:tc>
          <w:tcPr>
            <w:tcW w:w="1710" w:type="dxa"/>
          </w:tcPr>
          <w:p w14:paraId="0940B6FB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t>Packages of briefing materials prepared for new or incoming deputy heads or equivalent</w:t>
            </w:r>
          </w:p>
        </w:tc>
        <w:tc>
          <w:tcPr>
            <w:tcW w:w="900" w:type="dxa"/>
          </w:tcPr>
          <w:p w14:paraId="12B86945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t>88(a)</w:t>
            </w:r>
          </w:p>
        </w:tc>
        <w:tc>
          <w:tcPr>
            <w:tcW w:w="1980" w:type="dxa"/>
          </w:tcPr>
          <w:p w14:paraId="47AB2461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highlight w:val="yellow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t>Within 120 days after appointment</w:t>
            </w:r>
          </w:p>
        </w:tc>
        <w:tc>
          <w:tcPr>
            <w:tcW w:w="1440" w:type="dxa"/>
          </w:tcPr>
          <w:p w14:paraId="0B9F6C71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14:paraId="71090E9E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14:paraId="0EA77D8A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14:paraId="67DA6A85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B81DB6" w:rsidRPr="00202DA2" w14:paraId="6A53A377" w14:textId="63FB403B" w:rsidTr="003C639E">
        <w:tc>
          <w:tcPr>
            <w:tcW w:w="1710" w:type="dxa"/>
          </w:tcPr>
          <w:p w14:paraId="41D0131A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t>Titles and reference numbers of memoranda prepared for a deputy head or equivalent, that is received by their office</w:t>
            </w:r>
          </w:p>
        </w:tc>
        <w:tc>
          <w:tcPr>
            <w:tcW w:w="900" w:type="dxa"/>
          </w:tcPr>
          <w:p w14:paraId="6679B245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t>88(b)</w:t>
            </w:r>
          </w:p>
        </w:tc>
        <w:tc>
          <w:tcPr>
            <w:tcW w:w="1980" w:type="dxa"/>
          </w:tcPr>
          <w:p w14:paraId="65B8FB7F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highlight w:val="yellow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t>Within 30 days after the end of the month received</w:t>
            </w:r>
          </w:p>
        </w:tc>
        <w:tc>
          <w:tcPr>
            <w:tcW w:w="1440" w:type="dxa"/>
          </w:tcPr>
          <w:p w14:paraId="04952FB3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14:paraId="632567D4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14:paraId="6A8C105D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14:paraId="38DBF4F2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B81DB6" w:rsidRPr="00202DA2" w14:paraId="7882C160" w14:textId="0D44FBE8" w:rsidTr="003C639E">
        <w:tc>
          <w:tcPr>
            <w:tcW w:w="1710" w:type="dxa"/>
          </w:tcPr>
          <w:p w14:paraId="25B30A56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t>Packages of briefing materials prepared for a deputy head or equivalent’s appearance before a committee of Parliament</w:t>
            </w:r>
          </w:p>
        </w:tc>
        <w:tc>
          <w:tcPr>
            <w:tcW w:w="900" w:type="dxa"/>
          </w:tcPr>
          <w:p w14:paraId="60A0539E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t>88(c)</w:t>
            </w:r>
          </w:p>
        </w:tc>
        <w:tc>
          <w:tcPr>
            <w:tcW w:w="1980" w:type="dxa"/>
          </w:tcPr>
          <w:p w14:paraId="01B4AE17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t>Within 120 days after appearance</w:t>
            </w:r>
          </w:p>
          <w:p w14:paraId="0B876C18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440" w:type="dxa"/>
          </w:tcPr>
          <w:p w14:paraId="654A8FFD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14:paraId="5EE16556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14:paraId="089C1E00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14:paraId="2A80ABEE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B81DB6" w:rsidRPr="00202DA2" w14:paraId="4A515869" w14:textId="1A6FAB62" w:rsidTr="00B47BAB">
        <w:tc>
          <w:tcPr>
            <w:tcW w:w="10800" w:type="dxa"/>
            <w:gridSpan w:val="7"/>
            <w:shd w:val="clear" w:color="auto" w:fill="D9D9D9" w:themeFill="background1" w:themeFillShade="D9"/>
          </w:tcPr>
          <w:p w14:paraId="490E8D8B" w14:textId="3B326554" w:rsidR="00B81DB6" w:rsidRDefault="00B81DB6" w:rsidP="00B81DB6">
            <w:pPr>
              <w:spacing w:after="8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Appl</w:t>
            </w:r>
            <w:r w:rsidR="00DB6EC4">
              <w:rPr>
                <w:rFonts w:cstheme="minorHAnsi"/>
                <w:b/>
                <w:bCs/>
                <w:sz w:val="22"/>
                <w:szCs w:val="22"/>
              </w:rPr>
              <w:t>ies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to g</w:t>
            </w:r>
            <w:r w:rsidRPr="00FF7DC9">
              <w:rPr>
                <w:rFonts w:cstheme="minorHAnsi"/>
                <w:b/>
                <w:bCs/>
                <w:sz w:val="22"/>
                <w:szCs w:val="22"/>
              </w:rPr>
              <w:t>overnment</w:t>
            </w:r>
            <w:r w:rsidRPr="00FF7DC9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institutions that are departments named in Schedule I to the </w:t>
            </w:r>
            <w:r w:rsidRPr="00FF7DC9">
              <w:rPr>
                <w:rFonts w:cstheme="minorHAnsi"/>
                <w:b/>
                <w:bCs/>
                <w:i/>
                <w:iCs/>
                <w:sz w:val="22"/>
                <w:szCs w:val="22"/>
                <w:lang w:val="en-US"/>
              </w:rPr>
              <w:t>Financial Administration Act</w:t>
            </w:r>
            <w:r w:rsidRPr="00FF7DC9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or portions of the core public administration named in Schedule IV to that Act (i.e. government institutions for which Treasury Board is the employer)</w:t>
            </w:r>
          </w:p>
        </w:tc>
      </w:tr>
      <w:tr w:rsidR="00B81DB6" w:rsidRPr="00202DA2" w14:paraId="3F87ACE5" w14:textId="382D5504" w:rsidTr="003C639E">
        <w:tc>
          <w:tcPr>
            <w:tcW w:w="1710" w:type="dxa"/>
          </w:tcPr>
          <w:p w14:paraId="2DB97ED9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t>Reclassification of positions</w:t>
            </w:r>
          </w:p>
        </w:tc>
        <w:tc>
          <w:tcPr>
            <w:tcW w:w="900" w:type="dxa"/>
          </w:tcPr>
          <w:p w14:paraId="40442858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t>85</w:t>
            </w:r>
          </w:p>
        </w:tc>
        <w:tc>
          <w:tcPr>
            <w:tcW w:w="1980" w:type="dxa"/>
          </w:tcPr>
          <w:p w14:paraId="11CC85D3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highlight w:val="yellow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t>Within 30 days after the quarter</w:t>
            </w:r>
          </w:p>
        </w:tc>
        <w:tc>
          <w:tcPr>
            <w:tcW w:w="1440" w:type="dxa"/>
          </w:tcPr>
          <w:p w14:paraId="6E369890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14:paraId="789E5BC6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14:paraId="112A9891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14:paraId="3E23447C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B81DB6" w:rsidRPr="00202DA2" w14:paraId="6AE18E80" w14:textId="6CA35E47" w:rsidTr="00B47BAB">
        <w:tc>
          <w:tcPr>
            <w:tcW w:w="10800" w:type="dxa"/>
            <w:gridSpan w:val="7"/>
            <w:shd w:val="clear" w:color="auto" w:fill="D9D9D9" w:themeFill="background1" w:themeFillShade="D9"/>
          </w:tcPr>
          <w:p w14:paraId="5264CA12" w14:textId="77FB0F25" w:rsidR="00B81DB6" w:rsidRDefault="00B81DB6" w:rsidP="00B81DB6">
            <w:pPr>
              <w:tabs>
                <w:tab w:val="left" w:pos="2580"/>
              </w:tabs>
              <w:spacing w:after="80"/>
              <w:jc w:val="both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Apply to </w:t>
            </w:r>
            <w:r w:rsidRPr="00FF7DC9">
              <w:rPr>
                <w:rFonts w:cstheme="minorHAnsi"/>
                <w:b/>
                <w:bCs/>
                <w:sz w:val="22"/>
                <w:szCs w:val="22"/>
                <w:lang w:val="en-US"/>
              </w:rPr>
              <w:t>Ministers</w:t>
            </w:r>
            <w:r>
              <w:rPr>
                <w:rFonts w:cstheme="minorHAnsi"/>
                <w:b/>
                <w:bCs/>
                <w:sz w:val="22"/>
                <w:szCs w:val="22"/>
                <w:lang w:val="en-US"/>
              </w:rPr>
              <w:t>’ Offices (</w:t>
            </w:r>
            <w:r w:rsidR="00DB6EC4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therefore </w:t>
            </w:r>
            <w:r>
              <w:rPr>
                <w:rFonts w:cstheme="minorHAnsi"/>
                <w:b/>
                <w:bCs/>
                <w:sz w:val="22"/>
                <w:szCs w:val="22"/>
                <w:lang w:val="en-US"/>
              </w:rPr>
              <w:t>appl</w:t>
            </w:r>
            <w:r w:rsidR="000274CA">
              <w:rPr>
                <w:rFonts w:cstheme="minorHAnsi"/>
                <w:b/>
                <w:bCs/>
                <w:sz w:val="22"/>
                <w:szCs w:val="22"/>
                <w:lang w:val="en-US"/>
              </w:rPr>
              <w:t>y</w:t>
            </w:r>
            <w:r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to any institution that performs proactive publication on behalf of a Minister’s Office)</w:t>
            </w:r>
          </w:p>
        </w:tc>
      </w:tr>
      <w:tr w:rsidR="00B81DB6" w:rsidRPr="00202DA2" w14:paraId="6ED3150A" w14:textId="246DB5EF" w:rsidTr="003C639E">
        <w:tc>
          <w:tcPr>
            <w:tcW w:w="1710" w:type="dxa"/>
          </w:tcPr>
          <w:p w14:paraId="6A24ACF3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t>Packages of briefing materials prepared by a government institution for new or incoming ministers</w:t>
            </w:r>
          </w:p>
        </w:tc>
        <w:tc>
          <w:tcPr>
            <w:tcW w:w="900" w:type="dxa"/>
          </w:tcPr>
          <w:p w14:paraId="1C0BC836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t>74(a)</w:t>
            </w:r>
          </w:p>
          <w:p w14:paraId="0B0C829B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</w:tcPr>
          <w:p w14:paraId="79FB369E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highlight w:val="yellow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t>Within 120 days after appointment</w:t>
            </w:r>
          </w:p>
        </w:tc>
        <w:tc>
          <w:tcPr>
            <w:tcW w:w="1440" w:type="dxa"/>
          </w:tcPr>
          <w:p w14:paraId="356B4216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14:paraId="74A77504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14:paraId="2ADBBD5B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14:paraId="1FE967FE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B81DB6" w:rsidRPr="00202DA2" w14:paraId="0709D714" w14:textId="655BCBFC" w:rsidTr="003C639E">
        <w:tc>
          <w:tcPr>
            <w:tcW w:w="1710" w:type="dxa"/>
          </w:tcPr>
          <w:p w14:paraId="32DB12AD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lastRenderedPageBreak/>
              <w:t>Titles and reference numbers of memoranda prepared by a government institution for the minister, that is received by their office</w:t>
            </w:r>
          </w:p>
        </w:tc>
        <w:tc>
          <w:tcPr>
            <w:tcW w:w="900" w:type="dxa"/>
          </w:tcPr>
          <w:p w14:paraId="19683C02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t>74(b)</w:t>
            </w:r>
          </w:p>
        </w:tc>
        <w:tc>
          <w:tcPr>
            <w:tcW w:w="1980" w:type="dxa"/>
          </w:tcPr>
          <w:p w14:paraId="4ED2E54D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highlight w:val="yellow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t>Within 30 days after the end of the month received</w:t>
            </w:r>
          </w:p>
        </w:tc>
        <w:tc>
          <w:tcPr>
            <w:tcW w:w="1440" w:type="dxa"/>
          </w:tcPr>
          <w:p w14:paraId="0BB3AD3E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14:paraId="2CC3FAF5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14:paraId="0964DCEE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14:paraId="0DAD6169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B81DB6" w:rsidRPr="00202DA2" w14:paraId="05C522C9" w14:textId="314F5F1F" w:rsidTr="003C639E">
        <w:tc>
          <w:tcPr>
            <w:tcW w:w="1710" w:type="dxa"/>
          </w:tcPr>
          <w:p w14:paraId="1F8CCC8B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</w:rPr>
              <w:t>Package of question period notes prepared by a government institution for the minister and in use on the last sitting day of the House of Commons in June and December</w:t>
            </w:r>
          </w:p>
        </w:tc>
        <w:tc>
          <w:tcPr>
            <w:tcW w:w="900" w:type="dxa"/>
          </w:tcPr>
          <w:p w14:paraId="778FC5C3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t>74(c)</w:t>
            </w:r>
          </w:p>
        </w:tc>
        <w:tc>
          <w:tcPr>
            <w:tcW w:w="1980" w:type="dxa"/>
          </w:tcPr>
          <w:p w14:paraId="61A2BECD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highlight w:val="yellow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t>Within 30 days after last sitting day of the House of Common in June and December</w:t>
            </w:r>
          </w:p>
        </w:tc>
        <w:tc>
          <w:tcPr>
            <w:tcW w:w="1440" w:type="dxa"/>
          </w:tcPr>
          <w:p w14:paraId="3B7EAD24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14:paraId="75215548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14:paraId="01AA7BA2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14:paraId="4D00EE3F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B81DB6" w:rsidRPr="00202DA2" w14:paraId="3D9666C7" w14:textId="2A459060" w:rsidTr="003C639E">
        <w:tc>
          <w:tcPr>
            <w:tcW w:w="1710" w:type="dxa"/>
          </w:tcPr>
          <w:p w14:paraId="76D4314A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t>Packages of briefing materials prepared by a government institution for a minister’s appearance before a committee of Parliament</w:t>
            </w:r>
          </w:p>
        </w:tc>
        <w:tc>
          <w:tcPr>
            <w:tcW w:w="900" w:type="dxa"/>
          </w:tcPr>
          <w:p w14:paraId="4573CD88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t>74(d)</w:t>
            </w:r>
          </w:p>
        </w:tc>
        <w:tc>
          <w:tcPr>
            <w:tcW w:w="1980" w:type="dxa"/>
          </w:tcPr>
          <w:p w14:paraId="06A0B8BF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highlight w:val="yellow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t>Within 120 days after appearance</w:t>
            </w:r>
          </w:p>
        </w:tc>
        <w:tc>
          <w:tcPr>
            <w:tcW w:w="1440" w:type="dxa"/>
          </w:tcPr>
          <w:p w14:paraId="5EDC1ECC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14:paraId="7DD75484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14:paraId="1F333310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14:paraId="49C08B37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B81DB6" w:rsidRPr="00202DA2" w14:paraId="4AEAEF09" w14:textId="01BDAF33" w:rsidTr="003C639E">
        <w:tc>
          <w:tcPr>
            <w:tcW w:w="1710" w:type="dxa"/>
          </w:tcPr>
          <w:p w14:paraId="4DF1C4FF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t>Travel Expenses</w:t>
            </w:r>
          </w:p>
        </w:tc>
        <w:tc>
          <w:tcPr>
            <w:tcW w:w="900" w:type="dxa"/>
          </w:tcPr>
          <w:p w14:paraId="4F1F4945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t>75</w:t>
            </w:r>
          </w:p>
        </w:tc>
        <w:tc>
          <w:tcPr>
            <w:tcW w:w="1980" w:type="dxa"/>
          </w:tcPr>
          <w:p w14:paraId="7E4AC5B6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highlight w:val="yellow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t>Within 30 days after the end of the month of reimbursement</w:t>
            </w:r>
          </w:p>
        </w:tc>
        <w:tc>
          <w:tcPr>
            <w:tcW w:w="1440" w:type="dxa"/>
          </w:tcPr>
          <w:p w14:paraId="158FDBAB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14:paraId="1C090DBB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14:paraId="237047D5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14:paraId="64F6DD97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B81DB6" w:rsidRPr="00202DA2" w14:paraId="06857B1F" w14:textId="2981FEB3" w:rsidTr="003C639E">
        <w:tc>
          <w:tcPr>
            <w:tcW w:w="1710" w:type="dxa"/>
          </w:tcPr>
          <w:p w14:paraId="31E103C9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t>Hospitality Expenses</w:t>
            </w:r>
          </w:p>
        </w:tc>
        <w:tc>
          <w:tcPr>
            <w:tcW w:w="900" w:type="dxa"/>
          </w:tcPr>
          <w:p w14:paraId="205B15DB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t>76</w:t>
            </w:r>
          </w:p>
        </w:tc>
        <w:tc>
          <w:tcPr>
            <w:tcW w:w="1980" w:type="dxa"/>
          </w:tcPr>
          <w:p w14:paraId="6162323F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highlight w:val="yellow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t>Within 30 days after the end of the month of reimbursement</w:t>
            </w:r>
          </w:p>
        </w:tc>
        <w:tc>
          <w:tcPr>
            <w:tcW w:w="1440" w:type="dxa"/>
          </w:tcPr>
          <w:p w14:paraId="0F2E83DD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14:paraId="05D495C2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14:paraId="2521B041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14:paraId="7B14D6C4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B81DB6" w:rsidRPr="00202DA2" w14:paraId="3E6A0306" w14:textId="5B86CDC5" w:rsidTr="003C639E">
        <w:tc>
          <w:tcPr>
            <w:tcW w:w="1710" w:type="dxa"/>
          </w:tcPr>
          <w:p w14:paraId="49D112D4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t>Contracts over $10,000</w:t>
            </w:r>
          </w:p>
        </w:tc>
        <w:tc>
          <w:tcPr>
            <w:tcW w:w="900" w:type="dxa"/>
          </w:tcPr>
          <w:p w14:paraId="74CC1C30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t>77</w:t>
            </w:r>
          </w:p>
        </w:tc>
        <w:tc>
          <w:tcPr>
            <w:tcW w:w="1980" w:type="dxa"/>
          </w:tcPr>
          <w:p w14:paraId="55626116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t>Q1-3: Within 30 days after the quarter</w:t>
            </w:r>
          </w:p>
          <w:p w14:paraId="3A336860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highlight w:val="yellow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t>Q4: Within 60 days after the quarter</w:t>
            </w:r>
          </w:p>
        </w:tc>
        <w:tc>
          <w:tcPr>
            <w:tcW w:w="1440" w:type="dxa"/>
          </w:tcPr>
          <w:p w14:paraId="61380D7B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14:paraId="2A09B03B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14:paraId="2733F232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14:paraId="5D90D69B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B81DB6" w:rsidRPr="00202DA2" w14:paraId="15A7116C" w14:textId="41A330C4" w:rsidTr="003C639E">
        <w:tc>
          <w:tcPr>
            <w:tcW w:w="1710" w:type="dxa"/>
          </w:tcPr>
          <w:p w14:paraId="0402C0C5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lastRenderedPageBreak/>
              <w:t>Ministers’ Offices Expenses</w:t>
            </w:r>
          </w:p>
          <w:p w14:paraId="78A9F2E5" w14:textId="475E2240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t>Note: This consolidated report is currently published by TBS on behalf of all institutions.</w:t>
            </w:r>
          </w:p>
        </w:tc>
        <w:tc>
          <w:tcPr>
            <w:tcW w:w="900" w:type="dxa"/>
          </w:tcPr>
          <w:p w14:paraId="2AD83746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t>78</w:t>
            </w:r>
          </w:p>
        </w:tc>
        <w:tc>
          <w:tcPr>
            <w:tcW w:w="1980" w:type="dxa"/>
          </w:tcPr>
          <w:p w14:paraId="43CD4A7A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highlight w:val="yellow"/>
                <w:lang w:val="en-US"/>
              </w:rPr>
            </w:pPr>
            <w:r w:rsidRPr="00FF7DC9">
              <w:rPr>
                <w:rFonts w:cstheme="minorHAnsi"/>
                <w:sz w:val="22"/>
                <w:szCs w:val="22"/>
                <w:lang w:val="en-US"/>
              </w:rPr>
              <w:t>Within 120 days after the fiscal year</w:t>
            </w:r>
          </w:p>
        </w:tc>
        <w:tc>
          <w:tcPr>
            <w:tcW w:w="1440" w:type="dxa"/>
          </w:tcPr>
          <w:p w14:paraId="35AF0030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14:paraId="53173994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14:paraId="0C74FFC3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14:paraId="2C92A2C0" w14:textId="77777777" w:rsidR="00B81DB6" w:rsidRPr="00FF7DC9" w:rsidRDefault="00B81DB6" w:rsidP="00B81DB6">
            <w:pPr>
              <w:spacing w:after="80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</w:tbl>
    <w:bookmarkEnd w:id="7"/>
    <w:p w14:paraId="455429DC" w14:textId="0160AE42" w:rsidR="00EC15EF" w:rsidRPr="000626E8" w:rsidRDefault="000626E8" w:rsidP="00EC15E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CA"/>
        </w:rPr>
      </w:pPr>
      <w:r w:rsidRPr="000626E8">
        <w:rPr>
          <w:rFonts w:asciiTheme="minorHAnsi" w:hAnsiTheme="minorHAnsi" w:cstheme="minorHAnsi"/>
          <w:sz w:val="22"/>
          <w:szCs w:val="22"/>
        </w:rPr>
        <w:t>*When counting proactive publication requirements count monthly or quarterly reports as a single publication.</w:t>
      </w:r>
    </w:p>
    <w:bookmarkEnd w:id="6"/>
    <w:p w14:paraId="70DA9ECC" w14:textId="369F6280" w:rsidR="00663ABE" w:rsidRPr="000626E8" w:rsidRDefault="000626E8" w:rsidP="0D3E1ED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0626E8">
        <w:rPr>
          <w:rFonts w:asciiTheme="minorHAnsi" w:hAnsiTheme="minorHAnsi" w:cstheme="minorHAnsi"/>
          <w:sz w:val="22"/>
          <w:szCs w:val="22"/>
          <w:lang w:val="en-US" w:eastAsia="en-US"/>
        </w:rPr>
        <w:t>**</w:t>
      </w:r>
      <w:r w:rsidR="002A1BD7" w:rsidRPr="000626E8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i.e., </w:t>
      </w:r>
      <w:r w:rsidR="00042E14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specific page where that information is located </w:t>
      </w:r>
      <w:r w:rsidR="002A1BD7" w:rsidRPr="000626E8">
        <w:rPr>
          <w:rFonts w:asciiTheme="minorHAnsi" w:hAnsiTheme="minorHAnsi" w:cstheme="minorHAnsi"/>
          <w:sz w:val="22"/>
          <w:szCs w:val="22"/>
          <w:lang w:val="en-US" w:eastAsia="en-US"/>
        </w:rPr>
        <w:t>on open.canada.ca or the institution’s website</w:t>
      </w:r>
    </w:p>
    <w:p w14:paraId="10C777E6" w14:textId="748EBAC0" w:rsidR="0D3E1EDC" w:rsidRPr="00202DA2" w:rsidRDefault="0D3E1EDC" w:rsidP="0D3E1EDC">
      <w:pPr>
        <w:rPr>
          <w:rFonts w:asciiTheme="minorHAnsi" w:hAnsiTheme="minorHAnsi" w:cstheme="minorHAnsi"/>
          <w:lang w:val="en-US" w:eastAsia="en-US"/>
        </w:rPr>
      </w:pPr>
    </w:p>
    <w:p w14:paraId="5C488785" w14:textId="6E4E77BE" w:rsidR="0D3E1EDC" w:rsidRDefault="0D3E1EDC" w:rsidP="0D3E1EDC">
      <w:pPr>
        <w:rPr>
          <w:rFonts w:asciiTheme="minorHAnsi" w:eastAsia="Calibri" w:hAnsiTheme="minorHAnsi" w:cstheme="minorHAnsi"/>
          <w:lang w:val="en-US"/>
        </w:rPr>
      </w:pPr>
    </w:p>
    <w:p w14:paraId="3508C112" w14:textId="60374E4E" w:rsidR="00274FB7" w:rsidRPr="00202DA2" w:rsidRDefault="00274FB7" w:rsidP="0D3E1ED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-US" w:eastAsia="en-US"/>
        </w:rPr>
      </w:pPr>
      <w:r w:rsidRPr="00202DA2">
        <w:rPr>
          <w:rFonts w:asciiTheme="minorHAnsi" w:hAnsiTheme="minorHAnsi" w:cstheme="minorHAnsi"/>
          <w:b/>
          <w:bCs/>
          <w:lang w:val="en-US" w:eastAsia="en-US"/>
        </w:rPr>
        <w:t>A</w:t>
      </w:r>
      <w:r w:rsidR="00B40A94" w:rsidRPr="00202DA2">
        <w:rPr>
          <w:rFonts w:asciiTheme="minorHAnsi" w:hAnsiTheme="minorHAnsi" w:cstheme="minorHAnsi"/>
          <w:b/>
          <w:bCs/>
          <w:lang w:val="en-US" w:eastAsia="en-US"/>
        </w:rPr>
        <w:t>1</w:t>
      </w:r>
      <w:r w:rsidR="00F23696">
        <w:rPr>
          <w:rFonts w:asciiTheme="minorHAnsi" w:hAnsiTheme="minorHAnsi" w:cstheme="minorHAnsi"/>
          <w:b/>
          <w:bCs/>
          <w:lang w:val="en-US" w:eastAsia="en-US"/>
        </w:rPr>
        <w:t>0</w:t>
      </w:r>
      <w:r w:rsidRPr="00202DA2">
        <w:rPr>
          <w:rFonts w:asciiTheme="minorHAnsi" w:hAnsiTheme="minorHAnsi" w:cstheme="minorHAnsi"/>
          <w:b/>
          <w:bCs/>
          <w:lang w:val="en-US" w:eastAsia="en-US"/>
        </w:rPr>
        <w:t>. Monitoring Compliance</w:t>
      </w:r>
    </w:p>
    <w:p w14:paraId="2BE3ADBA" w14:textId="77777777" w:rsidR="00274FB7" w:rsidRPr="00202DA2" w:rsidRDefault="00274FB7" w:rsidP="0D3E1ED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202DA2">
        <w:rPr>
          <w:rFonts w:asciiTheme="minorHAnsi" w:hAnsiTheme="minorHAnsi" w:cstheme="minorHAnsi"/>
        </w:rPr>
        <w:t>Describe:  </w:t>
      </w:r>
    </w:p>
    <w:p w14:paraId="1FF424B2" w14:textId="3F7F91CC" w:rsidR="00274FB7" w:rsidRPr="00202DA2" w:rsidRDefault="00274FB7" w:rsidP="00B14D0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60" w:line="240" w:lineRule="auto"/>
        <w:ind w:left="425" w:hanging="357"/>
        <w:rPr>
          <w:rFonts w:eastAsia="Times New Roman" w:cstheme="minorHAnsi"/>
          <w:sz w:val="24"/>
          <w:szCs w:val="24"/>
          <w:lang w:val="en-US"/>
        </w:rPr>
      </w:pPr>
      <w:r w:rsidRPr="00202DA2">
        <w:rPr>
          <w:rFonts w:eastAsia="Times New Roman" w:cstheme="minorHAnsi"/>
          <w:sz w:val="24"/>
          <w:szCs w:val="24"/>
          <w:lang w:val="en-US"/>
        </w:rPr>
        <w:t>How the institution monitors the time taken to process access to information requests. </w:t>
      </w:r>
      <w:r w:rsidR="0018292F">
        <w:rPr>
          <w:rFonts w:eastAsia="Times New Roman" w:cstheme="minorHAnsi"/>
          <w:sz w:val="24"/>
          <w:szCs w:val="24"/>
          <w:lang w:val="en-US"/>
        </w:rPr>
        <w:t>Please include how often this monitoring occurs, and what level of officials are advised.</w:t>
      </w:r>
    </w:p>
    <w:p w14:paraId="0368694C" w14:textId="156980C8" w:rsidR="00274FB7" w:rsidRPr="00202DA2" w:rsidRDefault="00274FB7" w:rsidP="00B14D0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60" w:line="240" w:lineRule="auto"/>
        <w:ind w:left="425" w:hanging="357"/>
        <w:rPr>
          <w:rFonts w:eastAsia="Times New Roman"/>
          <w:sz w:val="24"/>
          <w:szCs w:val="24"/>
          <w:lang w:val="en-US"/>
        </w:rPr>
      </w:pPr>
      <w:r w:rsidRPr="706FE540">
        <w:rPr>
          <w:rFonts w:eastAsia="Times New Roman"/>
          <w:sz w:val="24"/>
          <w:szCs w:val="24"/>
          <w:lang w:val="en-US"/>
        </w:rPr>
        <w:t>How the institution ensur</w:t>
      </w:r>
      <w:r w:rsidR="002032F1">
        <w:rPr>
          <w:rFonts w:eastAsia="Times New Roman"/>
          <w:sz w:val="24"/>
          <w:szCs w:val="24"/>
          <w:lang w:val="en-US"/>
        </w:rPr>
        <w:t>es that</w:t>
      </w:r>
      <w:r w:rsidRPr="706FE540">
        <w:rPr>
          <w:rFonts w:eastAsia="Times New Roman"/>
          <w:sz w:val="24"/>
          <w:szCs w:val="24"/>
          <w:lang w:val="en-US"/>
        </w:rPr>
        <w:t xml:space="preserve"> measures to support the right of public access to information are reflected in contracts, information sharing agreements and information sharing arrangements.  </w:t>
      </w:r>
    </w:p>
    <w:p w14:paraId="2E44EF4D" w14:textId="0B7E252B" w:rsidR="00274FB7" w:rsidRPr="00202DA2" w:rsidRDefault="00274FB7" w:rsidP="00B14D0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5" w:hanging="357"/>
        <w:rPr>
          <w:rFonts w:eastAsia="Times New Roman"/>
          <w:sz w:val="24"/>
          <w:szCs w:val="24"/>
        </w:rPr>
      </w:pPr>
      <w:r w:rsidRPr="6F646E42">
        <w:rPr>
          <w:rFonts w:eastAsia="Times New Roman"/>
          <w:sz w:val="24"/>
          <w:szCs w:val="24"/>
        </w:rPr>
        <w:t xml:space="preserve">How the institution monitors the </w:t>
      </w:r>
      <w:r w:rsidR="003C5B57">
        <w:rPr>
          <w:rFonts w:eastAsia="Times New Roman"/>
          <w:sz w:val="24"/>
          <w:szCs w:val="24"/>
        </w:rPr>
        <w:t xml:space="preserve">timeliness, </w:t>
      </w:r>
      <w:r w:rsidRPr="6F646E42">
        <w:rPr>
          <w:rFonts w:eastAsia="Times New Roman"/>
          <w:sz w:val="24"/>
          <w:szCs w:val="24"/>
        </w:rPr>
        <w:t>accuracy and completeness of proactive</w:t>
      </w:r>
      <w:r w:rsidR="00C8454A" w:rsidRPr="6F646E42">
        <w:rPr>
          <w:rFonts w:eastAsia="Times New Roman"/>
          <w:sz w:val="24"/>
          <w:szCs w:val="24"/>
        </w:rPr>
        <w:t>ly</w:t>
      </w:r>
      <w:r w:rsidRPr="6F646E42">
        <w:rPr>
          <w:rFonts w:eastAsia="Times New Roman"/>
          <w:sz w:val="24"/>
          <w:szCs w:val="24"/>
        </w:rPr>
        <w:t xml:space="preserve"> publi</w:t>
      </w:r>
      <w:r w:rsidR="00C8454A" w:rsidRPr="6F646E42">
        <w:rPr>
          <w:rFonts w:eastAsia="Times New Roman"/>
          <w:sz w:val="24"/>
          <w:szCs w:val="24"/>
        </w:rPr>
        <w:t>shed</w:t>
      </w:r>
      <w:r w:rsidRPr="6F646E42">
        <w:rPr>
          <w:rFonts w:eastAsia="Times New Roman"/>
          <w:sz w:val="24"/>
          <w:szCs w:val="24"/>
        </w:rPr>
        <w:t xml:space="preserve"> </w:t>
      </w:r>
      <w:r w:rsidR="00C8454A" w:rsidRPr="6F646E42">
        <w:rPr>
          <w:rFonts w:eastAsia="Times New Roman"/>
          <w:sz w:val="24"/>
          <w:szCs w:val="24"/>
        </w:rPr>
        <w:t>information under Part 2 of the Act</w:t>
      </w:r>
      <w:r w:rsidRPr="6F646E42">
        <w:rPr>
          <w:rFonts w:eastAsia="Times New Roman"/>
          <w:sz w:val="24"/>
          <w:szCs w:val="24"/>
        </w:rPr>
        <w:t xml:space="preserve">. </w:t>
      </w:r>
      <w:r w:rsidR="00CB451C">
        <w:rPr>
          <w:rFonts w:eastAsia="Times New Roman" w:cstheme="minorHAnsi"/>
          <w:sz w:val="24"/>
          <w:szCs w:val="24"/>
          <w:lang w:val="en-US"/>
        </w:rPr>
        <w:t>Please include how often this monitoring occurs, and what level of officials are advised.</w:t>
      </w:r>
    </w:p>
    <w:p w14:paraId="38E663F2" w14:textId="77777777" w:rsidR="005D5D4E" w:rsidRDefault="005D5D4E" w:rsidP="0D3E1EDC">
      <w:pPr>
        <w:rPr>
          <w:rFonts w:asciiTheme="minorHAnsi" w:eastAsia="Calibri" w:hAnsiTheme="minorHAnsi" w:cstheme="minorHAnsi"/>
          <w:lang w:val="en-US"/>
        </w:rPr>
      </w:pPr>
    </w:p>
    <w:p w14:paraId="3059D47E" w14:textId="07AEBF52" w:rsidR="005D5D4E" w:rsidRPr="00202DA2" w:rsidRDefault="000F0562" w:rsidP="0D3E1EDC">
      <w:pPr>
        <w:rPr>
          <w:rFonts w:asciiTheme="minorHAnsi" w:eastAsia="Calibr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If</w:t>
      </w:r>
      <w:r w:rsidR="005D5D4E" w:rsidRPr="008812EC">
        <w:rPr>
          <w:rFonts w:asciiTheme="minorHAnsi" w:hAnsiTheme="minorHAnsi" w:cstheme="minorHAnsi"/>
          <w:lang w:val="en-US"/>
        </w:rPr>
        <w:t xml:space="preserve"> the Treasury Board of Canada Secretariat has </w:t>
      </w:r>
      <w:r w:rsidR="005D5D4E">
        <w:rPr>
          <w:rFonts w:asciiTheme="minorHAnsi" w:hAnsiTheme="minorHAnsi" w:cstheme="minorHAnsi"/>
          <w:lang w:val="en-US"/>
        </w:rPr>
        <w:t xml:space="preserve">granted </w:t>
      </w:r>
      <w:r>
        <w:rPr>
          <w:rFonts w:asciiTheme="minorHAnsi" w:hAnsiTheme="minorHAnsi" w:cstheme="minorHAnsi"/>
          <w:lang w:val="en-US"/>
        </w:rPr>
        <w:t xml:space="preserve">your institution </w:t>
      </w:r>
      <w:r w:rsidR="005D5D4E" w:rsidRPr="008812EC">
        <w:rPr>
          <w:rFonts w:asciiTheme="minorHAnsi" w:hAnsiTheme="minorHAnsi" w:cstheme="minorHAnsi"/>
          <w:lang w:val="en-US"/>
        </w:rPr>
        <w:t xml:space="preserve">an exception </w:t>
      </w:r>
      <w:r w:rsidR="005D5D4E">
        <w:rPr>
          <w:rFonts w:asciiTheme="minorHAnsi" w:hAnsiTheme="minorHAnsi" w:cstheme="minorHAnsi"/>
          <w:lang w:val="en-US"/>
        </w:rPr>
        <w:t>to a requirement in the ATI policy suite, and has set certain reporting requirements for that exception</w:t>
      </w:r>
      <w:r w:rsidR="005D5D4E" w:rsidRPr="008812EC">
        <w:rPr>
          <w:rFonts w:asciiTheme="minorHAnsi" w:hAnsiTheme="minorHAnsi" w:cstheme="minorHAnsi"/>
          <w:lang w:val="en-US"/>
        </w:rPr>
        <w:t xml:space="preserve">, please </w:t>
      </w:r>
      <w:r w:rsidR="005D5D4E">
        <w:rPr>
          <w:rFonts w:asciiTheme="minorHAnsi" w:hAnsiTheme="minorHAnsi" w:cstheme="minorHAnsi"/>
          <w:lang w:val="en-US"/>
        </w:rPr>
        <w:t xml:space="preserve">also </w:t>
      </w:r>
      <w:r w:rsidR="005D5D4E" w:rsidRPr="008812EC">
        <w:rPr>
          <w:rFonts w:asciiTheme="minorHAnsi" w:hAnsiTheme="minorHAnsi" w:cstheme="minorHAnsi"/>
          <w:lang w:val="en-US"/>
        </w:rPr>
        <w:t>fulfill that obligation in this section.</w:t>
      </w:r>
    </w:p>
    <w:p w14:paraId="4016A4CD" w14:textId="10DD698B" w:rsidR="0D3E1EDC" w:rsidRPr="00202DA2" w:rsidRDefault="0D3E1EDC" w:rsidP="0D3E1EDC">
      <w:pPr>
        <w:rPr>
          <w:rFonts w:asciiTheme="minorHAnsi" w:eastAsia="Calibri" w:hAnsiTheme="minorHAnsi" w:cstheme="minorHAnsi"/>
          <w:lang w:val="en-US"/>
        </w:rPr>
      </w:pPr>
    </w:p>
    <w:p w14:paraId="493382E8" w14:textId="77777777" w:rsidR="00274FB7" w:rsidRPr="00202DA2" w:rsidRDefault="00274FB7" w:rsidP="0D3E1ED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202DA2">
        <w:rPr>
          <w:rFonts w:asciiTheme="minorHAnsi" w:hAnsiTheme="minorHAnsi" w:cstheme="minorHAnsi"/>
          <w:b/>
          <w:bCs/>
        </w:rPr>
        <w:t>Note</w:t>
      </w:r>
      <w:r w:rsidRPr="00202DA2">
        <w:rPr>
          <w:rFonts w:asciiTheme="minorHAnsi" w:hAnsiTheme="minorHAnsi" w:cstheme="minorHAnsi"/>
        </w:rPr>
        <w:t>: If no monitoring was conducted during the reporting period, please include a statement to that effect.  </w:t>
      </w:r>
    </w:p>
    <w:p w14:paraId="7F7CE6CE" w14:textId="77777777" w:rsidR="000F6F09" w:rsidRDefault="000F6F09">
      <w:pPr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US" w:eastAsia="en-US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US" w:eastAsia="en-US"/>
        </w:rPr>
        <w:br w:type="page"/>
      </w:r>
    </w:p>
    <w:p w14:paraId="6B0A54E4" w14:textId="77777777" w:rsidR="004017AF" w:rsidRPr="00202DA2" w:rsidRDefault="004017AF" w:rsidP="0D3E1EDC">
      <w:pPr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US" w:eastAsia="en-US"/>
        </w:rPr>
      </w:pPr>
    </w:p>
    <w:p w14:paraId="6F2A71F3" w14:textId="77C29168" w:rsidR="004017AF" w:rsidRPr="00202DA2" w:rsidRDefault="004017AF" w:rsidP="0D3E1EDC">
      <w:pPr>
        <w:pStyle w:val="paragraph"/>
        <w:autoSpaceDE w:val="0"/>
        <w:autoSpaceDN w:val="0"/>
        <w:adjustRightInd w:val="0"/>
        <w:spacing w:before="0" w:beforeAutospacing="0" w:after="0" w:afterAutospacing="0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03FC0456" w14:textId="236B9504" w:rsidR="00E211DB" w:rsidRPr="008812EC" w:rsidRDefault="7616B74E" w:rsidP="469FE2CA">
      <w:pPr>
        <w:autoSpaceDE w:val="0"/>
        <w:autoSpaceDN w:val="0"/>
        <w:adjustRightInd w:val="0"/>
        <w:rPr>
          <w:rFonts w:asciiTheme="minorHAnsi" w:hAnsiTheme="minorHAnsi" w:cstheme="minorHAnsi"/>
          <w:lang w:val="en" w:eastAsia="en-US"/>
        </w:rPr>
      </w:pPr>
      <w:r w:rsidRPr="008812EC">
        <w:rPr>
          <w:rFonts w:asciiTheme="minorHAnsi" w:hAnsiTheme="minorHAnsi" w:cstheme="minorHAnsi"/>
          <w:b/>
          <w:bCs/>
          <w:lang w:val="en-US" w:eastAsia="en-US"/>
        </w:rPr>
        <w:t xml:space="preserve">Section </w:t>
      </w:r>
      <w:r w:rsidR="6C46F143" w:rsidRPr="008812EC">
        <w:rPr>
          <w:rFonts w:asciiTheme="minorHAnsi" w:hAnsiTheme="minorHAnsi" w:cstheme="minorHAnsi"/>
          <w:b/>
          <w:bCs/>
          <w:lang w:val="en-US" w:eastAsia="en-US"/>
        </w:rPr>
        <w:t>B</w:t>
      </w:r>
      <w:r w:rsidRPr="008812EC">
        <w:rPr>
          <w:rFonts w:asciiTheme="minorHAnsi" w:hAnsiTheme="minorHAnsi" w:cstheme="minorHAnsi"/>
          <w:b/>
          <w:bCs/>
          <w:lang w:val="en-US" w:eastAsia="en-US"/>
        </w:rPr>
        <w:t xml:space="preserve">: Annual Report on the </w:t>
      </w:r>
      <w:r w:rsidRPr="008812EC">
        <w:rPr>
          <w:rFonts w:asciiTheme="minorHAnsi" w:hAnsiTheme="minorHAnsi" w:cstheme="minorHAnsi"/>
          <w:b/>
          <w:bCs/>
          <w:i/>
          <w:iCs/>
          <w:lang w:val="en-US" w:eastAsia="en-US"/>
        </w:rPr>
        <w:t>Privacy Act</w:t>
      </w:r>
      <w:r w:rsidR="594E7B91" w:rsidRPr="008812EC">
        <w:rPr>
          <w:rFonts w:asciiTheme="minorHAnsi" w:hAnsiTheme="minorHAnsi" w:cstheme="minorHAnsi"/>
          <w:b/>
          <w:bCs/>
          <w:lang w:val="en-US" w:eastAsia="en-US"/>
        </w:rPr>
        <w:t xml:space="preserve">, </w:t>
      </w:r>
      <w:r w:rsidR="3DAE8410" w:rsidRPr="008812EC">
        <w:rPr>
          <w:rFonts w:asciiTheme="minorHAnsi" w:hAnsiTheme="minorHAnsi" w:cstheme="minorHAnsi"/>
          <w:b/>
          <w:bCs/>
          <w:lang w:val="en-US" w:eastAsia="en-US"/>
        </w:rPr>
        <w:t>2024</w:t>
      </w:r>
      <w:r w:rsidR="00A02A9A">
        <w:rPr>
          <w:rFonts w:asciiTheme="minorHAnsi" w:hAnsiTheme="minorHAnsi" w:cstheme="minorHAnsi"/>
          <w:b/>
          <w:bCs/>
          <w:lang w:val="en-US" w:eastAsia="en-US"/>
        </w:rPr>
        <w:t>–</w:t>
      </w:r>
      <w:r w:rsidR="3DAE8410" w:rsidRPr="008812EC">
        <w:rPr>
          <w:rFonts w:asciiTheme="minorHAnsi" w:hAnsiTheme="minorHAnsi" w:cstheme="minorHAnsi"/>
          <w:b/>
          <w:bCs/>
          <w:lang w:val="en-US" w:eastAsia="en-US"/>
        </w:rPr>
        <w:t>2025</w:t>
      </w:r>
    </w:p>
    <w:p w14:paraId="192E0DB2" w14:textId="60848491" w:rsidR="00E211DB" w:rsidRPr="008812EC" w:rsidRDefault="00E211DB" w:rsidP="469FE2C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-US" w:eastAsia="en-US"/>
        </w:rPr>
      </w:pPr>
    </w:p>
    <w:p w14:paraId="39EB7553" w14:textId="57206AEB" w:rsidR="00E211DB" w:rsidRPr="008812EC" w:rsidRDefault="00E211DB" w:rsidP="0D3E1EDC">
      <w:pPr>
        <w:autoSpaceDE w:val="0"/>
        <w:autoSpaceDN w:val="0"/>
        <w:adjustRightInd w:val="0"/>
        <w:rPr>
          <w:rFonts w:asciiTheme="minorHAnsi" w:hAnsiTheme="minorHAnsi" w:cstheme="minorHAnsi"/>
          <w:lang w:val="en" w:eastAsia="en-US"/>
        </w:rPr>
      </w:pPr>
      <w:r w:rsidRPr="008812EC">
        <w:rPr>
          <w:rFonts w:asciiTheme="minorHAnsi" w:hAnsiTheme="minorHAnsi" w:cstheme="minorHAnsi"/>
          <w:lang w:val="en-US" w:eastAsia="en-US"/>
        </w:rPr>
        <w:t xml:space="preserve">The content set out below must be included in the Annual Report </w:t>
      </w:r>
      <w:r w:rsidR="004306C4" w:rsidRPr="008812EC">
        <w:rPr>
          <w:rFonts w:asciiTheme="minorHAnsi" w:hAnsiTheme="minorHAnsi" w:cstheme="minorHAnsi"/>
          <w:lang w:val="en-US" w:eastAsia="en-US"/>
        </w:rPr>
        <w:t xml:space="preserve">on the </w:t>
      </w:r>
      <w:hyperlink r:id="rId13" w:history="1">
        <w:r w:rsidR="00826D34" w:rsidRPr="00F24077">
          <w:rPr>
            <w:rStyle w:val="Hyperlink"/>
            <w:rFonts w:asciiTheme="minorHAnsi" w:hAnsiTheme="minorHAnsi" w:cstheme="minorHAnsi"/>
            <w:i/>
            <w:iCs/>
            <w:lang w:val="en-US" w:eastAsia="en-US"/>
          </w:rPr>
          <w:t xml:space="preserve">Privacy </w:t>
        </w:r>
        <w:r w:rsidR="004306C4" w:rsidRPr="00F24077">
          <w:rPr>
            <w:rStyle w:val="Hyperlink"/>
            <w:rFonts w:asciiTheme="minorHAnsi" w:hAnsiTheme="minorHAnsi" w:cstheme="minorHAnsi"/>
            <w:i/>
            <w:iCs/>
            <w:lang w:val="en-US" w:eastAsia="en-US"/>
          </w:rPr>
          <w:t>Act</w:t>
        </w:r>
      </w:hyperlink>
      <w:r w:rsidR="004306C4" w:rsidRPr="008812EC">
        <w:rPr>
          <w:rFonts w:asciiTheme="minorHAnsi" w:hAnsiTheme="minorHAnsi" w:cstheme="minorHAnsi"/>
          <w:lang w:val="en-US" w:eastAsia="en-US"/>
        </w:rPr>
        <w:t xml:space="preserve">. </w:t>
      </w:r>
      <w:r w:rsidRPr="008812EC">
        <w:rPr>
          <w:rFonts w:asciiTheme="minorHAnsi" w:hAnsiTheme="minorHAnsi" w:cstheme="minorHAnsi"/>
          <w:lang w:eastAsia="en-US"/>
        </w:rPr>
        <w:t xml:space="preserve">Institutions may also choose to </w:t>
      </w:r>
      <w:r w:rsidRPr="008812EC">
        <w:rPr>
          <w:rFonts w:asciiTheme="minorHAnsi" w:hAnsiTheme="minorHAnsi" w:cstheme="minorHAnsi"/>
          <w:lang w:val="en" w:eastAsia="en-US"/>
        </w:rPr>
        <w:t xml:space="preserve">include additional information to reflect their </w:t>
      </w:r>
      <w:r w:rsidR="00943EB2" w:rsidRPr="008812EC">
        <w:rPr>
          <w:rFonts w:asciiTheme="minorHAnsi" w:hAnsiTheme="minorHAnsi" w:cstheme="minorHAnsi"/>
          <w:lang w:val="en" w:eastAsia="en-US"/>
        </w:rPr>
        <w:t>successes</w:t>
      </w:r>
      <w:r w:rsidRPr="008812EC">
        <w:rPr>
          <w:rFonts w:asciiTheme="minorHAnsi" w:hAnsiTheme="minorHAnsi" w:cstheme="minorHAnsi"/>
          <w:lang w:val="en" w:eastAsia="en-US"/>
        </w:rPr>
        <w:t xml:space="preserve"> and challenges.</w:t>
      </w:r>
    </w:p>
    <w:p w14:paraId="4E211176" w14:textId="3D35C125" w:rsidR="0D3E1EDC" w:rsidRPr="008812EC" w:rsidRDefault="0D3E1EDC" w:rsidP="0D3E1EDC">
      <w:pPr>
        <w:rPr>
          <w:rFonts w:asciiTheme="minorHAnsi" w:hAnsiTheme="minorHAnsi" w:cstheme="minorHAnsi"/>
          <w:lang w:val="en" w:eastAsia="en-US"/>
        </w:rPr>
      </w:pPr>
    </w:p>
    <w:p w14:paraId="416BB07B" w14:textId="552BC24C" w:rsidR="00E211DB" w:rsidRPr="008812EC" w:rsidRDefault="00E211DB" w:rsidP="0D3E1EDC">
      <w:pPr>
        <w:autoSpaceDE w:val="0"/>
        <w:autoSpaceDN w:val="0"/>
        <w:adjustRightInd w:val="0"/>
        <w:contextualSpacing/>
        <w:rPr>
          <w:rFonts w:asciiTheme="minorHAnsi" w:hAnsiTheme="minorHAnsi" w:cstheme="minorHAnsi"/>
          <w:lang w:eastAsia="en-US"/>
        </w:rPr>
      </w:pPr>
      <w:r w:rsidRPr="008812EC">
        <w:rPr>
          <w:rFonts w:asciiTheme="minorHAnsi" w:hAnsiTheme="minorHAnsi" w:cstheme="minorHAnsi"/>
          <w:lang w:eastAsia="en-US"/>
        </w:rPr>
        <w:t>While institutions must include the required content in the Report, the layout and structure of the Report remains at the discretion of the institution.</w:t>
      </w:r>
    </w:p>
    <w:p w14:paraId="115EDC5E" w14:textId="61594172" w:rsidR="0D3E1EDC" w:rsidRPr="008812EC" w:rsidRDefault="0D3E1EDC" w:rsidP="0D3E1EDC">
      <w:pPr>
        <w:contextualSpacing/>
        <w:rPr>
          <w:rFonts w:asciiTheme="minorHAnsi" w:hAnsiTheme="minorHAnsi" w:cstheme="minorHAnsi"/>
          <w:lang w:eastAsia="en-US"/>
        </w:rPr>
      </w:pPr>
    </w:p>
    <w:p w14:paraId="426CE76A" w14:textId="77777777" w:rsidR="00DB2CA8" w:rsidRPr="008812EC" w:rsidRDefault="00DB2CA8" w:rsidP="0D3E1EDC">
      <w:pPr>
        <w:contextualSpacing/>
        <w:rPr>
          <w:rFonts w:asciiTheme="minorHAnsi" w:hAnsiTheme="minorHAnsi" w:cstheme="minorHAnsi"/>
          <w:lang w:eastAsia="en-US"/>
        </w:rPr>
      </w:pPr>
    </w:p>
    <w:p w14:paraId="35048E58" w14:textId="5B5E2A36" w:rsidR="003C39F4" w:rsidRPr="008812EC" w:rsidRDefault="003C39F4" w:rsidP="0D3E1ED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-US" w:eastAsia="en-US"/>
        </w:rPr>
      </w:pPr>
      <w:r w:rsidRPr="008812EC">
        <w:rPr>
          <w:rFonts w:asciiTheme="minorHAnsi" w:hAnsiTheme="minorHAnsi" w:cstheme="minorHAnsi"/>
          <w:b/>
          <w:bCs/>
          <w:lang w:val="en-US" w:eastAsia="en-US"/>
        </w:rPr>
        <w:t>B1. Introduction</w:t>
      </w:r>
    </w:p>
    <w:p w14:paraId="271E0B99" w14:textId="1271AD9B" w:rsidR="002F651A" w:rsidRPr="008812EC" w:rsidRDefault="003C39F4" w:rsidP="0D3E1EDC">
      <w:pPr>
        <w:autoSpaceDE w:val="0"/>
        <w:autoSpaceDN w:val="0"/>
        <w:adjustRightInd w:val="0"/>
        <w:rPr>
          <w:rFonts w:asciiTheme="minorHAnsi" w:hAnsiTheme="minorHAnsi" w:cstheme="minorHAnsi"/>
          <w:lang w:val="en-US" w:eastAsia="en-US"/>
        </w:rPr>
      </w:pPr>
      <w:r w:rsidRPr="008812EC">
        <w:rPr>
          <w:rFonts w:asciiTheme="minorHAnsi" w:hAnsiTheme="minorHAnsi" w:cstheme="minorHAnsi"/>
          <w:lang w:val="en-US" w:eastAsia="en-US"/>
        </w:rPr>
        <w:t>Include</w:t>
      </w:r>
      <w:r w:rsidR="002F651A" w:rsidRPr="008812EC">
        <w:rPr>
          <w:rFonts w:asciiTheme="minorHAnsi" w:hAnsiTheme="minorHAnsi" w:cstheme="minorHAnsi"/>
          <w:lang w:val="en-US" w:eastAsia="en-US"/>
        </w:rPr>
        <w:t>:</w:t>
      </w:r>
    </w:p>
    <w:p w14:paraId="271E0B9A" w14:textId="419A6F93" w:rsidR="002F651A" w:rsidRPr="008812EC" w:rsidRDefault="00024092" w:rsidP="00B14D0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8812EC">
        <w:rPr>
          <w:rFonts w:cstheme="minorHAnsi"/>
          <w:sz w:val="24"/>
          <w:szCs w:val="24"/>
          <w:lang w:val="en-US"/>
        </w:rPr>
        <w:t xml:space="preserve">A </w:t>
      </w:r>
      <w:r w:rsidR="002F651A" w:rsidRPr="008812EC">
        <w:rPr>
          <w:rFonts w:cstheme="minorHAnsi"/>
          <w:sz w:val="24"/>
          <w:szCs w:val="24"/>
          <w:lang w:val="en-US"/>
        </w:rPr>
        <w:t xml:space="preserve">brief summary of the purpose of the </w:t>
      </w:r>
      <w:r w:rsidR="002F651A" w:rsidRPr="008812EC">
        <w:rPr>
          <w:rFonts w:cstheme="minorHAnsi"/>
          <w:i/>
          <w:iCs/>
          <w:sz w:val="24"/>
          <w:szCs w:val="24"/>
          <w:lang w:val="en-US"/>
        </w:rPr>
        <w:t>Privacy Act</w:t>
      </w:r>
      <w:r w:rsidR="002F651A" w:rsidRPr="008812EC">
        <w:rPr>
          <w:rFonts w:cstheme="minorHAnsi"/>
          <w:sz w:val="24"/>
          <w:szCs w:val="24"/>
          <w:lang w:val="en-US"/>
        </w:rPr>
        <w:t xml:space="preserve"> </w:t>
      </w:r>
    </w:p>
    <w:p w14:paraId="271E0B9B" w14:textId="1199737E" w:rsidR="008A76E4" w:rsidRPr="008812EC" w:rsidRDefault="00024092" w:rsidP="00B14D0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160" w:line="240" w:lineRule="auto"/>
        <w:ind w:left="368" w:hanging="357"/>
        <w:rPr>
          <w:rFonts w:cstheme="minorHAnsi"/>
          <w:sz w:val="24"/>
          <w:szCs w:val="24"/>
          <w:lang w:val="en-US"/>
        </w:rPr>
      </w:pPr>
      <w:r w:rsidRPr="008812EC">
        <w:rPr>
          <w:rFonts w:cstheme="minorHAnsi"/>
          <w:sz w:val="24"/>
          <w:szCs w:val="24"/>
          <w:lang w:val="en-US"/>
        </w:rPr>
        <w:t>A</w:t>
      </w:r>
      <w:r w:rsidR="008A76E4" w:rsidRPr="008812EC">
        <w:rPr>
          <w:rFonts w:cstheme="minorHAnsi"/>
          <w:sz w:val="24"/>
          <w:szCs w:val="24"/>
          <w:lang w:val="en-US"/>
        </w:rPr>
        <w:t xml:space="preserve"> statement that the </w:t>
      </w:r>
      <w:r w:rsidR="003C39F4" w:rsidRPr="008812EC">
        <w:rPr>
          <w:rFonts w:cstheme="minorHAnsi"/>
          <w:sz w:val="24"/>
          <w:szCs w:val="24"/>
          <w:lang w:val="en-US"/>
        </w:rPr>
        <w:t>A</w:t>
      </w:r>
      <w:r w:rsidR="008A76E4" w:rsidRPr="008812EC">
        <w:rPr>
          <w:rFonts w:cstheme="minorHAnsi"/>
          <w:sz w:val="24"/>
          <w:szCs w:val="24"/>
          <w:lang w:val="en-US"/>
        </w:rPr>
        <w:t xml:space="preserve">nnual </w:t>
      </w:r>
      <w:r w:rsidR="003C39F4" w:rsidRPr="008812EC">
        <w:rPr>
          <w:rFonts w:cstheme="minorHAnsi"/>
          <w:sz w:val="24"/>
          <w:szCs w:val="24"/>
          <w:lang w:val="en-US"/>
        </w:rPr>
        <w:t>R</w:t>
      </w:r>
      <w:r w:rsidR="008A76E4" w:rsidRPr="008812EC">
        <w:rPr>
          <w:rFonts w:cstheme="minorHAnsi"/>
          <w:sz w:val="24"/>
          <w:szCs w:val="24"/>
          <w:lang w:val="en-US"/>
        </w:rPr>
        <w:t xml:space="preserve">eport is prepared and tabled in Parliament </w:t>
      </w:r>
      <w:r w:rsidR="00E211DB" w:rsidRPr="008812EC">
        <w:rPr>
          <w:rFonts w:cstheme="minorHAnsi"/>
          <w:sz w:val="24"/>
          <w:szCs w:val="24"/>
          <w:lang w:val="en-US"/>
        </w:rPr>
        <w:t xml:space="preserve">in accordance with section 72 of the </w:t>
      </w:r>
      <w:r w:rsidR="00E211DB" w:rsidRPr="008812EC">
        <w:rPr>
          <w:rFonts w:cstheme="minorHAnsi"/>
          <w:i/>
          <w:iCs/>
          <w:sz w:val="24"/>
          <w:szCs w:val="24"/>
          <w:lang w:val="en-US"/>
        </w:rPr>
        <w:t>Privacy Act</w:t>
      </w:r>
    </w:p>
    <w:p w14:paraId="72AD935F" w14:textId="77777777" w:rsidR="00E63800" w:rsidRPr="008812EC" w:rsidRDefault="00024092" w:rsidP="00B14D0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60" w:line="240" w:lineRule="auto"/>
        <w:ind w:left="360"/>
        <w:rPr>
          <w:rFonts w:cstheme="minorHAnsi"/>
          <w:sz w:val="24"/>
          <w:szCs w:val="24"/>
          <w:lang w:val="en-US"/>
        </w:rPr>
      </w:pPr>
      <w:r w:rsidRPr="008812EC">
        <w:rPr>
          <w:rFonts w:cstheme="minorHAnsi"/>
          <w:sz w:val="24"/>
          <w:szCs w:val="24"/>
          <w:lang w:val="en-US"/>
        </w:rPr>
        <w:t xml:space="preserve">The </w:t>
      </w:r>
      <w:r w:rsidR="002F651A" w:rsidRPr="008812EC">
        <w:rPr>
          <w:rFonts w:cstheme="minorHAnsi"/>
          <w:sz w:val="24"/>
          <w:szCs w:val="24"/>
          <w:lang w:val="en-US"/>
        </w:rPr>
        <w:t>mandate of the institution</w:t>
      </w:r>
    </w:p>
    <w:p w14:paraId="07FBAB23" w14:textId="50505D68" w:rsidR="00E63800" w:rsidRPr="008812EC" w:rsidRDefault="0FB0DFE4" w:rsidP="00B14D0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60" w:line="240" w:lineRule="auto"/>
        <w:ind w:left="360"/>
        <w:rPr>
          <w:rFonts w:cstheme="minorHAnsi"/>
          <w:sz w:val="24"/>
          <w:szCs w:val="24"/>
          <w:lang w:val="en-US"/>
        </w:rPr>
      </w:pPr>
      <w:r w:rsidRPr="008812EC">
        <w:rPr>
          <w:rFonts w:cstheme="minorHAnsi"/>
          <w:sz w:val="24"/>
          <w:szCs w:val="24"/>
          <w:lang w:val="en-US"/>
        </w:rPr>
        <w:t>If this Annual Report is also intended to fulfill reporting requirements for any non-operational (“paper”) subsidiaries of the institution, or any other non-operational institutions, a complete list of the titles of these non-operational institutions</w:t>
      </w:r>
    </w:p>
    <w:p w14:paraId="5CE1087F" w14:textId="226F1063" w:rsidR="00E63800" w:rsidRPr="008812EC" w:rsidRDefault="00E63800" w:rsidP="00B14D0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160" w:line="240" w:lineRule="auto"/>
        <w:rPr>
          <w:rFonts w:cstheme="minorHAnsi"/>
          <w:sz w:val="24"/>
          <w:szCs w:val="24"/>
          <w:lang w:val="en-US"/>
        </w:rPr>
      </w:pPr>
      <w:r w:rsidRPr="008812EC">
        <w:rPr>
          <w:rFonts w:cstheme="minorHAnsi"/>
          <w:sz w:val="24"/>
          <w:szCs w:val="24"/>
          <w:lang w:val="en-US"/>
        </w:rPr>
        <w:t>This list should indicate</w:t>
      </w:r>
      <w:r w:rsidR="0FB0DFE4" w:rsidRPr="008812EC">
        <w:rPr>
          <w:rFonts w:cstheme="minorHAnsi"/>
          <w:sz w:val="24"/>
          <w:szCs w:val="24"/>
          <w:lang w:val="en-US"/>
        </w:rPr>
        <w:t xml:space="preserve"> any non-operational institutions owned or managed by the parent institution that were dissolved </w:t>
      </w:r>
      <w:r w:rsidR="35A9018F" w:rsidRPr="008812EC">
        <w:rPr>
          <w:rFonts w:cstheme="minorHAnsi"/>
          <w:sz w:val="24"/>
          <w:szCs w:val="24"/>
          <w:lang w:val="en-US"/>
        </w:rPr>
        <w:t xml:space="preserve">or created </w:t>
      </w:r>
      <w:r w:rsidR="0FB0DFE4" w:rsidRPr="008812EC">
        <w:rPr>
          <w:rFonts w:cstheme="minorHAnsi"/>
          <w:sz w:val="24"/>
          <w:szCs w:val="24"/>
          <w:lang w:val="en-US"/>
        </w:rPr>
        <w:t>during the reporting period</w:t>
      </w:r>
    </w:p>
    <w:p w14:paraId="50F6F80B" w14:textId="6FBA5BCC" w:rsidR="00B15B66" w:rsidRPr="008812EC" w:rsidRDefault="00E63800" w:rsidP="00B14D0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8812EC">
        <w:rPr>
          <w:rFonts w:cstheme="minorHAnsi"/>
          <w:sz w:val="24"/>
          <w:szCs w:val="24"/>
          <w:lang w:val="en-US"/>
        </w:rPr>
        <w:t xml:space="preserve">This list should </w:t>
      </w:r>
      <w:r w:rsidRPr="008812EC">
        <w:rPr>
          <w:rFonts w:cstheme="minorHAnsi"/>
          <w:b/>
          <w:bCs/>
          <w:sz w:val="24"/>
          <w:szCs w:val="24"/>
          <w:lang w:val="en-US"/>
        </w:rPr>
        <w:t>n</w:t>
      </w:r>
      <w:r w:rsidR="0FB0DFE4" w:rsidRPr="008812EC">
        <w:rPr>
          <w:rFonts w:cstheme="minorHAnsi"/>
          <w:b/>
          <w:bCs/>
          <w:sz w:val="24"/>
          <w:szCs w:val="24"/>
          <w:lang w:val="en-US"/>
        </w:rPr>
        <w:t>ot</w:t>
      </w:r>
      <w:r w:rsidR="0FB0DFE4" w:rsidRPr="008812EC">
        <w:rPr>
          <w:rFonts w:cstheme="minorHAnsi"/>
          <w:sz w:val="24"/>
          <w:szCs w:val="24"/>
          <w:lang w:val="en-US"/>
        </w:rPr>
        <w:t xml:space="preserve"> include subsidiary institutions with active operations; the reporting requirements of actively operating subsidiaries should be met through separate reports, prepared by whoever is responsible for those subsidiaries’ ATIP operations</w:t>
      </w:r>
    </w:p>
    <w:p w14:paraId="18932C38" w14:textId="6220A0D4" w:rsidR="00DB2CA8" w:rsidRPr="008812EC" w:rsidRDefault="00C469E7" w:rsidP="00B14D0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160" w:line="240" w:lineRule="auto"/>
        <w:rPr>
          <w:rFonts w:cstheme="minorHAnsi"/>
          <w:sz w:val="24"/>
          <w:szCs w:val="24"/>
          <w:lang w:val="en-US"/>
        </w:rPr>
      </w:pPr>
      <w:r w:rsidRPr="008812EC">
        <w:rPr>
          <w:rFonts w:cstheme="minorHAnsi"/>
          <w:b/>
          <w:bCs/>
          <w:sz w:val="24"/>
          <w:szCs w:val="24"/>
          <w:lang w:val="en-US"/>
        </w:rPr>
        <w:t xml:space="preserve">Note: </w:t>
      </w:r>
      <w:r w:rsidRPr="008812EC">
        <w:rPr>
          <w:rFonts w:cstheme="minorHAnsi"/>
          <w:sz w:val="24"/>
          <w:szCs w:val="24"/>
          <w:lang w:val="en-US"/>
        </w:rPr>
        <w:t>If your institution doesn’t have any non-operational (“paper”) subsidiaries during this reporting period, include a statement to that effect</w:t>
      </w:r>
    </w:p>
    <w:p w14:paraId="7A57B903" w14:textId="77777777" w:rsidR="00DB2CA8" w:rsidRPr="008812EC" w:rsidRDefault="00DB2CA8" w:rsidP="00DB2CA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val="en-US"/>
        </w:rPr>
      </w:pPr>
    </w:p>
    <w:p w14:paraId="76480FB8" w14:textId="0ECC5FD4" w:rsidR="003C39F4" w:rsidRPr="008812EC" w:rsidRDefault="003C39F4" w:rsidP="00DB2CA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-US" w:eastAsia="en-US"/>
        </w:rPr>
      </w:pPr>
      <w:r w:rsidRPr="008812EC">
        <w:rPr>
          <w:rFonts w:asciiTheme="minorHAnsi" w:hAnsiTheme="minorHAnsi" w:cstheme="minorHAnsi"/>
          <w:b/>
          <w:bCs/>
          <w:lang w:val="en-US" w:eastAsia="en-US"/>
        </w:rPr>
        <w:t xml:space="preserve">B2. Organizational Structure </w:t>
      </w:r>
    </w:p>
    <w:p w14:paraId="7DDF3B1F" w14:textId="77777777" w:rsidR="00833CDE" w:rsidRPr="008812EC" w:rsidRDefault="00833CDE" w:rsidP="0D3E1EDC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8812EC">
        <w:rPr>
          <w:rFonts w:asciiTheme="minorHAnsi" w:hAnsiTheme="minorHAnsi" w:cstheme="minorHAnsi"/>
          <w:lang w:val="en-US"/>
        </w:rPr>
        <w:t xml:space="preserve">Describe: </w:t>
      </w:r>
    </w:p>
    <w:p w14:paraId="77EC1E5A" w14:textId="77777777" w:rsidR="00833CDE" w:rsidRPr="008812EC" w:rsidRDefault="00833CDE" w:rsidP="00B14D0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368" w:hanging="357"/>
        <w:rPr>
          <w:rFonts w:cstheme="minorHAnsi"/>
          <w:sz w:val="24"/>
          <w:szCs w:val="24"/>
          <w:lang w:val="en-US"/>
        </w:rPr>
      </w:pPr>
      <w:r w:rsidRPr="008812EC">
        <w:rPr>
          <w:rFonts w:cstheme="minorHAnsi"/>
          <w:sz w:val="24"/>
          <w:szCs w:val="24"/>
          <w:lang w:val="en-US"/>
        </w:rPr>
        <w:t xml:space="preserve">How the institution is organized to fulfill its </w:t>
      </w:r>
      <w:r w:rsidRPr="008812EC">
        <w:rPr>
          <w:rFonts w:cstheme="minorHAnsi"/>
          <w:i/>
          <w:iCs/>
          <w:sz w:val="24"/>
          <w:szCs w:val="24"/>
          <w:lang w:val="en-US"/>
        </w:rPr>
        <w:t>Privacy Act</w:t>
      </w:r>
      <w:r w:rsidRPr="008812EC">
        <w:rPr>
          <w:rFonts w:cstheme="minorHAnsi"/>
          <w:sz w:val="24"/>
          <w:szCs w:val="24"/>
          <w:lang w:val="en-US"/>
        </w:rPr>
        <w:t xml:space="preserve"> responsibilities</w:t>
      </w:r>
    </w:p>
    <w:p w14:paraId="385559E8" w14:textId="77777777" w:rsidR="00833CDE" w:rsidRPr="008812EC" w:rsidRDefault="00833CDE" w:rsidP="00B14D0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160" w:line="240" w:lineRule="auto"/>
        <w:ind w:left="368" w:hanging="357"/>
        <w:rPr>
          <w:rFonts w:cstheme="minorHAnsi"/>
          <w:sz w:val="24"/>
          <w:szCs w:val="24"/>
          <w:lang w:val="en-US"/>
        </w:rPr>
      </w:pPr>
      <w:r w:rsidRPr="008812EC">
        <w:rPr>
          <w:rFonts w:cstheme="minorHAnsi"/>
          <w:sz w:val="24"/>
          <w:szCs w:val="24"/>
          <w:lang w:val="en-US"/>
        </w:rPr>
        <w:t>The structure of the institution’s Access to Information and Privacy (ATIP) Office</w:t>
      </w:r>
    </w:p>
    <w:p w14:paraId="3D66F2D2" w14:textId="735F0EAD" w:rsidR="00833CDE" w:rsidRPr="008812EC" w:rsidRDefault="00833CDE" w:rsidP="00B14D06">
      <w:pPr>
        <w:pStyle w:val="ListParagraph"/>
        <w:numPr>
          <w:ilvl w:val="2"/>
          <w:numId w:val="2"/>
        </w:numPr>
        <w:spacing w:after="160" w:line="240" w:lineRule="auto"/>
        <w:ind w:left="720"/>
        <w:rPr>
          <w:rFonts w:cstheme="minorHAnsi"/>
          <w:sz w:val="24"/>
          <w:szCs w:val="24"/>
          <w:lang w:val="en-US"/>
        </w:rPr>
      </w:pPr>
      <w:r w:rsidRPr="008812EC">
        <w:rPr>
          <w:rFonts w:cstheme="minorHAnsi"/>
          <w:sz w:val="24"/>
          <w:szCs w:val="24"/>
          <w:lang w:val="en-US"/>
        </w:rPr>
        <w:t>The number of ATIP officers and regional ATIP staff (if applicable)</w:t>
      </w:r>
    </w:p>
    <w:p w14:paraId="20C2E8BE" w14:textId="4101A189" w:rsidR="00065A0E" w:rsidRPr="008812EC" w:rsidRDefault="00065A0E" w:rsidP="00B14D06">
      <w:pPr>
        <w:pStyle w:val="ListParagraph"/>
        <w:numPr>
          <w:ilvl w:val="2"/>
          <w:numId w:val="2"/>
        </w:numPr>
        <w:spacing w:after="160" w:line="240" w:lineRule="auto"/>
        <w:ind w:left="720"/>
        <w:rPr>
          <w:rFonts w:cstheme="minorHAnsi"/>
          <w:sz w:val="24"/>
          <w:szCs w:val="24"/>
          <w:lang w:val="en-US"/>
        </w:rPr>
      </w:pPr>
      <w:r w:rsidRPr="008812EC">
        <w:rPr>
          <w:rFonts w:cstheme="minorHAnsi"/>
          <w:sz w:val="24"/>
          <w:szCs w:val="24"/>
          <w:lang w:val="en-US"/>
        </w:rPr>
        <w:t>Number of consultants</w:t>
      </w:r>
    </w:p>
    <w:p w14:paraId="7BD9F7F5" w14:textId="5007BA8A" w:rsidR="00833CDE" w:rsidRPr="008812EC" w:rsidRDefault="00833CDE" w:rsidP="00B14D0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160" w:line="240" w:lineRule="auto"/>
        <w:ind w:left="368" w:hanging="357"/>
        <w:rPr>
          <w:rFonts w:cstheme="minorHAnsi"/>
          <w:sz w:val="24"/>
          <w:szCs w:val="24"/>
          <w:lang w:val="en-US"/>
        </w:rPr>
      </w:pPr>
      <w:r w:rsidRPr="008812EC">
        <w:rPr>
          <w:rFonts w:cstheme="minorHAnsi"/>
          <w:sz w:val="24"/>
          <w:szCs w:val="24"/>
          <w:lang w:val="en-US"/>
        </w:rPr>
        <w:t xml:space="preserve">Any </w:t>
      </w:r>
      <w:r w:rsidR="00AA1A5D" w:rsidRPr="008812EC">
        <w:rPr>
          <w:rFonts w:cstheme="minorHAnsi"/>
          <w:sz w:val="24"/>
          <w:szCs w:val="24"/>
          <w:lang w:val="en-US"/>
        </w:rPr>
        <w:t xml:space="preserve">new or pre-existing </w:t>
      </w:r>
      <w:r w:rsidRPr="008812EC">
        <w:rPr>
          <w:rFonts w:cstheme="minorHAnsi"/>
          <w:sz w:val="24"/>
          <w:szCs w:val="24"/>
          <w:lang w:val="en-US"/>
        </w:rPr>
        <w:t xml:space="preserve">service agreements under section 73.1 of the </w:t>
      </w:r>
      <w:r w:rsidRPr="008812EC">
        <w:rPr>
          <w:rFonts w:cstheme="minorHAnsi"/>
          <w:i/>
          <w:iCs/>
          <w:sz w:val="24"/>
          <w:szCs w:val="24"/>
          <w:lang w:val="en-US"/>
        </w:rPr>
        <w:t>Privacy Act</w:t>
      </w:r>
      <w:r w:rsidRPr="008812EC">
        <w:rPr>
          <w:rFonts w:cstheme="minorHAnsi"/>
          <w:sz w:val="24"/>
          <w:szCs w:val="24"/>
          <w:lang w:val="en-US"/>
        </w:rPr>
        <w:t xml:space="preserve"> to which your institution was party during the reporting period</w:t>
      </w:r>
      <w:r w:rsidR="00E63800" w:rsidRPr="008812EC">
        <w:rPr>
          <w:rFonts w:cstheme="minorHAnsi"/>
          <w:sz w:val="24"/>
          <w:szCs w:val="24"/>
          <w:lang w:val="en-US"/>
        </w:rPr>
        <w:t>.</w:t>
      </w:r>
    </w:p>
    <w:p w14:paraId="317E3E74" w14:textId="20497D18" w:rsidR="00833CDE" w:rsidRPr="008812EC" w:rsidRDefault="00E63800" w:rsidP="00B14D06">
      <w:pPr>
        <w:pStyle w:val="ListParagraph"/>
        <w:numPr>
          <w:ilvl w:val="2"/>
          <w:numId w:val="2"/>
        </w:numPr>
        <w:spacing w:after="160" w:line="240" w:lineRule="auto"/>
        <w:ind w:left="720"/>
        <w:rPr>
          <w:rFonts w:cstheme="minorHAnsi"/>
          <w:sz w:val="24"/>
          <w:szCs w:val="24"/>
          <w:lang w:val="en-US"/>
        </w:rPr>
      </w:pPr>
      <w:r w:rsidRPr="008812EC">
        <w:rPr>
          <w:rFonts w:cstheme="minorHAnsi"/>
          <w:b/>
          <w:bCs/>
          <w:sz w:val="24"/>
          <w:szCs w:val="24"/>
          <w:lang w:val="en-US"/>
        </w:rPr>
        <w:t>Note</w:t>
      </w:r>
      <w:r w:rsidRPr="008812EC">
        <w:rPr>
          <w:rFonts w:cstheme="minorHAnsi"/>
          <w:sz w:val="24"/>
          <w:szCs w:val="24"/>
          <w:lang w:val="en-US"/>
        </w:rPr>
        <w:t xml:space="preserve">: </w:t>
      </w:r>
      <w:r w:rsidR="001B37A8" w:rsidRPr="008812EC">
        <w:rPr>
          <w:rFonts w:cstheme="minorHAnsi"/>
          <w:sz w:val="24"/>
          <w:szCs w:val="24"/>
          <w:lang w:val="en-US"/>
        </w:rPr>
        <w:t>I</w:t>
      </w:r>
      <w:r w:rsidRPr="008812EC">
        <w:rPr>
          <w:rFonts w:cstheme="minorHAnsi"/>
          <w:sz w:val="24"/>
          <w:szCs w:val="24"/>
          <w:lang w:val="en-US"/>
        </w:rPr>
        <w:t>f your institution was not party to any such agreements during this reporting period, please include a statement to that effect</w:t>
      </w:r>
    </w:p>
    <w:p w14:paraId="532EABA6" w14:textId="4CAEC114" w:rsidR="00833CDE" w:rsidRPr="008812EC" w:rsidRDefault="00833CDE" w:rsidP="00B14D0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368" w:hanging="357"/>
        <w:rPr>
          <w:rFonts w:cstheme="minorHAnsi"/>
          <w:sz w:val="24"/>
          <w:szCs w:val="24"/>
          <w:lang w:val="en-US"/>
        </w:rPr>
      </w:pPr>
      <w:r w:rsidRPr="008812EC">
        <w:rPr>
          <w:rFonts w:cstheme="minorHAnsi"/>
          <w:sz w:val="24"/>
          <w:szCs w:val="24"/>
          <w:lang w:val="en-US"/>
        </w:rPr>
        <w:t>Other organizational context, as relevant</w:t>
      </w:r>
    </w:p>
    <w:p w14:paraId="43F99CA6" w14:textId="3A1D53C1" w:rsidR="0D3E1EDC" w:rsidRPr="008812EC" w:rsidRDefault="0D3E1EDC" w:rsidP="0D3E1EDC">
      <w:pPr>
        <w:rPr>
          <w:rFonts w:asciiTheme="minorHAnsi" w:eastAsia="Calibri" w:hAnsiTheme="minorHAnsi" w:cstheme="minorHAnsi"/>
          <w:lang w:val="en-US"/>
        </w:rPr>
      </w:pPr>
    </w:p>
    <w:p w14:paraId="38FA1847" w14:textId="77777777" w:rsidR="001C20B7" w:rsidRPr="008812EC" w:rsidRDefault="001C20B7" w:rsidP="0D3E1EDC">
      <w:pPr>
        <w:rPr>
          <w:rFonts w:asciiTheme="minorHAnsi" w:eastAsia="Calibri" w:hAnsiTheme="minorHAnsi" w:cstheme="minorHAnsi"/>
          <w:lang w:val="en-US"/>
        </w:rPr>
      </w:pPr>
    </w:p>
    <w:p w14:paraId="0029DF04" w14:textId="51CDA648" w:rsidR="003C39F4" w:rsidRPr="008812EC" w:rsidRDefault="6C46F143" w:rsidP="469FE2C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-US" w:eastAsia="en-US"/>
        </w:rPr>
      </w:pPr>
      <w:r w:rsidRPr="008812EC">
        <w:rPr>
          <w:rFonts w:asciiTheme="minorHAnsi" w:hAnsiTheme="minorHAnsi" w:cstheme="minorHAnsi"/>
          <w:b/>
          <w:bCs/>
          <w:lang w:val="en-US" w:eastAsia="en-US"/>
        </w:rPr>
        <w:t>B3. Delegation Order</w:t>
      </w:r>
    </w:p>
    <w:p w14:paraId="011E5B14" w14:textId="65EDA5FD" w:rsidR="0050606D" w:rsidRPr="008812EC" w:rsidRDefault="0050606D" w:rsidP="0D3E1EDC">
      <w:pPr>
        <w:autoSpaceDE w:val="0"/>
        <w:autoSpaceDN w:val="0"/>
        <w:adjustRightInd w:val="0"/>
        <w:rPr>
          <w:rFonts w:asciiTheme="minorHAnsi" w:hAnsiTheme="minorHAnsi" w:cstheme="minorHAnsi"/>
          <w:lang w:val="en-US" w:eastAsia="en-US"/>
        </w:rPr>
      </w:pPr>
      <w:r w:rsidRPr="008812EC">
        <w:rPr>
          <w:rFonts w:asciiTheme="minorHAnsi" w:hAnsiTheme="minorHAnsi" w:cstheme="minorHAnsi"/>
          <w:lang w:val="en-US" w:eastAsia="en-US"/>
        </w:rPr>
        <w:lastRenderedPageBreak/>
        <w:t xml:space="preserve">Include a copy of the </w:t>
      </w:r>
      <w:r w:rsidRPr="008812EC">
        <w:rPr>
          <w:rFonts w:asciiTheme="minorHAnsi" w:hAnsiTheme="minorHAnsi" w:cstheme="minorHAnsi"/>
          <w:b/>
          <w:bCs/>
          <w:lang w:val="en-US" w:eastAsia="en-US"/>
        </w:rPr>
        <w:t>signed</w:t>
      </w:r>
      <w:r w:rsidRPr="008812EC">
        <w:rPr>
          <w:rFonts w:asciiTheme="minorHAnsi" w:hAnsiTheme="minorHAnsi" w:cstheme="minorHAnsi"/>
          <w:lang w:val="en-US" w:eastAsia="en-US"/>
        </w:rPr>
        <w:t xml:space="preserve"> and </w:t>
      </w:r>
      <w:r w:rsidRPr="008812EC">
        <w:rPr>
          <w:rFonts w:asciiTheme="minorHAnsi" w:hAnsiTheme="minorHAnsi" w:cstheme="minorHAnsi"/>
          <w:b/>
          <w:bCs/>
          <w:lang w:val="en-US" w:eastAsia="en-US"/>
        </w:rPr>
        <w:t>dated</w:t>
      </w:r>
      <w:r w:rsidRPr="008812EC">
        <w:rPr>
          <w:rFonts w:asciiTheme="minorHAnsi" w:hAnsiTheme="minorHAnsi" w:cstheme="minorHAnsi"/>
          <w:lang w:val="en-US" w:eastAsia="en-US"/>
        </w:rPr>
        <w:t xml:space="preserve"> Delegation Order that was in effect at the </w:t>
      </w:r>
      <w:r w:rsidRPr="008812EC">
        <w:rPr>
          <w:rFonts w:asciiTheme="minorHAnsi" w:hAnsiTheme="minorHAnsi" w:cstheme="minorHAnsi"/>
          <w:b/>
          <w:bCs/>
          <w:lang w:val="en-US" w:eastAsia="en-US"/>
        </w:rPr>
        <w:t>end</w:t>
      </w:r>
      <w:r w:rsidRPr="008812EC">
        <w:rPr>
          <w:rFonts w:asciiTheme="minorHAnsi" w:hAnsiTheme="minorHAnsi" w:cstheme="minorHAnsi"/>
          <w:lang w:val="en-US" w:eastAsia="en-US"/>
        </w:rPr>
        <w:t xml:space="preserve"> of the reporting period. Delegation Orders set out what powers, </w:t>
      </w:r>
      <w:r w:rsidR="00943EB2" w:rsidRPr="008812EC">
        <w:rPr>
          <w:rFonts w:asciiTheme="minorHAnsi" w:hAnsiTheme="minorHAnsi" w:cstheme="minorHAnsi"/>
          <w:lang w:val="en-US" w:eastAsia="en-US"/>
        </w:rPr>
        <w:t>duties,</w:t>
      </w:r>
      <w:r w:rsidRPr="008812EC">
        <w:rPr>
          <w:rFonts w:asciiTheme="minorHAnsi" w:hAnsiTheme="minorHAnsi" w:cstheme="minorHAnsi"/>
          <w:lang w:val="en-US" w:eastAsia="en-US"/>
        </w:rPr>
        <w:t xml:space="preserve"> and functions for the administration of the </w:t>
      </w:r>
      <w:r w:rsidR="004F4C45" w:rsidRPr="008812EC">
        <w:rPr>
          <w:rFonts w:asciiTheme="minorHAnsi" w:hAnsiTheme="minorHAnsi" w:cstheme="minorHAnsi"/>
          <w:i/>
          <w:iCs/>
          <w:lang w:val="en-US" w:eastAsia="en-US"/>
        </w:rPr>
        <w:t>Privacy Act</w:t>
      </w:r>
      <w:r w:rsidRPr="008812EC">
        <w:rPr>
          <w:rFonts w:asciiTheme="minorHAnsi" w:hAnsiTheme="minorHAnsi" w:cstheme="minorHAnsi"/>
          <w:lang w:val="en-US" w:eastAsia="en-US"/>
        </w:rPr>
        <w:t xml:space="preserve"> have been delegated by the head of the institution and to whom.</w:t>
      </w:r>
    </w:p>
    <w:p w14:paraId="0F84FDB9" w14:textId="5BE89161" w:rsidR="0D3E1EDC" w:rsidRPr="008812EC" w:rsidRDefault="0D3E1EDC" w:rsidP="0D3E1EDC">
      <w:pPr>
        <w:rPr>
          <w:rFonts w:asciiTheme="minorHAnsi" w:hAnsiTheme="minorHAnsi" w:cstheme="minorHAnsi"/>
          <w:lang w:val="en-US" w:eastAsia="en-US"/>
        </w:rPr>
      </w:pPr>
    </w:p>
    <w:p w14:paraId="18475C4D" w14:textId="77777777" w:rsidR="00CD6E36" w:rsidRPr="008812EC" w:rsidRDefault="0050606D" w:rsidP="0D3E1EDC">
      <w:pPr>
        <w:autoSpaceDE w:val="0"/>
        <w:autoSpaceDN w:val="0"/>
        <w:adjustRightInd w:val="0"/>
        <w:rPr>
          <w:rFonts w:asciiTheme="minorHAnsi" w:hAnsiTheme="minorHAnsi" w:cstheme="minorHAnsi"/>
          <w:lang w:val="en-US" w:eastAsia="en-US"/>
        </w:rPr>
      </w:pPr>
      <w:r w:rsidRPr="008812EC">
        <w:rPr>
          <w:rFonts w:asciiTheme="minorHAnsi" w:hAnsiTheme="minorHAnsi" w:cstheme="minorHAnsi"/>
          <w:b/>
          <w:bCs/>
          <w:lang w:val="en-US" w:eastAsia="en-US"/>
        </w:rPr>
        <w:t>Note</w:t>
      </w:r>
      <w:r w:rsidRPr="008812EC">
        <w:rPr>
          <w:rFonts w:asciiTheme="minorHAnsi" w:hAnsiTheme="minorHAnsi" w:cstheme="minorHAnsi"/>
          <w:lang w:val="en-US" w:eastAsia="en-US"/>
        </w:rPr>
        <w:t xml:space="preserve">: If the head of the institution did not delegate any of </w:t>
      </w:r>
      <w:r w:rsidR="008B48F4" w:rsidRPr="008812EC">
        <w:rPr>
          <w:rFonts w:asciiTheme="minorHAnsi" w:hAnsiTheme="minorHAnsi" w:cstheme="minorHAnsi"/>
          <w:lang w:val="en-US" w:eastAsia="en-US"/>
        </w:rPr>
        <w:t>their</w:t>
      </w:r>
      <w:r w:rsidRPr="008812EC">
        <w:rPr>
          <w:rFonts w:asciiTheme="minorHAnsi" w:hAnsiTheme="minorHAnsi" w:cstheme="minorHAnsi"/>
          <w:lang w:val="en-US" w:eastAsia="en-US"/>
        </w:rPr>
        <w:t xml:space="preserve"> powers and responsibilities under the Act, please include a statement to that effect.</w:t>
      </w:r>
    </w:p>
    <w:p w14:paraId="3C1F874E" w14:textId="6C37431B" w:rsidR="0D3E1EDC" w:rsidRPr="008812EC" w:rsidRDefault="0D3E1EDC" w:rsidP="0D3E1EDC">
      <w:pPr>
        <w:rPr>
          <w:rFonts w:asciiTheme="minorHAnsi" w:hAnsiTheme="minorHAnsi" w:cstheme="minorHAnsi"/>
          <w:lang w:val="en-US" w:eastAsia="en-US"/>
        </w:rPr>
      </w:pPr>
    </w:p>
    <w:p w14:paraId="6A4EED2F" w14:textId="77777777" w:rsidR="00D133CF" w:rsidRPr="008812EC" w:rsidRDefault="00D133CF" w:rsidP="0D3E1EDC">
      <w:pPr>
        <w:rPr>
          <w:rFonts w:asciiTheme="minorHAnsi" w:hAnsiTheme="minorHAnsi" w:cstheme="minorHAnsi"/>
          <w:lang w:val="en-US" w:eastAsia="en-US"/>
        </w:rPr>
      </w:pPr>
    </w:p>
    <w:p w14:paraId="3C3BB43A" w14:textId="52B73340" w:rsidR="003C39F4" w:rsidRPr="008812EC" w:rsidRDefault="003C39F4" w:rsidP="0D3E1ED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-US" w:eastAsia="en-US"/>
        </w:rPr>
      </w:pPr>
      <w:r w:rsidRPr="008812EC">
        <w:rPr>
          <w:rFonts w:asciiTheme="minorHAnsi" w:hAnsiTheme="minorHAnsi" w:cstheme="minorHAnsi"/>
          <w:b/>
          <w:bCs/>
          <w:lang w:val="en-US" w:eastAsia="en-US"/>
        </w:rPr>
        <w:t xml:space="preserve">B4. </w:t>
      </w:r>
      <w:r w:rsidR="0050606D" w:rsidRPr="008812EC">
        <w:rPr>
          <w:rFonts w:asciiTheme="minorHAnsi" w:hAnsiTheme="minorHAnsi" w:cstheme="minorHAnsi"/>
          <w:b/>
          <w:bCs/>
          <w:lang w:val="en-US" w:eastAsia="en-US"/>
        </w:rPr>
        <w:t xml:space="preserve">Performance </w:t>
      </w:r>
      <w:r w:rsidR="00A02A9A">
        <w:rPr>
          <w:rFonts w:asciiTheme="minorHAnsi" w:hAnsiTheme="minorHAnsi" w:cstheme="minorHAnsi"/>
          <w:b/>
          <w:bCs/>
          <w:lang w:val="en-US" w:eastAsia="en-US"/>
        </w:rPr>
        <w:t>2024–2025</w:t>
      </w:r>
    </w:p>
    <w:p w14:paraId="368140F9" w14:textId="62CCB372" w:rsidR="007F1A8B" w:rsidRPr="008812EC" w:rsidRDefault="12BB4DFC" w:rsidP="469FE2CA">
      <w:pPr>
        <w:autoSpaceDE w:val="0"/>
        <w:autoSpaceDN w:val="0"/>
        <w:adjustRightInd w:val="0"/>
        <w:rPr>
          <w:rFonts w:asciiTheme="minorHAnsi" w:hAnsiTheme="minorHAnsi" w:cstheme="minorHAnsi"/>
          <w:lang w:val="en-US" w:eastAsia="en-US"/>
        </w:rPr>
      </w:pPr>
      <w:r w:rsidRPr="008812EC">
        <w:rPr>
          <w:rFonts w:asciiTheme="minorHAnsi" w:hAnsiTheme="minorHAnsi" w:cstheme="minorHAnsi"/>
          <w:lang w:val="en-US" w:eastAsia="en-US"/>
        </w:rPr>
        <w:t xml:space="preserve">Provide an overview of key data on the institution’s performance for the year, as reflected in the institution’s </w:t>
      </w:r>
      <w:r w:rsidR="1D53DB03" w:rsidRPr="008812EC">
        <w:rPr>
          <w:rFonts w:asciiTheme="minorHAnsi" w:hAnsiTheme="minorHAnsi" w:cstheme="minorHAnsi"/>
          <w:lang w:val="en-US" w:eastAsia="en-US"/>
        </w:rPr>
        <w:t xml:space="preserve">2024-25 </w:t>
      </w:r>
      <w:r w:rsidRPr="008812EC">
        <w:rPr>
          <w:rFonts w:asciiTheme="minorHAnsi" w:hAnsiTheme="minorHAnsi" w:cstheme="minorHAnsi"/>
          <w:lang w:val="en-US" w:eastAsia="en-US"/>
        </w:rPr>
        <w:t>Statistical Report</w:t>
      </w:r>
      <w:r w:rsidR="70AC29A2" w:rsidRPr="008812EC">
        <w:rPr>
          <w:rFonts w:asciiTheme="minorHAnsi" w:hAnsiTheme="minorHAnsi" w:cstheme="minorHAnsi"/>
          <w:lang w:val="en-US" w:eastAsia="en-US"/>
        </w:rPr>
        <w:t>s</w:t>
      </w:r>
      <w:r w:rsidRPr="008812EC">
        <w:rPr>
          <w:rFonts w:asciiTheme="minorHAnsi" w:hAnsiTheme="minorHAnsi" w:cstheme="minorHAnsi"/>
          <w:lang w:val="en-US" w:eastAsia="en-US"/>
        </w:rPr>
        <w:t xml:space="preserve">. </w:t>
      </w:r>
      <w:r w:rsidR="64FE953B" w:rsidRPr="008812EC">
        <w:rPr>
          <w:rFonts w:asciiTheme="minorHAnsi" w:hAnsiTheme="minorHAnsi" w:cstheme="minorHAnsi"/>
          <w:lang w:val="en-US" w:eastAsia="en-US"/>
        </w:rPr>
        <w:t xml:space="preserve">(“Requests” here refers to formal requests under the </w:t>
      </w:r>
      <w:r w:rsidR="64FE953B" w:rsidRPr="008812EC">
        <w:rPr>
          <w:rFonts w:asciiTheme="minorHAnsi" w:hAnsiTheme="minorHAnsi" w:cstheme="minorHAnsi"/>
          <w:i/>
          <w:iCs/>
          <w:lang w:val="en-US" w:eastAsia="en-US"/>
        </w:rPr>
        <w:t>Privacy Act</w:t>
      </w:r>
      <w:r w:rsidR="64FE953B" w:rsidRPr="008812EC">
        <w:rPr>
          <w:rFonts w:asciiTheme="minorHAnsi" w:hAnsiTheme="minorHAnsi" w:cstheme="minorHAnsi"/>
          <w:lang w:val="en-US" w:eastAsia="en-US"/>
        </w:rPr>
        <w:t>.)</w:t>
      </w:r>
    </w:p>
    <w:p w14:paraId="69374F31" w14:textId="347FD3A0" w:rsidR="0D3E1EDC" w:rsidRPr="008812EC" w:rsidRDefault="0D3E1EDC" w:rsidP="0D3E1EDC">
      <w:pPr>
        <w:rPr>
          <w:rFonts w:asciiTheme="minorHAnsi" w:hAnsiTheme="minorHAnsi" w:cstheme="minorHAnsi"/>
          <w:lang w:val="en-US" w:eastAsia="en-US"/>
        </w:rPr>
      </w:pPr>
    </w:p>
    <w:p w14:paraId="38D2243D" w14:textId="6887A2E6" w:rsidR="001B13E9" w:rsidRPr="008812EC" w:rsidRDefault="001B13E9" w:rsidP="0D3E1EDC">
      <w:pPr>
        <w:autoSpaceDE w:val="0"/>
        <w:autoSpaceDN w:val="0"/>
        <w:adjustRightInd w:val="0"/>
        <w:rPr>
          <w:rFonts w:asciiTheme="minorHAnsi" w:hAnsiTheme="minorHAnsi" w:cstheme="minorHAnsi"/>
          <w:highlight w:val="yellow"/>
          <w:lang w:val="en-US" w:eastAsia="en-US"/>
        </w:rPr>
      </w:pPr>
      <w:r w:rsidRPr="008812EC">
        <w:rPr>
          <w:rFonts w:asciiTheme="minorHAnsi" w:hAnsiTheme="minorHAnsi" w:cstheme="minorHAnsi"/>
          <w:lang w:val="en-US" w:eastAsia="en-US"/>
        </w:rPr>
        <w:t>Include:</w:t>
      </w:r>
    </w:p>
    <w:p w14:paraId="4273958B" w14:textId="38384B98" w:rsidR="007F1A8B" w:rsidRPr="008812EC" w:rsidRDefault="007F1A8B" w:rsidP="00B14D0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368" w:hanging="357"/>
        <w:rPr>
          <w:rFonts w:cstheme="minorHAnsi"/>
          <w:sz w:val="24"/>
          <w:szCs w:val="24"/>
          <w:lang w:val="en-US"/>
        </w:rPr>
      </w:pPr>
      <w:r w:rsidRPr="008812EC">
        <w:rPr>
          <w:rFonts w:cstheme="minorHAnsi"/>
          <w:sz w:val="24"/>
          <w:szCs w:val="24"/>
          <w:lang w:val="en-US"/>
        </w:rPr>
        <w:t>Percentage of requests responded to within legislated timelines</w:t>
      </w:r>
      <w:r w:rsidR="00195A25" w:rsidRPr="008812EC">
        <w:rPr>
          <w:rFonts w:cstheme="minorHAnsi"/>
          <w:sz w:val="24"/>
          <w:szCs w:val="24"/>
          <w:lang w:val="en-US"/>
        </w:rPr>
        <w:t>,</w:t>
      </w:r>
      <w:r w:rsidRPr="008812EC">
        <w:rPr>
          <w:rFonts w:cstheme="minorHAnsi"/>
          <w:sz w:val="24"/>
          <w:szCs w:val="24"/>
          <w:lang w:val="en-US"/>
        </w:rPr>
        <w:t xml:space="preserve"> as the key measure of the institution’s performance</w:t>
      </w:r>
    </w:p>
    <w:p w14:paraId="673CD0FB" w14:textId="5C5D4D0B" w:rsidR="007F1A8B" w:rsidRPr="008812EC" w:rsidRDefault="007F1A8B" w:rsidP="00B14D0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160" w:line="240" w:lineRule="auto"/>
        <w:ind w:left="368" w:hanging="357"/>
        <w:rPr>
          <w:rFonts w:cstheme="minorHAnsi"/>
          <w:sz w:val="24"/>
          <w:szCs w:val="24"/>
          <w:lang w:val="en-US"/>
        </w:rPr>
      </w:pPr>
      <w:r w:rsidRPr="008812EC">
        <w:rPr>
          <w:rFonts w:cstheme="minorHAnsi"/>
          <w:sz w:val="24"/>
          <w:szCs w:val="24"/>
          <w:lang w:val="en-US"/>
        </w:rPr>
        <w:t xml:space="preserve">Number of </w:t>
      </w:r>
      <w:r w:rsidR="006039DC" w:rsidRPr="008812EC">
        <w:rPr>
          <w:rFonts w:cstheme="minorHAnsi"/>
          <w:sz w:val="24"/>
          <w:szCs w:val="24"/>
          <w:lang w:val="en-US"/>
        </w:rPr>
        <w:t xml:space="preserve">completed </w:t>
      </w:r>
      <w:r w:rsidRPr="008812EC">
        <w:rPr>
          <w:rFonts w:cstheme="minorHAnsi"/>
          <w:sz w:val="24"/>
          <w:szCs w:val="24"/>
          <w:lang w:val="en-US"/>
        </w:rPr>
        <w:t>requests, broken down by completion times, for example, “X completed within 1-30 days, Y completed within 31 to 60 days”</w:t>
      </w:r>
    </w:p>
    <w:p w14:paraId="70C92746" w14:textId="20B60BC1" w:rsidR="00826A86" w:rsidRPr="008812EC" w:rsidRDefault="00826A86" w:rsidP="00B14D0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0" w:line="240" w:lineRule="auto"/>
        <w:ind w:left="360"/>
        <w:rPr>
          <w:rFonts w:cstheme="minorHAnsi"/>
          <w:sz w:val="24"/>
          <w:szCs w:val="24"/>
          <w:lang w:val="en-US"/>
        </w:rPr>
      </w:pPr>
      <w:bookmarkStart w:id="8" w:name="_Hlk100842150"/>
      <w:r w:rsidRPr="008812EC">
        <w:rPr>
          <w:rFonts w:cstheme="minorHAnsi"/>
          <w:sz w:val="24"/>
          <w:szCs w:val="24"/>
        </w:rPr>
        <w:t xml:space="preserve">Number of active requests </w:t>
      </w:r>
      <w:r w:rsidR="00921DB0" w:rsidRPr="008812EC">
        <w:rPr>
          <w:rFonts w:cstheme="minorHAnsi"/>
          <w:sz w:val="24"/>
          <w:szCs w:val="24"/>
        </w:rPr>
        <w:t>as of the last day of the reporting period</w:t>
      </w:r>
      <w:r w:rsidRPr="008812EC">
        <w:rPr>
          <w:rFonts w:cstheme="minorHAnsi"/>
          <w:sz w:val="24"/>
          <w:szCs w:val="24"/>
        </w:rPr>
        <w:t xml:space="preserve">, broken down by </w:t>
      </w:r>
      <w:r w:rsidR="00921DB0" w:rsidRPr="008812EC">
        <w:rPr>
          <w:rFonts w:cstheme="minorHAnsi"/>
          <w:sz w:val="24"/>
          <w:szCs w:val="24"/>
        </w:rPr>
        <w:t xml:space="preserve">specific </w:t>
      </w:r>
      <w:r w:rsidR="0017573F" w:rsidRPr="008812EC">
        <w:rPr>
          <w:rFonts w:cstheme="minorHAnsi"/>
          <w:sz w:val="24"/>
          <w:szCs w:val="24"/>
        </w:rPr>
        <w:t>fiscal year</w:t>
      </w:r>
      <w:r w:rsidRPr="008812EC">
        <w:rPr>
          <w:rFonts w:cstheme="minorHAnsi"/>
          <w:sz w:val="24"/>
          <w:szCs w:val="24"/>
        </w:rPr>
        <w:t xml:space="preserve"> in which they were received, and by </w:t>
      </w:r>
      <w:r w:rsidR="00943EB2" w:rsidRPr="008812EC">
        <w:rPr>
          <w:rFonts w:cstheme="minorHAnsi"/>
          <w:sz w:val="24"/>
          <w:szCs w:val="24"/>
        </w:rPr>
        <w:t>whether</w:t>
      </w:r>
      <w:r w:rsidRPr="008812EC">
        <w:rPr>
          <w:rFonts w:cstheme="minorHAnsi"/>
          <w:sz w:val="24"/>
          <w:szCs w:val="24"/>
        </w:rPr>
        <w:t xml:space="preserve"> they are still within legislated timelines (including extensions)</w:t>
      </w:r>
    </w:p>
    <w:bookmarkEnd w:id="8"/>
    <w:p w14:paraId="026189C6" w14:textId="68D1F2A2" w:rsidR="00826A86" w:rsidRPr="008812EC" w:rsidRDefault="00826A86" w:rsidP="00B14D0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0" w:line="240" w:lineRule="auto"/>
        <w:ind w:left="360"/>
        <w:rPr>
          <w:rFonts w:cstheme="minorHAnsi"/>
          <w:sz w:val="24"/>
          <w:szCs w:val="24"/>
          <w:lang w:val="en-US"/>
        </w:rPr>
      </w:pPr>
      <w:r w:rsidRPr="008812EC">
        <w:rPr>
          <w:rFonts w:cstheme="minorHAnsi"/>
          <w:sz w:val="24"/>
          <w:szCs w:val="24"/>
        </w:rPr>
        <w:t xml:space="preserve">Number of active complaints </w:t>
      </w:r>
      <w:r w:rsidR="00921DB0" w:rsidRPr="008812EC">
        <w:rPr>
          <w:rFonts w:cstheme="minorHAnsi"/>
          <w:sz w:val="24"/>
          <w:szCs w:val="24"/>
        </w:rPr>
        <w:t>as of the last day of the reporting period</w:t>
      </w:r>
      <w:r w:rsidRPr="008812EC">
        <w:rPr>
          <w:rFonts w:cstheme="minorHAnsi"/>
          <w:sz w:val="24"/>
          <w:szCs w:val="24"/>
        </w:rPr>
        <w:t xml:space="preserve">, broken down by </w:t>
      </w:r>
      <w:r w:rsidR="00F23F3E" w:rsidRPr="008812EC">
        <w:rPr>
          <w:rFonts w:cstheme="minorHAnsi"/>
          <w:sz w:val="24"/>
          <w:szCs w:val="24"/>
        </w:rPr>
        <w:t xml:space="preserve">specific </w:t>
      </w:r>
      <w:r w:rsidR="0017573F" w:rsidRPr="008812EC">
        <w:rPr>
          <w:rFonts w:cstheme="minorHAnsi"/>
          <w:sz w:val="24"/>
          <w:szCs w:val="24"/>
        </w:rPr>
        <w:t>fiscal year</w:t>
      </w:r>
      <w:r w:rsidRPr="008812EC">
        <w:rPr>
          <w:rFonts w:cstheme="minorHAnsi"/>
          <w:sz w:val="24"/>
          <w:szCs w:val="24"/>
        </w:rPr>
        <w:t xml:space="preserve"> in which they were received</w:t>
      </w:r>
    </w:p>
    <w:p w14:paraId="22DCEEFE" w14:textId="77777777" w:rsidR="007F1A8B" w:rsidRPr="008812EC" w:rsidRDefault="007F1A8B" w:rsidP="00B14D0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160" w:line="240" w:lineRule="auto"/>
        <w:ind w:left="368" w:hanging="357"/>
        <w:rPr>
          <w:rFonts w:cstheme="minorHAnsi"/>
          <w:sz w:val="24"/>
          <w:szCs w:val="24"/>
          <w:lang w:val="en-US"/>
        </w:rPr>
      </w:pPr>
      <w:r w:rsidRPr="008812EC">
        <w:rPr>
          <w:rFonts w:cstheme="minorHAnsi"/>
          <w:sz w:val="24"/>
          <w:szCs w:val="24"/>
          <w:lang w:val="en-US"/>
        </w:rPr>
        <w:t>Information on the reasons for extensions</w:t>
      </w:r>
    </w:p>
    <w:p w14:paraId="10C95CBE" w14:textId="18C6C6A6" w:rsidR="007F1A8B" w:rsidRPr="008812EC" w:rsidRDefault="007F1A8B" w:rsidP="00B14D0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160" w:line="240" w:lineRule="auto"/>
        <w:ind w:left="368" w:hanging="357"/>
        <w:rPr>
          <w:rFonts w:cstheme="minorHAnsi"/>
          <w:sz w:val="24"/>
          <w:szCs w:val="24"/>
          <w:lang w:val="en-US"/>
        </w:rPr>
      </w:pPr>
      <w:r w:rsidRPr="008812EC">
        <w:rPr>
          <w:rFonts w:cstheme="minorHAnsi"/>
          <w:sz w:val="24"/>
          <w:szCs w:val="24"/>
          <w:lang w:val="en-US"/>
        </w:rPr>
        <w:t>Data on consultations completed for other institutions (</w:t>
      </w:r>
      <w:r w:rsidR="00943EB2" w:rsidRPr="008812EC">
        <w:rPr>
          <w:rFonts w:cstheme="minorHAnsi"/>
          <w:sz w:val="24"/>
          <w:szCs w:val="24"/>
          <w:lang w:val="en-US"/>
        </w:rPr>
        <w:t>e.g.</w:t>
      </w:r>
      <w:r w:rsidRPr="008812EC">
        <w:rPr>
          <w:rFonts w:cstheme="minorHAnsi"/>
          <w:sz w:val="24"/>
          <w:szCs w:val="24"/>
          <w:lang w:val="en-US"/>
        </w:rPr>
        <w:t xml:space="preserve"> number, completion times)</w:t>
      </w:r>
    </w:p>
    <w:p w14:paraId="17F7B008" w14:textId="1EE3D63A" w:rsidR="007F1A8B" w:rsidRPr="008812EC" w:rsidRDefault="007F1A8B" w:rsidP="00B14D0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160" w:line="240" w:lineRule="auto"/>
        <w:ind w:left="368" w:hanging="357"/>
        <w:rPr>
          <w:rFonts w:cstheme="minorHAnsi"/>
          <w:sz w:val="24"/>
          <w:szCs w:val="24"/>
          <w:lang w:val="en-US"/>
        </w:rPr>
      </w:pPr>
      <w:r w:rsidRPr="008812EC">
        <w:rPr>
          <w:rFonts w:cstheme="minorHAnsi"/>
          <w:sz w:val="24"/>
          <w:szCs w:val="24"/>
          <w:lang w:val="en-US"/>
        </w:rPr>
        <w:t xml:space="preserve">Percentage of </w:t>
      </w:r>
      <w:r w:rsidR="00BA6112" w:rsidRPr="008812EC">
        <w:rPr>
          <w:rFonts w:cstheme="minorHAnsi"/>
          <w:sz w:val="24"/>
          <w:szCs w:val="24"/>
          <w:lang w:val="en-US"/>
        </w:rPr>
        <w:t xml:space="preserve">completed </w:t>
      </w:r>
      <w:r w:rsidRPr="008812EC">
        <w:rPr>
          <w:rFonts w:cstheme="minorHAnsi"/>
          <w:sz w:val="24"/>
          <w:szCs w:val="24"/>
          <w:lang w:val="en-US"/>
        </w:rPr>
        <w:t>requests for which records were “all disclosed”, and percentage for which records were “disclosed in part”</w:t>
      </w:r>
    </w:p>
    <w:p w14:paraId="49EB6929" w14:textId="4A250425" w:rsidR="00EF2E04" w:rsidRPr="008812EC" w:rsidRDefault="00FA4AEE" w:rsidP="00B14D0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368" w:hanging="357"/>
        <w:rPr>
          <w:rFonts w:cstheme="minorHAnsi"/>
          <w:sz w:val="24"/>
          <w:szCs w:val="24"/>
          <w:lang w:val="en-US"/>
        </w:rPr>
      </w:pPr>
      <w:r w:rsidRPr="008812EC">
        <w:rPr>
          <w:rFonts w:cstheme="minorHAnsi"/>
          <w:sz w:val="24"/>
          <w:szCs w:val="24"/>
          <w:lang w:val="en-US"/>
        </w:rPr>
        <w:t>O</w:t>
      </w:r>
      <w:r w:rsidR="00EF2E04" w:rsidRPr="008812EC">
        <w:rPr>
          <w:rFonts w:cstheme="minorHAnsi"/>
          <w:sz w:val="24"/>
          <w:szCs w:val="24"/>
          <w:lang w:val="en-US"/>
        </w:rPr>
        <w:t>ther performance information, as relevant</w:t>
      </w:r>
      <w:r w:rsidR="0031058D">
        <w:rPr>
          <w:rFonts w:cstheme="minorHAnsi"/>
          <w:sz w:val="24"/>
          <w:szCs w:val="24"/>
          <w:lang w:val="en-US"/>
        </w:rPr>
        <w:t xml:space="preserve"> (e.g. </w:t>
      </w:r>
      <w:r w:rsidR="0031058D" w:rsidRPr="00DE04DE">
        <w:rPr>
          <w:rFonts w:cstheme="minorHAnsi"/>
          <w:sz w:val="24"/>
          <w:szCs w:val="24"/>
          <w:lang w:val="en-US"/>
        </w:rPr>
        <w:t>number of requests for translation received and</w:t>
      </w:r>
      <w:r w:rsidR="0031058D">
        <w:rPr>
          <w:rFonts w:cstheme="minorHAnsi"/>
          <w:sz w:val="24"/>
          <w:szCs w:val="24"/>
          <w:lang w:val="en-US"/>
        </w:rPr>
        <w:t xml:space="preserve"> fulfilled</w:t>
      </w:r>
      <w:r w:rsidR="0031058D" w:rsidRPr="00DE04DE">
        <w:rPr>
          <w:rFonts w:cstheme="minorHAnsi"/>
          <w:sz w:val="24"/>
          <w:szCs w:val="24"/>
          <w:lang w:val="en-US"/>
        </w:rPr>
        <w:t xml:space="preserve"> relating to requests</w:t>
      </w:r>
      <w:r w:rsidR="003B1B6D">
        <w:rPr>
          <w:rFonts w:cstheme="minorHAnsi"/>
          <w:sz w:val="24"/>
          <w:szCs w:val="24"/>
          <w:lang w:val="en-US"/>
        </w:rPr>
        <w:t xml:space="preserve"> for personal information</w:t>
      </w:r>
      <w:r w:rsidR="0031058D">
        <w:rPr>
          <w:rFonts w:cstheme="minorHAnsi"/>
          <w:sz w:val="24"/>
          <w:szCs w:val="24"/>
          <w:lang w:val="en-US"/>
        </w:rPr>
        <w:t>)</w:t>
      </w:r>
    </w:p>
    <w:p w14:paraId="4D22C60D" w14:textId="62210888" w:rsidR="0D3E1EDC" w:rsidRPr="008812EC" w:rsidRDefault="0D3E1EDC" w:rsidP="0D3E1EDC">
      <w:pPr>
        <w:rPr>
          <w:rFonts w:asciiTheme="minorHAnsi" w:eastAsia="Calibri" w:hAnsiTheme="minorHAnsi" w:cstheme="minorHAnsi"/>
          <w:lang w:val="en-US"/>
        </w:rPr>
      </w:pPr>
    </w:p>
    <w:p w14:paraId="7D5BEC44" w14:textId="77777777" w:rsidR="00D133CF" w:rsidRPr="008812EC" w:rsidRDefault="00D133CF" w:rsidP="0D3E1EDC">
      <w:pPr>
        <w:rPr>
          <w:rFonts w:asciiTheme="minorHAnsi" w:eastAsia="Calibri" w:hAnsiTheme="minorHAnsi" w:cstheme="minorHAnsi"/>
          <w:lang w:val="en-US"/>
        </w:rPr>
      </w:pPr>
    </w:p>
    <w:p w14:paraId="271E0BA8" w14:textId="02F1FD7C" w:rsidR="002F651A" w:rsidRPr="008812EC" w:rsidRDefault="003C39F4" w:rsidP="0D3E1ED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-US" w:eastAsia="en-US"/>
        </w:rPr>
      </w:pPr>
      <w:bookmarkStart w:id="9" w:name="_Hlk128052603"/>
      <w:r w:rsidRPr="008812EC">
        <w:rPr>
          <w:rFonts w:asciiTheme="minorHAnsi" w:hAnsiTheme="minorHAnsi" w:cstheme="minorHAnsi"/>
          <w:b/>
          <w:bCs/>
          <w:lang w:val="en-US" w:eastAsia="en-US"/>
        </w:rPr>
        <w:t>B</w:t>
      </w:r>
      <w:r w:rsidR="002F651A" w:rsidRPr="008812EC">
        <w:rPr>
          <w:rFonts w:asciiTheme="minorHAnsi" w:hAnsiTheme="minorHAnsi" w:cstheme="minorHAnsi"/>
          <w:b/>
          <w:bCs/>
          <w:lang w:val="en-US" w:eastAsia="en-US"/>
        </w:rPr>
        <w:t>5. Training</w:t>
      </w:r>
      <w:r w:rsidR="00026919" w:rsidRPr="008812EC">
        <w:rPr>
          <w:rFonts w:asciiTheme="minorHAnsi" w:hAnsiTheme="minorHAnsi" w:cstheme="minorHAnsi"/>
          <w:b/>
          <w:bCs/>
          <w:lang w:val="en-US" w:eastAsia="en-US"/>
        </w:rPr>
        <w:t xml:space="preserve"> and Awareness</w:t>
      </w:r>
    </w:p>
    <w:p w14:paraId="23A5C681" w14:textId="0C025332" w:rsidR="00DB4B0E" w:rsidRDefault="00D15F35" w:rsidP="469FE2CA">
      <w:pPr>
        <w:autoSpaceDE w:val="0"/>
        <w:autoSpaceDN w:val="0"/>
        <w:adjustRightInd w:val="0"/>
        <w:rPr>
          <w:rFonts w:asciiTheme="minorHAnsi" w:hAnsiTheme="minorHAnsi" w:cstheme="minorHAnsi"/>
          <w:lang w:val="en-US" w:eastAsia="en-US"/>
        </w:rPr>
      </w:pPr>
      <w:r>
        <w:rPr>
          <w:rFonts w:asciiTheme="minorHAnsi" w:hAnsiTheme="minorHAnsi" w:cstheme="minorHAnsi"/>
          <w:lang w:val="en-US" w:eastAsia="en-US"/>
        </w:rPr>
        <w:t xml:space="preserve">Appendix B of the </w:t>
      </w:r>
      <w:hyperlink r:id="rId14" w:history="1">
        <w:r w:rsidRPr="006976A0">
          <w:rPr>
            <w:rStyle w:val="Hyperlink"/>
            <w:rFonts w:asciiTheme="minorHAnsi" w:hAnsiTheme="minorHAnsi" w:cstheme="minorHAnsi"/>
            <w:lang w:val="en-US" w:eastAsia="en-US"/>
          </w:rPr>
          <w:t xml:space="preserve">Directive </w:t>
        </w:r>
        <w:r w:rsidR="007E46A1" w:rsidRPr="006976A0">
          <w:rPr>
            <w:rStyle w:val="Hyperlink"/>
            <w:rFonts w:asciiTheme="minorHAnsi" w:hAnsiTheme="minorHAnsi" w:cstheme="minorHAnsi"/>
            <w:lang w:val="en-US" w:eastAsia="en-US"/>
          </w:rPr>
          <w:t>on Personal Information Requests and Correction of Personal Information</w:t>
        </w:r>
      </w:hyperlink>
      <w:r w:rsidR="007E46A1">
        <w:rPr>
          <w:rFonts w:asciiTheme="minorHAnsi" w:hAnsiTheme="minorHAnsi" w:cstheme="minorHAnsi"/>
          <w:lang w:val="en-US" w:eastAsia="en-US"/>
        </w:rPr>
        <w:t xml:space="preserve"> </w:t>
      </w:r>
      <w:r w:rsidR="006976A0">
        <w:rPr>
          <w:rFonts w:asciiTheme="minorHAnsi" w:hAnsiTheme="minorHAnsi" w:cstheme="minorHAnsi"/>
          <w:lang w:val="en-US" w:eastAsia="en-US"/>
        </w:rPr>
        <w:t>sets out</w:t>
      </w:r>
      <w:r w:rsidR="007E46A1">
        <w:rPr>
          <w:rFonts w:asciiTheme="minorHAnsi" w:hAnsiTheme="minorHAnsi" w:cstheme="minorHAnsi"/>
          <w:lang w:val="en-US" w:eastAsia="en-US"/>
        </w:rPr>
        <w:t xml:space="preserve"> mandatory training requirements. </w:t>
      </w:r>
      <w:r w:rsidR="63C1CD3F" w:rsidRPr="008812EC">
        <w:rPr>
          <w:rFonts w:asciiTheme="minorHAnsi" w:hAnsiTheme="minorHAnsi" w:cstheme="minorHAnsi"/>
          <w:lang w:val="en-US" w:eastAsia="en-US"/>
        </w:rPr>
        <w:t>Describe</w:t>
      </w:r>
      <w:r w:rsidR="004A5203">
        <w:rPr>
          <w:rFonts w:asciiTheme="minorHAnsi" w:hAnsiTheme="minorHAnsi" w:cstheme="minorHAnsi"/>
          <w:lang w:val="en-US" w:eastAsia="en-US"/>
        </w:rPr>
        <w:t>:</w:t>
      </w:r>
    </w:p>
    <w:p w14:paraId="56D2E414" w14:textId="579F9A07" w:rsidR="00132737" w:rsidRDefault="007E6172" w:rsidP="00DB4B0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Steps taken</w:t>
      </w:r>
      <w:r w:rsidR="63C1CD3F" w:rsidRPr="00DB4B0E">
        <w:rPr>
          <w:rFonts w:cstheme="minorHAnsi"/>
          <w:sz w:val="24"/>
          <w:szCs w:val="24"/>
          <w:lang w:val="en-US"/>
        </w:rPr>
        <w:t xml:space="preserve"> to ensure all employees have completed th</w:t>
      </w:r>
      <w:r>
        <w:rPr>
          <w:rFonts w:cstheme="minorHAnsi"/>
          <w:sz w:val="24"/>
          <w:szCs w:val="24"/>
          <w:lang w:val="en-US"/>
        </w:rPr>
        <w:t>e</w:t>
      </w:r>
      <w:r w:rsidR="63C1CD3F" w:rsidRPr="00DB4B0E">
        <w:rPr>
          <w:rFonts w:cstheme="minorHAnsi"/>
          <w:sz w:val="24"/>
          <w:szCs w:val="24"/>
          <w:lang w:val="en-US"/>
        </w:rPr>
        <w:t xml:space="preserve"> mandatory privacy training </w:t>
      </w:r>
      <w:r w:rsidR="002C21D5">
        <w:rPr>
          <w:rFonts w:cstheme="minorHAnsi"/>
          <w:sz w:val="24"/>
          <w:szCs w:val="24"/>
          <w:lang w:val="en-US"/>
        </w:rPr>
        <w:t xml:space="preserve">set out in this Directive, </w:t>
      </w:r>
      <w:r w:rsidR="63C1CD3F" w:rsidRPr="00DB4B0E">
        <w:rPr>
          <w:rFonts w:cstheme="minorHAnsi"/>
          <w:sz w:val="24"/>
          <w:szCs w:val="24"/>
          <w:lang w:val="en-US"/>
        </w:rPr>
        <w:t xml:space="preserve">and are aware of policies, </w:t>
      </w:r>
      <w:r w:rsidR="6E38FD3F" w:rsidRPr="00DB4B0E">
        <w:rPr>
          <w:rFonts w:cstheme="minorHAnsi"/>
          <w:sz w:val="24"/>
          <w:szCs w:val="24"/>
          <w:lang w:val="en-US"/>
        </w:rPr>
        <w:t>procedures,</w:t>
      </w:r>
      <w:r w:rsidR="63C1CD3F" w:rsidRPr="00DB4B0E">
        <w:rPr>
          <w:rFonts w:cstheme="minorHAnsi"/>
          <w:sz w:val="24"/>
          <w:szCs w:val="24"/>
          <w:lang w:val="en-US"/>
        </w:rPr>
        <w:t xml:space="preserve"> and legal responsibilities under the </w:t>
      </w:r>
      <w:r w:rsidR="63C1CD3F" w:rsidRPr="00DB4B0E">
        <w:rPr>
          <w:rFonts w:cstheme="minorHAnsi"/>
          <w:i/>
          <w:iCs/>
          <w:sz w:val="24"/>
          <w:szCs w:val="24"/>
          <w:lang w:val="en-US"/>
        </w:rPr>
        <w:t>Privacy Act</w:t>
      </w:r>
      <w:r w:rsidR="63C1CD3F" w:rsidRPr="00DB4B0E">
        <w:rPr>
          <w:rFonts w:cstheme="minorHAnsi"/>
          <w:sz w:val="24"/>
          <w:szCs w:val="24"/>
          <w:lang w:val="en-US"/>
        </w:rPr>
        <w:t>.</w:t>
      </w:r>
    </w:p>
    <w:p w14:paraId="5B4F0F23" w14:textId="60953232" w:rsidR="00065A0E" w:rsidRPr="00DB4B0E" w:rsidRDefault="00132737" w:rsidP="00DB4B0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S</w:t>
      </w:r>
      <w:r w:rsidR="63C1CD3F" w:rsidRPr="00DB4B0E">
        <w:rPr>
          <w:rFonts w:cstheme="minorHAnsi"/>
          <w:sz w:val="24"/>
          <w:szCs w:val="24"/>
          <w:lang w:val="en-US"/>
        </w:rPr>
        <w:t xml:space="preserve">teps taken to ensure </w:t>
      </w:r>
      <w:bookmarkStart w:id="10" w:name="_Hlk128052777"/>
      <w:r w:rsidR="00FD5B20">
        <w:rPr>
          <w:rFonts w:cstheme="minorHAnsi"/>
          <w:sz w:val="24"/>
          <w:szCs w:val="24"/>
          <w:lang w:val="en-US"/>
        </w:rPr>
        <w:t>that</w:t>
      </w:r>
      <w:r w:rsidR="63C1CD3F" w:rsidRPr="00DB4B0E">
        <w:rPr>
          <w:rFonts w:cstheme="minorHAnsi"/>
          <w:sz w:val="24"/>
          <w:szCs w:val="24"/>
          <w:lang w:val="en-US"/>
        </w:rPr>
        <w:t xml:space="preserve"> employees of the government institution who have functional or delegated responsibility for the administration of the </w:t>
      </w:r>
      <w:r w:rsidR="63C1CD3F" w:rsidRPr="00DB4B0E">
        <w:rPr>
          <w:rFonts w:cstheme="minorHAnsi"/>
          <w:i/>
          <w:iCs/>
          <w:sz w:val="24"/>
          <w:szCs w:val="24"/>
          <w:lang w:val="en-US"/>
        </w:rPr>
        <w:t>Privacy Act</w:t>
      </w:r>
      <w:r w:rsidR="63C1CD3F" w:rsidRPr="00DB4B0E">
        <w:rPr>
          <w:rFonts w:cstheme="minorHAnsi"/>
          <w:sz w:val="24"/>
          <w:szCs w:val="24"/>
          <w:lang w:val="en-US"/>
        </w:rPr>
        <w:t xml:space="preserve"> and </w:t>
      </w:r>
      <w:r w:rsidR="63C1CD3F" w:rsidRPr="00DB4B0E">
        <w:rPr>
          <w:rFonts w:cstheme="minorHAnsi"/>
          <w:i/>
          <w:iCs/>
          <w:sz w:val="24"/>
          <w:szCs w:val="24"/>
          <w:lang w:val="en-US"/>
        </w:rPr>
        <w:t>Privacy Regulations</w:t>
      </w:r>
      <w:r w:rsidR="00FD5B20">
        <w:rPr>
          <w:rFonts w:cstheme="minorHAnsi"/>
          <w:sz w:val="24"/>
          <w:szCs w:val="24"/>
          <w:lang w:val="en-US"/>
        </w:rPr>
        <w:t xml:space="preserve"> have taken the </w:t>
      </w:r>
      <w:r w:rsidR="00FD5B20" w:rsidRPr="00DB4B0E">
        <w:rPr>
          <w:rFonts w:cstheme="minorHAnsi"/>
          <w:sz w:val="24"/>
          <w:szCs w:val="24"/>
          <w:lang w:val="en-US"/>
        </w:rPr>
        <w:t>additional in-depth training</w:t>
      </w:r>
      <w:r w:rsidR="00FD5B20">
        <w:rPr>
          <w:rFonts w:cstheme="minorHAnsi"/>
          <w:sz w:val="24"/>
          <w:szCs w:val="24"/>
          <w:lang w:val="en-US"/>
        </w:rPr>
        <w:t xml:space="preserve"> that is required</w:t>
      </w:r>
      <w:r w:rsidR="002C21D5">
        <w:rPr>
          <w:rFonts w:cstheme="minorHAnsi"/>
          <w:sz w:val="24"/>
          <w:szCs w:val="24"/>
          <w:lang w:val="en-US"/>
        </w:rPr>
        <w:t xml:space="preserve"> for them under this Directive.</w:t>
      </w:r>
    </w:p>
    <w:bookmarkEnd w:id="9"/>
    <w:bookmarkEnd w:id="10"/>
    <w:p w14:paraId="7F0A91B4" w14:textId="13EB77A4" w:rsidR="0D3E1EDC" w:rsidRPr="008812EC" w:rsidRDefault="0D3E1EDC" w:rsidP="0D3E1EDC">
      <w:pPr>
        <w:rPr>
          <w:rFonts w:asciiTheme="minorHAnsi" w:hAnsiTheme="minorHAnsi" w:cstheme="minorHAnsi"/>
          <w:lang w:val="en-US" w:eastAsia="en-US"/>
        </w:rPr>
      </w:pPr>
    </w:p>
    <w:p w14:paraId="20CB4C9C" w14:textId="2C8A8844" w:rsidR="00427E83" w:rsidRPr="008812EC" w:rsidRDefault="0038629C" w:rsidP="0D3E1E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 w:eastAsia="en-US"/>
        </w:rPr>
        <w:lastRenderedPageBreak/>
        <w:t>A</w:t>
      </w:r>
      <w:r w:rsidRPr="008812EC">
        <w:rPr>
          <w:rFonts w:asciiTheme="minorHAnsi" w:hAnsiTheme="minorHAnsi" w:cstheme="minorHAnsi"/>
          <w:lang w:val="en-US" w:eastAsia="en-US"/>
        </w:rPr>
        <w:t>s well as formal training courses</w:t>
      </w:r>
      <w:r>
        <w:rPr>
          <w:rFonts w:asciiTheme="minorHAnsi" w:hAnsiTheme="minorHAnsi" w:cstheme="minorHAnsi"/>
          <w:lang w:val="en-US" w:eastAsia="en-US"/>
        </w:rPr>
        <w:t>, the training described</w:t>
      </w:r>
      <w:r w:rsidRPr="008812EC">
        <w:rPr>
          <w:rFonts w:asciiTheme="minorHAnsi" w:hAnsiTheme="minorHAnsi" w:cstheme="minorHAnsi"/>
          <w:lang w:val="en-US" w:eastAsia="en-US"/>
        </w:rPr>
        <w:t xml:space="preserve"> </w:t>
      </w:r>
      <w:r w:rsidR="00F51772" w:rsidRPr="008812EC">
        <w:rPr>
          <w:rFonts w:asciiTheme="minorHAnsi" w:hAnsiTheme="minorHAnsi" w:cstheme="minorHAnsi"/>
          <w:lang w:val="en-US" w:eastAsia="en-US"/>
        </w:rPr>
        <w:t>can include informal briefings, one-on-one training, orientation,</w:t>
      </w:r>
      <w:r w:rsidR="00F3177D">
        <w:rPr>
          <w:rFonts w:asciiTheme="minorHAnsi" w:hAnsiTheme="minorHAnsi" w:cstheme="minorHAnsi"/>
          <w:lang w:val="en-US" w:eastAsia="en-US"/>
        </w:rPr>
        <w:t xml:space="preserve"> </w:t>
      </w:r>
      <w:r w:rsidR="00F3177D" w:rsidRPr="008812EC">
        <w:rPr>
          <w:rFonts w:asciiTheme="minorHAnsi" w:hAnsiTheme="minorHAnsi" w:cstheme="minorHAnsi"/>
        </w:rPr>
        <w:t>web training</w:t>
      </w:r>
      <w:r w:rsidR="00F3177D">
        <w:rPr>
          <w:rFonts w:asciiTheme="minorHAnsi" w:hAnsiTheme="minorHAnsi" w:cstheme="minorHAnsi"/>
        </w:rPr>
        <w:t>,</w:t>
      </w:r>
      <w:r w:rsidR="00F51772" w:rsidRPr="008812EC">
        <w:rPr>
          <w:rFonts w:asciiTheme="minorHAnsi" w:hAnsiTheme="minorHAnsi" w:cstheme="minorHAnsi"/>
          <w:lang w:val="en-US" w:eastAsia="en-US"/>
        </w:rPr>
        <w:t xml:space="preserve"> </w:t>
      </w:r>
      <w:r w:rsidR="00427E83" w:rsidRPr="008812EC">
        <w:rPr>
          <w:rFonts w:asciiTheme="minorHAnsi" w:hAnsiTheme="minorHAnsi" w:cstheme="minorHAnsi"/>
        </w:rPr>
        <w:t xml:space="preserve">and </w:t>
      </w:r>
      <w:r w:rsidR="00B6753E" w:rsidRPr="008812EC">
        <w:rPr>
          <w:rFonts w:asciiTheme="minorHAnsi" w:hAnsiTheme="minorHAnsi" w:cstheme="minorHAnsi"/>
        </w:rPr>
        <w:t>other</w:t>
      </w:r>
      <w:r w:rsidR="00427E83" w:rsidRPr="008812EC">
        <w:rPr>
          <w:rFonts w:asciiTheme="minorHAnsi" w:hAnsiTheme="minorHAnsi" w:cstheme="minorHAnsi"/>
        </w:rPr>
        <w:t xml:space="preserve"> awareness activities.</w:t>
      </w:r>
    </w:p>
    <w:p w14:paraId="21B0558B" w14:textId="32539488" w:rsidR="0D3E1EDC" w:rsidRPr="008812EC" w:rsidRDefault="0D3E1EDC" w:rsidP="0D3E1EDC">
      <w:pPr>
        <w:rPr>
          <w:rFonts w:asciiTheme="minorHAnsi" w:hAnsiTheme="minorHAnsi" w:cstheme="minorHAnsi"/>
        </w:rPr>
      </w:pPr>
    </w:p>
    <w:p w14:paraId="57540621" w14:textId="77777777" w:rsidR="00F915AD" w:rsidRPr="008812EC" w:rsidRDefault="00427E83" w:rsidP="0D3E1EDC">
      <w:pPr>
        <w:rPr>
          <w:rFonts w:asciiTheme="minorHAnsi" w:hAnsiTheme="minorHAnsi" w:cstheme="minorHAnsi"/>
          <w:lang w:val="en-US" w:eastAsia="en-US"/>
        </w:rPr>
      </w:pPr>
      <w:r w:rsidRPr="008812EC">
        <w:rPr>
          <w:rFonts w:asciiTheme="minorHAnsi" w:hAnsiTheme="minorHAnsi" w:cstheme="minorHAnsi"/>
          <w:lang w:val="en-US" w:eastAsia="en-US"/>
        </w:rPr>
        <w:t>For formal information and training sessions, you may wish to indicate the number of sessions and the number of participants.</w:t>
      </w:r>
    </w:p>
    <w:p w14:paraId="0B10E00A" w14:textId="2DDF1C2D" w:rsidR="0D3E1EDC" w:rsidRPr="008812EC" w:rsidRDefault="0D3E1EDC" w:rsidP="0D3E1EDC">
      <w:pPr>
        <w:rPr>
          <w:rFonts w:asciiTheme="minorHAnsi" w:hAnsiTheme="minorHAnsi" w:cstheme="minorHAnsi"/>
          <w:lang w:val="en-US" w:eastAsia="en-US"/>
        </w:rPr>
      </w:pPr>
    </w:p>
    <w:p w14:paraId="0DEBAE96" w14:textId="3E6CDF8D" w:rsidR="00427E83" w:rsidRPr="008812EC" w:rsidRDefault="00427E83" w:rsidP="0D3E1EDC">
      <w:pPr>
        <w:rPr>
          <w:rFonts w:asciiTheme="minorHAnsi" w:hAnsiTheme="minorHAnsi" w:cstheme="minorHAnsi"/>
          <w:lang w:val="en-US" w:eastAsia="en-US"/>
        </w:rPr>
      </w:pPr>
      <w:r w:rsidRPr="008812EC">
        <w:rPr>
          <w:rFonts w:asciiTheme="minorHAnsi" w:hAnsiTheme="minorHAnsi" w:cstheme="minorHAnsi"/>
          <w:b/>
          <w:bCs/>
          <w:lang w:val="en-US" w:eastAsia="en-US"/>
        </w:rPr>
        <w:t>Note:</w:t>
      </w:r>
      <w:r w:rsidRPr="008812EC">
        <w:rPr>
          <w:rFonts w:asciiTheme="minorHAnsi" w:hAnsiTheme="minorHAnsi" w:cstheme="minorHAnsi"/>
          <w:lang w:val="en-US" w:eastAsia="en-US"/>
        </w:rPr>
        <w:t xml:space="preserve"> If no training/awareness activities were provided during the reporting period, please include a statement to that effect.</w:t>
      </w:r>
    </w:p>
    <w:p w14:paraId="765E566B" w14:textId="2C8BB7FF" w:rsidR="0D3E1EDC" w:rsidRPr="008812EC" w:rsidRDefault="0D3E1EDC" w:rsidP="0D3E1EDC">
      <w:pPr>
        <w:rPr>
          <w:rFonts w:asciiTheme="minorHAnsi" w:hAnsiTheme="minorHAnsi" w:cstheme="minorHAnsi"/>
          <w:lang w:val="en-US" w:eastAsia="en-US"/>
        </w:rPr>
      </w:pPr>
    </w:p>
    <w:p w14:paraId="5DA6D04C" w14:textId="77777777" w:rsidR="00D133CF" w:rsidRPr="008812EC" w:rsidRDefault="00D133CF" w:rsidP="0D3E1EDC">
      <w:pPr>
        <w:rPr>
          <w:rFonts w:asciiTheme="minorHAnsi" w:hAnsiTheme="minorHAnsi" w:cstheme="minorHAnsi"/>
          <w:lang w:val="en-US" w:eastAsia="en-US"/>
        </w:rPr>
      </w:pPr>
    </w:p>
    <w:p w14:paraId="7ACFE600" w14:textId="49E2570B" w:rsidR="003C39F4" w:rsidRPr="008812EC" w:rsidRDefault="003C39F4" w:rsidP="0D3E1ED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-US" w:eastAsia="en-US"/>
        </w:rPr>
      </w:pPr>
      <w:r w:rsidRPr="008812EC">
        <w:rPr>
          <w:rFonts w:asciiTheme="minorHAnsi" w:hAnsiTheme="minorHAnsi" w:cstheme="minorHAnsi"/>
          <w:b/>
          <w:bCs/>
          <w:lang w:val="en-US" w:eastAsia="en-US"/>
        </w:rPr>
        <w:t>B6. Policies, Guidelines</w:t>
      </w:r>
      <w:r w:rsidR="000E7683" w:rsidRPr="008812EC">
        <w:rPr>
          <w:rFonts w:asciiTheme="minorHAnsi" w:hAnsiTheme="minorHAnsi" w:cstheme="minorHAnsi"/>
          <w:b/>
          <w:bCs/>
          <w:lang w:val="en-US" w:eastAsia="en-US"/>
        </w:rPr>
        <w:t xml:space="preserve">, </w:t>
      </w:r>
      <w:r w:rsidR="00065A0E" w:rsidRPr="008812EC">
        <w:rPr>
          <w:rFonts w:asciiTheme="minorHAnsi" w:hAnsiTheme="minorHAnsi" w:cstheme="minorHAnsi"/>
          <w:b/>
          <w:bCs/>
          <w:lang w:val="en-US" w:eastAsia="en-US"/>
        </w:rPr>
        <w:t xml:space="preserve">and </w:t>
      </w:r>
      <w:r w:rsidRPr="008812EC">
        <w:rPr>
          <w:rFonts w:asciiTheme="minorHAnsi" w:hAnsiTheme="minorHAnsi" w:cstheme="minorHAnsi"/>
          <w:b/>
          <w:bCs/>
          <w:lang w:val="en-US" w:eastAsia="en-US"/>
        </w:rPr>
        <w:t xml:space="preserve">Procedures </w:t>
      </w:r>
    </w:p>
    <w:p w14:paraId="6A17A89A" w14:textId="603E1372" w:rsidR="001B13E9" w:rsidRPr="008812EC" w:rsidRDefault="001B13E9" w:rsidP="0D3E1EDC">
      <w:pPr>
        <w:autoSpaceDE w:val="0"/>
        <w:autoSpaceDN w:val="0"/>
        <w:adjustRightInd w:val="0"/>
        <w:rPr>
          <w:rFonts w:asciiTheme="minorHAnsi" w:hAnsiTheme="minorHAnsi" w:cstheme="minorHAnsi"/>
          <w:lang w:val="en-US" w:eastAsia="en-US"/>
        </w:rPr>
      </w:pPr>
      <w:r w:rsidRPr="008812EC">
        <w:rPr>
          <w:rFonts w:asciiTheme="minorHAnsi" w:hAnsiTheme="minorHAnsi" w:cstheme="minorHAnsi"/>
          <w:lang w:val="en-US" w:eastAsia="en-US"/>
        </w:rPr>
        <w:t xml:space="preserve">Describe </w:t>
      </w:r>
      <w:r w:rsidR="00B6753E" w:rsidRPr="008812EC">
        <w:rPr>
          <w:rFonts w:asciiTheme="minorHAnsi" w:hAnsiTheme="minorHAnsi" w:cstheme="minorHAnsi"/>
          <w:lang w:val="en-US" w:eastAsia="en-US"/>
        </w:rPr>
        <w:t>any</w:t>
      </w:r>
      <w:r w:rsidRPr="008812EC">
        <w:rPr>
          <w:rFonts w:asciiTheme="minorHAnsi" w:hAnsiTheme="minorHAnsi" w:cstheme="minorHAnsi"/>
          <w:lang w:val="en-US" w:eastAsia="en-US"/>
        </w:rPr>
        <w:t xml:space="preserve"> new or revised institution-specific policies, guidelines, </w:t>
      </w:r>
      <w:r w:rsidR="00065A0E" w:rsidRPr="008812EC">
        <w:rPr>
          <w:rFonts w:asciiTheme="minorHAnsi" w:hAnsiTheme="minorHAnsi" w:cstheme="minorHAnsi"/>
          <w:lang w:val="en-US" w:eastAsia="en-US"/>
        </w:rPr>
        <w:t xml:space="preserve">and </w:t>
      </w:r>
      <w:r w:rsidR="001B26C8" w:rsidRPr="008812EC">
        <w:rPr>
          <w:rFonts w:asciiTheme="minorHAnsi" w:hAnsiTheme="minorHAnsi" w:cstheme="minorHAnsi"/>
          <w:lang w:val="en-US" w:eastAsia="en-US"/>
        </w:rPr>
        <w:t xml:space="preserve">written </w:t>
      </w:r>
      <w:r w:rsidR="00943EB2" w:rsidRPr="008812EC">
        <w:rPr>
          <w:rFonts w:asciiTheme="minorHAnsi" w:hAnsiTheme="minorHAnsi" w:cstheme="minorHAnsi"/>
          <w:lang w:val="en-US" w:eastAsia="en-US"/>
        </w:rPr>
        <w:t>procedures</w:t>
      </w:r>
      <w:r w:rsidRPr="008812EC">
        <w:rPr>
          <w:rFonts w:asciiTheme="minorHAnsi" w:hAnsiTheme="minorHAnsi" w:cstheme="minorHAnsi"/>
          <w:lang w:val="en-US" w:eastAsia="en-US"/>
        </w:rPr>
        <w:t xml:space="preserve"> related to privacy that were implemented in the institution during the reporting period. </w:t>
      </w:r>
      <w:r w:rsidR="00065A0E" w:rsidRPr="008812EC">
        <w:rPr>
          <w:rFonts w:asciiTheme="minorHAnsi" w:hAnsiTheme="minorHAnsi" w:cstheme="minorHAnsi"/>
          <w:lang w:val="en-US" w:eastAsia="en-US"/>
        </w:rPr>
        <w:t>This includes plans to address privacy breaches and the periodic reviews thereof.</w:t>
      </w:r>
    </w:p>
    <w:p w14:paraId="5191C2C5" w14:textId="171863DE" w:rsidR="0D3E1EDC" w:rsidRPr="008812EC" w:rsidRDefault="0D3E1EDC" w:rsidP="0D3E1EDC">
      <w:pPr>
        <w:rPr>
          <w:rFonts w:asciiTheme="minorHAnsi" w:hAnsiTheme="minorHAnsi" w:cstheme="minorHAnsi"/>
          <w:lang w:val="en-US" w:eastAsia="en-US"/>
        </w:rPr>
      </w:pPr>
    </w:p>
    <w:p w14:paraId="4EBBBE4C" w14:textId="11D71771" w:rsidR="00A469BB" w:rsidRPr="008812EC" w:rsidRDefault="001B13E9" w:rsidP="0D3E1EDC">
      <w:pPr>
        <w:autoSpaceDE w:val="0"/>
        <w:autoSpaceDN w:val="0"/>
        <w:adjustRightInd w:val="0"/>
        <w:rPr>
          <w:rFonts w:asciiTheme="minorHAnsi" w:hAnsiTheme="minorHAnsi" w:cstheme="minorHAnsi"/>
          <w:lang w:val="en-US" w:eastAsia="en-US"/>
        </w:rPr>
      </w:pPr>
      <w:r w:rsidRPr="008812EC">
        <w:rPr>
          <w:rFonts w:asciiTheme="minorHAnsi" w:hAnsiTheme="minorHAnsi" w:cstheme="minorHAnsi"/>
          <w:lang w:val="en-US" w:eastAsia="en-US"/>
        </w:rPr>
        <w:t xml:space="preserve">Such policies, guidelines, </w:t>
      </w:r>
      <w:r w:rsidR="00065A0E" w:rsidRPr="008812EC">
        <w:rPr>
          <w:rFonts w:asciiTheme="minorHAnsi" w:hAnsiTheme="minorHAnsi" w:cstheme="minorHAnsi"/>
          <w:lang w:val="en-US" w:eastAsia="en-US"/>
        </w:rPr>
        <w:t xml:space="preserve">and </w:t>
      </w:r>
      <w:r w:rsidR="00943EB2" w:rsidRPr="008812EC">
        <w:rPr>
          <w:rFonts w:asciiTheme="minorHAnsi" w:hAnsiTheme="minorHAnsi" w:cstheme="minorHAnsi"/>
          <w:lang w:val="en-US" w:eastAsia="en-US"/>
        </w:rPr>
        <w:t>procedures</w:t>
      </w:r>
      <w:r w:rsidRPr="008812EC">
        <w:rPr>
          <w:rFonts w:asciiTheme="minorHAnsi" w:hAnsiTheme="minorHAnsi" w:cstheme="minorHAnsi"/>
          <w:lang w:val="en-US" w:eastAsia="en-US"/>
        </w:rPr>
        <w:t xml:space="preserve"> may have been implemented to comply with new Treasury Board of Canada Secretariat policies and directives, </w:t>
      </w:r>
      <w:r w:rsidR="00943EB2" w:rsidRPr="008812EC">
        <w:rPr>
          <w:rFonts w:asciiTheme="minorHAnsi" w:hAnsiTheme="minorHAnsi" w:cstheme="minorHAnsi"/>
          <w:lang w:val="en-US" w:eastAsia="en-US"/>
        </w:rPr>
        <w:t>because of</w:t>
      </w:r>
      <w:r w:rsidRPr="008812EC">
        <w:rPr>
          <w:rFonts w:asciiTheme="minorHAnsi" w:hAnsiTheme="minorHAnsi" w:cstheme="minorHAnsi"/>
          <w:lang w:val="en-US" w:eastAsia="en-US"/>
        </w:rPr>
        <w:t xml:space="preserve"> issues raised by the Office of the Privacy Commissioner or other Agents of Parliament, or for other reasons.</w:t>
      </w:r>
    </w:p>
    <w:p w14:paraId="7CFB89EC" w14:textId="7BE28C2E" w:rsidR="0D3E1EDC" w:rsidRPr="008812EC" w:rsidRDefault="0D3E1EDC" w:rsidP="0D3E1EDC">
      <w:pPr>
        <w:rPr>
          <w:rFonts w:asciiTheme="minorHAnsi" w:hAnsiTheme="minorHAnsi" w:cstheme="minorHAnsi"/>
          <w:lang w:val="en-US" w:eastAsia="en-US"/>
        </w:rPr>
      </w:pPr>
    </w:p>
    <w:p w14:paraId="0009C90B" w14:textId="75CDACEB" w:rsidR="00995622" w:rsidRPr="008812EC" w:rsidRDefault="001B13E9" w:rsidP="0D3E1EDC">
      <w:pPr>
        <w:autoSpaceDE w:val="0"/>
        <w:autoSpaceDN w:val="0"/>
        <w:adjustRightInd w:val="0"/>
        <w:rPr>
          <w:rFonts w:asciiTheme="minorHAnsi" w:hAnsiTheme="minorHAnsi" w:cstheme="minorHAnsi"/>
          <w:lang w:val="en-US" w:eastAsia="en-US"/>
        </w:rPr>
      </w:pPr>
      <w:r w:rsidRPr="008812EC">
        <w:rPr>
          <w:rFonts w:asciiTheme="minorHAnsi" w:hAnsiTheme="minorHAnsi" w:cstheme="minorHAnsi"/>
          <w:b/>
          <w:bCs/>
          <w:lang w:val="en-US" w:eastAsia="en-US"/>
        </w:rPr>
        <w:t>Note:</w:t>
      </w:r>
      <w:r w:rsidRPr="008812EC">
        <w:rPr>
          <w:rFonts w:asciiTheme="minorHAnsi" w:hAnsiTheme="minorHAnsi" w:cstheme="minorHAnsi"/>
          <w:lang w:val="en-US" w:eastAsia="en-US"/>
        </w:rPr>
        <w:t xml:space="preserve"> If your institution did not implement any such policies, </w:t>
      </w:r>
      <w:r w:rsidR="00943EB2" w:rsidRPr="008812EC">
        <w:rPr>
          <w:rFonts w:asciiTheme="minorHAnsi" w:hAnsiTheme="minorHAnsi" w:cstheme="minorHAnsi"/>
          <w:lang w:val="en-US" w:eastAsia="en-US"/>
        </w:rPr>
        <w:t>guidelines,</w:t>
      </w:r>
      <w:r w:rsidRPr="008812EC">
        <w:rPr>
          <w:rFonts w:asciiTheme="minorHAnsi" w:hAnsiTheme="minorHAnsi" w:cstheme="minorHAnsi"/>
          <w:lang w:val="en-US" w:eastAsia="en-US"/>
        </w:rPr>
        <w:t xml:space="preserve"> or procedures during the reporting period, please include a statement to that effect.</w:t>
      </w:r>
    </w:p>
    <w:p w14:paraId="62D4EEBF" w14:textId="2DEB7323" w:rsidR="0D3E1EDC" w:rsidRPr="008812EC" w:rsidRDefault="0D3E1EDC" w:rsidP="0D3E1EDC">
      <w:pPr>
        <w:rPr>
          <w:rFonts w:asciiTheme="minorHAnsi" w:hAnsiTheme="minorHAnsi" w:cstheme="minorHAnsi"/>
          <w:lang w:val="en-US" w:eastAsia="en-US"/>
        </w:rPr>
      </w:pPr>
    </w:p>
    <w:p w14:paraId="2406BB85" w14:textId="0A24F78C" w:rsidR="3785B00D" w:rsidRPr="008812EC" w:rsidRDefault="3785B00D" w:rsidP="0D3E1EDC">
      <w:pPr>
        <w:rPr>
          <w:rFonts w:asciiTheme="minorHAnsi" w:hAnsiTheme="minorHAnsi" w:cstheme="minorHAnsi"/>
          <w:lang w:val="en-US" w:eastAsia="en-US"/>
        </w:rPr>
      </w:pPr>
      <w:r w:rsidRPr="008812EC">
        <w:rPr>
          <w:rFonts w:asciiTheme="minorHAnsi" w:hAnsiTheme="minorHAnsi" w:cstheme="minorHAnsi"/>
          <w:lang w:val="en-US" w:eastAsia="en-US"/>
        </w:rPr>
        <w:t>List any new collection(s) or new consistent use(s) of Social Insurance Numbers that began during the reporting period.</w:t>
      </w:r>
    </w:p>
    <w:p w14:paraId="26419798" w14:textId="04CD05AF" w:rsidR="0D3E1EDC" w:rsidRPr="008812EC" w:rsidRDefault="0D3E1EDC" w:rsidP="0D3E1EDC">
      <w:pPr>
        <w:rPr>
          <w:rFonts w:asciiTheme="minorHAnsi" w:hAnsiTheme="minorHAnsi" w:cstheme="minorHAnsi"/>
          <w:lang w:val="en-US" w:eastAsia="en-US"/>
        </w:rPr>
      </w:pPr>
    </w:p>
    <w:p w14:paraId="2B50B1D2" w14:textId="77777777" w:rsidR="00D133CF" w:rsidRPr="008812EC" w:rsidRDefault="00D133CF" w:rsidP="0D3E1EDC">
      <w:pPr>
        <w:rPr>
          <w:rFonts w:asciiTheme="minorHAnsi" w:hAnsiTheme="minorHAnsi" w:cstheme="minorHAnsi"/>
          <w:lang w:val="en-US" w:eastAsia="en-US"/>
        </w:rPr>
      </w:pPr>
    </w:p>
    <w:p w14:paraId="6261271C" w14:textId="77777777" w:rsidR="001960E7" w:rsidRPr="008812EC" w:rsidRDefault="001960E7" w:rsidP="0D3E1ED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-US" w:eastAsia="en-US"/>
        </w:rPr>
      </w:pPr>
      <w:r w:rsidRPr="008812EC">
        <w:rPr>
          <w:rFonts w:asciiTheme="minorHAnsi" w:hAnsiTheme="minorHAnsi" w:cstheme="minorHAnsi"/>
          <w:b/>
          <w:bCs/>
          <w:lang w:val="en-US" w:eastAsia="en-US"/>
        </w:rPr>
        <w:t xml:space="preserve">B7.  Initiatives and Projects to Improve Privacy </w:t>
      </w:r>
    </w:p>
    <w:p w14:paraId="54FBE5FD" w14:textId="599A765D" w:rsidR="00343CA4" w:rsidRPr="008812EC" w:rsidRDefault="753D0882" w:rsidP="469FE2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8812EC">
        <w:rPr>
          <w:rStyle w:val="normaltextrun"/>
          <w:rFonts w:asciiTheme="minorHAnsi" w:hAnsiTheme="minorHAnsi" w:cstheme="minorHAnsi"/>
        </w:rPr>
        <w:t>Describe any</w:t>
      </w:r>
      <w:r w:rsidR="6DDF16C8" w:rsidRPr="008812EC">
        <w:rPr>
          <w:rStyle w:val="normaltextrun"/>
          <w:rFonts w:asciiTheme="minorHAnsi" w:hAnsiTheme="minorHAnsi" w:cstheme="minorHAnsi"/>
        </w:rPr>
        <w:t xml:space="preserve"> other</w:t>
      </w:r>
      <w:r w:rsidRPr="008812EC">
        <w:rPr>
          <w:rStyle w:val="normaltextrun"/>
          <w:rFonts w:asciiTheme="minorHAnsi" w:hAnsiTheme="minorHAnsi" w:cstheme="minorHAnsi"/>
        </w:rPr>
        <w:t xml:space="preserve"> initiatives or projects to improve access to personal information and privacy </w:t>
      </w:r>
      <w:r w:rsidR="5A14B70C" w:rsidRPr="008812EC">
        <w:rPr>
          <w:rStyle w:val="normaltextrun"/>
          <w:rFonts w:asciiTheme="minorHAnsi" w:hAnsiTheme="minorHAnsi" w:cstheme="minorHAnsi"/>
        </w:rPr>
        <w:t xml:space="preserve">that were implemented or ongoing </w:t>
      </w:r>
      <w:r w:rsidRPr="008812EC">
        <w:rPr>
          <w:rStyle w:val="normaltextrun"/>
          <w:rFonts w:asciiTheme="minorHAnsi" w:hAnsiTheme="minorHAnsi" w:cstheme="minorHAnsi"/>
        </w:rPr>
        <w:t xml:space="preserve">within the institution during the reporting period. </w:t>
      </w:r>
    </w:p>
    <w:p w14:paraId="46B83E1C" w14:textId="77777777" w:rsidR="00343CA4" w:rsidRPr="008812EC" w:rsidRDefault="00343CA4" w:rsidP="0D3E1E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44264193" w14:textId="15BBA993" w:rsidR="001960E7" w:rsidRPr="008812EC" w:rsidRDefault="00343CA4" w:rsidP="0D3E1ED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8812EC">
        <w:rPr>
          <w:rStyle w:val="normaltextrun"/>
          <w:rFonts w:asciiTheme="minorHAnsi" w:hAnsiTheme="minorHAnsi" w:cstheme="minorHAnsi"/>
        </w:rPr>
        <w:t>For example</w:t>
      </w:r>
      <w:r w:rsidR="001960E7" w:rsidRPr="008812EC">
        <w:rPr>
          <w:rStyle w:val="normaltextrun"/>
          <w:rFonts w:asciiTheme="minorHAnsi" w:hAnsiTheme="minorHAnsi" w:cstheme="minorHAnsi"/>
        </w:rPr>
        <w:t xml:space="preserve">: </w:t>
      </w:r>
      <w:r w:rsidR="001960E7" w:rsidRPr="008812EC">
        <w:rPr>
          <w:rStyle w:val="eop"/>
          <w:rFonts w:asciiTheme="minorHAnsi" w:hAnsiTheme="minorHAnsi" w:cstheme="minorHAnsi"/>
        </w:rPr>
        <w:t> </w:t>
      </w:r>
    </w:p>
    <w:p w14:paraId="0AAE8D88" w14:textId="5C6CA6FF" w:rsidR="001960E7" w:rsidRPr="008812EC" w:rsidRDefault="001960E7" w:rsidP="00B14D06">
      <w:pPr>
        <w:pStyle w:val="ListParagraph"/>
        <w:numPr>
          <w:ilvl w:val="0"/>
          <w:numId w:val="12"/>
        </w:numPr>
        <w:spacing w:after="160" w:line="240" w:lineRule="auto"/>
        <w:ind w:left="368" w:hanging="357"/>
        <w:rPr>
          <w:rFonts w:cstheme="minorHAnsi"/>
          <w:sz w:val="24"/>
          <w:szCs w:val="24"/>
        </w:rPr>
      </w:pPr>
      <w:r w:rsidRPr="008812EC">
        <w:rPr>
          <w:rFonts w:cstheme="minorHAnsi"/>
          <w:sz w:val="24"/>
          <w:szCs w:val="24"/>
        </w:rPr>
        <w:t xml:space="preserve">Technological </w:t>
      </w:r>
      <w:r w:rsidR="007F11D3">
        <w:rPr>
          <w:rFonts w:cstheme="minorHAnsi"/>
          <w:sz w:val="24"/>
          <w:szCs w:val="24"/>
        </w:rPr>
        <w:t>upgrade</w:t>
      </w:r>
      <w:r w:rsidR="007F11D3" w:rsidRPr="008812EC">
        <w:rPr>
          <w:rFonts w:cstheme="minorHAnsi"/>
          <w:sz w:val="24"/>
          <w:szCs w:val="24"/>
        </w:rPr>
        <w:t xml:space="preserve">s </w:t>
      </w:r>
      <w:r w:rsidRPr="008812EC">
        <w:rPr>
          <w:rFonts w:cstheme="minorHAnsi"/>
          <w:sz w:val="24"/>
          <w:szCs w:val="24"/>
        </w:rPr>
        <w:t>or innovation</w:t>
      </w:r>
      <w:r w:rsidR="007F11D3">
        <w:rPr>
          <w:rFonts w:cstheme="minorHAnsi"/>
          <w:sz w:val="24"/>
          <w:szCs w:val="24"/>
        </w:rPr>
        <w:t>s</w:t>
      </w:r>
      <w:r w:rsidRPr="008812EC">
        <w:rPr>
          <w:rFonts w:cstheme="minorHAnsi"/>
          <w:sz w:val="24"/>
          <w:szCs w:val="24"/>
        </w:rPr>
        <w:t xml:space="preserve"> to </w:t>
      </w:r>
      <w:r w:rsidR="00343CA4" w:rsidRPr="008812EC">
        <w:rPr>
          <w:rFonts w:cstheme="minorHAnsi"/>
          <w:sz w:val="24"/>
          <w:szCs w:val="24"/>
        </w:rPr>
        <w:t>improve</w:t>
      </w:r>
      <w:r w:rsidRPr="008812EC">
        <w:rPr>
          <w:rFonts w:cstheme="minorHAnsi"/>
          <w:sz w:val="24"/>
          <w:szCs w:val="24"/>
        </w:rPr>
        <w:t xml:space="preserve"> services</w:t>
      </w:r>
    </w:p>
    <w:p w14:paraId="2D629108" w14:textId="5993EAE3" w:rsidR="00E46273" w:rsidRDefault="753D0882" w:rsidP="00B14D06">
      <w:pPr>
        <w:pStyle w:val="ListParagraph"/>
        <w:numPr>
          <w:ilvl w:val="0"/>
          <w:numId w:val="12"/>
        </w:numPr>
        <w:spacing w:after="0" w:line="240" w:lineRule="auto"/>
        <w:ind w:left="368" w:hanging="357"/>
        <w:rPr>
          <w:rFonts w:cstheme="minorHAnsi"/>
          <w:sz w:val="24"/>
          <w:szCs w:val="24"/>
        </w:rPr>
      </w:pPr>
      <w:r w:rsidRPr="008812EC">
        <w:rPr>
          <w:rFonts w:cstheme="minorHAnsi"/>
          <w:sz w:val="24"/>
          <w:szCs w:val="24"/>
        </w:rPr>
        <w:t xml:space="preserve">Initiatives </w:t>
      </w:r>
      <w:r w:rsidR="00873FFA">
        <w:rPr>
          <w:rFonts w:cstheme="minorHAnsi"/>
          <w:sz w:val="24"/>
          <w:szCs w:val="24"/>
        </w:rPr>
        <w:t>removing barriers to</w:t>
      </w:r>
      <w:r w:rsidRPr="008812EC">
        <w:rPr>
          <w:rFonts w:cstheme="minorHAnsi"/>
          <w:sz w:val="24"/>
          <w:szCs w:val="24"/>
        </w:rPr>
        <w:t xml:space="preserve"> personal information for Indigenous requesters</w:t>
      </w:r>
    </w:p>
    <w:p w14:paraId="657847D0" w14:textId="73FE3A44" w:rsidR="001960E7" w:rsidRPr="008812EC" w:rsidRDefault="00E46273" w:rsidP="00B14D06">
      <w:pPr>
        <w:pStyle w:val="ListParagraph"/>
        <w:numPr>
          <w:ilvl w:val="0"/>
          <w:numId w:val="12"/>
        </w:numPr>
        <w:spacing w:after="0" w:line="240" w:lineRule="auto"/>
        <w:ind w:left="368" w:hanging="357"/>
        <w:rPr>
          <w:rFonts w:cstheme="minorHAnsi"/>
          <w:sz w:val="24"/>
          <w:szCs w:val="24"/>
        </w:rPr>
      </w:pPr>
      <w:r>
        <w:rPr>
          <w:sz w:val="24"/>
          <w:szCs w:val="24"/>
        </w:rPr>
        <w:t>The process used</w:t>
      </w:r>
      <w:r w:rsidRPr="006C54A5">
        <w:rPr>
          <w:sz w:val="24"/>
          <w:szCs w:val="24"/>
        </w:rPr>
        <w:t xml:space="preserve"> to review types of </w:t>
      </w:r>
      <w:r>
        <w:rPr>
          <w:sz w:val="24"/>
          <w:szCs w:val="24"/>
        </w:rPr>
        <w:t xml:space="preserve">personal </w:t>
      </w:r>
      <w:r w:rsidRPr="006C54A5">
        <w:rPr>
          <w:sz w:val="24"/>
          <w:szCs w:val="24"/>
        </w:rPr>
        <w:t xml:space="preserve">information </w:t>
      </w:r>
      <w:r>
        <w:rPr>
          <w:sz w:val="24"/>
          <w:szCs w:val="24"/>
        </w:rPr>
        <w:t xml:space="preserve">that are frequently requested, </w:t>
      </w:r>
      <w:r w:rsidRPr="00BF4151">
        <w:rPr>
          <w:sz w:val="24"/>
          <w:szCs w:val="24"/>
        </w:rPr>
        <w:t>and</w:t>
      </w:r>
      <w:r w:rsidRPr="006C54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 w:rsidRPr="006C54A5">
        <w:rPr>
          <w:sz w:val="24"/>
          <w:szCs w:val="24"/>
        </w:rPr>
        <w:t>assesses the feasibility of making that information available by other means</w:t>
      </w:r>
      <w:r w:rsidR="753D0882" w:rsidRPr="008812EC">
        <w:rPr>
          <w:rFonts w:cstheme="minorHAnsi"/>
          <w:sz w:val="24"/>
          <w:szCs w:val="24"/>
        </w:rPr>
        <w:t xml:space="preserve"> </w:t>
      </w:r>
    </w:p>
    <w:p w14:paraId="2CFDBD7B" w14:textId="69AE6A02" w:rsidR="0D3E1EDC" w:rsidRPr="008812EC" w:rsidRDefault="0D3E1EDC" w:rsidP="0D3E1EDC">
      <w:pPr>
        <w:rPr>
          <w:rFonts w:asciiTheme="minorHAnsi" w:eastAsia="Calibri" w:hAnsiTheme="minorHAnsi" w:cstheme="minorHAnsi"/>
        </w:rPr>
      </w:pPr>
    </w:p>
    <w:p w14:paraId="68D526EA" w14:textId="78E2E57D" w:rsidR="00C7440A" w:rsidRPr="008812EC" w:rsidRDefault="00C7440A" w:rsidP="0D3E1EDC">
      <w:pPr>
        <w:rPr>
          <w:rFonts w:asciiTheme="minorHAnsi" w:hAnsiTheme="minorHAnsi" w:cstheme="minorHAnsi"/>
          <w:lang w:val="en-US"/>
        </w:rPr>
      </w:pPr>
      <w:r w:rsidRPr="008812EC">
        <w:rPr>
          <w:rFonts w:asciiTheme="minorHAnsi" w:hAnsiTheme="minorHAnsi" w:cstheme="minorHAnsi"/>
          <w:b/>
          <w:bCs/>
          <w:lang w:val="en-US"/>
        </w:rPr>
        <w:t>Note:</w:t>
      </w:r>
      <w:r w:rsidRPr="008812EC">
        <w:rPr>
          <w:rFonts w:asciiTheme="minorHAnsi" w:hAnsiTheme="minorHAnsi" w:cstheme="minorHAnsi"/>
          <w:lang w:val="en-US"/>
        </w:rPr>
        <w:t xml:space="preserve"> If your institution did not implement or continue any such initiatives or projects during the reporting period, please include a statement to that effect.</w:t>
      </w:r>
    </w:p>
    <w:p w14:paraId="5102270C" w14:textId="77777777" w:rsidR="00C7440A" w:rsidRPr="008812EC" w:rsidRDefault="00C7440A" w:rsidP="0D3E1EDC">
      <w:pPr>
        <w:rPr>
          <w:rFonts w:asciiTheme="minorHAnsi" w:eastAsia="Calibri" w:hAnsiTheme="minorHAnsi" w:cstheme="minorHAnsi"/>
        </w:rPr>
      </w:pPr>
    </w:p>
    <w:p w14:paraId="66A67433" w14:textId="77777777" w:rsidR="00D133CF" w:rsidRPr="008812EC" w:rsidRDefault="00D133CF" w:rsidP="0D3E1EDC">
      <w:pPr>
        <w:rPr>
          <w:rFonts w:asciiTheme="minorHAnsi" w:eastAsia="Calibri" w:hAnsiTheme="minorHAnsi" w:cstheme="minorHAnsi"/>
        </w:rPr>
      </w:pPr>
    </w:p>
    <w:p w14:paraId="72C9E69F" w14:textId="0691349F" w:rsidR="003C39F4" w:rsidRPr="008812EC" w:rsidRDefault="003C39F4" w:rsidP="0D3E1ED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-US" w:eastAsia="en-US"/>
        </w:rPr>
      </w:pPr>
      <w:r w:rsidRPr="008812EC">
        <w:rPr>
          <w:rFonts w:asciiTheme="minorHAnsi" w:hAnsiTheme="minorHAnsi" w:cstheme="minorHAnsi"/>
          <w:b/>
          <w:bCs/>
          <w:lang w:val="en-US" w:eastAsia="en-US"/>
        </w:rPr>
        <w:t>B</w:t>
      </w:r>
      <w:r w:rsidR="001960E7" w:rsidRPr="008812EC">
        <w:rPr>
          <w:rFonts w:asciiTheme="minorHAnsi" w:hAnsiTheme="minorHAnsi" w:cstheme="minorHAnsi"/>
          <w:b/>
          <w:bCs/>
          <w:lang w:val="en-US" w:eastAsia="en-US"/>
        </w:rPr>
        <w:t>8</w:t>
      </w:r>
      <w:r w:rsidRPr="008812EC">
        <w:rPr>
          <w:rFonts w:asciiTheme="minorHAnsi" w:hAnsiTheme="minorHAnsi" w:cstheme="minorHAnsi"/>
          <w:b/>
          <w:bCs/>
          <w:lang w:val="en-US" w:eastAsia="en-US"/>
        </w:rPr>
        <w:t xml:space="preserve">. Summary of Key Issues and Actions Taken on Complaints </w:t>
      </w:r>
    </w:p>
    <w:p w14:paraId="034423FB" w14:textId="77777777" w:rsidR="000321B4" w:rsidRPr="008812EC" w:rsidRDefault="001B13E9" w:rsidP="0D3E1EDC">
      <w:pPr>
        <w:autoSpaceDE w:val="0"/>
        <w:autoSpaceDN w:val="0"/>
        <w:adjustRightInd w:val="0"/>
        <w:rPr>
          <w:rFonts w:asciiTheme="minorHAnsi" w:hAnsiTheme="minorHAnsi" w:cstheme="minorHAnsi"/>
          <w:lang w:val="en-US" w:eastAsia="en-US"/>
        </w:rPr>
      </w:pPr>
      <w:r w:rsidRPr="008812EC">
        <w:rPr>
          <w:rFonts w:asciiTheme="minorHAnsi" w:hAnsiTheme="minorHAnsi" w:cstheme="minorHAnsi"/>
          <w:lang w:val="en-US" w:eastAsia="en-US"/>
        </w:rPr>
        <w:t>Summarize</w:t>
      </w:r>
      <w:r w:rsidR="000321B4" w:rsidRPr="008812EC">
        <w:rPr>
          <w:rFonts w:asciiTheme="minorHAnsi" w:hAnsiTheme="minorHAnsi" w:cstheme="minorHAnsi"/>
          <w:lang w:val="en-US" w:eastAsia="en-US"/>
        </w:rPr>
        <w:t>:</w:t>
      </w:r>
    </w:p>
    <w:p w14:paraId="1157438D" w14:textId="5593C863" w:rsidR="00611D31" w:rsidRPr="008812EC" w:rsidRDefault="11D2DD46" w:rsidP="00B14D06">
      <w:pPr>
        <w:pStyle w:val="ListParagraph"/>
        <w:numPr>
          <w:ilvl w:val="0"/>
          <w:numId w:val="9"/>
        </w:numPr>
        <w:spacing w:after="0" w:line="240" w:lineRule="auto"/>
        <w:ind w:left="368" w:hanging="357"/>
        <w:rPr>
          <w:rFonts w:cstheme="minorHAnsi"/>
          <w:sz w:val="24"/>
          <w:szCs w:val="24"/>
          <w:lang w:val="en-US"/>
        </w:rPr>
      </w:pPr>
      <w:r w:rsidRPr="008812EC">
        <w:rPr>
          <w:rFonts w:cstheme="minorHAnsi"/>
          <w:sz w:val="24"/>
          <w:szCs w:val="24"/>
          <w:lang w:val="en-US"/>
        </w:rPr>
        <w:t xml:space="preserve">Issues raised by privacy complaints </w:t>
      </w:r>
      <w:r w:rsidR="3F6B8C83" w:rsidRPr="008812EC">
        <w:rPr>
          <w:rFonts w:cstheme="minorHAnsi"/>
          <w:sz w:val="24"/>
          <w:szCs w:val="24"/>
          <w:lang w:val="en-US"/>
        </w:rPr>
        <w:t xml:space="preserve">that </w:t>
      </w:r>
      <w:r w:rsidRPr="008812EC">
        <w:rPr>
          <w:rFonts w:cstheme="minorHAnsi"/>
          <w:sz w:val="24"/>
          <w:szCs w:val="24"/>
          <w:lang w:val="en-US"/>
        </w:rPr>
        <w:t>your institution received during the reporting period</w:t>
      </w:r>
    </w:p>
    <w:p w14:paraId="39BB7051" w14:textId="2CB93527" w:rsidR="001B13E9" w:rsidRPr="008812EC" w:rsidRDefault="006E067D" w:rsidP="00B14D06">
      <w:pPr>
        <w:pStyle w:val="ListParagraph"/>
        <w:numPr>
          <w:ilvl w:val="0"/>
          <w:numId w:val="9"/>
        </w:numPr>
        <w:spacing w:after="0" w:line="240" w:lineRule="auto"/>
        <w:ind w:left="368" w:hanging="357"/>
        <w:rPr>
          <w:rFonts w:cstheme="minorHAnsi"/>
          <w:sz w:val="24"/>
          <w:szCs w:val="24"/>
          <w:lang w:val="en-US"/>
        </w:rPr>
      </w:pPr>
      <w:r w:rsidRPr="008812EC">
        <w:rPr>
          <w:rFonts w:cstheme="minorHAnsi"/>
          <w:sz w:val="24"/>
          <w:szCs w:val="24"/>
          <w:lang w:val="en-US"/>
        </w:rPr>
        <w:lastRenderedPageBreak/>
        <w:t xml:space="preserve">What </w:t>
      </w:r>
      <w:r w:rsidR="009E196C" w:rsidRPr="008812EC">
        <w:rPr>
          <w:rFonts w:cstheme="minorHAnsi"/>
          <w:sz w:val="24"/>
          <w:szCs w:val="24"/>
          <w:lang w:val="en-US"/>
        </w:rPr>
        <w:t>a</w:t>
      </w:r>
      <w:r w:rsidR="001B13E9" w:rsidRPr="008812EC">
        <w:rPr>
          <w:rFonts w:cstheme="minorHAnsi"/>
          <w:sz w:val="24"/>
          <w:szCs w:val="24"/>
          <w:lang w:val="en-US"/>
        </w:rPr>
        <w:t xml:space="preserve">ctions </w:t>
      </w:r>
      <w:r w:rsidR="009E196C" w:rsidRPr="008812EC">
        <w:rPr>
          <w:rFonts w:cstheme="minorHAnsi"/>
          <w:sz w:val="24"/>
          <w:szCs w:val="24"/>
          <w:lang w:val="en-US"/>
        </w:rPr>
        <w:t>your institution took</w:t>
      </w:r>
      <w:r w:rsidR="001B13E9" w:rsidRPr="008812EC">
        <w:rPr>
          <w:rFonts w:cstheme="minorHAnsi"/>
          <w:sz w:val="24"/>
          <w:szCs w:val="24"/>
          <w:lang w:val="en-US"/>
        </w:rPr>
        <w:t xml:space="preserve"> </w:t>
      </w:r>
      <w:r w:rsidR="00021376" w:rsidRPr="008812EC">
        <w:rPr>
          <w:rFonts w:cstheme="minorHAnsi"/>
          <w:sz w:val="24"/>
          <w:szCs w:val="24"/>
          <w:lang w:val="en-US"/>
        </w:rPr>
        <w:t xml:space="preserve">during the reporting period </w:t>
      </w:r>
      <w:r w:rsidR="00611D31" w:rsidRPr="008812EC">
        <w:rPr>
          <w:rFonts w:cstheme="minorHAnsi"/>
          <w:sz w:val="24"/>
          <w:szCs w:val="24"/>
          <w:lang w:val="en-US"/>
        </w:rPr>
        <w:t>to resolve</w:t>
      </w:r>
      <w:r w:rsidR="001B13E9" w:rsidRPr="008812EC">
        <w:rPr>
          <w:rFonts w:cstheme="minorHAnsi"/>
          <w:sz w:val="24"/>
          <w:szCs w:val="24"/>
          <w:lang w:val="en-US"/>
        </w:rPr>
        <w:t xml:space="preserve"> privacy complaints</w:t>
      </w:r>
      <w:r w:rsidRPr="008812EC">
        <w:rPr>
          <w:rFonts w:cstheme="minorHAnsi"/>
          <w:sz w:val="24"/>
          <w:szCs w:val="24"/>
          <w:lang w:val="en-US"/>
        </w:rPr>
        <w:t>.</w:t>
      </w:r>
      <w:r w:rsidR="00611D31" w:rsidRPr="008812EC">
        <w:rPr>
          <w:rFonts w:cstheme="minorHAnsi"/>
          <w:sz w:val="24"/>
          <w:szCs w:val="24"/>
          <w:lang w:val="en-US"/>
        </w:rPr>
        <w:t xml:space="preserve"> (e.g. “conducted new searches”, “disclosed additional records”)</w:t>
      </w:r>
    </w:p>
    <w:p w14:paraId="1942736D" w14:textId="6D9D8C77" w:rsidR="0D3E1EDC" w:rsidRPr="008812EC" w:rsidRDefault="0D3E1EDC" w:rsidP="0D3E1EDC">
      <w:pPr>
        <w:rPr>
          <w:rFonts w:asciiTheme="minorHAnsi" w:eastAsia="Calibri" w:hAnsiTheme="minorHAnsi" w:cstheme="minorHAnsi"/>
          <w:lang w:val="en-US"/>
        </w:rPr>
      </w:pPr>
    </w:p>
    <w:p w14:paraId="66D0AE16" w14:textId="2806E43F" w:rsidR="001B13E9" w:rsidRPr="008812EC" w:rsidRDefault="001B13E9" w:rsidP="0D3E1EDC">
      <w:pPr>
        <w:autoSpaceDE w:val="0"/>
        <w:autoSpaceDN w:val="0"/>
        <w:adjustRightInd w:val="0"/>
        <w:rPr>
          <w:rFonts w:asciiTheme="minorHAnsi" w:hAnsiTheme="minorHAnsi" w:cstheme="minorHAnsi"/>
          <w:lang w:val="en-US" w:eastAsia="en-US"/>
        </w:rPr>
      </w:pPr>
      <w:r w:rsidRPr="008812EC">
        <w:rPr>
          <w:rFonts w:asciiTheme="minorHAnsi" w:hAnsiTheme="minorHAnsi" w:cstheme="minorHAnsi"/>
          <w:b/>
          <w:bCs/>
          <w:lang w:val="en-US" w:eastAsia="en-US"/>
        </w:rPr>
        <w:t>Note:</w:t>
      </w:r>
      <w:r w:rsidRPr="008812EC">
        <w:rPr>
          <w:rFonts w:asciiTheme="minorHAnsi" w:hAnsiTheme="minorHAnsi" w:cstheme="minorHAnsi"/>
          <w:lang w:val="en-US" w:eastAsia="en-US"/>
        </w:rPr>
        <w:t xml:space="preserve"> If no complaints were received </w:t>
      </w:r>
      <w:r w:rsidR="00021376" w:rsidRPr="008812EC">
        <w:rPr>
          <w:rFonts w:asciiTheme="minorHAnsi" w:hAnsiTheme="minorHAnsi" w:cstheme="minorHAnsi"/>
          <w:lang w:val="en-US" w:eastAsia="en-US"/>
        </w:rPr>
        <w:t>or</w:t>
      </w:r>
      <w:r w:rsidRPr="008812EC">
        <w:rPr>
          <w:rFonts w:asciiTheme="minorHAnsi" w:hAnsiTheme="minorHAnsi" w:cstheme="minorHAnsi"/>
          <w:lang w:val="en-US" w:eastAsia="en-US"/>
        </w:rPr>
        <w:t xml:space="preserve"> concluded during the reporting period, please include a statement to that effect.</w:t>
      </w:r>
    </w:p>
    <w:p w14:paraId="5E352009" w14:textId="759BE2F4" w:rsidR="0D3E1EDC" w:rsidRPr="008812EC" w:rsidRDefault="0D3E1EDC" w:rsidP="0D3E1EDC">
      <w:pPr>
        <w:rPr>
          <w:rFonts w:asciiTheme="minorHAnsi" w:hAnsiTheme="minorHAnsi" w:cstheme="minorHAnsi"/>
          <w:lang w:val="en-US" w:eastAsia="en-US"/>
        </w:rPr>
      </w:pPr>
    </w:p>
    <w:p w14:paraId="0C6F4252" w14:textId="77777777" w:rsidR="00FB02EB" w:rsidRPr="008812EC" w:rsidRDefault="00FB02EB" w:rsidP="0D3E1EDC">
      <w:pPr>
        <w:rPr>
          <w:rFonts w:asciiTheme="minorHAnsi" w:hAnsiTheme="minorHAnsi" w:cstheme="minorHAnsi"/>
          <w:lang w:val="en-US" w:eastAsia="en-US"/>
        </w:rPr>
      </w:pPr>
    </w:p>
    <w:p w14:paraId="797DEC39" w14:textId="5370A30C" w:rsidR="00717A1D" w:rsidRPr="008812EC" w:rsidRDefault="00717A1D" w:rsidP="0D3E1ED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-US" w:eastAsia="en-US"/>
        </w:rPr>
      </w:pPr>
      <w:r w:rsidRPr="008812EC">
        <w:rPr>
          <w:rFonts w:asciiTheme="minorHAnsi" w:hAnsiTheme="minorHAnsi" w:cstheme="minorHAnsi"/>
          <w:b/>
          <w:bCs/>
          <w:lang w:val="en-US" w:eastAsia="en-US"/>
        </w:rPr>
        <w:t>B9. Material Privacy Breaches</w:t>
      </w:r>
    </w:p>
    <w:p w14:paraId="2B1DD3F4" w14:textId="77777777" w:rsidR="00A11AF0" w:rsidRPr="008812EC" w:rsidRDefault="00E56FA7" w:rsidP="00B14D06">
      <w:pPr>
        <w:pStyle w:val="ListParagraph"/>
        <w:numPr>
          <w:ilvl w:val="0"/>
          <w:numId w:val="11"/>
        </w:numPr>
        <w:spacing w:after="160" w:line="240" w:lineRule="auto"/>
        <w:ind w:left="368" w:hanging="357"/>
        <w:rPr>
          <w:rFonts w:cstheme="minorHAnsi"/>
          <w:sz w:val="24"/>
          <w:szCs w:val="24"/>
          <w:lang w:val="en-US"/>
        </w:rPr>
      </w:pPr>
      <w:r w:rsidRPr="008812EC">
        <w:rPr>
          <w:rFonts w:cstheme="minorHAnsi"/>
          <w:sz w:val="24"/>
          <w:szCs w:val="24"/>
        </w:rPr>
        <w:t xml:space="preserve">Indicate the number of </w:t>
      </w:r>
      <w:r w:rsidR="004865E4" w:rsidRPr="008812EC">
        <w:rPr>
          <w:rFonts w:cstheme="minorHAnsi"/>
          <w:sz w:val="24"/>
          <w:szCs w:val="24"/>
          <w:lang w:val="en-US"/>
        </w:rPr>
        <w:t xml:space="preserve">material privacy breaches that </w:t>
      </w:r>
      <w:r w:rsidR="00A7751B" w:rsidRPr="008812EC">
        <w:rPr>
          <w:rFonts w:cstheme="minorHAnsi"/>
          <w:sz w:val="24"/>
          <w:szCs w:val="24"/>
          <w:lang w:val="en-US"/>
        </w:rPr>
        <w:t xml:space="preserve">were reported to the Office of the Privacy Commissioner and to the </w:t>
      </w:r>
      <w:r w:rsidR="006C6CFE" w:rsidRPr="008812EC">
        <w:rPr>
          <w:rFonts w:cstheme="minorHAnsi"/>
          <w:sz w:val="24"/>
          <w:szCs w:val="24"/>
          <w:lang w:val="en-US"/>
        </w:rPr>
        <w:t>Treasury Board of Canada Secretariat (</w:t>
      </w:r>
      <w:r w:rsidR="00A11AF0" w:rsidRPr="008812EC">
        <w:rPr>
          <w:rFonts w:cstheme="minorHAnsi"/>
          <w:sz w:val="24"/>
          <w:szCs w:val="24"/>
          <w:lang w:val="en-US"/>
        </w:rPr>
        <w:t>Privacy and Data Protection Division</w:t>
      </w:r>
      <w:r w:rsidR="006C6CFE" w:rsidRPr="008812EC">
        <w:rPr>
          <w:rFonts w:cstheme="minorHAnsi"/>
          <w:sz w:val="24"/>
          <w:szCs w:val="24"/>
          <w:lang w:val="en-US"/>
        </w:rPr>
        <w:t>)</w:t>
      </w:r>
      <w:r w:rsidR="00C43051" w:rsidRPr="008812EC">
        <w:rPr>
          <w:rFonts w:cstheme="minorHAnsi"/>
          <w:sz w:val="24"/>
          <w:szCs w:val="24"/>
          <w:lang w:val="en-US"/>
        </w:rPr>
        <w:t xml:space="preserve"> </w:t>
      </w:r>
      <w:r w:rsidR="004865E4" w:rsidRPr="008812EC">
        <w:rPr>
          <w:rFonts w:cstheme="minorHAnsi"/>
          <w:sz w:val="24"/>
          <w:szCs w:val="24"/>
          <w:lang w:val="en-US"/>
        </w:rPr>
        <w:t>during the reporting period</w:t>
      </w:r>
    </w:p>
    <w:p w14:paraId="1C991D86" w14:textId="5264D027" w:rsidR="00A11AF0" w:rsidRPr="008812EC" w:rsidRDefault="00A11AF0" w:rsidP="00B14D06">
      <w:pPr>
        <w:pStyle w:val="ListParagraph"/>
        <w:numPr>
          <w:ilvl w:val="0"/>
          <w:numId w:val="11"/>
        </w:numPr>
        <w:spacing w:after="160" w:line="240" w:lineRule="auto"/>
        <w:ind w:left="368" w:hanging="357"/>
        <w:rPr>
          <w:rFonts w:cstheme="minorHAnsi"/>
          <w:sz w:val="24"/>
          <w:szCs w:val="24"/>
          <w:lang w:val="en-US"/>
        </w:rPr>
      </w:pPr>
      <w:r w:rsidRPr="008812EC">
        <w:rPr>
          <w:rFonts w:cstheme="minorHAnsi"/>
          <w:sz w:val="24"/>
          <w:szCs w:val="24"/>
          <w:lang w:val="en-US"/>
        </w:rPr>
        <w:t>Describe the nature of</w:t>
      </w:r>
      <w:r w:rsidR="00E56FA7" w:rsidRPr="008812EC">
        <w:rPr>
          <w:rFonts w:cstheme="minorHAnsi"/>
          <w:sz w:val="24"/>
          <w:szCs w:val="24"/>
          <w:lang w:val="en-US"/>
        </w:rPr>
        <w:t xml:space="preserve"> the </w:t>
      </w:r>
      <w:r w:rsidRPr="008812EC">
        <w:rPr>
          <w:rFonts w:cstheme="minorHAnsi"/>
          <w:sz w:val="24"/>
          <w:szCs w:val="24"/>
          <w:lang w:val="en-US"/>
        </w:rPr>
        <w:t xml:space="preserve">material privacy </w:t>
      </w:r>
      <w:r w:rsidR="00E56FA7" w:rsidRPr="008812EC">
        <w:rPr>
          <w:rFonts w:cstheme="minorHAnsi"/>
          <w:sz w:val="24"/>
          <w:szCs w:val="24"/>
          <w:lang w:val="en-US"/>
        </w:rPr>
        <w:t>breaches</w:t>
      </w:r>
      <w:r w:rsidRPr="008812EC">
        <w:rPr>
          <w:rFonts w:cstheme="minorHAnsi"/>
          <w:sz w:val="24"/>
          <w:szCs w:val="24"/>
          <w:lang w:val="en-US"/>
        </w:rPr>
        <w:t xml:space="preserve"> that occurred</w:t>
      </w:r>
    </w:p>
    <w:p w14:paraId="6B8B34A5" w14:textId="0E8D86CC" w:rsidR="004865E4" w:rsidRPr="008812EC" w:rsidRDefault="00A11AF0" w:rsidP="00B14D06">
      <w:pPr>
        <w:pStyle w:val="ListParagraph"/>
        <w:numPr>
          <w:ilvl w:val="0"/>
          <w:numId w:val="11"/>
        </w:numPr>
        <w:spacing w:after="0" w:line="240" w:lineRule="auto"/>
        <w:ind w:left="368" w:hanging="357"/>
        <w:rPr>
          <w:rFonts w:cstheme="minorHAnsi"/>
          <w:sz w:val="24"/>
          <w:szCs w:val="24"/>
          <w:lang w:val="en-US"/>
        </w:rPr>
      </w:pPr>
      <w:r w:rsidRPr="008812EC">
        <w:rPr>
          <w:rFonts w:cstheme="minorHAnsi"/>
          <w:sz w:val="24"/>
          <w:szCs w:val="24"/>
          <w:lang w:val="en-US"/>
        </w:rPr>
        <w:t xml:space="preserve">Summarize </w:t>
      </w:r>
      <w:r w:rsidR="00EB3E3F" w:rsidRPr="008812EC">
        <w:rPr>
          <w:rFonts w:cstheme="minorHAnsi"/>
          <w:sz w:val="24"/>
          <w:szCs w:val="24"/>
          <w:lang w:val="en-US"/>
        </w:rPr>
        <w:t xml:space="preserve">the </w:t>
      </w:r>
      <w:r w:rsidR="00E56FA7" w:rsidRPr="008812EC">
        <w:rPr>
          <w:rFonts w:cstheme="minorHAnsi"/>
          <w:sz w:val="24"/>
          <w:szCs w:val="24"/>
          <w:lang w:val="en-US"/>
        </w:rPr>
        <w:t xml:space="preserve">actions </w:t>
      </w:r>
      <w:r w:rsidR="004865E4" w:rsidRPr="008812EC">
        <w:rPr>
          <w:rFonts w:cstheme="minorHAnsi"/>
          <w:sz w:val="24"/>
          <w:szCs w:val="24"/>
          <w:lang w:val="en-US"/>
        </w:rPr>
        <w:t xml:space="preserve">taken </w:t>
      </w:r>
      <w:r w:rsidR="00606AE4">
        <w:rPr>
          <w:rFonts w:cstheme="minorHAnsi"/>
          <w:sz w:val="24"/>
          <w:szCs w:val="24"/>
          <w:lang w:val="en-US"/>
        </w:rPr>
        <w:t>in response to</w:t>
      </w:r>
      <w:r w:rsidRPr="008812EC">
        <w:rPr>
          <w:rFonts w:cstheme="minorHAnsi"/>
          <w:sz w:val="24"/>
          <w:szCs w:val="24"/>
          <w:lang w:val="en-US"/>
        </w:rPr>
        <w:t xml:space="preserve"> these breaches</w:t>
      </w:r>
    </w:p>
    <w:p w14:paraId="1021B1C2" w14:textId="32E99005" w:rsidR="0D3E1EDC" w:rsidRPr="008812EC" w:rsidRDefault="0D3E1EDC" w:rsidP="0D3E1EDC">
      <w:pPr>
        <w:rPr>
          <w:rFonts w:asciiTheme="minorHAnsi" w:eastAsia="Calibri" w:hAnsiTheme="minorHAnsi" w:cstheme="minorHAnsi"/>
          <w:lang w:val="en-US"/>
        </w:rPr>
      </w:pPr>
    </w:p>
    <w:p w14:paraId="27287CE0" w14:textId="54AA6F0B" w:rsidR="00C200E6" w:rsidRPr="008812EC" w:rsidRDefault="00C200E6" w:rsidP="0D3E1EDC">
      <w:pPr>
        <w:autoSpaceDE w:val="0"/>
        <w:autoSpaceDN w:val="0"/>
        <w:adjustRightInd w:val="0"/>
        <w:rPr>
          <w:rFonts w:asciiTheme="minorHAnsi" w:hAnsiTheme="minorHAnsi" w:cstheme="minorHAnsi"/>
          <w:lang w:val="en-US" w:eastAsia="en-US"/>
        </w:rPr>
      </w:pPr>
      <w:r w:rsidRPr="008812EC">
        <w:rPr>
          <w:rFonts w:asciiTheme="minorHAnsi" w:hAnsiTheme="minorHAnsi" w:cstheme="minorHAnsi"/>
          <w:b/>
          <w:bCs/>
          <w:lang w:val="en-US" w:eastAsia="en-US"/>
        </w:rPr>
        <w:t>Note:</w:t>
      </w:r>
      <w:r w:rsidRPr="008812EC">
        <w:rPr>
          <w:rFonts w:asciiTheme="minorHAnsi" w:hAnsiTheme="minorHAnsi" w:cstheme="minorHAnsi"/>
          <w:lang w:val="en-US" w:eastAsia="en-US"/>
        </w:rPr>
        <w:t xml:space="preserve"> If no material privacy breaches </w:t>
      </w:r>
      <w:r w:rsidR="00A7751B" w:rsidRPr="008812EC">
        <w:rPr>
          <w:rFonts w:asciiTheme="minorHAnsi" w:hAnsiTheme="minorHAnsi" w:cstheme="minorHAnsi"/>
          <w:lang w:val="en-US" w:eastAsia="en-US"/>
        </w:rPr>
        <w:t xml:space="preserve">were reported to the Office of the Privacy Commissioner and to </w:t>
      </w:r>
      <w:r w:rsidR="00B05D76" w:rsidRPr="008812EC">
        <w:rPr>
          <w:rFonts w:asciiTheme="minorHAnsi" w:hAnsiTheme="minorHAnsi" w:cstheme="minorHAnsi"/>
          <w:lang w:val="en-US" w:eastAsia="en-US"/>
        </w:rPr>
        <w:t>Treasury Board of Canada Secretariat (</w:t>
      </w:r>
      <w:r w:rsidR="00A11AF0" w:rsidRPr="008812EC">
        <w:rPr>
          <w:rFonts w:asciiTheme="minorHAnsi" w:hAnsiTheme="minorHAnsi" w:cstheme="minorHAnsi"/>
          <w:lang w:val="en-US" w:eastAsia="en-US"/>
        </w:rPr>
        <w:t xml:space="preserve">Privacy and </w:t>
      </w:r>
      <w:r w:rsidR="1CE8A299" w:rsidRPr="008812EC">
        <w:rPr>
          <w:rFonts w:asciiTheme="minorHAnsi" w:hAnsiTheme="minorHAnsi" w:cstheme="minorHAnsi"/>
          <w:lang w:val="en-US" w:eastAsia="en-US"/>
        </w:rPr>
        <w:t>Responsible Data</w:t>
      </w:r>
      <w:r w:rsidR="00A11AF0" w:rsidRPr="008812EC">
        <w:rPr>
          <w:rFonts w:asciiTheme="minorHAnsi" w:hAnsiTheme="minorHAnsi" w:cstheme="minorHAnsi"/>
          <w:lang w:val="en-US" w:eastAsia="en-US"/>
        </w:rPr>
        <w:t xml:space="preserve"> Division</w:t>
      </w:r>
      <w:r w:rsidR="00B05D76" w:rsidRPr="008812EC">
        <w:rPr>
          <w:rFonts w:asciiTheme="minorHAnsi" w:hAnsiTheme="minorHAnsi" w:cstheme="minorHAnsi"/>
          <w:lang w:val="en-US" w:eastAsia="en-US"/>
        </w:rPr>
        <w:t xml:space="preserve">) </w:t>
      </w:r>
      <w:r w:rsidRPr="008812EC">
        <w:rPr>
          <w:rFonts w:asciiTheme="minorHAnsi" w:hAnsiTheme="minorHAnsi" w:cstheme="minorHAnsi"/>
          <w:lang w:val="en-US" w:eastAsia="en-US"/>
        </w:rPr>
        <w:t xml:space="preserve">during the reporting period, </w:t>
      </w:r>
      <w:r w:rsidR="00E35B2B" w:rsidRPr="008812EC">
        <w:rPr>
          <w:rFonts w:asciiTheme="minorHAnsi" w:hAnsiTheme="minorHAnsi" w:cstheme="minorHAnsi"/>
          <w:lang w:val="en-US" w:eastAsia="en-US"/>
        </w:rPr>
        <w:t>please include a statement to that effect</w:t>
      </w:r>
      <w:r w:rsidRPr="008812EC">
        <w:rPr>
          <w:rFonts w:asciiTheme="minorHAnsi" w:hAnsiTheme="minorHAnsi" w:cstheme="minorHAnsi"/>
          <w:lang w:val="en-US" w:eastAsia="en-US"/>
        </w:rPr>
        <w:t>.</w:t>
      </w:r>
    </w:p>
    <w:p w14:paraId="492722B6" w14:textId="353F342D" w:rsidR="0D3E1EDC" w:rsidRPr="008812EC" w:rsidRDefault="0D3E1EDC" w:rsidP="0D3E1EDC">
      <w:pPr>
        <w:rPr>
          <w:rFonts w:asciiTheme="minorHAnsi" w:hAnsiTheme="minorHAnsi" w:cstheme="minorHAnsi"/>
          <w:lang w:val="en-US" w:eastAsia="en-US"/>
        </w:rPr>
      </w:pPr>
    </w:p>
    <w:p w14:paraId="45FA13A2" w14:textId="77777777" w:rsidR="00FB02EB" w:rsidRPr="008812EC" w:rsidRDefault="00FB02EB" w:rsidP="0D3E1EDC">
      <w:pPr>
        <w:rPr>
          <w:rFonts w:asciiTheme="minorHAnsi" w:hAnsiTheme="minorHAnsi" w:cstheme="minorHAnsi"/>
          <w:lang w:val="en-US" w:eastAsia="en-US"/>
        </w:rPr>
      </w:pPr>
    </w:p>
    <w:p w14:paraId="67AEBE38" w14:textId="5B7E0B40" w:rsidR="00717A1D" w:rsidRPr="008812EC" w:rsidRDefault="00717A1D" w:rsidP="0D3E1ED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-US" w:eastAsia="en-US"/>
        </w:rPr>
      </w:pPr>
      <w:r w:rsidRPr="008812EC">
        <w:rPr>
          <w:rFonts w:asciiTheme="minorHAnsi" w:hAnsiTheme="minorHAnsi" w:cstheme="minorHAnsi"/>
          <w:b/>
          <w:bCs/>
          <w:lang w:val="en-US" w:eastAsia="en-US"/>
        </w:rPr>
        <w:t>B10. Privacy Impact Assessments</w:t>
      </w:r>
    </w:p>
    <w:p w14:paraId="60E653DE" w14:textId="6C7027E2" w:rsidR="00827467" w:rsidRPr="008812EC" w:rsidRDefault="001B13E9" w:rsidP="4136635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368" w:hanging="357"/>
        <w:rPr>
          <w:sz w:val="24"/>
          <w:szCs w:val="24"/>
          <w:lang w:val="en-US"/>
        </w:rPr>
      </w:pPr>
      <w:r w:rsidRPr="4136635F">
        <w:rPr>
          <w:sz w:val="24"/>
          <w:szCs w:val="24"/>
          <w:lang w:val="en-US"/>
        </w:rPr>
        <w:t xml:space="preserve">Provide a brief description of </w:t>
      </w:r>
      <w:r w:rsidR="007947BE" w:rsidRPr="4136635F">
        <w:rPr>
          <w:sz w:val="24"/>
          <w:szCs w:val="24"/>
          <w:lang w:val="en-US"/>
        </w:rPr>
        <w:t>the new or substantially modified program</w:t>
      </w:r>
      <w:r w:rsidR="002539A5" w:rsidRPr="4136635F">
        <w:rPr>
          <w:sz w:val="24"/>
          <w:szCs w:val="24"/>
          <w:lang w:val="en-US"/>
        </w:rPr>
        <w:t>s</w:t>
      </w:r>
      <w:r w:rsidR="007947BE" w:rsidRPr="4136635F">
        <w:rPr>
          <w:sz w:val="24"/>
          <w:szCs w:val="24"/>
          <w:lang w:val="en-US"/>
        </w:rPr>
        <w:t xml:space="preserve"> or activit</w:t>
      </w:r>
      <w:r w:rsidR="002539A5" w:rsidRPr="4136635F">
        <w:rPr>
          <w:sz w:val="24"/>
          <w:szCs w:val="24"/>
          <w:lang w:val="en-US"/>
        </w:rPr>
        <w:t>ies</w:t>
      </w:r>
      <w:r w:rsidR="007947BE" w:rsidRPr="4136635F">
        <w:rPr>
          <w:sz w:val="24"/>
          <w:szCs w:val="24"/>
          <w:lang w:val="en-US"/>
        </w:rPr>
        <w:t xml:space="preserve"> </w:t>
      </w:r>
      <w:r w:rsidR="00323534" w:rsidRPr="4136635F">
        <w:rPr>
          <w:sz w:val="24"/>
          <w:szCs w:val="24"/>
          <w:lang w:val="en-US"/>
        </w:rPr>
        <w:t>for which</w:t>
      </w:r>
      <w:r w:rsidRPr="4136635F">
        <w:rPr>
          <w:sz w:val="24"/>
          <w:szCs w:val="24"/>
          <w:lang w:val="en-US"/>
        </w:rPr>
        <w:t xml:space="preserve"> Privacy Impact Assessment</w:t>
      </w:r>
      <w:r w:rsidR="009A0762" w:rsidRPr="4136635F">
        <w:rPr>
          <w:sz w:val="24"/>
          <w:szCs w:val="24"/>
          <w:lang w:val="en-US"/>
        </w:rPr>
        <w:t>s</w:t>
      </w:r>
      <w:r w:rsidRPr="4136635F">
        <w:rPr>
          <w:sz w:val="24"/>
          <w:szCs w:val="24"/>
          <w:lang w:val="en-US"/>
        </w:rPr>
        <w:t xml:space="preserve"> (PIA) </w:t>
      </w:r>
      <w:r w:rsidR="009A0762" w:rsidRPr="4136635F">
        <w:rPr>
          <w:sz w:val="24"/>
          <w:szCs w:val="24"/>
          <w:lang w:val="en-US"/>
        </w:rPr>
        <w:t xml:space="preserve">were </w:t>
      </w:r>
      <w:r w:rsidRPr="4136635F">
        <w:rPr>
          <w:sz w:val="24"/>
          <w:szCs w:val="24"/>
          <w:lang w:val="en-US"/>
        </w:rPr>
        <w:t>completed during the reporting period</w:t>
      </w:r>
      <w:r w:rsidR="001960E7" w:rsidRPr="4136635F">
        <w:rPr>
          <w:sz w:val="24"/>
          <w:szCs w:val="24"/>
          <w:lang w:val="en-US"/>
        </w:rPr>
        <w:t xml:space="preserve">, as defined in the </w:t>
      </w:r>
      <w:r w:rsidR="00FF086D" w:rsidRPr="4136635F">
        <w:rPr>
          <w:sz w:val="24"/>
          <w:szCs w:val="24"/>
          <w:lang w:val="en-US"/>
        </w:rPr>
        <w:t xml:space="preserve">Standard </w:t>
      </w:r>
      <w:r w:rsidR="001960E7" w:rsidRPr="4136635F">
        <w:rPr>
          <w:sz w:val="24"/>
          <w:szCs w:val="24"/>
          <w:lang w:val="en-US"/>
        </w:rPr>
        <w:t>on Privacy Impact Assessment.</w:t>
      </w:r>
    </w:p>
    <w:p w14:paraId="71C356C1" w14:textId="48AC3E9E" w:rsidR="001B13E9" w:rsidRPr="008812EC" w:rsidRDefault="00827467" w:rsidP="00B14D0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368" w:hanging="357"/>
        <w:rPr>
          <w:rFonts w:cstheme="minorHAnsi"/>
          <w:sz w:val="24"/>
          <w:szCs w:val="24"/>
          <w:lang w:val="en-US"/>
        </w:rPr>
      </w:pPr>
      <w:r w:rsidRPr="008812EC">
        <w:rPr>
          <w:rFonts w:cstheme="minorHAnsi"/>
          <w:sz w:val="24"/>
          <w:szCs w:val="24"/>
          <w:lang w:val="en-US"/>
        </w:rPr>
        <w:t>I</w:t>
      </w:r>
      <w:r w:rsidR="001B13E9" w:rsidRPr="008812EC">
        <w:rPr>
          <w:rFonts w:cstheme="minorHAnsi"/>
          <w:sz w:val="24"/>
          <w:szCs w:val="24"/>
          <w:lang w:val="en-US"/>
        </w:rPr>
        <w:t xml:space="preserve">nclude </w:t>
      </w:r>
      <w:r w:rsidRPr="008812EC">
        <w:rPr>
          <w:rFonts w:cstheme="minorHAnsi"/>
          <w:sz w:val="24"/>
          <w:szCs w:val="24"/>
          <w:lang w:val="en-US"/>
        </w:rPr>
        <w:t xml:space="preserve">a </w:t>
      </w:r>
      <w:r w:rsidR="001B13E9" w:rsidRPr="008812EC">
        <w:rPr>
          <w:rFonts w:cstheme="minorHAnsi"/>
          <w:sz w:val="24"/>
          <w:szCs w:val="24"/>
          <w:lang w:val="en-US"/>
        </w:rPr>
        <w:t xml:space="preserve">hyperlink to </w:t>
      </w:r>
      <w:r w:rsidR="00216C3B" w:rsidRPr="008812EC">
        <w:rPr>
          <w:rFonts w:cstheme="minorHAnsi"/>
          <w:sz w:val="24"/>
          <w:szCs w:val="24"/>
          <w:lang w:val="en-US"/>
        </w:rPr>
        <w:t>your institution</w:t>
      </w:r>
      <w:r w:rsidR="006953A4">
        <w:rPr>
          <w:rFonts w:cstheme="minorHAnsi"/>
          <w:sz w:val="24"/>
          <w:szCs w:val="24"/>
          <w:lang w:val="en-US"/>
        </w:rPr>
        <w:t>’</w:t>
      </w:r>
      <w:r w:rsidR="00216C3B" w:rsidRPr="008812EC">
        <w:rPr>
          <w:rFonts w:cstheme="minorHAnsi"/>
          <w:sz w:val="24"/>
          <w:szCs w:val="24"/>
          <w:lang w:val="en-US"/>
        </w:rPr>
        <w:t xml:space="preserve">s </w:t>
      </w:r>
      <w:r w:rsidR="00DE0322" w:rsidRPr="008812EC">
        <w:rPr>
          <w:rFonts w:cstheme="minorHAnsi"/>
          <w:sz w:val="24"/>
          <w:szCs w:val="24"/>
          <w:lang w:val="en-US"/>
        </w:rPr>
        <w:t xml:space="preserve">PIA </w:t>
      </w:r>
      <w:r w:rsidR="006044D7" w:rsidRPr="008812EC">
        <w:rPr>
          <w:rFonts w:cstheme="minorHAnsi"/>
          <w:sz w:val="24"/>
          <w:szCs w:val="24"/>
          <w:lang w:val="en-US"/>
        </w:rPr>
        <w:t>website</w:t>
      </w:r>
      <w:r w:rsidR="001B13E9" w:rsidRPr="008812EC">
        <w:rPr>
          <w:rFonts w:cstheme="minorHAnsi"/>
          <w:sz w:val="24"/>
          <w:szCs w:val="24"/>
          <w:lang w:val="en-US"/>
        </w:rPr>
        <w:t>.</w:t>
      </w:r>
    </w:p>
    <w:p w14:paraId="562BFD68" w14:textId="21440D59" w:rsidR="0D3E1EDC" w:rsidRPr="008812EC" w:rsidRDefault="0D3E1EDC" w:rsidP="0D3E1EDC">
      <w:pPr>
        <w:rPr>
          <w:rFonts w:asciiTheme="minorHAnsi" w:eastAsia="Calibri" w:hAnsiTheme="minorHAnsi" w:cstheme="minorHAnsi"/>
          <w:lang w:val="en-US"/>
        </w:rPr>
      </w:pPr>
    </w:p>
    <w:p w14:paraId="6DE413D6" w14:textId="77777777" w:rsidR="001B13E9" w:rsidRPr="008812EC" w:rsidRDefault="001B13E9" w:rsidP="0D3E1EDC">
      <w:pPr>
        <w:autoSpaceDE w:val="0"/>
        <w:autoSpaceDN w:val="0"/>
        <w:adjustRightInd w:val="0"/>
        <w:rPr>
          <w:rFonts w:asciiTheme="minorHAnsi" w:hAnsiTheme="minorHAnsi" w:cstheme="minorHAnsi"/>
          <w:lang w:val="en-US" w:eastAsia="en-US"/>
        </w:rPr>
      </w:pPr>
      <w:r w:rsidRPr="008812EC">
        <w:rPr>
          <w:rFonts w:asciiTheme="minorHAnsi" w:hAnsiTheme="minorHAnsi" w:cstheme="minorHAnsi"/>
          <w:b/>
          <w:bCs/>
          <w:lang w:val="en-US" w:eastAsia="en-US"/>
        </w:rPr>
        <w:t>Note:</w:t>
      </w:r>
      <w:r w:rsidRPr="008812EC">
        <w:rPr>
          <w:rFonts w:asciiTheme="minorHAnsi" w:hAnsiTheme="minorHAnsi" w:cstheme="minorHAnsi"/>
          <w:lang w:val="en-US" w:eastAsia="en-US"/>
        </w:rPr>
        <w:t xml:space="preserve"> If your institution did not complete any PIAs during the reporting period, please include a statement to that effect.</w:t>
      </w:r>
    </w:p>
    <w:p w14:paraId="6F433CC1" w14:textId="7BA3BA43" w:rsidR="0D3E1EDC" w:rsidRPr="008812EC" w:rsidRDefault="0D3E1EDC" w:rsidP="0D3E1EDC">
      <w:pPr>
        <w:rPr>
          <w:rFonts w:asciiTheme="minorHAnsi" w:hAnsiTheme="minorHAnsi" w:cstheme="minorHAnsi"/>
          <w:lang w:val="en-US" w:eastAsia="en-US"/>
        </w:rPr>
      </w:pPr>
    </w:p>
    <w:p w14:paraId="376AB160" w14:textId="77777777" w:rsidR="00FB02EB" w:rsidRPr="008812EC" w:rsidRDefault="00FB02EB" w:rsidP="0D3E1EDC">
      <w:pPr>
        <w:rPr>
          <w:rFonts w:asciiTheme="minorHAnsi" w:hAnsiTheme="minorHAnsi" w:cstheme="minorHAnsi"/>
          <w:lang w:val="en-US" w:eastAsia="en-US"/>
        </w:rPr>
      </w:pPr>
    </w:p>
    <w:p w14:paraId="67FF799C" w14:textId="389324A0" w:rsidR="00717A1D" w:rsidRPr="008812EC" w:rsidRDefault="00717A1D" w:rsidP="0D3E1ED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-US" w:eastAsia="en-US"/>
        </w:rPr>
      </w:pPr>
      <w:r w:rsidRPr="008812EC">
        <w:rPr>
          <w:rFonts w:asciiTheme="minorHAnsi" w:hAnsiTheme="minorHAnsi" w:cstheme="minorHAnsi"/>
          <w:b/>
          <w:bCs/>
          <w:lang w:val="en-US" w:eastAsia="en-US"/>
        </w:rPr>
        <w:t>B11. Public Interest Disclosures</w:t>
      </w:r>
    </w:p>
    <w:p w14:paraId="1149F55F" w14:textId="0F9A2D1A" w:rsidR="001B13E9" w:rsidRPr="008812EC" w:rsidRDefault="001B13E9" w:rsidP="0D3E1EDC">
      <w:pPr>
        <w:autoSpaceDE w:val="0"/>
        <w:autoSpaceDN w:val="0"/>
        <w:adjustRightInd w:val="0"/>
        <w:rPr>
          <w:rFonts w:asciiTheme="minorHAnsi" w:hAnsiTheme="minorHAnsi" w:cstheme="minorHAnsi"/>
          <w:lang w:val="en-US" w:eastAsia="en-US"/>
        </w:rPr>
      </w:pPr>
      <w:bookmarkStart w:id="11" w:name="_Hlk94182835"/>
      <w:r w:rsidRPr="008812EC">
        <w:rPr>
          <w:rFonts w:asciiTheme="minorHAnsi" w:hAnsiTheme="minorHAnsi" w:cstheme="minorHAnsi"/>
          <w:lang w:val="en-US" w:eastAsia="en-US"/>
        </w:rPr>
        <w:t>Provide the following information regarding disclosures made during the reporting period pursuant to paragraph 8(2)(</w:t>
      </w:r>
      <w:r w:rsidRPr="008812EC">
        <w:rPr>
          <w:rFonts w:asciiTheme="minorHAnsi" w:hAnsiTheme="minorHAnsi" w:cstheme="minorHAnsi"/>
          <w:i/>
          <w:iCs/>
          <w:lang w:val="en-US" w:eastAsia="en-US"/>
        </w:rPr>
        <w:t>m</w:t>
      </w:r>
      <w:r w:rsidRPr="008812EC">
        <w:rPr>
          <w:rFonts w:asciiTheme="minorHAnsi" w:hAnsiTheme="minorHAnsi" w:cstheme="minorHAnsi"/>
          <w:lang w:val="en-US" w:eastAsia="en-US"/>
        </w:rPr>
        <w:t xml:space="preserve">) of the </w:t>
      </w:r>
      <w:r w:rsidRPr="008812EC">
        <w:rPr>
          <w:rFonts w:asciiTheme="minorHAnsi" w:hAnsiTheme="minorHAnsi" w:cstheme="minorHAnsi"/>
          <w:i/>
          <w:iCs/>
          <w:lang w:val="en-US" w:eastAsia="en-US"/>
        </w:rPr>
        <w:t>Privacy Act</w:t>
      </w:r>
      <w:r w:rsidRPr="008812EC">
        <w:rPr>
          <w:rFonts w:asciiTheme="minorHAnsi" w:hAnsiTheme="minorHAnsi" w:cstheme="minorHAnsi"/>
          <w:lang w:val="en-US" w:eastAsia="en-US"/>
        </w:rPr>
        <w:t xml:space="preserve"> (</w:t>
      </w:r>
      <w:r w:rsidR="00A72859" w:rsidRPr="008812EC">
        <w:rPr>
          <w:rFonts w:asciiTheme="minorHAnsi" w:hAnsiTheme="minorHAnsi" w:cstheme="minorHAnsi"/>
          <w:lang w:val="en-US" w:eastAsia="en-US"/>
        </w:rPr>
        <w:t>discretion</w:t>
      </w:r>
      <w:r w:rsidRPr="008812EC">
        <w:rPr>
          <w:rFonts w:asciiTheme="minorHAnsi" w:hAnsiTheme="minorHAnsi" w:cstheme="minorHAnsi"/>
          <w:lang w:val="en-US" w:eastAsia="en-US"/>
        </w:rPr>
        <w:t xml:space="preserve"> of the head of the institution to disclose personal information that is considered to be in the public interest):</w:t>
      </w:r>
    </w:p>
    <w:p w14:paraId="3B9EB476" w14:textId="77777777" w:rsidR="00F701F6" w:rsidRPr="008812EC" w:rsidRDefault="00F701F6" w:rsidP="00B14D0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368" w:hanging="357"/>
        <w:rPr>
          <w:rFonts w:cstheme="minorHAnsi"/>
          <w:sz w:val="24"/>
          <w:szCs w:val="24"/>
          <w:lang w:val="en-US"/>
        </w:rPr>
      </w:pPr>
      <w:r w:rsidRPr="008812EC">
        <w:rPr>
          <w:rFonts w:cstheme="minorHAnsi"/>
          <w:sz w:val="24"/>
          <w:szCs w:val="24"/>
          <w:lang w:val="en-US"/>
        </w:rPr>
        <w:t>The number of disclosures</w:t>
      </w:r>
    </w:p>
    <w:p w14:paraId="0C11D6E2" w14:textId="143BAD27" w:rsidR="00F701F6" w:rsidRPr="008812EC" w:rsidRDefault="00F701F6" w:rsidP="00B14D06">
      <w:pPr>
        <w:pStyle w:val="ListParagraph"/>
        <w:numPr>
          <w:ilvl w:val="1"/>
          <w:numId w:val="2"/>
        </w:numPr>
        <w:spacing w:after="0" w:line="240" w:lineRule="auto"/>
        <w:ind w:left="368" w:hanging="357"/>
        <w:rPr>
          <w:rFonts w:cstheme="minorHAnsi"/>
          <w:sz w:val="24"/>
          <w:szCs w:val="24"/>
          <w:lang w:val="en-US"/>
        </w:rPr>
      </w:pPr>
      <w:r w:rsidRPr="008812EC">
        <w:rPr>
          <w:rFonts w:cstheme="minorHAnsi"/>
          <w:sz w:val="24"/>
          <w:szCs w:val="24"/>
          <w:lang w:val="en-US"/>
        </w:rPr>
        <w:t>The nature of those disclosures</w:t>
      </w:r>
      <w:r w:rsidR="003D796F" w:rsidRPr="008812EC">
        <w:rPr>
          <w:rFonts w:cstheme="minorHAnsi"/>
          <w:sz w:val="24"/>
          <w:szCs w:val="24"/>
          <w:lang w:val="en-US"/>
        </w:rPr>
        <w:t>:</w:t>
      </w:r>
      <w:r w:rsidR="00B82607" w:rsidRPr="008812EC">
        <w:rPr>
          <w:rFonts w:cstheme="minorHAnsi"/>
          <w:sz w:val="24"/>
          <w:szCs w:val="24"/>
          <w:lang w:val="en-US"/>
        </w:rPr>
        <w:t xml:space="preserve"> </w:t>
      </w:r>
      <w:r w:rsidRPr="008812EC">
        <w:rPr>
          <w:rFonts w:cstheme="minorHAnsi"/>
          <w:sz w:val="24"/>
          <w:szCs w:val="24"/>
          <w:lang w:val="en-US"/>
        </w:rPr>
        <w:t>a general summary of events</w:t>
      </w:r>
      <w:r w:rsidR="005F4DDE" w:rsidRPr="008812EC">
        <w:rPr>
          <w:rFonts w:cstheme="minorHAnsi"/>
          <w:sz w:val="24"/>
          <w:szCs w:val="24"/>
          <w:lang w:val="en-US"/>
        </w:rPr>
        <w:t>,</w:t>
      </w:r>
      <w:r w:rsidR="00F408B2" w:rsidRPr="008812EC">
        <w:rPr>
          <w:rFonts w:cstheme="minorHAnsi"/>
          <w:sz w:val="24"/>
          <w:szCs w:val="24"/>
          <w:lang w:val="en-US"/>
        </w:rPr>
        <w:t xml:space="preserve"> and</w:t>
      </w:r>
      <w:r w:rsidRPr="008812EC">
        <w:rPr>
          <w:rFonts w:cstheme="minorHAnsi"/>
          <w:sz w:val="24"/>
          <w:szCs w:val="24"/>
          <w:lang w:val="en-US"/>
        </w:rPr>
        <w:t xml:space="preserve"> the type of personal information </w:t>
      </w:r>
      <w:r w:rsidR="00F408B2" w:rsidRPr="008812EC">
        <w:rPr>
          <w:rFonts w:cstheme="minorHAnsi"/>
          <w:sz w:val="24"/>
          <w:szCs w:val="24"/>
          <w:lang w:val="en-US"/>
        </w:rPr>
        <w:t>that was disclosed</w:t>
      </w:r>
      <w:r w:rsidRPr="008812EC">
        <w:rPr>
          <w:rFonts w:cstheme="minorHAnsi"/>
          <w:sz w:val="24"/>
          <w:szCs w:val="24"/>
          <w:lang w:val="en-US"/>
        </w:rPr>
        <w:t>. Information should not be detailed enough that an individual or individuals could be identified based on the description.</w:t>
      </w:r>
    </w:p>
    <w:p w14:paraId="1C5A045A" w14:textId="506E7E6B" w:rsidR="001B13E9" w:rsidRPr="008812EC" w:rsidRDefault="12BB4DFC" w:rsidP="4136635F">
      <w:pPr>
        <w:pStyle w:val="ListParagraph"/>
        <w:numPr>
          <w:ilvl w:val="1"/>
          <w:numId w:val="2"/>
        </w:numPr>
        <w:spacing w:after="0" w:line="240" w:lineRule="auto"/>
        <w:ind w:left="368" w:hanging="357"/>
        <w:rPr>
          <w:sz w:val="24"/>
          <w:szCs w:val="24"/>
          <w:lang w:val="en-US"/>
        </w:rPr>
      </w:pPr>
      <w:r w:rsidRPr="4136635F">
        <w:rPr>
          <w:sz w:val="24"/>
          <w:szCs w:val="24"/>
          <w:lang w:val="en-US"/>
        </w:rPr>
        <w:t>Whether the Privacy Commissioner was notified before</w:t>
      </w:r>
      <w:r w:rsidR="382EF792" w:rsidRPr="4136635F">
        <w:rPr>
          <w:sz w:val="24"/>
          <w:szCs w:val="24"/>
          <w:lang w:val="en-US"/>
        </w:rPr>
        <w:t>,</w:t>
      </w:r>
      <w:r w:rsidRPr="4136635F">
        <w:rPr>
          <w:sz w:val="24"/>
          <w:szCs w:val="24"/>
          <w:lang w:val="en-US"/>
        </w:rPr>
        <w:t xml:space="preserve"> or </w:t>
      </w:r>
      <w:r w:rsidR="382EF792" w:rsidRPr="4136635F">
        <w:rPr>
          <w:sz w:val="24"/>
          <w:szCs w:val="24"/>
          <w:lang w:val="en-US"/>
        </w:rPr>
        <w:t xml:space="preserve">notified </w:t>
      </w:r>
      <w:r w:rsidRPr="4136635F">
        <w:rPr>
          <w:sz w:val="24"/>
          <w:szCs w:val="24"/>
          <w:lang w:val="en-US"/>
        </w:rPr>
        <w:t>after the disclosure</w:t>
      </w:r>
    </w:p>
    <w:bookmarkEnd w:id="11"/>
    <w:p w14:paraId="202D06FA" w14:textId="3161B80F" w:rsidR="0D3E1EDC" w:rsidRPr="008812EC" w:rsidRDefault="0D3E1EDC" w:rsidP="0D3E1EDC">
      <w:pPr>
        <w:rPr>
          <w:rFonts w:asciiTheme="minorHAnsi" w:eastAsia="Calibri" w:hAnsiTheme="minorHAnsi" w:cstheme="minorHAnsi"/>
          <w:lang w:val="en-US"/>
        </w:rPr>
      </w:pPr>
    </w:p>
    <w:p w14:paraId="4465BB8C" w14:textId="66A6FCD2" w:rsidR="001B13E9" w:rsidRPr="008812EC" w:rsidRDefault="001B13E9" w:rsidP="0D3E1EDC">
      <w:pPr>
        <w:autoSpaceDE w:val="0"/>
        <w:autoSpaceDN w:val="0"/>
        <w:adjustRightInd w:val="0"/>
        <w:rPr>
          <w:rFonts w:asciiTheme="minorHAnsi" w:hAnsiTheme="minorHAnsi" w:cstheme="minorHAnsi"/>
          <w:lang w:val="en-US" w:eastAsia="en-US"/>
        </w:rPr>
      </w:pPr>
      <w:r w:rsidRPr="008812EC">
        <w:rPr>
          <w:rFonts w:asciiTheme="minorHAnsi" w:hAnsiTheme="minorHAnsi" w:cstheme="minorHAnsi"/>
          <w:b/>
          <w:bCs/>
          <w:lang w:val="en-US" w:eastAsia="en-US"/>
        </w:rPr>
        <w:t>Note:</w:t>
      </w:r>
      <w:r w:rsidRPr="008812EC">
        <w:rPr>
          <w:rFonts w:asciiTheme="minorHAnsi" w:hAnsiTheme="minorHAnsi" w:cstheme="minorHAnsi"/>
          <w:lang w:val="en-US" w:eastAsia="en-US"/>
        </w:rPr>
        <w:t xml:space="preserve"> If no disclosures were made under paragraph 8 (2)(</w:t>
      </w:r>
      <w:r w:rsidRPr="008812EC">
        <w:rPr>
          <w:rFonts w:asciiTheme="minorHAnsi" w:hAnsiTheme="minorHAnsi" w:cstheme="minorHAnsi"/>
          <w:i/>
          <w:iCs/>
          <w:lang w:val="en-US" w:eastAsia="en-US"/>
        </w:rPr>
        <w:t>m</w:t>
      </w:r>
      <w:r w:rsidRPr="008812EC">
        <w:rPr>
          <w:rFonts w:asciiTheme="minorHAnsi" w:hAnsiTheme="minorHAnsi" w:cstheme="minorHAnsi"/>
          <w:lang w:val="en-US" w:eastAsia="en-US"/>
        </w:rPr>
        <w:t xml:space="preserve">) of the </w:t>
      </w:r>
      <w:r w:rsidRPr="008812EC">
        <w:rPr>
          <w:rFonts w:asciiTheme="minorHAnsi" w:hAnsiTheme="minorHAnsi" w:cstheme="minorHAnsi"/>
          <w:i/>
          <w:iCs/>
          <w:lang w:val="en-US" w:eastAsia="en-US"/>
        </w:rPr>
        <w:t>Privacy Act</w:t>
      </w:r>
      <w:r w:rsidRPr="008812EC">
        <w:rPr>
          <w:rFonts w:asciiTheme="minorHAnsi" w:hAnsiTheme="minorHAnsi" w:cstheme="minorHAnsi"/>
          <w:lang w:val="en-US" w:eastAsia="en-US"/>
        </w:rPr>
        <w:t xml:space="preserve"> during the reporting period, </w:t>
      </w:r>
      <w:r w:rsidR="00B05D76" w:rsidRPr="008812EC">
        <w:rPr>
          <w:rFonts w:asciiTheme="minorHAnsi" w:hAnsiTheme="minorHAnsi" w:cstheme="minorHAnsi"/>
          <w:lang w:val="en-US" w:eastAsia="en-US"/>
        </w:rPr>
        <w:t>please include a statement to that effect.</w:t>
      </w:r>
    </w:p>
    <w:p w14:paraId="6AB72232" w14:textId="69B0679E" w:rsidR="0D3E1EDC" w:rsidRPr="008812EC" w:rsidRDefault="0D3E1EDC" w:rsidP="0D3E1EDC">
      <w:pPr>
        <w:rPr>
          <w:rFonts w:asciiTheme="minorHAnsi" w:hAnsiTheme="minorHAnsi" w:cstheme="minorHAnsi"/>
          <w:lang w:val="en-US" w:eastAsia="en-US"/>
        </w:rPr>
      </w:pPr>
    </w:p>
    <w:p w14:paraId="0FEB1C16" w14:textId="01DBB14E" w:rsidR="00FB02EB" w:rsidRPr="008812EC" w:rsidRDefault="00FB02EB" w:rsidP="0D3E1EDC">
      <w:pPr>
        <w:rPr>
          <w:rFonts w:asciiTheme="minorHAnsi" w:hAnsiTheme="minorHAnsi" w:cstheme="minorHAnsi"/>
          <w:lang w:val="en-US" w:eastAsia="en-US"/>
        </w:rPr>
      </w:pPr>
    </w:p>
    <w:p w14:paraId="1CBA3E3D" w14:textId="52BA7956" w:rsidR="001960E7" w:rsidRPr="008812EC" w:rsidRDefault="001960E7" w:rsidP="0D3E1ED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-US" w:eastAsia="en-US"/>
        </w:rPr>
      </w:pPr>
      <w:r w:rsidRPr="008812EC">
        <w:rPr>
          <w:rFonts w:asciiTheme="minorHAnsi" w:hAnsiTheme="minorHAnsi" w:cstheme="minorHAnsi"/>
          <w:b/>
          <w:bCs/>
          <w:lang w:val="en-US" w:eastAsia="en-US"/>
        </w:rPr>
        <w:t>B12. Monitoring Compliance</w:t>
      </w:r>
    </w:p>
    <w:p w14:paraId="2FF27A1C" w14:textId="77777777" w:rsidR="001960E7" w:rsidRPr="008812EC" w:rsidRDefault="001960E7" w:rsidP="0D3E1EDC">
      <w:pPr>
        <w:autoSpaceDE w:val="0"/>
        <w:autoSpaceDN w:val="0"/>
        <w:rPr>
          <w:rFonts w:asciiTheme="minorHAnsi" w:hAnsiTheme="minorHAnsi" w:cstheme="minorHAnsi"/>
          <w:lang w:val="en-US" w:eastAsia="en-US"/>
        </w:rPr>
      </w:pPr>
      <w:r w:rsidRPr="008812EC">
        <w:rPr>
          <w:rFonts w:asciiTheme="minorHAnsi" w:hAnsiTheme="minorHAnsi" w:cstheme="minorHAnsi"/>
          <w:lang w:val="en-US" w:eastAsia="en-US"/>
        </w:rPr>
        <w:t>Describe:</w:t>
      </w:r>
    </w:p>
    <w:p w14:paraId="13E5ED9B" w14:textId="5F61118D" w:rsidR="001960E7" w:rsidRPr="008812EC" w:rsidRDefault="001960E7" w:rsidP="00B14D06">
      <w:pPr>
        <w:pStyle w:val="ListParagraph"/>
        <w:numPr>
          <w:ilvl w:val="0"/>
          <w:numId w:val="10"/>
        </w:numPr>
        <w:spacing w:after="0" w:line="240" w:lineRule="auto"/>
        <w:ind w:left="368" w:hanging="357"/>
        <w:rPr>
          <w:rFonts w:cstheme="minorHAnsi"/>
          <w:sz w:val="24"/>
          <w:szCs w:val="24"/>
          <w:lang w:val="en-US"/>
        </w:rPr>
      </w:pPr>
      <w:r w:rsidRPr="008812EC">
        <w:rPr>
          <w:rFonts w:cstheme="minorHAnsi"/>
          <w:sz w:val="24"/>
          <w:szCs w:val="24"/>
          <w:lang w:val="en-US"/>
        </w:rPr>
        <w:lastRenderedPageBreak/>
        <w:t>How the institution monitors the time taken to process personal information requests.</w:t>
      </w:r>
      <w:r w:rsidR="00187B3E" w:rsidRPr="00187B3E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187B3E">
        <w:rPr>
          <w:rFonts w:eastAsia="Times New Roman" w:cstheme="minorHAnsi"/>
          <w:sz w:val="24"/>
          <w:szCs w:val="24"/>
          <w:lang w:val="en-US"/>
        </w:rPr>
        <w:t>Please include how often this monitoring occurs, and what level of officials are advised.</w:t>
      </w:r>
    </w:p>
    <w:p w14:paraId="691A12A6" w14:textId="61C77742" w:rsidR="001960E7" w:rsidRPr="008812EC" w:rsidRDefault="001960E7" w:rsidP="00B14D06">
      <w:pPr>
        <w:pStyle w:val="ListParagraph"/>
        <w:numPr>
          <w:ilvl w:val="0"/>
          <w:numId w:val="10"/>
        </w:numPr>
        <w:spacing w:after="0" w:line="240" w:lineRule="auto"/>
        <w:ind w:left="368" w:hanging="357"/>
        <w:rPr>
          <w:rFonts w:cstheme="minorHAnsi"/>
          <w:sz w:val="24"/>
          <w:szCs w:val="24"/>
          <w:lang w:val="en-US"/>
        </w:rPr>
      </w:pPr>
      <w:r w:rsidRPr="008812EC">
        <w:rPr>
          <w:rFonts w:cstheme="minorHAnsi"/>
          <w:sz w:val="24"/>
          <w:szCs w:val="24"/>
          <w:lang w:val="en-US"/>
        </w:rPr>
        <w:t>How the institution ensur</w:t>
      </w:r>
      <w:r w:rsidR="00227DE9">
        <w:rPr>
          <w:rFonts w:cstheme="minorHAnsi"/>
          <w:sz w:val="24"/>
          <w:szCs w:val="24"/>
          <w:lang w:val="en-US"/>
        </w:rPr>
        <w:t>es that</w:t>
      </w:r>
      <w:r w:rsidRPr="008812EC">
        <w:rPr>
          <w:rFonts w:cstheme="minorHAnsi"/>
          <w:sz w:val="24"/>
          <w:szCs w:val="24"/>
          <w:lang w:val="en-US"/>
        </w:rPr>
        <w:t xml:space="preserve"> appropriate privacy protections are included in contracts, </w:t>
      </w:r>
      <w:r w:rsidR="002D228B" w:rsidRPr="008812EC">
        <w:rPr>
          <w:rFonts w:cstheme="minorHAnsi"/>
          <w:sz w:val="24"/>
          <w:szCs w:val="24"/>
          <w:lang w:val="en-US"/>
        </w:rPr>
        <w:t>agreements,</w:t>
      </w:r>
      <w:r w:rsidRPr="008812EC">
        <w:rPr>
          <w:rFonts w:cstheme="minorHAnsi"/>
          <w:sz w:val="24"/>
          <w:szCs w:val="24"/>
          <w:lang w:val="en-US"/>
        </w:rPr>
        <w:t xml:space="preserve"> and arrangements.</w:t>
      </w:r>
    </w:p>
    <w:p w14:paraId="139C6233" w14:textId="2E776C6E" w:rsidR="0D3E1EDC" w:rsidRPr="008812EC" w:rsidRDefault="0D3E1EDC" w:rsidP="0D3E1EDC">
      <w:pPr>
        <w:rPr>
          <w:rFonts w:asciiTheme="minorHAnsi" w:eastAsia="Calibri" w:hAnsiTheme="minorHAnsi" w:cstheme="minorHAnsi"/>
          <w:lang w:val="en-US"/>
        </w:rPr>
      </w:pPr>
    </w:p>
    <w:p w14:paraId="59116775" w14:textId="51E5394D" w:rsidR="001960E7" w:rsidRPr="008812EC" w:rsidRDefault="753D0882" w:rsidP="469FE2CA">
      <w:pPr>
        <w:autoSpaceDE w:val="0"/>
        <w:autoSpaceDN w:val="0"/>
        <w:rPr>
          <w:rFonts w:asciiTheme="minorHAnsi" w:hAnsiTheme="minorHAnsi" w:cstheme="minorHAnsi"/>
          <w:lang w:val="en-US"/>
        </w:rPr>
      </w:pPr>
      <w:bookmarkStart w:id="12" w:name="_Hlk126588650"/>
      <w:r w:rsidRPr="008812EC">
        <w:rPr>
          <w:rFonts w:asciiTheme="minorHAnsi" w:hAnsiTheme="minorHAnsi" w:cstheme="minorHAnsi"/>
          <w:lang w:val="en-US"/>
        </w:rPr>
        <w:t xml:space="preserve">Where </w:t>
      </w:r>
      <w:r w:rsidR="5B0A3A6C" w:rsidRPr="008812EC">
        <w:rPr>
          <w:rFonts w:asciiTheme="minorHAnsi" w:hAnsiTheme="minorHAnsi" w:cstheme="minorHAnsi"/>
          <w:lang w:val="en-US"/>
        </w:rPr>
        <w:t xml:space="preserve">the Treasury Board of Canada Secretariat </w:t>
      </w:r>
      <w:r w:rsidRPr="008812EC">
        <w:rPr>
          <w:rFonts w:asciiTheme="minorHAnsi" w:hAnsiTheme="minorHAnsi" w:cstheme="minorHAnsi"/>
          <w:lang w:val="en-US"/>
        </w:rPr>
        <w:t xml:space="preserve">has </w:t>
      </w:r>
      <w:r w:rsidR="00E40311">
        <w:rPr>
          <w:rFonts w:asciiTheme="minorHAnsi" w:hAnsiTheme="minorHAnsi" w:cstheme="minorHAnsi"/>
          <w:lang w:val="en-US"/>
        </w:rPr>
        <w:t>granted</w:t>
      </w:r>
      <w:r w:rsidR="004D3CFF">
        <w:rPr>
          <w:rFonts w:asciiTheme="minorHAnsi" w:hAnsiTheme="minorHAnsi" w:cstheme="minorHAnsi"/>
          <w:lang w:val="en-US"/>
        </w:rPr>
        <w:t xml:space="preserve"> </w:t>
      </w:r>
      <w:r w:rsidRPr="008812EC">
        <w:rPr>
          <w:rFonts w:asciiTheme="minorHAnsi" w:hAnsiTheme="minorHAnsi" w:cstheme="minorHAnsi"/>
          <w:lang w:val="en-US"/>
        </w:rPr>
        <w:t xml:space="preserve">an exception </w:t>
      </w:r>
      <w:r w:rsidR="00EF5FA1">
        <w:rPr>
          <w:rFonts w:asciiTheme="minorHAnsi" w:hAnsiTheme="minorHAnsi" w:cstheme="minorHAnsi"/>
          <w:lang w:val="en-US"/>
        </w:rPr>
        <w:t>to a requirement in the Privacy policy suite</w:t>
      </w:r>
      <w:r w:rsidR="004D3CFF">
        <w:rPr>
          <w:rFonts w:asciiTheme="minorHAnsi" w:hAnsiTheme="minorHAnsi" w:cstheme="minorHAnsi"/>
          <w:lang w:val="en-US"/>
        </w:rPr>
        <w:t>, and has se</w:t>
      </w:r>
      <w:r w:rsidR="006C7A10">
        <w:rPr>
          <w:rFonts w:asciiTheme="minorHAnsi" w:hAnsiTheme="minorHAnsi" w:cstheme="minorHAnsi"/>
          <w:lang w:val="en-US"/>
        </w:rPr>
        <w:t>t certain reporting requirements for that exception</w:t>
      </w:r>
      <w:r w:rsidRPr="008812EC">
        <w:rPr>
          <w:rFonts w:asciiTheme="minorHAnsi" w:hAnsiTheme="minorHAnsi" w:cstheme="minorHAnsi"/>
          <w:lang w:val="en-US"/>
        </w:rPr>
        <w:t xml:space="preserve">, please </w:t>
      </w:r>
      <w:r w:rsidR="005D5D4E">
        <w:rPr>
          <w:rFonts w:asciiTheme="minorHAnsi" w:hAnsiTheme="minorHAnsi" w:cstheme="minorHAnsi"/>
          <w:lang w:val="en-US"/>
        </w:rPr>
        <w:t xml:space="preserve">also </w:t>
      </w:r>
      <w:r w:rsidRPr="008812EC">
        <w:rPr>
          <w:rFonts w:asciiTheme="minorHAnsi" w:hAnsiTheme="minorHAnsi" w:cstheme="minorHAnsi"/>
          <w:lang w:val="en-US"/>
        </w:rPr>
        <w:t>fulfill that obligation in this section.</w:t>
      </w:r>
    </w:p>
    <w:bookmarkEnd w:id="12"/>
    <w:p w14:paraId="5CB8830B" w14:textId="2AB21420" w:rsidR="0D3E1EDC" w:rsidRPr="008812EC" w:rsidRDefault="0D3E1EDC" w:rsidP="0D3E1EDC">
      <w:pPr>
        <w:rPr>
          <w:rFonts w:asciiTheme="minorHAnsi" w:hAnsiTheme="minorHAnsi" w:cstheme="minorHAnsi"/>
          <w:lang w:val="en-US"/>
        </w:rPr>
      </w:pPr>
    </w:p>
    <w:p w14:paraId="0BBAE4F3" w14:textId="77777777" w:rsidR="001960E7" w:rsidRPr="008812EC" w:rsidRDefault="001960E7" w:rsidP="0D3E1EDC">
      <w:pPr>
        <w:autoSpaceDE w:val="0"/>
        <w:autoSpaceDN w:val="0"/>
        <w:adjustRightInd w:val="0"/>
        <w:spacing w:after="160"/>
        <w:rPr>
          <w:rFonts w:asciiTheme="minorHAnsi" w:hAnsiTheme="minorHAnsi" w:cstheme="minorHAnsi"/>
          <w:lang w:val="en-US" w:eastAsia="en-US"/>
        </w:rPr>
      </w:pPr>
      <w:r w:rsidRPr="008812EC">
        <w:rPr>
          <w:rFonts w:asciiTheme="minorHAnsi" w:hAnsiTheme="minorHAnsi" w:cstheme="minorHAnsi"/>
          <w:b/>
          <w:bCs/>
          <w:lang w:val="en-US" w:eastAsia="en-US"/>
        </w:rPr>
        <w:t>Note:</w:t>
      </w:r>
      <w:r w:rsidRPr="008812EC">
        <w:rPr>
          <w:rFonts w:asciiTheme="minorHAnsi" w:hAnsiTheme="minorHAnsi" w:cstheme="minorHAnsi"/>
          <w:lang w:val="en-US" w:eastAsia="en-US"/>
        </w:rPr>
        <w:t xml:space="preserve"> If no monitoring was conducted during the reporting period, please include a statement to that effect.</w:t>
      </w:r>
    </w:p>
    <w:p w14:paraId="7DCD28A5" w14:textId="77777777" w:rsidR="0011547C" w:rsidRPr="008812EC" w:rsidRDefault="0011547C" w:rsidP="0D3E1EDC">
      <w:pPr>
        <w:autoSpaceDE w:val="0"/>
        <w:autoSpaceDN w:val="0"/>
        <w:spacing w:before="120" w:after="120"/>
        <w:rPr>
          <w:rFonts w:asciiTheme="minorHAnsi" w:hAnsiTheme="minorHAnsi" w:cstheme="minorHAnsi"/>
          <w:lang w:val="en-US" w:eastAsia="en-US"/>
        </w:rPr>
      </w:pPr>
    </w:p>
    <w:sectPr w:rsidR="0011547C" w:rsidRPr="008812EC" w:rsidSect="00623E35">
      <w:headerReference w:type="even" r:id="rId15"/>
      <w:footerReference w:type="even" r:id="rId16"/>
      <w:footerReference w:type="first" r:id="rId17"/>
      <w:pgSz w:w="12240" w:h="15840"/>
      <w:pgMar w:top="1440" w:right="1440" w:bottom="113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C12B2" w14:textId="77777777" w:rsidR="00071620" w:rsidRDefault="00071620" w:rsidP="00753732">
      <w:r>
        <w:separator/>
      </w:r>
    </w:p>
  </w:endnote>
  <w:endnote w:type="continuationSeparator" w:id="0">
    <w:p w14:paraId="54D537A8" w14:textId="77777777" w:rsidR="00071620" w:rsidRDefault="00071620" w:rsidP="00753732">
      <w:r>
        <w:continuationSeparator/>
      </w:r>
    </w:p>
  </w:endnote>
  <w:endnote w:type="continuationNotice" w:id="1">
    <w:p w14:paraId="2EB40DD8" w14:textId="77777777" w:rsidR="00071620" w:rsidRDefault="000716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827D" w14:textId="577C30EE" w:rsidR="00B52724" w:rsidRDefault="00B52724" w:rsidP="000742DC">
    <w:pPr>
      <w:pStyle w:val="Footer"/>
      <w:jc w:val="right"/>
    </w:pPr>
    <w:r>
      <w:t xml:space="preserve">GCDOCS: </w:t>
    </w:r>
    <w:hyperlink r:id="rId1" w:history="1">
      <w:r>
        <w:rPr>
          <w:rStyle w:val="Hyperlink"/>
        </w:rPr>
        <w:t>37855822</w:t>
      </w:r>
    </w:hyperlink>
  </w:p>
  <w:p w14:paraId="42D42D8D" w14:textId="0CEFCDFB" w:rsidR="00B52724" w:rsidRPr="00316E6B" w:rsidRDefault="00B52724" w:rsidP="000742DC">
    <w:pPr>
      <w:pStyle w:val="Footer"/>
      <w:jc w:val="right"/>
      <w:rPr>
        <w:rFonts w:asciiTheme="minorHAnsi" w:hAnsiTheme="minorHAnsi"/>
        <w:sz w:val="22"/>
      </w:rPr>
    </w:pPr>
    <w:r>
      <w:rPr>
        <w:rFonts w:asciiTheme="minorHAnsi" w:hAnsiTheme="minorHAnsi"/>
        <w:sz w:val="22"/>
        <w:szCs w:val="22"/>
      </w:rPr>
      <w:tab/>
    </w:r>
    <w:r w:rsidRPr="00316E6B">
      <w:rPr>
        <w:rFonts w:asciiTheme="minorHAnsi" w:hAnsiTheme="minorHAnsi"/>
        <w:color w:val="2B579A"/>
        <w:sz w:val="22"/>
        <w:shd w:val="clear" w:color="auto" w:fill="E6E6E6"/>
      </w:rPr>
      <w:fldChar w:fldCharType="begin"/>
    </w:r>
    <w:r w:rsidRPr="00316E6B">
      <w:rPr>
        <w:rFonts w:asciiTheme="minorHAnsi" w:hAnsiTheme="minorHAnsi"/>
        <w:sz w:val="22"/>
      </w:rPr>
      <w:instrText xml:space="preserve"> PAGE   \* MERGEFORMAT </w:instrText>
    </w:r>
    <w:r w:rsidRPr="00316E6B">
      <w:rPr>
        <w:rFonts w:asciiTheme="minorHAnsi" w:hAnsiTheme="minorHAnsi"/>
        <w:color w:val="2B579A"/>
        <w:sz w:val="22"/>
        <w:shd w:val="clear" w:color="auto" w:fill="E6E6E6"/>
      </w:rPr>
      <w:fldChar w:fldCharType="separate"/>
    </w:r>
    <w:r>
      <w:rPr>
        <w:rFonts w:asciiTheme="minorHAnsi" w:hAnsiTheme="minorHAnsi"/>
        <w:noProof/>
        <w:sz w:val="22"/>
      </w:rPr>
      <w:t>6</w:t>
    </w:r>
    <w:r w:rsidRPr="00316E6B">
      <w:rPr>
        <w:rFonts w:asciiTheme="minorHAnsi" w:hAnsiTheme="minorHAnsi"/>
        <w:noProof/>
        <w:color w:val="2B579A"/>
        <w:sz w:val="22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5CD6B" w14:textId="7DA88B11" w:rsidR="000B6D06" w:rsidRPr="00623E35" w:rsidRDefault="000B6D06" w:rsidP="000B6D06">
    <w:pPr>
      <w:pStyle w:val="Header"/>
      <w:rPr>
        <w:rFonts w:asciiTheme="minorHAnsi" w:hAnsiTheme="minorHAnsi" w:cstheme="minorHAnsi"/>
        <w:sz w:val="22"/>
        <w:szCs w:val="22"/>
      </w:rPr>
    </w:pPr>
    <w:r w:rsidRPr="00623E35">
      <w:rPr>
        <w:rFonts w:asciiTheme="minorHAnsi" w:hAnsiTheme="minorHAnsi" w:cstheme="minorHAnsi"/>
        <w:sz w:val="22"/>
        <w:szCs w:val="22"/>
      </w:rPr>
      <w:t xml:space="preserve">GCDOCS: </w:t>
    </w:r>
    <w:r w:rsidR="00623E35" w:rsidRPr="00623E35">
      <w:rPr>
        <w:rFonts w:asciiTheme="minorHAnsi" w:hAnsiTheme="minorHAnsi" w:cstheme="minorHAnsi"/>
        <w:color w:val="333333"/>
        <w:sz w:val="22"/>
        <w:szCs w:val="22"/>
        <w:shd w:val="clear" w:color="auto" w:fill="FFFFFF"/>
      </w:rPr>
      <w:t xml:space="preserve"> 50116972</w:t>
    </w:r>
  </w:p>
  <w:p w14:paraId="30466A8C" w14:textId="77777777" w:rsidR="000B6D06" w:rsidRDefault="000B6D06" w:rsidP="000B6D06">
    <w:pPr>
      <w:pStyle w:val="Footer"/>
      <w:rPr>
        <w:sz w:val="16"/>
      </w:rPr>
    </w:pPr>
    <w:r w:rsidRPr="00623E35">
      <w:rPr>
        <w:rFonts w:asciiTheme="minorHAnsi" w:hAnsiTheme="minorHAnsi" w:cstheme="minorHAnsi"/>
        <w:sz w:val="22"/>
        <w:szCs w:val="22"/>
      </w:rPr>
      <w:t>2020-05-28</w:t>
    </w:r>
  </w:p>
  <w:p w14:paraId="4AE12E91" w14:textId="77777777" w:rsidR="00B52724" w:rsidRPr="00316E6B" w:rsidRDefault="00B52724" w:rsidP="000742DC">
    <w:pPr>
      <w:pStyle w:val="Footer"/>
      <w:jc w:val="right"/>
      <w:rPr>
        <w:rFonts w:asciiTheme="minorHAnsi" w:hAnsiTheme="minorHAnsi"/>
        <w:sz w:val="22"/>
      </w:rPr>
    </w:pPr>
    <w:r>
      <w:rPr>
        <w:rFonts w:asciiTheme="minorHAnsi" w:hAnsiTheme="minorHAnsi"/>
        <w:sz w:val="22"/>
        <w:szCs w:val="22"/>
      </w:rPr>
      <w:tab/>
    </w:r>
    <w:r w:rsidRPr="00316E6B">
      <w:rPr>
        <w:rFonts w:asciiTheme="minorHAnsi" w:hAnsiTheme="minorHAnsi"/>
        <w:color w:val="2B579A"/>
        <w:sz w:val="22"/>
        <w:shd w:val="clear" w:color="auto" w:fill="E6E6E6"/>
      </w:rPr>
      <w:fldChar w:fldCharType="begin"/>
    </w:r>
    <w:r w:rsidRPr="00316E6B">
      <w:rPr>
        <w:rFonts w:asciiTheme="minorHAnsi" w:hAnsiTheme="minorHAnsi"/>
        <w:sz w:val="22"/>
      </w:rPr>
      <w:instrText xml:space="preserve"> PAGE   \* MERGEFORMAT </w:instrText>
    </w:r>
    <w:r w:rsidRPr="00316E6B">
      <w:rPr>
        <w:rFonts w:asciiTheme="minorHAnsi" w:hAnsiTheme="minorHAnsi"/>
        <w:color w:val="2B579A"/>
        <w:sz w:val="22"/>
        <w:shd w:val="clear" w:color="auto" w:fill="E6E6E6"/>
      </w:rPr>
      <w:fldChar w:fldCharType="separate"/>
    </w:r>
    <w:r w:rsidR="0050730D">
      <w:rPr>
        <w:rFonts w:asciiTheme="minorHAnsi" w:hAnsiTheme="minorHAnsi"/>
        <w:noProof/>
        <w:sz w:val="22"/>
      </w:rPr>
      <w:t>4</w:t>
    </w:r>
    <w:r w:rsidRPr="00316E6B">
      <w:rPr>
        <w:rFonts w:asciiTheme="minorHAnsi" w:hAnsiTheme="minorHAnsi"/>
        <w:noProof/>
        <w:color w:val="2B579A"/>
        <w:sz w:val="22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A1555" w14:textId="77777777" w:rsidR="00071620" w:rsidRDefault="00071620" w:rsidP="00753732">
      <w:r>
        <w:separator/>
      </w:r>
    </w:p>
  </w:footnote>
  <w:footnote w:type="continuationSeparator" w:id="0">
    <w:p w14:paraId="792E880D" w14:textId="77777777" w:rsidR="00071620" w:rsidRDefault="00071620" w:rsidP="00753732">
      <w:r>
        <w:continuationSeparator/>
      </w:r>
    </w:p>
  </w:footnote>
  <w:footnote w:type="continuationNotice" w:id="1">
    <w:p w14:paraId="1D4A80FE" w14:textId="77777777" w:rsidR="00071620" w:rsidRDefault="000716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A49BE" w14:textId="7CBF7E26" w:rsidR="00B52724" w:rsidRDefault="00B52724" w:rsidP="000742DC">
    <w:pPr>
      <w:pStyle w:val="Header"/>
    </w:pPr>
    <w:bookmarkStart w:id="13" w:name="TITUS1HeaderEvenPages"/>
  </w:p>
  <w:bookmarkEnd w:id="13"/>
  <w:p w14:paraId="35007E63" w14:textId="77777777" w:rsidR="00B52724" w:rsidRDefault="00B52724" w:rsidP="000742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428D6"/>
    <w:multiLevelType w:val="hybridMultilevel"/>
    <w:tmpl w:val="87E83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1645B"/>
    <w:multiLevelType w:val="hybridMultilevel"/>
    <w:tmpl w:val="8744E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B1EE2"/>
    <w:multiLevelType w:val="hybridMultilevel"/>
    <w:tmpl w:val="3E6C40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96974"/>
    <w:multiLevelType w:val="hybridMultilevel"/>
    <w:tmpl w:val="4E50ED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E83F4E"/>
    <w:multiLevelType w:val="hybridMultilevel"/>
    <w:tmpl w:val="C39A7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D5E71"/>
    <w:multiLevelType w:val="hybridMultilevel"/>
    <w:tmpl w:val="CC56A5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84ACC"/>
    <w:multiLevelType w:val="hybridMultilevel"/>
    <w:tmpl w:val="8E328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25C01"/>
    <w:multiLevelType w:val="hybridMultilevel"/>
    <w:tmpl w:val="42FAD5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1648D"/>
    <w:multiLevelType w:val="hybridMultilevel"/>
    <w:tmpl w:val="4986EA8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D72A2E"/>
    <w:multiLevelType w:val="hybridMultilevel"/>
    <w:tmpl w:val="C978B51C"/>
    <w:lvl w:ilvl="0" w:tplc="1009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D548D68E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  <w:sz w:val="22"/>
      </w:rPr>
    </w:lvl>
    <w:lvl w:ilvl="2" w:tplc="1009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0" w15:restartNumberingAfterBreak="0">
    <w:nsid w:val="46C6549E"/>
    <w:multiLevelType w:val="hybridMultilevel"/>
    <w:tmpl w:val="E6D2C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481180"/>
    <w:multiLevelType w:val="hybridMultilevel"/>
    <w:tmpl w:val="25128E22"/>
    <w:lvl w:ilvl="0" w:tplc="299ED954">
      <w:start w:val="1"/>
      <w:numFmt w:val="decimal"/>
      <w:lvlText w:val="%1."/>
      <w:lvlJc w:val="left"/>
      <w:pPr>
        <w:ind w:left="1020" w:hanging="360"/>
      </w:pPr>
    </w:lvl>
    <w:lvl w:ilvl="1" w:tplc="01569FD2">
      <w:start w:val="1"/>
      <w:numFmt w:val="decimal"/>
      <w:lvlText w:val="%2."/>
      <w:lvlJc w:val="left"/>
      <w:pPr>
        <w:ind w:left="1020" w:hanging="360"/>
      </w:pPr>
    </w:lvl>
    <w:lvl w:ilvl="2" w:tplc="ADA411CA">
      <w:start w:val="1"/>
      <w:numFmt w:val="decimal"/>
      <w:lvlText w:val="%3."/>
      <w:lvlJc w:val="left"/>
      <w:pPr>
        <w:ind w:left="1020" w:hanging="360"/>
      </w:pPr>
    </w:lvl>
    <w:lvl w:ilvl="3" w:tplc="C7BAA7FC">
      <w:start w:val="1"/>
      <w:numFmt w:val="decimal"/>
      <w:lvlText w:val="%4."/>
      <w:lvlJc w:val="left"/>
      <w:pPr>
        <w:ind w:left="1020" w:hanging="360"/>
      </w:pPr>
    </w:lvl>
    <w:lvl w:ilvl="4" w:tplc="F19CB352">
      <w:start w:val="1"/>
      <w:numFmt w:val="decimal"/>
      <w:lvlText w:val="%5."/>
      <w:lvlJc w:val="left"/>
      <w:pPr>
        <w:ind w:left="1020" w:hanging="360"/>
      </w:pPr>
    </w:lvl>
    <w:lvl w:ilvl="5" w:tplc="01EE4012">
      <w:start w:val="1"/>
      <w:numFmt w:val="decimal"/>
      <w:lvlText w:val="%6."/>
      <w:lvlJc w:val="left"/>
      <w:pPr>
        <w:ind w:left="1020" w:hanging="360"/>
      </w:pPr>
    </w:lvl>
    <w:lvl w:ilvl="6" w:tplc="43F6BD38">
      <w:start w:val="1"/>
      <w:numFmt w:val="decimal"/>
      <w:lvlText w:val="%7."/>
      <w:lvlJc w:val="left"/>
      <w:pPr>
        <w:ind w:left="1020" w:hanging="360"/>
      </w:pPr>
    </w:lvl>
    <w:lvl w:ilvl="7" w:tplc="A29E03DA">
      <w:start w:val="1"/>
      <w:numFmt w:val="decimal"/>
      <w:lvlText w:val="%8."/>
      <w:lvlJc w:val="left"/>
      <w:pPr>
        <w:ind w:left="1020" w:hanging="360"/>
      </w:pPr>
    </w:lvl>
    <w:lvl w:ilvl="8" w:tplc="F9AAB440">
      <w:start w:val="1"/>
      <w:numFmt w:val="decimal"/>
      <w:lvlText w:val="%9."/>
      <w:lvlJc w:val="left"/>
      <w:pPr>
        <w:ind w:left="1020" w:hanging="360"/>
      </w:pPr>
    </w:lvl>
  </w:abstractNum>
  <w:abstractNum w:abstractNumId="12" w15:restartNumberingAfterBreak="0">
    <w:nsid w:val="53D739A2"/>
    <w:multiLevelType w:val="hybridMultilevel"/>
    <w:tmpl w:val="98D0E3A6"/>
    <w:lvl w:ilvl="0" w:tplc="D6088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04A7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E66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18A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CA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2B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6B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2B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B23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57DC0"/>
    <w:multiLevelType w:val="hybridMultilevel"/>
    <w:tmpl w:val="F26CD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E0E02"/>
    <w:multiLevelType w:val="hybridMultilevel"/>
    <w:tmpl w:val="32403E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A2365"/>
    <w:multiLevelType w:val="hybridMultilevel"/>
    <w:tmpl w:val="09601970"/>
    <w:lvl w:ilvl="0" w:tplc="9620EC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E48E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39A2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660F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182F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162A3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92A0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A22CE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83CB8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67E10D3"/>
    <w:multiLevelType w:val="hybridMultilevel"/>
    <w:tmpl w:val="548038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5067370">
    <w:abstractNumId w:val="12"/>
  </w:num>
  <w:num w:numId="2" w16cid:durableId="699938965">
    <w:abstractNumId w:val="9"/>
  </w:num>
  <w:num w:numId="3" w16cid:durableId="327371649">
    <w:abstractNumId w:val="14"/>
  </w:num>
  <w:num w:numId="4" w16cid:durableId="856043479">
    <w:abstractNumId w:val="7"/>
  </w:num>
  <w:num w:numId="5" w16cid:durableId="1311328063">
    <w:abstractNumId w:val="16"/>
  </w:num>
  <w:num w:numId="6" w16cid:durableId="875853184">
    <w:abstractNumId w:val="2"/>
  </w:num>
  <w:num w:numId="7" w16cid:durableId="1982735389">
    <w:abstractNumId w:val="5"/>
  </w:num>
  <w:num w:numId="8" w16cid:durableId="252128462">
    <w:abstractNumId w:val="1"/>
  </w:num>
  <w:num w:numId="9" w16cid:durableId="1987735506">
    <w:abstractNumId w:val="6"/>
  </w:num>
  <w:num w:numId="10" w16cid:durableId="1415857458">
    <w:abstractNumId w:val="13"/>
  </w:num>
  <w:num w:numId="11" w16cid:durableId="640110957">
    <w:abstractNumId w:val="4"/>
  </w:num>
  <w:num w:numId="12" w16cid:durableId="1276448858">
    <w:abstractNumId w:val="15"/>
  </w:num>
  <w:num w:numId="13" w16cid:durableId="1093209322">
    <w:abstractNumId w:val="8"/>
  </w:num>
  <w:num w:numId="14" w16cid:durableId="1588149199">
    <w:abstractNumId w:val="0"/>
  </w:num>
  <w:num w:numId="15" w16cid:durableId="1218125095">
    <w:abstractNumId w:val="3"/>
  </w:num>
  <w:num w:numId="16" w16cid:durableId="1275017963">
    <w:abstractNumId w:val="11"/>
  </w:num>
  <w:num w:numId="17" w16cid:durableId="1254893975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1A"/>
    <w:rsid w:val="00002360"/>
    <w:rsid w:val="000023C7"/>
    <w:rsid w:val="00005D7A"/>
    <w:rsid w:val="00006F53"/>
    <w:rsid w:val="00007C3A"/>
    <w:rsid w:val="00010B03"/>
    <w:rsid w:val="00010FB4"/>
    <w:rsid w:val="00014AD6"/>
    <w:rsid w:val="000154D7"/>
    <w:rsid w:val="00016343"/>
    <w:rsid w:val="00016B35"/>
    <w:rsid w:val="00020B1F"/>
    <w:rsid w:val="00020BFC"/>
    <w:rsid w:val="00021376"/>
    <w:rsid w:val="00024092"/>
    <w:rsid w:val="0002622B"/>
    <w:rsid w:val="00026919"/>
    <w:rsid w:val="000274CA"/>
    <w:rsid w:val="00030DB3"/>
    <w:rsid w:val="00031358"/>
    <w:rsid w:val="000321B4"/>
    <w:rsid w:val="000322D6"/>
    <w:rsid w:val="000323B1"/>
    <w:rsid w:val="000337AC"/>
    <w:rsid w:val="0003638A"/>
    <w:rsid w:val="000369A5"/>
    <w:rsid w:val="00037C51"/>
    <w:rsid w:val="000400F8"/>
    <w:rsid w:val="000418D3"/>
    <w:rsid w:val="00042B59"/>
    <w:rsid w:val="00042E14"/>
    <w:rsid w:val="00043F72"/>
    <w:rsid w:val="00044592"/>
    <w:rsid w:val="00044625"/>
    <w:rsid w:val="000453F3"/>
    <w:rsid w:val="000502E1"/>
    <w:rsid w:val="00053B20"/>
    <w:rsid w:val="00055F5C"/>
    <w:rsid w:val="0005653E"/>
    <w:rsid w:val="00056FF4"/>
    <w:rsid w:val="00057698"/>
    <w:rsid w:val="00057959"/>
    <w:rsid w:val="0006259D"/>
    <w:rsid w:val="000626E8"/>
    <w:rsid w:val="00065727"/>
    <w:rsid w:val="00065A0E"/>
    <w:rsid w:val="00066372"/>
    <w:rsid w:val="000713FF"/>
    <w:rsid w:val="00071620"/>
    <w:rsid w:val="000731B4"/>
    <w:rsid w:val="000742DC"/>
    <w:rsid w:val="00074FFC"/>
    <w:rsid w:val="00075B32"/>
    <w:rsid w:val="00076234"/>
    <w:rsid w:val="00076B7D"/>
    <w:rsid w:val="0008049C"/>
    <w:rsid w:val="00080A3C"/>
    <w:rsid w:val="00084E60"/>
    <w:rsid w:val="00086253"/>
    <w:rsid w:val="00086995"/>
    <w:rsid w:val="00097CF7"/>
    <w:rsid w:val="000A1DD5"/>
    <w:rsid w:val="000A6FB0"/>
    <w:rsid w:val="000A7120"/>
    <w:rsid w:val="000B03E5"/>
    <w:rsid w:val="000B156B"/>
    <w:rsid w:val="000B239E"/>
    <w:rsid w:val="000B3ADA"/>
    <w:rsid w:val="000B3E54"/>
    <w:rsid w:val="000B6D06"/>
    <w:rsid w:val="000B7998"/>
    <w:rsid w:val="000C2B36"/>
    <w:rsid w:val="000C52CB"/>
    <w:rsid w:val="000C53B9"/>
    <w:rsid w:val="000C72E3"/>
    <w:rsid w:val="000D0046"/>
    <w:rsid w:val="000D270D"/>
    <w:rsid w:val="000D3B27"/>
    <w:rsid w:val="000D654A"/>
    <w:rsid w:val="000D7453"/>
    <w:rsid w:val="000E2A30"/>
    <w:rsid w:val="000E47A6"/>
    <w:rsid w:val="000E5660"/>
    <w:rsid w:val="000E7683"/>
    <w:rsid w:val="000E7EFF"/>
    <w:rsid w:val="000F0562"/>
    <w:rsid w:val="000F0E46"/>
    <w:rsid w:val="000F1D13"/>
    <w:rsid w:val="000F2054"/>
    <w:rsid w:val="000F20F5"/>
    <w:rsid w:val="000F3D49"/>
    <w:rsid w:val="000F6467"/>
    <w:rsid w:val="000F6F09"/>
    <w:rsid w:val="001045F0"/>
    <w:rsid w:val="00106F4A"/>
    <w:rsid w:val="00110139"/>
    <w:rsid w:val="00110520"/>
    <w:rsid w:val="0011083A"/>
    <w:rsid w:val="00113326"/>
    <w:rsid w:val="0011547C"/>
    <w:rsid w:val="001160B1"/>
    <w:rsid w:val="00116AD5"/>
    <w:rsid w:val="00120224"/>
    <w:rsid w:val="00120290"/>
    <w:rsid w:val="0012078C"/>
    <w:rsid w:val="00125BB3"/>
    <w:rsid w:val="00126092"/>
    <w:rsid w:val="00127C07"/>
    <w:rsid w:val="00132737"/>
    <w:rsid w:val="00135014"/>
    <w:rsid w:val="00135DBE"/>
    <w:rsid w:val="00136616"/>
    <w:rsid w:val="00144865"/>
    <w:rsid w:val="00144C31"/>
    <w:rsid w:val="00145FEB"/>
    <w:rsid w:val="001472D0"/>
    <w:rsid w:val="00150BA4"/>
    <w:rsid w:val="00152052"/>
    <w:rsid w:val="0015331C"/>
    <w:rsid w:val="00156466"/>
    <w:rsid w:val="00157EF6"/>
    <w:rsid w:val="0016189A"/>
    <w:rsid w:val="001638E9"/>
    <w:rsid w:val="001639C7"/>
    <w:rsid w:val="001651A6"/>
    <w:rsid w:val="001662E6"/>
    <w:rsid w:val="00170419"/>
    <w:rsid w:val="001737A2"/>
    <w:rsid w:val="00175164"/>
    <w:rsid w:val="0017573F"/>
    <w:rsid w:val="001758E1"/>
    <w:rsid w:val="00180527"/>
    <w:rsid w:val="00181D64"/>
    <w:rsid w:val="0018292F"/>
    <w:rsid w:val="0018361F"/>
    <w:rsid w:val="00184E32"/>
    <w:rsid w:val="00187B3E"/>
    <w:rsid w:val="001904E3"/>
    <w:rsid w:val="001912C4"/>
    <w:rsid w:val="001917E0"/>
    <w:rsid w:val="00192236"/>
    <w:rsid w:val="00192DFA"/>
    <w:rsid w:val="00193039"/>
    <w:rsid w:val="00194B8F"/>
    <w:rsid w:val="00195A25"/>
    <w:rsid w:val="00196079"/>
    <w:rsid w:val="001960E7"/>
    <w:rsid w:val="001A08E1"/>
    <w:rsid w:val="001A0F2E"/>
    <w:rsid w:val="001A61C2"/>
    <w:rsid w:val="001B11F0"/>
    <w:rsid w:val="001B13E9"/>
    <w:rsid w:val="001B17A9"/>
    <w:rsid w:val="001B26C8"/>
    <w:rsid w:val="001B37A8"/>
    <w:rsid w:val="001B3DEF"/>
    <w:rsid w:val="001B470E"/>
    <w:rsid w:val="001B5A01"/>
    <w:rsid w:val="001B6378"/>
    <w:rsid w:val="001B7FD3"/>
    <w:rsid w:val="001C20B7"/>
    <w:rsid w:val="001C48CB"/>
    <w:rsid w:val="001C4AF5"/>
    <w:rsid w:val="001C51B1"/>
    <w:rsid w:val="001C5234"/>
    <w:rsid w:val="001C5CCE"/>
    <w:rsid w:val="001C6A25"/>
    <w:rsid w:val="001D036C"/>
    <w:rsid w:val="001D0752"/>
    <w:rsid w:val="001D0B64"/>
    <w:rsid w:val="001D2FCD"/>
    <w:rsid w:val="001D3873"/>
    <w:rsid w:val="001D5A1A"/>
    <w:rsid w:val="001D5CD1"/>
    <w:rsid w:val="001D6F9A"/>
    <w:rsid w:val="001E43D3"/>
    <w:rsid w:val="001E49B8"/>
    <w:rsid w:val="001E5B52"/>
    <w:rsid w:val="001F1AE9"/>
    <w:rsid w:val="001F3AA2"/>
    <w:rsid w:val="001F3CFF"/>
    <w:rsid w:val="001F5482"/>
    <w:rsid w:val="001F660E"/>
    <w:rsid w:val="001F7704"/>
    <w:rsid w:val="001F7BEC"/>
    <w:rsid w:val="0020023D"/>
    <w:rsid w:val="002006AD"/>
    <w:rsid w:val="0020153A"/>
    <w:rsid w:val="002022D8"/>
    <w:rsid w:val="00202C34"/>
    <w:rsid w:val="00202DA2"/>
    <w:rsid w:val="002032F1"/>
    <w:rsid w:val="002107D7"/>
    <w:rsid w:val="00212068"/>
    <w:rsid w:val="00212784"/>
    <w:rsid w:val="00216C3B"/>
    <w:rsid w:val="00217519"/>
    <w:rsid w:val="00220240"/>
    <w:rsid w:val="002203E4"/>
    <w:rsid w:val="0022062C"/>
    <w:rsid w:val="0022197F"/>
    <w:rsid w:val="00226A26"/>
    <w:rsid w:val="00227C85"/>
    <w:rsid w:val="00227DE9"/>
    <w:rsid w:val="00230989"/>
    <w:rsid w:val="00242F4A"/>
    <w:rsid w:val="00243BCB"/>
    <w:rsid w:val="00246887"/>
    <w:rsid w:val="002514D9"/>
    <w:rsid w:val="002539A5"/>
    <w:rsid w:val="00253C3E"/>
    <w:rsid w:val="00254674"/>
    <w:rsid w:val="0025785D"/>
    <w:rsid w:val="0026341E"/>
    <w:rsid w:val="00263F26"/>
    <w:rsid w:val="00264521"/>
    <w:rsid w:val="00267B01"/>
    <w:rsid w:val="00273F8E"/>
    <w:rsid w:val="00274FB7"/>
    <w:rsid w:val="00275099"/>
    <w:rsid w:val="002755F0"/>
    <w:rsid w:val="002811B6"/>
    <w:rsid w:val="00291308"/>
    <w:rsid w:val="0029400F"/>
    <w:rsid w:val="00297AE5"/>
    <w:rsid w:val="002A1BD7"/>
    <w:rsid w:val="002A1C69"/>
    <w:rsid w:val="002A3818"/>
    <w:rsid w:val="002A503E"/>
    <w:rsid w:val="002A5254"/>
    <w:rsid w:val="002A72D7"/>
    <w:rsid w:val="002A76A7"/>
    <w:rsid w:val="002B2360"/>
    <w:rsid w:val="002B47C0"/>
    <w:rsid w:val="002B4EA1"/>
    <w:rsid w:val="002B5363"/>
    <w:rsid w:val="002B57FF"/>
    <w:rsid w:val="002B6184"/>
    <w:rsid w:val="002B63C3"/>
    <w:rsid w:val="002C062A"/>
    <w:rsid w:val="002C0AE4"/>
    <w:rsid w:val="002C21D5"/>
    <w:rsid w:val="002C2573"/>
    <w:rsid w:val="002C2EA1"/>
    <w:rsid w:val="002C3F21"/>
    <w:rsid w:val="002C403D"/>
    <w:rsid w:val="002C60C3"/>
    <w:rsid w:val="002C6724"/>
    <w:rsid w:val="002C7758"/>
    <w:rsid w:val="002C7DF0"/>
    <w:rsid w:val="002D0486"/>
    <w:rsid w:val="002D0A89"/>
    <w:rsid w:val="002D228B"/>
    <w:rsid w:val="002D3EED"/>
    <w:rsid w:val="002D50C0"/>
    <w:rsid w:val="002F28D9"/>
    <w:rsid w:val="002F32BC"/>
    <w:rsid w:val="002F353E"/>
    <w:rsid w:val="002F3B42"/>
    <w:rsid w:val="002F42B7"/>
    <w:rsid w:val="002F43AC"/>
    <w:rsid w:val="002F497C"/>
    <w:rsid w:val="002F625D"/>
    <w:rsid w:val="002F651A"/>
    <w:rsid w:val="003004F6"/>
    <w:rsid w:val="0030059A"/>
    <w:rsid w:val="00304BAF"/>
    <w:rsid w:val="00304EA4"/>
    <w:rsid w:val="003053E0"/>
    <w:rsid w:val="0031013F"/>
    <w:rsid w:val="0031058D"/>
    <w:rsid w:val="0031074C"/>
    <w:rsid w:val="00310AA7"/>
    <w:rsid w:val="0031230A"/>
    <w:rsid w:val="00312385"/>
    <w:rsid w:val="00314BF8"/>
    <w:rsid w:val="003160EA"/>
    <w:rsid w:val="00316E6B"/>
    <w:rsid w:val="00320DBB"/>
    <w:rsid w:val="00321739"/>
    <w:rsid w:val="00322432"/>
    <w:rsid w:val="00322A89"/>
    <w:rsid w:val="00323276"/>
    <w:rsid w:val="00323534"/>
    <w:rsid w:val="00323686"/>
    <w:rsid w:val="00326F9D"/>
    <w:rsid w:val="00327FBC"/>
    <w:rsid w:val="00331115"/>
    <w:rsid w:val="00331228"/>
    <w:rsid w:val="003317E9"/>
    <w:rsid w:val="00332D81"/>
    <w:rsid w:val="00333842"/>
    <w:rsid w:val="00333E7B"/>
    <w:rsid w:val="00334372"/>
    <w:rsid w:val="00335F7F"/>
    <w:rsid w:val="00336AD0"/>
    <w:rsid w:val="00340485"/>
    <w:rsid w:val="00341DCB"/>
    <w:rsid w:val="00342890"/>
    <w:rsid w:val="00343CA4"/>
    <w:rsid w:val="00344275"/>
    <w:rsid w:val="003445B3"/>
    <w:rsid w:val="0034615E"/>
    <w:rsid w:val="0035009B"/>
    <w:rsid w:val="003579CE"/>
    <w:rsid w:val="003618B7"/>
    <w:rsid w:val="00362AB6"/>
    <w:rsid w:val="003637C4"/>
    <w:rsid w:val="00363BEC"/>
    <w:rsid w:val="00363FAD"/>
    <w:rsid w:val="0036716F"/>
    <w:rsid w:val="003671A7"/>
    <w:rsid w:val="00367C2C"/>
    <w:rsid w:val="00371BEA"/>
    <w:rsid w:val="00373171"/>
    <w:rsid w:val="00373D38"/>
    <w:rsid w:val="003745A0"/>
    <w:rsid w:val="003746C4"/>
    <w:rsid w:val="00374F95"/>
    <w:rsid w:val="00375AF9"/>
    <w:rsid w:val="0037769B"/>
    <w:rsid w:val="00385365"/>
    <w:rsid w:val="00385BAF"/>
    <w:rsid w:val="00386281"/>
    <w:rsid w:val="0038629C"/>
    <w:rsid w:val="003878AF"/>
    <w:rsid w:val="00392094"/>
    <w:rsid w:val="003959C6"/>
    <w:rsid w:val="00396064"/>
    <w:rsid w:val="003960AE"/>
    <w:rsid w:val="003962CC"/>
    <w:rsid w:val="0039738B"/>
    <w:rsid w:val="003A03D3"/>
    <w:rsid w:val="003A08C9"/>
    <w:rsid w:val="003A1D67"/>
    <w:rsid w:val="003A2B8A"/>
    <w:rsid w:val="003A4C6E"/>
    <w:rsid w:val="003B1644"/>
    <w:rsid w:val="003B1B6D"/>
    <w:rsid w:val="003B4027"/>
    <w:rsid w:val="003B52E8"/>
    <w:rsid w:val="003B6C46"/>
    <w:rsid w:val="003B766A"/>
    <w:rsid w:val="003B78A3"/>
    <w:rsid w:val="003C3877"/>
    <w:rsid w:val="003C39F4"/>
    <w:rsid w:val="003C3E41"/>
    <w:rsid w:val="003C3F7E"/>
    <w:rsid w:val="003C520A"/>
    <w:rsid w:val="003C542C"/>
    <w:rsid w:val="003C5B57"/>
    <w:rsid w:val="003C639E"/>
    <w:rsid w:val="003C7E29"/>
    <w:rsid w:val="003D03D4"/>
    <w:rsid w:val="003D04B0"/>
    <w:rsid w:val="003D071D"/>
    <w:rsid w:val="003D1C3F"/>
    <w:rsid w:val="003D2E84"/>
    <w:rsid w:val="003D3AC2"/>
    <w:rsid w:val="003D735C"/>
    <w:rsid w:val="003D796F"/>
    <w:rsid w:val="003D7EE6"/>
    <w:rsid w:val="003E0083"/>
    <w:rsid w:val="003E085A"/>
    <w:rsid w:val="003E31F0"/>
    <w:rsid w:val="003E4067"/>
    <w:rsid w:val="003F04B4"/>
    <w:rsid w:val="003F0C5D"/>
    <w:rsid w:val="003F0FA3"/>
    <w:rsid w:val="003F14D8"/>
    <w:rsid w:val="003F27B1"/>
    <w:rsid w:val="003F3040"/>
    <w:rsid w:val="003F419A"/>
    <w:rsid w:val="003F4B42"/>
    <w:rsid w:val="003F5829"/>
    <w:rsid w:val="003F6598"/>
    <w:rsid w:val="003F75D4"/>
    <w:rsid w:val="003F7FCD"/>
    <w:rsid w:val="004002F8"/>
    <w:rsid w:val="00400328"/>
    <w:rsid w:val="00400D46"/>
    <w:rsid w:val="004017AF"/>
    <w:rsid w:val="00404359"/>
    <w:rsid w:val="00405205"/>
    <w:rsid w:val="004105F7"/>
    <w:rsid w:val="00410A8D"/>
    <w:rsid w:val="00411E87"/>
    <w:rsid w:val="004157C2"/>
    <w:rsid w:val="004170B9"/>
    <w:rsid w:val="00420DB2"/>
    <w:rsid w:val="004219B7"/>
    <w:rsid w:val="00422C63"/>
    <w:rsid w:val="00423ECE"/>
    <w:rsid w:val="00424462"/>
    <w:rsid w:val="004244F8"/>
    <w:rsid w:val="00424C40"/>
    <w:rsid w:val="004275A6"/>
    <w:rsid w:val="00427E83"/>
    <w:rsid w:val="004306C4"/>
    <w:rsid w:val="00430FAE"/>
    <w:rsid w:val="004328FC"/>
    <w:rsid w:val="004334CC"/>
    <w:rsid w:val="00434F32"/>
    <w:rsid w:val="00437F15"/>
    <w:rsid w:val="00440B11"/>
    <w:rsid w:val="00444015"/>
    <w:rsid w:val="00445BF5"/>
    <w:rsid w:val="00445C27"/>
    <w:rsid w:val="0045026D"/>
    <w:rsid w:val="00450A49"/>
    <w:rsid w:val="0045390F"/>
    <w:rsid w:val="00453F9B"/>
    <w:rsid w:val="004554B9"/>
    <w:rsid w:val="004555ED"/>
    <w:rsid w:val="00455A1B"/>
    <w:rsid w:val="004601AD"/>
    <w:rsid w:val="00466CEC"/>
    <w:rsid w:val="00470CB1"/>
    <w:rsid w:val="004712E0"/>
    <w:rsid w:val="0047202F"/>
    <w:rsid w:val="00472113"/>
    <w:rsid w:val="004759DC"/>
    <w:rsid w:val="00475F90"/>
    <w:rsid w:val="00480B11"/>
    <w:rsid w:val="00481DD8"/>
    <w:rsid w:val="0048272E"/>
    <w:rsid w:val="00483D1A"/>
    <w:rsid w:val="004843D4"/>
    <w:rsid w:val="0048476A"/>
    <w:rsid w:val="004850FC"/>
    <w:rsid w:val="004865E4"/>
    <w:rsid w:val="0048705D"/>
    <w:rsid w:val="00491982"/>
    <w:rsid w:val="0049253A"/>
    <w:rsid w:val="004936B7"/>
    <w:rsid w:val="00493B3F"/>
    <w:rsid w:val="00494F50"/>
    <w:rsid w:val="004A3415"/>
    <w:rsid w:val="004A5203"/>
    <w:rsid w:val="004A7B55"/>
    <w:rsid w:val="004B1960"/>
    <w:rsid w:val="004B2BA9"/>
    <w:rsid w:val="004B780B"/>
    <w:rsid w:val="004B7E57"/>
    <w:rsid w:val="004C1183"/>
    <w:rsid w:val="004C2328"/>
    <w:rsid w:val="004D223F"/>
    <w:rsid w:val="004D3CFF"/>
    <w:rsid w:val="004D531C"/>
    <w:rsid w:val="004E338E"/>
    <w:rsid w:val="004F1516"/>
    <w:rsid w:val="004F343D"/>
    <w:rsid w:val="004F445B"/>
    <w:rsid w:val="004F4C45"/>
    <w:rsid w:val="004F6D79"/>
    <w:rsid w:val="0050042B"/>
    <w:rsid w:val="00500FA3"/>
    <w:rsid w:val="00501C60"/>
    <w:rsid w:val="00503CE6"/>
    <w:rsid w:val="00505247"/>
    <w:rsid w:val="0050606D"/>
    <w:rsid w:val="00506201"/>
    <w:rsid w:val="00506A47"/>
    <w:rsid w:val="00506DE2"/>
    <w:rsid w:val="0050730D"/>
    <w:rsid w:val="00510B6C"/>
    <w:rsid w:val="00510E92"/>
    <w:rsid w:val="0051351D"/>
    <w:rsid w:val="0051545A"/>
    <w:rsid w:val="00516138"/>
    <w:rsid w:val="00526575"/>
    <w:rsid w:val="005266F8"/>
    <w:rsid w:val="00531D8B"/>
    <w:rsid w:val="00535393"/>
    <w:rsid w:val="00544209"/>
    <w:rsid w:val="0054489F"/>
    <w:rsid w:val="00544E98"/>
    <w:rsid w:val="005526E1"/>
    <w:rsid w:val="00554608"/>
    <w:rsid w:val="00555739"/>
    <w:rsid w:val="005562D6"/>
    <w:rsid w:val="00562B81"/>
    <w:rsid w:val="0056405E"/>
    <w:rsid w:val="00565085"/>
    <w:rsid w:val="00567C68"/>
    <w:rsid w:val="00567CB4"/>
    <w:rsid w:val="00571ABC"/>
    <w:rsid w:val="00572075"/>
    <w:rsid w:val="00572E2F"/>
    <w:rsid w:val="0057310E"/>
    <w:rsid w:val="00573132"/>
    <w:rsid w:val="00573244"/>
    <w:rsid w:val="00573D00"/>
    <w:rsid w:val="00573DA7"/>
    <w:rsid w:val="00575A6F"/>
    <w:rsid w:val="00575E19"/>
    <w:rsid w:val="00577E91"/>
    <w:rsid w:val="00580606"/>
    <w:rsid w:val="005806ED"/>
    <w:rsid w:val="005806F1"/>
    <w:rsid w:val="00581EA4"/>
    <w:rsid w:val="005839B9"/>
    <w:rsid w:val="00584FF3"/>
    <w:rsid w:val="00586492"/>
    <w:rsid w:val="00586D04"/>
    <w:rsid w:val="00587E34"/>
    <w:rsid w:val="00590384"/>
    <w:rsid w:val="0059404A"/>
    <w:rsid w:val="0059514A"/>
    <w:rsid w:val="00595686"/>
    <w:rsid w:val="00597485"/>
    <w:rsid w:val="005A3E9D"/>
    <w:rsid w:val="005A7D9B"/>
    <w:rsid w:val="005B02BB"/>
    <w:rsid w:val="005B14A9"/>
    <w:rsid w:val="005B2F2C"/>
    <w:rsid w:val="005B4745"/>
    <w:rsid w:val="005B49EB"/>
    <w:rsid w:val="005B53C4"/>
    <w:rsid w:val="005B626E"/>
    <w:rsid w:val="005C029C"/>
    <w:rsid w:val="005C153F"/>
    <w:rsid w:val="005C3D77"/>
    <w:rsid w:val="005C47BA"/>
    <w:rsid w:val="005C48B8"/>
    <w:rsid w:val="005C7A35"/>
    <w:rsid w:val="005D0B73"/>
    <w:rsid w:val="005D0DE7"/>
    <w:rsid w:val="005D1899"/>
    <w:rsid w:val="005D4493"/>
    <w:rsid w:val="005D5D4E"/>
    <w:rsid w:val="005D699B"/>
    <w:rsid w:val="005E000A"/>
    <w:rsid w:val="005E196B"/>
    <w:rsid w:val="005E3534"/>
    <w:rsid w:val="005E6609"/>
    <w:rsid w:val="005E6E7B"/>
    <w:rsid w:val="005F3C82"/>
    <w:rsid w:val="005F4DDE"/>
    <w:rsid w:val="006036FE"/>
    <w:rsid w:val="006039DC"/>
    <w:rsid w:val="006044D7"/>
    <w:rsid w:val="00604711"/>
    <w:rsid w:val="00606AE4"/>
    <w:rsid w:val="00607534"/>
    <w:rsid w:val="00610875"/>
    <w:rsid w:val="00611151"/>
    <w:rsid w:val="00611D31"/>
    <w:rsid w:val="00612773"/>
    <w:rsid w:val="00615738"/>
    <w:rsid w:val="00615B03"/>
    <w:rsid w:val="0061623E"/>
    <w:rsid w:val="006175A6"/>
    <w:rsid w:val="00617870"/>
    <w:rsid w:val="00623741"/>
    <w:rsid w:val="00623893"/>
    <w:rsid w:val="00623E35"/>
    <w:rsid w:val="00626094"/>
    <w:rsid w:val="006276A8"/>
    <w:rsid w:val="0063132B"/>
    <w:rsid w:val="006319CD"/>
    <w:rsid w:val="006331EB"/>
    <w:rsid w:val="006337FC"/>
    <w:rsid w:val="00633C7C"/>
    <w:rsid w:val="00633D3E"/>
    <w:rsid w:val="00634A0E"/>
    <w:rsid w:val="00634A1D"/>
    <w:rsid w:val="00634E83"/>
    <w:rsid w:val="0063752A"/>
    <w:rsid w:val="006375CC"/>
    <w:rsid w:val="00637681"/>
    <w:rsid w:val="006377E9"/>
    <w:rsid w:val="00637C43"/>
    <w:rsid w:val="00642A6E"/>
    <w:rsid w:val="00643278"/>
    <w:rsid w:val="00643B5E"/>
    <w:rsid w:val="00644897"/>
    <w:rsid w:val="00652F88"/>
    <w:rsid w:val="0065786F"/>
    <w:rsid w:val="00661438"/>
    <w:rsid w:val="00663ABE"/>
    <w:rsid w:val="00665AE2"/>
    <w:rsid w:val="0066645C"/>
    <w:rsid w:val="00667007"/>
    <w:rsid w:val="00667605"/>
    <w:rsid w:val="00676A55"/>
    <w:rsid w:val="0067737B"/>
    <w:rsid w:val="00680AE1"/>
    <w:rsid w:val="00682ECA"/>
    <w:rsid w:val="00683480"/>
    <w:rsid w:val="006837AA"/>
    <w:rsid w:val="00683960"/>
    <w:rsid w:val="006845E4"/>
    <w:rsid w:val="00686505"/>
    <w:rsid w:val="00687182"/>
    <w:rsid w:val="00692D6E"/>
    <w:rsid w:val="006932CD"/>
    <w:rsid w:val="006949A0"/>
    <w:rsid w:val="006953A4"/>
    <w:rsid w:val="006953CB"/>
    <w:rsid w:val="0069665E"/>
    <w:rsid w:val="00696D8B"/>
    <w:rsid w:val="006976A0"/>
    <w:rsid w:val="006A23BF"/>
    <w:rsid w:val="006A2E3A"/>
    <w:rsid w:val="006A3ACF"/>
    <w:rsid w:val="006A465A"/>
    <w:rsid w:val="006B1407"/>
    <w:rsid w:val="006B2551"/>
    <w:rsid w:val="006B2D12"/>
    <w:rsid w:val="006B38B5"/>
    <w:rsid w:val="006B5A0A"/>
    <w:rsid w:val="006B5D31"/>
    <w:rsid w:val="006C031F"/>
    <w:rsid w:val="006C2ADB"/>
    <w:rsid w:val="006C3CB2"/>
    <w:rsid w:val="006C5154"/>
    <w:rsid w:val="006C54A5"/>
    <w:rsid w:val="006C552F"/>
    <w:rsid w:val="006C5F42"/>
    <w:rsid w:val="006C607D"/>
    <w:rsid w:val="006C6CFE"/>
    <w:rsid w:val="006C7A10"/>
    <w:rsid w:val="006D0BBF"/>
    <w:rsid w:val="006D337D"/>
    <w:rsid w:val="006E067D"/>
    <w:rsid w:val="006E1369"/>
    <w:rsid w:val="006E17CF"/>
    <w:rsid w:val="006E2C2C"/>
    <w:rsid w:val="006E46C5"/>
    <w:rsid w:val="006E472B"/>
    <w:rsid w:val="006F0668"/>
    <w:rsid w:val="006F6D7A"/>
    <w:rsid w:val="006F71AA"/>
    <w:rsid w:val="0070042D"/>
    <w:rsid w:val="00704398"/>
    <w:rsid w:val="00704C1D"/>
    <w:rsid w:val="007054FD"/>
    <w:rsid w:val="00711820"/>
    <w:rsid w:val="007171FC"/>
    <w:rsid w:val="00717A1D"/>
    <w:rsid w:val="0072103C"/>
    <w:rsid w:val="007217A7"/>
    <w:rsid w:val="00721E45"/>
    <w:rsid w:val="00721FFA"/>
    <w:rsid w:val="00722B1C"/>
    <w:rsid w:val="007248EE"/>
    <w:rsid w:val="00733F75"/>
    <w:rsid w:val="00735981"/>
    <w:rsid w:val="00737482"/>
    <w:rsid w:val="00742E98"/>
    <w:rsid w:val="00742FA4"/>
    <w:rsid w:val="00743DE9"/>
    <w:rsid w:val="0074400A"/>
    <w:rsid w:val="0074422E"/>
    <w:rsid w:val="00745052"/>
    <w:rsid w:val="00750F1B"/>
    <w:rsid w:val="00753732"/>
    <w:rsid w:val="00753AAB"/>
    <w:rsid w:val="00757471"/>
    <w:rsid w:val="00760564"/>
    <w:rsid w:val="00765224"/>
    <w:rsid w:val="007667FC"/>
    <w:rsid w:val="007669AB"/>
    <w:rsid w:val="00766AAD"/>
    <w:rsid w:val="007679C5"/>
    <w:rsid w:val="007718A1"/>
    <w:rsid w:val="007741D6"/>
    <w:rsid w:val="007773F0"/>
    <w:rsid w:val="00781C22"/>
    <w:rsid w:val="0078565A"/>
    <w:rsid w:val="00785953"/>
    <w:rsid w:val="007863E2"/>
    <w:rsid w:val="0078740D"/>
    <w:rsid w:val="0078777F"/>
    <w:rsid w:val="00787B9C"/>
    <w:rsid w:val="00790BC1"/>
    <w:rsid w:val="007947BE"/>
    <w:rsid w:val="00794854"/>
    <w:rsid w:val="007973C3"/>
    <w:rsid w:val="007A16B5"/>
    <w:rsid w:val="007A2D37"/>
    <w:rsid w:val="007A3083"/>
    <w:rsid w:val="007A5350"/>
    <w:rsid w:val="007A65F4"/>
    <w:rsid w:val="007A72EC"/>
    <w:rsid w:val="007A764A"/>
    <w:rsid w:val="007A7F18"/>
    <w:rsid w:val="007B04D9"/>
    <w:rsid w:val="007B2AAB"/>
    <w:rsid w:val="007B5174"/>
    <w:rsid w:val="007B681B"/>
    <w:rsid w:val="007B719A"/>
    <w:rsid w:val="007B7D11"/>
    <w:rsid w:val="007B7E86"/>
    <w:rsid w:val="007C0840"/>
    <w:rsid w:val="007C0FA1"/>
    <w:rsid w:val="007C0FB0"/>
    <w:rsid w:val="007C14FA"/>
    <w:rsid w:val="007C2559"/>
    <w:rsid w:val="007C4215"/>
    <w:rsid w:val="007C6175"/>
    <w:rsid w:val="007D12BB"/>
    <w:rsid w:val="007D667D"/>
    <w:rsid w:val="007D7DD4"/>
    <w:rsid w:val="007E1FF4"/>
    <w:rsid w:val="007E46A1"/>
    <w:rsid w:val="007E5A1E"/>
    <w:rsid w:val="007E6172"/>
    <w:rsid w:val="007E7BD3"/>
    <w:rsid w:val="007F11D3"/>
    <w:rsid w:val="007F1A8B"/>
    <w:rsid w:val="007F29B0"/>
    <w:rsid w:val="007F36DA"/>
    <w:rsid w:val="007F4F57"/>
    <w:rsid w:val="00800929"/>
    <w:rsid w:val="00802021"/>
    <w:rsid w:val="00802599"/>
    <w:rsid w:val="00805B4C"/>
    <w:rsid w:val="0080630A"/>
    <w:rsid w:val="00807063"/>
    <w:rsid w:val="00807A8B"/>
    <w:rsid w:val="00807C5E"/>
    <w:rsid w:val="00810495"/>
    <w:rsid w:val="00814448"/>
    <w:rsid w:val="008148A8"/>
    <w:rsid w:val="00815A0D"/>
    <w:rsid w:val="00815F65"/>
    <w:rsid w:val="008168C6"/>
    <w:rsid w:val="00816D59"/>
    <w:rsid w:val="00820F1D"/>
    <w:rsid w:val="00821D86"/>
    <w:rsid w:val="0082393E"/>
    <w:rsid w:val="00823D71"/>
    <w:rsid w:val="00824382"/>
    <w:rsid w:val="00825D3C"/>
    <w:rsid w:val="00826A86"/>
    <w:rsid w:val="00826D34"/>
    <w:rsid w:val="00827467"/>
    <w:rsid w:val="008306DF"/>
    <w:rsid w:val="0083108F"/>
    <w:rsid w:val="0083347F"/>
    <w:rsid w:val="00833CDE"/>
    <w:rsid w:val="00834695"/>
    <w:rsid w:val="008349FA"/>
    <w:rsid w:val="00835359"/>
    <w:rsid w:val="0084437A"/>
    <w:rsid w:val="008477C8"/>
    <w:rsid w:val="00852160"/>
    <w:rsid w:val="008528C6"/>
    <w:rsid w:val="008532AF"/>
    <w:rsid w:val="008631D7"/>
    <w:rsid w:val="00863892"/>
    <w:rsid w:val="00864056"/>
    <w:rsid w:val="00864225"/>
    <w:rsid w:val="00871510"/>
    <w:rsid w:val="008719D7"/>
    <w:rsid w:val="00871A5D"/>
    <w:rsid w:val="00873405"/>
    <w:rsid w:val="00873FFA"/>
    <w:rsid w:val="008747A9"/>
    <w:rsid w:val="00876115"/>
    <w:rsid w:val="00877932"/>
    <w:rsid w:val="008812EC"/>
    <w:rsid w:val="008828B1"/>
    <w:rsid w:val="00885233"/>
    <w:rsid w:val="0088579D"/>
    <w:rsid w:val="00886C7B"/>
    <w:rsid w:val="008901E8"/>
    <w:rsid w:val="008907D0"/>
    <w:rsid w:val="00891902"/>
    <w:rsid w:val="00891BD7"/>
    <w:rsid w:val="008961CD"/>
    <w:rsid w:val="00896622"/>
    <w:rsid w:val="00896689"/>
    <w:rsid w:val="00897B54"/>
    <w:rsid w:val="008A4BBA"/>
    <w:rsid w:val="008A5EC6"/>
    <w:rsid w:val="008A5F97"/>
    <w:rsid w:val="008A630A"/>
    <w:rsid w:val="008A76E4"/>
    <w:rsid w:val="008B48F4"/>
    <w:rsid w:val="008B55B6"/>
    <w:rsid w:val="008B62AF"/>
    <w:rsid w:val="008B6535"/>
    <w:rsid w:val="008B7BD2"/>
    <w:rsid w:val="008C39CF"/>
    <w:rsid w:val="008D1DCC"/>
    <w:rsid w:val="008D336B"/>
    <w:rsid w:val="008D5A88"/>
    <w:rsid w:val="008D6CFF"/>
    <w:rsid w:val="008D79B7"/>
    <w:rsid w:val="008E192E"/>
    <w:rsid w:val="008E1C8B"/>
    <w:rsid w:val="008E2188"/>
    <w:rsid w:val="008E44E9"/>
    <w:rsid w:val="008E5676"/>
    <w:rsid w:val="008F00AB"/>
    <w:rsid w:val="008F017F"/>
    <w:rsid w:val="008F1021"/>
    <w:rsid w:val="008F2D8D"/>
    <w:rsid w:val="008F39E1"/>
    <w:rsid w:val="008F656E"/>
    <w:rsid w:val="008F76EE"/>
    <w:rsid w:val="008F77F5"/>
    <w:rsid w:val="00900764"/>
    <w:rsid w:val="009016E2"/>
    <w:rsid w:val="009038EB"/>
    <w:rsid w:val="00904EC8"/>
    <w:rsid w:val="00904F88"/>
    <w:rsid w:val="009074F6"/>
    <w:rsid w:val="00907BF5"/>
    <w:rsid w:val="0091123C"/>
    <w:rsid w:val="00912465"/>
    <w:rsid w:val="00914CBE"/>
    <w:rsid w:val="009169B9"/>
    <w:rsid w:val="00916C3F"/>
    <w:rsid w:val="009210D3"/>
    <w:rsid w:val="00921783"/>
    <w:rsid w:val="00921DB0"/>
    <w:rsid w:val="00924B4D"/>
    <w:rsid w:val="0092540D"/>
    <w:rsid w:val="009254F5"/>
    <w:rsid w:val="00930439"/>
    <w:rsid w:val="009309B3"/>
    <w:rsid w:val="00930A57"/>
    <w:rsid w:val="00931C61"/>
    <w:rsid w:val="00933730"/>
    <w:rsid w:val="00935B15"/>
    <w:rsid w:val="00937E59"/>
    <w:rsid w:val="00943144"/>
    <w:rsid w:val="0094317E"/>
    <w:rsid w:val="00943EB2"/>
    <w:rsid w:val="0094783C"/>
    <w:rsid w:val="00950F77"/>
    <w:rsid w:val="00952152"/>
    <w:rsid w:val="00953353"/>
    <w:rsid w:val="00956F9B"/>
    <w:rsid w:val="00960454"/>
    <w:rsid w:val="00962713"/>
    <w:rsid w:val="009636AD"/>
    <w:rsid w:val="00965F1B"/>
    <w:rsid w:val="00967DB2"/>
    <w:rsid w:val="00971204"/>
    <w:rsid w:val="0097144B"/>
    <w:rsid w:val="0097292A"/>
    <w:rsid w:val="00973832"/>
    <w:rsid w:val="0097435F"/>
    <w:rsid w:val="0097673D"/>
    <w:rsid w:val="009768EF"/>
    <w:rsid w:val="0097761E"/>
    <w:rsid w:val="009809CA"/>
    <w:rsid w:val="009855D6"/>
    <w:rsid w:val="0098712F"/>
    <w:rsid w:val="00987AA8"/>
    <w:rsid w:val="00987B9C"/>
    <w:rsid w:val="00990283"/>
    <w:rsid w:val="00991917"/>
    <w:rsid w:val="0099255A"/>
    <w:rsid w:val="00995406"/>
    <w:rsid w:val="00995622"/>
    <w:rsid w:val="00995657"/>
    <w:rsid w:val="0099698F"/>
    <w:rsid w:val="009A0762"/>
    <w:rsid w:val="009A0CFD"/>
    <w:rsid w:val="009A0DE4"/>
    <w:rsid w:val="009A0DE6"/>
    <w:rsid w:val="009A1D24"/>
    <w:rsid w:val="009A318F"/>
    <w:rsid w:val="009A5954"/>
    <w:rsid w:val="009A6231"/>
    <w:rsid w:val="009A6641"/>
    <w:rsid w:val="009B0E01"/>
    <w:rsid w:val="009B1888"/>
    <w:rsid w:val="009C075F"/>
    <w:rsid w:val="009C0830"/>
    <w:rsid w:val="009C2F48"/>
    <w:rsid w:val="009C4EC1"/>
    <w:rsid w:val="009C6272"/>
    <w:rsid w:val="009D2BDB"/>
    <w:rsid w:val="009D35B8"/>
    <w:rsid w:val="009D3EF4"/>
    <w:rsid w:val="009D5E60"/>
    <w:rsid w:val="009E10BA"/>
    <w:rsid w:val="009E174D"/>
    <w:rsid w:val="009E196C"/>
    <w:rsid w:val="009E3F1E"/>
    <w:rsid w:val="009E426D"/>
    <w:rsid w:val="009E46EE"/>
    <w:rsid w:val="009E67A4"/>
    <w:rsid w:val="009E735D"/>
    <w:rsid w:val="009F4593"/>
    <w:rsid w:val="009F6925"/>
    <w:rsid w:val="009F7281"/>
    <w:rsid w:val="00A00302"/>
    <w:rsid w:val="00A0171F"/>
    <w:rsid w:val="00A01B88"/>
    <w:rsid w:val="00A02A9A"/>
    <w:rsid w:val="00A04F14"/>
    <w:rsid w:val="00A06C4C"/>
    <w:rsid w:val="00A06E15"/>
    <w:rsid w:val="00A111CE"/>
    <w:rsid w:val="00A11AF0"/>
    <w:rsid w:val="00A121D7"/>
    <w:rsid w:val="00A125A9"/>
    <w:rsid w:val="00A13FCF"/>
    <w:rsid w:val="00A14A66"/>
    <w:rsid w:val="00A16C4B"/>
    <w:rsid w:val="00A17C50"/>
    <w:rsid w:val="00A21718"/>
    <w:rsid w:val="00A217BA"/>
    <w:rsid w:val="00A27951"/>
    <w:rsid w:val="00A32CD5"/>
    <w:rsid w:val="00A35044"/>
    <w:rsid w:val="00A35468"/>
    <w:rsid w:val="00A35C4C"/>
    <w:rsid w:val="00A36EC5"/>
    <w:rsid w:val="00A40B4F"/>
    <w:rsid w:val="00A40FD4"/>
    <w:rsid w:val="00A423C5"/>
    <w:rsid w:val="00A440B7"/>
    <w:rsid w:val="00A44E8E"/>
    <w:rsid w:val="00A463A4"/>
    <w:rsid w:val="00A469BB"/>
    <w:rsid w:val="00A52CEA"/>
    <w:rsid w:val="00A5412F"/>
    <w:rsid w:val="00A5501F"/>
    <w:rsid w:val="00A550D1"/>
    <w:rsid w:val="00A55A2F"/>
    <w:rsid w:val="00A57383"/>
    <w:rsid w:val="00A57FC4"/>
    <w:rsid w:val="00A62001"/>
    <w:rsid w:val="00A62032"/>
    <w:rsid w:val="00A6512F"/>
    <w:rsid w:val="00A67914"/>
    <w:rsid w:val="00A704BD"/>
    <w:rsid w:val="00A72859"/>
    <w:rsid w:val="00A72BC7"/>
    <w:rsid w:val="00A73364"/>
    <w:rsid w:val="00A75E0F"/>
    <w:rsid w:val="00A7751B"/>
    <w:rsid w:val="00A80361"/>
    <w:rsid w:val="00A8043B"/>
    <w:rsid w:val="00A834C8"/>
    <w:rsid w:val="00A83683"/>
    <w:rsid w:val="00A85174"/>
    <w:rsid w:val="00A87776"/>
    <w:rsid w:val="00A900DF"/>
    <w:rsid w:val="00A9031D"/>
    <w:rsid w:val="00A92873"/>
    <w:rsid w:val="00A95A34"/>
    <w:rsid w:val="00A9766B"/>
    <w:rsid w:val="00AA0A9D"/>
    <w:rsid w:val="00AA1A5D"/>
    <w:rsid w:val="00AA3470"/>
    <w:rsid w:val="00AA6006"/>
    <w:rsid w:val="00AB339D"/>
    <w:rsid w:val="00AB508C"/>
    <w:rsid w:val="00AC138E"/>
    <w:rsid w:val="00AC1A77"/>
    <w:rsid w:val="00AC1B1D"/>
    <w:rsid w:val="00AC1C5D"/>
    <w:rsid w:val="00AC2636"/>
    <w:rsid w:val="00AC73AD"/>
    <w:rsid w:val="00AD0342"/>
    <w:rsid w:val="00AD1FB9"/>
    <w:rsid w:val="00AD5895"/>
    <w:rsid w:val="00AD6EC1"/>
    <w:rsid w:val="00AD700C"/>
    <w:rsid w:val="00AE05EE"/>
    <w:rsid w:val="00AE2239"/>
    <w:rsid w:val="00AE2DBC"/>
    <w:rsid w:val="00AE2EF7"/>
    <w:rsid w:val="00AE43E0"/>
    <w:rsid w:val="00AE7986"/>
    <w:rsid w:val="00AF1254"/>
    <w:rsid w:val="00AF14D9"/>
    <w:rsid w:val="00AF4E8D"/>
    <w:rsid w:val="00AF5325"/>
    <w:rsid w:val="00B015EA"/>
    <w:rsid w:val="00B02B0A"/>
    <w:rsid w:val="00B03C85"/>
    <w:rsid w:val="00B05D76"/>
    <w:rsid w:val="00B06F59"/>
    <w:rsid w:val="00B10123"/>
    <w:rsid w:val="00B131CF"/>
    <w:rsid w:val="00B140E1"/>
    <w:rsid w:val="00B144CC"/>
    <w:rsid w:val="00B14D06"/>
    <w:rsid w:val="00B15B66"/>
    <w:rsid w:val="00B22EE1"/>
    <w:rsid w:val="00B23FCC"/>
    <w:rsid w:val="00B24DAE"/>
    <w:rsid w:val="00B2797C"/>
    <w:rsid w:val="00B27CEC"/>
    <w:rsid w:val="00B310BC"/>
    <w:rsid w:val="00B318B5"/>
    <w:rsid w:val="00B3429B"/>
    <w:rsid w:val="00B40295"/>
    <w:rsid w:val="00B40A94"/>
    <w:rsid w:val="00B425B4"/>
    <w:rsid w:val="00B4473D"/>
    <w:rsid w:val="00B47BAB"/>
    <w:rsid w:val="00B52517"/>
    <w:rsid w:val="00B52586"/>
    <w:rsid w:val="00B52724"/>
    <w:rsid w:val="00B539C3"/>
    <w:rsid w:val="00B5655C"/>
    <w:rsid w:val="00B61829"/>
    <w:rsid w:val="00B61CE6"/>
    <w:rsid w:val="00B63240"/>
    <w:rsid w:val="00B64B1D"/>
    <w:rsid w:val="00B6753E"/>
    <w:rsid w:val="00B7099F"/>
    <w:rsid w:val="00B719C0"/>
    <w:rsid w:val="00B739EC"/>
    <w:rsid w:val="00B774D3"/>
    <w:rsid w:val="00B80930"/>
    <w:rsid w:val="00B81493"/>
    <w:rsid w:val="00B81DB6"/>
    <w:rsid w:val="00B82607"/>
    <w:rsid w:val="00B83742"/>
    <w:rsid w:val="00B83BFD"/>
    <w:rsid w:val="00B85BEF"/>
    <w:rsid w:val="00B85CCA"/>
    <w:rsid w:val="00B85E36"/>
    <w:rsid w:val="00B86F77"/>
    <w:rsid w:val="00B91193"/>
    <w:rsid w:val="00B934DF"/>
    <w:rsid w:val="00B94D48"/>
    <w:rsid w:val="00B979C9"/>
    <w:rsid w:val="00BA158E"/>
    <w:rsid w:val="00BA2740"/>
    <w:rsid w:val="00BA4510"/>
    <w:rsid w:val="00BA4C36"/>
    <w:rsid w:val="00BA53F9"/>
    <w:rsid w:val="00BA6112"/>
    <w:rsid w:val="00BA7B1B"/>
    <w:rsid w:val="00BA7F5F"/>
    <w:rsid w:val="00BB3865"/>
    <w:rsid w:val="00BB3E9C"/>
    <w:rsid w:val="00BB4D8D"/>
    <w:rsid w:val="00BB62BD"/>
    <w:rsid w:val="00BB78F0"/>
    <w:rsid w:val="00BB796F"/>
    <w:rsid w:val="00BC00E5"/>
    <w:rsid w:val="00BC01EC"/>
    <w:rsid w:val="00BC120C"/>
    <w:rsid w:val="00BC2353"/>
    <w:rsid w:val="00BC23C0"/>
    <w:rsid w:val="00BC2FDB"/>
    <w:rsid w:val="00BC48EC"/>
    <w:rsid w:val="00BC6A9F"/>
    <w:rsid w:val="00BD017F"/>
    <w:rsid w:val="00BE0DED"/>
    <w:rsid w:val="00BE1492"/>
    <w:rsid w:val="00BE1D65"/>
    <w:rsid w:val="00BE334E"/>
    <w:rsid w:val="00BE49EC"/>
    <w:rsid w:val="00BE66AC"/>
    <w:rsid w:val="00BE681C"/>
    <w:rsid w:val="00BE7196"/>
    <w:rsid w:val="00BF23AF"/>
    <w:rsid w:val="00BF271A"/>
    <w:rsid w:val="00BF3B84"/>
    <w:rsid w:val="00BF4151"/>
    <w:rsid w:val="00BF5131"/>
    <w:rsid w:val="00BF60A2"/>
    <w:rsid w:val="00BF62DA"/>
    <w:rsid w:val="00BF6CA0"/>
    <w:rsid w:val="00C01751"/>
    <w:rsid w:val="00C02D38"/>
    <w:rsid w:val="00C035CB"/>
    <w:rsid w:val="00C12BF9"/>
    <w:rsid w:val="00C12CAE"/>
    <w:rsid w:val="00C132D1"/>
    <w:rsid w:val="00C14999"/>
    <w:rsid w:val="00C200E6"/>
    <w:rsid w:val="00C23F8F"/>
    <w:rsid w:val="00C240F1"/>
    <w:rsid w:val="00C25C40"/>
    <w:rsid w:val="00C26AF2"/>
    <w:rsid w:val="00C30CC0"/>
    <w:rsid w:val="00C33B3D"/>
    <w:rsid w:val="00C33E73"/>
    <w:rsid w:val="00C35CD5"/>
    <w:rsid w:val="00C3642D"/>
    <w:rsid w:val="00C43051"/>
    <w:rsid w:val="00C433A8"/>
    <w:rsid w:val="00C43CD4"/>
    <w:rsid w:val="00C43DB4"/>
    <w:rsid w:val="00C46433"/>
    <w:rsid w:val="00C46650"/>
    <w:rsid w:val="00C469E7"/>
    <w:rsid w:val="00C46AD7"/>
    <w:rsid w:val="00C503C5"/>
    <w:rsid w:val="00C5262E"/>
    <w:rsid w:val="00C54858"/>
    <w:rsid w:val="00C625E8"/>
    <w:rsid w:val="00C6336A"/>
    <w:rsid w:val="00C659BA"/>
    <w:rsid w:val="00C66A48"/>
    <w:rsid w:val="00C671C5"/>
    <w:rsid w:val="00C6790D"/>
    <w:rsid w:val="00C67976"/>
    <w:rsid w:val="00C701AE"/>
    <w:rsid w:val="00C71438"/>
    <w:rsid w:val="00C73881"/>
    <w:rsid w:val="00C73D07"/>
    <w:rsid w:val="00C7440A"/>
    <w:rsid w:val="00C75128"/>
    <w:rsid w:val="00C76CDC"/>
    <w:rsid w:val="00C77080"/>
    <w:rsid w:val="00C7761D"/>
    <w:rsid w:val="00C80702"/>
    <w:rsid w:val="00C832E7"/>
    <w:rsid w:val="00C8454A"/>
    <w:rsid w:val="00C856EF"/>
    <w:rsid w:val="00C8753F"/>
    <w:rsid w:val="00C94429"/>
    <w:rsid w:val="00C94C33"/>
    <w:rsid w:val="00C97522"/>
    <w:rsid w:val="00CA1F75"/>
    <w:rsid w:val="00CA53A0"/>
    <w:rsid w:val="00CB0235"/>
    <w:rsid w:val="00CB3EFC"/>
    <w:rsid w:val="00CB451C"/>
    <w:rsid w:val="00CC0691"/>
    <w:rsid w:val="00CC0E91"/>
    <w:rsid w:val="00CC1B83"/>
    <w:rsid w:val="00CC1CA5"/>
    <w:rsid w:val="00CC1E7A"/>
    <w:rsid w:val="00CC7041"/>
    <w:rsid w:val="00CD2D19"/>
    <w:rsid w:val="00CD3485"/>
    <w:rsid w:val="00CD4C92"/>
    <w:rsid w:val="00CD5D25"/>
    <w:rsid w:val="00CD6E36"/>
    <w:rsid w:val="00CD71CA"/>
    <w:rsid w:val="00CE180D"/>
    <w:rsid w:val="00CF1318"/>
    <w:rsid w:val="00CF1754"/>
    <w:rsid w:val="00CF52E4"/>
    <w:rsid w:val="00CF751D"/>
    <w:rsid w:val="00D0023E"/>
    <w:rsid w:val="00D01FE7"/>
    <w:rsid w:val="00D02F97"/>
    <w:rsid w:val="00D0397B"/>
    <w:rsid w:val="00D05ACB"/>
    <w:rsid w:val="00D07CE8"/>
    <w:rsid w:val="00D106B3"/>
    <w:rsid w:val="00D10805"/>
    <w:rsid w:val="00D133CF"/>
    <w:rsid w:val="00D1377E"/>
    <w:rsid w:val="00D15F35"/>
    <w:rsid w:val="00D17ABB"/>
    <w:rsid w:val="00D20D4A"/>
    <w:rsid w:val="00D25192"/>
    <w:rsid w:val="00D3336C"/>
    <w:rsid w:val="00D33EE3"/>
    <w:rsid w:val="00D33EEC"/>
    <w:rsid w:val="00D4028A"/>
    <w:rsid w:val="00D46A0B"/>
    <w:rsid w:val="00D508BA"/>
    <w:rsid w:val="00D51A8D"/>
    <w:rsid w:val="00D51AA6"/>
    <w:rsid w:val="00D60294"/>
    <w:rsid w:val="00D62922"/>
    <w:rsid w:val="00D62D96"/>
    <w:rsid w:val="00D64E35"/>
    <w:rsid w:val="00D66200"/>
    <w:rsid w:val="00D67B8B"/>
    <w:rsid w:val="00D7079B"/>
    <w:rsid w:val="00D7379B"/>
    <w:rsid w:val="00D75819"/>
    <w:rsid w:val="00D8782E"/>
    <w:rsid w:val="00D93294"/>
    <w:rsid w:val="00D9356E"/>
    <w:rsid w:val="00D9596B"/>
    <w:rsid w:val="00D97280"/>
    <w:rsid w:val="00D979A3"/>
    <w:rsid w:val="00DA028E"/>
    <w:rsid w:val="00DA2EBE"/>
    <w:rsid w:val="00DA3ED1"/>
    <w:rsid w:val="00DA4E69"/>
    <w:rsid w:val="00DA769B"/>
    <w:rsid w:val="00DB05F5"/>
    <w:rsid w:val="00DB0D47"/>
    <w:rsid w:val="00DB0FB1"/>
    <w:rsid w:val="00DB11B9"/>
    <w:rsid w:val="00DB1621"/>
    <w:rsid w:val="00DB2CA8"/>
    <w:rsid w:val="00DB4B0E"/>
    <w:rsid w:val="00DB65C7"/>
    <w:rsid w:val="00DB6EC4"/>
    <w:rsid w:val="00DC0A6D"/>
    <w:rsid w:val="00DC0B71"/>
    <w:rsid w:val="00DC65ED"/>
    <w:rsid w:val="00DD027F"/>
    <w:rsid w:val="00DD2278"/>
    <w:rsid w:val="00DD42F7"/>
    <w:rsid w:val="00DD45EE"/>
    <w:rsid w:val="00DE0322"/>
    <w:rsid w:val="00DE04DE"/>
    <w:rsid w:val="00DE0AEC"/>
    <w:rsid w:val="00DE18BD"/>
    <w:rsid w:val="00DE1C97"/>
    <w:rsid w:val="00DE3DBF"/>
    <w:rsid w:val="00DE5EB6"/>
    <w:rsid w:val="00DF08A3"/>
    <w:rsid w:val="00DF6507"/>
    <w:rsid w:val="00E0015E"/>
    <w:rsid w:val="00E01C81"/>
    <w:rsid w:val="00E05386"/>
    <w:rsid w:val="00E06963"/>
    <w:rsid w:val="00E0697B"/>
    <w:rsid w:val="00E10026"/>
    <w:rsid w:val="00E1020D"/>
    <w:rsid w:val="00E108F8"/>
    <w:rsid w:val="00E117FE"/>
    <w:rsid w:val="00E11BC6"/>
    <w:rsid w:val="00E12321"/>
    <w:rsid w:val="00E12620"/>
    <w:rsid w:val="00E13DF9"/>
    <w:rsid w:val="00E173C7"/>
    <w:rsid w:val="00E211DB"/>
    <w:rsid w:val="00E22381"/>
    <w:rsid w:val="00E22BCD"/>
    <w:rsid w:val="00E23F0A"/>
    <w:rsid w:val="00E240A6"/>
    <w:rsid w:val="00E31453"/>
    <w:rsid w:val="00E314AE"/>
    <w:rsid w:val="00E32D9B"/>
    <w:rsid w:val="00E33EF4"/>
    <w:rsid w:val="00E35B2B"/>
    <w:rsid w:val="00E40311"/>
    <w:rsid w:val="00E44C1A"/>
    <w:rsid w:val="00E46273"/>
    <w:rsid w:val="00E46922"/>
    <w:rsid w:val="00E47E1B"/>
    <w:rsid w:val="00E520D1"/>
    <w:rsid w:val="00E55B98"/>
    <w:rsid w:val="00E5633F"/>
    <w:rsid w:val="00E565A6"/>
    <w:rsid w:val="00E56FA7"/>
    <w:rsid w:val="00E60051"/>
    <w:rsid w:val="00E60D52"/>
    <w:rsid w:val="00E62077"/>
    <w:rsid w:val="00E6249A"/>
    <w:rsid w:val="00E63800"/>
    <w:rsid w:val="00E65916"/>
    <w:rsid w:val="00E6794A"/>
    <w:rsid w:val="00E6A9B3"/>
    <w:rsid w:val="00E722FC"/>
    <w:rsid w:val="00E729AB"/>
    <w:rsid w:val="00E72C8B"/>
    <w:rsid w:val="00E72F83"/>
    <w:rsid w:val="00E73E4A"/>
    <w:rsid w:val="00E777BB"/>
    <w:rsid w:val="00E8324D"/>
    <w:rsid w:val="00E85C37"/>
    <w:rsid w:val="00E90EDE"/>
    <w:rsid w:val="00E9128B"/>
    <w:rsid w:val="00E91A00"/>
    <w:rsid w:val="00E94612"/>
    <w:rsid w:val="00E953E3"/>
    <w:rsid w:val="00EA219E"/>
    <w:rsid w:val="00EB3E3F"/>
    <w:rsid w:val="00EB655D"/>
    <w:rsid w:val="00EB6D86"/>
    <w:rsid w:val="00EB721A"/>
    <w:rsid w:val="00EC102E"/>
    <w:rsid w:val="00EC1209"/>
    <w:rsid w:val="00EC15EF"/>
    <w:rsid w:val="00EC2895"/>
    <w:rsid w:val="00EC403C"/>
    <w:rsid w:val="00EC4607"/>
    <w:rsid w:val="00EC5BB3"/>
    <w:rsid w:val="00EE03DC"/>
    <w:rsid w:val="00EE150B"/>
    <w:rsid w:val="00EE1D4A"/>
    <w:rsid w:val="00EE20D9"/>
    <w:rsid w:val="00EE358B"/>
    <w:rsid w:val="00EE6009"/>
    <w:rsid w:val="00EE712F"/>
    <w:rsid w:val="00EE7689"/>
    <w:rsid w:val="00EE7FD5"/>
    <w:rsid w:val="00EF1D65"/>
    <w:rsid w:val="00EF2E04"/>
    <w:rsid w:val="00EF5FA1"/>
    <w:rsid w:val="00F00CDA"/>
    <w:rsid w:val="00F03CF8"/>
    <w:rsid w:val="00F065AF"/>
    <w:rsid w:val="00F06863"/>
    <w:rsid w:val="00F12478"/>
    <w:rsid w:val="00F12C1A"/>
    <w:rsid w:val="00F13D34"/>
    <w:rsid w:val="00F20D22"/>
    <w:rsid w:val="00F23696"/>
    <w:rsid w:val="00F23F3E"/>
    <w:rsid w:val="00F24077"/>
    <w:rsid w:val="00F26DFD"/>
    <w:rsid w:val="00F302FF"/>
    <w:rsid w:val="00F3177D"/>
    <w:rsid w:val="00F32105"/>
    <w:rsid w:val="00F33676"/>
    <w:rsid w:val="00F33DF4"/>
    <w:rsid w:val="00F3641A"/>
    <w:rsid w:val="00F402C9"/>
    <w:rsid w:val="00F408B2"/>
    <w:rsid w:val="00F42554"/>
    <w:rsid w:val="00F50230"/>
    <w:rsid w:val="00F5087B"/>
    <w:rsid w:val="00F51772"/>
    <w:rsid w:val="00F54EFC"/>
    <w:rsid w:val="00F55010"/>
    <w:rsid w:val="00F568EB"/>
    <w:rsid w:val="00F5706D"/>
    <w:rsid w:val="00F57ADC"/>
    <w:rsid w:val="00F626BB"/>
    <w:rsid w:val="00F62AAD"/>
    <w:rsid w:val="00F63074"/>
    <w:rsid w:val="00F676FF"/>
    <w:rsid w:val="00F701F6"/>
    <w:rsid w:val="00F70F64"/>
    <w:rsid w:val="00F73785"/>
    <w:rsid w:val="00F74B73"/>
    <w:rsid w:val="00F74DEB"/>
    <w:rsid w:val="00F81284"/>
    <w:rsid w:val="00F842D9"/>
    <w:rsid w:val="00F84AB4"/>
    <w:rsid w:val="00F852A3"/>
    <w:rsid w:val="00F85681"/>
    <w:rsid w:val="00F90293"/>
    <w:rsid w:val="00F90467"/>
    <w:rsid w:val="00F90FD4"/>
    <w:rsid w:val="00F915AD"/>
    <w:rsid w:val="00F91C10"/>
    <w:rsid w:val="00F92318"/>
    <w:rsid w:val="00F92A41"/>
    <w:rsid w:val="00F9390B"/>
    <w:rsid w:val="00F95631"/>
    <w:rsid w:val="00F97601"/>
    <w:rsid w:val="00FA0CFA"/>
    <w:rsid w:val="00FA1910"/>
    <w:rsid w:val="00FA4351"/>
    <w:rsid w:val="00FA4AEE"/>
    <w:rsid w:val="00FA5AA7"/>
    <w:rsid w:val="00FA7754"/>
    <w:rsid w:val="00FB02EB"/>
    <w:rsid w:val="00FB04C2"/>
    <w:rsid w:val="00FB0789"/>
    <w:rsid w:val="00FB70B6"/>
    <w:rsid w:val="00FB75ED"/>
    <w:rsid w:val="00FB77D8"/>
    <w:rsid w:val="00FC14E2"/>
    <w:rsid w:val="00FC2EA8"/>
    <w:rsid w:val="00FC4C18"/>
    <w:rsid w:val="00FC6CFA"/>
    <w:rsid w:val="00FC706C"/>
    <w:rsid w:val="00FD25B2"/>
    <w:rsid w:val="00FD319C"/>
    <w:rsid w:val="00FD3D9F"/>
    <w:rsid w:val="00FD4F04"/>
    <w:rsid w:val="00FD5B20"/>
    <w:rsid w:val="00FE1024"/>
    <w:rsid w:val="00FE31D3"/>
    <w:rsid w:val="00FE670B"/>
    <w:rsid w:val="00FF07DC"/>
    <w:rsid w:val="00FF086D"/>
    <w:rsid w:val="00FF213C"/>
    <w:rsid w:val="00FF34A7"/>
    <w:rsid w:val="00FF3DDC"/>
    <w:rsid w:val="00FF614D"/>
    <w:rsid w:val="00FF71EF"/>
    <w:rsid w:val="00FF7DC9"/>
    <w:rsid w:val="017B9634"/>
    <w:rsid w:val="017CECF0"/>
    <w:rsid w:val="037893BF"/>
    <w:rsid w:val="059E2295"/>
    <w:rsid w:val="0630A260"/>
    <w:rsid w:val="073DED81"/>
    <w:rsid w:val="07E9B418"/>
    <w:rsid w:val="08A264E5"/>
    <w:rsid w:val="08A74A87"/>
    <w:rsid w:val="09018050"/>
    <w:rsid w:val="095E845D"/>
    <w:rsid w:val="09CAABE0"/>
    <w:rsid w:val="09E8C356"/>
    <w:rsid w:val="0A162FF2"/>
    <w:rsid w:val="0A70FE58"/>
    <w:rsid w:val="0AE12C61"/>
    <w:rsid w:val="0C1FF8B5"/>
    <w:rsid w:val="0D2CF7B6"/>
    <w:rsid w:val="0D3E1EDC"/>
    <w:rsid w:val="0E18CD23"/>
    <w:rsid w:val="0FB0DFE4"/>
    <w:rsid w:val="0FB93828"/>
    <w:rsid w:val="0FF4C35C"/>
    <w:rsid w:val="1027B4C5"/>
    <w:rsid w:val="10F369D8"/>
    <w:rsid w:val="1124C8D5"/>
    <w:rsid w:val="114714C4"/>
    <w:rsid w:val="11C2EE14"/>
    <w:rsid w:val="11D2DD46"/>
    <w:rsid w:val="1219790F"/>
    <w:rsid w:val="12BB4DFC"/>
    <w:rsid w:val="1382FD2C"/>
    <w:rsid w:val="15A3692E"/>
    <w:rsid w:val="15FBC000"/>
    <w:rsid w:val="16600FD2"/>
    <w:rsid w:val="1704DD49"/>
    <w:rsid w:val="1724A5D4"/>
    <w:rsid w:val="1750FF4F"/>
    <w:rsid w:val="17B2357A"/>
    <w:rsid w:val="18107B41"/>
    <w:rsid w:val="1917A41A"/>
    <w:rsid w:val="19347E07"/>
    <w:rsid w:val="1B7400AE"/>
    <w:rsid w:val="1C69B7AC"/>
    <w:rsid w:val="1CE8A299"/>
    <w:rsid w:val="1D2FE5FE"/>
    <w:rsid w:val="1D53DB03"/>
    <w:rsid w:val="1E2DAC85"/>
    <w:rsid w:val="1F2B3869"/>
    <w:rsid w:val="1FBB0A29"/>
    <w:rsid w:val="2248BA74"/>
    <w:rsid w:val="2262D92B"/>
    <w:rsid w:val="228154BE"/>
    <w:rsid w:val="237D6105"/>
    <w:rsid w:val="23B494C0"/>
    <w:rsid w:val="2446457E"/>
    <w:rsid w:val="24850079"/>
    <w:rsid w:val="2569BD79"/>
    <w:rsid w:val="286C9219"/>
    <w:rsid w:val="288F6B17"/>
    <w:rsid w:val="299A6E58"/>
    <w:rsid w:val="2A79C668"/>
    <w:rsid w:val="2B8CF18A"/>
    <w:rsid w:val="2BBB0858"/>
    <w:rsid w:val="2BBD5B38"/>
    <w:rsid w:val="2CC4582C"/>
    <w:rsid w:val="2DCFEFFF"/>
    <w:rsid w:val="2E796C3D"/>
    <w:rsid w:val="2F3659A9"/>
    <w:rsid w:val="30137240"/>
    <w:rsid w:val="3023A53E"/>
    <w:rsid w:val="307AB015"/>
    <w:rsid w:val="32CD0F46"/>
    <w:rsid w:val="32F277A7"/>
    <w:rsid w:val="33E0B25B"/>
    <w:rsid w:val="33F89295"/>
    <w:rsid w:val="343B6845"/>
    <w:rsid w:val="3497C574"/>
    <w:rsid w:val="35A9018F"/>
    <w:rsid w:val="3611C24C"/>
    <w:rsid w:val="36931F46"/>
    <w:rsid w:val="3785B00D"/>
    <w:rsid w:val="380588E1"/>
    <w:rsid w:val="382EF792"/>
    <w:rsid w:val="38E7A776"/>
    <w:rsid w:val="3AB15CC4"/>
    <w:rsid w:val="3AF63788"/>
    <w:rsid w:val="3BA91BCE"/>
    <w:rsid w:val="3CD13916"/>
    <w:rsid w:val="3D192F36"/>
    <w:rsid w:val="3D7DF765"/>
    <w:rsid w:val="3DAE8410"/>
    <w:rsid w:val="3E6B781E"/>
    <w:rsid w:val="3EB6F917"/>
    <w:rsid w:val="3EB76015"/>
    <w:rsid w:val="3EE07F57"/>
    <w:rsid w:val="3F6B8C83"/>
    <w:rsid w:val="3F936D3D"/>
    <w:rsid w:val="3FECA37D"/>
    <w:rsid w:val="407C8CF1"/>
    <w:rsid w:val="4136635F"/>
    <w:rsid w:val="41F4EB85"/>
    <w:rsid w:val="429EBB50"/>
    <w:rsid w:val="42C7102D"/>
    <w:rsid w:val="43B42DB3"/>
    <w:rsid w:val="43BD8A96"/>
    <w:rsid w:val="448E831D"/>
    <w:rsid w:val="44A00320"/>
    <w:rsid w:val="457C44AD"/>
    <w:rsid w:val="45B59500"/>
    <w:rsid w:val="469FE2CA"/>
    <w:rsid w:val="46B88998"/>
    <w:rsid w:val="47C9D741"/>
    <w:rsid w:val="47DECC3D"/>
    <w:rsid w:val="49737443"/>
    <w:rsid w:val="49B301BE"/>
    <w:rsid w:val="49D46E0E"/>
    <w:rsid w:val="4A1889F9"/>
    <w:rsid w:val="4ACCBFCC"/>
    <w:rsid w:val="4B7CBAC0"/>
    <w:rsid w:val="4B9B6829"/>
    <w:rsid w:val="4CA85379"/>
    <w:rsid w:val="4CAB1505"/>
    <w:rsid w:val="4CC2B246"/>
    <w:rsid w:val="4CF5F96F"/>
    <w:rsid w:val="4D17C729"/>
    <w:rsid w:val="4D2F1A4F"/>
    <w:rsid w:val="4D3706B4"/>
    <w:rsid w:val="4D65C15B"/>
    <w:rsid w:val="4DEFB781"/>
    <w:rsid w:val="4E46E566"/>
    <w:rsid w:val="4EB45B82"/>
    <w:rsid w:val="4EFC3069"/>
    <w:rsid w:val="4F647241"/>
    <w:rsid w:val="4FEBF9F5"/>
    <w:rsid w:val="51FA66A0"/>
    <w:rsid w:val="535267D5"/>
    <w:rsid w:val="53661FBF"/>
    <w:rsid w:val="53BAB2C8"/>
    <w:rsid w:val="54B20A64"/>
    <w:rsid w:val="54D8DDAB"/>
    <w:rsid w:val="5593E601"/>
    <w:rsid w:val="55CE5E37"/>
    <w:rsid w:val="56BBD1F8"/>
    <w:rsid w:val="58A703DD"/>
    <w:rsid w:val="594E7B91"/>
    <w:rsid w:val="5A14B70C"/>
    <w:rsid w:val="5B0A3A6C"/>
    <w:rsid w:val="5B30F691"/>
    <w:rsid w:val="5C979EEB"/>
    <w:rsid w:val="5C9B3E4D"/>
    <w:rsid w:val="5CC92655"/>
    <w:rsid w:val="5E285C8C"/>
    <w:rsid w:val="60591716"/>
    <w:rsid w:val="611624F7"/>
    <w:rsid w:val="632CA664"/>
    <w:rsid w:val="63C1CD3F"/>
    <w:rsid w:val="6407A831"/>
    <w:rsid w:val="64FE953B"/>
    <w:rsid w:val="6582AB69"/>
    <w:rsid w:val="687E9A47"/>
    <w:rsid w:val="6902876B"/>
    <w:rsid w:val="6981E545"/>
    <w:rsid w:val="6B19168A"/>
    <w:rsid w:val="6B8F42F4"/>
    <w:rsid w:val="6C46F143"/>
    <w:rsid w:val="6C6EF3DD"/>
    <w:rsid w:val="6D2B1355"/>
    <w:rsid w:val="6DB9E4B5"/>
    <w:rsid w:val="6DDF16C8"/>
    <w:rsid w:val="6E21BA9E"/>
    <w:rsid w:val="6E38FD3F"/>
    <w:rsid w:val="6E50B74C"/>
    <w:rsid w:val="6EC6E3B6"/>
    <w:rsid w:val="6F646E42"/>
    <w:rsid w:val="6FEC87AD"/>
    <w:rsid w:val="706443ED"/>
    <w:rsid w:val="706FE540"/>
    <w:rsid w:val="70AC29A2"/>
    <w:rsid w:val="7188580E"/>
    <w:rsid w:val="72B48473"/>
    <w:rsid w:val="72BA844B"/>
    <w:rsid w:val="72FE6699"/>
    <w:rsid w:val="75348EC3"/>
    <w:rsid w:val="753D0882"/>
    <w:rsid w:val="7553AD63"/>
    <w:rsid w:val="75C8FBD9"/>
    <w:rsid w:val="7616B74E"/>
    <w:rsid w:val="765BC931"/>
    <w:rsid w:val="76AADF3D"/>
    <w:rsid w:val="77479E9E"/>
    <w:rsid w:val="782DB058"/>
    <w:rsid w:val="785832CF"/>
    <w:rsid w:val="78A56977"/>
    <w:rsid w:val="79CD6F62"/>
    <w:rsid w:val="7BA4812D"/>
    <w:rsid w:val="7BBC1CD2"/>
    <w:rsid w:val="7C13CE5F"/>
    <w:rsid w:val="7C1B0FC1"/>
    <w:rsid w:val="7CAEFA13"/>
    <w:rsid w:val="7D024E8F"/>
    <w:rsid w:val="7DE5EEB5"/>
    <w:rsid w:val="7F52B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1E0B70"/>
  <w15:docId w15:val="{114C0145-ECAD-4A79-B544-CAC88FBC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66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25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811B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F646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3F5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F582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5829"/>
    <w:rPr>
      <w:b/>
      <w:bCs/>
    </w:rPr>
  </w:style>
  <w:style w:type="paragraph" w:styleId="ListParagraph">
    <w:name w:val="List Paragraph"/>
    <w:basedOn w:val="Normal"/>
    <w:uiPriority w:val="34"/>
    <w:qFormat/>
    <w:rsid w:val="000B79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316E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6E6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16E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E6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3DB4"/>
    <w:rPr>
      <w:color w:val="0000FF"/>
      <w:u w:val="single"/>
    </w:rPr>
  </w:style>
  <w:style w:type="table" w:styleId="TableGrid">
    <w:name w:val="Table Grid"/>
    <w:basedOn w:val="TableNormal"/>
    <w:uiPriority w:val="59"/>
    <w:rsid w:val="00C43D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C25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F33676"/>
    <w:rPr>
      <w:sz w:val="24"/>
      <w:szCs w:val="24"/>
    </w:rPr>
  </w:style>
  <w:style w:type="character" w:styleId="Emphasis">
    <w:name w:val="Emphasis"/>
    <w:basedOn w:val="DefaultParagraphFont"/>
    <w:qFormat/>
    <w:rsid w:val="00F33676"/>
    <w:rPr>
      <w:i/>
      <w:i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622"/>
  </w:style>
  <w:style w:type="paragraph" w:styleId="EndnoteText">
    <w:name w:val="endnote text"/>
    <w:basedOn w:val="Normal"/>
    <w:link w:val="EndnoteTextChar"/>
    <w:semiHidden/>
    <w:unhideWhenUsed/>
    <w:rsid w:val="0087793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77932"/>
  </w:style>
  <w:style w:type="character" w:styleId="EndnoteReference">
    <w:name w:val="endnote reference"/>
    <w:basedOn w:val="DefaultParagraphFont"/>
    <w:semiHidden/>
    <w:unhideWhenUsed/>
    <w:rsid w:val="00877932"/>
    <w:rPr>
      <w:vertAlign w:val="superscript"/>
    </w:rPr>
  </w:style>
  <w:style w:type="paragraph" w:customStyle="1" w:styleId="paragraph">
    <w:name w:val="paragraph"/>
    <w:basedOn w:val="Normal"/>
    <w:rsid w:val="003C3877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DefaultParagraphFont"/>
    <w:rsid w:val="003C3877"/>
  </w:style>
  <w:style w:type="character" w:customStyle="1" w:styleId="eop">
    <w:name w:val="eop"/>
    <w:basedOn w:val="DefaultParagraphFont"/>
    <w:rsid w:val="003C3877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976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52F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98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5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8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4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52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9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6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4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8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5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3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1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1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1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6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6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laws-lois.justice.gc.ca/eng/acts/p-21/FullText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laws-lois.justice.gc.ca/eng/acts/A-1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tbs-sct.canada.ca/pol/doc-eng.aspx?id=3259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gcdocs.tbs-sct.gc.ca/gcdocs/llisapi.dll/open/378558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1368e-d07b-4654-8962-d7870efb807b">
      <Terms xmlns="http://schemas.microsoft.com/office/infopath/2007/PartnerControls"/>
    </lcf76f155ced4ddcb4097134ff3c332f>
    <_Flow_SignoffStatus xmlns="98a1368e-d07b-4654-8962-d7870efb807b" xsi:nil="true"/>
    <TaxCatchAll xmlns="83aa663b-4b8a-469d-b5ee-90eaa0e315d8" xsi:nil="true"/>
    <_dlc_DocId xmlns="83aa663b-4b8a-469d-b5ee-90eaa0e315d8">4RWRPJAYJ72E-25897711-152170</_dlc_DocId>
    <_dlc_DocIdUrl xmlns="83aa663b-4b8a-469d-b5ee-90eaa0e315d8">
      <Url>https://056gc.sharepoint.com/sites/OCIO-DDP-_BDPI-SDPN/_layouts/15/DocIdRedir.aspx?ID=4RWRPJAYJ72E-25897711-152170</Url>
      <Description>4RWRPJAYJ72E-25897711-152170</Description>
    </_dlc_DocIdUrl>
    <Status xmlns="98a1368e-d07b-4654-8962-d7870efb807b" xsi:nil="true"/>
    <IconOverlay xmlns="http://schemas.microsoft.com/sharepoint/v4" xsi:nil="true"/>
    <Frenchversion xmlns="98a1368e-d07b-4654-8962-d7870efb807b">false</Frenchversion>
    <Infosourceduedate xmlns="98a1368e-d07b-4654-8962-d7870efb807b" xsi:nil="true"/>
    <DatePublished xmlns="98a1368e-d07b-4654-8962-d7870efb807b" xsi:nil="true"/>
    <Consult xmlns="98a1368e-d07b-4654-8962-d7870efb807b" xsi:nil="true"/>
    <Document_x0020_Type xmlns="98a1368e-d07b-4654-8962-d7870efb80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A7348FF32FD4983FEBC65875BD8E7" ma:contentTypeVersion="29" ma:contentTypeDescription="Create a new document." ma:contentTypeScope="" ma:versionID="816fff679385d50221c125aeeb8257e8">
  <xsd:schema xmlns:xsd="http://www.w3.org/2001/XMLSchema" xmlns:xs="http://www.w3.org/2001/XMLSchema" xmlns:p="http://schemas.microsoft.com/office/2006/metadata/properties" xmlns:ns1="http://schemas.microsoft.com/sharepoint/v3" xmlns:ns2="83aa663b-4b8a-469d-b5ee-90eaa0e315d8" xmlns:ns3="98a1368e-d07b-4654-8962-d7870efb807b" xmlns:ns4="http://schemas.microsoft.com/sharepoint/v4" targetNamespace="http://schemas.microsoft.com/office/2006/metadata/properties" ma:root="true" ma:fieldsID="5f2fac03093b712b19af7894dce6cdba" ns1:_="" ns2:_="" ns3:_="" ns4:_="">
    <xsd:import namespace="http://schemas.microsoft.com/sharepoint/v3"/>
    <xsd:import namespace="83aa663b-4b8a-469d-b5ee-90eaa0e315d8"/>
    <xsd:import namespace="98a1368e-d07b-4654-8962-d7870efb807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_Flow_SignoffStatus" minOccurs="0"/>
                <xsd:element ref="ns3:Status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3:Frenchversion" minOccurs="0"/>
                <xsd:element ref="ns3:Infosourceduedate" minOccurs="0"/>
                <xsd:element ref="ns3:DatePublished" minOccurs="0"/>
                <xsd:element ref="ns3:MediaServiceBillingMetadata" minOccurs="0"/>
                <xsd:element ref="ns3:Consult" minOccurs="0"/>
                <xsd:element ref="ns3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9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a663b-4b8a-469d-b5ee-90eaa0e315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017eb2-65c3-4c7c-bb0f-e7e8039ce12a}" ma:internalName="TaxCatchAll" ma:showField="CatchAllData" ma:web="83aa663b-4b8a-469d-b5ee-90eaa0e31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1368e-d07b-4654-8962-d7870efb80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f3204f-aabd-4e28-9088-5d29a8bce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Status" ma:index="27" nillable="true" ma:displayName="Status" ma:format="Dropdown" ma:internalName="Status">
      <xsd:simpleType>
        <xsd:restriction base="dms:Choice">
          <xsd:enumeration value="Working Copy"/>
          <xsd:enumeration value="Final"/>
          <xsd:enumeration value="Draft"/>
        </xsd:restriction>
      </xsd:simpleType>
    </xsd:element>
    <xsd:element name="Frenchversion" ma:index="31" nillable="true" ma:displayName="French version" ma:default="0" ma:format="Dropdown" ma:internalName="Frenchversion">
      <xsd:simpleType>
        <xsd:restriction base="dms:Boolean"/>
      </xsd:simpleType>
    </xsd:element>
    <xsd:element name="Infosourceduedate" ma:index="32" nillable="true" ma:displayName="Info source due date" ma:description="For documents discussing or following up on Info Source updates that were due on a particular date" ma:format="Dropdown" ma:internalName="Infosourceduedate">
      <xsd:simpleType>
        <xsd:restriction base="dms:Text">
          <xsd:maxLength value="255"/>
        </xsd:restriction>
      </xsd:simpleType>
    </xsd:element>
    <xsd:element name="DatePublished" ma:index="33" nillable="true" ma:displayName="Date Published" ma:description="The date upon which the content was originally published on GCconnex" ma:format="DateOnly" ma:internalName="DatePublished">
      <xsd:simpleType>
        <xsd:restriction base="dms:DateTime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Consult" ma:index="35" nillable="true" ma:displayName="Consult" ma:description="Identify whose comments are included in the draft" ma:format="Dropdown" ma:indexed="true" ma:internalName="Consult">
      <xsd:simpleType>
        <xsd:restriction base="dms:Text">
          <xsd:maxLength value="255"/>
        </xsd:restriction>
      </xsd:simpleType>
    </xsd:element>
    <xsd:element name="Document_x0020_Type" ma:index="36" nillable="true" ma:displayName="Document Type" ma:format="Dropdown" ma:indexed="true" ma:internalName="Document_x0020_Type">
      <xsd:simpleType>
        <xsd:union memberTypes="dms:Text">
          <xsd:simpleType>
            <xsd:restriction base="dms:Choice">
              <xsd:enumeration value="Meeting Agenda"/>
              <xsd:enumeration value="Record of Discussio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35D8B9D-DB15-48F3-9FA6-340FA64BAE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3EB2DA-F304-4C9A-84A9-8CD133A63F54}">
  <ds:schemaRefs>
    <ds:schemaRef ds:uri="http://schemas.microsoft.com/office/2006/metadata/properties"/>
    <ds:schemaRef ds:uri="http://schemas.microsoft.com/office/infopath/2007/PartnerControls"/>
    <ds:schemaRef ds:uri="98a1368e-d07b-4654-8962-d7870efb807b"/>
    <ds:schemaRef ds:uri="83aa663b-4b8a-469d-b5ee-90eaa0e315d8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79ED7BF9-B31C-41CF-A3B9-52335638AD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2CC913-CDCE-404D-9A20-4E45F0BA63CC}"/>
</file>

<file path=customXml/itemProps5.xml><?xml version="1.0" encoding="utf-8"?>
<ds:datastoreItem xmlns:ds="http://schemas.openxmlformats.org/officeDocument/2006/customXml" ds:itemID="{7D6EDC65-8BEB-4150-A1DA-491A8B8D974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12</Pages>
  <Words>3261</Words>
  <Characters>18589</Characters>
  <Application>Microsoft Office Word</Application>
  <DocSecurity>0</DocSecurity>
  <Lines>154</Lines>
  <Paragraphs>43</Paragraphs>
  <ScaleCrop>false</ScaleCrop>
  <Company>FIN\TBS-SCT\HRMA-AGRH</Company>
  <LinksUpToDate>false</LinksUpToDate>
  <CharactersWithSpaces>21807</CharactersWithSpaces>
  <SharedDoc>false</SharedDoc>
  <HLinks>
    <vt:vector size="18" baseType="variant">
      <vt:variant>
        <vt:i4>7405619</vt:i4>
      </vt:variant>
      <vt:variant>
        <vt:i4>0</vt:i4>
      </vt:variant>
      <vt:variant>
        <vt:i4>0</vt:i4>
      </vt:variant>
      <vt:variant>
        <vt:i4>5</vt:i4>
      </vt:variant>
      <vt:variant>
        <vt:lpwstr>https://www.tbs-sct.canada.ca/pol/doc-eng.aspx?id=32590</vt:lpwstr>
      </vt:variant>
      <vt:variant>
        <vt:lpwstr/>
      </vt:variant>
      <vt:variant>
        <vt:i4>1638470</vt:i4>
      </vt:variant>
      <vt:variant>
        <vt:i4>0</vt:i4>
      </vt:variant>
      <vt:variant>
        <vt:i4>0</vt:i4>
      </vt:variant>
      <vt:variant>
        <vt:i4>5</vt:i4>
      </vt:variant>
      <vt:variant>
        <vt:lpwstr>https://gcdocs.tbs-sct.gc.ca/gcdocs/llisapi.dll/open/37855822</vt:lpwstr>
      </vt:variant>
      <vt:variant>
        <vt:lpwstr/>
      </vt:variant>
      <vt:variant>
        <vt:i4>5439587</vt:i4>
      </vt:variant>
      <vt:variant>
        <vt:i4>0</vt:i4>
      </vt:variant>
      <vt:variant>
        <vt:i4>0</vt:i4>
      </vt:variant>
      <vt:variant>
        <vt:i4>5</vt:i4>
      </vt:variant>
      <vt:variant>
        <vt:lpwstr>mailto:CBOLGER@tbs-sct.gc.ca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A-1</dc:title>
  <dc:subject/>
  <dc:creator>Anika Garg</dc:creator>
  <cp:keywords/>
  <cp:lastModifiedBy>Daigen, Ari</cp:lastModifiedBy>
  <cp:revision>13</cp:revision>
  <cp:lastPrinted>2023-02-24T02:33:00Z</cp:lastPrinted>
  <dcterms:created xsi:type="dcterms:W3CDTF">2025-02-11T20:37:00Z</dcterms:created>
  <dcterms:modified xsi:type="dcterms:W3CDTF">2025-04-08T19:51:00Z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ecf7e4f6-707b-496a-bd41-72066862c042</vt:lpwstr>
  </property>
  <property fmtid="{D5CDD505-2E9C-101B-9397-08002B2CF9AE}" pid="3" name="SECCLASS">
    <vt:lpwstr>CLASSU</vt:lpwstr>
  </property>
  <property fmtid="{D5CDD505-2E9C-101B-9397-08002B2CF9AE}" pid="4" name="MSIP_Label_dd4203d7-225b-41a9-8c54-a31e0ceca5df_Enabled">
    <vt:lpwstr>True</vt:lpwstr>
  </property>
  <property fmtid="{D5CDD505-2E9C-101B-9397-08002B2CF9AE}" pid="5" name="MSIP_Label_dd4203d7-225b-41a9-8c54-a31e0ceca5df_SiteId">
    <vt:lpwstr>6397df10-4595-4047-9c4f-03311282152b</vt:lpwstr>
  </property>
  <property fmtid="{D5CDD505-2E9C-101B-9397-08002B2CF9AE}" pid="6" name="MSIP_Label_dd4203d7-225b-41a9-8c54-a31e0ceca5df_Owner">
    <vt:lpwstr>RNAYLOR@tbs-sct.gc.ca</vt:lpwstr>
  </property>
  <property fmtid="{D5CDD505-2E9C-101B-9397-08002B2CF9AE}" pid="7" name="MSIP_Label_dd4203d7-225b-41a9-8c54-a31e0ceca5df_SetDate">
    <vt:lpwstr>2020-05-24T17:01:36.0436545Z</vt:lpwstr>
  </property>
  <property fmtid="{D5CDD505-2E9C-101B-9397-08002B2CF9AE}" pid="8" name="MSIP_Label_dd4203d7-225b-41a9-8c54-a31e0ceca5df_Name">
    <vt:lpwstr>NO MARKING VISIBLE</vt:lpwstr>
  </property>
  <property fmtid="{D5CDD505-2E9C-101B-9397-08002B2CF9AE}" pid="9" name="MSIP_Label_dd4203d7-225b-41a9-8c54-a31e0ceca5df_Application">
    <vt:lpwstr>Microsoft Azure Information Protection</vt:lpwstr>
  </property>
  <property fmtid="{D5CDD505-2E9C-101B-9397-08002B2CF9AE}" pid="10" name="MSIP_Label_dd4203d7-225b-41a9-8c54-a31e0ceca5df_ActionId">
    <vt:lpwstr>fd46c1b4-b0a5-45c7-88fa-00970664fce9</vt:lpwstr>
  </property>
  <property fmtid="{D5CDD505-2E9C-101B-9397-08002B2CF9AE}" pid="11" name="MSIP_Label_dd4203d7-225b-41a9-8c54-a31e0ceca5df_Extended_MSFT_Method">
    <vt:lpwstr>Automatic</vt:lpwstr>
  </property>
  <property fmtid="{D5CDD505-2E9C-101B-9397-08002B2CF9AE}" pid="12" name="TBSSCTCLASSIFICATION">
    <vt:lpwstr>UNCLASSIFIED</vt:lpwstr>
  </property>
  <property fmtid="{D5CDD505-2E9C-101B-9397-08002B2CF9AE}" pid="13" name="TBSSCTVISUALMARKINGNO">
    <vt:lpwstr>NO</vt:lpwstr>
  </property>
  <property fmtid="{D5CDD505-2E9C-101B-9397-08002B2CF9AE}" pid="14" name="MSIP_Label_3515d617-256d-4284-aedb-1064be1c4b48_Enabled">
    <vt:lpwstr>true</vt:lpwstr>
  </property>
  <property fmtid="{D5CDD505-2E9C-101B-9397-08002B2CF9AE}" pid="15" name="MSIP_Label_3515d617-256d-4284-aedb-1064be1c4b48_SetDate">
    <vt:lpwstr>2021-11-23T20:00:23Z</vt:lpwstr>
  </property>
  <property fmtid="{D5CDD505-2E9C-101B-9397-08002B2CF9AE}" pid="16" name="MSIP_Label_3515d617-256d-4284-aedb-1064be1c4b48_Method">
    <vt:lpwstr>Standard</vt:lpwstr>
  </property>
  <property fmtid="{D5CDD505-2E9C-101B-9397-08002B2CF9AE}" pid="17" name="MSIP_Label_3515d617-256d-4284-aedb-1064be1c4b48_Name">
    <vt:lpwstr>3515d617-256d-4284-aedb-1064be1c4b48</vt:lpwstr>
  </property>
  <property fmtid="{D5CDD505-2E9C-101B-9397-08002B2CF9AE}" pid="18" name="MSIP_Label_3515d617-256d-4284-aedb-1064be1c4b48_SiteId">
    <vt:lpwstr>6397df10-4595-4047-9c4f-03311282152b</vt:lpwstr>
  </property>
  <property fmtid="{D5CDD505-2E9C-101B-9397-08002B2CF9AE}" pid="19" name="MSIP_Label_3515d617-256d-4284-aedb-1064be1c4b48_ActionId">
    <vt:lpwstr>fd46c1b4-b0a5-45c7-88fa-00970664fce9</vt:lpwstr>
  </property>
  <property fmtid="{D5CDD505-2E9C-101B-9397-08002B2CF9AE}" pid="20" name="MSIP_Label_3515d617-256d-4284-aedb-1064be1c4b48_ContentBits">
    <vt:lpwstr>0</vt:lpwstr>
  </property>
  <property fmtid="{D5CDD505-2E9C-101B-9397-08002B2CF9AE}" pid="21" name="ContentTypeId">
    <vt:lpwstr>0x0101005C2A7348FF32FD4983FEBC65875BD8E7</vt:lpwstr>
  </property>
  <property fmtid="{D5CDD505-2E9C-101B-9397-08002B2CF9AE}" pid="22" name="MediaServiceImageTags">
    <vt:lpwstr/>
  </property>
  <property fmtid="{D5CDD505-2E9C-101B-9397-08002B2CF9AE}" pid="23" name="_dlc_DocIdItemGuid">
    <vt:lpwstr>c89a6828-082a-4d5c-b68e-59ebff7f999d</vt:lpwstr>
  </property>
  <property fmtid="{D5CDD505-2E9C-101B-9397-08002B2CF9AE}" pid="24" name="XREF">
    <vt:lpwstr>, </vt:lpwstr>
  </property>
</Properties>
</file>