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86FDD" w14:textId="77777777" w:rsidR="00876EFF" w:rsidRDefault="00876EFF" w:rsidP="00876EFF">
      <w:pPr>
        <w:jc w:val="center"/>
        <w:rPr>
          <w:rStyle w:val="SubtleReference"/>
          <w:rFonts w:ascii="Californian FB" w:hAnsi="Californian FB"/>
          <w:b/>
          <w:smallCaps w:val="0"/>
          <w:color w:val="1F497D" w:themeColor="text2"/>
          <w:sz w:val="32"/>
          <w:szCs w:val="28"/>
        </w:rPr>
      </w:pPr>
    </w:p>
    <w:p w14:paraId="2E18602E" w14:textId="77777777" w:rsidR="00876EFF" w:rsidRDefault="00876EFF" w:rsidP="00876EFF">
      <w:pPr>
        <w:jc w:val="center"/>
        <w:rPr>
          <w:rStyle w:val="SubtleReference"/>
          <w:rFonts w:ascii="Californian FB" w:hAnsi="Californian FB"/>
          <w:b/>
          <w:smallCaps w:val="0"/>
          <w:color w:val="1F497D" w:themeColor="text2"/>
          <w:sz w:val="32"/>
          <w:szCs w:val="28"/>
        </w:rPr>
      </w:pPr>
      <w:bookmarkStart w:id="0" w:name="_GoBack"/>
      <w:bookmarkEnd w:id="0"/>
    </w:p>
    <w:p w14:paraId="782E97F4" w14:textId="77777777" w:rsidR="00876EFF" w:rsidRDefault="00876EFF" w:rsidP="00876EFF">
      <w:pPr>
        <w:jc w:val="center"/>
        <w:rPr>
          <w:rStyle w:val="SubtleReference"/>
          <w:rFonts w:ascii="Californian FB" w:hAnsi="Californian FB"/>
          <w:b/>
          <w:smallCaps w:val="0"/>
          <w:color w:val="1F497D" w:themeColor="text2"/>
          <w:sz w:val="32"/>
          <w:szCs w:val="28"/>
        </w:rPr>
      </w:pPr>
    </w:p>
    <w:p w14:paraId="08C4B473" w14:textId="410C18C4" w:rsidR="007049EE" w:rsidRPr="00822CA4" w:rsidRDefault="00EA6BC4" w:rsidP="007049EE">
      <w:pPr>
        <w:jc w:val="center"/>
        <w:rPr>
          <w:rStyle w:val="SubtleReference"/>
          <w:rFonts w:ascii="Arial" w:hAnsi="Arial" w:cs="Arial"/>
          <w:b/>
          <w:smallCaps w:val="0"/>
          <w:color w:val="auto"/>
          <w:sz w:val="40"/>
          <w:szCs w:val="40"/>
        </w:rPr>
      </w:pPr>
      <w:r>
        <w:rPr>
          <w:rStyle w:val="SubtleReference"/>
          <w:rFonts w:ascii="Arial" w:hAnsi="Arial"/>
          <w:b/>
          <w:smallCaps w:val="0"/>
          <w:color w:val="auto"/>
          <w:sz w:val="40"/>
          <w:szCs w:val="40"/>
        </w:rPr>
        <w:t>Examens de l’inventaire des règlements</w:t>
      </w:r>
      <w:r w:rsidR="00AB1C2D">
        <w:rPr>
          <w:rStyle w:val="SubtleReference"/>
          <w:rFonts w:ascii="Arial" w:hAnsi="Arial"/>
          <w:b/>
          <w:smallCaps w:val="0"/>
          <w:color w:val="auto"/>
          <w:sz w:val="40"/>
          <w:szCs w:val="40"/>
        </w:rPr>
        <w:t xml:space="preserve"> </w:t>
      </w:r>
    </w:p>
    <w:p w14:paraId="417BBC5A" w14:textId="1BD76D03" w:rsidR="00876EFF" w:rsidRPr="00CF65D9" w:rsidRDefault="008817D5" w:rsidP="007049EE">
      <w:pPr>
        <w:jc w:val="center"/>
        <w:rPr>
          <w:rStyle w:val="SubtleReference"/>
          <w:rFonts w:ascii="Arial" w:hAnsi="Arial" w:cs="Arial"/>
          <w:b/>
          <w:smallCaps w:val="0"/>
          <w:color w:val="auto"/>
          <w:sz w:val="40"/>
          <w:szCs w:val="40"/>
          <w:u w:val="single"/>
        </w:rPr>
      </w:pPr>
      <w:r>
        <w:rPr>
          <w:rStyle w:val="SubtleReference"/>
          <w:rFonts w:ascii="Arial" w:hAnsi="Arial"/>
          <w:b/>
          <w:smallCaps w:val="0"/>
          <w:color w:val="auto"/>
          <w:sz w:val="40"/>
          <w:szCs w:val="40"/>
          <w:u w:val="single"/>
        </w:rPr>
        <w:t>Guide de travail</w:t>
      </w:r>
    </w:p>
    <w:p w14:paraId="31AB09D6" w14:textId="77777777" w:rsidR="00876EFF" w:rsidRPr="00FB36B6" w:rsidRDefault="00876EFF">
      <w:pPr>
        <w:rPr>
          <w:rStyle w:val="SubtleReference"/>
          <w:rFonts w:ascii="Californian FB" w:eastAsiaTheme="majorEastAsia" w:hAnsi="Californian FB" w:cstheme="majorBidi"/>
          <w:b/>
          <w:smallCaps w:val="0"/>
          <w:color w:val="1F497D" w:themeColor="text2"/>
          <w:sz w:val="40"/>
          <w:szCs w:val="40"/>
        </w:rPr>
      </w:pPr>
      <w:r>
        <w:br w:type="page"/>
      </w:r>
    </w:p>
    <w:p w14:paraId="05240ECB" w14:textId="7DD5C9E9" w:rsidR="00A15EFB" w:rsidRPr="00B01CB8" w:rsidRDefault="00CD3DD9" w:rsidP="00C840C8">
      <w:pPr>
        <w:pStyle w:val="Heading2"/>
        <w:rPr>
          <w:rStyle w:val="SubtleReference"/>
          <w:rFonts w:ascii="Arial" w:hAnsi="Arial" w:cs="Arial"/>
          <w:b/>
          <w:smallCaps w:val="0"/>
          <w:color w:val="auto"/>
          <w:sz w:val="32"/>
          <w:szCs w:val="28"/>
        </w:rPr>
      </w:pPr>
      <w:r>
        <w:rPr>
          <w:rStyle w:val="SubtleReference"/>
          <w:rFonts w:ascii="Arial" w:hAnsi="Arial"/>
          <w:b/>
          <w:smallCaps w:val="0"/>
          <w:color w:val="auto"/>
          <w:sz w:val="32"/>
          <w:szCs w:val="28"/>
        </w:rPr>
        <w:lastRenderedPageBreak/>
        <w:t>Comment utiliser ce guide</w:t>
      </w:r>
    </w:p>
    <w:p w14:paraId="535843AF" w14:textId="77777777" w:rsidR="00A15EFB" w:rsidRPr="00B01CB8" w:rsidRDefault="00A15EFB" w:rsidP="00A15EFB">
      <w:pPr>
        <w:pStyle w:val="ListParagraph"/>
        <w:ind w:left="360"/>
        <w:rPr>
          <w:rFonts w:ascii="Arial" w:hAnsi="Arial" w:cs="Arial"/>
          <w:szCs w:val="24"/>
        </w:rPr>
      </w:pPr>
    </w:p>
    <w:p w14:paraId="57F8DE14" w14:textId="5089BDE5" w:rsidR="0034601D" w:rsidRDefault="00AA52AB" w:rsidP="00826F92">
      <w:pPr>
        <w:rPr>
          <w:rFonts w:ascii="Arial" w:hAnsi="Arial" w:cs="Arial"/>
          <w:sz w:val="24"/>
          <w:szCs w:val="24"/>
        </w:rPr>
      </w:pPr>
      <w:r>
        <w:rPr>
          <w:rFonts w:ascii="Arial" w:hAnsi="Arial"/>
          <w:sz w:val="24"/>
          <w:szCs w:val="24"/>
        </w:rPr>
        <w:t xml:space="preserve">Le Guide sur les examens de l’inventaire des règlements (le Guide) décrit les attentes pour les ministères et les organismes réglementaires fédéraux </w:t>
      </w:r>
      <w:r w:rsidR="009C516F">
        <w:rPr>
          <w:rFonts w:ascii="Arial" w:hAnsi="Arial"/>
          <w:sz w:val="24"/>
          <w:szCs w:val="24"/>
        </w:rPr>
        <w:t>assujettis à</w:t>
      </w:r>
      <w:r>
        <w:rPr>
          <w:rFonts w:ascii="Arial" w:hAnsi="Arial"/>
          <w:sz w:val="24"/>
          <w:szCs w:val="24"/>
        </w:rPr>
        <w:t xml:space="preserve"> la Directive du Cabinet sur la réglementation (la Directive) qui entreprennent un examen de leur inventaire de règlements, </w:t>
      </w:r>
      <w:r w:rsidR="002B03B0">
        <w:rPr>
          <w:rFonts w:ascii="Arial" w:hAnsi="Arial"/>
          <w:sz w:val="24"/>
          <w:szCs w:val="24"/>
        </w:rPr>
        <w:t>comme l’exige</w:t>
      </w:r>
      <w:r>
        <w:rPr>
          <w:rFonts w:ascii="Arial" w:hAnsi="Arial"/>
          <w:sz w:val="24"/>
          <w:szCs w:val="24"/>
        </w:rPr>
        <w:t xml:space="preserve"> l’</w:t>
      </w:r>
      <w:r>
        <w:rPr>
          <w:rFonts w:ascii="Arial" w:hAnsi="Arial"/>
          <w:b/>
          <w:sz w:val="24"/>
          <w:szCs w:val="24"/>
        </w:rPr>
        <w:t>article 7</w:t>
      </w:r>
      <w:r>
        <w:rPr>
          <w:rFonts w:ascii="Arial" w:hAnsi="Arial"/>
          <w:sz w:val="24"/>
          <w:szCs w:val="24"/>
        </w:rPr>
        <w:t xml:space="preserve"> de la Directive. Autant les règlements du gouverneur en conseil que les règlements ministériels sont </w:t>
      </w:r>
      <w:r w:rsidR="002B03B0">
        <w:rPr>
          <w:rFonts w:ascii="Arial" w:hAnsi="Arial"/>
          <w:sz w:val="24"/>
          <w:szCs w:val="24"/>
        </w:rPr>
        <w:t xml:space="preserve">visés par les </w:t>
      </w:r>
      <w:r>
        <w:rPr>
          <w:rFonts w:ascii="Arial" w:hAnsi="Arial"/>
          <w:sz w:val="24"/>
          <w:szCs w:val="24"/>
        </w:rPr>
        <w:t>exigences d’examen décrites dans la Directive. Le Guide propose également un cadre commun pour l’élaboration d’un plan d’examen de l’inventaire et pour l’établissement public de rapports sur l’état et l’ordre d’un examen par un ministère ou un organisme de son inventaire de règlements. Enfin, le Guide fournit des questions à considérer pour les organismes de réglementation pendant qu’ils entreprennent les évaluations et les examens de l’inventaire des règlements.</w:t>
      </w:r>
    </w:p>
    <w:p w14:paraId="7C29646A" w14:textId="6B77A61E" w:rsidR="00CD3DD9" w:rsidRPr="00B01CB8" w:rsidRDefault="001D1AE6" w:rsidP="00826F92">
      <w:pPr>
        <w:rPr>
          <w:rFonts w:ascii="Arial" w:hAnsi="Arial" w:cs="Arial"/>
          <w:sz w:val="24"/>
          <w:szCs w:val="24"/>
        </w:rPr>
      </w:pPr>
      <w:r>
        <w:rPr>
          <w:rFonts w:ascii="Arial" w:hAnsi="Arial"/>
          <w:sz w:val="24"/>
          <w:szCs w:val="24"/>
        </w:rPr>
        <w:t xml:space="preserve">Il s’agit d’un document de travail qui vise à accroître la base de connaissances et l’expérience des organismes fédéraux de réglementation qui entreprennent des examens de l’inventaire des règlements. </w:t>
      </w:r>
      <w:r w:rsidR="00D12DF8">
        <w:rPr>
          <w:rFonts w:ascii="Arial" w:hAnsi="Arial"/>
          <w:sz w:val="24"/>
          <w:szCs w:val="24"/>
        </w:rPr>
        <w:t xml:space="preserve">Étant donné que </w:t>
      </w:r>
      <w:r w:rsidR="009743A0">
        <w:rPr>
          <w:rFonts w:ascii="Arial" w:hAnsi="Arial"/>
          <w:sz w:val="24"/>
          <w:szCs w:val="24"/>
        </w:rPr>
        <w:t>ces organismes</w:t>
      </w:r>
      <w:r>
        <w:rPr>
          <w:rFonts w:ascii="Arial" w:hAnsi="Arial"/>
          <w:sz w:val="24"/>
          <w:szCs w:val="24"/>
        </w:rPr>
        <w:t xml:space="preserve"> mettent en œuvre la Directive, le présent Guide sera modifié pour souligner les pratiques exemplaires et les leçons retenues.</w:t>
      </w:r>
      <w:r w:rsidR="00AB1C2D">
        <w:rPr>
          <w:rFonts w:ascii="Arial" w:hAnsi="Arial"/>
          <w:sz w:val="24"/>
          <w:szCs w:val="24"/>
        </w:rPr>
        <w:t xml:space="preserve"> </w:t>
      </w:r>
    </w:p>
    <w:p w14:paraId="5BAA0F56" w14:textId="7BF96855" w:rsidR="00E573DE" w:rsidRPr="00B01CB8" w:rsidRDefault="00E573DE" w:rsidP="00826F92">
      <w:pPr>
        <w:pStyle w:val="Heading2"/>
        <w:rPr>
          <w:rStyle w:val="SubtleReference"/>
          <w:rFonts w:ascii="Arial" w:hAnsi="Arial" w:cs="Arial"/>
          <w:b/>
          <w:smallCaps w:val="0"/>
          <w:color w:val="auto"/>
          <w:sz w:val="32"/>
          <w:szCs w:val="28"/>
        </w:rPr>
      </w:pPr>
      <w:r>
        <w:rPr>
          <w:rStyle w:val="SubtleReference"/>
          <w:rFonts w:ascii="Arial" w:hAnsi="Arial"/>
          <w:b/>
          <w:smallCaps w:val="0"/>
          <w:color w:val="auto"/>
          <w:sz w:val="32"/>
          <w:szCs w:val="28"/>
        </w:rPr>
        <w:t>Définitions</w:t>
      </w:r>
    </w:p>
    <w:p w14:paraId="44C19C90" w14:textId="77777777" w:rsidR="00041BBE" w:rsidRDefault="00041BBE" w:rsidP="00826F92">
      <w:pPr>
        <w:spacing w:after="0"/>
        <w:rPr>
          <w:rFonts w:ascii="Arial" w:hAnsi="Arial" w:cs="Arial"/>
          <w:b/>
          <w:sz w:val="24"/>
          <w:szCs w:val="24"/>
        </w:rPr>
      </w:pPr>
    </w:p>
    <w:p w14:paraId="5DEEE2AE" w14:textId="585DD088" w:rsidR="0069126F" w:rsidRDefault="0069126F" w:rsidP="00826F92">
      <w:pPr>
        <w:spacing w:after="0"/>
        <w:rPr>
          <w:rFonts w:ascii="Arial" w:hAnsi="Arial" w:cs="Arial"/>
          <w:sz w:val="24"/>
          <w:szCs w:val="24"/>
        </w:rPr>
      </w:pPr>
      <w:r>
        <w:rPr>
          <w:rFonts w:ascii="Arial" w:hAnsi="Arial"/>
          <w:sz w:val="24"/>
          <w:szCs w:val="24"/>
        </w:rPr>
        <w:t xml:space="preserve">Les </w:t>
      </w:r>
      <w:r>
        <w:rPr>
          <w:rFonts w:ascii="Arial" w:hAnsi="Arial"/>
          <w:b/>
          <w:sz w:val="24"/>
          <w:szCs w:val="24"/>
        </w:rPr>
        <w:t>règlements</w:t>
      </w:r>
      <w:r>
        <w:rPr>
          <w:rFonts w:ascii="Arial" w:hAnsi="Arial"/>
          <w:sz w:val="24"/>
          <w:szCs w:val="24"/>
        </w:rPr>
        <w:t>,</w:t>
      </w:r>
      <w:r>
        <w:t xml:space="preserve"> </w:t>
      </w:r>
      <w:r>
        <w:rPr>
          <w:rFonts w:ascii="Arial" w:hAnsi="Arial"/>
          <w:sz w:val="24"/>
          <w:szCs w:val="24"/>
        </w:rPr>
        <w:t xml:space="preserve">tels que définis par la </w:t>
      </w:r>
      <w:r>
        <w:rPr>
          <w:rFonts w:ascii="Arial" w:hAnsi="Arial"/>
          <w:i/>
          <w:sz w:val="24"/>
          <w:szCs w:val="24"/>
        </w:rPr>
        <w:t>Loi sur les textes réglementaires</w:t>
      </w:r>
      <w:r>
        <w:rPr>
          <w:rFonts w:ascii="Arial" w:hAnsi="Arial"/>
          <w:sz w:val="24"/>
          <w:szCs w:val="24"/>
        </w:rPr>
        <w:t xml:space="preserve">, sont des textes réglementaires établis conformément aux pouvoirs législatifs conférés en vertu d’une loi du Parlement qui peut </w:t>
      </w:r>
      <w:r w:rsidR="00600251" w:rsidRPr="00600251">
        <w:rPr>
          <w:rFonts w:ascii="Arial" w:hAnsi="Arial"/>
          <w:sz w:val="24"/>
          <w:szCs w:val="24"/>
        </w:rPr>
        <w:t>entraîner</w:t>
      </w:r>
      <w:r w:rsidR="00600251">
        <w:rPr>
          <w:rFonts w:ascii="Arial" w:hAnsi="Arial"/>
          <w:sz w:val="24"/>
          <w:szCs w:val="24"/>
        </w:rPr>
        <w:t xml:space="preserve"> </w:t>
      </w:r>
      <w:r>
        <w:rPr>
          <w:rFonts w:ascii="Arial" w:hAnsi="Arial"/>
          <w:sz w:val="24"/>
          <w:szCs w:val="24"/>
        </w:rPr>
        <w:t>l’imposition de sanctions juridique</w:t>
      </w:r>
      <w:r w:rsidR="002B6DDC">
        <w:rPr>
          <w:rFonts w:ascii="Arial" w:hAnsi="Arial"/>
          <w:sz w:val="24"/>
          <w:szCs w:val="24"/>
        </w:rPr>
        <w:t>s</w:t>
      </w:r>
      <w:r>
        <w:rPr>
          <w:rFonts w:ascii="Arial" w:hAnsi="Arial"/>
          <w:sz w:val="24"/>
          <w:szCs w:val="24"/>
        </w:rPr>
        <w:t xml:space="preserve"> en cas de violation. Ils peuvent être utilisés par le gouvernement comme instruments qui lui permettent d’imposer ou d’influencer des comportements ou des résultats particuliers dans le but d’atteindre des objectifs de politique publique. </w:t>
      </w:r>
    </w:p>
    <w:p w14:paraId="060CEBED" w14:textId="77777777" w:rsidR="00041BBE" w:rsidRDefault="00041BBE" w:rsidP="00826F92">
      <w:pPr>
        <w:spacing w:after="0"/>
        <w:rPr>
          <w:rFonts w:ascii="Arial" w:hAnsi="Arial" w:cs="Arial"/>
          <w:b/>
          <w:sz w:val="24"/>
          <w:szCs w:val="24"/>
          <w:highlight w:val="yellow"/>
        </w:rPr>
      </w:pPr>
    </w:p>
    <w:p w14:paraId="38C3A5EF" w14:textId="0A9E0D83" w:rsidR="00041BBE" w:rsidRDefault="00D37652" w:rsidP="00826F92">
      <w:pPr>
        <w:spacing w:after="0"/>
        <w:rPr>
          <w:rFonts w:ascii="Arial" w:hAnsi="Arial" w:cs="Arial"/>
          <w:sz w:val="24"/>
          <w:szCs w:val="24"/>
        </w:rPr>
      </w:pPr>
      <w:r>
        <w:rPr>
          <w:rFonts w:ascii="Arial" w:hAnsi="Arial"/>
          <w:sz w:val="24"/>
          <w:szCs w:val="24"/>
        </w:rPr>
        <w:t>L’</w:t>
      </w:r>
      <w:r>
        <w:rPr>
          <w:rFonts w:ascii="Arial" w:hAnsi="Arial"/>
          <w:b/>
          <w:sz w:val="24"/>
          <w:szCs w:val="24"/>
        </w:rPr>
        <w:t>inventaire des règlements</w:t>
      </w:r>
      <w:r>
        <w:rPr>
          <w:rFonts w:ascii="Arial" w:hAnsi="Arial"/>
          <w:sz w:val="24"/>
          <w:szCs w:val="24"/>
        </w:rPr>
        <w:t xml:space="preserve"> représente tous les règlements sous l’autorité d’un ministre qui sont administrés par un ministère ou un organisme fédéral.</w:t>
      </w:r>
    </w:p>
    <w:p w14:paraId="0217F53E" w14:textId="77777777" w:rsidR="004604EE" w:rsidRDefault="004604EE" w:rsidP="00826F92">
      <w:pPr>
        <w:spacing w:after="0"/>
        <w:rPr>
          <w:rFonts w:ascii="Arial" w:hAnsi="Arial" w:cs="Arial"/>
          <w:b/>
          <w:sz w:val="24"/>
          <w:szCs w:val="24"/>
        </w:rPr>
      </w:pPr>
    </w:p>
    <w:p w14:paraId="60E64AA2" w14:textId="5980F691" w:rsidR="00C722AA" w:rsidRPr="00C722AA" w:rsidRDefault="00D37652" w:rsidP="00826F92">
      <w:pPr>
        <w:rPr>
          <w:rFonts w:ascii="Arial" w:hAnsi="Arial" w:cs="Arial"/>
          <w:sz w:val="24"/>
          <w:szCs w:val="24"/>
        </w:rPr>
      </w:pPr>
      <w:r>
        <w:rPr>
          <w:rFonts w:ascii="Arial" w:hAnsi="Arial"/>
          <w:sz w:val="24"/>
          <w:szCs w:val="24"/>
        </w:rPr>
        <w:t xml:space="preserve">Un </w:t>
      </w:r>
      <w:r>
        <w:rPr>
          <w:rFonts w:ascii="Arial" w:hAnsi="Arial"/>
          <w:b/>
          <w:sz w:val="24"/>
          <w:szCs w:val="24"/>
        </w:rPr>
        <w:t>plan d’examen de l’inventaire</w:t>
      </w:r>
      <w:r>
        <w:rPr>
          <w:rFonts w:ascii="Arial" w:hAnsi="Arial"/>
          <w:sz w:val="24"/>
          <w:szCs w:val="24"/>
        </w:rPr>
        <w:t xml:space="preserve"> est un cadre publié en ligne pour permettre aux organismes de réglementation d’élaborer et de présenter un plan transparent et systématique pour l’examen de leurs règlements existants à l’intérieur d’une période établie. Ce plan comprend les titres des règlements qui seront examinés, la date du dernier examen pour chaque règlement et la date proposée de lancement d’un nouvel examen. </w:t>
      </w:r>
    </w:p>
    <w:p w14:paraId="30E5864C" w14:textId="00FF0BF9" w:rsidR="00922668" w:rsidRPr="00B01CB8" w:rsidRDefault="00D72D9F" w:rsidP="00826F92">
      <w:pPr>
        <w:spacing w:after="0"/>
        <w:rPr>
          <w:rFonts w:ascii="Arial" w:hAnsi="Arial" w:cs="Arial"/>
          <w:sz w:val="24"/>
          <w:szCs w:val="24"/>
        </w:rPr>
      </w:pPr>
      <w:r>
        <w:rPr>
          <w:rFonts w:ascii="Arial" w:hAnsi="Arial"/>
          <w:sz w:val="24"/>
          <w:szCs w:val="24"/>
        </w:rPr>
        <w:lastRenderedPageBreak/>
        <w:t>L’</w:t>
      </w:r>
      <w:r>
        <w:rPr>
          <w:rFonts w:ascii="Arial" w:hAnsi="Arial"/>
          <w:b/>
          <w:sz w:val="24"/>
          <w:szCs w:val="24"/>
        </w:rPr>
        <w:t>évaluation ex post</w:t>
      </w:r>
      <w:r>
        <w:rPr>
          <w:rFonts w:ascii="Arial" w:hAnsi="Arial"/>
          <w:sz w:val="24"/>
          <w:szCs w:val="24"/>
        </w:rPr>
        <w:t xml:space="preserve"> est une évaluation axée</w:t>
      </w:r>
      <w:r>
        <w:rPr>
          <w:sz w:val="24"/>
          <w:szCs w:val="24"/>
        </w:rPr>
        <w:t xml:space="preserve"> </w:t>
      </w:r>
      <w:r>
        <w:rPr>
          <w:rFonts w:ascii="Arial" w:hAnsi="Arial"/>
          <w:sz w:val="24"/>
          <w:szCs w:val="24"/>
        </w:rPr>
        <w:t xml:space="preserve">sur les résultats et les incidences d’un règlement et est considérée comme une bonne pratique réglementaire par l’Organisation de coopération et de développement économiques (OCDE). </w:t>
      </w:r>
    </w:p>
    <w:p w14:paraId="75E6F022" w14:textId="77777777" w:rsidR="000A4F7F" w:rsidRDefault="000A4F7F" w:rsidP="00826F92">
      <w:pPr>
        <w:spacing w:after="0"/>
        <w:rPr>
          <w:rFonts w:ascii="Arial" w:hAnsi="Arial" w:cs="Arial"/>
          <w:b/>
          <w:sz w:val="24"/>
          <w:szCs w:val="24"/>
        </w:rPr>
      </w:pPr>
    </w:p>
    <w:p w14:paraId="766B7B38" w14:textId="77777777" w:rsidR="00600251" w:rsidRDefault="00D37652" w:rsidP="00600251">
      <w:pPr>
        <w:spacing w:after="0"/>
        <w:rPr>
          <w:rFonts w:ascii="Arial" w:hAnsi="Arial"/>
          <w:sz w:val="24"/>
          <w:szCs w:val="24"/>
        </w:rPr>
      </w:pPr>
      <w:r>
        <w:rPr>
          <w:rFonts w:ascii="Arial" w:hAnsi="Arial"/>
          <w:sz w:val="24"/>
          <w:szCs w:val="24"/>
        </w:rPr>
        <w:t xml:space="preserve">Les </w:t>
      </w:r>
      <w:r>
        <w:rPr>
          <w:rFonts w:ascii="Arial" w:hAnsi="Arial"/>
          <w:b/>
          <w:sz w:val="24"/>
          <w:szCs w:val="24"/>
        </w:rPr>
        <w:t>intervenants</w:t>
      </w:r>
      <w:r>
        <w:rPr>
          <w:rFonts w:ascii="Arial" w:hAnsi="Arial"/>
          <w:sz w:val="24"/>
          <w:szCs w:val="24"/>
        </w:rPr>
        <w:t xml:space="preserve"> sont des personnes ou des parties qui comprennent, sans s’y limiter, les Canadiens, les peuples autochtones, les gouvernements, les organismes, les entreprises ou les partenaires commerciaux, et qui sont intéressés ou préoccupés par les règlements fédéraux et les initiatives gouvernementales fédérales connexes.</w:t>
      </w:r>
      <w:r w:rsidR="00600251">
        <w:rPr>
          <w:rFonts w:ascii="Arial" w:hAnsi="Arial"/>
          <w:sz w:val="24"/>
          <w:szCs w:val="24"/>
        </w:rPr>
        <w:t xml:space="preserve"> </w:t>
      </w:r>
    </w:p>
    <w:p w14:paraId="376A999C" w14:textId="77777777" w:rsidR="00600251" w:rsidRDefault="00600251" w:rsidP="00600251">
      <w:pPr>
        <w:spacing w:after="0"/>
        <w:rPr>
          <w:rFonts w:ascii="Arial" w:hAnsi="Arial"/>
          <w:sz w:val="24"/>
          <w:szCs w:val="24"/>
        </w:rPr>
      </w:pPr>
    </w:p>
    <w:p w14:paraId="23DBD193" w14:textId="14631007" w:rsidR="000E38A0" w:rsidRPr="00B01CB8" w:rsidRDefault="00653EF9" w:rsidP="00600251">
      <w:pPr>
        <w:spacing w:after="0"/>
        <w:rPr>
          <w:rStyle w:val="SubtleReference"/>
          <w:rFonts w:ascii="Arial" w:hAnsi="Arial" w:cs="Arial"/>
          <w:b/>
          <w:smallCaps w:val="0"/>
          <w:color w:val="auto"/>
          <w:sz w:val="32"/>
          <w:szCs w:val="28"/>
        </w:rPr>
      </w:pPr>
      <w:r>
        <w:rPr>
          <w:rStyle w:val="SubtleReference"/>
          <w:rFonts w:ascii="Arial" w:hAnsi="Arial"/>
          <w:b/>
          <w:smallCaps w:val="0"/>
          <w:color w:val="auto"/>
          <w:sz w:val="32"/>
          <w:szCs w:val="28"/>
        </w:rPr>
        <w:t xml:space="preserve">La Directive du Cabinet sur la réglementation et l’examen de l’inventaire des règlements </w:t>
      </w:r>
    </w:p>
    <w:p w14:paraId="5251B274" w14:textId="77777777" w:rsidR="00CB1FA6" w:rsidRPr="00B01CB8" w:rsidRDefault="00CB1FA6" w:rsidP="00CB1FA6">
      <w:pPr>
        <w:spacing w:after="0" w:line="240" w:lineRule="auto"/>
        <w:rPr>
          <w:rFonts w:ascii="Arial" w:hAnsi="Arial" w:cs="Arial"/>
          <w:b/>
          <w:sz w:val="20"/>
          <w:szCs w:val="20"/>
        </w:rPr>
      </w:pPr>
    </w:p>
    <w:p w14:paraId="64FFC535" w14:textId="765C05D3" w:rsidR="00D15E1B" w:rsidRPr="00B01CB8" w:rsidRDefault="00A64E34" w:rsidP="00E573DE">
      <w:pPr>
        <w:rPr>
          <w:rFonts w:ascii="Arial" w:hAnsi="Arial" w:cs="Arial"/>
          <w:b/>
          <w:sz w:val="28"/>
          <w:szCs w:val="24"/>
        </w:rPr>
      </w:pPr>
      <w:r>
        <w:rPr>
          <w:rFonts w:ascii="Arial" w:hAnsi="Arial"/>
          <w:b/>
          <w:sz w:val="28"/>
          <w:szCs w:val="24"/>
        </w:rPr>
        <w:t>Examen réglementaire efficace : objectif et défis</w:t>
      </w:r>
    </w:p>
    <w:p w14:paraId="48A31B06" w14:textId="1B669D3E" w:rsidR="009867DA" w:rsidRPr="00B01CB8" w:rsidRDefault="009867DA" w:rsidP="00826F92">
      <w:pPr>
        <w:rPr>
          <w:rFonts w:ascii="Arial" w:hAnsi="Arial" w:cs="Arial"/>
          <w:sz w:val="24"/>
          <w:szCs w:val="24"/>
        </w:rPr>
      </w:pPr>
      <w:r>
        <w:rPr>
          <w:rFonts w:ascii="Arial" w:hAnsi="Arial"/>
          <w:sz w:val="24"/>
          <w:szCs w:val="24"/>
        </w:rPr>
        <w:t xml:space="preserve">Les règlements permettent de protéger la santé, la sûreté et la sécurité des Canadiens et de l’environnement et facilitent aussi, idéalement, l’innovation et la compétitivité au sein de l’économie. L’abrogation de règlements ne représente pas l’objectif ultime d’un examen réglementaire. Plutôt, des modifications aux règlements, aux programmes et aux processus d’application de la loi peuvent permettre des gains d’efficacité, des réductions de coûts et </w:t>
      </w:r>
      <w:r w:rsidR="0044556F">
        <w:rPr>
          <w:rFonts w:ascii="Arial" w:hAnsi="Arial"/>
          <w:sz w:val="24"/>
          <w:szCs w:val="24"/>
        </w:rPr>
        <w:t>l’</w:t>
      </w:r>
      <w:r>
        <w:rPr>
          <w:rFonts w:ascii="Arial" w:hAnsi="Arial"/>
          <w:sz w:val="24"/>
          <w:szCs w:val="24"/>
        </w:rPr>
        <w:t xml:space="preserve">amélioration </w:t>
      </w:r>
      <w:r w:rsidR="0044556F">
        <w:rPr>
          <w:rFonts w:ascii="Arial" w:hAnsi="Arial"/>
          <w:sz w:val="24"/>
          <w:szCs w:val="24"/>
        </w:rPr>
        <w:t>des</w:t>
      </w:r>
      <w:r>
        <w:rPr>
          <w:rFonts w:ascii="Arial" w:hAnsi="Arial"/>
          <w:sz w:val="24"/>
          <w:szCs w:val="24"/>
        </w:rPr>
        <w:t xml:space="preserve"> occasions de croissance et d’innovation, tout en renforçant les objectifs de politique sous-jacents prévus pour les Canadiens. Vu qu’il ne cesse d’y avoir des innovations et de nouvelles technologies dans l’industrie, et que la manière par laquelle les règlements ont été conçus et rédigés peut avoir évolué depuis l’adoption initiale du règlement, il faut examiner et modifier les règlements de manière régulière pour refléter les environnements de risque évolutifs et permettre une souplesse pour s’ajuster aux circonstances changeantes.</w:t>
      </w:r>
      <w:r w:rsidR="00AB1C2D">
        <w:rPr>
          <w:rFonts w:ascii="Arial" w:hAnsi="Arial"/>
          <w:sz w:val="24"/>
          <w:szCs w:val="24"/>
        </w:rPr>
        <w:t xml:space="preserve"> </w:t>
      </w:r>
    </w:p>
    <w:p w14:paraId="046F270C" w14:textId="78F3E84E" w:rsidR="002E272E" w:rsidRPr="00B01CB8" w:rsidRDefault="00B27C76" w:rsidP="00826F92">
      <w:pPr>
        <w:rPr>
          <w:rFonts w:ascii="Arial" w:eastAsia="Times New Roman" w:hAnsi="Arial" w:cs="Arial"/>
          <w:sz w:val="24"/>
          <w:szCs w:val="24"/>
        </w:rPr>
      </w:pPr>
      <w:r>
        <w:rPr>
          <w:rFonts w:ascii="Arial" w:hAnsi="Arial"/>
          <w:sz w:val="24"/>
          <w:szCs w:val="24"/>
        </w:rPr>
        <w:t>L’OCDE indique que « l’évaluation des textes législatifs et réglementaires en vigueur par le truchement d’une analyse d’impact a posteriori est nécessaire pour s’assurer à la fois de leur efficacité et de leur efficience. En l’absence d’un processus systématique de réexamen du stock de textes en vigueur, le fardeau global lié au respect des textes tend à s’alourdir au fil du temps,</w:t>
      </w:r>
      <w:r w:rsidR="00AB1C2D">
        <w:rPr>
          <w:rFonts w:ascii="Arial" w:hAnsi="Arial"/>
          <w:sz w:val="24"/>
          <w:szCs w:val="24"/>
        </w:rPr>
        <w:t xml:space="preserve"> </w:t>
      </w:r>
      <w:r>
        <w:rPr>
          <w:rFonts w:ascii="Arial" w:hAnsi="Arial"/>
          <w:sz w:val="24"/>
          <w:szCs w:val="24"/>
        </w:rPr>
        <w:t>ce qui complique le quotidien des particuliers et nuit à l’efficience de la vie des affaires. » Grâce à l’éventail actuel du Canada de plus de 2600 règlements facilités par 800 lois à l’échelle de 50 ministères et organismes réglementaires, l’examen de l’inventaire des règlements (également sous le nom d’évaluation ex post) et les efforts de modernisation offrent une voie aux Canadiens et aux entreprises pour bénéficier de nouvelles possibilités économiques.</w:t>
      </w:r>
      <w:r w:rsidR="00AB1C2D">
        <w:rPr>
          <w:rFonts w:ascii="Arial" w:hAnsi="Arial"/>
          <w:sz w:val="24"/>
          <w:szCs w:val="24"/>
        </w:rPr>
        <w:t xml:space="preserve"> </w:t>
      </w:r>
    </w:p>
    <w:p w14:paraId="396E322C" w14:textId="0A9E89B7" w:rsidR="00092871" w:rsidRPr="00B01CB8" w:rsidRDefault="003461D6" w:rsidP="00826F92">
      <w:pPr>
        <w:rPr>
          <w:rFonts w:ascii="Arial" w:hAnsi="Arial" w:cs="Arial"/>
          <w:b/>
          <w:sz w:val="28"/>
          <w:szCs w:val="24"/>
        </w:rPr>
      </w:pPr>
      <w:r>
        <w:rPr>
          <w:rFonts w:ascii="Arial" w:hAnsi="Arial"/>
          <w:b/>
          <w:sz w:val="28"/>
          <w:szCs w:val="24"/>
        </w:rPr>
        <w:t>Qu’exige la Directive du Cabinet sur la réglementation pour un examen d’inventaire?</w:t>
      </w:r>
    </w:p>
    <w:p w14:paraId="3E436D8B" w14:textId="20B67FF7" w:rsidR="00FA1057" w:rsidRPr="0078202F" w:rsidRDefault="00CD3DD9" w:rsidP="00826F92">
      <w:pPr>
        <w:rPr>
          <w:rFonts w:ascii="Arial" w:hAnsi="Arial" w:cs="Arial"/>
          <w:sz w:val="24"/>
          <w:szCs w:val="24"/>
        </w:rPr>
      </w:pPr>
      <w:r>
        <w:rPr>
          <w:rFonts w:ascii="Arial" w:hAnsi="Arial"/>
          <w:sz w:val="24"/>
          <w:szCs w:val="24"/>
        </w:rPr>
        <w:t xml:space="preserve">La Directive introduit une exigence selon laquelle les ministères et les organismes doivent entreprendre un examen régulier de </w:t>
      </w:r>
      <w:r w:rsidR="00CF11A0">
        <w:rPr>
          <w:rFonts w:ascii="Arial" w:hAnsi="Arial"/>
          <w:sz w:val="24"/>
          <w:szCs w:val="24"/>
        </w:rPr>
        <w:t>leu</w:t>
      </w:r>
      <w:r w:rsidR="00867812">
        <w:rPr>
          <w:rFonts w:ascii="Arial" w:hAnsi="Arial"/>
          <w:sz w:val="24"/>
          <w:szCs w:val="24"/>
        </w:rPr>
        <w:t>r</w:t>
      </w:r>
      <w:r w:rsidR="00CF11A0">
        <w:rPr>
          <w:rFonts w:ascii="Arial" w:hAnsi="Arial"/>
          <w:sz w:val="24"/>
          <w:szCs w:val="24"/>
        </w:rPr>
        <w:t xml:space="preserve"> </w:t>
      </w:r>
      <w:r>
        <w:rPr>
          <w:rFonts w:ascii="Arial" w:hAnsi="Arial"/>
          <w:sz w:val="24"/>
          <w:szCs w:val="24"/>
        </w:rPr>
        <w:t xml:space="preserve">inventaire de règlements. À cette fin, ils doivent créer un plan et un calendrier qui décrivent </w:t>
      </w:r>
      <w:r w:rsidR="00867812">
        <w:rPr>
          <w:rFonts w:ascii="Arial" w:hAnsi="Arial"/>
          <w:sz w:val="24"/>
          <w:szCs w:val="24"/>
        </w:rPr>
        <w:t>comment</w:t>
      </w:r>
      <w:r>
        <w:rPr>
          <w:rFonts w:ascii="Arial" w:hAnsi="Arial"/>
          <w:sz w:val="24"/>
          <w:szCs w:val="24"/>
        </w:rPr>
        <w:t xml:space="preserve"> ils examineront les règlements du ministère ou des organismes. La Directive établit également une liste de perspectives analytiques qui devraient être appliquées au cours de l’examen. </w:t>
      </w:r>
    </w:p>
    <w:p w14:paraId="69E4A23D" w14:textId="327DC197" w:rsidR="0032393C" w:rsidRPr="00B01CB8" w:rsidRDefault="0032393C" w:rsidP="00826F92">
      <w:pPr>
        <w:spacing w:after="120"/>
        <w:rPr>
          <w:rFonts w:ascii="Arial" w:hAnsi="Arial" w:cs="Arial"/>
          <w:sz w:val="24"/>
          <w:szCs w:val="24"/>
        </w:rPr>
      </w:pPr>
      <w:r>
        <w:rPr>
          <w:rFonts w:ascii="Arial" w:hAnsi="Arial"/>
          <w:sz w:val="24"/>
          <w:szCs w:val="24"/>
        </w:rPr>
        <w:t>Pour répondre aux exigences décrites dans la Directive, les ministères et les organismes doivent communiquer deux éléments aux intervenants et au Secrétariat du Conseil du Trésor du Canada (SCT) :</w:t>
      </w:r>
    </w:p>
    <w:p w14:paraId="38B81B21" w14:textId="4DB2704A" w:rsidR="00144A27" w:rsidRPr="00B01CB8" w:rsidRDefault="00041BBE" w:rsidP="00826F92">
      <w:pPr>
        <w:pStyle w:val="ListParagraph"/>
        <w:numPr>
          <w:ilvl w:val="0"/>
          <w:numId w:val="2"/>
        </w:numPr>
        <w:spacing w:after="120" w:line="276" w:lineRule="auto"/>
        <w:rPr>
          <w:rFonts w:ascii="Arial" w:hAnsi="Arial" w:cs="Arial"/>
          <w:szCs w:val="24"/>
        </w:rPr>
      </w:pPr>
      <w:r>
        <w:rPr>
          <w:rFonts w:ascii="Arial" w:hAnsi="Arial"/>
          <w:szCs w:val="24"/>
        </w:rPr>
        <w:t xml:space="preserve">une liste des règlements qui feront l’objet d’un examen, hiérarchisés de manière adéquate pour l’organisme de réglementation et les intervenants; </w:t>
      </w:r>
    </w:p>
    <w:p w14:paraId="0330EC62" w14:textId="3F64537C" w:rsidR="0032393C" w:rsidRPr="00B01CB8" w:rsidRDefault="00041BBE" w:rsidP="00826F92">
      <w:pPr>
        <w:pStyle w:val="ListParagraph"/>
        <w:numPr>
          <w:ilvl w:val="0"/>
          <w:numId w:val="2"/>
        </w:numPr>
        <w:spacing w:after="120" w:line="276" w:lineRule="auto"/>
        <w:rPr>
          <w:rFonts w:ascii="Arial" w:hAnsi="Arial" w:cs="Arial"/>
          <w:szCs w:val="24"/>
        </w:rPr>
      </w:pPr>
      <w:r>
        <w:rPr>
          <w:rFonts w:ascii="Arial" w:hAnsi="Arial"/>
          <w:szCs w:val="24"/>
        </w:rPr>
        <w:t>un délai pour les examens.</w:t>
      </w:r>
      <w:r w:rsidR="00AB1C2D">
        <w:rPr>
          <w:rFonts w:ascii="Arial" w:hAnsi="Arial"/>
          <w:szCs w:val="24"/>
        </w:rPr>
        <w:t xml:space="preserve"> </w:t>
      </w:r>
    </w:p>
    <w:p w14:paraId="5F99DFE9" w14:textId="1457DF9B" w:rsidR="00041BBE" w:rsidRDefault="008F3A34" w:rsidP="00826F92">
      <w:pPr>
        <w:rPr>
          <w:rFonts w:ascii="Arial" w:hAnsi="Arial" w:cs="Arial"/>
          <w:sz w:val="24"/>
          <w:szCs w:val="24"/>
        </w:rPr>
      </w:pPr>
      <w:r>
        <w:rPr>
          <w:rFonts w:ascii="Arial" w:hAnsi="Arial"/>
          <w:sz w:val="24"/>
          <w:szCs w:val="24"/>
        </w:rPr>
        <w:t xml:space="preserve">Les organismes de réglementation doivent </w:t>
      </w:r>
      <w:r w:rsidR="00DD5192">
        <w:rPr>
          <w:rFonts w:ascii="Arial" w:hAnsi="Arial"/>
          <w:sz w:val="24"/>
          <w:szCs w:val="24"/>
        </w:rPr>
        <w:t>obtenir</w:t>
      </w:r>
      <w:r w:rsidR="00BB6970">
        <w:rPr>
          <w:rFonts w:ascii="Arial" w:hAnsi="Arial"/>
          <w:sz w:val="24"/>
          <w:szCs w:val="24"/>
        </w:rPr>
        <w:t xml:space="preserve"> </w:t>
      </w:r>
      <w:r>
        <w:rPr>
          <w:rFonts w:ascii="Arial" w:hAnsi="Arial"/>
          <w:sz w:val="24"/>
          <w:szCs w:val="24"/>
        </w:rPr>
        <w:t>une rétroaction des intervenants pour ces composantes et tenir compte des enjeux soulevés dans le cadre du processus de consultation et de rétroaction lorsqu’ils achèvent le plan d’examen de l’inventaire. Pour assurer l’uniformité dans la présentation publique des examens d’inventaire, le présent guide établit un cadre ou un modèle à suivre</w:t>
      </w:r>
      <w:r w:rsidR="00BB6970">
        <w:rPr>
          <w:rFonts w:ascii="Arial" w:hAnsi="Arial"/>
          <w:sz w:val="24"/>
          <w:szCs w:val="24"/>
        </w:rPr>
        <w:t xml:space="preserve"> par les organisme</w:t>
      </w:r>
      <w:r w:rsidR="007B0FBA">
        <w:rPr>
          <w:rFonts w:ascii="Arial" w:hAnsi="Arial"/>
          <w:sz w:val="24"/>
          <w:szCs w:val="24"/>
        </w:rPr>
        <w:t>s</w:t>
      </w:r>
      <w:r w:rsidR="00BB6970">
        <w:rPr>
          <w:rFonts w:ascii="Arial" w:hAnsi="Arial"/>
          <w:sz w:val="24"/>
          <w:szCs w:val="24"/>
        </w:rPr>
        <w:t xml:space="preserve"> de réglementation</w:t>
      </w:r>
      <w:r>
        <w:rPr>
          <w:rFonts w:ascii="Arial" w:hAnsi="Arial"/>
          <w:sz w:val="24"/>
          <w:szCs w:val="24"/>
        </w:rPr>
        <w:t xml:space="preserve"> </w:t>
      </w:r>
      <w:r w:rsidR="00BB6970">
        <w:rPr>
          <w:rFonts w:ascii="Arial" w:hAnsi="Arial"/>
          <w:sz w:val="24"/>
          <w:szCs w:val="24"/>
        </w:rPr>
        <w:t>concernant</w:t>
      </w:r>
      <w:r>
        <w:rPr>
          <w:rFonts w:ascii="Arial" w:hAnsi="Arial"/>
          <w:sz w:val="24"/>
          <w:szCs w:val="24"/>
        </w:rPr>
        <w:t xml:space="preserve"> le plan d’examen de l’inventaire, comme illustré à l’</w:t>
      </w:r>
      <w:r>
        <w:rPr>
          <w:rFonts w:ascii="Arial" w:hAnsi="Arial"/>
          <w:b/>
          <w:sz w:val="24"/>
          <w:szCs w:val="24"/>
        </w:rPr>
        <w:t>annexe A</w:t>
      </w:r>
      <w:r>
        <w:rPr>
          <w:rFonts w:ascii="Arial" w:hAnsi="Arial"/>
          <w:sz w:val="24"/>
          <w:szCs w:val="24"/>
        </w:rPr>
        <w:t xml:space="preserve">. </w:t>
      </w:r>
    </w:p>
    <w:p w14:paraId="207085D0" w14:textId="064BCE87" w:rsidR="008629A8" w:rsidRDefault="00B27C76" w:rsidP="00826F92">
      <w:pPr>
        <w:rPr>
          <w:rFonts w:ascii="Arial" w:hAnsi="Arial" w:cs="Arial"/>
          <w:sz w:val="24"/>
          <w:szCs w:val="24"/>
        </w:rPr>
      </w:pPr>
      <w:r>
        <w:rPr>
          <w:rFonts w:ascii="Arial" w:hAnsi="Arial"/>
          <w:sz w:val="24"/>
          <w:szCs w:val="24"/>
        </w:rPr>
        <w:t>Le plan d’examen de l’inventaire comprend les titres des règlements qui seront examinés, la date du dernier examen de chaque règlement et la date proposée de lancement d’un nouvel examen. Les plans sont publiés en ligne sur la page Web Loi et Règlements du ministère ou de l’organisme et ils devraient être mis à jour annuellement au plus tard au 1</w:t>
      </w:r>
      <w:r>
        <w:rPr>
          <w:rFonts w:ascii="Arial" w:hAnsi="Arial"/>
          <w:sz w:val="24"/>
          <w:szCs w:val="24"/>
          <w:vertAlign w:val="superscript"/>
        </w:rPr>
        <w:t>er </w:t>
      </w:r>
      <w:r>
        <w:rPr>
          <w:rFonts w:ascii="Arial" w:hAnsi="Arial"/>
          <w:sz w:val="24"/>
          <w:szCs w:val="24"/>
        </w:rPr>
        <w:t xml:space="preserve">avril. Cette mise à jour devrait s’harmoniser avec les mises à jour du plan prospectif de la réglementation. Il doit également être lié au Plan prospectif de la réglementation, comme exigé par la Politique sur la transparence et la responsabilisation en matière de réglementation. </w:t>
      </w:r>
    </w:p>
    <w:p w14:paraId="7C6A8059" w14:textId="78E98BC4" w:rsidR="00B312E9" w:rsidRDefault="00326483" w:rsidP="00826F92">
      <w:pPr>
        <w:rPr>
          <w:rFonts w:ascii="Arial" w:hAnsi="Arial" w:cs="Arial"/>
          <w:sz w:val="24"/>
          <w:szCs w:val="24"/>
        </w:rPr>
      </w:pPr>
      <w:r>
        <w:rPr>
          <w:rFonts w:ascii="Arial" w:hAnsi="Arial"/>
          <w:sz w:val="24"/>
          <w:szCs w:val="24"/>
        </w:rPr>
        <w:t xml:space="preserve">Comme prévu dans la Directive, le président du Conseil du Trésor du Canada a le pouvoir d’exiger que le ministère ou l’organisme entreprenne un examen des règlements ou participe à un processus d’examen réglementaire dirigé par l’administration centrale. Les organismes de réglementation qui participent aux examens réglementaires dirigés par l’administration centrale, comme ceux indiqués par le président du Conseil du Trésor ou par une autre décision du gouvernement du Canada, devraient signaler cette participation, ainsi que les règlements qui font partie de ce processus d’examen central, dans leur plan d’examen de l’inventaire. </w:t>
      </w:r>
    </w:p>
    <w:p w14:paraId="5600CC18" w14:textId="0A29EB9E" w:rsidR="008477D9" w:rsidRDefault="00BD4591" w:rsidP="00826F92">
      <w:pPr>
        <w:rPr>
          <w:rFonts w:ascii="Arial" w:hAnsi="Arial" w:cs="Arial"/>
          <w:sz w:val="24"/>
          <w:szCs w:val="24"/>
        </w:rPr>
      </w:pPr>
      <w:r>
        <w:rPr>
          <w:rFonts w:ascii="Arial" w:hAnsi="Arial"/>
          <w:sz w:val="24"/>
          <w:szCs w:val="24"/>
        </w:rPr>
        <w:t xml:space="preserve">Lorsque cela a du sens, les règlements peuvent être regroupés dans un plan d’examen d’inventaire sous l’égide d’un examen. Lorsque l’approche anticipée pour un examen est déjà connue par le ministère (c’est-à-dire dans le cadre d’un examen obligatoire ou ad hoc d’une loi), une mention doit être faite dans le plan d’examen de l’inventaire. Les organismes de réglementation peuvent également indiquer que l’approche reste « à déterminer » et incorporer la rétroaction des intervenants dans le processus de planification. Lorsqu’un règlement est partiellement examiné plutôt que dans son intégrité, </w:t>
      </w:r>
      <w:r w:rsidR="00924121">
        <w:rPr>
          <w:rFonts w:ascii="Arial" w:hAnsi="Arial"/>
          <w:sz w:val="24"/>
          <w:szCs w:val="24"/>
        </w:rPr>
        <w:t xml:space="preserve">les organismes de réglementation </w:t>
      </w:r>
      <w:r>
        <w:rPr>
          <w:rFonts w:ascii="Arial" w:hAnsi="Arial"/>
          <w:sz w:val="24"/>
          <w:szCs w:val="24"/>
        </w:rPr>
        <w:t xml:space="preserve">devraient énumérer les parties examinées et fournir une justification pour l’examen partiel à l’aide d’une courte description. </w:t>
      </w:r>
    </w:p>
    <w:p w14:paraId="75A78DEF" w14:textId="6133F714" w:rsidR="00C840C8" w:rsidRPr="00B01CB8" w:rsidRDefault="00B27C76" w:rsidP="00826F92">
      <w:pPr>
        <w:pStyle w:val="Default"/>
        <w:spacing w:after="287" w:line="276" w:lineRule="auto"/>
        <w:rPr>
          <w:rFonts w:ascii="Arial" w:hAnsi="Arial" w:cs="Arial"/>
          <w:color w:val="auto"/>
        </w:rPr>
      </w:pPr>
      <w:r>
        <w:rPr>
          <w:rFonts w:ascii="Arial" w:hAnsi="Arial"/>
          <w:color w:val="auto"/>
        </w:rPr>
        <w:t>Les preuves recueillies au cours de l’examen appuieront les décisions liées aux prochaines étapes dans le cadre d’un règlement qui peut être catégorisé selon l’un des résultats suivants :</w:t>
      </w:r>
      <w:r w:rsidR="00AB1C2D">
        <w:rPr>
          <w:rFonts w:ascii="Arial" w:hAnsi="Arial"/>
          <w:color w:val="auto"/>
        </w:rPr>
        <w:t xml:space="preserve"> </w:t>
      </w:r>
    </w:p>
    <w:p w14:paraId="37FD0D2D" w14:textId="45301EF3" w:rsidR="00C840C8" w:rsidRPr="00B01CB8" w:rsidRDefault="007311AE" w:rsidP="00826F92">
      <w:pPr>
        <w:pStyle w:val="Default"/>
        <w:numPr>
          <w:ilvl w:val="0"/>
          <w:numId w:val="3"/>
        </w:numPr>
        <w:spacing w:after="287" w:line="276" w:lineRule="auto"/>
        <w:rPr>
          <w:rFonts w:ascii="Arial" w:hAnsi="Arial" w:cs="Arial"/>
          <w:color w:val="auto"/>
        </w:rPr>
      </w:pPr>
      <w:r>
        <w:rPr>
          <w:rFonts w:ascii="Arial" w:hAnsi="Arial"/>
          <w:b/>
          <w:bCs/>
          <w:color w:val="auto"/>
        </w:rPr>
        <w:t>examiné et confirmé</w:t>
      </w:r>
      <w:r>
        <w:rPr>
          <w:rFonts w:ascii="Arial" w:hAnsi="Arial"/>
          <w:color w:val="auto"/>
        </w:rPr>
        <w:t xml:space="preserve"> – le règlement continue sans changement;</w:t>
      </w:r>
      <w:r w:rsidR="00AB1C2D">
        <w:rPr>
          <w:rFonts w:ascii="Arial" w:hAnsi="Arial"/>
          <w:color w:val="auto"/>
        </w:rPr>
        <w:t xml:space="preserve"> </w:t>
      </w:r>
    </w:p>
    <w:p w14:paraId="01EF3ADD" w14:textId="08BFDE45" w:rsidR="00C840C8" w:rsidRPr="00B01CB8" w:rsidRDefault="00B27C76" w:rsidP="00826F92">
      <w:pPr>
        <w:pStyle w:val="Default"/>
        <w:numPr>
          <w:ilvl w:val="0"/>
          <w:numId w:val="3"/>
        </w:numPr>
        <w:spacing w:after="287" w:line="276" w:lineRule="auto"/>
        <w:rPr>
          <w:rFonts w:ascii="Arial" w:hAnsi="Arial" w:cs="Arial"/>
          <w:color w:val="auto"/>
        </w:rPr>
      </w:pPr>
      <w:r>
        <w:rPr>
          <w:rFonts w:ascii="Arial" w:hAnsi="Arial"/>
          <w:b/>
          <w:bCs/>
          <w:color w:val="auto"/>
        </w:rPr>
        <w:t>modifié</w:t>
      </w:r>
      <w:r>
        <w:rPr>
          <w:rFonts w:ascii="Arial" w:hAnsi="Arial"/>
          <w:color w:val="auto"/>
        </w:rPr>
        <w:t xml:space="preserve"> – le règlement continue d’exister, mais il fait l’objet de changements en vue de l’améliorer;</w:t>
      </w:r>
      <w:r w:rsidR="00AB1C2D">
        <w:rPr>
          <w:rFonts w:ascii="Arial" w:hAnsi="Arial"/>
          <w:color w:val="auto"/>
        </w:rPr>
        <w:t xml:space="preserve"> </w:t>
      </w:r>
    </w:p>
    <w:p w14:paraId="51B1D6A6" w14:textId="063CAE06" w:rsidR="00C840C8" w:rsidRPr="00B01CB8" w:rsidRDefault="00B27C76" w:rsidP="00826F92">
      <w:pPr>
        <w:pStyle w:val="Default"/>
        <w:numPr>
          <w:ilvl w:val="0"/>
          <w:numId w:val="3"/>
        </w:numPr>
        <w:spacing w:after="287" w:line="276" w:lineRule="auto"/>
        <w:rPr>
          <w:rFonts w:ascii="Arial" w:hAnsi="Arial" w:cs="Arial"/>
          <w:color w:val="auto"/>
        </w:rPr>
      </w:pPr>
      <w:r>
        <w:rPr>
          <w:rFonts w:ascii="Arial" w:hAnsi="Arial"/>
          <w:b/>
          <w:bCs/>
          <w:color w:val="auto"/>
        </w:rPr>
        <w:t>abrogé</w:t>
      </w:r>
      <w:r>
        <w:rPr>
          <w:rFonts w:ascii="Arial" w:hAnsi="Arial"/>
          <w:color w:val="auto"/>
        </w:rPr>
        <w:t xml:space="preserve"> – il est abrogé sans être remplacé;</w:t>
      </w:r>
      <w:r w:rsidR="00AB1C2D">
        <w:rPr>
          <w:rFonts w:ascii="Arial" w:hAnsi="Arial"/>
          <w:color w:val="auto"/>
        </w:rPr>
        <w:t xml:space="preserve"> </w:t>
      </w:r>
    </w:p>
    <w:p w14:paraId="2E847826" w14:textId="4613DCAA" w:rsidR="00C840C8" w:rsidRPr="00B01CB8" w:rsidRDefault="00B27C76" w:rsidP="00826F92">
      <w:pPr>
        <w:pStyle w:val="Default"/>
        <w:numPr>
          <w:ilvl w:val="0"/>
          <w:numId w:val="3"/>
        </w:numPr>
        <w:spacing w:after="287" w:line="276" w:lineRule="auto"/>
        <w:rPr>
          <w:rFonts w:ascii="Arial" w:hAnsi="Arial" w:cs="Arial"/>
          <w:color w:val="auto"/>
        </w:rPr>
      </w:pPr>
      <w:r>
        <w:rPr>
          <w:rFonts w:ascii="Arial" w:hAnsi="Arial"/>
          <w:b/>
          <w:bCs/>
          <w:color w:val="auto"/>
        </w:rPr>
        <w:t>remplacé</w:t>
      </w:r>
      <w:r>
        <w:rPr>
          <w:rFonts w:ascii="Arial" w:hAnsi="Arial"/>
          <w:color w:val="auto"/>
        </w:rPr>
        <w:t xml:space="preserve"> – le règlement est remplacé ou considérablement repensé. </w:t>
      </w:r>
    </w:p>
    <w:p w14:paraId="68C7EAA9" w14:textId="0B68ED85" w:rsidR="00710505" w:rsidRPr="00B01CB8" w:rsidRDefault="00FE6890" w:rsidP="00826F92">
      <w:pPr>
        <w:pStyle w:val="Heading2"/>
        <w:spacing w:after="240"/>
        <w:rPr>
          <w:rStyle w:val="SubtleReference"/>
          <w:rFonts w:ascii="Arial" w:hAnsi="Arial" w:cs="Arial"/>
          <w:b/>
          <w:smallCaps w:val="0"/>
          <w:color w:val="auto"/>
          <w:sz w:val="32"/>
          <w:szCs w:val="28"/>
        </w:rPr>
      </w:pPr>
      <w:r>
        <w:rPr>
          <w:rStyle w:val="SubtleReference"/>
          <w:rFonts w:ascii="Arial" w:hAnsi="Arial"/>
          <w:b/>
          <w:smallCaps w:val="0"/>
          <w:color w:val="auto"/>
          <w:sz w:val="32"/>
          <w:szCs w:val="28"/>
        </w:rPr>
        <w:t>Approches pour l’examen de l’inventaire des règlements</w:t>
      </w:r>
    </w:p>
    <w:p w14:paraId="2595F3E4" w14:textId="04BA4155" w:rsidR="00FE6890" w:rsidRPr="00FE6890" w:rsidRDefault="00FE6890" w:rsidP="00626602">
      <w:pPr>
        <w:spacing w:after="120"/>
        <w:rPr>
          <w:rFonts w:ascii="Arial" w:hAnsi="Arial" w:cs="Arial"/>
          <w:b/>
          <w:sz w:val="28"/>
          <w:szCs w:val="24"/>
        </w:rPr>
      </w:pPr>
      <w:r>
        <w:rPr>
          <w:rFonts w:ascii="Arial" w:hAnsi="Arial"/>
          <w:b/>
          <w:sz w:val="28"/>
          <w:szCs w:val="24"/>
        </w:rPr>
        <w:t>Perspectives analytiques</w:t>
      </w:r>
    </w:p>
    <w:p w14:paraId="1AE6E296" w14:textId="0540C99E" w:rsidR="00CA0118" w:rsidRPr="00B01CB8" w:rsidRDefault="00CA0118" w:rsidP="00826F92">
      <w:pPr>
        <w:rPr>
          <w:rFonts w:ascii="Arial" w:hAnsi="Arial" w:cs="Arial"/>
          <w:sz w:val="24"/>
          <w:szCs w:val="24"/>
        </w:rPr>
      </w:pPr>
      <w:r>
        <w:rPr>
          <w:rFonts w:ascii="Arial" w:hAnsi="Arial"/>
          <w:sz w:val="24"/>
          <w:szCs w:val="24"/>
        </w:rPr>
        <w:t>Une liste de facteurs ou de « perspectives » qui devraient être considérés au cours de l’examen est présentée à l’</w:t>
      </w:r>
      <w:r>
        <w:rPr>
          <w:rFonts w:ascii="Arial" w:hAnsi="Arial"/>
          <w:b/>
          <w:sz w:val="24"/>
          <w:szCs w:val="24"/>
        </w:rPr>
        <w:t>article 7.2</w:t>
      </w:r>
      <w:r>
        <w:rPr>
          <w:rFonts w:ascii="Arial" w:hAnsi="Arial"/>
          <w:sz w:val="24"/>
          <w:szCs w:val="24"/>
        </w:rPr>
        <w:t xml:space="preserve"> de la Directive. Ces perspectives orientent le processus d’examen et permettent aux organismes de réglementation d’évaluer le rendement et l’efficacité globaux d’un règlement. </w:t>
      </w:r>
      <w:r w:rsidR="00FF7F16">
        <w:rPr>
          <w:rFonts w:ascii="Arial" w:hAnsi="Arial"/>
          <w:sz w:val="24"/>
          <w:szCs w:val="24"/>
        </w:rPr>
        <w:t>Les organismes de réglementation</w:t>
      </w:r>
      <w:r>
        <w:rPr>
          <w:rFonts w:ascii="Arial" w:hAnsi="Arial"/>
          <w:sz w:val="24"/>
          <w:szCs w:val="24"/>
        </w:rPr>
        <w:t xml:space="preserve"> doivent considérer une combinaison de perspectives lorsqu’ils entreprennent un examen.</w:t>
      </w:r>
      <w:r w:rsidR="00AB1C2D">
        <w:rPr>
          <w:rFonts w:ascii="Arial" w:hAnsi="Arial"/>
          <w:sz w:val="24"/>
          <w:szCs w:val="24"/>
        </w:rPr>
        <w:t xml:space="preserve"> </w:t>
      </w:r>
    </w:p>
    <w:p w14:paraId="71019619" w14:textId="3EEF09FC" w:rsidR="00D258A8" w:rsidRDefault="005435BE" w:rsidP="00626602">
      <w:pPr>
        <w:spacing w:after="120"/>
        <w:rPr>
          <w:rFonts w:ascii="Arial" w:hAnsi="Arial" w:cs="Arial"/>
          <w:sz w:val="24"/>
          <w:szCs w:val="24"/>
        </w:rPr>
      </w:pPr>
      <w:r>
        <w:rPr>
          <w:rFonts w:ascii="Arial" w:hAnsi="Arial"/>
          <w:sz w:val="24"/>
          <w:szCs w:val="24"/>
        </w:rPr>
        <w:t>L’</w:t>
      </w:r>
      <w:r>
        <w:rPr>
          <w:rFonts w:ascii="Arial" w:hAnsi="Arial"/>
          <w:b/>
          <w:sz w:val="24"/>
          <w:szCs w:val="24"/>
        </w:rPr>
        <w:t>annexe B</w:t>
      </w:r>
      <w:r>
        <w:rPr>
          <w:rFonts w:ascii="Arial" w:hAnsi="Arial"/>
          <w:sz w:val="24"/>
          <w:szCs w:val="24"/>
        </w:rPr>
        <w:t xml:space="preserve"> présente une série de questions d’orientation qu’un ministère ou un organisme pourrait poser pendant l’examen des règlements. Les ministères et les organismes ne doivent pas répondre à toutes les questions, mais une bonne pratique réglementaire les encourage à inclure suffisamment d’information dans les résultats d’examen pour traiter des enjeux fondamentaux suivants : </w:t>
      </w:r>
    </w:p>
    <w:p w14:paraId="34FE346C" w14:textId="7AAACAA8" w:rsidR="00D258A8" w:rsidRPr="00D258A8" w:rsidRDefault="00B27C76" w:rsidP="00826F92">
      <w:pPr>
        <w:pStyle w:val="ListParagraph"/>
        <w:numPr>
          <w:ilvl w:val="0"/>
          <w:numId w:val="4"/>
        </w:numPr>
        <w:spacing w:line="276" w:lineRule="auto"/>
        <w:rPr>
          <w:rFonts w:ascii="Arial" w:hAnsi="Arial" w:cs="Arial"/>
          <w:szCs w:val="24"/>
        </w:rPr>
      </w:pPr>
      <w:r>
        <w:rPr>
          <w:rFonts w:ascii="Arial" w:hAnsi="Arial"/>
          <w:szCs w:val="24"/>
        </w:rPr>
        <w:t xml:space="preserve">la pertinence; </w:t>
      </w:r>
    </w:p>
    <w:p w14:paraId="6E623C3A" w14:textId="392FF0F2" w:rsidR="00F750E8" w:rsidRPr="00D258A8" w:rsidRDefault="00F750E8" w:rsidP="00F750E8">
      <w:pPr>
        <w:pStyle w:val="ListParagraph"/>
        <w:numPr>
          <w:ilvl w:val="0"/>
          <w:numId w:val="4"/>
        </w:numPr>
        <w:spacing w:line="276" w:lineRule="auto"/>
        <w:rPr>
          <w:rFonts w:ascii="Arial" w:hAnsi="Arial" w:cs="Arial"/>
          <w:szCs w:val="24"/>
        </w:rPr>
      </w:pPr>
      <w:r>
        <w:rPr>
          <w:rFonts w:ascii="Arial" w:hAnsi="Arial"/>
          <w:szCs w:val="24"/>
        </w:rPr>
        <w:t>le choix de l’instrument;</w:t>
      </w:r>
      <w:r w:rsidR="00AB1C2D">
        <w:rPr>
          <w:rFonts w:ascii="Arial" w:hAnsi="Arial"/>
          <w:szCs w:val="24"/>
        </w:rPr>
        <w:t xml:space="preserve"> </w:t>
      </w:r>
    </w:p>
    <w:p w14:paraId="2652B62C" w14:textId="3FB1BB7D" w:rsidR="00D258A8" w:rsidRPr="00D258A8" w:rsidRDefault="00B27C76" w:rsidP="00826F92">
      <w:pPr>
        <w:pStyle w:val="ListParagraph"/>
        <w:numPr>
          <w:ilvl w:val="0"/>
          <w:numId w:val="4"/>
        </w:numPr>
        <w:spacing w:line="276" w:lineRule="auto"/>
        <w:rPr>
          <w:rFonts w:ascii="Arial" w:hAnsi="Arial" w:cs="Arial"/>
          <w:szCs w:val="24"/>
        </w:rPr>
      </w:pPr>
      <w:r>
        <w:rPr>
          <w:rFonts w:ascii="Arial" w:hAnsi="Arial"/>
          <w:szCs w:val="24"/>
        </w:rPr>
        <w:t xml:space="preserve">l’efficacité; </w:t>
      </w:r>
    </w:p>
    <w:p w14:paraId="6015F618" w14:textId="1EF7EFBF" w:rsidR="00F750E8" w:rsidRPr="00D258A8" w:rsidRDefault="00F750E8" w:rsidP="00F750E8">
      <w:pPr>
        <w:pStyle w:val="ListParagraph"/>
        <w:numPr>
          <w:ilvl w:val="0"/>
          <w:numId w:val="4"/>
        </w:numPr>
        <w:spacing w:line="276" w:lineRule="auto"/>
        <w:rPr>
          <w:rFonts w:ascii="Arial" w:hAnsi="Arial" w:cs="Arial"/>
          <w:szCs w:val="24"/>
        </w:rPr>
      </w:pPr>
      <w:r>
        <w:rPr>
          <w:rFonts w:ascii="Arial" w:hAnsi="Arial"/>
          <w:szCs w:val="24"/>
        </w:rPr>
        <w:t>la souplesse et l’harmonie;</w:t>
      </w:r>
      <w:r w:rsidR="00AB1C2D">
        <w:rPr>
          <w:rFonts w:ascii="Arial" w:hAnsi="Arial"/>
          <w:szCs w:val="24"/>
        </w:rPr>
        <w:t xml:space="preserve"> </w:t>
      </w:r>
    </w:p>
    <w:p w14:paraId="0DB35BB2" w14:textId="73EDD6D6" w:rsidR="00D258A8" w:rsidRPr="00D258A8" w:rsidRDefault="00B27C76" w:rsidP="00826F92">
      <w:pPr>
        <w:pStyle w:val="ListParagraph"/>
        <w:numPr>
          <w:ilvl w:val="0"/>
          <w:numId w:val="4"/>
        </w:numPr>
        <w:spacing w:line="276" w:lineRule="auto"/>
        <w:rPr>
          <w:rFonts w:ascii="Arial" w:hAnsi="Arial" w:cs="Arial"/>
          <w:szCs w:val="24"/>
        </w:rPr>
      </w:pPr>
      <w:r>
        <w:rPr>
          <w:rFonts w:ascii="Arial" w:hAnsi="Arial"/>
          <w:szCs w:val="24"/>
        </w:rPr>
        <w:t xml:space="preserve">l’efficience. </w:t>
      </w:r>
    </w:p>
    <w:p w14:paraId="419A6128" w14:textId="77777777" w:rsidR="00D258A8" w:rsidRPr="00626602" w:rsidRDefault="00D258A8" w:rsidP="00826F92">
      <w:pPr>
        <w:pStyle w:val="Heading2"/>
        <w:rPr>
          <w:rStyle w:val="SubtleReference"/>
          <w:rFonts w:ascii="Arial" w:hAnsi="Arial" w:cs="Arial"/>
          <w:b/>
          <w:smallCaps w:val="0"/>
          <w:color w:val="auto"/>
          <w:sz w:val="16"/>
          <w:szCs w:val="16"/>
        </w:rPr>
      </w:pPr>
    </w:p>
    <w:p w14:paraId="310CA954" w14:textId="4D7B39E5" w:rsidR="00FE6890" w:rsidRPr="00FE6890" w:rsidRDefault="00FE6890" w:rsidP="00826F92">
      <w:pPr>
        <w:rPr>
          <w:rFonts w:ascii="Arial" w:hAnsi="Arial" w:cs="Arial"/>
          <w:b/>
          <w:sz w:val="28"/>
          <w:szCs w:val="24"/>
        </w:rPr>
      </w:pPr>
      <w:r>
        <w:rPr>
          <w:rFonts w:ascii="Arial" w:hAnsi="Arial"/>
          <w:b/>
          <w:sz w:val="28"/>
          <w:szCs w:val="24"/>
        </w:rPr>
        <w:t xml:space="preserve">Méthodologie de planification et d’évaluation </w:t>
      </w:r>
    </w:p>
    <w:p w14:paraId="28B3D61E" w14:textId="2183753D" w:rsidR="003820A1" w:rsidRDefault="00562CD9" w:rsidP="003820A1">
      <w:pPr>
        <w:rPr>
          <w:rFonts w:ascii="Arial" w:hAnsi="Arial" w:cs="Arial"/>
          <w:sz w:val="24"/>
          <w:szCs w:val="24"/>
        </w:rPr>
      </w:pPr>
      <w:r>
        <w:rPr>
          <w:rFonts w:ascii="Arial" w:hAnsi="Arial"/>
          <w:sz w:val="24"/>
          <w:szCs w:val="24"/>
        </w:rPr>
        <w:t>L’</w:t>
      </w:r>
      <w:r>
        <w:rPr>
          <w:rFonts w:ascii="Arial" w:hAnsi="Arial"/>
          <w:b/>
          <w:sz w:val="24"/>
          <w:szCs w:val="24"/>
        </w:rPr>
        <w:t>annexe C</w:t>
      </w:r>
      <w:r>
        <w:rPr>
          <w:rFonts w:ascii="Arial" w:hAnsi="Arial"/>
          <w:sz w:val="24"/>
          <w:szCs w:val="24"/>
        </w:rPr>
        <w:t xml:space="preserve"> fournit des exemples de méthodes d’évaluation et d’étapes de processus qui peuvent être adoptées par les ministères et les organismes qui entreprennent un examen d’inventaire. Celles-ci comprennent une planification pour l’examen, des suggestions </w:t>
      </w:r>
      <w:r w:rsidR="003470E9">
        <w:rPr>
          <w:rFonts w:ascii="Arial" w:hAnsi="Arial"/>
          <w:sz w:val="24"/>
          <w:szCs w:val="24"/>
        </w:rPr>
        <w:t xml:space="preserve">concernant </w:t>
      </w:r>
      <w:r>
        <w:rPr>
          <w:rFonts w:ascii="Arial" w:hAnsi="Arial"/>
          <w:sz w:val="24"/>
          <w:szCs w:val="24"/>
        </w:rPr>
        <w:t xml:space="preserve">la coordination et la méthode à privilégier pour mobiliser les intervenants au cours du processus d’examen. </w:t>
      </w:r>
    </w:p>
    <w:p w14:paraId="67EAE001" w14:textId="4B355989" w:rsidR="003820A1" w:rsidRDefault="003820A1" w:rsidP="003820A1">
      <w:pPr>
        <w:rPr>
          <w:rFonts w:ascii="Arial" w:hAnsi="Arial" w:cs="Arial"/>
          <w:sz w:val="24"/>
          <w:szCs w:val="24"/>
        </w:rPr>
      </w:pPr>
      <w:r>
        <w:rPr>
          <w:rFonts w:ascii="Arial" w:hAnsi="Arial"/>
          <w:sz w:val="24"/>
          <w:szCs w:val="24"/>
        </w:rPr>
        <w:t xml:space="preserve">L’approche </w:t>
      </w:r>
      <w:r w:rsidR="00FB6879">
        <w:rPr>
          <w:rFonts w:ascii="Arial" w:hAnsi="Arial"/>
          <w:sz w:val="24"/>
          <w:szCs w:val="24"/>
        </w:rPr>
        <w:t>de</w:t>
      </w:r>
      <w:r>
        <w:rPr>
          <w:rFonts w:ascii="Arial" w:hAnsi="Arial"/>
          <w:sz w:val="24"/>
          <w:szCs w:val="24"/>
        </w:rPr>
        <w:t xml:space="preserve"> l’examen pourrait également être façonnée par d’autres exigences de la loi ou de la politique, comme des examens ou des vérifications de la législation. Dans ce cas, les ministères et les organismes devraient indiquer le processus en question dans leur plan d’examen de l’inventaire pour le justifier. </w:t>
      </w:r>
    </w:p>
    <w:p w14:paraId="62026C58" w14:textId="162A1817" w:rsidR="00E573DE" w:rsidRPr="00B01CB8" w:rsidRDefault="00E573DE" w:rsidP="003820A1">
      <w:pPr>
        <w:rPr>
          <w:rStyle w:val="SubtleReference"/>
          <w:rFonts w:ascii="Arial" w:hAnsi="Arial" w:cs="Arial"/>
          <w:b/>
          <w:smallCaps w:val="0"/>
          <w:color w:val="auto"/>
          <w:sz w:val="32"/>
          <w:szCs w:val="28"/>
        </w:rPr>
      </w:pPr>
      <w:r>
        <w:rPr>
          <w:rStyle w:val="SubtleReference"/>
          <w:rFonts w:ascii="Arial" w:hAnsi="Arial"/>
          <w:b/>
          <w:smallCaps w:val="0"/>
          <w:color w:val="auto"/>
          <w:sz w:val="32"/>
          <w:szCs w:val="28"/>
        </w:rPr>
        <w:t>Délai</w:t>
      </w:r>
    </w:p>
    <w:p w14:paraId="12036654" w14:textId="58B8B555" w:rsidR="00E573DE" w:rsidRPr="00B01CB8" w:rsidRDefault="00E573DE" w:rsidP="00826F92">
      <w:pPr>
        <w:rPr>
          <w:rFonts w:ascii="Arial" w:hAnsi="Arial" w:cs="Arial"/>
          <w:sz w:val="24"/>
          <w:szCs w:val="24"/>
        </w:rPr>
      </w:pPr>
      <w:r>
        <w:rPr>
          <w:rFonts w:ascii="Arial" w:hAnsi="Arial"/>
          <w:sz w:val="24"/>
          <w:szCs w:val="24"/>
        </w:rPr>
        <w:t xml:space="preserve">La première période d’évaluation commencera le </w:t>
      </w:r>
      <w:r>
        <w:rPr>
          <w:rFonts w:ascii="Arial" w:hAnsi="Arial"/>
          <w:sz w:val="24"/>
          <w:szCs w:val="24"/>
          <w:highlight w:val="yellow"/>
        </w:rPr>
        <w:t>1</w:t>
      </w:r>
      <w:r>
        <w:rPr>
          <w:rFonts w:ascii="Arial" w:hAnsi="Arial"/>
          <w:sz w:val="24"/>
          <w:szCs w:val="24"/>
          <w:highlight w:val="yellow"/>
          <w:vertAlign w:val="superscript"/>
        </w:rPr>
        <w:t>er</w:t>
      </w:r>
      <w:r>
        <w:rPr>
          <w:rFonts w:ascii="Arial" w:hAnsi="Arial"/>
          <w:sz w:val="24"/>
          <w:szCs w:val="24"/>
          <w:highlight w:val="yellow"/>
        </w:rPr>
        <w:t> avril 2019</w:t>
      </w:r>
      <w:r>
        <w:rPr>
          <w:rFonts w:ascii="Arial" w:hAnsi="Arial"/>
          <w:sz w:val="24"/>
          <w:szCs w:val="24"/>
        </w:rPr>
        <w:t xml:space="preserve">. Des mises à jour </w:t>
      </w:r>
      <w:r w:rsidR="002D620A">
        <w:rPr>
          <w:rFonts w:ascii="Arial" w:hAnsi="Arial"/>
          <w:sz w:val="24"/>
          <w:szCs w:val="24"/>
        </w:rPr>
        <w:t xml:space="preserve">des </w:t>
      </w:r>
      <w:r>
        <w:rPr>
          <w:rFonts w:ascii="Arial" w:hAnsi="Arial"/>
          <w:sz w:val="24"/>
          <w:szCs w:val="24"/>
        </w:rPr>
        <w:t>plans d’examen de l’inventaire devraient être publiées publiquement sur la page Web Lois et Règlements au plus tard le 1</w:t>
      </w:r>
      <w:r>
        <w:rPr>
          <w:rFonts w:ascii="Arial" w:hAnsi="Arial"/>
          <w:sz w:val="24"/>
          <w:szCs w:val="24"/>
          <w:vertAlign w:val="superscript"/>
        </w:rPr>
        <w:t>er</w:t>
      </w:r>
      <w:r>
        <w:rPr>
          <w:rFonts w:ascii="Arial" w:hAnsi="Arial"/>
          <w:sz w:val="24"/>
          <w:szCs w:val="24"/>
        </w:rPr>
        <w:t xml:space="preserve"> avril de chaque année. </w:t>
      </w:r>
    </w:p>
    <w:p w14:paraId="20E7483B" w14:textId="63CAB528" w:rsidR="00A6611F" w:rsidRDefault="00041BBE" w:rsidP="00826F92">
      <w:pPr>
        <w:rPr>
          <w:rStyle w:val="SubtleReference"/>
          <w:rFonts w:ascii="Arial" w:eastAsiaTheme="majorEastAsia" w:hAnsi="Arial" w:cs="Arial"/>
          <w:b/>
          <w:smallCaps w:val="0"/>
          <w:color w:val="auto"/>
          <w:sz w:val="32"/>
          <w:szCs w:val="28"/>
        </w:rPr>
      </w:pPr>
      <w:r>
        <w:rPr>
          <w:rStyle w:val="SubtleReference"/>
          <w:rFonts w:ascii="Arial" w:hAnsi="Arial"/>
          <w:b/>
          <w:smallCaps w:val="0"/>
          <w:color w:val="auto"/>
          <w:sz w:val="32"/>
          <w:szCs w:val="28"/>
        </w:rPr>
        <w:t>Ressources</w:t>
      </w:r>
    </w:p>
    <w:p w14:paraId="3844E454" w14:textId="11E6C1CE" w:rsidR="007C54D8" w:rsidRPr="00072442" w:rsidRDefault="00BA0BE9" w:rsidP="00826F92">
      <w:pPr>
        <w:pStyle w:val="ListParagraph"/>
        <w:numPr>
          <w:ilvl w:val="0"/>
          <w:numId w:val="7"/>
        </w:numPr>
        <w:spacing w:line="276" w:lineRule="auto"/>
        <w:rPr>
          <w:rStyle w:val="SubtleReference"/>
          <w:rFonts w:ascii="Arial" w:eastAsiaTheme="majorEastAsia" w:hAnsi="Arial" w:cs="Arial"/>
          <w:smallCaps w:val="0"/>
          <w:color w:val="auto"/>
          <w:szCs w:val="24"/>
        </w:rPr>
      </w:pPr>
      <w:r>
        <w:rPr>
          <w:rStyle w:val="SubtleReference"/>
          <w:rFonts w:ascii="Arial" w:hAnsi="Arial"/>
          <w:smallCaps w:val="0"/>
          <w:color w:val="auto"/>
          <w:szCs w:val="24"/>
        </w:rPr>
        <w:t>Les délibérations de la 9</w:t>
      </w:r>
      <w:r>
        <w:rPr>
          <w:rStyle w:val="SubtleReference"/>
          <w:rFonts w:ascii="Arial" w:hAnsi="Arial"/>
          <w:smallCaps w:val="0"/>
          <w:color w:val="auto"/>
          <w:szCs w:val="24"/>
          <w:vertAlign w:val="superscript"/>
        </w:rPr>
        <w:t>e</w:t>
      </w:r>
      <w:r w:rsidR="00AB1C2D">
        <w:rPr>
          <w:rStyle w:val="SubtleReference"/>
          <w:rFonts w:ascii="Arial" w:hAnsi="Arial"/>
          <w:smallCaps w:val="0"/>
          <w:color w:val="auto"/>
          <w:szCs w:val="24"/>
        </w:rPr>
        <w:t> </w:t>
      </w:r>
      <w:r>
        <w:rPr>
          <w:rStyle w:val="SubtleReference"/>
          <w:rFonts w:ascii="Arial" w:hAnsi="Arial"/>
          <w:smallCaps w:val="0"/>
          <w:color w:val="auto"/>
          <w:szCs w:val="24"/>
        </w:rPr>
        <w:t>conférence de l’OCDE sur</w:t>
      </w:r>
      <w:r>
        <w:t xml:space="preserve"> </w:t>
      </w:r>
      <w:r w:rsidRPr="00575F52">
        <w:rPr>
          <w:rFonts w:ascii="Arial" w:hAnsi="Arial" w:cs="Arial"/>
        </w:rPr>
        <w:t xml:space="preserve">la </w:t>
      </w:r>
      <w:hyperlink r:id="rId8" w:history="1">
        <w:r>
          <w:rPr>
            <w:rStyle w:val="Hyperlink"/>
            <w:rFonts w:ascii="Arial" w:hAnsi="Arial"/>
            <w:szCs w:val="24"/>
          </w:rPr>
          <w:t>mesure du rendement réglementaire</w:t>
        </w:r>
      </w:hyperlink>
      <w:r>
        <w:rPr>
          <w:rStyle w:val="SubtleReference"/>
          <w:rFonts w:ascii="Arial" w:hAnsi="Arial"/>
          <w:smallCaps w:val="0"/>
          <w:color w:val="auto"/>
          <w:szCs w:val="24"/>
        </w:rPr>
        <w:t xml:space="preserve"> (2017).</w:t>
      </w:r>
      <w:r w:rsidR="00AB1C2D">
        <w:rPr>
          <w:rStyle w:val="SubtleReference"/>
          <w:rFonts w:ascii="Arial" w:hAnsi="Arial"/>
          <w:smallCaps w:val="0"/>
          <w:color w:val="auto"/>
          <w:szCs w:val="24"/>
        </w:rPr>
        <w:t xml:space="preserve"> </w:t>
      </w:r>
    </w:p>
    <w:p w14:paraId="268B4451" w14:textId="66306D65" w:rsidR="00653EF9" w:rsidRPr="00072442" w:rsidRDefault="00653EF9" w:rsidP="00826F92">
      <w:pPr>
        <w:pStyle w:val="ListParagraph"/>
        <w:numPr>
          <w:ilvl w:val="0"/>
          <w:numId w:val="7"/>
        </w:numPr>
        <w:spacing w:line="276" w:lineRule="auto"/>
        <w:rPr>
          <w:rStyle w:val="SubtleReference"/>
          <w:rFonts w:ascii="Arial" w:eastAsiaTheme="majorEastAsia" w:hAnsi="Arial" w:cs="Arial"/>
          <w:smallCaps w:val="0"/>
          <w:color w:val="auto"/>
          <w:szCs w:val="24"/>
        </w:rPr>
      </w:pPr>
      <w:r>
        <w:rPr>
          <w:rStyle w:val="SubtleReference"/>
          <w:rFonts w:ascii="Arial" w:hAnsi="Arial"/>
          <w:smallCaps w:val="0"/>
          <w:color w:val="auto"/>
          <w:szCs w:val="24"/>
        </w:rPr>
        <w:t>Le</w:t>
      </w:r>
      <w:hyperlink r:id="rId9" w:history="1">
        <w:r>
          <w:rPr>
            <w:rStyle w:val="Hyperlink"/>
            <w:rFonts w:ascii="Arial" w:hAnsi="Arial"/>
            <w:color w:val="auto"/>
            <w:szCs w:val="24"/>
            <w:u w:val="none"/>
          </w:rPr>
          <w:t xml:space="preserve"> Cadre pour l’évaluation de la politique réglementaire de l’OCDE</w:t>
        </w:r>
      </w:hyperlink>
      <w:r>
        <w:rPr>
          <w:rStyle w:val="SubtleReference"/>
          <w:rFonts w:ascii="Arial" w:hAnsi="Arial"/>
          <w:smallCaps w:val="0"/>
          <w:color w:val="auto"/>
          <w:szCs w:val="24"/>
        </w:rPr>
        <w:t xml:space="preserve"> (2014).</w:t>
      </w:r>
    </w:p>
    <w:p w14:paraId="5AD2D158" w14:textId="4366EEAB" w:rsidR="00DA0A90" w:rsidRPr="00626602" w:rsidRDefault="00FC3DE4" w:rsidP="00C356DE">
      <w:pPr>
        <w:pStyle w:val="ListParagraph"/>
        <w:numPr>
          <w:ilvl w:val="0"/>
          <w:numId w:val="7"/>
        </w:numPr>
        <w:spacing w:line="276" w:lineRule="auto"/>
        <w:rPr>
          <w:rFonts w:ascii="Arial" w:hAnsi="Arial" w:cs="Arial"/>
          <w:b/>
          <w:sz w:val="28"/>
          <w:szCs w:val="28"/>
        </w:rPr>
      </w:pPr>
      <w:r>
        <w:rPr>
          <w:rStyle w:val="SubtleReference"/>
          <w:rFonts w:ascii="Arial" w:hAnsi="Arial"/>
          <w:smallCaps w:val="0"/>
          <w:color w:val="auto"/>
          <w:szCs w:val="24"/>
        </w:rPr>
        <w:t xml:space="preserve">Page Web : </w:t>
      </w:r>
      <w:hyperlink r:id="rId10" w:history="1">
        <w:r>
          <w:rPr>
            <w:rStyle w:val="Hyperlink"/>
            <w:rFonts w:ascii="Arial" w:hAnsi="Arial"/>
            <w:szCs w:val="24"/>
          </w:rPr>
          <w:t>Évaluation ex</w:t>
        </w:r>
        <w:r w:rsidR="00AB1C2D">
          <w:rPr>
            <w:rStyle w:val="Hyperlink"/>
            <w:rFonts w:ascii="Arial" w:hAnsi="Arial"/>
            <w:szCs w:val="24"/>
          </w:rPr>
          <w:t xml:space="preserve"> </w:t>
        </w:r>
        <w:r>
          <w:rPr>
            <w:rStyle w:val="Hyperlink"/>
            <w:rFonts w:ascii="Arial" w:hAnsi="Arial"/>
            <w:szCs w:val="24"/>
          </w:rPr>
          <w:t>post des outils et des institutions réglementaires</w:t>
        </w:r>
      </w:hyperlink>
      <w:r>
        <w:t xml:space="preserve"> </w:t>
      </w:r>
      <w:r>
        <w:rPr>
          <w:rStyle w:val="SubtleReference"/>
          <w:rFonts w:ascii="Arial" w:hAnsi="Arial"/>
          <w:smallCaps w:val="0"/>
          <w:color w:val="auto"/>
          <w:szCs w:val="24"/>
        </w:rPr>
        <w:t xml:space="preserve">(2004). </w:t>
      </w:r>
    </w:p>
    <w:p w14:paraId="74B54C19" w14:textId="77777777" w:rsidR="00C50B82" w:rsidRDefault="00C50B82">
      <w:pPr>
        <w:rPr>
          <w:rFonts w:ascii="Arial" w:hAnsi="Arial" w:cs="Arial"/>
          <w:b/>
          <w:sz w:val="28"/>
          <w:szCs w:val="28"/>
        </w:rPr>
      </w:pPr>
      <w:r>
        <w:br w:type="page"/>
      </w:r>
    </w:p>
    <w:p w14:paraId="30EBBEDD" w14:textId="253EC917" w:rsidR="00A6611F" w:rsidRDefault="005435BE" w:rsidP="005435BE">
      <w:pPr>
        <w:rPr>
          <w:rFonts w:ascii="Arial" w:hAnsi="Arial" w:cs="Arial"/>
          <w:b/>
          <w:sz w:val="28"/>
          <w:szCs w:val="28"/>
        </w:rPr>
      </w:pPr>
      <w:r>
        <w:rPr>
          <w:rFonts w:ascii="Arial" w:hAnsi="Arial"/>
          <w:b/>
          <w:sz w:val="28"/>
          <w:szCs w:val="28"/>
        </w:rPr>
        <w:t xml:space="preserve">Annexe A : </w:t>
      </w:r>
    </w:p>
    <w:p w14:paraId="20AE8A4D" w14:textId="54FFA2CC" w:rsidR="005435BE" w:rsidRPr="005435BE" w:rsidRDefault="00A6611F" w:rsidP="005435BE">
      <w:pPr>
        <w:rPr>
          <w:rStyle w:val="SubtleReference"/>
          <w:rFonts w:ascii="Arial" w:eastAsiaTheme="majorEastAsia" w:hAnsi="Arial" w:cs="Arial"/>
          <w:b/>
          <w:smallCaps w:val="0"/>
          <w:color w:val="auto"/>
          <w:sz w:val="32"/>
          <w:szCs w:val="28"/>
        </w:rPr>
      </w:pPr>
      <w:r>
        <w:rPr>
          <w:rFonts w:ascii="Arial" w:hAnsi="Arial"/>
          <w:b/>
          <w:sz w:val="28"/>
          <w:szCs w:val="28"/>
        </w:rPr>
        <w:t>Modèle pour l’examen de l’inventaire</w:t>
      </w:r>
      <w:r>
        <w:rPr>
          <w:rStyle w:val="SubtleReference"/>
          <w:rFonts w:ascii="Arial" w:hAnsi="Arial"/>
          <w:b/>
          <w:smallCaps w:val="0"/>
          <w:color w:val="auto"/>
          <w:sz w:val="32"/>
          <w:szCs w:val="28"/>
        </w:rPr>
        <w:t xml:space="preserve"> </w:t>
      </w:r>
    </w:p>
    <w:p w14:paraId="65902F7E" w14:textId="77777777" w:rsidR="005435BE" w:rsidRPr="00B01CB8" w:rsidRDefault="005435BE" w:rsidP="005435BE">
      <w:pPr>
        <w:pStyle w:val="Heading2"/>
        <w:rPr>
          <w:rStyle w:val="SubtleReference"/>
          <w:rFonts w:ascii="Arial" w:hAnsi="Arial" w:cs="Arial"/>
          <w:b/>
          <w:smallCaps w:val="0"/>
          <w:color w:val="auto"/>
          <w:sz w:val="32"/>
          <w:szCs w:val="28"/>
        </w:rPr>
      </w:pPr>
    </w:p>
    <w:tbl>
      <w:tblPr>
        <w:tblStyle w:val="TableGrid"/>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26"/>
        <w:gridCol w:w="208"/>
        <w:gridCol w:w="6421"/>
      </w:tblGrid>
      <w:tr w:rsidR="000D6A30" w:rsidRPr="00FB6875" w14:paraId="7BB7C1D4" w14:textId="77777777" w:rsidTr="00547CC0">
        <w:tc>
          <w:tcPr>
            <w:tcW w:w="9355" w:type="dxa"/>
            <w:gridSpan w:val="3"/>
          </w:tcPr>
          <w:p w14:paraId="30B3C5CB" w14:textId="77777777" w:rsidR="000D6A30" w:rsidRPr="00FB6875" w:rsidRDefault="000D6A30" w:rsidP="00733B9E">
            <w:pPr>
              <w:jc w:val="center"/>
              <w:rPr>
                <w:b/>
                <w:color w:val="FF0000"/>
              </w:rPr>
            </w:pPr>
            <w:r>
              <w:rPr>
                <w:b/>
              </w:rPr>
              <w:t xml:space="preserve">[Espace pour la </w:t>
            </w:r>
            <w:r>
              <w:rPr>
                <w:b/>
                <w:bCs/>
              </w:rPr>
              <w:t>bannière du ministère ou de l’organisme</w:t>
            </w:r>
            <w:r>
              <w:rPr>
                <w:b/>
              </w:rPr>
              <w:t>]</w:t>
            </w:r>
          </w:p>
        </w:tc>
      </w:tr>
      <w:tr w:rsidR="000D6A30" w:rsidRPr="00FB6875" w14:paraId="68523302" w14:textId="77777777" w:rsidTr="00614B8B">
        <w:tc>
          <w:tcPr>
            <w:tcW w:w="9355" w:type="dxa"/>
            <w:gridSpan w:val="3"/>
          </w:tcPr>
          <w:p w14:paraId="5393CDFD" w14:textId="77777777" w:rsidR="000D6A30" w:rsidRPr="00FB6875" w:rsidRDefault="000D6A30" w:rsidP="00733B9E">
            <w:pPr>
              <w:rPr>
                <w:b/>
                <w:color w:val="FF0000"/>
              </w:rPr>
            </w:pPr>
            <w:r>
              <w:rPr>
                <w:b/>
              </w:rPr>
              <w:t xml:space="preserve">[Espace pour le </w:t>
            </w:r>
            <w:r>
              <w:rPr>
                <w:b/>
                <w:bCs/>
              </w:rPr>
              <w:t>fil d’Ariane</w:t>
            </w:r>
            <w:r>
              <w:rPr>
                <w:b/>
              </w:rPr>
              <w:t>]</w:t>
            </w:r>
          </w:p>
        </w:tc>
      </w:tr>
      <w:tr w:rsidR="000D6A30" w:rsidRPr="00FB6875" w14:paraId="16D4A63C" w14:textId="77777777" w:rsidTr="008817D5">
        <w:tc>
          <w:tcPr>
            <w:tcW w:w="2726" w:type="dxa"/>
          </w:tcPr>
          <w:p w14:paraId="347BB43C" w14:textId="77777777" w:rsidR="000D6A30" w:rsidRPr="00FB6875" w:rsidRDefault="000D6A30" w:rsidP="00733B9E">
            <w:pPr>
              <w:rPr>
                <w:b/>
                <w:color w:val="FF0000"/>
              </w:rPr>
            </w:pPr>
            <w:r>
              <w:rPr>
                <w:b/>
              </w:rPr>
              <w:t>[Espace pour la navigation du ministère ou de l’organisme]</w:t>
            </w:r>
          </w:p>
        </w:tc>
        <w:tc>
          <w:tcPr>
            <w:tcW w:w="6624" w:type="dxa"/>
            <w:gridSpan w:val="2"/>
          </w:tcPr>
          <w:p w14:paraId="08BE39D7" w14:textId="7AF484C4" w:rsidR="000D6A30" w:rsidRPr="00FB6875" w:rsidRDefault="000D6A30" w:rsidP="00733B9E">
            <w:pPr>
              <w:rPr>
                <w:b/>
              </w:rPr>
            </w:pPr>
            <w:r>
              <w:rPr>
                <w:b/>
              </w:rPr>
              <w:t xml:space="preserve">Plan d’examen de l’inventaire des règlements </w:t>
            </w:r>
          </w:p>
          <w:p w14:paraId="04BDB0FF" w14:textId="77777777" w:rsidR="000D6A30" w:rsidRPr="00FB6875" w:rsidRDefault="000D6A30" w:rsidP="00733B9E">
            <w:pPr>
              <w:rPr>
                <w:b/>
              </w:rPr>
            </w:pPr>
          </w:p>
          <w:p w14:paraId="7C3BC97A" w14:textId="55641137" w:rsidR="000D6A30" w:rsidRPr="00FB6875" w:rsidRDefault="000D6A30" w:rsidP="00733B9E">
            <w:pPr>
              <w:rPr>
                <w:b/>
              </w:rPr>
            </w:pPr>
            <w:r>
              <w:t xml:space="preserve">Le Plan d’examen de l’inventaire des règlements est une liste publique et une description des examens prévus pour les règlements que </w:t>
            </w:r>
            <w:r>
              <w:rPr>
                <w:b/>
              </w:rPr>
              <w:t>[insérer le nom du ministère ou de l’organisme]</w:t>
            </w:r>
            <w:r>
              <w:t xml:space="preserve"> propose à l’intérieur de </w:t>
            </w:r>
            <w:r>
              <w:rPr>
                <w:b/>
              </w:rPr>
              <w:t>[insérer la période d’X nombre d’années]</w:t>
            </w:r>
            <w:r>
              <w:t>. Il vise à donner aux Canadiens, y compris aux entreprises</w:t>
            </w:r>
            <w:r w:rsidR="005C051D">
              <w:t xml:space="preserve">, </w:t>
            </w:r>
            <w:r>
              <w:t>aux peuples autochtones</w:t>
            </w:r>
            <w:r w:rsidR="005C051D">
              <w:t xml:space="preserve"> et aux partenaires commerciaux</w:t>
            </w:r>
            <w:r>
              <w:t xml:space="preserve"> une meilleure occasion d’alimenter les examens des règlements et de planifier l’avenir. </w:t>
            </w:r>
            <w:r>
              <w:rPr>
                <w:b/>
              </w:rPr>
              <w:t>[Le ministère peut inclure une phrase ou deux pour expliquer comment le plan d’examen de l’inventaire évolue et comment il est hiérarchisé].</w:t>
            </w:r>
          </w:p>
          <w:p w14:paraId="1CAD38EB" w14:textId="77777777" w:rsidR="000D6A30" w:rsidRPr="00FB6875" w:rsidRDefault="000D6A30" w:rsidP="00733B9E">
            <w:pPr>
              <w:rPr>
                <w:b/>
              </w:rPr>
            </w:pPr>
          </w:p>
          <w:p w14:paraId="4B789927" w14:textId="1C80DB8D" w:rsidR="000D6A30" w:rsidRPr="00547CC0" w:rsidRDefault="000D6A30" w:rsidP="00733B9E">
            <w:pPr>
              <w:rPr>
                <w:b/>
              </w:rPr>
            </w:pPr>
            <w:r>
              <w:t xml:space="preserve">Le plan d’examen de l’inventaire indique une personne-ressource du </w:t>
            </w:r>
            <w:r>
              <w:rPr>
                <w:b/>
              </w:rPr>
              <w:t>[insérer « ministère » ou « organisme »]</w:t>
            </w:r>
            <w:r>
              <w:t xml:space="preserve"> pour les examens prévus. Ce plan sera ajusté et mis à jour au fil du temps pour illustrer les priorités et les changements réglementaires de </w:t>
            </w:r>
            <w:r>
              <w:rPr>
                <w:b/>
              </w:rPr>
              <w:t>[insérer le nom du ministère ou de l’organisme]</w:t>
            </w:r>
            <w:r>
              <w:t xml:space="preserve"> par rapport à l’environnement opérationnel. </w:t>
            </w:r>
          </w:p>
          <w:p w14:paraId="52E7848B" w14:textId="79CF7783" w:rsidR="000D6A30" w:rsidRPr="00FB6875" w:rsidRDefault="000D6A30" w:rsidP="00733B9E"/>
        </w:tc>
      </w:tr>
      <w:tr w:rsidR="008477D9" w:rsidRPr="00FB6875" w14:paraId="177AFD37"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
        </w:trPr>
        <w:tc>
          <w:tcPr>
            <w:tcW w:w="9355" w:type="dxa"/>
            <w:gridSpan w:val="3"/>
            <w:shd w:val="clear" w:color="auto" w:fill="auto"/>
            <w:vAlign w:val="center"/>
          </w:tcPr>
          <w:p w14:paraId="374970D9" w14:textId="5E586BE7" w:rsidR="008477D9" w:rsidRPr="00CD1335" w:rsidRDefault="008477D9" w:rsidP="008477D9">
            <w:pPr>
              <w:spacing w:before="120" w:after="120"/>
              <w:jc w:val="center"/>
              <w:rPr>
                <w:b/>
              </w:rPr>
            </w:pPr>
            <w:r>
              <w:rPr>
                <w:b/>
              </w:rPr>
              <w:t>Plan d’examen de l’inventaire [année de début – année de fin]</w:t>
            </w:r>
          </w:p>
        </w:tc>
      </w:tr>
      <w:tr w:rsidR="008477D9" w:rsidRPr="00FB6875" w14:paraId="1EFFE93E"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1"/>
        </w:trPr>
        <w:tc>
          <w:tcPr>
            <w:tcW w:w="2934" w:type="dxa"/>
            <w:gridSpan w:val="2"/>
            <w:shd w:val="clear" w:color="auto" w:fill="auto"/>
          </w:tcPr>
          <w:p w14:paraId="204515BE" w14:textId="2571952D" w:rsidR="008477D9" w:rsidRPr="00FB6875" w:rsidRDefault="008477D9" w:rsidP="008477D9">
            <w:pPr>
              <w:rPr>
                <w:b/>
              </w:rPr>
            </w:pPr>
            <w:r>
              <w:rPr>
                <w:b/>
              </w:rPr>
              <w:t>Titre ou titre provisoire des règlements</w:t>
            </w:r>
          </w:p>
        </w:tc>
        <w:tc>
          <w:tcPr>
            <w:tcW w:w="6421" w:type="dxa"/>
            <w:shd w:val="clear" w:color="auto" w:fill="auto"/>
          </w:tcPr>
          <w:p w14:paraId="155FD140" w14:textId="77777777" w:rsidR="008477D9" w:rsidRDefault="008477D9" w:rsidP="00733B9E">
            <w:r>
              <w:rPr>
                <w:b/>
              </w:rPr>
              <w:t>Exigence :</w:t>
            </w:r>
            <w:r>
              <w:t xml:space="preserve"> Le titre de l’initiative réglementaire doit être clair et concis et il doit refléter la nature ou le domaine de l’initiative ou du changement réglementaire proposé.</w:t>
            </w:r>
          </w:p>
          <w:p w14:paraId="17EB32B5" w14:textId="77777777" w:rsidR="008477D9" w:rsidRDefault="008477D9" w:rsidP="00733B9E">
            <w:pPr>
              <w:tabs>
                <w:tab w:val="left" w:pos="1387"/>
              </w:tabs>
            </w:pPr>
            <w:r>
              <w:tab/>
            </w:r>
          </w:p>
          <w:p w14:paraId="350514E8" w14:textId="1174B06C" w:rsidR="008477D9" w:rsidRPr="00FB6875" w:rsidRDefault="008477D9" w:rsidP="00733B9E">
            <w:pPr>
              <w:rPr>
                <w:b/>
                <w:color w:val="FF0000"/>
              </w:rPr>
            </w:pPr>
          </w:p>
        </w:tc>
      </w:tr>
      <w:tr w:rsidR="008477D9" w:rsidRPr="00FB6875" w14:paraId="75579BF2"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4" w:type="dxa"/>
            <w:gridSpan w:val="2"/>
            <w:shd w:val="clear" w:color="auto" w:fill="auto"/>
          </w:tcPr>
          <w:p w14:paraId="5AA3A4A5" w14:textId="77777777" w:rsidR="008477D9" w:rsidRPr="00C62E75" w:rsidRDefault="008477D9" w:rsidP="00733B9E">
            <w:pPr>
              <w:rPr>
                <w:b/>
              </w:rPr>
            </w:pPr>
            <w:r>
              <w:rPr>
                <w:b/>
              </w:rPr>
              <w:t>Lois habilitantes</w:t>
            </w:r>
          </w:p>
          <w:p w14:paraId="52F045D3" w14:textId="77777777" w:rsidR="008477D9" w:rsidRPr="00C62E75" w:rsidRDefault="008477D9" w:rsidP="00733B9E">
            <w:pPr>
              <w:rPr>
                <w:b/>
              </w:rPr>
            </w:pPr>
          </w:p>
          <w:p w14:paraId="66B3A177" w14:textId="77777777" w:rsidR="008477D9" w:rsidRPr="00C62E75" w:rsidRDefault="008477D9" w:rsidP="00733B9E">
            <w:pPr>
              <w:rPr>
                <w:b/>
                <w:color w:val="FF0000"/>
              </w:rPr>
            </w:pPr>
          </w:p>
        </w:tc>
        <w:tc>
          <w:tcPr>
            <w:tcW w:w="6421" w:type="dxa"/>
            <w:shd w:val="clear" w:color="auto" w:fill="auto"/>
          </w:tcPr>
          <w:p w14:paraId="14464F10" w14:textId="028A4EC4" w:rsidR="008477D9" w:rsidRPr="00C62E75" w:rsidRDefault="008477D9" w:rsidP="00733B9E">
            <w:r>
              <w:rPr>
                <w:b/>
              </w:rPr>
              <w:t>Exigence :</w:t>
            </w:r>
            <w:r>
              <w:t xml:space="preserve"> Les ministères et les organismes doivent inclure les titres des lois habilitantes qui confèrent le pouvoir pour les règlements proposés.</w:t>
            </w:r>
          </w:p>
          <w:p w14:paraId="6853E3D0" w14:textId="77777777" w:rsidR="008477D9" w:rsidRPr="00C62E75" w:rsidRDefault="008477D9" w:rsidP="00733B9E">
            <w:pPr>
              <w:rPr>
                <w:b/>
                <w:color w:val="FF0000"/>
              </w:rPr>
            </w:pPr>
          </w:p>
        </w:tc>
      </w:tr>
      <w:tr w:rsidR="00614B8B" w:rsidRPr="00FB6875" w14:paraId="688A642C"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4" w:type="dxa"/>
            <w:gridSpan w:val="2"/>
            <w:shd w:val="clear" w:color="auto" w:fill="auto"/>
          </w:tcPr>
          <w:p w14:paraId="37A3F118" w14:textId="2031D077" w:rsidR="00614B8B" w:rsidRDefault="00614B8B" w:rsidP="00733B9E">
            <w:pPr>
              <w:rPr>
                <w:b/>
              </w:rPr>
            </w:pPr>
            <w:r>
              <w:rPr>
                <w:b/>
              </w:rPr>
              <w:t xml:space="preserve">Justification </w:t>
            </w:r>
          </w:p>
        </w:tc>
        <w:tc>
          <w:tcPr>
            <w:tcW w:w="6421" w:type="dxa"/>
            <w:shd w:val="clear" w:color="auto" w:fill="auto"/>
          </w:tcPr>
          <w:p w14:paraId="2764FEA9" w14:textId="08A62B5C" w:rsidR="00614B8B" w:rsidRDefault="00614B8B" w:rsidP="00614B8B">
            <w:pPr>
              <w:rPr>
                <w:b/>
              </w:rPr>
            </w:pPr>
            <w:r>
              <w:rPr>
                <w:b/>
              </w:rPr>
              <w:t xml:space="preserve">Exigence : </w:t>
            </w:r>
            <w:r>
              <w:t xml:space="preserve">Une ligne qui résume la raison de l’examen réglementaire. </w:t>
            </w:r>
          </w:p>
        </w:tc>
      </w:tr>
      <w:tr w:rsidR="008477D9" w:rsidRPr="00FB6875" w14:paraId="4FB0923E"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4" w:type="dxa"/>
            <w:gridSpan w:val="2"/>
            <w:shd w:val="clear" w:color="auto" w:fill="auto"/>
          </w:tcPr>
          <w:p w14:paraId="3D0676A5" w14:textId="28C8E61A" w:rsidR="008477D9" w:rsidRDefault="008477D9" w:rsidP="00733B9E">
            <w:pPr>
              <w:rPr>
                <w:b/>
              </w:rPr>
            </w:pPr>
            <w:r>
              <w:rPr>
                <w:b/>
              </w:rPr>
              <w:t>Description</w:t>
            </w:r>
          </w:p>
          <w:p w14:paraId="3C0268CA" w14:textId="77777777" w:rsidR="008477D9" w:rsidRPr="00FB6875" w:rsidRDefault="008477D9" w:rsidP="00733B9E">
            <w:pPr>
              <w:rPr>
                <w:b/>
              </w:rPr>
            </w:pPr>
          </w:p>
          <w:p w14:paraId="437AE6D9" w14:textId="77777777" w:rsidR="008477D9" w:rsidRPr="00FB6875" w:rsidRDefault="008477D9" w:rsidP="00733B9E">
            <w:pPr>
              <w:rPr>
                <w:b/>
                <w:color w:val="FF0000"/>
              </w:rPr>
            </w:pPr>
          </w:p>
        </w:tc>
        <w:tc>
          <w:tcPr>
            <w:tcW w:w="6421" w:type="dxa"/>
            <w:shd w:val="clear" w:color="auto" w:fill="auto"/>
          </w:tcPr>
          <w:p w14:paraId="5ECF3CB0" w14:textId="5E379501" w:rsidR="00F116CC" w:rsidRDefault="008477D9" w:rsidP="00733B9E">
            <w:r>
              <w:rPr>
                <w:b/>
              </w:rPr>
              <w:t>Description :</w:t>
            </w:r>
            <w:r>
              <w:t xml:space="preserve"> Pour les examens de règlements importants, les ministères et les organismes peuvent décrire le processus d’examen prévu et indiquer les objectifs clés de l’examen. Cette section peut également être utilisée pour expliquer la raison derrière la proposition d’un examen partiel pour un règlement ou la raison du regroupement de plusieurs titres. </w:t>
            </w:r>
          </w:p>
          <w:p w14:paraId="7E4A1BD1" w14:textId="77777777" w:rsidR="00F116CC" w:rsidRDefault="00F116CC" w:rsidP="00733B9E"/>
          <w:p w14:paraId="735EEE12" w14:textId="5EDF00F8" w:rsidR="00326483" w:rsidRDefault="00326483" w:rsidP="00733B9E">
            <w:r>
              <w:t>Les ministères et les organismes devraient se servir de cette section pour décrire l’approche prévue, lorsqu’elle est connue, pour l’examen (par exemple, dans le cadre d’une exigence de la loi d’une révision de la législation)</w:t>
            </w:r>
            <w:r w:rsidR="00AB1C2D">
              <w:t>.</w:t>
            </w:r>
            <w:r>
              <w:t xml:space="preserve"> Une réponse « à confirmer » est également acceptable. </w:t>
            </w:r>
          </w:p>
          <w:p w14:paraId="240A4201" w14:textId="77777777" w:rsidR="00FD63EC" w:rsidRDefault="00FD63EC" w:rsidP="00733B9E"/>
          <w:p w14:paraId="5CF6E806" w14:textId="673FB39B" w:rsidR="008477D9" w:rsidRPr="00CD1335" w:rsidRDefault="00F116CC" w:rsidP="00733B9E">
            <w:r>
              <w:t xml:space="preserve">Les ministères et les organismes ne devraient pas hésiter à se servir de cette section pour communiquer une justification ou des considérations de politique aux intervenants, selon le besoin. </w:t>
            </w:r>
          </w:p>
          <w:p w14:paraId="652ECE63" w14:textId="77777777" w:rsidR="008477D9" w:rsidRPr="00CF0AE8" w:rsidRDefault="008477D9" w:rsidP="00F116CC">
            <w:pPr>
              <w:rPr>
                <w:color w:val="FF0000"/>
              </w:rPr>
            </w:pPr>
          </w:p>
        </w:tc>
      </w:tr>
      <w:tr w:rsidR="008477D9" w:rsidRPr="00FB6875" w14:paraId="77DAC210"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934" w:type="dxa"/>
            <w:gridSpan w:val="2"/>
            <w:shd w:val="clear" w:color="auto" w:fill="auto"/>
          </w:tcPr>
          <w:p w14:paraId="082B79AC" w14:textId="1E53CD83" w:rsidR="008477D9" w:rsidRPr="00A5698A" w:rsidRDefault="008477D9" w:rsidP="008477D9">
            <w:pPr>
              <w:rPr>
                <w:b/>
              </w:rPr>
            </w:pPr>
            <w:r>
              <w:rPr>
                <w:b/>
              </w:rPr>
              <w:t>Date du dernier examen ou de la dernière modification (année)</w:t>
            </w:r>
          </w:p>
        </w:tc>
        <w:tc>
          <w:tcPr>
            <w:tcW w:w="6421" w:type="dxa"/>
            <w:shd w:val="clear" w:color="auto" w:fill="auto"/>
          </w:tcPr>
          <w:p w14:paraId="06E770B0" w14:textId="30B51321" w:rsidR="008477D9" w:rsidRPr="00826F92" w:rsidRDefault="00826F92" w:rsidP="00826F92">
            <w:pPr>
              <w:pStyle w:val="ListParagraph"/>
              <w:ind w:left="18"/>
            </w:pPr>
            <w:r>
              <w:rPr>
                <w:rFonts w:asciiTheme="minorHAnsi" w:hAnsiTheme="minorHAnsi"/>
                <w:b/>
                <w:sz w:val="22"/>
                <w:szCs w:val="22"/>
              </w:rPr>
              <w:t>Remarque :</w:t>
            </w:r>
            <w:r>
              <w:rPr>
                <w:rFonts w:asciiTheme="minorHAnsi" w:hAnsiTheme="minorHAnsi"/>
                <w:sz w:val="22"/>
                <w:szCs w:val="22"/>
              </w:rPr>
              <w:t xml:space="preserve"> Si seul un chapitre ou un article du règlement a été examiné la dernière fois, il faut l’indiquer, en plus de l’année de l’examen.</w:t>
            </w:r>
            <w:r>
              <w:t xml:space="preserve"> </w:t>
            </w:r>
          </w:p>
        </w:tc>
      </w:tr>
      <w:tr w:rsidR="008477D9" w:rsidRPr="00FB6875" w14:paraId="72D2F1E0"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934" w:type="dxa"/>
            <w:gridSpan w:val="2"/>
            <w:shd w:val="clear" w:color="auto" w:fill="auto"/>
          </w:tcPr>
          <w:p w14:paraId="7592BAD0" w14:textId="498655ED" w:rsidR="008477D9" w:rsidRPr="00A5698A" w:rsidRDefault="008477D9" w:rsidP="008477D9">
            <w:pPr>
              <w:rPr>
                <w:b/>
              </w:rPr>
            </w:pPr>
            <w:r>
              <w:rPr>
                <w:b/>
              </w:rPr>
              <w:t>Début visé pour l’examen (année)</w:t>
            </w:r>
          </w:p>
        </w:tc>
        <w:tc>
          <w:tcPr>
            <w:tcW w:w="6421" w:type="dxa"/>
            <w:shd w:val="clear" w:color="auto" w:fill="auto"/>
          </w:tcPr>
          <w:p w14:paraId="1915C27D" w14:textId="588F4C59" w:rsidR="008477D9" w:rsidRPr="00CD1335" w:rsidRDefault="007F5D02" w:rsidP="007F5D02">
            <w:pPr>
              <w:pStyle w:val="ListParagraph"/>
              <w:ind w:left="18"/>
              <w:rPr>
                <w:b/>
              </w:rPr>
            </w:pPr>
            <w:r>
              <w:rPr>
                <w:rFonts w:asciiTheme="minorHAnsi" w:hAnsiTheme="minorHAnsi"/>
                <w:b/>
                <w:sz w:val="22"/>
                <w:szCs w:val="22"/>
              </w:rPr>
              <w:t xml:space="preserve">Exigences : </w:t>
            </w:r>
            <w:r>
              <w:rPr>
                <w:rFonts w:asciiTheme="minorHAnsi" w:hAnsiTheme="minorHAnsi"/>
                <w:sz w:val="22"/>
                <w:szCs w:val="22"/>
              </w:rPr>
              <w:t>Aux fins de transparence et pour donner aux intervenants un avis suffisant, un délai ou une date pour le début de l’examen devrait être établi.</w:t>
            </w:r>
            <w:r>
              <w:rPr>
                <w:rFonts w:asciiTheme="minorHAnsi" w:hAnsiTheme="minorHAnsi"/>
                <w:b/>
                <w:sz w:val="22"/>
                <w:szCs w:val="22"/>
              </w:rPr>
              <w:t xml:space="preserve"> </w:t>
            </w:r>
          </w:p>
        </w:tc>
      </w:tr>
      <w:tr w:rsidR="00614B8B" w:rsidRPr="00FB6875" w14:paraId="17842865"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934" w:type="dxa"/>
            <w:gridSpan w:val="2"/>
            <w:shd w:val="clear" w:color="auto" w:fill="auto"/>
          </w:tcPr>
          <w:p w14:paraId="22828AE6" w14:textId="77777777" w:rsidR="00FD63EC" w:rsidRDefault="00614B8B" w:rsidP="008477D9">
            <w:pPr>
              <w:rPr>
                <w:b/>
              </w:rPr>
            </w:pPr>
            <w:r>
              <w:rPr>
                <w:b/>
              </w:rPr>
              <w:t xml:space="preserve">Rétroaction des intervenants </w:t>
            </w:r>
          </w:p>
          <w:p w14:paraId="1BB742C7" w14:textId="05176ED4" w:rsidR="00614B8B" w:rsidRPr="00FD63EC" w:rsidRDefault="00FD63EC" w:rsidP="008477D9">
            <w:pPr>
              <w:rPr>
                <w:i/>
              </w:rPr>
            </w:pPr>
            <w:r>
              <w:rPr>
                <w:i/>
              </w:rPr>
              <w:t>(une fois achevé)</w:t>
            </w:r>
          </w:p>
        </w:tc>
        <w:tc>
          <w:tcPr>
            <w:tcW w:w="6421" w:type="dxa"/>
            <w:shd w:val="clear" w:color="auto" w:fill="auto"/>
          </w:tcPr>
          <w:p w14:paraId="60898A1B" w14:textId="05213B2A" w:rsidR="00614B8B" w:rsidRPr="00614B8B" w:rsidRDefault="00614B8B" w:rsidP="00614B8B">
            <w:pPr>
              <w:pStyle w:val="ListParagraph"/>
              <w:ind w:left="18"/>
              <w:rPr>
                <w:rFonts w:asciiTheme="minorHAnsi" w:eastAsiaTheme="minorHAnsi" w:hAnsiTheme="minorHAnsi" w:cstheme="minorBidi"/>
                <w:sz w:val="22"/>
                <w:szCs w:val="22"/>
              </w:rPr>
            </w:pPr>
            <w:r>
              <w:rPr>
                <w:rFonts w:asciiTheme="minorHAnsi" w:hAnsiTheme="minorHAnsi"/>
                <w:b/>
                <w:sz w:val="22"/>
                <w:szCs w:val="22"/>
              </w:rPr>
              <w:t xml:space="preserve">Exigence : </w:t>
            </w:r>
            <w:r>
              <w:rPr>
                <w:rFonts w:asciiTheme="minorHAnsi" w:hAnsiTheme="minorHAnsi"/>
                <w:sz w:val="22"/>
                <w:szCs w:val="22"/>
              </w:rPr>
              <w:t xml:space="preserve">Une brève déclaration est incluse pour résumer les commentaires et les considérations des intervenants. Cette section est ajoutée une fois que les intervenants sont consultés sur le plan d’examen. </w:t>
            </w:r>
          </w:p>
        </w:tc>
      </w:tr>
      <w:tr w:rsidR="008477D9" w:rsidRPr="00FB6875" w14:paraId="6DDFDA9D"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2934" w:type="dxa"/>
            <w:gridSpan w:val="2"/>
            <w:shd w:val="clear" w:color="auto" w:fill="auto"/>
          </w:tcPr>
          <w:p w14:paraId="4502C426" w14:textId="441172B6" w:rsidR="008477D9" w:rsidRPr="00A5698A" w:rsidRDefault="008477D9" w:rsidP="008477D9">
            <w:pPr>
              <w:rPr>
                <w:b/>
              </w:rPr>
            </w:pPr>
            <w:r>
              <w:rPr>
                <w:b/>
              </w:rPr>
              <w:t>Résultats</w:t>
            </w:r>
            <w:r>
              <w:rPr>
                <w:i/>
              </w:rPr>
              <w:t xml:space="preserve"> (une fois achevé)</w:t>
            </w:r>
          </w:p>
          <w:p w14:paraId="60C6BA65" w14:textId="77777777" w:rsidR="002E4ED1" w:rsidRDefault="002E4ED1" w:rsidP="002E4ED1">
            <w:pPr>
              <w:pStyle w:val="ListParagraph"/>
              <w:numPr>
                <w:ilvl w:val="0"/>
                <w:numId w:val="8"/>
              </w:numPr>
              <w:rPr>
                <w:rFonts w:asciiTheme="minorHAnsi" w:eastAsiaTheme="minorHAnsi" w:hAnsiTheme="minorHAnsi" w:cstheme="minorBidi"/>
                <w:sz w:val="22"/>
                <w:szCs w:val="22"/>
              </w:rPr>
            </w:pPr>
            <w:r>
              <w:rPr>
                <w:rFonts w:asciiTheme="minorHAnsi" w:hAnsiTheme="minorHAnsi"/>
                <w:sz w:val="22"/>
                <w:szCs w:val="22"/>
              </w:rPr>
              <w:t>Examiné et confirmé</w:t>
            </w:r>
          </w:p>
          <w:p w14:paraId="268F382F" w14:textId="5C31912A" w:rsidR="008477D9" w:rsidRPr="00496420" w:rsidRDefault="002E4ED1" w:rsidP="002E4ED1">
            <w:pPr>
              <w:pStyle w:val="ListParagraph"/>
              <w:numPr>
                <w:ilvl w:val="0"/>
                <w:numId w:val="8"/>
              </w:numPr>
              <w:rPr>
                <w:rFonts w:asciiTheme="minorHAnsi" w:eastAsiaTheme="minorHAnsi" w:hAnsiTheme="minorHAnsi" w:cstheme="minorBidi"/>
                <w:sz w:val="22"/>
                <w:szCs w:val="22"/>
              </w:rPr>
            </w:pPr>
            <w:r>
              <w:rPr>
                <w:rFonts w:asciiTheme="minorHAnsi" w:hAnsiTheme="minorHAnsi"/>
                <w:sz w:val="22"/>
                <w:szCs w:val="22"/>
              </w:rPr>
              <w:t>Modifié</w:t>
            </w:r>
          </w:p>
          <w:p w14:paraId="5F6B3A84" w14:textId="720ABFCB" w:rsidR="008477D9" w:rsidRPr="00496420" w:rsidRDefault="002E4ED1" w:rsidP="00496420">
            <w:pPr>
              <w:pStyle w:val="ListParagraph"/>
              <w:numPr>
                <w:ilvl w:val="0"/>
                <w:numId w:val="8"/>
              </w:numPr>
              <w:rPr>
                <w:rFonts w:asciiTheme="minorHAnsi" w:eastAsiaTheme="minorHAnsi" w:hAnsiTheme="minorHAnsi" w:cstheme="minorBidi"/>
                <w:sz w:val="22"/>
                <w:szCs w:val="22"/>
              </w:rPr>
            </w:pPr>
            <w:r>
              <w:rPr>
                <w:rFonts w:asciiTheme="minorHAnsi" w:hAnsiTheme="minorHAnsi"/>
                <w:sz w:val="22"/>
                <w:szCs w:val="22"/>
              </w:rPr>
              <w:t>Abrogé</w:t>
            </w:r>
          </w:p>
          <w:p w14:paraId="16915B78" w14:textId="3666BE3C" w:rsidR="008477D9" w:rsidRPr="00496420" w:rsidRDefault="002E4ED1" w:rsidP="00496420">
            <w:pPr>
              <w:pStyle w:val="ListParagraph"/>
              <w:numPr>
                <w:ilvl w:val="0"/>
                <w:numId w:val="8"/>
              </w:numPr>
              <w:rPr>
                <w:b/>
                <w:color w:val="FF0000"/>
              </w:rPr>
            </w:pPr>
            <w:r>
              <w:rPr>
                <w:rFonts w:asciiTheme="minorHAnsi" w:hAnsiTheme="minorHAnsi"/>
                <w:sz w:val="22"/>
                <w:szCs w:val="22"/>
              </w:rPr>
              <w:t>Remplacé</w:t>
            </w:r>
          </w:p>
        </w:tc>
        <w:tc>
          <w:tcPr>
            <w:tcW w:w="6421" w:type="dxa"/>
            <w:shd w:val="clear" w:color="auto" w:fill="auto"/>
          </w:tcPr>
          <w:p w14:paraId="616ECA48" w14:textId="2A4C9E8C" w:rsidR="008477D9" w:rsidRPr="008477D9" w:rsidRDefault="008477D9" w:rsidP="00733B9E">
            <w:pPr>
              <w:pStyle w:val="ListParagraph"/>
              <w:ind w:left="18"/>
              <w:rPr>
                <w:rFonts w:asciiTheme="minorHAnsi" w:eastAsiaTheme="minorHAnsi" w:hAnsiTheme="minorHAnsi" w:cstheme="minorBidi"/>
                <w:sz w:val="22"/>
                <w:szCs w:val="22"/>
              </w:rPr>
            </w:pPr>
            <w:r>
              <w:rPr>
                <w:rFonts w:asciiTheme="minorHAnsi" w:hAnsiTheme="minorHAnsi"/>
                <w:b/>
                <w:sz w:val="22"/>
                <w:szCs w:val="22"/>
              </w:rPr>
              <w:t xml:space="preserve">Exigences : </w:t>
            </w:r>
            <w:r>
              <w:rPr>
                <w:rFonts w:asciiTheme="minorHAnsi" w:hAnsiTheme="minorHAnsi"/>
                <w:sz w:val="22"/>
                <w:szCs w:val="22"/>
              </w:rPr>
              <w:t xml:space="preserve">Un court exposé est inclus pour décrire les résultats pour les règlements. Cette section est ajoutée une fois que l’examen est achevé. </w:t>
            </w:r>
          </w:p>
          <w:p w14:paraId="72531521" w14:textId="77777777" w:rsidR="008477D9" w:rsidRDefault="008477D9" w:rsidP="00733B9E">
            <w:pPr>
              <w:pStyle w:val="ListParagraph"/>
              <w:ind w:left="18"/>
            </w:pPr>
          </w:p>
          <w:p w14:paraId="5C421300" w14:textId="77777777" w:rsidR="008477D9" w:rsidRPr="00FB6875" w:rsidRDefault="008477D9" w:rsidP="008477D9">
            <w:pPr>
              <w:pStyle w:val="ListParagraph"/>
              <w:ind w:left="18"/>
            </w:pPr>
          </w:p>
        </w:tc>
      </w:tr>
      <w:tr w:rsidR="008477D9" w:rsidRPr="00FB6875" w14:paraId="2D7DFBE3"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4" w:type="dxa"/>
            <w:gridSpan w:val="2"/>
            <w:shd w:val="clear" w:color="auto" w:fill="auto"/>
          </w:tcPr>
          <w:p w14:paraId="5705706F" w14:textId="77777777" w:rsidR="008477D9" w:rsidRPr="00946AE5" w:rsidRDefault="008477D9" w:rsidP="00733B9E">
            <w:pPr>
              <w:rPr>
                <w:b/>
              </w:rPr>
            </w:pPr>
            <w:r>
              <w:rPr>
                <w:b/>
              </w:rPr>
              <w:t>Pour plus de renseignements</w:t>
            </w:r>
          </w:p>
          <w:p w14:paraId="06B7335C" w14:textId="77777777" w:rsidR="008477D9" w:rsidRPr="00946AE5" w:rsidRDefault="008477D9" w:rsidP="00733B9E">
            <w:pPr>
              <w:rPr>
                <w:b/>
              </w:rPr>
            </w:pPr>
          </w:p>
        </w:tc>
        <w:tc>
          <w:tcPr>
            <w:tcW w:w="6421" w:type="dxa"/>
            <w:shd w:val="clear" w:color="auto" w:fill="auto"/>
          </w:tcPr>
          <w:p w14:paraId="76FEF15A" w14:textId="031C0FF6" w:rsidR="008477D9" w:rsidRPr="00946AE5" w:rsidRDefault="008477D9" w:rsidP="00547CC0">
            <w:r>
              <w:rPr>
                <w:b/>
              </w:rPr>
              <w:t>Exigences :</w:t>
            </w:r>
            <w:r>
              <w:t xml:space="preserve"> Pour faciliter la consultation de l’examen par des intervenants, les ministères et les organismes devraient fournir des hyperliens vers des renseignements supplémentaires comme des données, des recherches ou des analyses liées à l’examen. </w:t>
            </w:r>
          </w:p>
        </w:tc>
      </w:tr>
      <w:tr w:rsidR="008477D9" w:rsidRPr="00FB6875" w14:paraId="62789B8B" w14:textId="77777777" w:rsidTr="008817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34" w:type="dxa"/>
            <w:gridSpan w:val="2"/>
            <w:shd w:val="clear" w:color="auto" w:fill="auto"/>
          </w:tcPr>
          <w:p w14:paraId="55350669" w14:textId="77777777" w:rsidR="008477D9" w:rsidRPr="00946AE5" w:rsidRDefault="008477D9" w:rsidP="00733B9E">
            <w:pPr>
              <w:rPr>
                <w:b/>
              </w:rPr>
            </w:pPr>
            <w:r>
              <w:rPr>
                <w:b/>
              </w:rPr>
              <w:t>Personne-ressource du ministère ou de l’organisme</w:t>
            </w:r>
          </w:p>
        </w:tc>
        <w:tc>
          <w:tcPr>
            <w:tcW w:w="6421" w:type="dxa"/>
            <w:shd w:val="clear" w:color="auto" w:fill="auto"/>
          </w:tcPr>
          <w:p w14:paraId="6E43C6E7" w14:textId="18D170D3" w:rsidR="008477D9" w:rsidRPr="00946AE5" w:rsidRDefault="008477D9" w:rsidP="00733B9E">
            <w:r>
              <w:rPr>
                <w:b/>
              </w:rPr>
              <w:t>Exigences :</w:t>
            </w:r>
            <w:r>
              <w:t xml:space="preserve"> Les ministères et les organismes devraient désigner comme personne-ressource un fonctionnaire ayant les connaissances nécessaires pour répondre aux questions du public par rapport à cette initiative.</w:t>
            </w:r>
          </w:p>
          <w:p w14:paraId="3932872D" w14:textId="77777777" w:rsidR="008477D9" w:rsidRPr="00946AE5" w:rsidRDefault="008477D9" w:rsidP="00733B9E"/>
        </w:tc>
      </w:tr>
    </w:tbl>
    <w:p w14:paraId="4C3C641E" w14:textId="77777777" w:rsidR="005435BE" w:rsidRDefault="005435BE" w:rsidP="00C840C8">
      <w:pPr>
        <w:pStyle w:val="Heading2"/>
        <w:rPr>
          <w:rFonts w:ascii="Arial" w:eastAsiaTheme="minorHAnsi" w:hAnsi="Arial" w:cs="Arial"/>
          <w:b/>
          <w:color w:val="auto"/>
          <w:sz w:val="28"/>
          <w:szCs w:val="28"/>
        </w:rPr>
      </w:pPr>
    </w:p>
    <w:p w14:paraId="43D9A3F9" w14:textId="77777777" w:rsidR="005435BE" w:rsidRDefault="005435BE" w:rsidP="00C840C8">
      <w:pPr>
        <w:pStyle w:val="Heading2"/>
        <w:rPr>
          <w:rFonts w:ascii="Arial" w:eastAsiaTheme="minorHAnsi" w:hAnsi="Arial" w:cs="Arial"/>
          <w:b/>
          <w:color w:val="auto"/>
          <w:sz w:val="28"/>
          <w:szCs w:val="28"/>
        </w:rPr>
      </w:pPr>
    </w:p>
    <w:p w14:paraId="0F744F77" w14:textId="77777777" w:rsidR="005435BE" w:rsidRDefault="005435BE" w:rsidP="00C840C8">
      <w:pPr>
        <w:pStyle w:val="Heading2"/>
        <w:rPr>
          <w:rFonts w:ascii="Arial" w:eastAsiaTheme="minorHAnsi" w:hAnsi="Arial" w:cs="Arial"/>
          <w:b/>
          <w:color w:val="auto"/>
          <w:sz w:val="28"/>
          <w:szCs w:val="28"/>
        </w:rPr>
      </w:pPr>
    </w:p>
    <w:p w14:paraId="7C19510F" w14:textId="77777777" w:rsidR="005435BE" w:rsidRDefault="005435BE" w:rsidP="00C840C8">
      <w:pPr>
        <w:pStyle w:val="Heading2"/>
        <w:rPr>
          <w:rFonts w:ascii="Arial" w:eastAsiaTheme="minorHAnsi" w:hAnsi="Arial" w:cs="Arial"/>
          <w:b/>
          <w:color w:val="auto"/>
          <w:sz w:val="28"/>
          <w:szCs w:val="28"/>
        </w:rPr>
      </w:pPr>
    </w:p>
    <w:p w14:paraId="72479B91" w14:textId="77777777" w:rsidR="005435BE" w:rsidRDefault="005435BE" w:rsidP="00C840C8">
      <w:pPr>
        <w:pStyle w:val="Heading2"/>
        <w:rPr>
          <w:rFonts w:ascii="Arial" w:eastAsiaTheme="minorHAnsi" w:hAnsi="Arial" w:cs="Arial"/>
          <w:b/>
          <w:color w:val="auto"/>
          <w:sz w:val="28"/>
          <w:szCs w:val="28"/>
        </w:rPr>
      </w:pPr>
    </w:p>
    <w:p w14:paraId="20B27E5A" w14:textId="77777777" w:rsidR="005435BE" w:rsidRDefault="005435BE">
      <w:pPr>
        <w:rPr>
          <w:rFonts w:ascii="Arial" w:hAnsi="Arial" w:cs="Arial"/>
          <w:b/>
          <w:sz w:val="28"/>
          <w:szCs w:val="28"/>
        </w:rPr>
      </w:pPr>
      <w:r>
        <w:br w:type="page"/>
      </w:r>
    </w:p>
    <w:p w14:paraId="7FA23E2D" w14:textId="3B77788E" w:rsidR="00BD2EF1" w:rsidRPr="007049EE" w:rsidRDefault="00C840C8" w:rsidP="00C840C8">
      <w:pPr>
        <w:pStyle w:val="Heading2"/>
        <w:rPr>
          <w:rFonts w:ascii="Arial" w:eastAsiaTheme="minorHAnsi" w:hAnsi="Arial" w:cs="Arial"/>
          <w:b/>
          <w:color w:val="auto"/>
          <w:sz w:val="28"/>
          <w:szCs w:val="28"/>
        </w:rPr>
      </w:pPr>
      <w:r>
        <w:rPr>
          <w:rFonts w:ascii="Arial" w:hAnsi="Arial"/>
          <w:b/>
          <w:color w:val="auto"/>
          <w:sz w:val="28"/>
          <w:szCs w:val="28"/>
        </w:rPr>
        <w:t>Annexe B :</w:t>
      </w:r>
      <w:r w:rsidR="00AB1C2D">
        <w:rPr>
          <w:rFonts w:ascii="Arial" w:hAnsi="Arial"/>
          <w:b/>
          <w:color w:val="auto"/>
          <w:sz w:val="28"/>
          <w:szCs w:val="28"/>
        </w:rPr>
        <w:t xml:space="preserve"> </w:t>
      </w:r>
      <w:r>
        <w:rPr>
          <w:rFonts w:ascii="Arial" w:hAnsi="Arial"/>
          <w:b/>
          <w:color w:val="auto"/>
          <w:sz w:val="28"/>
          <w:szCs w:val="28"/>
        </w:rPr>
        <w:t xml:space="preserve">Questions d’orientation pour un examen réglementaire </w:t>
      </w:r>
    </w:p>
    <w:p w14:paraId="0B9ADA33" w14:textId="3733F86D" w:rsidR="00C840C8" w:rsidRDefault="00C840C8" w:rsidP="007049EE"/>
    <w:p w14:paraId="5FDEF5F9" w14:textId="1319942E" w:rsidR="00A6611F" w:rsidRDefault="007311AE" w:rsidP="00BD2EF1">
      <w:pPr>
        <w:rPr>
          <w:rFonts w:ascii="Arial" w:hAnsi="Arial" w:cs="Arial"/>
          <w:sz w:val="24"/>
          <w:szCs w:val="24"/>
        </w:rPr>
      </w:pPr>
      <w:r>
        <w:rPr>
          <w:rFonts w:ascii="Arial" w:hAnsi="Arial"/>
          <w:sz w:val="24"/>
          <w:szCs w:val="24"/>
        </w:rPr>
        <w:t>L’examen d’un règlement peut nécessiter des ressources affectées à cette fin, mais il représente une étape nécessaire pour la mise en œuvre réussie d’une approche de cycle de vie. On retrouve ci-dessous un ensemble de questions qui peuvent être considérées par les organismes de réglementation qui entreprennent un exercice d’examen en vue d’aider à déceler et analyser les incidences et les résultats. Ces questions peuvent faire partie du cadre méthodologique et du plan systématique élaborés par un organisme de réglementation pour l’examen et elles permettront de répondre aux exigences d’examen présentées à l’</w:t>
      </w:r>
      <w:r>
        <w:rPr>
          <w:rFonts w:ascii="Arial" w:hAnsi="Arial"/>
          <w:b/>
          <w:sz w:val="24"/>
          <w:szCs w:val="24"/>
        </w:rPr>
        <w:t>article 7</w:t>
      </w:r>
      <w:r>
        <w:rPr>
          <w:rFonts w:ascii="Arial" w:hAnsi="Arial"/>
          <w:sz w:val="24"/>
          <w:szCs w:val="24"/>
        </w:rPr>
        <w:t xml:space="preserve"> de la Directive. </w:t>
      </w:r>
    </w:p>
    <w:p w14:paraId="3101307F" w14:textId="0290915C" w:rsidR="002920E0" w:rsidRDefault="00A6611F" w:rsidP="00BD2EF1">
      <w:pPr>
        <w:rPr>
          <w:rFonts w:ascii="Arial" w:hAnsi="Arial" w:cs="Arial"/>
          <w:sz w:val="24"/>
          <w:szCs w:val="24"/>
        </w:rPr>
      </w:pPr>
      <w:r>
        <w:rPr>
          <w:rFonts w:ascii="Arial" w:hAnsi="Arial"/>
          <w:sz w:val="24"/>
          <w:szCs w:val="24"/>
        </w:rPr>
        <w:t xml:space="preserve">Il faut noter qu’il ne s’agit pas d’une liste exhaustive, mais plutôt d’un point de départ pour l’exercice d’examen. </w:t>
      </w:r>
    </w:p>
    <w:p w14:paraId="0E384035" w14:textId="77777777" w:rsidR="0025287A" w:rsidRPr="00FB36B6" w:rsidRDefault="0025287A" w:rsidP="00BD2EF1">
      <w:pPr>
        <w:rPr>
          <w:rFonts w:ascii="Arial" w:hAnsi="Arial" w:cs="Arial"/>
          <w:b/>
          <w:sz w:val="24"/>
          <w:szCs w:val="24"/>
        </w:rPr>
      </w:pPr>
      <w:r>
        <w:rPr>
          <w:rFonts w:ascii="Arial" w:hAnsi="Arial"/>
          <w:b/>
          <w:sz w:val="24"/>
          <w:szCs w:val="24"/>
        </w:rPr>
        <w:t>Enjeu 1 : Pertinence</w:t>
      </w:r>
    </w:p>
    <w:p w14:paraId="1F03EE79" w14:textId="7336031F" w:rsidR="00D26AC5" w:rsidRPr="00FB36B6" w:rsidRDefault="00D26AC5"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Quel problème le règlement devait-il régler?</w:t>
      </w:r>
      <w:r w:rsidR="00AB1C2D">
        <w:rPr>
          <w:rFonts w:ascii="Arial" w:hAnsi="Arial"/>
          <w:szCs w:val="24"/>
        </w:rPr>
        <w:t xml:space="preserve"> </w:t>
      </w:r>
      <w:r>
        <w:rPr>
          <w:rFonts w:ascii="Arial" w:hAnsi="Arial"/>
          <w:szCs w:val="24"/>
        </w:rPr>
        <w:t xml:space="preserve">Le problème existe-t-il encore? </w:t>
      </w:r>
    </w:p>
    <w:p w14:paraId="74E05ACA" w14:textId="77777777" w:rsidR="004A683B" w:rsidRPr="00FB36B6" w:rsidRDefault="004A683B"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 xml:space="preserve">Quel est le rôle ou l’objectif du gouvernement fédéral dans ce domaine ou secteur réglementé? </w:t>
      </w:r>
    </w:p>
    <w:p w14:paraId="5E07F87C" w14:textId="06EC226E" w:rsidR="00D26AC5" w:rsidRPr="00FB36B6" w:rsidRDefault="00D26AC5"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Pourquoi une action gouvernementale ou réglementaire s’avère-t-elle toujours nécessaire?</w:t>
      </w:r>
    </w:p>
    <w:p w14:paraId="72D485AF" w14:textId="1FD347EE" w:rsidR="0025287A" w:rsidRDefault="004F45BD"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Les règlements servent-ils toujours l’intérêt public?</w:t>
      </w:r>
      <w:r w:rsidR="00AB1C2D">
        <w:rPr>
          <w:rFonts w:ascii="Arial" w:hAnsi="Arial"/>
          <w:szCs w:val="24"/>
        </w:rPr>
        <w:t xml:space="preserve"> </w:t>
      </w:r>
    </w:p>
    <w:p w14:paraId="7F1EB325" w14:textId="1E2B6AD7" w:rsidR="00ED0F56" w:rsidRDefault="00ED0F56"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Les normes et références internationales ou nationales appropriées sont-elles incorporées par renvoi et à jour?</w:t>
      </w:r>
      <w:r w:rsidR="00AB1C2D">
        <w:rPr>
          <w:rFonts w:ascii="Arial" w:hAnsi="Arial"/>
          <w:szCs w:val="24"/>
        </w:rPr>
        <w:t xml:space="preserve"> </w:t>
      </w:r>
    </w:p>
    <w:p w14:paraId="6F79F7D5" w14:textId="60DC4F86" w:rsidR="00EF55CB" w:rsidRPr="00FB36B6" w:rsidRDefault="00EF55CB"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Les règlements s’harmonisent-ils toujours avec les obligations internationales du Canada?</w:t>
      </w:r>
    </w:p>
    <w:p w14:paraId="5E198634" w14:textId="7AF55932" w:rsidR="006943C1" w:rsidRPr="00FB36B6" w:rsidRDefault="004A683B"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 xml:space="preserve">Les objectifs réglementaires s’harmonisent-ils avec les objectifs plus généraux du gouvernement pour le domaine ou secteur réglementé, dont la facilitation de l’innovation, la promotion de la croissance économique ou la compétitivité? Existe-t-il une </w:t>
      </w:r>
      <w:r w:rsidR="00791C3F">
        <w:rPr>
          <w:rFonts w:ascii="Arial" w:hAnsi="Arial"/>
          <w:szCs w:val="24"/>
        </w:rPr>
        <w:t xml:space="preserve">possibilité </w:t>
      </w:r>
      <w:r>
        <w:rPr>
          <w:rFonts w:ascii="Arial" w:hAnsi="Arial"/>
          <w:szCs w:val="24"/>
        </w:rPr>
        <w:t>de modifier le règlement ou le programme pour appuyer ces objectifs?</w:t>
      </w:r>
      <w:r w:rsidR="00AB1C2D">
        <w:rPr>
          <w:rFonts w:ascii="Arial" w:hAnsi="Arial"/>
          <w:szCs w:val="24"/>
        </w:rPr>
        <w:t xml:space="preserve"> </w:t>
      </w:r>
    </w:p>
    <w:p w14:paraId="3A0EF288" w14:textId="77777777" w:rsidR="0025287A" w:rsidRPr="00FB36B6" w:rsidRDefault="0025287A" w:rsidP="00BD2EF1">
      <w:pPr>
        <w:rPr>
          <w:rFonts w:ascii="Arial" w:hAnsi="Arial" w:cs="Arial"/>
          <w:b/>
          <w:sz w:val="24"/>
          <w:szCs w:val="24"/>
        </w:rPr>
      </w:pPr>
      <w:r>
        <w:rPr>
          <w:rFonts w:ascii="Arial" w:hAnsi="Arial"/>
          <w:b/>
          <w:sz w:val="24"/>
          <w:szCs w:val="24"/>
        </w:rPr>
        <w:t>Enjeu 2 : Efficacité</w:t>
      </w:r>
    </w:p>
    <w:p w14:paraId="6A7B20E6" w14:textId="250208B1" w:rsidR="0025287A" w:rsidRDefault="00AA10A2"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Lorsqu’on le compare à la proposition de réglementation initiale, le règlement a-t-il entraîné les avantages escomptés?</w:t>
      </w:r>
      <w:r w:rsidR="00AB1C2D">
        <w:rPr>
          <w:rFonts w:ascii="Arial" w:hAnsi="Arial"/>
          <w:szCs w:val="24"/>
        </w:rPr>
        <w:t xml:space="preserve"> </w:t>
      </w:r>
    </w:p>
    <w:p w14:paraId="77C57B24" w14:textId="53210CCA" w:rsidR="005429E8" w:rsidRPr="00FB36B6" w:rsidRDefault="005429E8" w:rsidP="005429E8">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Les hypothèses initiales de l’étude d’impact de la réglementation et de l’analyse coût/bénéfice ont-elles été examinées?</w:t>
      </w:r>
      <w:r w:rsidR="00AB1C2D">
        <w:rPr>
          <w:rFonts w:ascii="Arial" w:hAnsi="Arial"/>
          <w:szCs w:val="24"/>
        </w:rPr>
        <w:t xml:space="preserve"> </w:t>
      </w:r>
      <w:r>
        <w:rPr>
          <w:rFonts w:ascii="Arial" w:hAnsi="Arial"/>
          <w:szCs w:val="24"/>
        </w:rPr>
        <w:t>Comment étaient-elles différentes (ou semblables) par rapport à la mise en œuvre et à la gestion du règlement?</w:t>
      </w:r>
    </w:p>
    <w:p w14:paraId="10A9FB10" w14:textId="32FA29C3" w:rsidR="0025287A" w:rsidRPr="00FB36B6" w:rsidRDefault="0025287A"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 xml:space="preserve">Comment le régime de réglementation encourage-t-il l’innovation et appuie-t-il les forces du marché? </w:t>
      </w:r>
    </w:p>
    <w:p w14:paraId="641150AE" w14:textId="029A449E" w:rsidR="0025287A" w:rsidRPr="00FB36B6" w:rsidRDefault="0025287A"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Quel est l’impact du régime de réglementation sur les investissements et l’innovation?</w:t>
      </w:r>
    </w:p>
    <w:p w14:paraId="495E8BC1" w14:textId="77777777" w:rsidR="006943C1" w:rsidRPr="00FB36B6" w:rsidRDefault="006943C1" w:rsidP="00BD2EF1">
      <w:pPr>
        <w:rPr>
          <w:rFonts w:ascii="Arial" w:hAnsi="Arial" w:cs="Arial"/>
          <w:b/>
          <w:sz w:val="24"/>
          <w:szCs w:val="24"/>
        </w:rPr>
      </w:pPr>
      <w:r>
        <w:rPr>
          <w:rFonts w:ascii="Arial" w:hAnsi="Arial"/>
          <w:b/>
          <w:sz w:val="24"/>
          <w:szCs w:val="24"/>
        </w:rPr>
        <w:t>Enjeu 3 : Efficience</w:t>
      </w:r>
    </w:p>
    <w:p w14:paraId="2D2CB89B" w14:textId="7EE3B299" w:rsidR="000177E6" w:rsidRDefault="004A683B"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Le règlement a-t-il occasionné des incidences ou des coûts imprévus pour la partie réglementée ou le gouvernement? Existe-t-il une meilleure façon de recueillir des renseignements de conformité ou de gérer la mise en œuvre du règlement?</w:t>
      </w:r>
    </w:p>
    <w:p w14:paraId="3A8598DD" w14:textId="33390058" w:rsidR="006943C1" w:rsidRPr="00FB36B6" w:rsidRDefault="00AD4E7A" w:rsidP="00BD2EF1">
      <w:pPr>
        <w:rPr>
          <w:rFonts w:ascii="Arial" w:hAnsi="Arial" w:cs="Arial"/>
          <w:b/>
          <w:sz w:val="24"/>
          <w:szCs w:val="24"/>
        </w:rPr>
      </w:pPr>
      <w:r>
        <w:rPr>
          <w:rFonts w:ascii="Arial" w:hAnsi="Arial"/>
          <w:b/>
          <w:sz w:val="24"/>
          <w:szCs w:val="24"/>
        </w:rPr>
        <w:t xml:space="preserve">Enjeu 4 : Souplesse et harmonie </w:t>
      </w:r>
    </w:p>
    <w:p w14:paraId="32463452" w14:textId="316BDAC9" w:rsidR="006943C1" w:rsidRDefault="00AA10A2"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Les exigences en matière de conformité peuvent-elles être réduites sans compromettre les objectifs réglementaires, dont la santé, la sûreté et la sécurité publiques, ainsi que l’environnement</w:t>
      </w:r>
      <w:r w:rsidR="002C28D4">
        <w:rPr>
          <w:rFonts w:ascii="Arial" w:hAnsi="Arial"/>
          <w:szCs w:val="24"/>
        </w:rPr>
        <w:t>?</w:t>
      </w:r>
    </w:p>
    <w:p w14:paraId="7715CF07" w14:textId="700A1297" w:rsidR="00483D57" w:rsidRPr="00FB36B6" w:rsidRDefault="00483D57"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 xml:space="preserve">Peut-on offrir une souplesse supplémentaire aux petites entreprises pour diminuer le fardeau administratif ou le fardeau de conformité? </w:t>
      </w:r>
    </w:p>
    <w:p w14:paraId="4A52060E" w14:textId="11B5222C" w:rsidR="005D2EB3" w:rsidRPr="00FB36B6" w:rsidRDefault="005D2EB3"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 xml:space="preserve">Un régime de réglementation axé sur le rendement ou les résultats peut-il être mis en place en vue d’obtenir </w:t>
      </w:r>
      <w:r w:rsidR="00B41F24">
        <w:rPr>
          <w:rFonts w:ascii="Arial" w:hAnsi="Arial"/>
          <w:szCs w:val="24"/>
        </w:rPr>
        <w:t>de meilleurs</w:t>
      </w:r>
      <w:r>
        <w:rPr>
          <w:rFonts w:ascii="Arial" w:hAnsi="Arial"/>
          <w:szCs w:val="24"/>
        </w:rPr>
        <w:t xml:space="preserve"> résultats?</w:t>
      </w:r>
    </w:p>
    <w:p w14:paraId="47BF1FE0" w14:textId="533B0458" w:rsidR="005D2EB3" w:rsidRPr="00FB36B6" w:rsidRDefault="00AA10A2"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 xml:space="preserve">Des occasions de coordination ou de coopération avec d’autres compétences, partenaires internationaux ou ministères gouvernementaux existent-elles? </w:t>
      </w:r>
    </w:p>
    <w:p w14:paraId="0A36B795" w14:textId="409DC1C0" w:rsidR="005D2EB3" w:rsidRPr="00FB36B6" w:rsidRDefault="00AA10A2"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L’harmonisation avec les régimes semblables des partenaires commerciaux peut-elle être améliorée?</w:t>
      </w:r>
    </w:p>
    <w:p w14:paraId="702D957C" w14:textId="77777777" w:rsidR="002234F4" w:rsidRPr="00FB36B6" w:rsidRDefault="00AD4E7A" w:rsidP="00F15236">
      <w:pPr>
        <w:rPr>
          <w:rFonts w:ascii="Arial" w:hAnsi="Arial" w:cs="Arial"/>
          <w:b/>
          <w:sz w:val="24"/>
          <w:szCs w:val="24"/>
        </w:rPr>
      </w:pPr>
      <w:r>
        <w:rPr>
          <w:rFonts w:ascii="Arial" w:hAnsi="Arial"/>
          <w:b/>
          <w:sz w:val="24"/>
          <w:szCs w:val="24"/>
        </w:rPr>
        <w:t>Enjeu 5 : Choix d’instrument</w:t>
      </w:r>
    </w:p>
    <w:p w14:paraId="047EED3E" w14:textId="256023A5" w:rsidR="00AA10A2" w:rsidRPr="00A248BE" w:rsidRDefault="00AA10A2"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Le règlement est-il toujours nécessaire ou les mêmes résultats peuvent-ils être réalisés grâce à d’autres instruments de politique?</w:t>
      </w:r>
      <w:r w:rsidR="00AB1C2D">
        <w:rPr>
          <w:rFonts w:ascii="Arial" w:hAnsi="Arial"/>
          <w:szCs w:val="24"/>
        </w:rPr>
        <w:t xml:space="preserve"> </w:t>
      </w:r>
      <w:r>
        <w:rPr>
          <w:rFonts w:ascii="Arial" w:hAnsi="Arial"/>
          <w:szCs w:val="24"/>
        </w:rPr>
        <w:t>Des exemples ont-ils été examinés à partir de cas ou de domaines semblables?</w:t>
      </w:r>
      <w:r w:rsidR="00AB1C2D">
        <w:rPr>
          <w:rFonts w:ascii="Arial" w:hAnsi="Arial"/>
          <w:szCs w:val="24"/>
        </w:rPr>
        <w:t xml:space="preserve"> </w:t>
      </w:r>
    </w:p>
    <w:p w14:paraId="1FCCA565" w14:textId="75C9F7E1" w:rsidR="00AD4E7A" w:rsidRPr="00A248BE" w:rsidRDefault="00496420"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Quels types d’instruments seraient-ils susceptibles d’être très efficaces dans ce domaine ou secteur réglementé précis?</w:t>
      </w:r>
      <w:r w:rsidR="00AB1C2D">
        <w:rPr>
          <w:rFonts w:ascii="Arial" w:hAnsi="Arial"/>
          <w:szCs w:val="24"/>
        </w:rPr>
        <w:t xml:space="preserve"> </w:t>
      </w:r>
    </w:p>
    <w:p w14:paraId="08F1C42C" w14:textId="77777777" w:rsidR="00931ADB" w:rsidRPr="00A248BE" w:rsidRDefault="00931ADB" w:rsidP="00A248BE">
      <w:pPr>
        <w:pStyle w:val="ListParagraph"/>
        <w:numPr>
          <w:ilvl w:val="0"/>
          <w:numId w:val="5"/>
        </w:numPr>
        <w:spacing w:before="240" w:after="240"/>
        <w:ind w:left="714" w:hanging="357"/>
        <w:contextualSpacing w:val="0"/>
        <w:rPr>
          <w:rFonts w:ascii="Arial" w:hAnsi="Arial" w:cs="Arial"/>
          <w:szCs w:val="24"/>
        </w:rPr>
      </w:pPr>
      <w:r>
        <w:rPr>
          <w:rFonts w:ascii="Arial" w:hAnsi="Arial"/>
          <w:szCs w:val="24"/>
        </w:rPr>
        <w:t xml:space="preserve">Existe-t-il des risques juridiques associés à la permission d’utiliser des instruments alternatifs dans ce domaine ou secteur réglementé précis? </w:t>
      </w:r>
    </w:p>
    <w:p w14:paraId="0949628C" w14:textId="5CA5B7A1" w:rsidR="007049EE" w:rsidRPr="004B7902" w:rsidRDefault="004B7902" w:rsidP="00562CD9">
      <w:pPr>
        <w:rPr>
          <w:rStyle w:val="SubtleReference"/>
          <w:rFonts w:ascii="Arial" w:hAnsi="Arial" w:cs="Arial"/>
          <w:b/>
          <w:smallCaps w:val="0"/>
          <w:color w:val="auto"/>
          <w:sz w:val="28"/>
          <w:szCs w:val="28"/>
        </w:rPr>
      </w:pPr>
      <w:r>
        <w:rPr>
          <w:rFonts w:ascii="Arial" w:hAnsi="Arial"/>
          <w:b/>
          <w:sz w:val="28"/>
          <w:szCs w:val="28"/>
        </w:rPr>
        <w:t>Annexe C :</w:t>
      </w:r>
      <w:r w:rsidR="00AB1C2D">
        <w:rPr>
          <w:rFonts w:ascii="Arial" w:hAnsi="Arial"/>
          <w:b/>
          <w:sz w:val="28"/>
          <w:szCs w:val="28"/>
        </w:rPr>
        <w:t xml:space="preserve"> </w:t>
      </w:r>
      <w:r>
        <w:rPr>
          <w:rStyle w:val="SubtleReference"/>
          <w:rFonts w:ascii="Arial" w:hAnsi="Arial"/>
          <w:b/>
          <w:smallCaps w:val="0"/>
          <w:color w:val="auto"/>
          <w:sz w:val="28"/>
          <w:szCs w:val="28"/>
        </w:rPr>
        <w:t xml:space="preserve">Approches de planification pour les examens de l’inventaire des règlements </w:t>
      </w:r>
    </w:p>
    <w:p w14:paraId="4E88B93C" w14:textId="3CAEF1D6" w:rsidR="007049EE" w:rsidRPr="00543EF3" w:rsidRDefault="007049EE" w:rsidP="00543EF3">
      <w:pPr>
        <w:spacing w:after="0"/>
        <w:jc w:val="center"/>
        <w:rPr>
          <w:rFonts w:ascii="Arial" w:hAnsi="Arial" w:cs="Arial"/>
          <w:sz w:val="24"/>
          <w:szCs w:val="24"/>
        </w:rPr>
      </w:pPr>
      <w:r>
        <w:rPr>
          <w:noProof/>
          <w:lang w:val="en-CA" w:eastAsia="en-CA"/>
        </w:rPr>
        <mc:AlternateContent>
          <mc:Choice Requires="wps">
            <w:drawing>
              <wp:anchor distT="0" distB="0" distL="114300" distR="114300" simplePos="0" relativeHeight="251664384" behindDoc="0" locked="0" layoutInCell="1" allowOverlap="1" wp14:anchorId="4E7CAD8A" wp14:editId="201A6FA9">
                <wp:simplePos x="0" y="0"/>
                <wp:positionH relativeFrom="column">
                  <wp:posOffset>5213985</wp:posOffset>
                </wp:positionH>
                <wp:positionV relativeFrom="paragraph">
                  <wp:posOffset>3742690</wp:posOffset>
                </wp:positionV>
                <wp:extent cx="2133600" cy="365125"/>
                <wp:effectExtent l="0" t="0" r="0" b="0"/>
                <wp:wrapNone/>
                <wp:docPr id="1" name="Slide Number Placeholder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14:paraId="12ABC50C" w14:textId="77777777" w:rsidR="00733B9E" w:rsidRDefault="00733B9E" w:rsidP="007049EE">
                            <w:pPr>
                              <w:pStyle w:val="NormalWeb"/>
                              <w:spacing w:before="0" w:beforeAutospacing="0" w:after="0" w:afterAutospacing="0"/>
                              <w:jc w:val="right"/>
                            </w:pPr>
                            <w:r>
                              <w:rPr>
                                <w:rFonts w:asciiTheme="minorHAnsi" w:hAnsi="Calibri"/>
                                <w:color w:val="404040" w:themeColor="text1" w:themeTint="BF"/>
                              </w:rPr>
                              <w:t>6</w:t>
                            </w:r>
                          </w:p>
                        </w:txbxContent>
                      </wps:txbx>
                      <wps:bodyPr vert="horz" lIns="91440" tIns="45720" rIns="91440" bIns="45720" rtlCol="0" anchor="ctr"/>
                    </wps:wsp>
                  </a:graphicData>
                </a:graphic>
              </wp:anchor>
            </w:drawing>
          </mc:Choice>
          <mc:Fallback>
            <w:pict>
              <v:rect w14:anchorId="4E7CAD8A" id="Slide Number Placeholder 1" o:spid="_x0000_s1026" style="position:absolute;left:0;text-align:left;margin-left:410.55pt;margin-top:294.7pt;width:168pt;height:2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" filled="f" stroked="f">
                <v:path arrowok="t"/>
                <o:lock v:ext="edit" grouping="t"/>
                <v:textbox>
                  <w:txbxContent>
                    <w:p w14:paraId="12ABC50C" w14:textId="77777777" w:rsidR="00733B9E" w:rsidRDefault="00733B9E" w:rsidP="007049EE">
                      <w:pPr>
                        <w:pStyle w:val="NormalWeb"/>
                        <w:spacing w:before="0" w:beforeAutospacing="0" w:after="0" w:afterAutospacing="0"/>
                        <w:jc w:val="right"/>
                      </w:pPr>
                      <w:r>
                        <w:rPr>
                          <w:rFonts w:asciiTheme="minorHAnsi" w:hAnsi="Calibri"/>
                          <w:color w:val="404040" w:themeColor="text1" w:themeTint="BF"/>
                        </w:rPr>
                        <w:t>6</w:t>
                      </w:r>
                    </w:p>
                  </w:txbxContent>
                </v:textbox>
              </v:rect>
            </w:pict>
          </mc:Fallback>
        </mc:AlternateContent>
      </w:r>
      <w:r>
        <w:rPr>
          <w:rFonts w:ascii="Arial" w:hAnsi="Arial"/>
          <w:b/>
          <w:sz w:val="28"/>
          <w:szCs w:val="24"/>
        </w:rPr>
        <w:t>Phase 1 : Planification et établissement des priorités</w:t>
      </w:r>
    </w:p>
    <w:p w14:paraId="6E371F11" w14:textId="77777777" w:rsidR="007049EE" w:rsidRPr="00B01CB8" w:rsidRDefault="007049EE" w:rsidP="007049EE">
      <w:pPr>
        <w:spacing w:after="0"/>
        <w:rPr>
          <w:rFonts w:ascii="Arial" w:hAnsi="Arial" w:cs="Arial"/>
          <w:b/>
          <w:sz w:val="28"/>
          <w:szCs w:val="24"/>
        </w:rPr>
      </w:pPr>
      <w:r>
        <w:rPr>
          <w:rFonts w:ascii="Arial" w:hAnsi="Arial"/>
          <w:b/>
          <w:sz w:val="28"/>
          <w:szCs w:val="24"/>
        </w:rPr>
        <w:t>Établissement des priorités :</w:t>
      </w:r>
    </w:p>
    <w:p w14:paraId="6813F32C" w14:textId="6B883603" w:rsidR="005C667F" w:rsidRDefault="007049EE" w:rsidP="007049EE">
      <w:pPr>
        <w:spacing w:after="0"/>
        <w:rPr>
          <w:rFonts w:ascii="Arial" w:hAnsi="Arial" w:cs="Arial"/>
          <w:sz w:val="24"/>
          <w:szCs w:val="24"/>
        </w:rPr>
      </w:pPr>
      <w:r>
        <w:rPr>
          <w:rFonts w:ascii="Arial" w:hAnsi="Arial"/>
          <w:sz w:val="24"/>
          <w:szCs w:val="24"/>
        </w:rPr>
        <w:t xml:space="preserve">Les ministères et les organismes sont responsables de l’élaboration et de la publication d’un plan d’examen. La hiérarchie des priorités dans l’inventaire devrait être déterminée par un </w:t>
      </w:r>
      <w:r w:rsidR="00AB1C2D">
        <w:rPr>
          <w:rFonts w:ascii="Arial" w:hAnsi="Arial"/>
          <w:sz w:val="24"/>
          <w:szCs w:val="24"/>
        </w:rPr>
        <w:t>en</w:t>
      </w:r>
      <w:r>
        <w:rPr>
          <w:rFonts w:ascii="Arial" w:hAnsi="Arial"/>
          <w:sz w:val="24"/>
          <w:szCs w:val="24"/>
        </w:rPr>
        <w:t>semble de critères, tels que décidés par le ministère ou l’organisme. Les organismes de réglementation devraient tenir compte des préoccupations ou des</w:t>
      </w:r>
      <w:r w:rsidR="00F84E38">
        <w:rPr>
          <w:rFonts w:ascii="Arial" w:hAnsi="Arial"/>
          <w:sz w:val="24"/>
          <w:szCs w:val="24"/>
        </w:rPr>
        <w:t xml:space="preserve"> </w:t>
      </w:r>
      <w:r>
        <w:rPr>
          <w:rFonts w:ascii="Arial" w:hAnsi="Arial"/>
          <w:sz w:val="24"/>
          <w:szCs w:val="24"/>
        </w:rPr>
        <w:t>problèmes signalés par les intervenants lorsqu’ils décident des questions analytiques à poser et de l’ordre</w:t>
      </w:r>
      <w:r w:rsidR="00F84E38">
        <w:rPr>
          <w:rFonts w:ascii="Arial" w:hAnsi="Arial"/>
          <w:sz w:val="24"/>
          <w:szCs w:val="24"/>
        </w:rPr>
        <w:t xml:space="preserve"> dans lequel il convient d’examiner l</w:t>
      </w:r>
      <w:r>
        <w:rPr>
          <w:rFonts w:ascii="Arial" w:hAnsi="Arial"/>
          <w:sz w:val="24"/>
          <w:szCs w:val="24"/>
        </w:rPr>
        <w:t xml:space="preserve">es règlements. </w:t>
      </w:r>
    </w:p>
    <w:p w14:paraId="17015B10" w14:textId="77777777" w:rsidR="005C667F" w:rsidRDefault="005C667F" w:rsidP="007049EE">
      <w:pPr>
        <w:spacing w:after="0"/>
        <w:rPr>
          <w:rFonts w:ascii="Arial" w:hAnsi="Arial" w:cs="Arial"/>
          <w:sz w:val="24"/>
          <w:szCs w:val="24"/>
        </w:rPr>
      </w:pPr>
    </w:p>
    <w:p w14:paraId="17A890F6" w14:textId="6064D30C" w:rsidR="007049EE" w:rsidRPr="00B01CB8" w:rsidRDefault="007049EE" w:rsidP="007049EE">
      <w:pPr>
        <w:spacing w:after="0"/>
        <w:rPr>
          <w:rFonts w:ascii="Arial" w:hAnsi="Arial" w:cs="Arial"/>
          <w:sz w:val="24"/>
          <w:szCs w:val="24"/>
        </w:rPr>
      </w:pPr>
      <w:r>
        <w:rPr>
          <w:rFonts w:ascii="Arial" w:hAnsi="Arial"/>
          <w:sz w:val="24"/>
          <w:szCs w:val="24"/>
        </w:rPr>
        <w:t xml:space="preserve">Lorsqu’il est approprié de le faire, les ministères et les organismes devraient collaborer pour partager des renseignements qui peuvent faciliter la planification d’un examen d’inventaire. </w:t>
      </w:r>
    </w:p>
    <w:p w14:paraId="38CDE4AA" w14:textId="77777777" w:rsidR="007049EE" w:rsidRPr="00B01CB8" w:rsidRDefault="007049EE" w:rsidP="007049EE">
      <w:pPr>
        <w:spacing w:after="0"/>
        <w:rPr>
          <w:rFonts w:ascii="Arial" w:hAnsi="Arial" w:cs="Arial"/>
          <w:sz w:val="24"/>
          <w:szCs w:val="24"/>
        </w:rPr>
      </w:pPr>
    </w:p>
    <w:p w14:paraId="4DCA298B" w14:textId="1BC0D35E" w:rsidR="007049EE" w:rsidRPr="00B01CB8" w:rsidRDefault="007049EE" w:rsidP="007049EE">
      <w:pPr>
        <w:spacing w:after="0"/>
        <w:rPr>
          <w:rFonts w:ascii="Arial" w:hAnsi="Arial" w:cs="Arial"/>
          <w:sz w:val="24"/>
          <w:szCs w:val="24"/>
        </w:rPr>
      </w:pPr>
      <w:r>
        <w:rPr>
          <w:rFonts w:ascii="Arial" w:hAnsi="Arial"/>
          <w:sz w:val="24"/>
          <w:szCs w:val="24"/>
        </w:rPr>
        <w:t xml:space="preserve">Dans des situations où l’administration d’un règlement est partagée entre plus d’un ministère ou organisme, le ministère ou l’organisme responsable de la mise en œuvre devrait diriger l’examen. Lorsque deux ministères ou organismes ou plus sont responsables de la mise en œuvre, ceux-ci devraient se coordonner pour l’examen et les échéanciers devraient être reflétés dans leurs plans respectifs d’examen de l’inventaire. </w:t>
      </w:r>
    </w:p>
    <w:p w14:paraId="5FA8A6E4" w14:textId="77777777" w:rsidR="007049EE" w:rsidRPr="00B01CB8" w:rsidRDefault="007049EE" w:rsidP="007049EE">
      <w:pPr>
        <w:spacing w:after="0"/>
        <w:rPr>
          <w:rFonts w:ascii="Arial" w:hAnsi="Arial" w:cs="Arial"/>
          <w:sz w:val="24"/>
          <w:szCs w:val="24"/>
        </w:rPr>
      </w:pPr>
    </w:p>
    <w:p w14:paraId="64175A28" w14:textId="7347018A" w:rsidR="007049EE" w:rsidRPr="00B01CB8" w:rsidRDefault="004B7902" w:rsidP="007049EE">
      <w:pPr>
        <w:spacing w:after="0"/>
        <w:rPr>
          <w:rFonts w:ascii="Arial" w:hAnsi="Arial" w:cs="Arial"/>
          <w:sz w:val="24"/>
          <w:szCs w:val="24"/>
        </w:rPr>
      </w:pPr>
      <w:r>
        <w:rPr>
          <w:rFonts w:ascii="Arial" w:hAnsi="Arial"/>
          <w:sz w:val="24"/>
          <w:szCs w:val="24"/>
        </w:rPr>
        <w:t xml:space="preserve">Le temps et les ressources alloués à l’examen devraient correspondre au niveau d’incidence du règlement, tel qu’initialement défini au cours de l’élaboration d’un règlement à l’étape de triage. Cela signifie que les examens réglementaires à incidence faible ou inexistante devraient se voir attribuer un calendrier plus court et des efforts analytiques moins importants qu’un règlement dont l’incidence est importante. </w:t>
      </w:r>
    </w:p>
    <w:p w14:paraId="6EEAAEDC" w14:textId="77777777" w:rsidR="007049EE" w:rsidRPr="00B01CB8" w:rsidRDefault="007049EE" w:rsidP="007049EE">
      <w:pPr>
        <w:spacing w:after="0"/>
        <w:rPr>
          <w:rFonts w:ascii="Arial" w:hAnsi="Arial" w:cs="Arial"/>
          <w:sz w:val="24"/>
          <w:szCs w:val="24"/>
        </w:rPr>
      </w:pPr>
    </w:p>
    <w:p w14:paraId="73F7C54A" w14:textId="77777777" w:rsidR="007049EE" w:rsidRPr="00B01CB8" w:rsidRDefault="007049EE" w:rsidP="007049EE">
      <w:pPr>
        <w:spacing w:after="0"/>
        <w:rPr>
          <w:rFonts w:ascii="Arial" w:hAnsi="Arial" w:cs="Arial"/>
          <w:b/>
          <w:sz w:val="28"/>
          <w:szCs w:val="24"/>
        </w:rPr>
      </w:pPr>
      <w:r>
        <w:rPr>
          <w:rFonts w:ascii="Arial" w:hAnsi="Arial"/>
          <w:b/>
          <w:sz w:val="28"/>
          <w:szCs w:val="24"/>
        </w:rPr>
        <w:t xml:space="preserve">Délai : </w:t>
      </w:r>
    </w:p>
    <w:p w14:paraId="03589A14" w14:textId="638D11E4" w:rsidR="007049EE" w:rsidRDefault="007049EE" w:rsidP="007049EE">
      <w:pPr>
        <w:spacing w:after="0"/>
        <w:rPr>
          <w:rFonts w:ascii="Arial" w:hAnsi="Arial"/>
          <w:sz w:val="24"/>
          <w:szCs w:val="24"/>
        </w:rPr>
      </w:pPr>
      <w:r>
        <w:rPr>
          <w:rFonts w:ascii="Arial" w:hAnsi="Arial"/>
          <w:sz w:val="24"/>
          <w:szCs w:val="24"/>
        </w:rPr>
        <w:t xml:space="preserve">Les ministères et les organismes doivent établir un délai pour leur plan d’examen de l’inventaire. L’horizon </w:t>
      </w:r>
      <w:r w:rsidR="00BB3382">
        <w:rPr>
          <w:rFonts w:ascii="Arial" w:hAnsi="Arial"/>
          <w:sz w:val="24"/>
          <w:szCs w:val="24"/>
        </w:rPr>
        <w:t>prévisionnel</w:t>
      </w:r>
      <w:r>
        <w:rPr>
          <w:rFonts w:ascii="Arial" w:hAnsi="Arial"/>
          <w:sz w:val="24"/>
          <w:szCs w:val="24"/>
        </w:rPr>
        <w:t xml:space="preserve"> du plan (par exemple, trois, cinq ou dix ans) devrait être harmonisé avec les exercices de planifications existants au sein d’une organisation pour répondre aux besoins ministériels et aux exigences des programmes de vérification ministériels ou des comités d’évaluation.</w:t>
      </w:r>
      <w:r w:rsidR="00AB1C2D">
        <w:rPr>
          <w:rFonts w:ascii="Arial" w:hAnsi="Arial"/>
          <w:sz w:val="24"/>
          <w:szCs w:val="24"/>
        </w:rPr>
        <w:t xml:space="preserve"> </w:t>
      </w:r>
      <w:r>
        <w:rPr>
          <w:rFonts w:ascii="Arial" w:hAnsi="Arial"/>
          <w:sz w:val="24"/>
          <w:szCs w:val="24"/>
        </w:rPr>
        <w:t>Les fonctions ministérielles détiennent souvent une expertise en la matière pour la sélection de mesures ou d’indicateurs de rendement et pour la collecte de données.</w:t>
      </w:r>
    </w:p>
    <w:p w14:paraId="68C4BA54" w14:textId="5E2D1C21" w:rsidR="00AB1C2D" w:rsidRDefault="00AB1C2D" w:rsidP="007049EE">
      <w:pPr>
        <w:spacing w:after="0"/>
        <w:rPr>
          <w:rFonts w:ascii="Arial" w:hAnsi="Arial" w:cs="Arial"/>
          <w:sz w:val="24"/>
          <w:szCs w:val="24"/>
        </w:rPr>
      </w:pPr>
    </w:p>
    <w:p w14:paraId="039D023F" w14:textId="77777777" w:rsidR="00AB1C2D" w:rsidRPr="00B01CB8" w:rsidRDefault="00AB1C2D" w:rsidP="007049EE">
      <w:pPr>
        <w:spacing w:after="0"/>
        <w:rPr>
          <w:rFonts w:ascii="Arial" w:hAnsi="Arial" w:cs="Arial"/>
          <w:sz w:val="24"/>
          <w:szCs w:val="24"/>
        </w:rPr>
      </w:pPr>
    </w:p>
    <w:p w14:paraId="791B9DD8" w14:textId="77777777" w:rsidR="007049EE" w:rsidRPr="00B01CB8" w:rsidRDefault="007049EE" w:rsidP="007049EE">
      <w:pPr>
        <w:spacing w:after="0"/>
        <w:jc w:val="center"/>
        <w:rPr>
          <w:rFonts w:ascii="Arial" w:hAnsi="Arial" w:cs="Arial"/>
          <w:b/>
          <w:sz w:val="28"/>
          <w:szCs w:val="24"/>
        </w:rPr>
      </w:pPr>
    </w:p>
    <w:p w14:paraId="33836A98" w14:textId="77777777" w:rsidR="007049EE" w:rsidRPr="00B01CB8" w:rsidRDefault="007049EE" w:rsidP="007049EE">
      <w:pPr>
        <w:spacing w:after="0"/>
        <w:jc w:val="center"/>
        <w:rPr>
          <w:rFonts w:ascii="Arial" w:hAnsi="Arial" w:cs="Arial"/>
          <w:b/>
          <w:sz w:val="28"/>
          <w:szCs w:val="24"/>
        </w:rPr>
      </w:pPr>
      <w:r>
        <w:rPr>
          <w:rFonts w:ascii="Arial" w:hAnsi="Arial"/>
          <w:b/>
          <w:sz w:val="28"/>
          <w:szCs w:val="24"/>
        </w:rPr>
        <w:t>Phase 2 : Mobilisation et consultation</w:t>
      </w:r>
    </w:p>
    <w:p w14:paraId="539D1E43" w14:textId="77777777" w:rsidR="007049EE" w:rsidRPr="00B01CB8" w:rsidRDefault="007049EE" w:rsidP="007049EE">
      <w:pPr>
        <w:spacing w:after="0"/>
        <w:rPr>
          <w:rFonts w:ascii="Arial" w:hAnsi="Arial" w:cs="Arial"/>
          <w:sz w:val="24"/>
          <w:szCs w:val="24"/>
        </w:rPr>
      </w:pPr>
    </w:p>
    <w:p w14:paraId="4D9ED066" w14:textId="25B1E3F9" w:rsidR="007049EE" w:rsidRPr="00B01CB8" w:rsidRDefault="007049EE" w:rsidP="007049EE">
      <w:pPr>
        <w:spacing w:after="0"/>
        <w:rPr>
          <w:rFonts w:ascii="Arial" w:hAnsi="Arial" w:cs="Arial"/>
          <w:sz w:val="24"/>
          <w:szCs w:val="24"/>
        </w:rPr>
      </w:pPr>
      <w:r>
        <w:rPr>
          <w:rFonts w:ascii="Arial" w:hAnsi="Arial"/>
          <w:sz w:val="24"/>
          <w:szCs w:val="24"/>
        </w:rPr>
        <w:t xml:space="preserve">Le plan devrait être publié sur la page Web Loi et Règlements du ministère ou de l’organisme et être lié à son plan prospectif de la réglementation pour permettre aux entreprises, aux Canadiens et aux autres ordres de gouvernement de fournir des commentaires. </w:t>
      </w:r>
    </w:p>
    <w:p w14:paraId="60ADADA6" w14:textId="77777777" w:rsidR="007049EE" w:rsidRPr="00B01CB8" w:rsidRDefault="007049EE" w:rsidP="007049EE">
      <w:pPr>
        <w:spacing w:after="0"/>
        <w:rPr>
          <w:rFonts w:ascii="Arial" w:hAnsi="Arial" w:cs="Arial"/>
          <w:sz w:val="24"/>
          <w:szCs w:val="24"/>
        </w:rPr>
      </w:pPr>
      <w:r>
        <w:rPr>
          <w:rFonts w:ascii="Arial" w:hAnsi="Arial"/>
          <w:sz w:val="24"/>
          <w:szCs w:val="24"/>
        </w:rPr>
        <w:t xml:space="preserve"> </w:t>
      </w:r>
    </w:p>
    <w:p w14:paraId="01EB95EC" w14:textId="5FE0C944" w:rsidR="007049EE" w:rsidRDefault="007049EE" w:rsidP="007049EE">
      <w:pPr>
        <w:spacing w:after="0"/>
        <w:rPr>
          <w:rFonts w:ascii="Arial" w:hAnsi="Arial" w:cs="Arial"/>
          <w:sz w:val="24"/>
          <w:szCs w:val="24"/>
        </w:rPr>
      </w:pPr>
      <w:r>
        <w:rPr>
          <w:rFonts w:ascii="Arial" w:hAnsi="Arial"/>
          <w:sz w:val="24"/>
          <w:szCs w:val="24"/>
        </w:rPr>
        <w:t xml:space="preserve">Dans le cadre du processus de mobilisation, les ministères et les organismes devraient offrir un mécanisme pour recevoir une rétroaction et des suggestions des intervenants. Ils devraient aussi planifier une réponse aux questions et aux préoccupations de ceux-ci à l’égard du plan d’examen. Il est à la discrétion des ministères et des organismes de décider de la meilleure façon de gérer ce processus avec leurs intervenants. </w:t>
      </w:r>
    </w:p>
    <w:p w14:paraId="45E31F54" w14:textId="1E8083E6" w:rsidR="007049EE" w:rsidRPr="00B01CB8" w:rsidRDefault="007049EE" w:rsidP="00543EF3">
      <w:pPr>
        <w:spacing w:after="0"/>
        <w:rPr>
          <w:rFonts w:ascii="Arial" w:hAnsi="Arial" w:cs="Arial"/>
          <w:b/>
          <w:sz w:val="28"/>
          <w:szCs w:val="24"/>
        </w:rPr>
      </w:pPr>
    </w:p>
    <w:p w14:paraId="3535B3E2" w14:textId="77777777" w:rsidR="007049EE" w:rsidRPr="00B01CB8" w:rsidRDefault="007049EE" w:rsidP="007049EE">
      <w:pPr>
        <w:spacing w:after="0"/>
        <w:jc w:val="center"/>
        <w:rPr>
          <w:rFonts w:ascii="Arial" w:hAnsi="Arial" w:cs="Arial"/>
          <w:b/>
          <w:sz w:val="28"/>
          <w:szCs w:val="24"/>
        </w:rPr>
      </w:pPr>
      <w:r>
        <w:rPr>
          <w:rFonts w:ascii="Arial" w:hAnsi="Arial"/>
          <w:b/>
          <w:sz w:val="28"/>
          <w:szCs w:val="24"/>
        </w:rPr>
        <w:t>Phase 3 : Réalisation de l’examen et établissement de rapports sur les résultats</w:t>
      </w:r>
    </w:p>
    <w:p w14:paraId="6842B1D3" w14:textId="77777777" w:rsidR="007049EE" w:rsidRPr="00B01CB8" w:rsidRDefault="007049EE" w:rsidP="007049EE">
      <w:pPr>
        <w:spacing w:after="0"/>
        <w:rPr>
          <w:rFonts w:ascii="Arial" w:hAnsi="Arial" w:cs="Arial"/>
          <w:sz w:val="24"/>
          <w:szCs w:val="24"/>
        </w:rPr>
      </w:pPr>
    </w:p>
    <w:p w14:paraId="61ACEBDA" w14:textId="77777777" w:rsidR="007049EE" w:rsidRPr="00F57954" w:rsidRDefault="007049EE" w:rsidP="007049EE">
      <w:pPr>
        <w:spacing w:after="0"/>
        <w:rPr>
          <w:rFonts w:ascii="Arial" w:hAnsi="Arial" w:cs="Arial"/>
          <w:sz w:val="24"/>
          <w:szCs w:val="24"/>
        </w:rPr>
      </w:pPr>
      <w:r>
        <w:rPr>
          <w:rFonts w:ascii="Arial" w:hAnsi="Arial"/>
          <w:sz w:val="24"/>
          <w:szCs w:val="24"/>
        </w:rPr>
        <w:t>Les ministères et les organismes sont responsables de la détermination d’une approche ou d’une combinaison d’approches pour évaluer leur inventaire existant de règlements.</w:t>
      </w:r>
    </w:p>
    <w:p w14:paraId="41E1023B" w14:textId="77777777" w:rsidR="007049EE" w:rsidRPr="00F57954" w:rsidRDefault="007049EE" w:rsidP="007049EE">
      <w:pPr>
        <w:spacing w:after="0"/>
        <w:rPr>
          <w:rFonts w:ascii="Arial" w:hAnsi="Arial" w:cs="Arial"/>
          <w:sz w:val="24"/>
          <w:szCs w:val="24"/>
        </w:rPr>
      </w:pPr>
    </w:p>
    <w:p w14:paraId="701F6AD2" w14:textId="7586AEC1" w:rsidR="007049EE" w:rsidRPr="00B01CB8" w:rsidRDefault="007049EE" w:rsidP="007049EE">
      <w:pPr>
        <w:spacing w:after="0"/>
        <w:rPr>
          <w:rFonts w:ascii="Arial" w:hAnsi="Arial" w:cs="Arial"/>
          <w:sz w:val="24"/>
          <w:szCs w:val="24"/>
        </w:rPr>
      </w:pPr>
      <w:r>
        <w:rPr>
          <w:rFonts w:ascii="Arial" w:hAnsi="Arial"/>
          <w:sz w:val="24"/>
          <w:szCs w:val="24"/>
        </w:rPr>
        <w:t xml:space="preserve">Lorsqu’ils évaluent un règlement par rapport à un ensemble de critères pour en déterminer l’efficacité à résoudre un problème en matière de politique publique, les ministères et les organismes devraient se servir d’une multitude de sources de données (qualitatives et quantitatives) pour démontrer le rendement des règlements et pour </w:t>
      </w:r>
      <w:r w:rsidR="001835F8">
        <w:rPr>
          <w:rFonts w:ascii="Arial" w:hAnsi="Arial"/>
          <w:sz w:val="24"/>
          <w:szCs w:val="24"/>
        </w:rPr>
        <w:t xml:space="preserve">étayer </w:t>
      </w:r>
      <w:r>
        <w:rPr>
          <w:rFonts w:ascii="Arial" w:hAnsi="Arial"/>
          <w:sz w:val="24"/>
          <w:szCs w:val="24"/>
        </w:rPr>
        <w:t>les constatations. De plus, ils devraient tenir compte des hypothèses et des estimations initiales de l’étude d’impact de la réglementation et de l’analyse coûts-bénéfices dans le cadre de leur examen pour déterminer si le règlement a abouti aux impacts prévus ou s’il reste des domaines d’analyse à ajuster.</w:t>
      </w:r>
      <w:r w:rsidR="00AB1C2D">
        <w:rPr>
          <w:rFonts w:ascii="Arial" w:hAnsi="Arial"/>
          <w:sz w:val="24"/>
          <w:szCs w:val="24"/>
        </w:rPr>
        <w:t xml:space="preserve"> </w:t>
      </w:r>
    </w:p>
    <w:p w14:paraId="0051EEE2" w14:textId="77777777" w:rsidR="007049EE" w:rsidRPr="00B01CB8" w:rsidRDefault="007049EE" w:rsidP="007049EE">
      <w:pPr>
        <w:spacing w:after="0"/>
        <w:rPr>
          <w:rFonts w:ascii="Arial" w:hAnsi="Arial" w:cs="Arial"/>
          <w:sz w:val="24"/>
          <w:szCs w:val="24"/>
        </w:rPr>
      </w:pPr>
    </w:p>
    <w:p w14:paraId="6245F97D" w14:textId="11C2535D" w:rsidR="007049EE" w:rsidRPr="00F57954" w:rsidRDefault="007049EE" w:rsidP="007049EE">
      <w:pPr>
        <w:spacing w:after="0"/>
        <w:rPr>
          <w:rFonts w:ascii="Arial" w:hAnsi="Arial" w:cs="Arial"/>
          <w:sz w:val="24"/>
          <w:szCs w:val="24"/>
        </w:rPr>
      </w:pPr>
      <w:r>
        <w:rPr>
          <w:rFonts w:ascii="Arial" w:hAnsi="Arial"/>
          <w:sz w:val="24"/>
          <w:szCs w:val="24"/>
        </w:rPr>
        <w:t xml:space="preserve">Plusieurs voies sont offertes à un ministère ou à un organisme pour planifier et réaliser un examen d’inventaire, comme le recours à une gestion continue de l’inventaire aux fins de conformité avec les exigences de la </w:t>
      </w:r>
      <w:r>
        <w:rPr>
          <w:rFonts w:ascii="Arial" w:hAnsi="Arial"/>
          <w:i/>
          <w:sz w:val="24"/>
          <w:szCs w:val="24"/>
        </w:rPr>
        <w:t>Loi sur la réduction de la paperasse</w:t>
      </w:r>
      <w:r>
        <w:rPr>
          <w:rFonts w:ascii="Arial" w:hAnsi="Arial"/>
          <w:sz w:val="24"/>
          <w:szCs w:val="24"/>
        </w:rPr>
        <w:t xml:space="preserve"> et la mise en œuvre de la règle du « un pour un », mettant à profit des examens sectoriels dirigés par l’administration centrale (comme ceux récemment lancés dans le cadre du budget de 2018 pour examiner les goulots d’étranglement dans l’innovation), des examens ministériels ad hoc de lois ou de règlements, des examens de lois ou de règlements, et des évaluations de programmes réglementaires pour répondre aux exigences de la Directive.</w:t>
      </w:r>
      <w:r w:rsidR="00AB1C2D">
        <w:rPr>
          <w:rFonts w:ascii="Arial" w:hAnsi="Arial"/>
          <w:sz w:val="24"/>
          <w:szCs w:val="24"/>
        </w:rPr>
        <w:t xml:space="preserve"> </w:t>
      </w:r>
    </w:p>
    <w:p w14:paraId="318122C1" w14:textId="77777777" w:rsidR="007049EE" w:rsidRPr="00F57954" w:rsidRDefault="007049EE" w:rsidP="007049EE">
      <w:pPr>
        <w:spacing w:after="0"/>
        <w:rPr>
          <w:rFonts w:ascii="Arial" w:hAnsi="Arial" w:cs="Arial"/>
          <w:sz w:val="24"/>
          <w:szCs w:val="24"/>
        </w:rPr>
      </w:pPr>
    </w:p>
    <w:p w14:paraId="421F0F05" w14:textId="77777777" w:rsidR="007049EE" w:rsidRPr="00B01CB8" w:rsidRDefault="007049EE" w:rsidP="007049EE">
      <w:pPr>
        <w:spacing w:after="0"/>
        <w:rPr>
          <w:rFonts w:ascii="Arial" w:hAnsi="Arial" w:cs="Arial"/>
          <w:sz w:val="24"/>
          <w:szCs w:val="24"/>
        </w:rPr>
      </w:pPr>
      <w:r>
        <w:rPr>
          <w:rFonts w:ascii="Arial" w:hAnsi="Arial"/>
          <w:sz w:val="24"/>
          <w:szCs w:val="24"/>
        </w:rPr>
        <w:t xml:space="preserve">Les examens de l’inventaire des règlements devraient être dotés d’une méthodologie claire pour permettre la collecte et l’analyse de données valides et fiables. Ils devraient comprendre une consultation suffisante et appropriée avec des intervenants externes et être réalisés de manière rentable. </w:t>
      </w:r>
    </w:p>
    <w:p w14:paraId="3C90028A" w14:textId="77777777" w:rsidR="007049EE" w:rsidRPr="00B01CB8" w:rsidRDefault="007049EE" w:rsidP="007049EE">
      <w:pPr>
        <w:spacing w:after="0"/>
        <w:rPr>
          <w:rFonts w:ascii="Arial" w:hAnsi="Arial" w:cs="Arial"/>
          <w:sz w:val="24"/>
          <w:szCs w:val="24"/>
        </w:rPr>
      </w:pPr>
    </w:p>
    <w:p w14:paraId="3DFF9377" w14:textId="3B675607" w:rsidR="00931ADB" w:rsidRDefault="007049EE" w:rsidP="007049EE">
      <w:pPr>
        <w:rPr>
          <w:rFonts w:ascii="Arial" w:hAnsi="Arial" w:cs="Arial"/>
          <w:sz w:val="24"/>
          <w:szCs w:val="24"/>
        </w:rPr>
      </w:pPr>
      <w:r>
        <w:rPr>
          <w:rFonts w:ascii="Arial" w:hAnsi="Arial"/>
          <w:sz w:val="24"/>
          <w:szCs w:val="24"/>
        </w:rPr>
        <w:t>Une fois qu’ils auront achevé un examen, les ministères et les organismes devraient communiquer les résultats. Ils peuvent partager des leçons retenues, des conclusions en matière de politique ou d’autres constatations par l’entremise de leur site Web pour promouvoir la transparence et informer d’autres organismes fédéraux de réglementation ou compétences des pratiques exemplaires dans le cadre de la réalisation d’un examen.</w:t>
      </w:r>
    </w:p>
    <w:p w14:paraId="10C92103" w14:textId="77777777" w:rsidR="00911B6C" w:rsidRPr="005F204E" w:rsidRDefault="00911B6C" w:rsidP="00F15236">
      <w:pPr>
        <w:rPr>
          <w:rFonts w:ascii="Arial" w:hAnsi="Arial" w:cs="Arial"/>
          <w:sz w:val="24"/>
          <w:szCs w:val="24"/>
        </w:rPr>
      </w:pPr>
    </w:p>
    <w:p w14:paraId="0F042F55" w14:textId="77777777" w:rsidR="00374B22" w:rsidRPr="00374B22" w:rsidRDefault="00374B22" w:rsidP="00F15236">
      <w:pPr>
        <w:rPr>
          <w:rFonts w:ascii="Arial" w:hAnsi="Arial" w:cs="Arial"/>
          <w:sz w:val="24"/>
          <w:szCs w:val="24"/>
        </w:rPr>
      </w:pPr>
    </w:p>
    <w:p w14:paraId="2DB4778F" w14:textId="77777777" w:rsidR="00505EE3" w:rsidRPr="0072722B" w:rsidRDefault="00505EE3" w:rsidP="00505EE3">
      <w:pPr>
        <w:rPr>
          <w:rFonts w:ascii="Arial" w:hAnsi="Arial" w:cs="Arial"/>
          <w:szCs w:val="24"/>
        </w:rPr>
      </w:pPr>
    </w:p>
    <w:sectPr w:rsidR="00505EE3" w:rsidRPr="0072722B" w:rsidSect="00C840C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17D82" w14:textId="77777777" w:rsidR="00733B9E" w:rsidRDefault="00733B9E" w:rsidP="000B1627">
      <w:pPr>
        <w:spacing w:after="0" w:line="240" w:lineRule="auto"/>
      </w:pPr>
      <w:r>
        <w:separator/>
      </w:r>
    </w:p>
  </w:endnote>
  <w:endnote w:type="continuationSeparator" w:id="0">
    <w:p w14:paraId="1E57947A" w14:textId="77777777" w:rsidR="00733B9E" w:rsidRDefault="00733B9E" w:rsidP="000B1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CFABA" w14:textId="77777777" w:rsidR="00600251" w:rsidRDefault="00600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37291"/>
      <w:docPartObj>
        <w:docPartGallery w:val="Page Numbers (Bottom of Page)"/>
        <w:docPartUnique/>
      </w:docPartObj>
    </w:sdtPr>
    <w:sdtEndPr>
      <w:rPr>
        <w:noProof/>
      </w:rPr>
    </w:sdtEndPr>
    <w:sdtContent>
      <w:p w14:paraId="38CC7BB0" w14:textId="77777777" w:rsidR="00733B9E" w:rsidRDefault="00733B9E">
        <w:pPr>
          <w:pStyle w:val="Footer"/>
          <w:jc w:val="right"/>
        </w:pPr>
        <w:r>
          <w:fldChar w:fldCharType="begin"/>
        </w:r>
        <w:r>
          <w:instrText xml:space="preserve"> PAGE   \* MERGEFORMAT </w:instrText>
        </w:r>
        <w:r>
          <w:fldChar w:fldCharType="separate"/>
        </w:r>
        <w:r w:rsidR="000C07B0">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7A75F" w14:textId="77777777" w:rsidR="00600251" w:rsidRDefault="00600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1B7D5" w14:textId="77777777" w:rsidR="00733B9E" w:rsidRDefault="00733B9E" w:rsidP="000B1627">
      <w:pPr>
        <w:spacing w:after="0" w:line="240" w:lineRule="auto"/>
      </w:pPr>
      <w:r>
        <w:separator/>
      </w:r>
    </w:p>
  </w:footnote>
  <w:footnote w:type="continuationSeparator" w:id="0">
    <w:p w14:paraId="6145F57F" w14:textId="77777777" w:rsidR="00733B9E" w:rsidRDefault="00733B9E" w:rsidP="000B1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C4EB" w14:textId="0CED7D6D" w:rsidR="007311AE" w:rsidRDefault="000C07B0" w:rsidP="000C07B0">
    <w:pPr>
      <w:pStyle w:val="Header"/>
      <w:jc w:val="right"/>
      <w:rPr>
        <w:rFonts w:ascii="Arial" w:hAnsi="Arial" w:cs="Arial"/>
        <w:color w:val="000000"/>
        <w:sz w:val="24"/>
      </w:rPr>
    </w:pPr>
    <w:bookmarkStart w:id="1" w:name="aliashPOLUnclassified1HeaderEvenPages"/>
    <w:r>
      <w:rPr>
        <w:rFonts w:ascii="Arial" w:hAnsi="Arial" w:cs="Arial"/>
        <w:color w:val="000000"/>
        <w:sz w:val="24"/>
      </w:rPr>
      <w:t>UNCLASSIFIED / NON CLASSIFIÉ</w:t>
    </w:r>
  </w:p>
  <w:bookmarkEnd w:id="1"/>
  <w:p w14:paraId="43B9060D" w14:textId="77777777" w:rsidR="00733B9E" w:rsidRDefault="00733B9E" w:rsidP="00682F3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234B1" w14:textId="0481A2C9" w:rsidR="00326483" w:rsidRDefault="000C07B0" w:rsidP="000C07B0">
    <w:pPr>
      <w:pStyle w:val="Header"/>
      <w:jc w:val="right"/>
      <w:rPr>
        <w:rFonts w:ascii="Arial" w:hAnsi="Arial" w:cs="Arial"/>
        <w:color w:val="000000"/>
        <w:sz w:val="24"/>
      </w:rPr>
    </w:pPr>
    <w:bookmarkStart w:id="2" w:name="aliashPOLUnclassified1HeaderPrimary"/>
    <w:r w:rsidRPr="000C07B0">
      <w:rPr>
        <w:rFonts w:ascii="Arial" w:hAnsi="Arial" w:cs="Arial"/>
        <w:color w:val="000000"/>
        <w:sz w:val="24"/>
      </w:rPr>
      <w:t>UNCLASSIFIED / NON CLASSIFIÉ</w:t>
    </w:r>
  </w:p>
  <w:bookmarkEnd w:id="2"/>
  <w:p w14:paraId="12C64DCF" w14:textId="77777777" w:rsidR="000C07B0" w:rsidRDefault="000C07B0" w:rsidP="00B01CB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80104" w14:textId="6B16656B" w:rsidR="007311AE" w:rsidRDefault="000C07B0" w:rsidP="000C07B0">
    <w:pPr>
      <w:pStyle w:val="Header"/>
      <w:jc w:val="right"/>
      <w:rPr>
        <w:rFonts w:ascii="Arial" w:hAnsi="Arial" w:cs="Arial"/>
        <w:color w:val="000000"/>
        <w:sz w:val="24"/>
      </w:rPr>
    </w:pPr>
    <w:bookmarkStart w:id="3" w:name="aliashPOLUnclassified1HeaderFirstPage"/>
    <w:r>
      <w:rPr>
        <w:rFonts w:ascii="Arial" w:hAnsi="Arial" w:cs="Arial"/>
        <w:color w:val="000000"/>
        <w:sz w:val="24"/>
      </w:rPr>
      <w:t>UNCLASSIFIED / NON CLASSIFIÉ</w:t>
    </w:r>
  </w:p>
  <w:bookmarkEnd w:id="3"/>
  <w:p w14:paraId="5FCC2B83" w14:textId="77777777" w:rsidR="00733B9E" w:rsidRDefault="00733B9E" w:rsidP="00682F3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23FD"/>
    <w:multiLevelType w:val="hybridMultilevel"/>
    <w:tmpl w:val="B3D20446"/>
    <w:lvl w:ilvl="0" w:tplc="53181336">
      <w:start w:val="1"/>
      <w:numFmt w:val="bullet"/>
      <w:lvlText w:val=""/>
      <w:lvlJc w:val="left"/>
      <w:pPr>
        <w:ind w:left="720" w:hanging="360"/>
      </w:pPr>
      <w:rPr>
        <w:rFonts w:ascii="Symbol" w:hAnsi="Symbol" w:hint="default"/>
        <w:color w:val="auto"/>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6D67C7"/>
    <w:multiLevelType w:val="hybridMultilevel"/>
    <w:tmpl w:val="E938C4C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2C5D08"/>
    <w:multiLevelType w:val="hybridMultilevel"/>
    <w:tmpl w:val="40685D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3994B1D"/>
    <w:multiLevelType w:val="hybridMultilevel"/>
    <w:tmpl w:val="A7887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ED4E29"/>
    <w:multiLevelType w:val="hybridMultilevel"/>
    <w:tmpl w:val="97CE5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FA1DEC"/>
    <w:multiLevelType w:val="hybridMultilevel"/>
    <w:tmpl w:val="9E1AE1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F820F4"/>
    <w:multiLevelType w:val="hybridMultilevel"/>
    <w:tmpl w:val="CDB04EF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8EC7AA2"/>
    <w:multiLevelType w:val="multilevel"/>
    <w:tmpl w:val="F2983ACE"/>
    <w:lvl w:ilvl="0">
      <w:start w:val="1"/>
      <w:numFmt w:val="decimal"/>
      <w:pStyle w:val="Heading1"/>
      <w:lvlText w:val="%1."/>
      <w:lvlJc w:val="left"/>
      <w:pPr>
        <w:tabs>
          <w:tab w:val="num" w:pos="360"/>
        </w:tabs>
        <w:ind w:left="360" w:hanging="360"/>
      </w:pPr>
      <w:rPr>
        <w:rFonts w:hint="default"/>
      </w:rPr>
    </w:lvl>
    <w:lvl w:ilvl="1">
      <w:start w:val="1"/>
      <w:numFmt w:val="decimal"/>
      <w:pStyle w:val="Numberedpara"/>
      <w:lvlText w:val="%1.%2"/>
      <w:lvlJc w:val="left"/>
      <w:pPr>
        <w:tabs>
          <w:tab w:val="num" w:pos="1004"/>
        </w:tabs>
        <w:ind w:left="1004" w:hanging="720"/>
      </w:pPr>
      <w:rPr>
        <w:rFonts w:hint="default"/>
        <w:b w:val="0"/>
        <w:i w:val="0"/>
      </w:rPr>
    </w:lvl>
    <w:lvl w:ilvl="2">
      <w:start w:val="1"/>
      <w:numFmt w:val="decimal"/>
      <w:lvlText w:val="%1.%2.%3"/>
      <w:lvlJc w:val="left"/>
      <w:pPr>
        <w:tabs>
          <w:tab w:val="num" w:pos="1429"/>
        </w:tabs>
        <w:ind w:left="1429"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1"/>
  </w:num>
  <w:num w:numId="3">
    <w:abstractNumId w:val="2"/>
  </w:num>
  <w:num w:numId="4">
    <w:abstractNumId w:val="6"/>
  </w:num>
  <w:num w:numId="5">
    <w:abstractNumId w:val="4"/>
  </w:num>
  <w:num w:numId="6">
    <w:abstractNumId w:val="5"/>
  </w:num>
  <w:num w:numId="7">
    <w:abstractNumId w:val="3"/>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27"/>
    <w:rsid w:val="00000538"/>
    <w:rsid w:val="00000CFC"/>
    <w:rsid w:val="00001199"/>
    <w:rsid w:val="00003017"/>
    <w:rsid w:val="00005619"/>
    <w:rsid w:val="00007C5F"/>
    <w:rsid w:val="00011EEC"/>
    <w:rsid w:val="00014DFB"/>
    <w:rsid w:val="00015764"/>
    <w:rsid w:val="000177E6"/>
    <w:rsid w:val="00020122"/>
    <w:rsid w:val="00020A50"/>
    <w:rsid w:val="00020C48"/>
    <w:rsid w:val="00022E76"/>
    <w:rsid w:val="00030FF7"/>
    <w:rsid w:val="00031756"/>
    <w:rsid w:val="000342E8"/>
    <w:rsid w:val="00034B75"/>
    <w:rsid w:val="00036C95"/>
    <w:rsid w:val="0003718F"/>
    <w:rsid w:val="00041BBE"/>
    <w:rsid w:val="00042B5C"/>
    <w:rsid w:val="00044FD6"/>
    <w:rsid w:val="0005035F"/>
    <w:rsid w:val="0005242C"/>
    <w:rsid w:val="00053206"/>
    <w:rsid w:val="0005517F"/>
    <w:rsid w:val="000563B1"/>
    <w:rsid w:val="00056647"/>
    <w:rsid w:val="000568CB"/>
    <w:rsid w:val="0005764F"/>
    <w:rsid w:val="00057FC0"/>
    <w:rsid w:val="0006074C"/>
    <w:rsid w:val="00062B50"/>
    <w:rsid w:val="00066BC2"/>
    <w:rsid w:val="00067680"/>
    <w:rsid w:val="00067A5F"/>
    <w:rsid w:val="00070BC1"/>
    <w:rsid w:val="00072442"/>
    <w:rsid w:val="00074C9B"/>
    <w:rsid w:val="0007744C"/>
    <w:rsid w:val="000774F6"/>
    <w:rsid w:val="000847A7"/>
    <w:rsid w:val="00086216"/>
    <w:rsid w:val="0008654A"/>
    <w:rsid w:val="0009191B"/>
    <w:rsid w:val="00091F43"/>
    <w:rsid w:val="00092554"/>
    <w:rsid w:val="00092871"/>
    <w:rsid w:val="0009298C"/>
    <w:rsid w:val="000952C3"/>
    <w:rsid w:val="000A208D"/>
    <w:rsid w:val="000A4950"/>
    <w:rsid w:val="000A4F7F"/>
    <w:rsid w:val="000A778B"/>
    <w:rsid w:val="000B0AD0"/>
    <w:rsid w:val="000B1627"/>
    <w:rsid w:val="000B31D9"/>
    <w:rsid w:val="000B4B42"/>
    <w:rsid w:val="000B7D7F"/>
    <w:rsid w:val="000C00AF"/>
    <w:rsid w:val="000C07B0"/>
    <w:rsid w:val="000C0F75"/>
    <w:rsid w:val="000C288D"/>
    <w:rsid w:val="000C715D"/>
    <w:rsid w:val="000C7955"/>
    <w:rsid w:val="000C7ADC"/>
    <w:rsid w:val="000C7F62"/>
    <w:rsid w:val="000D3226"/>
    <w:rsid w:val="000D6A30"/>
    <w:rsid w:val="000E0A1A"/>
    <w:rsid w:val="000E38A0"/>
    <w:rsid w:val="000E6131"/>
    <w:rsid w:val="000E689C"/>
    <w:rsid w:val="000E7CF2"/>
    <w:rsid w:val="000F22D0"/>
    <w:rsid w:val="000F7232"/>
    <w:rsid w:val="000F777A"/>
    <w:rsid w:val="00104681"/>
    <w:rsid w:val="00104855"/>
    <w:rsid w:val="00115E7C"/>
    <w:rsid w:val="001166DD"/>
    <w:rsid w:val="00116B36"/>
    <w:rsid w:val="0012599F"/>
    <w:rsid w:val="001321E0"/>
    <w:rsid w:val="001358ED"/>
    <w:rsid w:val="00137C26"/>
    <w:rsid w:val="0014060D"/>
    <w:rsid w:val="00144A27"/>
    <w:rsid w:val="00147E33"/>
    <w:rsid w:val="00154E00"/>
    <w:rsid w:val="001624BA"/>
    <w:rsid w:val="00165170"/>
    <w:rsid w:val="001660D7"/>
    <w:rsid w:val="0016663B"/>
    <w:rsid w:val="00170653"/>
    <w:rsid w:val="00175874"/>
    <w:rsid w:val="001768FE"/>
    <w:rsid w:val="00176F9A"/>
    <w:rsid w:val="00177CEC"/>
    <w:rsid w:val="0018110A"/>
    <w:rsid w:val="001835F8"/>
    <w:rsid w:val="001951FE"/>
    <w:rsid w:val="00195E09"/>
    <w:rsid w:val="001A0CF9"/>
    <w:rsid w:val="001A4A86"/>
    <w:rsid w:val="001A6A74"/>
    <w:rsid w:val="001A6A9E"/>
    <w:rsid w:val="001A741C"/>
    <w:rsid w:val="001B04EA"/>
    <w:rsid w:val="001B49E7"/>
    <w:rsid w:val="001C0008"/>
    <w:rsid w:val="001C0886"/>
    <w:rsid w:val="001C2F7B"/>
    <w:rsid w:val="001C38A8"/>
    <w:rsid w:val="001C69D7"/>
    <w:rsid w:val="001C796A"/>
    <w:rsid w:val="001C7DD5"/>
    <w:rsid w:val="001D01F1"/>
    <w:rsid w:val="001D1AE6"/>
    <w:rsid w:val="001D7213"/>
    <w:rsid w:val="001E0900"/>
    <w:rsid w:val="001E0E85"/>
    <w:rsid w:val="001E0F55"/>
    <w:rsid w:val="001E1F39"/>
    <w:rsid w:val="001E2008"/>
    <w:rsid w:val="001E6F83"/>
    <w:rsid w:val="001E7266"/>
    <w:rsid w:val="001F0347"/>
    <w:rsid w:val="001F6BB7"/>
    <w:rsid w:val="00202C2E"/>
    <w:rsid w:val="0020333C"/>
    <w:rsid w:val="00203B74"/>
    <w:rsid w:val="0020605C"/>
    <w:rsid w:val="00207070"/>
    <w:rsid w:val="00207A2F"/>
    <w:rsid w:val="002118E5"/>
    <w:rsid w:val="00212A7B"/>
    <w:rsid w:val="002136E0"/>
    <w:rsid w:val="00214762"/>
    <w:rsid w:val="00216759"/>
    <w:rsid w:val="00216A83"/>
    <w:rsid w:val="00217550"/>
    <w:rsid w:val="002234F4"/>
    <w:rsid w:val="002256C2"/>
    <w:rsid w:val="00232B89"/>
    <w:rsid w:val="002337AA"/>
    <w:rsid w:val="00233C5F"/>
    <w:rsid w:val="002442E9"/>
    <w:rsid w:val="002470C6"/>
    <w:rsid w:val="00250EA5"/>
    <w:rsid w:val="002521E7"/>
    <w:rsid w:val="0025287A"/>
    <w:rsid w:val="00253BE5"/>
    <w:rsid w:val="00255E85"/>
    <w:rsid w:val="0026226F"/>
    <w:rsid w:val="0026497F"/>
    <w:rsid w:val="00264FEA"/>
    <w:rsid w:val="002679B8"/>
    <w:rsid w:val="002713C5"/>
    <w:rsid w:val="002761B8"/>
    <w:rsid w:val="0028186E"/>
    <w:rsid w:val="00283DE0"/>
    <w:rsid w:val="00290796"/>
    <w:rsid w:val="002920E0"/>
    <w:rsid w:val="00296745"/>
    <w:rsid w:val="00296A21"/>
    <w:rsid w:val="00297F08"/>
    <w:rsid w:val="002A031E"/>
    <w:rsid w:val="002A103C"/>
    <w:rsid w:val="002A1D78"/>
    <w:rsid w:val="002A39B9"/>
    <w:rsid w:val="002A458E"/>
    <w:rsid w:val="002A4B3F"/>
    <w:rsid w:val="002A6A31"/>
    <w:rsid w:val="002B03B0"/>
    <w:rsid w:val="002B4353"/>
    <w:rsid w:val="002B4B6B"/>
    <w:rsid w:val="002B6DDC"/>
    <w:rsid w:val="002C28D4"/>
    <w:rsid w:val="002C3753"/>
    <w:rsid w:val="002C5907"/>
    <w:rsid w:val="002C71A4"/>
    <w:rsid w:val="002D1FC1"/>
    <w:rsid w:val="002D310E"/>
    <w:rsid w:val="002D4F2C"/>
    <w:rsid w:val="002D619C"/>
    <w:rsid w:val="002D620A"/>
    <w:rsid w:val="002E1326"/>
    <w:rsid w:val="002E272E"/>
    <w:rsid w:val="002E465D"/>
    <w:rsid w:val="002E4ED1"/>
    <w:rsid w:val="002E5335"/>
    <w:rsid w:val="002E658B"/>
    <w:rsid w:val="002E6F4E"/>
    <w:rsid w:val="002F35D3"/>
    <w:rsid w:val="002F51BC"/>
    <w:rsid w:val="002F521C"/>
    <w:rsid w:val="00300D1A"/>
    <w:rsid w:val="00301FC9"/>
    <w:rsid w:val="00302A6D"/>
    <w:rsid w:val="00302A7D"/>
    <w:rsid w:val="003079F7"/>
    <w:rsid w:val="00313094"/>
    <w:rsid w:val="00317F93"/>
    <w:rsid w:val="00321A96"/>
    <w:rsid w:val="003222F8"/>
    <w:rsid w:val="00323106"/>
    <w:rsid w:val="0032393C"/>
    <w:rsid w:val="00323AC9"/>
    <w:rsid w:val="00324B5F"/>
    <w:rsid w:val="00325C09"/>
    <w:rsid w:val="00326483"/>
    <w:rsid w:val="00326F69"/>
    <w:rsid w:val="003324E5"/>
    <w:rsid w:val="00332A61"/>
    <w:rsid w:val="00332E69"/>
    <w:rsid w:val="00334EDC"/>
    <w:rsid w:val="0033763D"/>
    <w:rsid w:val="003400E1"/>
    <w:rsid w:val="0034297D"/>
    <w:rsid w:val="0034601D"/>
    <w:rsid w:val="003461D6"/>
    <w:rsid w:val="003470E9"/>
    <w:rsid w:val="00350887"/>
    <w:rsid w:val="00352D8A"/>
    <w:rsid w:val="003533BB"/>
    <w:rsid w:val="00353F0E"/>
    <w:rsid w:val="00355766"/>
    <w:rsid w:val="00356E38"/>
    <w:rsid w:val="0035731A"/>
    <w:rsid w:val="00357653"/>
    <w:rsid w:val="003632AD"/>
    <w:rsid w:val="0036762B"/>
    <w:rsid w:val="00370255"/>
    <w:rsid w:val="00372CBD"/>
    <w:rsid w:val="003737E2"/>
    <w:rsid w:val="00373D04"/>
    <w:rsid w:val="00373E1F"/>
    <w:rsid w:val="0037417C"/>
    <w:rsid w:val="003745C1"/>
    <w:rsid w:val="00374B22"/>
    <w:rsid w:val="003803F0"/>
    <w:rsid w:val="00381022"/>
    <w:rsid w:val="003820A1"/>
    <w:rsid w:val="00386BA3"/>
    <w:rsid w:val="00386C13"/>
    <w:rsid w:val="003A1A24"/>
    <w:rsid w:val="003A28FF"/>
    <w:rsid w:val="003A7482"/>
    <w:rsid w:val="003A7C2C"/>
    <w:rsid w:val="003B47AB"/>
    <w:rsid w:val="003B5C27"/>
    <w:rsid w:val="003B67CF"/>
    <w:rsid w:val="003C3E2C"/>
    <w:rsid w:val="003C5C21"/>
    <w:rsid w:val="003C6934"/>
    <w:rsid w:val="003C7494"/>
    <w:rsid w:val="003D0790"/>
    <w:rsid w:val="003D0829"/>
    <w:rsid w:val="003D4A16"/>
    <w:rsid w:val="003D4A65"/>
    <w:rsid w:val="003D50DD"/>
    <w:rsid w:val="003E0ED0"/>
    <w:rsid w:val="003E1205"/>
    <w:rsid w:val="003E2119"/>
    <w:rsid w:val="003E3D27"/>
    <w:rsid w:val="003E47D6"/>
    <w:rsid w:val="003E4873"/>
    <w:rsid w:val="003E5642"/>
    <w:rsid w:val="003F089F"/>
    <w:rsid w:val="003F204F"/>
    <w:rsid w:val="003F2E39"/>
    <w:rsid w:val="003F41C4"/>
    <w:rsid w:val="003F686D"/>
    <w:rsid w:val="003F6F11"/>
    <w:rsid w:val="00401E9D"/>
    <w:rsid w:val="00410B3E"/>
    <w:rsid w:val="00411205"/>
    <w:rsid w:val="00413235"/>
    <w:rsid w:val="004133CA"/>
    <w:rsid w:val="00416B86"/>
    <w:rsid w:val="0042059B"/>
    <w:rsid w:val="00420F40"/>
    <w:rsid w:val="004210CE"/>
    <w:rsid w:val="00422DB0"/>
    <w:rsid w:val="004234CC"/>
    <w:rsid w:val="00425AA4"/>
    <w:rsid w:val="00427AA2"/>
    <w:rsid w:val="00430371"/>
    <w:rsid w:val="00432370"/>
    <w:rsid w:val="00433A04"/>
    <w:rsid w:val="004401D9"/>
    <w:rsid w:val="0044556F"/>
    <w:rsid w:val="00452FEB"/>
    <w:rsid w:val="004560D1"/>
    <w:rsid w:val="004604EE"/>
    <w:rsid w:val="00460892"/>
    <w:rsid w:val="004628B7"/>
    <w:rsid w:val="004656DC"/>
    <w:rsid w:val="00467CC4"/>
    <w:rsid w:val="00472061"/>
    <w:rsid w:val="00474612"/>
    <w:rsid w:val="0047720E"/>
    <w:rsid w:val="00477CE3"/>
    <w:rsid w:val="004809F2"/>
    <w:rsid w:val="00483D57"/>
    <w:rsid w:val="004864FB"/>
    <w:rsid w:val="00487871"/>
    <w:rsid w:val="00491C64"/>
    <w:rsid w:val="00494911"/>
    <w:rsid w:val="00496420"/>
    <w:rsid w:val="00496DA4"/>
    <w:rsid w:val="004A05F6"/>
    <w:rsid w:val="004A346E"/>
    <w:rsid w:val="004A3D6D"/>
    <w:rsid w:val="004A683B"/>
    <w:rsid w:val="004B0AD6"/>
    <w:rsid w:val="004B3969"/>
    <w:rsid w:val="004B4648"/>
    <w:rsid w:val="004B6695"/>
    <w:rsid w:val="004B7902"/>
    <w:rsid w:val="004C13A3"/>
    <w:rsid w:val="004D31D5"/>
    <w:rsid w:val="004D3328"/>
    <w:rsid w:val="004D3E61"/>
    <w:rsid w:val="004D4A26"/>
    <w:rsid w:val="004D5211"/>
    <w:rsid w:val="004E154D"/>
    <w:rsid w:val="004E19EC"/>
    <w:rsid w:val="004E33D2"/>
    <w:rsid w:val="004E3F1D"/>
    <w:rsid w:val="004E64A9"/>
    <w:rsid w:val="004F07BA"/>
    <w:rsid w:val="004F0974"/>
    <w:rsid w:val="004F45BD"/>
    <w:rsid w:val="004F571A"/>
    <w:rsid w:val="004F5A2A"/>
    <w:rsid w:val="004F7E1E"/>
    <w:rsid w:val="00501A50"/>
    <w:rsid w:val="005039C7"/>
    <w:rsid w:val="00503F91"/>
    <w:rsid w:val="00504198"/>
    <w:rsid w:val="00505EE3"/>
    <w:rsid w:val="00513906"/>
    <w:rsid w:val="005139F8"/>
    <w:rsid w:val="00513EF1"/>
    <w:rsid w:val="0051428C"/>
    <w:rsid w:val="00521A45"/>
    <w:rsid w:val="0052614A"/>
    <w:rsid w:val="00530278"/>
    <w:rsid w:val="005308A0"/>
    <w:rsid w:val="00540E81"/>
    <w:rsid w:val="00541D8F"/>
    <w:rsid w:val="005429E8"/>
    <w:rsid w:val="005435BE"/>
    <w:rsid w:val="00543EF3"/>
    <w:rsid w:val="00545103"/>
    <w:rsid w:val="00547CC0"/>
    <w:rsid w:val="005526E8"/>
    <w:rsid w:val="00555E3B"/>
    <w:rsid w:val="00557376"/>
    <w:rsid w:val="00562A5D"/>
    <w:rsid w:val="00562CD9"/>
    <w:rsid w:val="005670E5"/>
    <w:rsid w:val="005675B8"/>
    <w:rsid w:val="00573317"/>
    <w:rsid w:val="00574B70"/>
    <w:rsid w:val="00574D0B"/>
    <w:rsid w:val="00575F52"/>
    <w:rsid w:val="0058291F"/>
    <w:rsid w:val="005867BB"/>
    <w:rsid w:val="005924B7"/>
    <w:rsid w:val="00593663"/>
    <w:rsid w:val="00593F94"/>
    <w:rsid w:val="00594098"/>
    <w:rsid w:val="00594A70"/>
    <w:rsid w:val="005954B7"/>
    <w:rsid w:val="005961C7"/>
    <w:rsid w:val="00596D5A"/>
    <w:rsid w:val="005A02B5"/>
    <w:rsid w:val="005A22D9"/>
    <w:rsid w:val="005A2C17"/>
    <w:rsid w:val="005A33E5"/>
    <w:rsid w:val="005A6DD9"/>
    <w:rsid w:val="005B20AF"/>
    <w:rsid w:val="005C051D"/>
    <w:rsid w:val="005C06FD"/>
    <w:rsid w:val="005C16A0"/>
    <w:rsid w:val="005C24AF"/>
    <w:rsid w:val="005C4567"/>
    <w:rsid w:val="005C461A"/>
    <w:rsid w:val="005C4F7C"/>
    <w:rsid w:val="005C667F"/>
    <w:rsid w:val="005D0BAA"/>
    <w:rsid w:val="005D18E8"/>
    <w:rsid w:val="005D2B20"/>
    <w:rsid w:val="005D2EB3"/>
    <w:rsid w:val="005D78C4"/>
    <w:rsid w:val="005E1F67"/>
    <w:rsid w:val="005F204E"/>
    <w:rsid w:val="005F559A"/>
    <w:rsid w:val="005F781C"/>
    <w:rsid w:val="005F7A6E"/>
    <w:rsid w:val="00600251"/>
    <w:rsid w:val="006002A4"/>
    <w:rsid w:val="00600346"/>
    <w:rsid w:val="006008FF"/>
    <w:rsid w:val="006025F6"/>
    <w:rsid w:val="00602D7F"/>
    <w:rsid w:val="00604D78"/>
    <w:rsid w:val="0060514F"/>
    <w:rsid w:val="00605870"/>
    <w:rsid w:val="00607588"/>
    <w:rsid w:val="0060758B"/>
    <w:rsid w:val="00612739"/>
    <w:rsid w:val="0061498B"/>
    <w:rsid w:val="00614B8B"/>
    <w:rsid w:val="006150CE"/>
    <w:rsid w:val="00616A9D"/>
    <w:rsid w:val="00620A12"/>
    <w:rsid w:val="00620DE8"/>
    <w:rsid w:val="00621B3D"/>
    <w:rsid w:val="00626602"/>
    <w:rsid w:val="00630356"/>
    <w:rsid w:val="0063136C"/>
    <w:rsid w:val="00633A95"/>
    <w:rsid w:val="00633EE2"/>
    <w:rsid w:val="00637962"/>
    <w:rsid w:val="00644603"/>
    <w:rsid w:val="00645B2B"/>
    <w:rsid w:val="00650D06"/>
    <w:rsid w:val="00653EF9"/>
    <w:rsid w:val="00657356"/>
    <w:rsid w:val="00663459"/>
    <w:rsid w:val="006677BD"/>
    <w:rsid w:val="00671315"/>
    <w:rsid w:val="00672681"/>
    <w:rsid w:val="00673FF7"/>
    <w:rsid w:val="00674521"/>
    <w:rsid w:val="00681B75"/>
    <w:rsid w:val="00682F30"/>
    <w:rsid w:val="00686E85"/>
    <w:rsid w:val="00686EEA"/>
    <w:rsid w:val="0069126F"/>
    <w:rsid w:val="00691D3C"/>
    <w:rsid w:val="006943C1"/>
    <w:rsid w:val="00695A97"/>
    <w:rsid w:val="006960F6"/>
    <w:rsid w:val="00697774"/>
    <w:rsid w:val="006A2256"/>
    <w:rsid w:val="006A22BE"/>
    <w:rsid w:val="006A36C1"/>
    <w:rsid w:val="006A3C0B"/>
    <w:rsid w:val="006A5467"/>
    <w:rsid w:val="006A6A57"/>
    <w:rsid w:val="006A6AC4"/>
    <w:rsid w:val="006A7E83"/>
    <w:rsid w:val="006B04ED"/>
    <w:rsid w:val="006B0FD4"/>
    <w:rsid w:val="006B189D"/>
    <w:rsid w:val="006B2083"/>
    <w:rsid w:val="006B3A71"/>
    <w:rsid w:val="006B4A5E"/>
    <w:rsid w:val="006B5BB1"/>
    <w:rsid w:val="006B617C"/>
    <w:rsid w:val="006B7804"/>
    <w:rsid w:val="006C038D"/>
    <w:rsid w:val="006C21A8"/>
    <w:rsid w:val="006D34DE"/>
    <w:rsid w:val="006D5750"/>
    <w:rsid w:val="006D748F"/>
    <w:rsid w:val="006E2CD5"/>
    <w:rsid w:val="006E4506"/>
    <w:rsid w:val="006E5E48"/>
    <w:rsid w:val="006E638D"/>
    <w:rsid w:val="006E6C4B"/>
    <w:rsid w:val="006F066B"/>
    <w:rsid w:val="006F1986"/>
    <w:rsid w:val="006F3D0A"/>
    <w:rsid w:val="006F7C25"/>
    <w:rsid w:val="007042B4"/>
    <w:rsid w:val="007049EE"/>
    <w:rsid w:val="0070572E"/>
    <w:rsid w:val="00710505"/>
    <w:rsid w:val="0071189A"/>
    <w:rsid w:val="007140E9"/>
    <w:rsid w:val="00714675"/>
    <w:rsid w:val="00723329"/>
    <w:rsid w:val="00723749"/>
    <w:rsid w:val="00724291"/>
    <w:rsid w:val="00725863"/>
    <w:rsid w:val="0072722B"/>
    <w:rsid w:val="00730B6B"/>
    <w:rsid w:val="007311AE"/>
    <w:rsid w:val="00733B9E"/>
    <w:rsid w:val="0073511E"/>
    <w:rsid w:val="007356C3"/>
    <w:rsid w:val="00736297"/>
    <w:rsid w:val="00737927"/>
    <w:rsid w:val="007406AD"/>
    <w:rsid w:val="0075261D"/>
    <w:rsid w:val="00753125"/>
    <w:rsid w:val="0075398F"/>
    <w:rsid w:val="00753F2A"/>
    <w:rsid w:val="007554E2"/>
    <w:rsid w:val="00760924"/>
    <w:rsid w:val="00771974"/>
    <w:rsid w:val="00771EBF"/>
    <w:rsid w:val="0077614E"/>
    <w:rsid w:val="00776214"/>
    <w:rsid w:val="0077625B"/>
    <w:rsid w:val="00780060"/>
    <w:rsid w:val="0078202F"/>
    <w:rsid w:val="00782085"/>
    <w:rsid w:val="00784A23"/>
    <w:rsid w:val="0078610E"/>
    <w:rsid w:val="00786CA9"/>
    <w:rsid w:val="00791C3F"/>
    <w:rsid w:val="007922A5"/>
    <w:rsid w:val="0079368B"/>
    <w:rsid w:val="007944A4"/>
    <w:rsid w:val="00795F6F"/>
    <w:rsid w:val="00796582"/>
    <w:rsid w:val="00796645"/>
    <w:rsid w:val="00796EE8"/>
    <w:rsid w:val="007A05A8"/>
    <w:rsid w:val="007A1C05"/>
    <w:rsid w:val="007A322E"/>
    <w:rsid w:val="007A42F0"/>
    <w:rsid w:val="007A5048"/>
    <w:rsid w:val="007A523D"/>
    <w:rsid w:val="007A58E0"/>
    <w:rsid w:val="007A6415"/>
    <w:rsid w:val="007B0C0F"/>
    <w:rsid w:val="007B0FBA"/>
    <w:rsid w:val="007C206C"/>
    <w:rsid w:val="007C2EA4"/>
    <w:rsid w:val="007C54D8"/>
    <w:rsid w:val="007C6A10"/>
    <w:rsid w:val="007D20CB"/>
    <w:rsid w:val="007D232A"/>
    <w:rsid w:val="007D3B49"/>
    <w:rsid w:val="007D4736"/>
    <w:rsid w:val="007D6B22"/>
    <w:rsid w:val="007D7264"/>
    <w:rsid w:val="007E1E7F"/>
    <w:rsid w:val="007E2540"/>
    <w:rsid w:val="007E2D82"/>
    <w:rsid w:val="007E3960"/>
    <w:rsid w:val="007E7D92"/>
    <w:rsid w:val="007F37D4"/>
    <w:rsid w:val="007F39F3"/>
    <w:rsid w:val="007F47D7"/>
    <w:rsid w:val="007F5A18"/>
    <w:rsid w:val="007F5D02"/>
    <w:rsid w:val="008026C1"/>
    <w:rsid w:val="00802CD1"/>
    <w:rsid w:val="00803283"/>
    <w:rsid w:val="00804BFC"/>
    <w:rsid w:val="008115CB"/>
    <w:rsid w:val="008124F3"/>
    <w:rsid w:val="00815DBB"/>
    <w:rsid w:val="00822CA4"/>
    <w:rsid w:val="00822DC3"/>
    <w:rsid w:val="00824378"/>
    <w:rsid w:val="00826F92"/>
    <w:rsid w:val="008365D4"/>
    <w:rsid w:val="008403D2"/>
    <w:rsid w:val="00841D33"/>
    <w:rsid w:val="008454C9"/>
    <w:rsid w:val="008477D9"/>
    <w:rsid w:val="0085143C"/>
    <w:rsid w:val="008520E8"/>
    <w:rsid w:val="0085378A"/>
    <w:rsid w:val="00856025"/>
    <w:rsid w:val="00857B63"/>
    <w:rsid w:val="0086247E"/>
    <w:rsid w:val="008629A8"/>
    <w:rsid w:val="00863B4D"/>
    <w:rsid w:val="00867812"/>
    <w:rsid w:val="00870F18"/>
    <w:rsid w:val="00871626"/>
    <w:rsid w:val="008751B5"/>
    <w:rsid w:val="008753E1"/>
    <w:rsid w:val="00875DD1"/>
    <w:rsid w:val="00876EFF"/>
    <w:rsid w:val="008817D5"/>
    <w:rsid w:val="008836FA"/>
    <w:rsid w:val="008839FB"/>
    <w:rsid w:val="00887DE7"/>
    <w:rsid w:val="00892C2B"/>
    <w:rsid w:val="00892D2A"/>
    <w:rsid w:val="008939CB"/>
    <w:rsid w:val="00896124"/>
    <w:rsid w:val="00897C32"/>
    <w:rsid w:val="008A1AF1"/>
    <w:rsid w:val="008A27B1"/>
    <w:rsid w:val="008A42CE"/>
    <w:rsid w:val="008A58FA"/>
    <w:rsid w:val="008B514F"/>
    <w:rsid w:val="008C03F9"/>
    <w:rsid w:val="008C0CD2"/>
    <w:rsid w:val="008C2C85"/>
    <w:rsid w:val="008D79E5"/>
    <w:rsid w:val="008E28EA"/>
    <w:rsid w:val="008E5565"/>
    <w:rsid w:val="008E5EDC"/>
    <w:rsid w:val="008E602B"/>
    <w:rsid w:val="008E6312"/>
    <w:rsid w:val="008F0F3F"/>
    <w:rsid w:val="008F22DA"/>
    <w:rsid w:val="008F3A34"/>
    <w:rsid w:val="008F44CF"/>
    <w:rsid w:val="008F7D7A"/>
    <w:rsid w:val="00900EB7"/>
    <w:rsid w:val="00902358"/>
    <w:rsid w:val="009071BD"/>
    <w:rsid w:val="009072D6"/>
    <w:rsid w:val="009118A6"/>
    <w:rsid w:val="00911B6C"/>
    <w:rsid w:val="00912E10"/>
    <w:rsid w:val="00913009"/>
    <w:rsid w:val="0092245F"/>
    <w:rsid w:val="00922668"/>
    <w:rsid w:val="00922AA7"/>
    <w:rsid w:val="00924121"/>
    <w:rsid w:val="0092783C"/>
    <w:rsid w:val="00931ADB"/>
    <w:rsid w:val="00932D5C"/>
    <w:rsid w:val="0093311F"/>
    <w:rsid w:val="00936206"/>
    <w:rsid w:val="009370F7"/>
    <w:rsid w:val="00940603"/>
    <w:rsid w:val="00944CAA"/>
    <w:rsid w:val="009457D3"/>
    <w:rsid w:val="00945EA0"/>
    <w:rsid w:val="00945F41"/>
    <w:rsid w:val="0094676C"/>
    <w:rsid w:val="00950699"/>
    <w:rsid w:val="0095108E"/>
    <w:rsid w:val="0095136C"/>
    <w:rsid w:val="009526D2"/>
    <w:rsid w:val="009534BE"/>
    <w:rsid w:val="00955411"/>
    <w:rsid w:val="00956D89"/>
    <w:rsid w:val="00960D5C"/>
    <w:rsid w:val="0096516B"/>
    <w:rsid w:val="009653A9"/>
    <w:rsid w:val="00967C4B"/>
    <w:rsid w:val="00972CA7"/>
    <w:rsid w:val="00973384"/>
    <w:rsid w:val="009740A4"/>
    <w:rsid w:val="009743A0"/>
    <w:rsid w:val="00976A36"/>
    <w:rsid w:val="0098527F"/>
    <w:rsid w:val="0098670C"/>
    <w:rsid w:val="009867DA"/>
    <w:rsid w:val="00986C44"/>
    <w:rsid w:val="0099329A"/>
    <w:rsid w:val="009A0C7B"/>
    <w:rsid w:val="009A4B4B"/>
    <w:rsid w:val="009B10EA"/>
    <w:rsid w:val="009B5834"/>
    <w:rsid w:val="009C45A5"/>
    <w:rsid w:val="009C5149"/>
    <w:rsid w:val="009C516F"/>
    <w:rsid w:val="009C7B19"/>
    <w:rsid w:val="009D0A23"/>
    <w:rsid w:val="009D1AD6"/>
    <w:rsid w:val="009D4C81"/>
    <w:rsid w:val="009D4E92"/>
    <w:rsid w:val="009D6BBD"/>
    <w:rsid w:val="009E4742"/>
    <w:rsid w:val="009E4C8B"/>
    <w:rsid w:val="009E76DE"/>
    <w:rsid w:val="009F334A"/>
    <w:rsid w:val="009F3BAB"/>
    <w:rsid w:val="009F466A"/>
    <w:rsid w:val="00A0034F"/>
    <w:rsid w:val="00A0138A"/>
    <w:rsid w:val="00A0247D"/>
    <w:rsid w:val="00A027DD"/>
    <w:rsid w:val="00A05024"/>
    <w:rsid w:val="00A071BF"/>
    <w:rsid w:val="00A10711"/>
    <w:rsid w:val="00A12E48"/>
    <w:rsid w:val="00A149CF"/>
    <w:rsid w:val="00A15EFB"/>
    <w:rsid w:val="00A17B10"/>
    <w:rsid w:val="00A248BE"/>
    <w:rsid w:val="00A25968"/>
    <w:rsid w:val="00A275BF"/>
    <w:rsid w:val="00A30BDA"/>
    <w:rsid w:val="00A36818"/>
    <w:rsid w:val="00A376C7"/>
    <w:rsid w:val="00A526ED"/>
    <w:rsid w:val="00A53B1A"/>
    <w:rsid w:val="00A5698A"/>
    <w:rsid w:val="00A6180B"/>
    <w:rsid w:val="00A62604"/>
    <w:rsid w:val="00A630AB"/>
    <w:rsid w:val="00A64385"/>
    <w:rsid w:val="00A64C14"/>
    <w:rsid w:val="00A64E34"/>
    <w:rsid w:val="00A6611F"/>
    <w:rsid w:val="00A661FE"/>
    <w:rsid w:val="00A7039C"/>
    <w:rsid w:val="00A71D3C"/>
    <w:rsid w:val="00A7285F"/>
    <w:rsid w:val="00A74565"/>
    <w:rsid w:val="00A77EE3"/>
    <w:rsid w:val="00A83C00"/>
    <w:rsid w:val="00A8642C"/>
    <w:rsid w:val="00A91279"/>
    <w:rsid w:val="00A93738"/>
    <w:rsid w:val="00A9393B"/>
    <w:rsid w:val="00A940F8"/>
    <w:rsid w:val="00A9647A"/>
    <w:rsid w:val="00AA10A2"/>
    <w:rsid w:val="00AA1F0A"/>
    <w:rsid w:val="00AA237C"/>
    <w:rsid w:val="00AA31D3"/>
    <w:rsid w:val="00AA35C4"/>
    <w:rsid w:val="00AA42C0"/>
    <w:rsid w:val="00AA52AB"/>
    <w:rsid w:val="00AA5B74"/>
    <w:rsid w:val="00AA7D44"/>
    <w:rsid w:val="00AB015C"/>
    <w:rsid w:val="00AB03C4"/>
    <w:rsid w:val="00AB1C2D"/>
    <w:rsid w:val="00AB32AF"/>
    <w:rsid w:val="00AB419B"/>
    <w:rsid w:val="00AB7AB4"/>
    <w:rsid w:val="00AC41A1"/>
    <w:rsid w:val="00AC43F5"/>
    <w:rsid w:val="00AC6B75"/>
    <w:rsid w:val="00AC7110"/>
    <w:rsid w:val="00AC7270"/>
    <w:rsid w:val="00AC77F7"/>
    <w:rsid w:val="00AD26A0"/>
    <w:rsid w:val="00AD4E7A"/>
    <w:rsid w:val="00AD525D"/>
    <w:rsid w:val="00AD5AC0"/>
    <w:rsid w:val="00AD6995"/>
    <w:rsid w:val="00AD7499"/>
    <w:rsid w:val="00AE0473"/>
    <w:rsid w:val="00AE1216"/>
    <w:rsid w:val="00AE39F2"/>
    <w:rsid w:val="00AE5D6E"/>
    <w:rsid w:val="00AF3DD1"/>
    <w:rsid w:val="00AF7B0E"/>
    <w:rsid w:val="00AF7B14"/>
    <w:rsid w:val="00B01CB8"/>
    <w:rsid w:val="00B025B7"/>
    <w:rsid w:val="00B10225"/>
    <w:rsid w:val="00B11DDC"/>
    <w:rsid w:val="00B1677B"/>
    <w:rsid w:val="00B16AD1"/>
    <w:rsid w:val="00B209DB"/>
    <w:rsid w:val="00B21E86"/>
    <w:rsid w:val="00B22502"/>
    <w:rsid w:val="00B246E1"/>
    <w:rsid w:val="00B27C76"/>
    <w:rsid w:val="00B312E9"/>
    <w:rsid w:val="00B35247"/>
    <w:rsid w:val="00B35D5C"/>
    <w:rsid w:val="00B36A0C"/>
    <w:rsid w:val="00B36A70"/>
    <w:rsid w:val="00B37CAC"/>
    <w:rsid w:val="00B410C2"/>
    <w:rsid w:val="00B41F24"/>
    <w:rsid w:val="00B42BB0"/>
    <w:rsid w:val="00B42C39"/>
    <w:rsid w:val="00B43AE0"/>
    <w:rsid w:val="00B43D34"/>
    <w:rsid w:val="00B45293"/>
    <w:rsid w:val="00B525A4"/>
    <w:rsid w:val="00B5413B"/>
    <w:rsid w:val="00B57C35"/>
    <w:rsid w:val="00B62F24"/>
    <w:rsid w:val="00B62F3D"/>
    <w:rsid w:val="00B62FCC"/>
    <w:rsid w:val="00B63F08"/>
    <w:rsid w:val="00B65FBA"/>
    <w:rsid w:val="00B67982"/>
    <w:rsid w:val="00B72D07"/>
    <w:rsid w:val="00B80D68"/>
    <w:rsid w:val="00B857ED"/>
    <w:rsid w:val="00B85A03"/>
    <w:rsid w:val="00B8771B"/>
    <w:rsid w:val="00B9143C"/>
    <w:rsid w:val="00B93FE7"/>
    <w:rsid w:val="00B94C70"/>
    <w:rsid w:val="00B95D71"/>
    <w:rsid w:val="00BA0403"/>
    <w:rsid w:val="00BA09D2"/>
    <w:rsid w:val="00BA0BE9"/>
    <w:rsid w:val="00BA2456"/>
    <w:rsid w:val="00BA2623"/>
    <w:rsid w:val="00BA75E5"/>
    <w:rsid w:val="00BB05B4"/>
    <w:rsid w:val="00BB08ED"/>
    <w:rsid w:val="00BB3382"/>
    <w:rsid w:val="00BB6401"/>
    <w:rsid w:val="00BB6970"/>
    <w:rsid w:val="00BB773C"/>
    <w:rsid w:val="00BC0C86"/>
    <w:rsid w:val="00BC0D4D"/>
    <w:rsid w:val="00BC0D9C"/>
    <w:rsid w:val="00BC1D8A"/>
    <w:rsid w:val="00BC6514"/>
    <w:rsid w:val="00BC77BF"/>
    <w:rsid w:val="00BD2EF1"/>
    <w:rsid w:val="00BD2F62"/>
    <w:rsid w:val="00BD4591"/>
    <w:rsid w:val="00BD5A71"/>
    <w:rsid w:val="00BD73F7"/>
    <w:rsid w:val="00BE09B0"/>
    <w:rsid w:val="00BE11F8"/>
    <w:rsid w:val="00BE301F"/>
    <w:rsid w:val="00BE310D"/>
    <w:rsid w:val="00BF12A1"/>
    <w:rsid w:val="00BF5044"/>
    <w:rsid w:val="00BF6869"/>
    <w:rsid w:val="00BF6E73"/>
    <w:rsid w:val="00BF73D4"/>
    <w:rsid w:val="00BF79E5"/>
    <w:rsid w:val="00C00455"/>
    <w:rsid w:val="00C0314D"/>
    <w:rsid w:val="00C04998"/>
    <w:rsid w:val="00C0693B"/>
    <w:rsid w:val="00C07696"/>
    <w:rsid w:val="00C11709"/>
    <w:rsid w:val="00C11719"/>
    <w:rsid w:val="00C13D10"/>
    <w:rsid w:val="00C13DAA"/>
    <w:rsid w:val="00C14824"/>
    <w:rsid w:val="00C14A4D"/>
    <w:rsid w:val="00C15C25"/>
    <w:rsid w:val="00C16879"/>
    <w:rsid w:val="00C2555F"/>
    <w:rsid w:val="00C26255"/>
    <w:rsid w:val="00C3162D"/>
    <w:rsid w:val="00C3413B"/>
    <w:rsid w:val="00C34C1C"/>
    <w:rsid w:val="00C35A5A"/>
    <w:rsid w:val="00C373C8"/>
    <w:rsid w:val="00C37A57"/>
    <w:rsid w:val="00C42705"/>
    <w:rsid w:val="00C43D62"/>
    <w:rsid w:val="00C44C1A"/>
    <w:rsid w:val="00C50B82"/>
    <w:rsid w:val="00C534DB"/>
    <w:rsid w:val="00C55293"/>
    <w:rsid w:val="00C559A2"/>
    <w:rsid w:val="00C61350"/>
    <w:rsid w:val="00C61468"/>
    <w:rsid w:val="00C615F3"/>
    <w:rsid w:val="00C722AA"/>
    <w:rsid w:val="00C765A9"/>
    <w:rsid w:val="00C830D0"/>
    <w:rsid w:val="00C840C8"/>
    <w:rsid w:val="00C91F20"/>
    <w:rsid w:val="00C9290B"/>
    <w:rsid w:val="00C93A40"/>
    <w:rsid w:val="00CA0118"/>
    <w:rsid w:val="00CA136F"/>
    <w:rsid w:val="00CA329A"/>
    <w:rsid w:val="00CA7411"/>
    <w:rsid w:val="00CA7479"/>
    <w:rsid w:val="00CB15F7"/>
    <w:rsid w:val="00CB1FA6"/>
    <w:rsid w:val="00CB26F8"/>
    <w:rsid w:val="00CB3A32"/>
    <w:rsid w:val="00CB5099"/>
    <w:rsid w:val="00CB59DE"/>
    <w:rsid w:val="00CB6002"/>
    <w:rsid w:val="00CC1C14"/>
    <w:rsid w:val="00CD0A59"/>
    <w:rsid w:val="00CD1D9C"/>
    <w:rsid w:val="00CD3DD9"/>
    <w:rsid w:val="00CD4CAC"/>
    <w:rsid w:val="00CD679A"/>
    <w:rsid w:val="00CD7CDA"/>
    <w:rsid w:val="00CE2182"/>
    <w:rsid w:val="00CE6027"/>
    <w:rsid w:val="00CF1193"/>
    <w:rsid w:val="00CF11A0"/>
    <w:rsid w:val="00CF34F4"/>
    <w:rsid w:val="00CF4598"/>
    <w:rsid w:val="00CF65D9"/>
    <w:rsid w:val="00CF69E2"/>
    <w:rsid w:val="00D0078F"/>
    <w:rsid w:val="00D019ED"/>
    <w:rsid w:val="00D0244B"/>
    <w:rsid w:val="00D05FD9"/>
    <w:rsid w:val="00D10A7F"/>
    <w:rsid w:val="00D10EFB"/>
    <w:rsid w:val="00D12DF8"/>
    <w:rsid w:val="00D15470"/>
    <w:rsid w:val="00D15E1B"/>
    <w:rsid w:val="00D16F06"/>
    <w:rsid w:val="00D2154C"/>
    <w:rsid w:val="00D21B33"/>
    <w:rsid w:val="00D228CE"/>
    <w:rsid w:val="00D258A8"/>
    <w:rsid w:val="00D26AC5"/>
    <w:rsid w:val="00D27717"/>
    <w:rsid w:val="00D31C11"/>
    <w:rsid w:val="00D324B5"/>
    <w:rsid w:val="00D3269E"/>
    <w:rsid w:val="00D333B8"/>
    <w:rsid w:val="00D3500C"/>
    <w:rsid w:val="00D36FAF"/>
    <w:rsid w:val="00D37652"/>
    <w:rsid w:val="00D44423"/>
    <w:rsid w:val="00D4712A"/>
    <w:rsid w:val="00D47F06"/>
    <w:rsid w:val="00D500F8"/>
    <w:rsid w:val="00D5090E"/>
    <w:rsid w:val="00D55FFE"/>
    <w:rsid w:val="00D60523"/>
    <w:rsid w:val="00D60818"/>
    <w:rsid w:val="00D64A13"/>
    <w:rsid w:val="00D64A40"/>
    <w:rsid w:val="00D64E0D"/>
    <w:rsid w:val="00D65EC8"/>
    <w:rsid w:val="00D668FB"/>
    <w:rsid w:val="00D70E42"/>
    <w:rsid w:val="00D72592"/>
    <w:rsid w:val="00D72D9F"/>
    <w:rsid w:val="00D810F3"/>
    <w:rsid w:val="00D823FA"/>
    <w:rsid w:val="00D8402B"/>
    <w:rsid w:val="00D8435E"/>
    <w:rsid w:val="00D93907"/>
    <w:rsid w:val="00D97B2D"/>
    <w:rsid w:val="00DA0A90"/>
    <w:rsid w:val="00DA58AF"/>
    <w:rsid w:val="00DA7A8D"/>
    <w:rsid w:val="00DB0D25"/>
    <w:rsid w:val="00DB29AD"/>
    <w:rsid w:val="00DB31C4"/>
    <w:rsid w:val="00DB55E2"/>
    <w:rsid w:val="00DB5F88"/>
    <w:rsid w:val="00DB68E6"/>
    <w:rsid w:val="00DC0832"/>
    <w:rsid w:val="00DC2625"/>
    <w:rsid w:val="00DC39C0"/>
    <w:rsid w:val="00DC5963"/>
    <w:rsid w:val="00DD0776"/>
    <w:rsid w:val="00DD1888"/>
    <w:rsid w:val="00DD5192"/>
    <w:rsid w:val="00DE08E9"/>
    <w:rsid w:val="00DE11A0"/>
    <w:rsid w:val="00DE1671"/>
    <w:rsid w:val="00DE5792"/>
    <w:rsid w:val="00DE72F8"/>
    <w:rsid w:val="00E1035E"/>
    <w:rsid w:val="00E113CC"/>
    <w:rsid w:val="00E15697"/>
    <w:rsid w:val="00E16D46"/>
    <w:rsid w:val="00E20A9B"/>
    <w:rsid w:val="00E20C94"/>
    <w:rsid w:val="00E21607"/>
    <w:rsid w:val="00E22186"/>
    <w:rsid w:val="00E24D04"/>
    <w:rsid w:val="00E30006"/>
    <w:rsid w:val="00E3742B"/>
    <w:rsid w:val="00E42242"/>
    <w:rsid w:val="00E42DDC"/>
    <w:rsid w:val="00E53D51"/>
    <w:rsid w:val="00E558BD"/>
    <w:rsid w:val="00E573DE"/>
    <w:rsid w:val="00E656BF"/>
    <w:rsid w:val="00E65F2C"/>
    <w:rsid w:val="00E66F3A"/>
    <w:rsid w:val="00E70B15"/>
    <w:rsid w:val="00E7406A"/>
    <w:rsid w:val="00E80B9D"/>
    <w:rsid w:val="00E80F55"/>
    <w:rsid w:val="00E813F5"/>
    <w:rsid w:val="00E82117"/>
    <w:rsid w:val="00E82BCF"/>
    <w:rsid w:val="00E83D12"/>
    <w:rsid w:val="00E8437D"/>
    <w:rsid w:val="00E85D1F"/>
    <w:rsid w:val="00E86AA2"/>
    <w:rsid w:val="00E86DBA"/>
    <w:rsid w:val="00E91183"/>
    <w:rsid w:val="00E94DAB"/>
    <w:rsid w:val="00E954B3"/>
    <w:rsid w:val="00E95B30"/>
    <w:rsid w:val="00E95CA9"/>
    <w:rsid w:val="00E97F2C"/>
    <w:rsid w:val="00EA469D"/>
    <w:rsid w:val="00EA6243"/>
    <w:rsid w:val="00EA6BC4"/>
    <w:rsid w:val="00EA7C77"/>
    <w:rsid w:val="00EB7CF6"/>
    <w:rsid w:val="00EB7FEC"/>
    <w:rsid w:val="00EC2576"/>
    <w:rsid w:val="00EC45C2"/>
    <w:rsid w:val="00EC4716"/>
    <w:rsid w:val="00EC55A6"/>
    <w:rsid w:val="00EC7424"/>
    <w:rsid w:val="00ED0F56"/>
    <w:rsid w:val="00ED0FCA"/>
    <w:rsid w:val="00ED2497"/>
    <w:rsid w:val="00ED2BEA"/>
    <w:rsid w:val="00ED5FB2"/>
    <w:rsid w:val="00ED66FE"/>
    <w:rsid w:val="00ED69D4"/>
    <w:rsid w:val="00EE224C"/>
    <w:rsid w:val="00EE47D2"/>
    <w:rsid w:val="00EE6165"/>
    <w:rsid w:val="00EF3235"/>
    <w:rsid w:val="00EF42D0"/>
    <w:rsid w:val="00EF55CB"/>
    <w:rsid w:val="00EF70A1"/>
    <w:rsid w:val="00F00447"/>
    <w:rsid w:val="00F02B5C"/>
    <w:rsid w:val="00F05D57"/>
    <w:rsid w:val="00F07593"/>
    <w:rsid w:val="00F116CC"/>
    <w:rsid w:val="00F128EF"/>
    <w:rsid w:val="00F14A08"/>
    <w:rsid w:val="00F15236"/>
    <w:rsid w:val="00F168F8"/>
    <w:rsid w:val="00F17B41"/>
    <w:rsid w:val="00F23825"/>
    <w:rsid w:val="00F23ADA"/>
    <w:rsid w:val="00F27328"/>
    <w:rsid w:val="00F27ECA"/>
    <w:rsid w:val="00F30A7A"/>
    <w:rsid w:val="00F31218"/>
    <w:rsid w:val="00F31CFE"/>
    <w:rsid w:val="00F32588"/>
    <w:rsid w:val="00F344FF"/>
    <w:rsid w:val="00F34A08"/>
    <w:rsid w:val="00F35401"/>
    <w:rsid w:val="00F437E4"/>
    <w:rsid w:val="00F44896"/>
    <w:rsid w:val="00F44EA9"/>
    <w:rsid w:val="00F44ECB"/>
    <w:rsid w:val="00F47599"/>
    <w:rsid w:val="00F47F01"/>
    <w:rsid w:val="00F508A9"/>
    <w:rsid w:val="00F529E6"/>
    <w:rsid w:val="00F54560"/>
    <w:rsid w:val="00F54881"/>
    <w:rsid w:val="00F573C9"/>
    <w:rsid w:val="00F57954"/>
    <w:rsid w:val="00F6091D"/>
    <w:rsid w:val="00F610A6"/>
    <w:rsid w:val="00F62D67"/>
    <w:rsid w:val="00F63306"/>
    <w:rsid w:val="00F65C65"/>
    <w:rsid w:val="00F66A72"/>
    <w:rsid w:val="00F66ED8"/>
    <w:rsid w:val="00F709C4"/>
    <w:rsid w:val="00F7409F"/>
    <w:rsid w:val="00F750E8"/>
    <w:rsid w:val="00F765DC"/>
    <w:rsid w:val="00F77F82"/>
    <w:rsid w:val="00F81CB9"/>
    <w:rsid w:val="00F84E38"/>
    <w:rsid w:val="00F85C11"/>
    <w:rsid w:val="00F9116E"/>
    <w:rsid w:val="00F92399"/>
    <w:rsid w:val="00F941D2"/>
    <w:rsid w:val="00F950E9"/>
    <w:rsid w:val="00F958A1"/>
    <w:rsid w:val="00F97E7E"/>
    <w:rsid w:val="00FA0C7E"/>
    <w:rsid w:val="00FA1057"/>
    <w:rsid w:val="00FA5FBA"/>
    <w:rsid w:val="00FA65B9"/>
    <w:rsid w:val="00FA7C2D"/>
    <w:rsid w:val="00FB35AA"/>
    <w:rsid w:val="00FB36B6"/>
    <w:rsid w:val="00FB6879"/>
    <w:rsid w:val="00FC1A00"/>
    <w:rsid w:val="00FC2B02"/>
    <w:rsid w:val="00FC3BB2"/>
    <w:rsid w:val="00FC3DE4"/>
    <w:rsid w:val="00FC4123"/>
    <w:rsid w:val="00FD257E"/>
    <w:rsid w:val="00FD4643"/>
    <w:rsid w:val="00FD63EC"/>
    <w:rsid w:val="00FD6873"/>
    <w:rsid w:val="00FD6BD0"/>
    <w:rsid w:val="00FE1330"/>
    <w:rsid w:val="00FE6890"/>
    <w:rsid w:val="00FF0C52"/>
    <w:rsid w:val="00FF13B7"/>
    <w:rsid w:val="00FF1D35"/>
    <w:rsid w:val="00FF2774"/>
    <w:rsid w:val="00FF3A04"/>
    <w:rsid w:val="00FF55A2"/>
    <w:rsid w:val="00FF590D"/>
    <w:rsid w:val="00FF6896"/>
    <w:rsid w:val="00FF6E24"/>
    <w:rsid w:val="00FF7F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4AC88A8"/>
  <w15:docId w15:val="{5A436A03-A902-4260-AC20-68A57A74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27"/>
  </w:style>
  <w:style w:type="paragraph" w:styleId="Heading1">
    <w:name w:val="heading 1"/>
    <w:next w:val="Normal"/>
    <w:link w:val="Heading1Char"/>
    <w:qFormat/>
    <w:rsid w:val="00E95B30"/>
    <w:pPr>
      <w:keepNext/>
      <w:numPr>
        <w:numId w:val="1"/>
      </w:numPr>
      <w:tabs>
        <w:tab w:val="left" w:pos="720"/>
      </w:tabs>
      <w:spacing w:after="12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C840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0B16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B1627"/>
    <w:rPr>
      <w:rFonts w:asciiTheme="majorHAnsi" w:eastAsiaTheme="majorEastAsia" w:hAnsiTheme="majorHAnsi" w:cstheme="majorBidi"/>
      <w:b/>
      <w:bCs/>
      <w:color w:val="4F81BD" w:themeColor="accent1"/>
    </w:rPr>
  </w:style>
  <w:style w:type="table" w:styleId="TableGrid">
    <w:name w:val="Table Grid"/>
    <w:basedOn w:val="TableNormal"/>
    <w:uiPriority w:val="59"/>
    <w:rsid w:val="000B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B1627"/>
    <w:rPr>
      <w:i/>
      <w:iCs/>
    </w:rPr>
  </w:style>
  <w:style w:type="character" w:styleId="Hyperlink">
    <w:name w:val="Hyperlink"/>
    <w:basedOn w:val="DefaultParagraphFont"/>
    <w:rsid w:val="000B1627"/>
    <w:rPr>
      <w:color w:val="0000FF"/>
      <w:u w:val="single"/>
    </w:rPr>
  </w:style>
  <w:style w:type="paragraph" w:styleId="ListParagraph">
    <w:name w:val="List Paragraph"/>
    <w:basedOn w:val="Normal"/>
    <w:uiPriority w:val="34"/>
    <w:qFormat/>
    <w:rsid w:val="000B1627"/>
    <w:pPr>
      <w:spacing w:after="0" w:line="240" w:lineRule="auto"/>
      <w:ind w:left="720"/>
      <w:contextualSpacing/>
    </w:pPr>
    <w:rPr>
      <w:rFonts w:ascii="Times New Roman" w:eastAsia="Times New Roman" w:hAnsi="Times New Roman" w:cs="Times New Roman"/>
      <w:sz w:val="24"/>
      <w:szCs w:val="20"/>
    </w:rPr>
  </w:style>
  <w:style w:type="paragraph" w:customStyle="1" w:styleId="Default">
    <w:name w:val="Default"/>
    <w:rsid w:val="000B1627"/>
    <w:pPr>
      <w:autoSpaceDE w:val="0"/>
      <w:autoSpaceDN w:val="0"/>
      <w:adjustRightInd w:val="0"/>
      <w:spacing w:after="0" w:line="240" w:lineRule="auto"/>
    </w:pPr>
    <w:rPr>
      <w:rFonts w:ascii="Verdana" w:hAnsi="Verdana" w:cs="Verdana"/>
      <w:color w:val="000000"/>
      <w:sz w:val="24"/>
      <w:szCs w:val="24"/>
    </w:rPr>
  </w:style>
  <w:style w:type="paragraph" w:styleId="Footer">
    <w:name w:val="footer"/>
    <w:basedOn w:val="Normal"/>
    <w:link w:val="FooterChar"/>
    <w:uiPriority w:val="99"/>
    <w:unhideWhenUsed/>
    <w:rsid w:val="000B1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627"/>
  </w:style>
  <w:style w:type="character" w:styleId="Strong">
    <w:name w:val="Strong"/>
    <w:basedOn w:val="DefaultParagraphFont"/>
    <w:uiPriority w:val="22"/>
    <w:qFormat/>
    <w:rsid w:val="000B1627"/>
    <w:rPr>
      <w:b/>
      <w:bCs/>
    </w:rPr>
  </w:style>
  <w:style w:type="character" w:styleId="CommentReference">
    <w:name w:val="annotation reference"/>
    <w:basedOn w:val="DefaultParagraphFont"/>
    <w:uiPriority w:val="99"/>
    <w:semiHidden/>
    <w:unhideWhenUsed/>
    <w:rsid w:val="000B1627"/>
    <w:rPr>
      <w:sz w:val="16"/>
      <w:szCs w:val="16"/>
    </w:rPr>
  </w:style>
  <w:style w:type="paragraph" w:styleId="CommentText">
    <w:name w:val="annotation text"/>
    <w:basedOn w:val="Normal"/>
    <w:link w:val="CommentTextChar"/>
    <w:uiPriority w:val="99"/>
    <w:unhideWhenUsed/>
    <w:rsid w:val="000B162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B162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0B1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627"/>
  </w:style>
  <w:style w:type="paragraph" w:styleId="NormalWeb">
    <w:name w:val="Normal (Web)"/>
    <w:basedOn w:val="Normal"/>
    <w:uiPriority w:val="99"/>
    <w:unhideWhenUsed/>
    <w:rsid w:val="000B162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B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627"/>
    <w:rPr>
      <w:rFonts w:ascii="Tahoma" w:hAnsi="Tahoma" w:cs="Tahoma"/>
      <w:sz w:val="16"/>
      <w:szCs w:val="16"/>
    </w:rPr>
  </w:style>
  <w:style w:type="character" w:styleId="FollowedHyperlink">
    <w:name w:val="FollowedHyperlink"/>
    <w:basedOn w:val="DefaultParagraphFont"/>
    <w:uiPriority w:val="99"/>
    <w:semiHidden/>
    <w:unhideWhenUsed/>
    <w:rsid w:val="00B85A03"/>
    <w:rPr>
      <w:color w:val="800080" w:themeColor="followedHyperlink"/>
      <w:u w:val="single"/>
    </w:rPr>
  </w:style>
  <w:style w:type="paragraph" w:customStyle="1" w:styleId="Bullet1">
    <w:name w:val="Bullet 1"/>
    <w:basedOn w:val="Normal"/>
    <w:rsid w:val="009A0C7B"/>
    <w:pPr>
      <w:spacing w:after="80" w:line="320" w:lineRule="exact"/>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C43F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C43F5"/>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rsid w:val="00E95B30"/>
    <w:rPr>
      <w:rFonts w:ascii="Arial" w:eastAsia="Times New Roman" w:hAnsi="Arial" w:cs="Times New Roman"/>
      <w:b/>
      <w:kern w:val="28"/>
      <w:sz w:val="28"/>
      <w:szCs w:val="20"/>
    </w:rPr>
  </w:style>
  <w:style w:type="paragraph" w:customStyle="1" w:styleId="Numberedpara">
    <w:name w:val="Numbered para"/>
    <w:basedOn w:val="Normal"/>
    <w:rsid w:val="00E95B30"/>
    <w:pPr>
      <w:numPr>
        <w:ilvl w:val="1"/>
        <w:numId w:val="1"/>
      </w:numPr>
      <w:tabs>
        <w:tab w:val="clear" w:pos="1004"/>
        <w:tab w:val="num" w:pos="1429"/>
      </w:tabs>
      <w:spacing w:after="120" w:line="320" w:lineRule="exact"/>
      <w:ind w:left="1429"/>
    </w:pPr>
    <w:rPr>
      <w:rFonts w:ascii="Times New Roman" w:eastAsia="Times New Roman" w:hAnsi="Times New Roman" w:cs="Times New Roman"/>
      <w:sz w:val="24"/>
      <w:szCs w:val="20"/>
    </w:rPr>
  </w:style>
  <w:style w:type="paragraph" w:styleId="Revision">
    <w:name w:val="Revision"/>
    <w:hidden/>
    <w:uiPriority w:val="99"/>
    <w:semiHidden/>
    <w:rsid w:val="002D4F2C"/>
    <w:pPr>
      <w:spacing w:after="0" w:line="240" w:lineRule="auto"/>
    </w:pPr>
  </w:style>
  <w:style w:type="table" w:styleId="LightGrid-Accent1">
    <w:name w:val="Light Grid Accent 1"/>
    <w:basedOn w:val="TableNormal"/>
    <w:uiPriority w:val="62"/>
    <w:rsid w:val="001A6A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noteText">
    <w:name w:val="footnote text"/>
    <w:basedOn w:val="Normal"/>
    <w:link w:val="FootnoteTextChar"/>
    <w:uiPriority w:val="99"/>
    <w:semiHidden/>
    <w:unhideWhenUsed/>
    <w:rsid w:val="00D15E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E1B"/>
    <w:rPr>
      <w:sz w:val="20"/>
      <w:szCs w:val="20"/>
    </w:rPr>
  </w:style>
  <w:style w:type="character" w:styleId="FootnoteReference">
    <w:name w:val="footnote reference"/>
    <w:basedOn w:val="DefaultParagraphFont"/>
    <w:uiPriority w:val="99"/>
    <w:semiHidden/>
    <w:unhideWhenUsed/>
    <w:rsid w:val="00D15E1B"/>
    <w:rPr>
      <w:vertAlign w:val="superscript"/>
    </w:rPr>
  </w:style>
  <w:style w:type="character" w:styleId="IntenseReference">
    <w:name w:val="Intense Reference"/>
    <w:basedOn w:val="DefaultParagraphFont"/>
    <w:uiPriority w:val="32"/>
    <w:qFormat/>
    <w:rsid w:val="00C840C8"/>
    <w:rPr>
      <w:b/>
      <w:bCs/>
      <w:smallCaps/>
      <w:color w:val="4F81BD" w:themeColor="accent1"/>
      <w:spacing w:val="5"/>
    </w:rPr>
  </w:style>
  <w:style w:type="paragraph" w:styleId="IntenseQuote">
    <w:name w:val="Intense Quote"/>
    <w:basedOn w:val="Normal"/>
    <w:next w:val="Normal"/>
    <w:link w:val="IntenseQuoteChar"/>
    <w:uiPriority w:val="30"/>
    <w:qFormat/>
    <w:rsid w:val="00C840C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840C8"/>
    <w:rPr>
      <w:i/>
      <w:iCs/>
      <w:color w:val="4F81BD" w:themeColor="accent1"/>
    </w:rPr>
  </w:style>
  <w:style w:type="character" w:styleId="SubtleReference">
    <w:name w:val="Subtle Reference"/>
    <w:basedOn w:val="DefaultParagraphFont"/>
    <w:uiPriority w:val="31"/>
    <w:qFormat/>
    <w:rsid w:val="00C840C8"/>
    <w:rPr>
      <w:smallCaps/>
      <w:color w:val="5A5A5A" w:themeColor="text1" w:themeTint="A5"/>
    </w:rPr>
  </w:style>
  <w:style w:type="character" w:customStyle="1" w:styleId="Heading2Char">
    <w:name w:val="Heading 2 Char"/>
    <w:basedOn w:val="DefaultParagraphFont"/>
    <w:link w:val="Heading2"/>
    <w:uiPriority w:val="9"/>
    <w:rsid w:val="00C840C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6312">
      <w:bodyDiv w:val="1"/>
      <w:marLeft w:val="0"/>
      <w:marRight w:val="0"/>
      <w:marTop w:val="0"/>
      <w:marBottom w:val="0"/>
      <w:divBdr>
        <w:top w:val="none" w:sz="0" w:space="0" w:color="auto"/>
        <w:left w:val="none" w:sz="0" w:space="0" w:color="auto"/>
        <w:bottom w:val="none" w:sz="0" w:space="0" w:color="auto"/>
        <w:right w:val="none" w:sz="0" w:space="0" w:color="auto"/>
      </w:divBdr>
    </w:div>
    <w:div w:id="358166738">
      <w:bodyDiv w:val="1"/>
      <w:marLeft w:val="0"/>
      <w:marRight w:val="0"/>
      <w:marTop w:val="0"/>
      <w:marBottom w:val="0"/>
      <w:divBdr>
        <w:top w:val="none" w:sz="0" w:space="0" w:color="auto"/>
        <w:left w:val="none" w:sz="0" w:space="0" w:color="auto"/>
        <w:bottom w:val="none" w:sz="0" w:space="0" w:color="auto"/>
        <w:right w:val="none" w:sz="0" w:space="0" w:color="auto"/>
      </w:divBdr>
      <w:divsChild>
        <w:div w:id="1934122882">
          <w:marLeft w:val="0"/>
          <w:marRight w:val="0"/>
          <w:marTop w:val="0"/>
          <w:marBottom w:val="0"/>
          <w:divBdr>
            <w:top w:val="none" w:sz="0" w:space="0" w:color="auto"/>
            <w:left w:val="none" w:sz="0" w:space="0" w:color="auto"/>
            <w:bottom w:val="none" w:sz="0" w:space="0" w:color="auto"/>
            <w:right w:val="none" w:sz="0" w:space="0" w:color="auto"/>
          </w:divBdr>
          <w:divsChild>
            <w:div w:id="1780955216">
              <w:marLeft w:val="0"/>
              <w:marRight w:val="0"/>
              <w:marTop w:val="0"/>
              <w:marBottom w:val="0"/>
              <w:divBdr>
                <w:top w:val="none" w:sz="0" w:space="0" w:color="auto"/>
                <w:left w:val="none" w:sz="0" w:space="0" w:color="auto"/>
                <w:bottom w:val="none" w:sz="0" w:space="0" w:color="auto"/>
                <w:right w:val="none" w:sz="0" w:space="0" w:color="auto"/>
              </w:divBdr>
              <w:divsChild>
                <w:div w:id="401221687">
                  <w:marLeft w:val="0"/>
                  <w:marRight w:val="0"/>
                  <w:marTop w:val="0"/>
                  <w:marBottom w:val="0"/>
                  <w:divBdr>
                    <w:top w:val="none" w:sz="0" w:space="0" w:color="auto"/>
                    <w:left w:val="none" w:sz="0" w:space="0" w:color="auto"/>
                    <w:bottom w:val="none" w:sz="0" w:space="0" w:color="auto"/>
                    <w:right w:val="none" w:sz="0" w:space="0" w:color="auto"/>
                  </w:divBdr>
                  <w:divsChild>
                    <w:div w:id="866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062135">
      <w:bodyDiv w:val="1"/>
      <w:marLeft w:val="0"/>
      <w:marRight w:val="0"/>
      <w:marTop w:val="0"/>
      <w:marBottom w:val="0"/>
      <w:divBdr>
        <w:top w:val="none" w:sz="0" w:space="0" w:color="auto"/>
        <w:left w:val="none" w:sz="0" w:space="0" w:color="auto"/>
        <w:bottom w:val="none" w:sz="0" w:space="0" w:color="auto"/>
        <w:right w:val="none" w:sz="0" w:space="0" w:color="auto"/>
      </w:divBdr>
    </w:div>
    <w:div w:id="16992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gov/regulatory-policy/Proceedings-9th-Conference-MRP.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ecd.org/fr/gov/politique-reglementaire/expostevaluationofregulatorytoolsandinstitutions.htm" TargetMode="External"/><Relationship Id="rId4" Type="http://schemas.openxmlformats.org/officeDocument/2006/relationships/settings" Target="settings.xml"/><Relationship Id="rId9" Type="http://schemas.openxmlformats.org/officeDocument/2006/relationships/hyperlink" Target="http://www.oecd.org/regreform/framework-for-regulatory-policy-evaluation.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6EF5-0ED0-49D6-A7AC-98F44282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3656</Words>
  <Characters>20877</Characters>
  <Application>Microsoft Office Word</Application>
  <DocSecurity>0</DocSecurity>
  <Lines>474</Lines>
  <Paragraphs>185</Paragraphs>
  <ScaleCrop>false</ScaleCrop>
  <HeadingPairs>
    <vt:vector size="2" baseType="variant">
      <vt:variant>
        <vt:lpstr>Title</vt:lpstr>
      </vt:variant>
      <vt:variant>
        <vt:i4>1</vt:i4>
      </vt:variant>
    </vt:vector>
  </HeadingPairs>
  <TitlesOfParts>
    <vt:vector size="1" baseType="lpstr">
      <vt:lpstr/>
    </vt:vector>
  </TitlesOfParts>
  <Company>TBS-SCT</Company>
  <LinksUpToDate>false</LinksUpToDate>
  <CharactersWithSpaces>24348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McIntyre, Margaret</dc:creator>
  <cp:lastModifiedBy>McLellan, Kathleen</cp:lastModifiedBy>
  <cp:revision>3</cp:revision>
  <cp:lastPrinted>2018-09-20T17:27:00Z</cp:lastPrinted>
  <dcterms:created xsi:type="dcterms:W3CDTF">2018-10-24T14:00:00Z</dcterms:created>
  <dcterms:modified xsi:type="dcterms:W3CDTF">2018-10-24T14:03:00Z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185ac9a8-139e-4e05-8a64-a8c618faf21f</vt:lpwstr>
  </property>
  <property fmtid="{D5CDD505-2E9C-101B-9397-08002B2CF9AE}" pid="3" name="TBSSCTVISUALMARKINGNO">
    <vt:lpwstr>NO</vt:lpwstr>
  </property>
  <property fmtid="{D5CDD505-2E9C-101B-9397-08002B2CF9AE}" pid="4" name="TBSSCTCLASSIFICATION">
    <vt:lpwstr>UNCLASSIFIED</vt:lpwstr>
  </property>
  <property fmtid="{D5CDD505-2E9C-101B-9397-08002B2CF9AE}" pid="5" name="SECCLASS">
    <vt:lpwstr>CLASSU</vt:lpwstr>
  </property>
</Properties>
</file>