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A84C" w14:textId="26F0EF98" w:rsidR="004B4A3F" w:rsidRPr="0050263B" w:rsidRDefault="00153056" w:rsidP="004B4A3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Suivi du rendement en matière de modernisation du milieu de travail</w:t>
      </w:r>
    </w:p>
    <w:p w14:paraId="5D9BD975" w14:textId="77777777" w:rsidR="00294135" w:rsidRDefault="00294135" w:rsidP="003A46F8">
      <w:pPr>
        <w:rPr>
          <w:rFonts w:ascii="Arial" w:hAnsi="Arial" w:cs="Arial"/>
          <w:sz w:val="20"/>
          <w:szCs w:val="20"/>
        </w:rPr>
      </w:pPr>
    </w:p>
    <w:p w14:paraId="3EF24B46" w14:textId="77777777" w:rsidR="00294135" w:rsidRDefault="00294135"/>
    <w:tbl>
      <w:tblPr>
        <w:tblStyle w:val="TableGrid"/>
        <w:tblpPr w:leftFromText="180" w:rightFromText="180" w:vertAnchor="text" w:tblpX="-455" w:tblpY="1"/>
        <w:tblOverlap w:val="never"/>
        <w:tblW w:w="5330" w:type="pct"/>
        <w:tblBorders>
          <w:top w:val="single" w:sz="4" w:space="0" w:color="BCBEC0" w:themeColor="accent6"/>
          <w:left w:val="single" w:sz="4" w:space="0" w:color="BCBEC0" w:themeColor="accent6"/>
          <w:bottom w:val="single" w:sz="4" w:space="0" w:color="BCBEC0" w:themeColor="accent6"/>
          <w:right w:val="single" w:sz="4" w:space="0" w:color="BCBEC0" w:themeColor="accent6"/>
          <w:insideH w:val="single" w:sz="4" w:space="0" w:color="BCBEC0" w:themeColor="accent6"/>
          <w:insideV w:val="single" w:sz="4" w:space="0" w:color="BCBEC0" w:themeColor="accent6"/>
        </w:tblBorders>
        <w:tblLayout w:type="fixed"/>
        <w:tblLook w:val="04A0" w:firstRow="1" w:lastRow="0" w:firstColumn="1" w:lastColumn="0" w:noHBand="0" w:noVBand="1"/>
        <w:tblCaption w:val="Table"/>
        <w:tblDescription w:val="Suivi du rendement en matière de modernisation du milieu de travail"/>
      </w:tblPr>
      <w:tblGrid>
        <w:gridCol w:w="3237"/>
        <w:gridCol w:w="2434"/>
        <w:gridCol w:w="2673"/>
        <w:gridCol w:w="2714"/>
        <w:gridCol w:w="2636"/>
        <w:gridCol w:w="1329"/>
        <w:gridCol w:w="1815"/>
        <w:gridCol w:w="1572"/>
      </w:tblGrid>
      <w:tr w:rsidR="00294135" w:rsidRPr="00294135" w14:paraId="2295C0A1" w14:textId="77777777" w:rsidTr="0050263B">
        <w:trPr>
          <w:trHeight w:val="705"/>
          <w:tblHeader/>
        </w:trPr>
        <w:tc>
          <w:tcPr>
            <w:tcW w:w="879" w:type="pct"/>
            <w:vMerge w:val="restart"/>
            <w:shd w:val="clear" w:color="auto" w:fill="E3E3E4" w:themeFill="background1" w:themeFillTint="33"/>
            <w:vAlign w:val="center"/>
          </w:tcPr>
          <w:p w14:paraId="703E9A3D" w14:textId="61C4E705" w:rsidR="00294135" w:rsidRPr="00294135" w:rsidRDefault="00153056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RÉSULTATS/OBJECTIF</w:t>
            </w:r>
            <w:r w:rsidR="00961D8D">
              <w:rPr>
                <w:rFonts w:asciiTheme="minorHAnsi" w:hAnsiTheme="minorHAnsi"/>
                <w:b/>
                <w:sz w:val="18"/>
                <w:szCs w:val="18"/>
              </w:rPr>
              <w:t>S DE LA</w:t>
            </w:r>
            <w:r>
              <w:rPr>
                <w:rFonts w:asciiTheme="minorHAnsi" w:hAnsiTheme="minorHAnsi"/>
                <w:b/>
                <w:sz w:val="24"/>
                <w:szCs w:val="18"/>
              </w:rPr>
              <w:t xml:space="preserve"> MODERNISATION DU MILIEU DE TRAVAIL</w:t>
            </w:r>
          </w:p>
          <w:p w14:paraId="2CAFFFE3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color w:val="BCBEC0" w:themeColor="accent6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(le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« pourquoi » </w:t>
            </w:r>
            <w:r>
              <w:rPr>
                <w:rFonts w:asciiTheme="minorHAnsi" w:hAnsiTheme="minorHAnsi"/>
                <w:sz w:val="18"/>
                <w:szCs w:val="18"/>
              </w:rPr>
              <w:t>ou les moteurs du changement)</w:t>
            </w:r>
          </w:p>
        </w:tc>
        <w:tc>
          <w:tcPr>
            <w:tcW w:w="1387" w:type="pct"/>
            <w:gridSpan w:val="2"/>
            <w:shd w:val="clear" w:color="auto" w:fill="C3DEEC" w:themeFill="accent5" w:themeFillTint="33"/>
            <w:vAlign w:val="center"/>
          </w:tcPr>
          <w:p w14:paraId="68CDF1BD" w14:textId="77777777" w:rsidR="00294135" w:rsidRDefault="00294135" w:rsidP="0050263B">
            <w:pPr>
              <w:jc w:val="center"/>
              <w:rPr>
                <w:rFonts w:asciiTheme="minorHAnsi" w:hAnsiTheme="minorHAnsi"/>
                <w:b/>
                <w:color w:val="1C465C" w:themeColor="accent5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1C465C" w:themeColor="accent5"/>
                <w:sz w:val="24"/>
                <w:szCs w:val="20"/>
              </w:rPr>
              <w:t>PROJET (organisationnel)</w:t>
            </w:r>
          </w:p>
          <w:p w14:paraId="76F86654" w14:textId="68A38593" w:rsidR="00153056" w:rsidRPr="00153056" w:rsidRDefault="00153056" w:rsidP="0050263B">
            <w:pPr>
              <w:jc w:val="center"/>
              <w:rPr>
                <w:rFonts w:asciiTheme="minorHAnsi" w:hAnsiTheme="minorHAnsi"/>
                <w:b/>
                <w:i/>
                <w:color w:val="BCBEC0" w:themeColor="accent6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C465C" w:themeColor="accent5"/>
                <w:sz w:val="18"/>
                <w:szCs w:val="20"/>
              </w:rPr>
              <w:t>Informations fournies par l’équipe de projet afin de relier les interdépendances entre la GP et la GC afin de mettre en évidence la valeur du changement</w:t>
            </w:r>
          </w:p>
        </w:tc>
        <w:tc>
          <w:tcPr>
            <w:tcW w:w="2734" w:type="pct"/>
            <w:gridSpan w:val="5"/>
            <w:shd w:val="clear" w:color="auto" w:fill="C9EDDC" w:themeFill="accent3" w:themeFillTint="33"/>
            <w:vAlign w:val="center"/>
          </w:tcPr>
          <w:p w14:paraId="327A8D91" w14:textId="64483550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color w:val="BCBEC0" w:themeColor="accent6"/>
                <w:szCs w:val="20"/>
              </w:rPr>
            </w:pPr>
            <w:r>
              <w:rPr>
                <w:rFonts w:asciiTheme="minorHAnsi" w:hAnsiTheme="minorHAnsi"/>
                <w:b/>
                <w:color w:val="277852" w:themeColor="accent3"/>
                <w:sz w:val="24"/>
                <w:szCs w:val="20"/>
              </w:rPr>
              <w:t>GESTION DU CHANGEMENT (individuel)</w:t>
            </w:r>
          </w:p>
        </w:tc>
      </w:tr>
      <w:tr w:rsidR="00294135" w:rsidRPr="00294135" w14:paraId="0F6D4BDF" w14:textId="77777777" w:rsidTr="009508D6">
        <w:trPr>
          <w:tblHeader/>
        </w:trPr>
        <w:tc>
          <w:tcPr>
            <w:tcW w:w="879" w:type="pct"/>
            <w:vMerge/>
            <w:shd w:val="clear" w:color="auto" w:fill="E3E3E4" w:themeFill="background1" w:themeFillTint="33"/>
          </w:tcPr>
          <w:p w14:paraId="660BA8DE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BCBEC0" w:themeColor="accent6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C3DEEC" w:themeFill="accent5" w:themeFillTint="33"/>
          </w:tcPr>
          <w:p w14:paraId="685A3851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RÉSULTATS DU PROJET</w:t>
            </w:r>
          </w:p>
          <w:p w14:paraId="682F7C4D" w14:textId="2C002B3F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 « 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comment</w:t>
            </w:r>
            <w:r w:rsidR="00961D8D">
              <w:rPr>
                <w:rFonts w:asciiTheme="minorHAnsi" w:hAnsiTheme="minorHAnsi"/>
                <w:sz w:val="18"/>
                <w:szCs w:val="18"/>
              </w:rPr>
              <w:t> » – C</w:t>
            </w:r>
            <w:r>
              <w:rPr>
                <w:rFonts w:asciiTheme="minorHAnsi" w:hAnsiTheme="minorHAnsi"/>
                <w:sz w:val="18"/>
                <w:szCs w:val="18"/>
              </w:rPr>
              <w:t>omment prévoyons-nous y parvenir?</w:t>
            </w:r>
          </w:p>
        </w:tc>
        <w:tc>
          <w:tcPr>
            <w:tcW w:w="726" w:type="pct"/>
            <w:shd w:val="clear" w:color="auto" w:fill="C3DEEC" w:themeFill="accent5" w:themeFillTint="33"/>
          </w:tcPr>
          <w:p w14:paraId="00C08000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MESURES DU PROJET</w:t>
            </w:r>
          </w:p>
          <w:p w14:paraId="73FB344C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« quoi »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dont nous avons besoin pour montrer les progrès réalisés?</w:t>
            </w:r>
          </w:p>
        </w:tc>
        <w:tc>
          <w:tcPr>
            <w:tcW w:w="737" w:type="pct"/>
            <w:shd w:val="clear" w:color="auto" w:fill="C9EDDC" w:themeFill="accent3" w:themeFillTint="33"/>
          </w:tcPr>
          <w:p w14:paraId="07123F93" w14:textId="53528C68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RÉSULTAT</w:t>
            </w:r>
            <w:r w:rsidR="000C76E1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 LA GESTION DU CHANGEMENT</w:t>
            </w:r>
          </w:p>
          <w:p w14:paraId="621DA213" w14:textId="01665E86" w:rsidR="00294135" w:rsidRPr="00294135" w:rsidRDefault="00294135" w:rsidP="00961D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« comment »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D8D">
              <w:rPr>
                <w:rFonts w:asciiTheme="minorHAnsi" w:hAnsiTheme="minorHAnsi"/>
                <w:sz w:val="18"/>
                <w:szCs w:val="18"/>
              </w:rPr>
              <w:t>– C</w:t>
            </w:r>
            <w:r>
              <w:rPr>
                <w:rFonts w:asciiTheme="minorHAnsi" w:hAnsiTheme="minorHAnsi"/>
                <w:sz w:val="18"/>
                <w:szCs w:val="18"/>
              </w:rPr>
              <w:t>omment nous entendons y parvenir pour garantir l’adoption, la compétence et la perception des utilisateurs.</w:t>
            </w:r>
          </w:p>
        </w:tc>
        <w:tc>
          <w:tcPr>
            <w:tcW w:w="716" w:type="pct"/>
            <w:shd w:val="clear" w:color="auto" w:fill="C9EDDC" w:themeFill="accent3" w:themeFillTint="33"/>
          </w:tcPr>
          <w:p w14:paraId="25DF8B2B" w14:textId="6E544154" w:rsidR="00294135" w:rsidRPr="00294135" w:rsidRDefault="000C76E1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MESURES</w:t>
            </w:r>
            <w:r w:rsidR="00294135">
              <w:rPr>
                <w:rFonts w:asciiTheme="minorHAnsi" w:hAnsiTheme="minorHAnsi"/>
                <w:b/>
                <w:sz w:val="18"/>
                <w:szCs w:val="18"/>
              </w:rPr>
              <w:t xml:space="preserve"> de la GC</w:t>
            </w:r>
          </w:p>
          <w:p w14:paraId="0BEAC96A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« quoi »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dont nous avons besoin pour montrer les progrès réalisés?</w:t>
            </w:r>
          </w:p>
        </w:tc>
        <w:tc>
          <w:tcPr>
            <w:tcW w:w="361" w:type="pct"/>
            <w:shd w:val="clear" w:color="auto" w:fill="C9EDDC" w:themeFill="accent3" w:themeFillTint="33"/>
          </w:tcPr>
          <w:p w14:paraId="493DA459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SOURCE DE DONNÉES ET MÉTHODE DE COLLECTE</w:t>
            </w:r>
          </w:p>
        </w:tc>
        <w:tc>
          <w:tcPr>
            <w:tcW w:w="493" w:type="pct"/>
            <w:shd w:val="clear" w:color="auto" w:fill="C9EDDC" w:themeFill="accent3" w:themeFillTint="33"/>
          </w:tcPr>
          <w:p w14:paraId="5CD6D70D" w14:textId="39D0194E" w:rsidR="00294135" w:rsidRPr="00294135" w:rsidRDefault="00D519E9" w:rsidP="001530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RESPONSABLES</w:t>
            </w:r>
          </w:p>
        </w:tc>
        <w:tc>
          <w:tcPr>
            <w:tcW w:w="427" w:type="pct"/>
            <w:shd w:val="clear" w:color="auto" w:fill="C9EDDC" w:themeFill="accent3" w:themeFillTint="33"/>
          </w:tcPr>
          <w:p w14:paraId="3904FD11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FRÉQUENCE</w:t>
            </w:r>
          </w:p>
        </w:tc>
      </w:tr>
      <w:tr w:rsidR="00294135" w:rsidRPr="00294135" w14:paraId="049E6235" w14:textId="77777777" w:rsidTr="009508D6">
        <w:tc>
          <w:tcPr>
            <w:tcW w:w="879" w:type="pct"/>
            <w:shd w:val="clear" w:color="auto" w:fill="auto"/>
          </w:tcPr>
          <w:p w14:paraId="6F04638E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  <w:t xml:space="preserve">Offrir un milieu de travail flexible aux employés </w:t>
            </w:r>
          </w:p>
          <w:p w14:paraId="166C2B9C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</w:tcPr>
          <w:p w14:paraId="4ED1BE3D" w14:textId="30B1F9C9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Déploiement d’outils informatiques mobiles (téléphones mobiles, ordinateurs portables, Skype pour les entreprises, Jabber, etc.) qui favorisent la mobilité et la communication des employés</w:t>
            </w:r>
          </w:p>
          <w:p w14:paraId="5F7BF756" w14:textId="21A80F42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Mise en œuvre d’un milieu d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e travail axé sur les activités</w:t>
            </w:r>
          </w:p>
        </w:tc>
        <w:tc>
          <w:tcPr>
            <w:tcW w:w="726" w:type="pct"/>
            <w:shd w:val="clear" w:color="auto" w:fill="auto"/>
          </w:tcPr>
          <w:p w14:paraId="31CC7B87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Meilleure utilisation de l’espace de travail (%)</w:t>
            </w:r>
          </w:p>
          <w:p w14:paraId="0CABC95B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Augmentation du travail à distance (%)</w:t>
            </w:r>
          </w:p>
          <w:p w14:paraId="35585D55" w14:textId="544B0DCC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Nombre de dispositifs déployés (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nombre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)</w:t>
            </w:r>
          </w:p>
          <w:p w14:paraId="1A016557" w14:textId="27756BF1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Nombre de licences déployées (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nombre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)</w:t>
            </w:r>
          </w:p>
          <w:p w14:paraId="42997DD1" w14:textId="77777777" w:rsidR="00294135" w:rsidRPr="00294135" w:rsidRDefault="00294135" w:rsidP="0050263B">
            <w:pPr>
              <w:pStyle w:val="ListParagraph"/>
              <w:ind w:left="320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157C9225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Compétence des utilisateurs pour gérer les équipes mobiles (gestionnaires et superviseurs)</w:t>
            </w:r>
          </w:p>
          <w:p w14:paraId="66FF5966" w14:textId="5EBAB75E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Les employés savent comment utiliser les outils et les applications mobiles (adoption, compétence)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.</w:t>
            </w:r>
          </w:p>
          <w:p w14:paraId="6D159497" w14:textId="70ECBE50" w:rsidR="00294135" w:rsidRPr="00294135" w:rsidRDefault="00294135" w:rsidP="009508D6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Les employés utilisent les différents </w:t>
            </w:r>
            <w:r w:rsidR="009508D6">
              <w:rPr>
                <w:rFonts w:asciiTheme="minorHAnsi" w:hAnsiTheme="minorHAnsi"/>
                <w:i/>
                <w:color w:val="77787B" w:themeColor="background1"/>
                <w:szCs w:val="20"/>
              </w:rPr>
              <w:t>points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 de travail fournis et savent comment les utiliser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.</w:t>
            </w:r>
          </w:p>
        </w:tc>
        <w:tc>
          <w:tcPr>
            <w:tcW w:w="716" w:type="pct"/>
            <w:shd w:val="clear" w:color="auto" w:fill="auto"/>
          </w:tcPr>
          <w:p w14:paraId="6FF24C54" w14:textId="398B76A8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Les employés sont capables d’utiliser de nouveaux outils/applications mobiles (%)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.</w:t>
            </w:r>
          </w:p>
          <w:p w14:paraId="3D672CE0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Salariés qui déclarent travailler dans un autre lieu (%)</w:t>
            </w:r>
          </w:p>
          <w:p w14:paraId="3A3158AE" w14:textId="77777777" w:rsidR="0050263B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Volume des demandes d’aide adressées au service d’aide informatique pour un nouvel outil informatique</w:t>
            </w:r>
          </w:p>
          <w:p w14:paraId="1223D3BF" w14:textId="3653D79C" w:rsidR="00294135" w:rsidRPr="0050263B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Les gestionnaires qui ont suivi la formation de gestionnaire</w:t>
            </w:r>
            <w:r w:rsidR="00961D8D">
              <w:rPr>
                <w:rFonts w:asciiTheme="minorHAnsi" w:hAnsiTheme="minorHAnsi"/>
                <w:i/>
                <w:color w:val="77787B" w:themeColor="background1"/>
                <w:szCs w:val="20"/>
              </w:rPr>
              <w:t>.</w:t>
            </w:r>
          </w:p>
        </w:tc>
        <w:tc>
          <w:tcPr>
            <w:tcW w:w="361" w:type="pct"/>
            <w:shd w:val="clear" w:color="auto" w:fill="auto"/>
          </w:tcPr>
          <w:p w14:paraId="037EF346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Consultations</w:t>
            </w:r>
          </w:p>
          <w:p w14:paraId="38477057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Statistiques Web</w:t>
            </w:r>
          </w:p>
          <w:p w14:paraId="27AD7E04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Document de projet</w:t>
            </w:r>
          </w:p>
        </w:tc>
        <w:tc>
          <w:tcPr>
            <w:tcW w:w="493" w:type="pct"/>
          </w:tcPr>
          <w:p w14:paraId="45C83313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Équipe XYZ</w:t>
            </w:r>
          </w:p>
        </w:tc>
        <w:tc>
          <w:tcPr>
            <w:tcW w:w="427" w:type="pct"/>
          </w:tcPr>
          <w:p w14:paraId="693119B3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En cours</w:t>
            </w:r>
          </w:p>
          <w:p w14:paraId="5EB8DE6D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À la livraison</w:t>
            </w:r>
          </w:p>
          <w:p w14:paraId="470B97DE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3 mois après la livraison</w:t>
            </w:r>
          </w:p>
          <w:p w14:paraId="2C5C2EA7" w14:textId="1199CD7B" w:rsidR="00294135" w:rsidRPr="00294135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6 mois après la livraison</w:t>
            </w:r>
          </w:p>
          <w:p w14:paraId="58926E4D" w14:textId="5889F8DF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</w:p>
        </w:tc>
      </w:tr>
      <w:tr w:rsidR="00294135" w:rsidRPr="00294135" w14:paraId="55E964C7" w14:textId="77777777" w:rsidTr="009508D6">
        <w:trPr>
          <w:trHeight w:val="1343"/>
        </w:trPr>
        <w:tc>
          <w:tcPr>
            <w:tcW w:w="879" w:type="pct"/>
            <w:shd w:val="clear" w:color="auto" w:fill="auto"/>
          </w:tcPr>
          <w:p w14:paraId="4B2A43C0" w14:textId="22CDFCF0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</w:tcPr>
          <w:p w14:paraId="2F75F4F1" w14:textId="77777777" w:rsidR="00294135" w:rsidRPr="00294135" w:rsidRDefault="00294135" w:rsidP="0050263B">
            <w:pPr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5B42935F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241C8AD7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</w:p>
        </w:tc>
        <w:tc>
          <w:tcPr>
            <w:tcW w:w="716" w:type="pct"/>
            <w:shd w:val="clear" w:color="auto" w:fill="auto"/>
          </w:tcPr>
          <w:p w14:paraId="76072016" w14:textId="7D527BAF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Employés conscients d</w:t>
            </w:r>
            <w:r w:rsidR="009508D6">
              <w:rPr>
                <w:rFonts w:asciiTheme="minorHAnsi" w:hAnsiTheme="minorHAnsi"/>
                <w:i/>
                <w:color w:val="77787B" w:themeColor="background1"/>
                <w:szCs w:val="20"/>
              </w:rPr>
              <w:t>es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 changement</w:t>
            </w:r>
            <w:r w:rsidR="009508D6">
              <w:rPr>
                <w:rFonts w:asciiTheme="minorHAnsi" w:hAnsiTheme="minorHAnsi"/>
                <w:i/>
                <w:color w:val="77787B" w:themeColor="background1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 (%)</w:t>
            </w:r>
          </w:p>
          <w:p w14:paraId="0A66DEDC" w14:textId="5797CCE3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Employés qui participent au</w:t>
            </w:r>
            <w:r w:rsidR="009508D6">
              <w:rPr>
                <w:rFonts w:asciiTheme="minorHAnsi" w:hAnsiTheme="minorHAnsi"/>
                <w:i/>
                <w:color w:val="77787B" w:themeColor="background1"/>
                <w:szCs w:val="20"/>
              </w:rPr>
              <w:t>x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 changement</w:t>
            </w:r>
            <w:r w:rsidR="009508D6">
              <w:rPr>
                <w:rFonts w:asciiTheme="minorHAnsi" w:hAnsiTheme="minorHAnsi"/>
                <w:i/>
                <w:color w:val="77787B" w:themeColor="background1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 xml:space="preserve"> (%)</w:t>
            </w:r>
          </w:p>
          <w:p w14:paraId="278062EF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Employés sont préoccupés par les changements (%)</w:t>
            </w:r>
          </w:p>
          <w:p w14:paraId="03602978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lastRenderedPageBreak/>
              <w:t>Employés qui participent au changement (%)</w:t>
            </w:r>
          </w:p>
          <w:p w14:paraId="1B238E61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Employés sont préoccupés par les changements (%)</w:t>
            </w:r>
          </w:p>
          <w:p w14:paraId="3E19D20A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Employés qui seront en mesure de mettre le changement en œuvre (%)</w:t>
            </w:r>
          </w:p>
        </w:tc>
        <w:tc>
          <w:tcPr>
            <w:tcW w:w="361" w:type="pct"/>
            <w:shd w:val="clear" w:color="auto" w:fill="auto"/>
          </w:tcPr>
          <w:p w14:paraId="7F9BA950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93" w:type="pct"/>
          </w:tcPr>
          <w:p w14:paraId="11BB608B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427" w:type="pct"/>
          </w:tcPr>
          <w:p w14:paraId="5C737F59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</w:p>
        </w:tc>
      </w:tr>
      <w:tr w:rsidR="00294135" w:rsidRPr="00294135" w14:paraId="6258739E" w14:textId="77777777" w:rsidTr="009508D6">
        <w:trPr>
          <w:trHeight w:val="2619"/>
        </w:trPr>
        <w:tc>
          <w:tcPr>
            <w:tcW w:w="879" w:type="pct"/>
            <w:shd w:val="clear" w:color="auto" w:fill="auto"/>
          </w:tcPr>
          <w:p w14:paraId="75CC1243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  <w:t>Fournir un milieu de travail qui favorise le mieux-être au travail</w:t>
            </w:r>
          </w:p>
        </w:tc>
        <w:tc>
          <w:tcPr>
            <w:tcW w:w="661" w:type="pct"/>
            <w:shd w:val="clear" w:color="auto" w:fill="auto"/>
          </w:tcPr>
          <w:p w14:paraId="30E58ABA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7107DB1B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556D9D55" w14:textId="77777777" w:rsidR="00294135" w:rsidRPr="00AE68D2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14:paraId="6939AFE6" w14:textId="77777777" w:rsidR="00294135" w:rsidRPr="00AE68D2" w:rsidRDefault="00294135" w:rsidP="0050263B">
            <w:pPr>
              <w:pStyle w:val="ListParagraph"/>
              <w:ind w:left="320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51E0B94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493" w:type="pct"/>
          </w:tcPr>
          <w:p w14:paraId="4CAF24BA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427" w:type="pct"/>
          </w:tcPr>
          <w:p w14:paraId="7620C5FD" w14:textId="77777777" w:rsidR="00294135" w:rsidRPr="00294135" w:rsidRDefault="00294135" w:rsidP="0050263B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5C351C54" w14:textId="77777777" w:rsidR="0002596F" w:rsidRDefault="0002596F"/>
    <w:sectPr w:rsidR="0002596F" w:rsidSect="0011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7B70" w14:textId="77777777" w:rsidR="00872392" w:rsidRDefault="00872392" w:rsidP="00237C4B">
      <w:r>
        <w:separator/>
      </w:r>
    </w:p>
  </w:endnote>
  <w:endnote w:type="continuationSeparator" w:id="0">
    <w:p w14:paraId="26BF0CDB" w14:textId="77777777" w:rsidR="00872392" w:rsidRDefault="00872392" w:rsidP="002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B685" w14:textId="77777777" w:rsidR="00237C4B" w:rsidRDefault="00237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C9F9" w14:textId="77777777" w:rsidR="00237C4B" w:rsidRDefault="00237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9F8D" w14:textId="77777777" w:rsidR="00237C4B" w:rsidRDefault="0023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E1A8A" w14:textId="77777777" w:rsidR="00872392" w:rsidRDefault="00872392" w:rsidP="00237C4B">
      <w:r>
        <w:separator/>
      </w:r>
    </w:p>
  </w:footnote>
  <w:footnote w:type="continuationSeparator" w:id="0">
    <w:p w14:paraId="36D1604C" w14:textId="77777777" w:rsidR="00872392" w:rsidRDefault="00872392" w:rsidP="0023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ED19" w14:textId="77777777" w:rsidR="00237C4B" w:rsidRDefault="00237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288C" w14:textId="77777777" w:rsidR="00237C4B" w:rsidRDefault="00237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777ED" w14:textId="77777777" w:rsidR="00237C4B" w:rsidRDefault="0023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6F9"/>
    <w:multiLevelType w:val="hybridMultilevel"/>
    <w:tmpl w:val="B7FA7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C38"/>
    <w:multiLevelType w:val="multilevel"/>
    <w:tmpl w:val="85F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55473"/>
    <w:multiLevelType w:val="hybridMultilevel"/>
    <w:tmpl w:val="F14C7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179"/>
    <w:multiLevelType w:val="hybridMultilevel"/>
    <w:tmpl w:val="C1DCC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989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930"/>
    <w:multiLevelType w:val="hybridMultilevel"/>
    <w:tmpl w:val="8E5A7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53A1"/>
    <w:multiLevelType w:val="hybridMultilevel"/>
    <w:tmpl w:val="0CC2B1A0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6FC223B9"/>
    <w:multiLevelType w:val="multilevel"/>
    <w:tmpl w:val="33A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2"/>
    <w:rsid w:val="0002596F"/>
    <w:rsid w:val="00065921"/>
    <w:rsid w:val="000C76E1"/>
    <w:rsid w:val="00114182"/>
    <w:rsid w:val="00153056"/>
    <w:rsid w:val="0016526E"/>
    <w:rsid w:val="00237C4B"/>
    <w:rsid w:val="00255E5C"/>
    <w:rsid w:val="00294135"/>
    <w:rsid w:val="002C4DE3"/>
    <w:rsid w:val="002D2DB6"/>
    <w:rsid w:val="002E3BE0"/>
    <w:rsid w:val="00355597"/>
    <w:rsid w:val="003A46F8"/>
    <w:rsid w:val="00412AEB"/>
    <w:rsid w:val="00490A00"/>
    <w:rsid w:val="004B4A3F"/>
    <w:rsid w:val="0050263B"/>
    <w:rsid w:val="005E7420"/>
    <w:rsid w:val="007913E0"/>
    <w:rsid w:val="007D57E9"/>
    <w:rsid w:val="007D5B59"/>
    <w:rsid w:val="0086576D"/>
    <w:rsid w:val="00872392"/>
    <w:rsid w:val="008C278A"/>
    <w:rsid w:val="008C45BB"/>
    <w:rsid w:val="0092109B"/>
    <w:rsid w:val="009508D6"/>
    <w:rsid w:val="00961D8D"/>
    <w:rsid w:val="00987556"/>
    <w:rsid w:val="00A51FF1"/>
    <w:rsid w:val="00AB3C1E"/>
    <w:rsid w:val="00AB69F1"/>
    <w:rsid w:val="00AE68D2"/>
    <w:rsid w:val="00B670DA"/>
    <w:rsid w:val="00B83C7F"/>
    <w:rsid w:val="00C02112"/>
    <w:rsid w:val="00C101B2"/>
    <w:rsid w:val="00CB663A"/>
    <w:rsid w:val="00D00A99"/>
    <w:rsid w:val="00D519E9"/>
    <w:rsid w:val="00D819D6"/>
    <w:rsid w:val="00E46AD2"/>
    <w:rsid w:val="00EB51A1"/>
    <w:rsid w:val="00F01514"/>
    <w:rsid w:val="00F40D86"/>
    <w:rsid w:val="00F7267B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9AA"/>
  <w15:chartTrackingRefBased/>
  <w15:docId w15:val="{2028E474-65B9-430F-9233-076C31E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92109B"/>
    <w:pPr>
      <w:spacing w:before="100" w:beforeAutospacing="1" w:after="100" w:afterAutospacing="1"/>
      <w:outlineLvl w:val="2"/>
    </w:pPr>
    <w:rPr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109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210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09B"/>
    <w:pPr>
      <w:spacing w:before="100" w:beforeAutospacing="1" w:after="100" w:afterAutospacing="1"/>
    </w:pPr>
    <w:rPr>
      <w:sz w:val="24"/>
      <w:lang w:eastAsia="en-CA"/>
    </w:rPr>
  </w:style>
  <w:style w:type="character" w:styleId="Emphasis">
    <w:name w:val="Emphasis"/>
    <w:basedOn w:val="DefaultParagraphFont"/>
    <w:uiPriority w:val="20"/>
    <w:qFormat/>
    <w:rsid w:val="00EB51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00"/>
    <w:rPr>
      <w:rFonts w:ascii="Segoe UI" w:eastAsia="Times New Roman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A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A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37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4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4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4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77787B"/>
      </a:lt1>
      <a:dk2>
        <a:srgbClr val="F5AD1E"/>
      </a:dk2>
      <a:lt2>
        <a:srgbClr val="51B49F"/>
      </a:lt2>
      <a:accent1>
        <a:srgbClr val="51B49F"/>
      </a:accent1>
      <a:accent2>
        <a:srgbClr val="A9CE75"/>
      </a:accent2>
      <a:accent3>
        <a:srgbClr val="277852"/>
      </a:accent3>
      <a:accent4>
        <a:srgbClr val="F5AD1E"/>
      </a:accent4>
      <a:accent5>
        <a:srgbClr val="1C465C"/>
      </a:accent5>
      <a:accent6>
        <a:srgbClr val="BCBEC0"/>
      </a:accent6>
      <a:hlink>
        <a:srgbClr val="277852"/>
      </a:hlink>
      <a:folHlink>
        <a:srgbClr val="27785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Bemeur</dc:creator>
  <cp:keywords/>
  <dc:description/>
  <cp:lastModifiedBy>Alexandrine Menard</cp:lastModifiedBy>
  <cp:revision>4</cp:revision>
  <dcterms:created xsi:type="dcterms:W3CDTF">2020-07-22T17:33:00Z</dcterms:created>
  <dcterms:modified xsi:type="dcterms:W3CDTF">2020-07-23T15:50:00Z</dcterms:modified>
</cp:coreProperties>
</file>