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559B4" w14:textId="77777777" w:rsidR="003528AE" w:rsidRDefault="00B31301" w:rsidP="003528AE">
      <w:pPr>
        <w:rPr>
          <w:b/>
          <w:sz w:val="56"/>
        </w:rPr>
      </w:pPr>
      <w:r>
        <w:rPr>
          <w:rFonts w:ascii="Times New Roman" w:hAnsi="Times New Roman" w:cs="Times New Roman"/>
          <w:b/>
          <w:noProof/>
          <w:color w:val="365F91" w:themeColor="accent1" w:themeShade="BF"/>
          <w:lang w:val="en-US"/>
        </w:rPr>
        <w:drawing>
          <wp:anchor distT="0" distB="0" distL="114300" distR="114300" simplePos="0" relativeHeight="251673600" behindDoc="1" locked="0" layoutInCell="1" allowOverlap="1" wp14:anchorId="7CE9F14E" wp14:editId="35DB3A3E">
            <wp:simplePos x="0" y="0"/>
            <wp:positionH relativeFrom="column">
              <wp:posOffset>1301115</wp:posOffset>
            </wp:positionH>
            <wp:positionV relativeFrom="paragraph">
              <wp:posOffset>434975</wp:posOffset>
            </wp:positionV>
            <wp:extent cx="3554095" cy="2380615"/>
            <wp:effectExtent l="0" t="0" r="8255" b="635"/>
            <wp:wrapTight wrapText="bothSides">
              <wp:wrapPolygon edited="0">
                <wp:start x="0" y="0"/>
                <wp:lineTo x="0" y="21433"/>
                <wp:lineTo x="21534" y="21433"/>
                <wp:lineTo x="21534" y="0"/>
                <wp:lineTo x="0" y="0"/>
              </wp:wrapPolygon>
            </wp:wrapTight>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r:link="rId12">
                      <a:lum bright="20000"/>
                      <a:extLst>
                        <a:ext uri="{28A0092B-C50C-407E-A947-70E740481C1C}">
                          <a14:useLocalDpi xmlns:a14="http://schemas.microsoft.com/office/drawing/2010/main" val="0"/>
                        </a:ext>
                      </a:extLst>
                    </a:blip>
                    <a:srcRect/>
                    <a:stretch>
                      <a:fillRect/>
                    </a:stretch>
                  </pic:blipFill>
                  <pic:spPr bwMode="auto">
                    <a:xfrm>
                      <a:off x="0" y="0"/>
                      <a:ext cx="355409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F0995" w14:textId="77777777" w:rsidR="003528AE" w:rsidRDefault="003528AE" w:rsidP="003528AE">
      <w:pPr>
        <w:rPr>
          <w:b/>
          <w:sz w:val="56"/>
        </w:rPr>
      </w:pPr>
    </w:p>
    <w:p w14:paraId="67EF85FF" w14:textId="77777777" w:rsidR="003528AE" w:rsidRDefault="003528AE" w:rsidP="003528AE">
      <w:pPr>
        <w:rPr>
          <w:b/>
          <w:sz w:val="56"/>
        </w:rPr>
      </w:pPr>
    </w:p>
    <w:p w14:paraId="6AF484FD" w14:textId="77777777" w:rsidR="003528AE" w:rsidRDefault="003528AE" w:rsidP="003528AE">
      <w:pPr>
        <w:rPr>
          <w:b/>
          <w:sz w:val="56"/>
        </w:rPr>
      </w:pPr>
    </w:p>
    <w:p w14:paraId="419ED9B1" w14:textId="77777777" w:rsidR="003528AE" w:rsidRDefault="003528AE" w:rsidP="003528AE">
      <w:pPr>
        <w:rPr>
          <w:b/>
          <w:sz w:val="56"/>
        </w:rPr>
      </w:pPr>
    </w:p>
    <w:p w14:paraId="061237D7" w14:textId="77777777" w:rsidR="003528AE" w:rsidRDefault="003528AE" w:rsidP="003528AE">
      <w:pPr>
        <w:rPr>
          <w:b/>
          <w:sz w:val="56"/>
        </w:rPr>
      </w:pPr>
    </w:p>
    <w:p w14:paraId="03F4F319" w14:textId="77777777" w:rsidR="003528AE" w:rsidRDefault="00FF7579" w:rsidP="003528AE">
      <w:pPr>
        <w:rPr>
          <w:b/>
          <w:sz w:val="56"/>
        </w:rPr>
      </w:pPr>
      <w:r>
        <w:rPr>
          <w:b/>
          <w:sz w:val="56"/>
        </w:rPr>
        <w:t>Digital Service Delivery: Disruptive digital technologies, data privacy and governance</w:t>
      </w:r>
    </w:p>
    <w:p w14:paraId="671EBE34" w14:textId="77777777" w:rsidR="003528AE" w:rsidRDefault="003528AE" w:rsidP="003528AE">
      <w:pPr>
        <w:rPr>
          <w:sz w:val="40"/>
        </w:rPr>
      </w:pPr>
    </w:p>
    <w:p w14:paraId="2173AC9B" w14:textId="4BE4078B" w:rsidR="003528AE" w:rsidRDefault="003528AE" w:rsidP="003528AE">
      <w:pPr>
        <w:rPr>
          <w:sz w:val="40"/>
        </w:rPr>
      </w:pPr>
    </w:p>
    <w:p w14:paraId="0602348B" w14:textId="594F5FCD" w:rsidR="00C218DB" w:rsidRDefault="00C218DB" w:rsidP="003528AE">
      <w:pPr>
        <w:rPr>
          <w:sz w:val="40"/>
        </w:rPr>
      </w:pPr>
    </w:p>
    <w:p w14:paraId="551B2472" w14:textId="2D81AA32" w:rsidR="00C218DB" w:rsidRDefault="00C218DB" w:rsidP="003528AE">
      <w:pPr>
        <w:rPr>
          <w:sz w:val="40"/>
        </w:rPr>
      </w:pPr>
      <w:r w:rsidRPr="00714172">
        <w:rPr>
          <w:rFonts w:ascii="Arial" w:hAnsi="Arial" w:cs="Arial"/>
          <w:i/>
          <w:noProof/>
          <w:sz w:val="24"/>
          <w:szCs w:val="24"/>
          <w:lang w:val="en-US"/>
        </w:rPr>
        <mc:AlternateContent>
          <mc:Choice Requires="wps">
            <w:drawing>
              <wp:anchor distT="45720" distB="45720" distL="114300" distR="114300" simplePos="0" relativeHeight="251679744" behindDoc="0" locked="0" layoutInCell="1" allowOverlap="1" wp14:anchorId="626AF98F" wp14:editId="12B65704">
                <wp:simplePos x="0" y="0"/>
                <wp:positionH relativeFrom="margin">
                  <wp:align>left</wp:align>
                </wp:positionH>
                <wp:positionV relativeFrom="paragraph">
                  <wp:posOffset>217170</wp:posOffset>
                </wp:positionV>
                <wp:extent cx="3114675" cy="838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38200"/>
                        </a:xfrm>
                        <a:prstGeom prst="rect">
                          <a:avLst/>
                        </a:prstGeom>
                        <a:solidFill>
                          <a:srgbClr val="FFFFFF"/>
                        </a:solidFill>
                        <a:ln w="9525">
                          <a:solidFill>
                            <a:srgbClr val="000000"/>
                          </a:solidFill>
                          <a:miter lim="800000"/>
                          <a:headEnd/>
                          <a:tailEnd/>
                        </a:ln>
                      </wps:spPr>
                      <wps:txbx>
                        <w:txbxContent>
                          <w:p w14:paraId="4412D55C" w14:textId="77777777" w:rsidR="00C218DB" w:rsidRDefault="00C218DB" w:rsidP="00C218DB">
                            <w:pPr>
                              <w:jc w:val="center"/>
                            </w:pPr>
                            <w:r>
                              <w:t>This paper was prepared as background material to support dialogue at the fifth gathering of senior Canadian and Australian public servants under the Canada-Australia Public Policy Initiative (CAPPI)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AF98F" id="_x0000_t202" coordsize="21600,21600" o:spt="202" path="m,l,21600r21600,l21600,xe">
                <v:stroke joinstyle="miter"/>
                <v:path gradientshapeok="t" o:connecttype="rect"/>
              </v:shapetype>
              <v:shape id="Text Box 2" o:spid="_x0000_s1026" type="#_x0000_t202" style="position:absolute;margin-left:0;margin-top:17.1pt;width:245.25pt;height:6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">
                <v:textbox>
                  <w:txbxContent>
                    <w:p w14:paraId="4412D55C" w14:textId="77777777" w:rsidR="00C218DB" w:rsidRDefault="00C218DB" w:rsidP="00C218DB">
                      <w:pPr>
                        <w:jc w:val="center"/>
                      </w:pPr>
                      <w:r>
                        <w:t>This paper was prepared as background material to support dialogue at the fifth gathering of senior Canadian and Australian public servants under the Canada-Australia Public Policy Initiative (CAPPI)</w:t>
                      </w:r>
                    </w:p>
                  </w:txbxContent>
                </v:textbox>
                <w10:wrap type="square" anchorx="margin"/>
              </v:shape>
            </w:pict>
          </mc:Fallback>
        </mc:AlternateContent>
      </w:r>
    </w:p>
    <w:p w14:paraId="3190EDFC" w14:textId="77777777" w:rsidR="00C218DB" w:rsidRDefault="00C218DB" w:rsidP="003528AE">
      <w:pPr>
        <w:rPr>
          <w:sz w:val="40"/>
        </w:rPr>
      </w:pPr>
    </w:p>
    <w:p w14:paraId="391FBB12" w14:textId="77777777" w:rsidR="00C218DB" w:rsidRDefault="00C218DB" w:rsidP="003528AE">
      <w:pPr>
        <w:rPr>
          <w:sz w:val="40"/>
        </w:rPr>
      </w:pPr>
    </w:p>
    <w:p w14:paraId="6DB1765F" w14:textId="547C218B" w:rsidR="003528AE" w:rsidRDefault="003528AE" w:rsidP="003528AE">
      <w:pPr>
        <w:rPr>
          <w:sz w:val="40"/>
        </w:rPr>
      </w:pPr>
      <w:r w:rsidRPr="005A2A43">
        <w:rPr>
          <w:sz w:val="40"/>
        </w:rPr>
        <w:t>Canada-Australia Public Policy Initiative</w:t>
      </w:r>
    </w:p>
    <w:p w14:paraId="5C0EB655" w14:textId="748439C6" w:rsidR="00B31301" w:rsidRPr="00156462" w:rsidRDefault="007F3B67">
      <w:pPr>
        <w:rPr>
          <w:rFonts w:ascii="Times New Roman" w:hAnsi="Times New Roman" w:cs="Times New Roman"/>
          <w:i/>
          <w:sz w:val="24"/>
        </w:rPr>
      </w:pPr>
      <w:r>
        <w:rPr>
          <w:sz w:val="40"/>
        </w:rPr>
        <w:t>January</w:t>
      </w:r>
      <w:r w:rsidR="00140892">
        <w:rPr>
          <w:sz w:val="40"/>
        </w:rPr>
        <w:t xml:space="preserve"> </w:t>
      </w:r>
      <w:r>
        <w:rPr>
          <w:sz w:val="40"/>
        </w:rPr>
        <w:t>2019</w:t>
      </w:r>
      <w:bookmarkStart w:id="0" w:name="_GoBack"/>
      <w:bookmarkEnd w:id="0"/>
      <w:r w:rsidR="00B31301" w:rsidRPr="00156462">
        <w:rPr>
          <w:rFonts w:ascii="Times New Roman" w:hAnsi="Times New Roman" w:cs="Times New Roman"/>
          <w:i/>
          <w:sz w:val="24"/>
        </w:rPr>
        <w:br w:type="page"/>
      </w:r>
    </w:p>
    <w:p w14:paraId="3B75B492" w14:textId="77777777" w:rsidR="00DE47E9" w:rsidRPr="00D858E6" w:rsidRDefault="00D858E6" w:rsidP="00DE552C">
      <w:pPr>
        <w:spacing w:before="240" w:after="12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Executive Summary</w:t>
      </w:r>
    </w:p>
    <w:p w14:paraId="2D9D08C7" w14:textId="77777777" w:rsidR="00797AA6" w:rsidRPr="00D32DD2" w:rsidRDefault="00752504" w:rsidP="00421C2B">
      <w:pPr>
        <w:pStyle w:val="ListParagraph"/>
        <w:numPr>
          <w:ilvl w:val="0"/>
          <w:numId w:val="22"/>
        </w:numPr>
        <w:spacing w:after="120"/>
        <w:ind w:left="357" w:hanging="357"/>
        <w:rPr>
          <w:szCs w:val="24"/>
        </w:rPr>
      </w:pPr>
      <w:r w:rsidRPr="00D32DD2">
        <w:rPr>
          <w:szCs w:val="24"/>
        </w:rPr>
        <w:t xml:space="preserve">Australia and Canada </w:t>
      </w:r>
      <w:r w:rsidR="00B85167" w:rsidRPr="00D32DD2">
        <w:rPr>
          <w:szCs w:val="24"/>
        </w:rPr>
        <w:t xml:space="preserve">need to </w:t>
      </w:r>
      <w:r w:rsidR="00797AA6" w:rsidRPr="00D32DD2">
        <w:rPr>
          <w:szCs w:val="24"/>
        </w:rPr>
        <w:t>accelerat</w:t>
      </w:r>
      <w:r w:rsidR="00B85167" w:rsidRPr="00D32DD2">
        <w:rPr>
          <w:szCs w:val="24"/>
        </w:rPr>
        <w:t>e</w:t>
      </w:r>
      <w:r w:rsidR="00797AA6" w:rsidRPr="00D32DD2">
        <w:rPr>
          <w:szCs w:val="24"/>
        </w:rPr>
        <w:t xml:space="preserve"> the transformation of service delivery to keep pace with </w:t>
      </w:r>
      <w:r w:rsidRPr="00D32DD2">
        <w:rPr>
          <w:szCs w:val="24"/>
        </w:rPr>
        <w:t xml:space="preserve">their </w:t>
      </w:r>
      <w:r w:rsidR="00797AA6" w:rsidRPr="00D32DD2">
        <w:rPr>
          <w:szCs w:val="24"/>
        </w:rPr>
        <w:t>citizens’ expectations in an age of rapid digital transformation and disruption.</w:t>
      </w:r>
      <w:r w:rsidR="00B85167" w:rsidRPr="00D32DD2">
        <w:rPr>
          <w:szCs w:val="24"/>
        </w:rPr>
        <w:t xml:space="preserve"> </w:t>
      </w:r>
    </w:p>
    <w:p w14:paraId="7C66758F" w14:textId="77777777" w:rsidR="005760AD" w:rsidRPr="00D32DD2" w:rsidRDefault="00B85167" w:rsidP="00421C2B">
      <w:pPr>
        <w:pStyle w:val="ListParagraph"/>
        <w:numPr>
          <w:ilvl w:val="0"/>
          <w:numId w:val="22"/>
        </w:numPr>
        <w:spacing w:after="120"/>
        <w:ind w:left="357" w:hanging="357"/>
        <w:rPr>
          <w:szCs w:val="24"/>
        </w:rPr>
      </w:pPr>
      <w:r w:rsidRPr="00D32DD2">
        <w:rPr>
          <w:szCs w:val="24"/>
        </w:rPr>
        <w:t xml:space="preserve">However, while there have been gains </w:t>
      </w:r>
      <w:r w:rsidR="005760AD" w:rsidRPr="00D32DD2">
        <w:rPr>
          <w:szCs w:val="24"/>
        </w:rPr>
        <w:t xml:space="preserve">and lessons learned </w:t>
      </w:r>
      <w:r w:rsidRPr="00D32DD2">
        <w:rPr>
          <w:szCs w:val="24"/>
        </w:rPr>
        <w:t xml:space="preserve">in leveraging technology to improve service delivery, </w:t>
      </w:r>
      <w:r w:rsidR="005760AD" w:rsidRPr="00D32DD2">
        <w:rPr>
          <w:szCs w:val="24"/>
        </w:rPr>
        <w:t xml:space="preserve">the large potential gains that will transform how citizens deal with government will come from </w:t>
      </w:r>
      <w:r w:rsidRPr="00D32DD2">
        <w:rPr>
          <w:szCs w:val="24"/>
        </w:rPr>
        <w:t xml:space="preserve">whole of government </w:t>
      </w:r>
      <w:r w:rsidR="005760AD" w:rsidRPr="00D32DD2">
        <w:rPr>
          <w:szCs w:val="24"/>
        </w:rPr>
        <w:t xml:space="preserve">service delivery </w:t>
      </w:r>
      <w:r w:rsidRPr="00D32DD2">
        <w:rPr>
          <w:szCs w:val="24"/>
        </w:rPr>
        <w:t>transformation</w:t>
      </w:r>
      <w:r w:rsidR="005760AD" w:rsidRPr="00D32DD2">
        <w:rPr>
          <w:szCs w:val="24"/>
        </w:rPr>
        <w:t>.</w:t>
      </w:r>
    </w:p>
    <w:p w14:paraId="01B8E2CB" w14:textId="77777777" w:rsidR="00B85167" w:rsidRPr="00D32DD2" w:rsidRDefault="003B64C6" w:rsidP="00421C2B">
      <w:pPr>
        <w:pStyle w:val="ListParagraph"/>
        <w:numPr>
          <w:ilvl w:val="0"/>
          <w:numId w:val="22"/>
        </w:numPr>
        <w:spacing w:after="120"/>
        <w:ind w:left="357" w:hanging="357"/>
        <w:rPr>
          <w:szCs w:val="24"/>
        </w:rPr>
      </w:pPr>
      <w:r w:rsidRPr="00D32DD2">
        <w:rPr>
          <w:szCs w:val="24"/>
        </w:rPr>
        <w:t>W</w:t>
      </w:r>
      <w:r w:rsidR="005760AD" w:rsidRPr="00D32DD2">
        <w:rPr>
          <w:szCs w:val="24"/>
        </w:rPr>
        <w:t xml:space="preserve">hole of government transformation </w:t>
      </w:r>
      <w:r w:rsidR="009D3DF8" w:rsidRPr="00D32DD2">
        <w:rPr>
          <w:szCs w:val="24"/>
        </w:rPr>
        <w:t xml:space="preserve">that delivers one stop, “tell us once platforms” for citizens </w:t>
      </w:r>
      <w:r w:rsidR="00B85167" w:rsidRPr="00D32DD2">
        <w:rPr>
          <w:szCs w:val="24"/>
        </w:rPr>
        <w:t xml:space="preserve">will require </w:t>
      </w:r>
      <w:r w:rsidRPr="00D32DD2">
        <w:rPr>
          <w:szCs w:val="24"/>
        </w:rPr>
        <w:t xml:space="preserve">joined up </w:t>
      </w:r>
      <w:r w:rsidR="009D3DF8" w:rsidRPr="00D32DD2">
        <w:rPr>
          <w:szCs w:val="24"/>
        </w:rPr>
        <w:t>approaches</w:t>
      </w:r>
      <w:r w:rsidR="00B85167" w:rsidRPr="00D32DD2">
        <w:rPr>
          <w:szCs w:val="24"/>
        </w:rPr>
        <w:t xml:space="preserve"> </w:t>
      </w:r>
      <w:r w:rsidR="009D3DF8" w:rsidRPr="00D32DD2">
        <w:rPr>
          <w:szCs w:val="24"/>
        </w:rPr>
        <w:t xml:space="preserve">across departments </w:t>
      </w:r>
      <w:r w:rsidR="00B85167" w:rsidRPr="00D32DD2">
        <w:rPr>
          <w:szCs w:val="24"/>
        </w:rPr>
        <w:t>a</w:t>
      </w:r>
      <w:r w:rsidR="009D3DF8" w:rsidRPr="00D32DD2">
        <w:rPr>
          <w:szCs w:val="24"/>
        </w:rPr>
        <w:t xml:space="preserve">nd levels of </w:t>
      </w:r>
      <w:r w:rsidRPr="00D32DD2">
        <w:rPr>
          <w:szCs w:val="24"/>
        </w:rPr>
        <w:t>government, broad</w:t>
      </w:r>
      <w:r w:rsidR="00FB2410">
        <w:rPr>
          <w:szCs w:val="24"/>
        </w:rPr>
        <w:t>-</w:t>
      </w:r>
      <w:r w:rsidRPr="00D32DD2">
        <w:rPr>
          <w:szCs w:val="24"/>
        </w:rPr>
        <w:t>base</w:t>
      </w:r>
      <w:r w:rsidR="009D3DF8" w:rsidRPr="00D32DD2">
        <w:rPr>
          <w:szCs w:val="24"/>
        </w:rPr>
        <w:t xml:space="preserve">d community support for the </w:t>
      </w:r>
      <w:r w:rsidR="005760AD" w:rsidRPr="00D32DD2">
        <w:rPr>
          <w:szCs w:val="24"/>
        </w:rPr>
        <w:t xml:space="preserve">greater </w:t>
      </w:r>
      <w:r w:rsidR="009D3DF8" w:rsidRPr="00D32DD2">
        <w:rPr>
          <w:szCs w:val="24"/>
        </w:rPr>
        <w:t>sharing of</w:t>
      </w:r>
      <w:r w:rsidR="00DA30B6" w:rsidRPr="00D32DD2">
        <w:rPr>
          <w:szCs w:val="24"/>
        </w:rPr>
        <w:t xml:space="preserve"> </w:t>
      </w:r>
      <w:r w:rsidR="00B85167" w:rsidRPr="00D32DD2">
        <w:rPr>
          <w:szCs w:val="24"/>
        </w:rPr>
        <w:t xml:space="preserve">data </w:t>
      </w:r>
      <w:r w:rsidR="009D3DF8" w:rsidRPr="00D32DD2">
        <w:rPr>
          <w:szCs w:val="24"/>
        </w:rPr>
        <w:t>across jurisdictions</w:t>
      </w:r>
      <w:r w:rsidRPr="00D32DD2">
        <w:rPr>
          <w:szCs w:val="24"/>
        </w:rPr>
        <w:t xml:space="preserve">, </w:t>
      </w:r>
      <w:r w:rsidR="00DA30B6" w:rsidRPr="00D32DD2">
        <w:rPr>
          <w:szCs w:val="24"/>
        </w:rPr>
        <w:t xml:space="preserve">and </w:t>
      </w:r>
      <w:r w:rsidRPr="00D32DD2">
        <w:rPr>
          <w:szCs w:val="24"/>
        </w:rPr>
        <w:t xml:space="preserve">stronger capability within </w:t>
      </w:r>
      <w:r w:rsidR="009D3DF8" w:rsidRPr="00D32DD2">
        <w:rPr>
          <w:szCs w:val="24"/>
        </w:rPr>
        <w:t xml:space="preserve">government to </w:t>
      </w:r>
      <w:r w:rsidRPr="00D32DD2">
        <w:rPr>
          <w:szCs w:val="24"/>
        </w:rPr>
        <w:t>lead and govern transformational change</w:t>
      </w:r>
      <w:r w:rsidR="00B85167" w:rsidRPr="00D32DD2">
        <w:rPr>
          <w:szCs w:val="24"/>
        </w:rPr>
        <w:t>.</w:t>
      </w:r>
    </w:p>
    <w:p w14:paraId="2CE13254" w14:textId="61F1BAA0" w:rsidR="002C4956" w:rsidRPr="00D32DD2" w:rsidRDefault="009D3DF8" w:rsidP="00421C2B">
      <w:pPr>
        <w:pStyle w:val="ListParagraph"/>
        <w:numPr>
          <w:ilvl w:val="0"/>
          <w:numId w:val="22"/>
        </w:numPr>
        <w:spacing w:after="120"/>
        <w:ind w:left="357" w:hanging="357"/>
        <w:rPr>
          <w:szCs w:val="24"/>
        </w:rPr>
      </w:pPr>
      <w:r w:rsidRPr="00D32DD2">
        <w:rPr>
          <w:szCs w:val="24"/>
        </w:rPr>
        <w:t xml:space="preserve">While significant steps have been made, </w:t>
      </w:r>
      <w:r w:rsidR="002C6D14">
        <w:rPr>
          <w:szCs w:val="24"/>
        </w:rPr>
        <w:t>more</w:t>
      </w:r>
      <w:r w:rsidR="002C6D14" w:rsidRPr="00D32DD2">
        <w:rPr>
          <w:szCs w:val="24"/>
        </w:rPr>
        <w:t xml:space="preserve"> </w:t>
      </w:r>
      <w:r w:rsidRPr="00D32DD2">
        <w:rPr>
          <w:szCs w:val="24"/>
        </w:rPr>
        <w:t xml:space="preserve">work remains </w:t>
      </w:r>
      <w:r w:rsidR="00B85167" w:rsidRPr="00D32DD2">
        <w:rPr>
          <w:szCs w:val="24"/>
        </w:rPr>
        <w:t xml:space="preserve">to build public trust </w:t>
      </w:r>
      <w:r w:rsidRPr="00D32DD2">
        <w:rPr>
          <w:szCs w:val="24"/>
        </w:rPr>
        <w:t xml:space="preserve">in more data sharing and whole of </w:t>
      </w:r>
      <w:r w:rsidR="00DA30B6" w:rsidRPr="00D32DD2">
        <w:rPr>
          <w:szCs w:val="24"/>
        </w:rPr>
        <w:t xml:space="preserve">government </w:t>
      </w:r>
      <w:r w:rsidR="003B64C6" w:rsidRPr="00D32DD2">
        <w:rPr>
          <w:szCs w:val="24"/>
        </w:rPr>
        <w:t xml:space="preserve">capability to drive, </w:t>
      </w:r>
      <w:r w:rsidR="00DA30B6" w:rsidRPr="00D32DD2">
        <w:rPr>
          <w:szCs w:val="24"/>
        </w:rPr>
        <w:t>oversight</w:t>
      </w:r>
      <w:r w:rsidR="00FB2410">
        <w:rPr>
          <w:szCs w:val="24"/>
        </w:rPr>
        <w:t>,</w:t>
      </w:r>
      <w:r w:rsidR="003B64C6" w:rsidRPr="00D32DD2">
        <w:rPr>
          <w:szCs w:val="24"/>
        </w:rPr>
        <w:t xml:space="preserve"> and</w:t>
      </w:r>
      <w:r w:rsidR="00DA30B6" w:rsidRPr="00D32DD2">
        <w:rPr>
          <w:szCs w:val="24"/>
        </w:rPr>
        <w:t xml:space="preserve"> govern</w:t>
      </w:r>
      <w:r w:rsidR="003B64C6" w:rsidRPr="00D32DD2">
        <w:rPr>
          <w:szCs w:val="24"/>
        </w:rPr>
        <w:t xml:space="preserve"> transformational change</w:t>
      </w:r>
      <w:r w:rsidR="002C4956" w:rsidRPr="00D32DD2">
        <w:rPr>
          <w:szCs w:val="24"/>
        </w:rPr>
        <w:t>.</w:t>
      </w:r>
      <w:r w:rsidR="00B85167" w:rsidRPr="00D32DD2">
        <w:rPr>
          <w:szCs w:val="24"/>
        </w:rPr>
        <w:t xml:space="preserve">    </w:t>
      </w:r>
    </w:p>
    <w:p w14:paraId="56549D47" w14:textId="156B5F17" w:rsidR="002C4956" w:rsidRDefault="009D3DF8" w:rsidP="00421C2B">
      <w:pPr>
        <w:pStyle w:val="Bullet"/>
        <w:numPr>
          <w:ilvl w:val="0"/>
          <w:numId w:val="22"/>
        </w:numPr>
        <w:spacing w:after="120" w:line="240" w:lineRule="auto"/>
        <w:ind w:left="357" w:hanging="357"/>
        <w:rPr>
          <w:lang w:val="en-US"/>
        </w:rPr>
      </w:pPr>
      <w:r>
        <w:rPr>
          <w:lang w:val="en-US"/>
        </w:rPr>
        <w:t>T</w:t>
      </w:r>
      <w:r w:rsidR="00752504">
        <w:rPr>
          <w:lang w:val="en-US"/>
        </w:rPr>
        <w:t xml:space="preserve">he Retreat </w:t>
      </w:r>
      <w:r>
        <w:rPr>
          <w:lang w:val="en-US"/>
        </w:rPr>
        <w:t xml:space="preserve">provides an opportunity for both countries to </w:t>
      </w:r>
      <w:r w:rsidR="00752504">
        <w:rPr>
          <w:lang w:val="en-US"/>
        </w:rPr>
        <w:t xml:space="preserve">focus on identifying ways </w:t>
      </w:r>
      <w:r w:rsidR="002C6D14">
        <w:rPr>
          <w:lang w:val="en-US"/>
        </w:rPr>
        <w:t>to</w:t>
      </w:r>
      <w:r w:rsidR="00752504">
        <w:rPr>
          <w:lang w:val="en-US"/>
        </w:rPr>
        <w:t xml:space="preserve"> </w:t>
      </w:r>
      <w:r>
        <w:rPr>
          <w:lang w:val="en-US"/>
        </w:rPr>
        <w:t xml:space="preserve">work together to drive reform, build trust and </w:t>
      </w:r>
      <w:r w:rsidR="002C4956">
        <w:rPr>
          <w:lang w:val="en-US"/>
        </w:rPr>
        <w:t>shar</w:t>
      </w:r>
      <w:r w:rsidR="00752504">
        <w:rPr>
          <w:lang w:val="en-US"/>
        </w:rPr>
        <w:t>e</w:t>
      </w:r>
      <w:r w:rsidR="002C4956">
        <w:rPr>
          <w:lang w:val="en-US"/>
        </w:rPr>
        <w:t xml:space="preserve"> best practice</w:t>
      </w:r>
      <w:r>
        <w:rPr>
          <w:lang w:val="en-US"/>
        </w:rPr>
        <w:t>.</w:t>
      </w:r>
    </w:p>
    <w:p w14:paraId="5548875B" w14:textId="4EE16F11" w:rsidR="0039278E" w:rsidRPr="004F5ECC" w:rsidRDefault="002C4956" w:rsidP="00421C2B">
      <w:pPr>
        <w:pStyle w:val="Bullet"/>
        <w:numPr>
          <w:ilvl w:val="0"/>
          <w:numId w:val="0"/>
        </w:numPr>
        <w:spacing w:after="120" w:line="240" w:lineRule="auto"/>
        <w:ind w:left="520" w:hanging="520"/>
        <w:rPr>
          <w:bCs/>
          <w:lang w:val="en-CA"/>
        </w:rPr>
      </w:pPr>
      <w:r>
        <w:rPr>
          <w:lang w:val="en-US"/>
        </w:rPr>
        <w:t xml:space="preserve"> </w:t>
      </w:r>
      <w:r w:rsidR="0039278E" w:rsidRPr="004F5ECC">
        <w:rPr>
          <w:rFonts w:ascii="Times New Roman" w:hAnsi="Times New Roman" w:cs="Times New Roman"/>
          <w:b/>
          <w:i/>
          <w:sz w:val="28"/>
          <w:szCs w:val="28"/>
        </w:rPr>
        <w:t xml:space="preserve">Introduction </w:t>
      </w:r>
    </w:p>
    <w:p w14:paraId="5A7D8BB8" w14:textId="77777777" w:rsidR="009623DB" w:rsidRPr="004F5ECC" w:rsidRDefault="009623DB" w:rsidP="00E62BD7">
      <w:pPr>
        <w:spacing w:after="120" w:line="240" w:lineRule="auto"/>
        <w:rPr>
          <w:szCs w:val="24"/>
        </w:rPr>
      </w:pPr>
      <w:r w:rsidRPr="004F5ECC">
        <w:rPr>
          <w:szCs w:val="24"/>
        </w:rPr>
        <w:t xml:space="preserve">Technology continues to change at an unprecedented rate and it has become not just accepted, but expected, that this will continue, at an accelerated rate, rather than slow down. </w:t>
      </w:r>
    </w:p>
    <w:p w14:paraId="1D65EDA2" w14:textId="77777777" w:rsidR="00FA6C3F" w:rsidRPr="004F5ECC" w:rsidRDefault="009623DB" w:rsidP="00421C2B">
      <w:pPr>
        <w:spacing w:after="120" w:line="240" w:lineRule="auto"/>
        <w:rPr>
          <w:szCs w:val="24"/>
        </w:rPr>
      </w:pPr>
      <w:r w:rsidRPr="004F5ECC">
        <w:rPr>
          <w:szCs w:val="24"/>
        </w:rPr>
        <w:t>Over the past 20 years, citizens in both countries have embraced technolog</w:t>
      </w:r>
      <w:r w:rsidR="00780E81" w:rsidRPr="004F5ECC">
        <w:rPr>
          <w:szCs w:val="24"/>
        </w:rPr>
        <w:t>ical change</w:t>
      </w:r>
      <w:r w:rsidRPr="004F5ECC">
        <w:rPr>
          <w:szCs w:val="24"/>
        </w:rPr>
        <w:t xml:space="preserve">, largely driven by the widespread availability of intuitive and elegant smart devices and </w:t>
      </w:r>
      <w:r w:rsidR="0067470D" w:rsidRPr="004F5ECC">
        <w:rPr>
          <w:szCs w:val="24"/>
        </w:rPr>
        <w:t xml:space="preserve">widely-available </w:t>
      </w:r>
      <w:r w:rsidRPr="004F5ECC">
        <w:rPr>
          <w:szCs w:val="24"/>
        </w:rPr>
        <w:t xml:space="preserve">broadband internet connectivity. Digital platforms, services and experiences have provided rich and enhanced value-propositions for citizens that have been irresistible and, as a result, have fundamentally changed citizen expectations </w:t>
      </w:r>
      <w:r w:rsidR="00E27A49" w:rsidRPr="004F5ECC">
        <w:rPr>
          <w:szCs w:val="24"/>
        </w:rPr>
        <w:t>in all areas of life, including how they interact with</w:t>
      </w:r>
      <w:r w:rsidRPr="004F5ECC">
        <w:rPr>
          <w:szCs w:val="24"/>
        </w:rPr>
        <w:t xml:space="preserve"> government.</w:t>
      </w:r>
      <w:r w:rsidR="0067470D" w:rsidRPr="004F5ECC">
        <w:rPr>
          <w:szCs w:val="24"/>
        </w:rPr>
        <w:t xml:space="preserve"> </w:t>
      </w:r>
    </w:p>
    <w:p w14:paraId="6A5A26E2" w14:textId="77777777" w:rsidR="00FA6C3F" w:rsidRPr="004F5ECC" w:rsidRDefault="00FA6C3F" w:rsidP="00CE18B4">
      <w:pPr>
        <w:pStyle w:val="Bullet"/>
        <w:numPr>
          <w:ilvl w:val="0"/>
          <w:numId w:val="0"/>
        </w:numPr>
        <w:spacing w:after="120" w:line="240" w:lineRule="auto"/>
        <w:rPr>
          <w:bCs/>
          <w:lang w:val="en-CA"/>
        </w:rPr>
      </w:pPr>
      <w:r w:rsidRPr="004F5ECC">
        <w:rPr>
          <w:bCs/>
          <w:lang w:val="en-CA"/>
        </w:rPr>
        <w:t xml:space="preserve">There is a strong imperative for governments to respond to rising community expectations and leverage emerging disruptive digital technologies to transform how they deliver services, to become more efficient, responsive and user-friendly. </w:t>
      </w:r>
      <w:r w:rsidR="00DA30B6" w:rsidRPr="004F5ECC">
        <w:rPr>
          <w:bCs/>
          <w:lang w:val="en-CA"/>
        </w:rPr>
        <w:t>In recent years, b</w:t>
      </w:r>
      <w:r w:rsidRPr="004F5ECC">
        <w:rPr>
          <w:bCs/>
          <w:lang w:val="en-CA"/>
        </w:rPr>
        <w:t xml:space="preserve">oth countries have made significant investments in new technology and whole of government policy frameworks that will guide the further use of technology and inform strategic directions to transform how government interacts with citizens and businesses. </w:t>
      </w:r>
    </w:p>
    <w:p w14:paraId="1F928D70" w14:textId="396EAE87" w:rsidR="00FA6C3F" w:rsidRDefault="004F5ECC" w:rsidP="00CE18B4">
      <w:pPr>
        <w:pStyle w:val="Bullet"/>
        <w:numPr>
          <w:ilvl w:val="0"/>
          <w:numId w:val="0"/>
        </w:numPr>
        <w:spacing w:after="120" w:line="240" w:lineRule="auto"/>
        <w:rPr>
          <w:bCs/>
          <w:lang w:val="en-CA"/>
        </w:rPr>
      </w:pPr>
      <w:r>
        <w:rPr>
          <w:bCs/>
          <w:lang w:val="en-CA"/>
        </w:rPr>
        <w:t>For example, p</w:t>
      </w:r>
      <w:r w:rsidR="00FA6C3F" w:rsidRPr="004F5ECC">
        <w:rPr>
          <w:bCs/>
          <w:lang w:val="en-CA"/>
        </w:rPr>
        <w:t xml:space="preserve">rogress </w:t>
      </w:r>
      <w:r w:rsidR="00DA30B6" w:rsidRPr="004F5ECC">
        <w:rPr>
          <w:bCs/>
          <w:lang w:val="en-CA"/>
        </w:rPr>
        <w:t xml:space="preserve">has been </w:t>
      </w:r>
      <w:r w:rsidR="00FA6C3F" w:rsidRPr="004F5ECC">
        <w:rPr>
          <w:bCs/>
          <w:lang w:val="en-CA"/>
        </w:rPr>
        <w:t xml:space="preserve">made </w:t>
      </w:r>
      <w:r w:rsidR="00DA30B6" w:rsidRPr="004F5ECC">
        <w:rPr>
          <w:bCs/>
          <w:lang w:val="en-CA"/>
        </w:rPr>
        <w:t>in</w:t>
      </w:r>
      <w:r w:rsidR="00FA6C3F" w:rsidRPr="004F5ECC">
        <w:rPr>
          <w:bCs/>
          <w:lang w:val="en-CA"/>
        </w:rPr>
        <w:t xml:space="preserve"> leverag</w:t>
      </w:r>
      <w:r w:rsidR="00DA30B6" w:rsidRPr="004F5ECC">
        <w:rPr>
          <w:bCs/>
          <w:lang w:val="en-CA"/>
        </w:rPr>
        <w:t>ing new</w:t>
      </w:r>
      <w:r w:rsidR="00FA6C3F" w:rsidRPr="004F5ECC">
        <w:rPr>
          <w:bCs/>
          <w:lang w:val="en-CA"/>
        </w:rPr>
        <w:t xml:space="preserve"> technology to transform the delivery of social welfare payments and services by the Australian Department of Human Services (DHS). The DHS experience highlights that technology alone will not be sufficient to transform service delivery</w:t>
      </w:r>
      <w:r w:rsidR="00820277" w:rsidRPr="004F5ECC">
        <w:rPr>
          <w:bCs/>
          <w:lang w:val="en-CA"/>
        </w:rPr>
        <w:t xml:space="preserve"> t</w:t>
      </w:r>
      <w:r w:rsidR="00DA30B6" w:rsidRPr="004F5ECC">
        <w:rPr>
          <w:bCs/>
          <w:lang w:val="en-CA"/>
        </w:rPr>
        <w:t>o</w:t>
      </w:r>
      <w:r w:rsidR="00820277" w:rsidRPr="004F5ECC">
        <w:rPr>
          <w:bCs/>
          <w:lang w:val="en-CA"/>
        </w:rPr>
        <w:t xml:space="preserve"> meet citizens’ expectations</w:t>
      </w:r>
      <w:r w:rsidR="00FB2410">
        <w:rPr>
          <w:bCs/>
          <w:lang w:val="en-CA"/>
        </w:rPr>
        <w:t>,</w:t>
      </w:r>
      <w:r>
        <w:rPr>
          <w:bCs/>
          <w:lang w:val="en-CA"/>
        </w:rPr>
        <w:t xml:space="preserve"> and that </w:t>
      </w:r>
      <w:r w:rsidR="00820277" w:rsidRPr="004F5ECC">
        <w:rPr>
          <w:bCs/>
          <w:lang w:val="en-CA"/>
        </w:rPr>
        <w:t>s</w:t>
      </w:r>
      <w:r w:rsidR="007A1ADB" w:rsidRPr="004F5ECC">
        <w:rPr>
          <w:bCs/>
          <w:lang w:val="en-CA"/>
        </w:rPr>
        <w:t xml:space="preserve">uccess will require </w:t>
      </w:r>
      <w:r w:rsidR="00FA6C3F" w:rsidRPr="004F5ECC">
        <w:rPr>
          <w:bCs/>
          <w:lang w:val="en-CA"/>
        </w:rPr>
        <w:t xml:space="preserve">governments </w:t>
      </w:r>
      <w:r>
        <w:rPr>
          <w:bCs/>
          <w:lang w:val="en-CA"/>
        </w:rPr>
        <w:t xml:space="preserve">working in </w:t>
      </w:r>
      <w:r w:rsidR="007A1ADB" w:rsidRPr="004F5ECC">
        <w:rPr>
          <w:bCs/>
          <w:lang w:val="en-CA"/>
        </w:rPr>
        <w:t>agile</w:t>
      </w:r>
      <w:r w:rsidR="002C6D14">
        <w:rPr>
          <w:bCs/>
          <w:lang w:val="en-CA"/>
        </w:rPr>
        <w:t>,</w:t>
      </w:r>
      <w:r w:rsidR="007A1ADB" w:rsidRPr="004F5ECC">
        <w:rPr>
          <w:bCs/>
          <w:lang w:val="en-CA"/>
        </w:rPr>
        <w:t xml:space="preserve"> user-centred ways.</w:t>
      </w:r>
      <w:r w:rsidR="00FA6C3F" w:rsidRPr="004F5ECC">
        <w:rPr>
          <w:bCs/>
          <w:lang w:val="en-CA"/>
        </w:rPr>
        <w:t xml:space="preserve">  </w:t>
      </w:r>
    </w:p>
    <w:p w14:paraId="5448B34A" w14:textId="77777777" w:rsidR="009D3DF8" w:rsidRDefault="008674EB" w:rsidP="00CE18B4">
      <w:pPr>
        <w:spacing w:after="120" w:line="240" w:lineRule="auto"/>
        <w:rPr>
          <w:szCs w:val="24"/>
        </w:rPr>
      </w:pPr>
      <w:r>
        <w:rPr>
          <w:szCs w:val="24"/>
        </w:rPr>
        <w:t>T</w:t>
      </w:r>
      <w:r w:rsidR="009D3DF8">
        <w:rPr>
          <w:szCs w:val="24"/>
        </w:rPr>
        <w:t xml:space="preserve">ransformational reform will require whole of government change that delivers one stop, “tell us once platforms” for citizens. Reforms will require approaches that are joined up across departments and levels of government. Critical to achieving change on this scale will </w:t>
      </w:r>
      <w:r>
        <w:rPr>
          <w:szCs w:val="24"/>
        </w:rPr>
        <w:t>be</w:t>
      </w:r>
      <w:r w:rsidR="009D3DF8">
        <w:rPr>
          <w:szCs w:val="24"/>
        </w:rPr>
        <w:t xml:space="preserve"> broad</w:t>
      </w:r>
      <w:r w:rsidR="00FB2410">
        <w:rPr>
          <w:szCs w:val="24"/>
        </w:rPr>
        <w:t>-</w:t>
      </w:r>
      <w:r w:rsidR="009D3DF8">
        <w:rPr>
          <w:szCs w:val="24"/>
        </w:rPr>
        <w:t>based community support for the greater sharing of data across jurisdictions and for governments to build joined capability and governance processes to drive and manage change.</w:t>
      </w:r>
    </w:p>
    <w:p w14:paraId="525172E4" w14:textId="56721C4A" w:rsidR="006A0870" w:rsidRDefault="006A0870" w:rsidP="006A0870">
      <w:pPr>
        <w:pStyle w:val="Bullet"/>
        <w:numPr>
          <w:ilvl w:val="0"/>
          <w:numId w:val="0"/>
        </w:numPr>
        <w:spacing w:after="120" w:line="240" w:lineRule="auto"/>
        <w:rPr>
          <w:bCs/>
          <w:lang w:val="en-CA"/>
        </w:rPr>
      </w:pPr>
      <w:r>
        <w:rPr>
          <w:bCs/>
          <w:lang w:val="en-CA"/>
        </w:rPr>
        <w:t>While governments are developing frameworks to support greater sharing of data, more work is required to build public trust in a digital age. The challenge will be to identify the privacy arrangements that will foster trust in a digital environment</w:t>
      </w:r>
      <w:r w:rsidR="002C6D14">
        <w:rPr>
          <w:bCs/>
          <w:lang w:val="en-CA"/>
        </w:rPr>
        <w:t xml:space="preserve"> and allows data about citizens to be shared. </w:t>
      </w:r>
      <w:r>
        <w:rPr>
          <w:bCs/>
          <w:lang w:val="en-CA"/>
        </w:rPr>
        <w:t>In using data to improve service delivery, governments will need to clearly articulate how they will use the data to develop customised services, identify key risks and describe how they will safeguard the data. Governments will need clear, proactive public communications strategies to account for deficits in public trust, and ensure their activities align with public expectations and community norms.</w:t>
      </w:r>
    </w:p>
    <w:p w14:paraId="68207595" w14:textId="18936AEE" w:rsidR="009623DB" w:rsidRPr="00E27A49" w:rsidRDefault="00DA30B6" w:rsidP="00CE18B4">
      <w:pPr>
        <w:pStyle w:val="Bullet"/>
        <w:numPr>
          <w:ilvl w:val="0"/>
          <w:numId w:val="0"/>
        </w:numPr>
        <w:spacing w:after="120" w:line="240" w:lineRule="auto"/>
        <w:rPr>
          <w:szCs w:val="24"/>
          <w:highlight w:val="yellow"/>
        </w:rPr>
      </w:pPr>
      <w:r>
        <w:rPr>
          <w:bCs/>
          <w:lang w:val="en-CA"/>
        </w:rPr>
        <w:t>Th</w:t>
      </w:r>
      <w:r w:rsidR="0067470D" w:rsidRPr="00634303">
        <w:rPr>
          <w:szCs w:val="24"/>
        </w:rPr>
        <w:t>ere is a trade-off, often unspoken, where citizens expose private data about themselves (ranging from personal information to credit card and banking details to political preferences) in exchange for better and more seamless access (to social networks, merchant sites, email, etc.</w:t>
      </w:r>
      <w:r w:rsidR="0067470D">
        <w:rPr>
          <w:szCs w:val="24"/>
        </w:rPr>
        <w:t xml:space="preserve">). </w:t>
      </w:r>
      <w:r w:rsidR="00820277">
        <w:rPr>
          <w:szCs w:val="24"/>
        </w:rPr>
        <w:t>However, f</w:t>
      </w:r>
      <w:r w:rsidR="0067470D" w:rsidRPr="00634303">
        <w:rPr>
          <w:szCs w:val="24"/>
        </w:rPr>
        <w:t xml:space="preserve">requently </w:t>
      </w:r>
      <w:r>
        <w:rPr>
          <w:szCs w:val="24"/>
        </w:rPr>
        <w:t xml:space="preserve">citizens’ </w:t>
      </w:r>
      <w:r w:rsidR="0067470D" w:rsidRPr="00634303">
        <w:rPr>
          <w:szCs w:val="24"/>
        </w:rPr>
        <w:t xml:space="preserve">trust in </w:t>
      </w:r>
      <w:r w:rsidR="0067470D" w:rsidRPr="00634303">
        <w:rPr>
          <w:szCs w:val="24"/>
        </w:rPr>
        <w:lastRenderedPageBreak/>
        <w:t>these systems has been broken</w:t>
      </w:r>
      <w:r w:rsidR="007A1ADB">
        <w:rPr>
          <w:szCs w:val="24"/>
        </w:rPr>
        <w:t>.</w:t>
      </w:r>
      <w:r w:rsidR="0067470D" w:rsidRPr="00634303">
        <w:rPr>
          <w:szCs w:val="24"/>
        </w:rPr>
        <w:t xml:space="preserve"> </w:t>
      </w:r>
      <w:r w:rsidR="004F5ECC">
        <w:rPr>
          <w:szCs w:val="24"/>
        </w:rPr>
        <w:t>Re</w:t>
      </w:r>
      <w:r w:rsidR="0067470D" w:rsidRPr="00634303">
        <w:rPr>
          <w:szCs w:val="24"/>
        </w:rPr>
        <w:t>cent news cycles have been dominated by the Cambridge Analytica scandal, Wikileaks and other high profile breaches and misuses of personal data</w:t>
      </w:r>
      <w:r>
        <w:rPr>
          <w:szCs w:val="24"/>
        </w:rPr>
        <w:t>. Citizens’ feedback on</w:t>
      </w:r>
      <w:r w:rsidR="003B64C6">
        <w:rPr>
          <w:szCs w:val="24"/>
        </w:rPr>
        <w:t xml:space="preserve"> </w:t>
      </w:r>
      <w:r>
        <w:rPr>
          <w:szCs w:val="24"/>
        </w:rPr>
        <w:t>current Australian Government initiatives</w:t>
      </w:r>
      <w:r w:rsidR="003E4D9E">
        <w:rPr>
          <w:szCs w:val="24"/>
        </w:rPr>
        <w:t xml:space="preserve">, such as the </w:t>
      </w:r>
      <w:r w:rsidR="003E4D9E" w:rsidRPr="00CE18B4">
        <w:rPr>
          <w:i/>
          <w:szCs w:val="24"/>
        </w:rPr>
        <w:t>My</w:t>
      </w:r>
      <w:r w:rsidR="00AD7302">
        <w:rPr>
          <w:i/>
          <w:szCs w:val="24"/>
        </w:rPr>
        <w:t xml:space="preserve"> </w:t>
      </w:r>
      <w:r w:rsidR="003E4D9E" w:rsidRPr="00CE18B4">
        <w:rPr>
          <w:i/>
          <w:szCs w:val="24"/>
        </w:rPr>
        <w:t xml:space="preserve">Health Record </w:t>
      </w:r>
      <w:r w:rsidR="003E4D9E">
        <w:rPr>
          <w:szCs w:val="24"/>
        </w:rPr>
        <w:t>initiative</w:t>
      </w:r>
      <w:r w:rsidR="00AD7302">
        <w:rPr>
          <w:szCs w:val="24"/>
        </w:rPr>
        <w:t xml:space="preserve"> and the DHS Online Compliance Intervention</w:t>
      </w:r>
      <w:r w:rsidR="003E4D9E">
        <w:rPr>
          <w:szCs w:val="24"/>
        </w:rPr>
        <w:t xml:space="preserve">, </w:t>
      </w:r>
      <w:r w:rsidR="00621E40">
        <w:rPr>
          <w:szCs w:val="24"/>
        </w:rPr>
        <w:t xml:space="preserve">also </w:t>
      </w:r>
      <w:r>
        <w:rPr>
          <w:szCs w:val="24"/>
        </w:rPr>
        <w:t xml:space="preserve">highlight </w:t>
      </w:r>
      <w:r w:rsidR="00323309">
        <w:rPr>
          <w:szCs w:val="24"/>
        </w:rPr>
        <w:t xml:space="preserve">that </w:t>
      </w:r>
      <w:r w:rsidR="00621E40">
        <w:rPr>
          <w:szCs w:val="24"/>
        </w:rPr>
        <w:t xml:space="preserve">further work is needed to </w:t>
      </w:r>
      <w:r>
        <w:rPr>
          <w:szCs w:val="24"/>
        </w:rPr>
        <w:t xml:space="preserve">build trust and </w:t>
      </w:r>
      <w:r w:rsidR="007A1ADB">
        <w:rPr>
          <w:szCs w:val="24"/>
        </w:rPr>
        <w:t>social licence to undertake data s</w:t>
      </w:r>
      <w:r w:rsidR="0088611F">
        <w:rPr>
          <w:szCs w:val="24"/>
        </w:rPr>
        <w:t>h</w:t>
      </w:r>
      <w:r w:rsidR="007A1ADB">
        <w:rPr>
          <w:szCs w:val="24"/>
        </w:rPr>
        <w:t>aring to transform service delivery.</w:t>
      </w:r>
    </w:p>
    <w:p w14:paraId="404BC05A" w14:textId="77777777" w:rsidR="003B64C6" w:rsidRDefault="002C53C1" w:rsidP="004F5ECC">
      <w:pPr>
        <w:keepNext/>
        <w:tabs>
          <w:tab w:val="left" w:pos="3585"/>
        </w:tabs>
        <w:spacing w:after="120" w:line="240" w:lineRule="auto"/>
        <w:outlineLvl w:val="0"/>
        <w:rPr>
          <w:rFonts w:eastAsia="Times New Roman" w:cstheme="minorHAnsi"/>
          <w:kern w:val="32"/>
          <w:szCs w:val="24"/>
        </w:rPr>
      </w:pPr>
      <w:r>
        <w:rPr>
          <w:rFonts w:eastAsia="Times New Roman" w:cstheme="minorHAnsi"/>
          <w:kern w:val="32"/>
          <w:szCs w:val="24"/>
        </w:rPr>
        <w:t xml:space="preserve">A modernized governance framework is required </w:t>
      </w:r>
      <w:r w:rsidR="009D3DF8">
        <w:rPr>
          <w:rFonts w:eastAsia="Times New Roman" w:cstheme="minorHAnsi"/>
          <w:kern w:val="32"/>
          <w:szCs w:val="24"/>
        </w:rPr>
        <w:t>to drive</w:t>
      </w:r>
      <w:r w:rsidR="004F5ECC">
        <w:rPr>
          <w:rFonts w:eastAsia="Times New Roman" w:cstheme="minorHAnsi"/>
          <w:kern w:val="32"/>
          <w:szCs w:val="24"/>
        </w:rPr>
        <w:t xml:space="preserve"> transformation </w:t>
      </w:r>
      <w:r w:rsidR="003B64C6">
        <w:rPr>
          <w:rFonts w:eastAsia="Times New Roman" w:cstheme="minorHAnsi"/>
          <w:kern w:val="32"/>
          <w:szCs w:val="24"/>
        </w:rPr>
        <w:t xml:space="preserve">to oversight </w:t>
      </w:r>
      <w:r w:rsidR="007A1ADB">
        <w:rPr>
          <w:rFonts w:eastAsia="Times New Roman" w:cstheme="minorHAnsi"/>
          <w:kern w:val="32"/>
          <w:szCs w:val="24"/>
        </w:rPr>
        <w:t>multiple departments and levels of government</w:t>
      </w:r>
      <w:r w:rsidR="00DA30B6">
        <w:rPr>
          <w:rFonts w:eastAsia="Times New Roman" w:cstheme="minorHAnsi"/>
          <w:kern w:val="32"/>
          <w:szCs w:val="24"/>
        </w:rPr>
        <w:t xml:space="preserve"> </w:t>
      </w:r>
      <w:r w:rsidR="009D3DF8">
        <w:rPr>
          <w:rFonts w:eastAsia="Times New Roman" w:cstheme="minorHAnsi"/>
          <w:kern w:val="32"/>
          <w:szCs w:val="24"/>
        </w:rPr>
        <w:t xml:space="preserve">working </w:t>
      </w:r>
      <w:r w:rsidR="00DA30B6">
        <w:rPr>
          <w:rFonts w:eastAsia="Times New Roman" w:cstheme="minorHAnsi"/>
          <w:kern w:val="32"/>
          <w:szCs w:val="24"/>
        </w:rPr>
        <w:t>to</w:t>
      </w:r>
      <w:r w:rsidR="003B64C6">
        <w:rPr>
          <w:rFonts w:eastAsia="Times New Roman" w:cstheme="minorHAnsi"/>
          <w:kern w:val="32"/>
          <w:szCs w:val="24"/>
        </w:rPr>
        <w:t>gether to</w:t>
      </w:r>
      <w:r w:rsidR="00DA30B6">
        <w:rPr>
          <w:rFonts w:eastAsia="Times New Roman" w:cstheme="minorHAnsi"/>
          <w:kern w:val="32"/>
          <w:szCs w:val="24"/>
        </w:rPr>
        <w:t xml:space="preserve"> achieve more joined up services for citizens</w:t>
      </w:r>
      <w:r>
        <w:rPr>
          <w:rFonts w:eastAsia="Times New Roman" w:cstheme="minorHAnsi"/>
          <w:kern w:val="32"/>
          <w:szCs w:val="24"/>
        </w:rPr>
        <w:t>.</w:t>
      </w:r>
      <w:r w:rsidR="007A1ADB">
        <w:rPr>
          <w:rFonts w:eastAsia="Times New Roman" w:cstheme="minorHAnsi"/>
          <w:kern w:val="32"/>
          <w:szCs w:val="24"/>
        </w:rPr>
        <w:t xml:space="preserve">  </w:t>
      </w:r>
      <w:r w:rsidR="00DA30B6">
        <w:rPr>
          <w:rFonts w:eastAsia="Times New Roman" w:cstheme="minorHAnsi"/>
          <w:kern w:val="32"/>
          <w:szCs w:val="24"/>
        </w:rPr>
        <w:t>C</w:t>
      </w:r>
      <w:r>
        <w:rPr>
          <w:rFonts w:eastAsia="Times New Roman" w:cstheme="minorHAnsi"/>
          <w:kern w:val="32"/>
          <w:szCs w:val="24"/>
        </w:rPr>
        <w:t xml:space="preserve">entral agencies within large governments such as Canada and Australia </w:t>
      </w:r>
      <w:r w:rsidR="004F5ECC">
        <w:rPr>
          <w:rFonts w:eastAsia="Times New Roman" w:cstheme="minorHAnsi"/>
          <w:kern w:val="32"/>
          <w:szCs w:val="24"/>
        </w:rPr>
        <w:t xml:space="preserve">also </w:t>
      </w:r>
      <w:r>
        <w:rPr>
          <w:rFonts w:eastAsia="Times New Roman" w:cstheme="minorHAnsi"/>
          <w:kern w:val="32"/>
          <w:szCs w:val="24"/>
        </w:rPr>
        <w:t>face the challenge of encouraging individual departments to be both agile and innovative</w:t>
      </w:r>
      <w:r w:rsidR="00FB2410">
        <w:rPr>
          <w:rFonts w:eastAsia="Times New Roman" w:cstheme="minorHAnsi"/>
          <w:kern w:val="32"/>
          <w:szCs w:val="24"/>
        </w:rPr>
        <w:t>,</w:t>
      </w:r>
      <w:r>
        <w:rPr>
          <w:rFonts w:eastAsia="Times New Roman" w:cstheme="minorHAnsi"/>
          <w:kern w:val="32"/>
          <w:szCs w:val="24"/>
        </w:rPr>
        <w:t xml:space="preserve"> while at the same time making sure that new information technology projects are interoperable, do not duplicate, and deliver value </w:t>
      </w:r>
      <w:r w:rsidRPr="004F5ECC">
        <w:rPr>
          <w:rFonts w:eastAsia="Times New Roman" w:cstheme="minorHAnsi"/>
          <w:kern w:val="32"/>
          <w:szCs w:val="24"/>
        </w:rPr>
        <w:t>across government. Establishing governance without stifling innovation and without adding too many additional requirements to an already large reporting burden remains a significant challenge.</w:t>
      </w:r>
      <w:r w:rsidR="004F5ECC" w:rsidRPr="004F5ECC">
        <w:rPr>
          <w:rFonts w:eastAsia="Times New Roman" w:cstheme="minorHAnsi"/>
          <w:kern w:val="32"/>
          <w:szCs w:val="24"/>
        </w:rPr>
        <w:t xml:space="preserve">  </w:t>
      </w:r>
    </w:p>
    <w:p w14:paraId="351F13C3" w14:textId="77777777" w:rsidR="007A1ADB" w:rsidRDefault="00D32DD2" w:rsidP="00CE18B4">
      <w:pPr>
        <w:spacing w:after="120" w:line="240" w:lineRule="auto"/>
        <w:rPr>
          <w:bCs/>
          <w:highlight w:val="yellow"/>
          <w:lang w:val="en-CA"/>
        </w:rPr>
      </w:pPr>
      <w:r>
        <w:rPr>
          <w:bCs/>
          <w:lang w:val="en-CA"/>
        </w:rPr>
        <w:t>C</w:t>
      </w:r>
      <w:r w:rsidR="002C53C1" w:rsidRPr="004F5ECC">
        <w:rPr>
          <w:bCs/>
          <w:lang w:val="en-CA"/>
        </w:rPr>
        <w:t>apability</w:t>
      </w:r>
      <w:r w:rsidR="007A1ADB" w:rsidRPr="004F5ECC">
        <w:rPr>
          <w:bCs/>
          <w:lang w:val="en-CA"/>
        </w:rPr>
        <w:t xml:space="preserve"> </w:t>
      </w:r>
      <w:r w:rsidR="00DA30B6" w:rsidRPr="004F5ECC">
        <w:rPr>
          <w:bCs/>
          <w:lang w:val="en-CA"/>
        </w:rPr>
        <w:t xml:space="preserve">gaps within </w:t>
      </w:r>
      <w:r w:rsidR="007A1ADB" w:rsidRPr="004F5ECC">
        <w:rPr>
          <w:bCs/>
          <w:lang w:val="en-CA"/>
        </w:rPr>
        <w:t xml:space="preserve">the public service </w:t>
      </w:r>
      <w:r w:rsidR="00DA30B6" w:rsidRPr="004F5ECC">
        <w:rPr>
          <w:bCs/>
          <w:lang w:val="en-CA"/>
        </w:rPr>
        <w:t xml:space="preserve">and private sector </w:t>
      </w:r>
      <w:r w:rsidR="007A1ADB" w:rsidRPr="004F5ECC">
        <w:rPr>
          <w:bCs/>
          <w:lang w:val="en-CA"/>
        </w:rPr>
        <w:t xml:space="preserve">will need to be </w:t>
      </w:r>
      <w:r w:rsidR="00DA30B6" w:rsidRPr="004F5ECC">
        <w:rPr>
          <w:bCs/>
          <w:lang w:val="en-CA"/>
        </w:rPr>
        <w:t xml:space="preserve">addressed in order to deliver </w:t>
      </w:r>
      <w:r w:rsidR="003B64C6">
        <w:rPr>
          <w:bCs/>
          <w:lang w:val="en-CA"/>
        </w:rPr>
        <w:t>whole of government transformation</w:t>
      </w:r>
      <w:r w:rsidR="00DA30B6" w:rsidRPr="004F5ECC">
        <w:rPr>
          <w:bCs/>
          <w:lang w:val="en-CA"/>
        </w:rPr>
        <w:t>.</w:t>
      </w:r>
      <w:r w:rsidR="00C5563A" w:rsidRPr="00C5563A">
        <w:t xml:space="preserve"> </w:t>
      </w:r>
      <w:r w:rsidR="00C5563A">
        <w:t xml:space="preserve">For example, a </w:t>
      </w:r>
      <w:r w:rsidR="00C5563A" w:rsidRPr="00514B63">
        <w:t xml:space="preserve">report by the Australia Computing Society and Deloitte outlines that an extra 200,000 technology workers </w:t>
      </w:r>
      <w:r w:rsidR="00C5563A">
        <w:t xml:space="preserve">will be </w:t>
      </w:r>
      <w:r w:rsidR="00C5563A" w:rsidRPr="00514B63">
        <w:t>needed in Australia in the next 5 years.</w:t>
      </w:r>
      <w:r w:rsidR="00C5563A">
        <w:t xml:space="preserve">  </w:t>
      </w:r>
    </w:p>
    <w:p w14:paraId="0445FC3B" w14:textId="77777777" w:rsidR="005760AD" w:rsidRPr="00D32DD2" w:rsidRDefault="005760AD" w:rsidP="00CE18B4">
      <w:pPr>
        <w:pStyle w:val="Bullet"/>
        <w:numPr>
          <w:ilvl w:val="0"/>
          <w:numId w:val="0"/>
        </w:numPr>
        <w:spacing w:after="120" w:line="240" w:lineRule="auto"/>
        <w:rPr>
          <w:bCs/>
          <w:lang w:val="en-CA"/>
        </w:rPr>
      </w:pPr>
      <w:r w:rsidRPr="00D32DD2">
        <w:rPr>
          <w:bCs/>
          <w:lang w:val="en-CA"/>
        </w:rPr>
        <w:t>This paper highlights the progress made by both countries, identifies remaining issues, barriers and opportunities for change</w:t>
      </w:r>
      <w:r w:rsidR="002F5144">
        <w:rPr>
          <w:bCs/>
          <w:lang w:val="en-CA"/>
        </w:rPr>
        <w:t>,</w:t>
      </w:r>
      <w:r w:rsidRPr="00D32DD2">
        <w:rPr>
          <w:bCs/>
          <w:lang w:val="en-CA"/>
        </w:rPr>
        <w:t xml:space="preserve"> and raises key questions for discussion at the Retreat in regard to:</w:t>
      </w:r>
    </w:p>
    <w:p w14:paraId="0BEA157D" w14:textId="77777777" w:rsidR="00ED7C30" w:rsidRPr="00D32DD2" w:rsidRDefault="00ED7C30" w:rsidP="00CE18B4">
      <w:pPr>
        <w:pStyle w:val="Bullet"/>
        <w:numPr>
          <w:ilvl w:val="0"/>
          <w:numId w:val="12"/>
        </w:numPr>
        <w:spacing w:after="120" w:line="240" w:lineRule="auto"/>
        <w:ind w:left="714" w:hanging="357"/>
        <w:rPr>
          <w:bCs/>
          <w:lang w:val="en-CA"/>
        </w:rPr>
      </w:pPr>
      <w:r w:rsidRPr="00D32DD2">
        <w:rPr>
          <w:bCs/>
          <w:lang w:val="en-CA"/>
        </w:rPr>
        <w:t xml:space="preserve">utilising disruptive digital technologies to </w:t>
      </w:r>
      <w:r w:rsidR="00D32DD2">
        <w:rPr>
          <w:bCs/>
          <w:lang w:val="en-CA"/>
        </w:rPr>
        <w:t>transform whole of government s</w:t>
      </w:r>
      <w:r w:rsidRPr="00D32DD2">
        <w:rPr>
          <w:bCs/>
          <w:lang w:val="en-CA"/>
        </w:rPr>
        <w:t>ervice delivery</w:t>
      </w:r>
    </w:p>
    <w:p w14:paraId="2E471CC6" w14:textId="77777777" w:rsidR="00D32DD2" w:rsidRDefault="00D32DD2" w:rsidP="00CE18B4">
      <w:pPr>
        <w:pStyle w:val="Bullet"/>
        <w:numPr>
          <w:ilvl w:val="0"/>
          <w:numId w:val="12"/>
        </w:numPr>
        <w:spacing w:after="120" w:line="240" w:lineRule="auto"/>
        <w:ind w:left="714" w:hanging="357"/>
        <w:rPr>
          <w:bCs/>
          <w:lang w:val="en-CA"/>
        </w:rPr>
      </w:pPr>
      <w:r>
        <w:rPr>
          <w:bCs/>
          <w:lang w:val="en-CA"/>
        </w:rPr>
        <w:t xml:space="preserve">building </w:t>
      </w:r>
      <w:r w:rsidR="005962C0" w:rsidRPr="00CE18B4">
        <w:rPr>
          <w:bCs/>
          <w:lang w:val="en-CA"/>
        </w:rPr>
        <w:t>social</w:t>
      </w:r>
      <w:r>
        <w:rPr>
          <w:bCs/>
          <w:lang w:val="en-CA"/>
        </w:rPr>
        <w:t xml:space="preserve"> trust</w:t>
      </w:r>
    </w:p>
    <w:p w14:paraId="7927B2E4" w14:textId="77777777" w:rsidR="00ED7C30" w:rsidRPr="00D32DD2" w:rsidRDefault="00D32DD2" w:rsidP="00CE18B4">
      <w:pPr>
        <w:pStyle w:val="Bullet"/>
        <w:numPr>
          <w:ilvl w:val="0"/>
          <w:numId w:val="12"/>
        </w:numPr>
        <w:spacing w:after="120" w:line="240" w:lineRule="auto"/>
        <w:ind w:left="714" w:hanging="357"/>
        <w:rPr>
          <w:bCs/>
          <w:lang w:val="en-CA"/>
        </w:rPr>
      </w:pPr>
      <w:r>
        <w:rPr>
          <w:bCs/>
          <w:lang w:val="en-CA"/>
        </w:rPr>
        <w:t xml:space="preserve">driving whole of </w:t>
      </w:r>
      <w:r w:rsidR="00ED7C30" w:rsidRPr="00D32DD2">
        <w:rPr>
          <w:bCs/>
          <w:lang w:val="en-CA"/>
        </w:rPr>
        <w:t>government</w:t>
      </w:r>
      <w:r>
        <w:rPr>
          <w:bCs/>
          <w:lang w:val="en-CA"/>
        </w:rPr>
        <w:t xml:space="preserve"> service delivery transformation</w:t>
      </w:r>
      <w:r w:rsidR="00ED7C30" w:rsidRPr="00D32DD2">
        <w:rPr>
          <w:bCs/>
          <w:lang w:val="en-CA"/>
        </w:rPr>
        <w:t>, and</w:t>
      </w:r>
    </w:p>
    <w:p w14:paraId="0306C24D" w14:textId="77777777" w:rsidR="005760AD" w:rsidRPr="00D32DD2" w:rsidRDefault="00ED7C30" w:rsidP="00CE18B4">
      <w:pPr>
        <w:pStyle w:val="Bullet"/>
        <w:numPr>
          <w:ilvl w:val="0"/>
          <w:numId w:val="12"/>
        </w:numPr>
        <w:spacing w:line="240" w:lineRule="auto"/>
        <w:ind w:left="714" w:hanging="357"/>
        <w:rPr>
          <w:bCs/>
          <w:lang w:val="en-CA"/>
        </w:rPr>
      </w:pPr>
      <w:r w:rsidRPr="00D32DD2">
        <w:rPr>
          <w:bCs/>
          <w:lang w:val="en-CA"/>
        </w:rPr>
        <w:t xml:space="preserve">building the capability of government to </w:t>
      </w:r>
      <w:r w:rsidR="00D32DD2">
        <w:rPr>
          <w:bCs/>
          <w:lang w:val="en-CA"/>
        </w:rPr>
        <w:t>deliver service delivery transformation</w:t>
      </w:r>
      <w:r w:rsidR="00551D2D" w:rsidRPr="00D32DD2">
        <w:rPr>
          <w:bCs/>
          <w:lang w:val="en-CA"/>
        </w:rPr>
        <w:t>.</w:t>
      </w:r>
    </w:p>
    <w:p w14:paraId="3558C5FC" w14:textId="77777777" w:rsidR="007305C3" w:rsidRPr="00514B63" w:rsidRDefault="00780EF9" w:rsidP="00CE18B4">
      <w:pPr>
        <w:pStyle w:val="Bullet"/>
        <w:numPr>
          <w:ilvl w:val="0"/>
          <w:numId w:val="0"/>
        </w:numPr>
        <w:spacing w:after="120" w:line="240" w:lineRule="auto"/>
        <w:rPr>
          <w:rFonts w:ascii="Times New Roman" w:hAnsi="Times New Roman" w:cs="Times New Roman"/>
          <w:b/>
          <w:i/>
          <w:sz w:val="28"/>
          <w:szCs w:val="28"/>
        </w:rPr>
      </w:pPr>
      <w:r w:rsidRPr="00514B63">
        <w:rPr>
          <w:rFonts w:ascii="Times New Roman" w:hAnsi="Times New Roman" w:cs="Times New Roman"/>
          <w:b/>
          <w:i/>
          <w:sz w:val="28"/>
          <w:szCs w:val="28"/>
        </w:rPr>
        <w:t xml:space="preserve">Disruptive digital technologies </w:t>
      </w:r>
    </w:p>
    <w:p w14:paraId="29B02F5D" w14:textId="77777777" w:rsidR="00750D63" w:rsidRPr="00514B63" w:rsidRDefault="00750D63" w:rsidP="00CE18B4">
      <w:pPr>
        <w:spacing w:after="120" w:line="240" w:lineRule="auto"/>
        <w:rPr>
          <w:b/>
          <w:i/>
        </w:rPr>
      </w:pPr>
      <w:r w:rsidRPr="00514B63">
        <w:rPr>
          <w:b/>
          <w:i/>
        </w:rPr>
        <w:t>Canada</w:t>
      </w:r>
    </w:p>
    <w:p w14:paraId="6715D2F5" w14:textId="77777777" w:rsidR="00CC091A" w:rsidRPr="00CC091A" w:rsidRDefault="00A24C12" w:rsidP="00CE18B4">
      <w:pPr>
        <w:pStyle w:val="Bullet"/>
        <w:numPr>
          <w:ilvl w:val="0"/>
          <w:numId w:val="0"/>
        </w:numPr>
        <w:spacing w:after="120" w:line="240" w:lineRule="auto"/>
        <w:rPr>
          <w:bCs/>
          <w:u w:val="single"/>
          <w:lang w:val="en-CA"/>
        </w:rPr>
      </w:pPr>
      <w:r>
        <w:rPr>
          <w:bCs/>
          <w:u w:val="single"/>
          <w:lang w:val="en-CA"/>
        </w:rPr>
        <w:t xml:space="preserve">Current Developments – </w:t>
      </w:r>
      <w:r w:rsidR="00CC091A">
        <w:rPr>
          <w:bCs/>
          <w:u w:val="single"/>
          <w:lang w:val="en-CA"/>
        </w:rPr>
        <w:t xml:space="preserve">Investing in Artificial Intelligence </w:t>
      </w:r>
    </w:p>
    <w:p w14:paraId="4B4AE87B" w14:textId="77777777" w:rsidR="009623DB" w:rsidRDefault="009623DB" w:rsidP="00CE18B4">
      <w:pPr>
        <w:pStyle w:val="Bullet"/>
        <w:numPr>
          <w:ilvl w:val="0"/>
          <w:numId w:val="0"/>
        </w:numPr>
        <w:spacing w:after="120" w:line="240" w:lineRule="auto"/>
        <w:rPr>
          <w:bCs/>
          <w:lang w:val="en-CA"/>
        </w:rPr>
      </w:pPr>
      <w:r w:rsidRPr="00551D2D">
        <w:rPr>
          <w:bCs/>
          <w:lang w:val="en-CA"/>
        </w:rPr>
        <w:t>The Government of Canada is actively engaged in a wholesale overhaul of existing information management and information technology policies and practices to keep pace with citizens’ expectations in an age of rapid digital transformation and disruption</w:t>
      </w:r>
      <w:r>
        <w:rPr>
          <w:bCs/>
          <w:lang w:val="en-CA"/>
        </w:rPr>
        <w:t xml:space="preserve">. </w:t>
      </w:r>
      <w:r w:rsidR="0067470D" w:rsidRPr="00634303">
        <w:rPr>
          <w:bCs/>
          <w:lang w:val="en-CA"/>
        </w:rPr>
        <w:t>O</w:t>
      </w:r>
      <w:r w:rsidR="0067470D" w:rsidRPr="00130DBE">
        <w:rPr>
          <w:bCs/>
          <w:lang w:val="en-CA"/>
        </w:rPr>
        <w:t xml:space="preserve">ne of the most </w:t>
      </w:r>
      <w:r w:rsidR="0067470D">
        <w:rPr>
          <w:bCs/>
          <w:lang w:val="en-CA"/>
        </w:rPr>
        <w:t>visible</w:t>
      </w:r>
      <w:r w:rsidR="0067470D" w:rsidRPr="00130DBE">
        <w:rPr>
          <w:bCs/>
          <w:lang w:val="en-CA"/>
        </w:rPr>
        <w:t xml:space="preserve"> </w:t>
      </w:r>
      <w:r w:rsidR="0067470D">
        <w:rPr>
          <w:bCs/>
          <w:lang w:val="en-CA"/>
        </w:rPr>
        <w:t xml:space="preserve">areas where this is </w:t>
      </w:r>
      <w:r w:rsidR="0067470D" w:rsidRPr="00634303">
        <w:rPr>
          <w:bCs/>
          <w:lang w:val="en-CA"/>
        </w:rPr>
        <w:t>taking place is in the field of machine learning and artificial intelligence, both in their use by governments and by the private sector.</w:t>
      </w:r>
    </w:p>
    <w:p w14:paraId="13C58A9B" w14:textId="72B42F4D" w:rsidR="0067470D" w:rsidRPr="00514B63" w:rsidRDefault="0067470D" w:rsidP="00CE18B4">
      <w:pPr>
        <w:pStyle w:val="Bullet"/>
        <w:numPr>
          <w:ilvl w:val="0"/>
          <w:numId w:val="0"/>
        </w:numPr>
        <w:spacing w:after="120" w:line="240" w:lineRule="auto"/>
        <w:rPr>
          <w:bCs/>
          <w:lang w:val="en-CA"/>
        </w:rPr>
      </w:pPr>
      <w:r>
        <w:rPr>
          <w:bCs/>
          <w:lang w:val="en-CA"/>
        </w:rPr>
        <w:t>The Government of Canada has made a substantial investment in this field: o</w:t>
      </w:r>
      <w:r w:rsidRPr="00514B63">
        <w:rPr>
          <w:bCs/>
          <w:lang w:val="en-CA"/>
        </w:rPr>
        <w:t xml:space="preserve">ver the last two years, the </w:t>
      </w:r>
      <w:r w:rsidR="00F056F1">
        <w:rPr>
          <w:bCs/>
          <w:lang w:val="en-CA"/>
        </w:rPr>
        <w:t>G</w:t>
      </w:r>
      <w:r>
        <w:rPr>
          <w:bCs/>
          <w:lang w:val="en-CA"/>
        </w:rPr>
        <w:t>overnment</w:t>
      </w:r>
      <w:r w:rsidRPr="00514B63">
        <w:rPr>
          <w:bCs/>
          <w:lang w:val="en-CA"/>
        </w:rPr>
        <w:t xml:space="preserve"> has invested in the Canadian A</w:t>
      </w:r>
      <w:r>
        <w:rPr>
          <w:bCs/>
          <w:lang w:val="en-CA"/>
        </w:rPr>
        <w:t>rtificial Intelligence (A</w:t>
      </w:r>
      <w:r w:rsidRPr="00514B63">
        <w:rPr>
          <w:bCs/>
          <w:lang w:val="en-CA"/>
        </w:rPr>
        <w:t>I</w:t>
      </w:r>
      <w:r>
        <w:rPr>
          <w:bCs/>
          <w:lang w:val="en-CA"/>
        </w:rPr>
        <w:t>)</w:t>
      </w:r>
      <w:r w:rsidRPr="00514B63">
        <w:rPr>
          <w:bCs/>
          <w:lang w:val="en-CA"/>
        </w:rPr>
        <w:t xml:space="preserve"> ecosystem. Successive budgets funded </w:t>
      </w:r>
      <w:r w:rsidR="00CC091A">
        <w:rPr>
          <w:bCs/>
          <w:lang w:val="en-CA"/>
        </w:rPr>
        <w:t>Can</w:t>
      </w:r>
      <w:r w:rsidR="002F5144">
        <w:rPr>
          <w:bCs/>
          <w:lang w:val="en-CA"/>
        </w:rPr>
        <w:t>$</w:t>
      </w:r>
      <w:r w:rsidRPr="00514B63">
        <w:rPr>
          <w:bCs/>
          <w:lang w:val="en-CA"/>
        </w:rPr>
        <w:t xml:space="preserve">125 million toward the </w:t>
      </w:r>
      <w:hyperlink r:id="rId13" w:history="1">
        <w:r w:rsidRPr="00133FD2">
          <w:rPr>
            <w:rStyle w:val="Hyperlink"/>
            <w:bCs/>
            <w:lang w:val="en-CA"/>
          </w:rPr>
          <w:t>Pan-Canadian AI Strategy</w:t>
        </w:r>
      </w:hyperlink>
      <w:r w:rsidRPr="00133FD2">
        <w:rPr>
          <w:bCs/>
          <w:lang w:val="en-CA"/>
        </w:rPr>
        <w:t> </w:t>
      </w:r>
      <w:r w:rsidRPr="00514B63" w:rsidDel="00130DBE">
        <w:rPr>
          <w:bCs/>
          <w:lang w:val="en-CA"/>
        </w:rPr>
        <w:t xml:space="preserve"> </w:t>
      </w:r>
      <w:r w:rsidRPr="00514B63">
        <w:rPr>
          <w:bCs/>
          <w:lang w:val="en-CA"/>
        </w:rPr>
        <w:t xml:space="preserve">and </w:t>
      </w:r>
      <w:r w:rsidR="00CC091A">
        <w:rPr>
          <w:bCs/>
          <w:lang w:val="en-CA"/>
        </w:rPr>
        <w:t>Can</w:t>
      </w:r>
      <w:r w:rsidR="002F5144">
        <w:rPr>
          <w:bCs/>
          <w:lang w:val="en-CA"/>
        </w:rPr>
        <w:t>$</w:t>
      </w:r>
      <w:r w:rsidRPr="00514B63">
        <w:rPr>
          <w:bCs/>
          <w:lang w:val="en-CA"/>
        </w:rPr>
        <w:t xml:space="preserve">950 million for the </w:t>
      </w:r>
      <w:hyperlink r:id="rId14" w:history="1">
        <w:r w:rsidRPr="00133FD2">
          <w:rPr>
            <w:rStyle w:val="Hyperlink"/>
            <w:bCs/>
            <w:lang w:val="en-CA"/>
          </w:rPr>
          <w:t>Superclusters initiative</w:t>
        </w:r>
      </w:hyperlink>
      <w:r w:rsidR="00236549" w:rsidRPr="00421C2B">
        <w:rPr>
          <w:rStyle w:val="Hyperlink"/>
          <w:bCs/>
          <w:u w:val="none"/>
          <w:lang w:val="en-CA"/>
        </w:rPr>
        <w:t>,</w:t>
      </w:r>
      <w:r>
        <w:rPr>
          <w:bCs/>
          <w:lang w:val="en-CA"/>
        </w:rPr>
        <w:t xml:space="preserve"> </w:t>
      </w:r>
      <w:r w:rsidRPr="00514B63">
        <w:rPr>
          <w:bCs/>
          <w:lang w:val="en-CA"/>
        </w:rPr>
        <w:t>which are generating cutting-edge research, investment, and talent in Canada.</w:t>
      </w:r>
    </w:p>
    <w:p w14:paraId="1C632092" w14:textId="77777777" w:rsidR="0067470D" w:rsidRDefault="0067470D" w:rsidP="00CE18B4">
      <w:pPr>
        <w:pStyle w:val="Bullet"/>
        <w:numPr>
          <w:ilvl w:val="0"/>
          <w:numId w:val="0"/>
        </w:numPr>
        <w:spacing w:after="120" w:line="240" w:lineRule="auto"/>
        <w:rPr>
          <w:bCs/>
          <w:lang w:val="en-CA"/>
        </w:rPr>
      </w:pPr>
      <w:r w:rsidRPr="00514B63">
        <w:rPr>
          <w:bCs/>
          <w:lang w:val="en-CA"/>
        </w:rPr>
        <w:t xml:space="preserve">With the application of technology like machine learning to improve the delivery of benefits programs, predictive data analytics to improve decision making, and natural language processing to support translation services, </w:t>
      </w:r>
      <w:r>
        <w:rPr>
          <w:bCs/>
          <w:lang w:val="en-CA"/>
        </w:rPr>
        <w:t>the hope is this work can</w:t>
      </w:r>
      <w:r w:rsidRPr="00514B63">
        <w:rPr>
          <w:bCs/>
          <w:lang w:val="en-CA"/>
        </w:rPr>
        <w:t xml:space="preserve"> reduce backlogs and processing times while offering unprecedented convenience and personalized service to Canadians and businesses.</w:t>
      </w:r>
    </w:p>
    <w:p w14:paraId="21E546B9" w14:textId="77777777" w:rsidR="00CC091A" w:rsidRPr="005760AD" w:rsidRDefault="002C53C1" w:rsidP="00CE18B4">
      <w:pPr>
        <w:pStyle w:val="Bullet"/>
        <w:numPr>
          <w:ilvl w:val="0"/>
          <w:numId w:val="0"/>
        </w:numPr>
        <w:spacing w:after="120" w:line="240" w:lineRule="auto"/>
        <w:rPr>
          <w:bCs/>
          <w:u w:val="single"/>
          <w:lang w:val="en-CA"/>
        </w:rPr>
      </w:pPr>
      <w:r w:rsidRPr="005760AD">
        <w:rPr>
          <w:bCs/>
          <w:u w:val="single"/>
          <w:lang w:val="en-CA"/>
        </w:rPr>
        <w:t xml:space="preserve">Managing </w:t>
      </w:r>
      <w:r w:rsidR="00CC091A" w:rsidRPr="005760AD">
        <w:rPr>
          <w:bCs/>
          <w:u w:val="single"/>
          <w:lang w:val="en-CA"/>
        </w:rPr>
        <w:t>Key Issues and Challenges</w:t>
      </w:r>
      <w:r w:rsidR="005760AD" w:rsidRPr="005760AD">
        <w:rPr>
          <w:bCs/>
          <w:u w:val="single"/>
          <w:lang w:val="en-CA"/>
        </w:rPr>
        <w:t xml:space="preserve"> with AI</w:t>
      </w:r>
    </w:p>
    <w:p w14:paraId="73D6FE32" w14:textId="250B20C2" w:rsidR="0067470D" w:rsidRDefault="0067470D" w:rsidP="00CE18B4">
      <w:pPr>
        <w:pStyle w:val="Bullet"/>
        <w:numPr>
          <w:ilvl w:val="0"/>
          <w:numId w:val="0"/>
        </w:numPr>
        <w:spacing w:after="120" w:line="240" w:lineRule="auto"/>
        <w:rPr>
          <w:bCs/>
          <w:lang w:val="en-CA"/>
        </w:rPr>
      </w:pPr>
      <w:r w:rsidRPr="00514B63">
        <w:rPr>
          <w:bCs/>
          <w:lang w:val="en-CA"/>
        </w:rPr>
        <w:t>The use of AI offers a lot of promise in improving the efficiency of service delivery in government, but there are also risks</w:t>
      </w:r>
      <w:r>
        <w:rPr>
          <w:bCs/>
          <w:lang w:val="en-CA"/>
        </w:rPr>
        <w:t xml:space="preserve"> if this is not done with care</w:t>
      </w:r>
      <w:r w:rsidRPr="00514B63">
        <w:rPr>
          <w:bCs/>
          <w:lang w:val="en-CA"/>
        </w:rPr>
        <w:t xml:space="preserve">. </w:t>
      </w:r>
      <w:r>
        <w:rPr>
          <w:bCs/>
          <w:lang w:val="en-CA"/>
        </w:rPr>
        <w:t xml:space="preserve">Small scale pilots using limited applications of AI have already drawn </w:t>
      </w:r>
      <w:hyperlink r:id="rId15" w:history="1">
        <w:r w:rsidRPr="0079311A">
          <w:rPr>
            <w:rStyle w:val="Hyperlink"/>
            <w:bCs/>
            <w:lang w:val="en-CA"/>
          </w:rPr>
          <w:t>media</w:t>
        </w:r>
      </w:hyperlink>
      <w:r w:rsidRPr="00634303">
        <w:t xml:space="preserve"> </w:t>
      </w:r>
      <w:hyperlink r:id="rId16" w:history="1">
        <w:r w:rsidRPr="00634303">
          <w:rPr>
            <w:rStyle w:val="Hyperlink"/>
          </w:rPr>
          <w:t>attention</w:t>
        </w:r>
      </w:hyperlink>
      <w:r>
        <w:rPr>
          <w:bCs/>
          <w:lang w:val="en-CA"/>
        </w:rPr>
        <w:t xml:space="preserve">, such as the use of systems to do the initial screening of refugee claims by the </w:t>
      </w:r>
      <w:r w:rsidR="002F5144">
        <w:rPr>
          <w:bCs/>
          <w:lang w:val="en-CA"/>
        </w:rPr>
        <w:t xml:space="preserve">Department of </w:t>
      </w:r>
      <w:r>
        <w:rPr>
          <w:bCs/>
          <w:lang w:val="en-CA"/>
        </w:rPr>
        <w:t>Justice Canada and Immigration, Refugees and Citizenship Canada. Governments need to find ways to implement these type</w:t>
      </w:r>
      <w:r w:rsidR="002F5144">
        <w:rPr>
          <w:bCs/>
          <w:lang w:val="en-CA"/>
        </w:rPr>
        <w:t>s</w:t>
      </w:r>
      <w:r>
        <w:rPr>
          <w:bCs/>
          <w:lang w:val="en-CA"/>
        </w:rPr>
        <w:t xml:space="preserve"> of tools in ways that maintain the trust and buy-in by their citizens. </w:t>
      </w:r>
    </w:p>
    <w:p w14:paraId="19E2BFF3" w14:textId="14A07D5A" w:rsidR="0067470D" w:rsidRPr="00514B63" w:rsidRDefault="00236549" w:rsidP="00CE18B4">
      <w:pPr>
        <w:pStyle w:val="Bullet"/>
        <w:numPr>
          <w:ilvl w:val="0"/>
          <w:numId w:val="0"/>
        </w:numPr>
        <w:spacing w:after="120" w:line="240" w:lineRule="auto"/>
        <w:rPr>
          <w:bCs/>
          <w:lang w:val="en-CA"/>
        </w:rPr>
      </w:pPr>
      <w:r w:rsidRPr="00514B63">
        <w:rPr>
          <w:bCs/>
          <w:lang w:val="en-CA"/>
        </w:rPr>
        <w:t>It is</w:t>
      </w:r>
      <w:r w:rsidR="0067470D" w:rsidRPr="00514B63">
        <w:rPr>
          <w:bCs/>
          <w:lang w:val="en-CA"/>
        </w:rPr>
        <w:t xml:space="preserve"> critical that the use of AI be governed with clear values, ethics, and rules. In the coming months, </w:t>
      </w:r>
      <w:r w:rsidR="0067470D">
        <w:rPr>
          <w:bCs/>
          <w:lang w:val="en-CA"/>
        </w:rPr>
        <w:t>Treasury Board of Canada</w:t>
      </w:r>
      <w:r w:rsidR="0067470D" w:rsidRPr="00514B63">
        <w:rPr>
          <w:bCs/>
          <w:lang w:val="en-CA"/>
        </w:rPr>
        <w:t xml:space="preserve"> will release a </w:t>
      </w:r>
      <w:hyperlink r:id="rId17" w:anchor="heading=h.umd3sgrbb3d9" w:history="1">
        <w:r w:rsidR="0067470D" w:rsidRPr="00133FD2">
          <w:rPr>
            <w:rStyle w:val="Hyperlink"/>
            <w:bCs/>
            <w:lang w:val="en-CA"/>
          </w:rPr>
          <w:t>Directive on Automated Decision-Making</w:t>
        </w:r>
      </w:hyperlink>
      <w:r w:rsidR="0067470D" w:rsidRPr="00514B63">
        <w:rPr>
          <w:bCs/>
          <w:lang w:val="en-CA"/>
        </w:rPr>
        <w:t xml:space="preserve">, which will outline the </w:t>
      </w:r>
      <w:r w:rsidR="0067470D" w:rsidRPr="00514B63">
        <w:rPr>
          <w:bCs/>
          <w:lang w:val="en-CA"/>
        </w:rPr>
        <w:lastRenderedPageBreak/>
        <w:t xml:space="preserve">responsibilities of federal departments using AI. This Directive, along with the </w:t>
      </w:r>
      <w:hyperlink r:id="rId18" w:history="1">
        <w:r w:rsidR="0067470D" w:rsidRPr="00133FD2">
          <w:rPr>
            <w:rStyle w:val="Hyperlink"/>
            <w:bCs/>
            <w:lang w:val="en-CA"/>
          </w:rPr>
          <w:t>Algorithmic Impact Assessment</w:t>
        </w:r>
      </w:hyperlink>
      <w:r w:rsidR="0067470D" w:rsidRPr="00634303">
        <w:t xml:space="preserve"> tool</w:t>
      </w:r>
      <w:r w:rsidR="0067470D" w:rsidRPr="00514B63">
        <w:rPr>
          <w:bCs/>
          <w:lang w:val="en-CA"/>
        </w:rPr>
        <w:t>, will help institutions better understand and ensure the ethical and responsible implementation of AI.</w:t>
      </w:r>
      <w:r w:rsidR="00DB4920" w:rsidRPr="00514B63">
        <w:rPr>
          <w:bCs/>
          <w:lang w:val="en-CA"/>
        </w:rPr>
        <w:t xml:space="preserve"> Much of this was built upon the ground</w:t>
      </w:r>
      <w:r w:rsidR="00DB4920">
        <w:rPr>
          <w:bCs/>
          <w:lang w:val="en-CA"/>
        </w:rPr>
        <w:t>-</w:t>
      </w:r>
      <w:r w:rsidR="00DB4920" w:rsidRPr="00514B63">
        <w:rPr>
          <w:bCs/>
          <w:lang w:val="en-CA"/>
        </w:rPr>
        <w:t xml:space="preserve">breaking work on the </w:t>
      </w:r>
      <w:r w:rsidR="00DB4920" w:rsidRPr="00D313B9">
        <w:t>automated assistance of decision-making</w:t>
      </w:r>
      <w:r w:rsidR="00DB4920" w:rsidRPr="00514B63">
        <w:rPr>
          <w:bCs/>
          <w:lang w:val="en-CA"/>
        </w:rPr>
        <w:t xml:space="preserve"> by the Government of Australia in 2007</w:t>
      </w:r>
      <w:r w:rsidR="00DB4920">
        <w:rPr>
          <w:bCs/>
          <w:lang w:val="en-CA"/>
        </w:rPr>
        <w:t>.</w:t>
      </w:r>
      <w:r w:rsidR="00DB4920">
        <w:rPr>
          <w:rStyle w:val="FootnoteReference"/>
          <w:bCs/>
          <w:lang w:val="en-CA"/>
        </w:rPr>
        <w:footnoteReference w:id="2"/>
      </w:r>
    </w:p>
    <w:p w14:paraId="2AEA8374" w14:textId="77777777" w:rsidR="0067470D" w:rsidRPr="00133FD2" w:rsidRDefault="0067470D" w:rsidP="00CE18B4">
      <w:pPr>
        <w:pStyle w:val="Bullet"/>
        <w:numPr>
          <w:ilvl w:val="0"/>
          <w:numId w:val="0"/>
        </w:numPr>
        <w:spacing w:after="120" w:line="240" w:lineRule="auto"/>
        <w:rPr>
          <w:bCs/>
          <w:lang w:val="en-CA"/>
        </w:rPr>
      </w:pPr>
      <w:r w:rsidRPr="00133FD2">
        <w:rPr>
          <w:bCs/>
          <w:lang w:val="en-CA"/>
        </w:rPr>
        <w:t xml:space="preserve">The challenge is finding the right balance between innovation and the application of technology within a strong ethical framework. The ability to identify patterns in vast data and to take automated action will help maximize benefit to the public through improved delivery of services. This will require the appropriate design, development, and enforcement of policy and regulations. </w:t>
      </w:r>
    </w:p>
    <w:p w14:paraId="01C1B922" w14:textId="77777777" w:rsidR="0067470D" w:rsidRPr="00133FD2" w:rsidRDefault="0067470D" w:rsidP="00CE18B4">
      <w:pPr>
        <w:pStyle w:val="Bullet"/>
        <w:numPr>
          <w:ilvl w:val="0"/>
          <w:numId w:val="0"/>
        </w:numPr>
        <w:spacing w:after="120" w:line="240" w:lineRule="auto"/>
        <w:rPr>
          <w:b/>
          <w:bCs/>
          <w:lang w:val="en-CA"/>
        </w:rPr>
      </w:pPr>
      <w:r w:rsidRPr="00133FD2">
        <w:rPr>
          <w:bCs/>
          <w:lang w:val="en-CA"/>
        </w:rPr>
        <w:t xml:space="preserve">AI must be designed and implemented carefully and ensure the protection of human rights or we risk making erroneous decisions based on misinterpretations of data. We believe that AI should not only follow - but be built to improve - core principles of our respective societies, including </w:t>
      </w:r>
      <w:r w:rsidRPr="00133FD2">
        <w:rPr>
          <w:b/>
          <w:bCs/>
          <w:lang w:val="en-CA"/>
        </w:rPr>
        <w:t>transparency, accountability, and procedural fairness.</w:t>
      </w:r>
    </w:p>
    <w:p w14:paraId="7FE80578" w14:textId="77777777" w:rsidR="00CC091A" w:rsidRPr="00CC091A" w:rsidRDefault="00CC091A" w:rsidP="00CE18B4">
      <w:pPr>
        <w:pStyle w:val="Bullet"/>
        <w:numPr>
          <w:ilvl w:val="0"/>
          <w:numId w:val="0"/>
        </w:numPr>
        <w:spacing w:after="120" w:line="240" w:lineRule="auto"/>
        <w:rPr>
          <w:bCs/>
          <w:u w:val="single"/>
          <w:lang w:val="en-CA"/>
        </w:rPr>
      </w:pPr>
      <w:r w:rsidRPr="00CC091A">
        <w:rPr>
          <w:bCs/>
          <w:u w:val="single"/>
          <w:lang w:val="en-CA"/>
        </w:rPr>
        <w:t xml:space="preserve">Best Practice Principles to Guide the </w:t>
      </w:r>
      <w:r>
        <w:rPr>
          <w:bCs/>
          <w:u w:val="single"/>
          <w:lang w:val="en-CA"/>
        </w:rPr>
        <w:t>U</w:t>
      </w:r>
      <w:r w:rsidRPr="00CC091A">
        <w:rPr>
          <w:bCs/>
          <w:u w:val="single"/>
          <w:lang w:val="en-CA"/>
        </w:rPr>
        <w:t xml:space="preserve">se of AI </w:t>
      </w:r>
    </w:p>
    <w:p w14:paraId="653C2013" w14:textId="77777777" w:rsidR="00DB4920" w:rsidRPr="00133FD2" w:rsidRDefault="00DB4920" w:rsidP="00DB4920">
      <w:pPr>
        <w:pStyle w:val="Bullet"/>
        <w:numPr>
          <w:ilvl w:val="0"/>
          <w:numId w:val="0"/>
        </w:numPr>
        <w:spacing w:after="120" w:line="240" w:lineRule="auto"/>
        <w:rPr>
          <w:bCs/>
          <w:lang w:val="en-CA"/>
        </w:rPr>
      </w:pPr>
      <w:r w:rsidRPr="00133FD2">
        <w:rPr>
          <w:bCs/>
          <w:lang w:val="en-CA"/>
        </w:rPr>
        <w:t>Canada, along with fellow members of the Digital 9 recently agree</w:t>
      </w:r>
      <w:r>
        <w:rPr>
          <w:bCs/>
          <w:lang w:val="en-CA"/>
        </w:rPr>
        <w:t>d</w:t>
      </w:r>
      <w:r w:rsidRPr="00133FD2">
        <w:rPr>
          <w:bCs/>
          <w:lang w:val="en-CA"/>
        </w:rPr>
        <w:t xml:space="preserve"> a set of best practice</w:t>
      </w:r>
      <w:r>
        <w:rPr>
          <w:bCs/>
          <w:lang w:val="en-CA"/>
        </w:rPr>
        <w:t xml:space="preserve"> principle</w:t>
      </w:r>
      <w:r w:rsidRPr="00133FD2">
        <w:rPr>
          <w:bCs/>
          <w:lang w:val="en-CA"/>
        </w:rPr>
        <w:t xml:space="preserve">s on the use of AI by governments for purposes other than national defence. </w:t>
      </w:r>
      <w:r>
        <w:rPr>
          <w:rStyle w:val="FootnoteReference"/>
          <w:bCs/>
          <w:lang w:val="en-CA"/>
        </w:rPr>
        <w:footnoteReference w:id="3"/>
      </w:r>
    </w:p>
    <w:p w14:paraId="02D373A1" w14:textId="77777777" w:rsidR="0067470D" w:rsidRPr="00A90C01" w:rsidRDefault="0067470D" w:rsidP="00DB4920">
      <w:pPr>
        <w:pStyle w:val="Bullet"/>
        <w:numPr>
          <w:ilvl w:val="0"/>
          <w:numId w:val="20"/>
        </w:numPr>
        <w:spacing w:after="120" w:line="240" w:lineRule="auto"/>
        <w:ind w:left="714" w:hanging="357"/>
        <w:rPr>
          <w:b/>
          <w:bCs/>
          <w:lang w:val="en-CA"/>
        </w:rPr>
      </w:pPr>
      <w:r w:rsidRPr="00133FD2">
        <w:rPr>
          <w:b/>
          <w:bCs/>
          <w:lang w:val="en-CA"/>
        </w:rPr>
        <w:t xml:space="preserve">Understand and measure </w:t>
      </w:r>
      <w:r w:rsidRPr="00A90C01">
        <w:rPr>
          <w:b/>
          <w:bCs/>
          <w:lang w:val="en-CA"/>
        </w:rPr>
        <w:t>the impact of using AI by developing and sharing tools and approaches.</w:t>
      </w:r>
    </w:p>
    <w:p w14:paraId="0507A47C" w14:textId="77777777" w:rsidR="0067470D" w:rsidRPr="00133FD2" w:rsidRDefault="0067470D" w:rsidP="00CE18B4">
      <w:pPr>
        <w:pStyle w:val="Bullet"/>
        <w:numPr>
          <w:ilvl w:val="0"/>
          <w:numId w:val="20"/>
        </w:numPr>
        <w:spacing w:after="120" w:line="240" w:lineRule="auto"/>
        <w:ind w:left="714" w:hanging="357"/>
        <w:rPr>
          <w:bCs/>
          <w:lang w:val="en-CA"/>
        </w:rPr>
      </w:pPr>
      <w:r w:rsidRPr="00133FD2">
        <w:rPr>
          <w:b/>
          <w:bCs/>
          <w:lang w:val="en-CA"/>
        </w:rPr>
        <w:t>Be transparent</w:t>
      </w:r>
      <w:r w:rsidRPr="00133FD2">
        <w:rPr>
          <w:bCs/>
          <w:lang w:val="en-CA"/>
        </w:rPr>
        <w:t xml:space="preserve"> about how and when we are using AI.</w:t>
      </w:r>
    </w:p>
    <w:p w14:paraId="113DEDFB" w14:textId="77777777" w:rsidR="0067470D" w:rsidRPr="00133FD2" w:rsidRDefault="0067470D" w:rsidP="00CE18B4">
      <w:pPr>
        <w:pStyle w:val="Bullet"/>
        <w:numPr>
          <w:ilvl w:val="0"/>
          <w:numId w:val="20"/>
        </w:numPr>
        <w:spacing w:after="120" w:line="240" w:lineRule="auto"/>
        <w:ind w:left="714" w:hanging="357"/>
        <w:rPr>
          <w:bCs/>
          <w:lang w:val="en-CA"/>
        </w:rPr>
      </w:pPr>
      <w:r w:rsidRPr="00133FD2">
        <w:rPr>
          <w:b/>
          <w:bCs/>
          <w:lang w:val="en-CA"/>
        </w:rPr>
        <w:t>Provide meaningful explanations</w:t>
      </w:r>
      <w:r w:rsidRPr="00133FD2">
        <w:rPr>
          <w:bCs/>
          <w:lang w:val="en-CA"/>
        </w:rPr>
        <w:t xml:space="preserve"> about AI decision-making, while also offering opportunities to review results and challenge these decisions.</w:t>
      </w:r>
    </w:p>
    <w:p w14:paraId="0FDF663B" w14:textId="77777777" w:rsidR="0067470D" w:rsidRPr="00133FD2" w:rsidRDefault="0067470D" w:rsidP="00CE18B4">
      <w:pPr>
        <w:pStyle w:val="Bullet"/>
        <w:numPr>
          <w:ilvl w:val="0"/>
          <w:numId w:val="20"/>
        </w:numPr>
        <w:spacing w:after="120" w:line="240" w:lineRule="auto"/>
        <w:ind w:left="714" w:hanging="357"/>
        <w:rPr>
          <w:bCs/>
          <w:lang w:val="en-CA"/>
        </w:rPr>
      </w:pPr>
      <w:r w:rsidRPr="00133FD2">
        <w:rPr>
          <w:b/>
          <w:bCs/>
          <w:lang w:val="en-CA"/>
        </w:rPr>
        <w:t>Be as open as we can</w:t>
      </w:r>
      <w:r w:rsidRPr="00133FD2">
        <w:rPr>
          <w:bCs/>
          <w:lang w:val="en-CA"/>
        </w:rPr>
        <w:t xml:space="preserve"> by sharing source code, training data, and other relevant information, all while protecting personal information, system integration and national security.</w:t>
      </w:r>
    </w:p>
    <w:p w14:paraId="08619A00" w14:textId="3956EAA8" w:rsidR="0067470D" w:rsidRPr="00133FD2" w:rsidRDefault="0067470D" w:rsidP="00CE18B4">
      <w:pPr>
        <w:pStyle w:val="Bullet"/>
        <w:numPr>
          <w:ilvl w:val="0"/>
          <w:numId w:val="20"/>
        </w:numPr>
        <w:spacing w:after="120" w:line="240" w:lineRule="auto"/>
        <w:ind w:left="714" w:hanging="357"/>
        <w:rPr>
          <w:bCs/>
          <w:lang w:val="en-CA"/>
        </w:rPr>
      </w:pPr>
      <w:r w:rsidRPr="00133FD2">
        <w:rPr>
          <w:b/>
          <w:bCs/>
          <w:lang w:val="en-CA"/>
        </w:rPr>
        <w:t>Provide sufficient training</w:t>
      </w:r>
      <w:r w:rsidRPr="00133FD2">
        <w:rPr>
          <w:bCs/>
          <w:lang w:val="en-CA"/>
        </w:rPr>
        <w:t xml:space="preserve"> to ensure that the employees developing and using AI solutions have the ethical, design, function, and implementation skills needed to make government services better</w:t>
      </w:r>
      <w:r w:rsidR="0096764C">
        <w:rPr>
          <w:bCs/>
          <w:lang w:val="en-CA"/>
        </w:rPr>
        <w:t>.</w:t>
      </w:r>
    </w:p>
    <w:p w14:paraId="235DA271" w14:textId="77777777" w:rsidR="00140892" w:rsidRPr="00514B63" w:rsidRDefault="00140892" w:rsidP="00CE18B4">
      <w:pPr>
        <w:spacing w:after="120" w:line="240" w:lineRule="auto"/>
        <w:rPr>
          <w:b/>
          <w:i/>
        </w:rPr>
      </w:pPr>
      <w:r w:rsidRPr="00514B63">
        <w:rPr>
          <w:b/>
          <w:i/>
        </w:rPr>
        <w:t>Australia</w:t>
      </w:r>
    </w:p>
    <w:p w14:paraId="5A2DA03B" w14:textId="77777777" w:rsidR="00CC091A" w:rsidRPr="00C1156F" w:rsidRDefault="009D3DF8" w:rsidP="000555DB">
      <w:pPr>
        <w:pStyle w:val="Bullet"/>
        <w:numPr>
          <w:ilvl w:val="0"/>
          <w:numId w:val="0"/>
        </w:numPr>
        <w:spacing w:after="120" w:line="240" w:lineRule="auto"/>
        <w:rPr>
          <w:u w:val="single"/>
          <w:lang w:val="en-US"/>
        </w:rPr>
      </w:pPr>
      <w:r>
        <w:rPr>
          <w:u w:val="single"/>
          <w:lang w:val="en-US"/>
        </w:rPr>
        <w:t xml:space="preserve">Whole of Government </w:t>
      </w:r>
      <w:r w:rsidR="00CC091A" w:rsidRPr="00C1156F">
        <w:rPr>
          <w:u w:val="single"/>
          <w:lang w:val="en-US"/>
        </w:rPr>
        <w:t>Transformation</w:t>
      </w:r>
      <w:r w:rsidR="005760AD">
        <w:rPr>
          <w:u w:val="single"/>
          <w:lang w:val="en-US"/>
        </w:rPr>
        <w:t xml:space="preserve">al </w:t>
      </w:r>
      <w:r w:rsidR="00CC091A" w:rsidRPr="00C1156F">
        <w:rPr>
          <w:u w:val="single"/>
          <w:lang w:val="en-US"/>
        </w:rPr>
        <w:t>Strateg</w:t>
      </w:r>
      <w:r w:rsidR="005760AD">
        <w:rPr>
          <w:u w:val="single"/>
          <w:lang w:val="en-US"/>
        </w:rPr>
        <w:t>ies</w:t>
      </w:r>
    </w:p>
    <w:p w14:paraId="2368CB18" w14:textId="1630B3F4" w:rsidR="009623DB" w:rsidRPr="005760AD" w:rsidRDefault="009623DB" w:rsidP="000555DB">
      <w:pPr>
        <w:pStyle w:val="Bullet"/>
        <w:numPr>
          <w:ilvl w:val="0"/>
          <w:numId w:val="0"/>
        </w:numPr>
        <w:spacing w:after="120" w:line="240" w:lineRule="auto"/>
        <w:rPr>
          <w:lang w:val="en-US"/>
        </w:rPr>
      </w:pPr>
      <w:r w:rsidRPr="00514B63">
        <w:rPr>
          <w:lang w:val="en-US"/>
        </w:rPr>
        <w:t>Australia</w:t>
      </w:r>
      <w:r>
        <w:rPr>
          <w:lang w:val="en-US"/>
        </w:rPr>
        <w:t xml:space="preserve"> is also a</w:t>
      </w:r>
      <w:r w:rsidRPr="00514B63">
        <w:rPr>
          <w:lang w:val="en-US"/>
        </w:rPr>
        <w:t>ccelerat</w:t>
      </w:r>
      <w:r>
        <w:rPr>
          <w:lang w:val="en-US"/>
        </w:rPr>
        <w:t>ing</w:t>
      </w:r>
      <w:r w:rsidRPr="00514B63">
        <w:rPr>
          <w:lang w:val="en-US"/>
        </w:rPr>
        <w:t xml:space="preserve"> </w:t>
      </w:r>
      <w:r>
        <w:rPr>
          <w:lang w:val="en-US"/>
        </w:rPr>
        <w:t xml:space="preserve">its </w:t>
      </w:r>
      <w:r w:rsidRPr="00514B63">
        <w:rPr>
          <w:lang w:val="en-US"/>
        </w:rPr>
        <w:t xml:space="preserve">transformation </w:t>
      </w:r>
      <w:r>
        <w:rPr>
          <w:lang w:val="en-US"/>
        </w:rPr>
        <w:t>of public service delivery. A</w:t>
      </w:r>
      <w:r w:rsidR="00E8541C">
        <w:rPr>
          <w:lang w:val="en-US"/>
        </w:rPr>
        <w:t>nnounced in November 2018, the</w:t>
      </w:r>
      <w:r>
        <w:rPr>
          <w:lang w:val="en-US"/>
        </w:rPr>
        <w:t xml:space="preserve"> new</w:t>
      </w:r>
      <w:r w:rsidRPr="00514B63">
        <w:rPr>
          <w:lang w:val="en-US"/>
        </w:rPr>
        <w:t xml:space="preserve"> </w:t>
      </w:r>
      <w:hyperlink r:id="rId19" w:history="1">
        <w:r w:rsidRPr="009472F5">
          <w:rPr>
            <w:rStyle w:val="Hyperlink"/>
            <w:lang w:val="en-US"/>
          </w:rPr>
          <w:t>Digital Transformation Strategy</w:t>
        </w:r>
      </w:hyperlink>
      <w:r>
        <w:rPr>
          <w:lang w:val="en-US"/>
        </w:rPr>
        <w:t xml:space="preserve"> (</w:t>
      </w:r>
      <w:r w:rsidR="009A2D35">
        <w:rPr>
          <w:lang w:val="en-US"/>
        </w:rPr>
        <w:t xml:space="preserve">the </w:t>
      </w:r>
      <w:r>
        <w:rPr>
          <w:lang w:val="en-US"/>
        </w:rPr>
        <w:t xml:space="preserve">Strategy) </w:t>
      </w:r>
      <w:r w:rsidRPr="00514B63">
        <w:rPr>
          <w:lang w:val="en-US"/>
        </w:rPr>
        <w:t>sets the direction for</w:t>
      </w:r>
      <w:r>
        <w:rPr>
          <w:lang w:val="en-US"/>
        </w:rPr>
        <w:t xml:space="preserve"> the </w:t>
      </w:r>
      <w:r w:rsidRPr="00514B63">
        <w:rPr>
          <w:lang w:val="en-US"/>
        </w:rPr>
        <w:t xml:space="preserve">work </w:t>
      </w:r>
      <w:r>
        <w:rPr>
          <w:lang w:val="en-US"/>
        </w:rPr>
        <w:t xml:space="preserve">of the Australian Public Service (APS) </w:t>
      </w:r>
      <w:r w:rsidRPr="00514B63">
        <w:rPr>
          <w:lang w:val="en-US"/>
        </w:rPr>
        <w:t>to 2025</w:t>
      </w:r>
      <w:r>
        <w:rPr>
          <w:lang w:val="en-US"/>
        </w:rPr>
        <w:t>,</w:t>
      </w:r>
      <w:r w:rsidRPr="00514B63">
        <w:rPr>
          <w:lang w:val="en-US"/>
        </w:rPr>
        <w:t xml:space="preserve"> </w:t>
      </w:r>
      <w:r>
        <w:rPr>
          <w:lang w:val="en-US"/>
        </w:rPr>
        <w:t xml:space="preserve">to make the APS </w:t>
      </w:r>
      <w:r w:rsidRPr="00514B63">
        <w:rPr>
          <w:lang w:val="en-US"/>
        </w:rPr>
        <w:t>one of the top three digital governments in the world.</w:t>
      </w:r>
      <w:r>
        <w:rPr>
          <w:lang w:val="en-US"/>
        </w:rPr>
        <w:t xml:space="preserve"> Reflecting the breadth of the change agenda, the </w:t>
      </w:r>
      <w:r w:rsidR="00E8541C">
        <w:rPr>
          <w:lang w:val="en-US"/>
        </w:rPr>
        <w:t>Digital Transformation Agency (DTA) has developed the St</w:t>
      </w:r>
      <w:r w:rsidRPr="00514B63">
        <w:rPr>
          <w:lang w:val="en-US"/>
        </w:rPr>
        <w:t xml:space="preserve">rategy </w:t>
      </w:r>
      <w:r>
        <w:rPr>
          <w:lang w:val="en-US"/>
        </w:rPr>
        <w:t>alongside t</w:t>
      </w:r>
      <w:r w:rsidRPr="00514B63">
        <w:rPr>
          <w:lang w:val="en-US"/>
        </w:rPr>
        <w:t>he</w:t>
      </w:r>
      <w:r w:rsidR="00592948">
        <w:rPr>
          <w:lang w:val="en-US"/>
        </w:rPr>
        <w:t xml:space="preserve"> </w:t>
      </w:r>
      <w:hyperlink r:id="rId20" w:history="1">
        <w:r w:rsidR="00592948" w:rsidRPr="000316BD">
          <w:rPr>
            <w:rStyle w:val="Hyperlink"/>
            <w:lang w:val="en-US"/>
          </w:rPr>
          <w:t>Digital Economy Strategy</w:t>
        </w:r>
      </w:hyperlink>
      <w:r w:rsidRPr="005760AD">
        <w:rPr>
          <w:lang w:val="en-US"/>
        </w:rPr>
        <w:t xml:space="preserve">, the </w:t>
      </w:r>
      <w:hyperlink r:id="rId21" w:history="1">
        <w:r w:rsidRPr="009472F5">
          <w:rPr>
            <w:rStyle w:val="Hyperlink"/>
            <w:lang w:val="en-US"/>
          </w:rPr>
          <w:t>Cyber Security Strategy</w:t>
        </w:r>
      </w:hyperlink>
      <w:r w:rsidRPr="005760AD">
        <w:rPr>
          <w:lang w:val="en-US"/>
        </w:rPr>
        <w:t xml:space="preserve">, the </w:t>
      </w:r>
      <w:hyperlink r:id="rId22" w:history="1">
        <w:r w:rsidR="00592948" w:rsidRPr="00BC1908">
          <w:rPr>
            <w:rStyle w:val="Hyperlink"/>
            <w:lang w:val="en-US"/>
          </w:rPr>
          <w:t>National Business Simplification Strategy</w:t>
        </w:r>
      </w:hyperlink>
      <w:r w:rsidR="00592948">
        <w:rPr>
          <w:lang w:val="en-US"/>
        </w:rPr>
        <w:t xml:space="preserve"> </w:t>
      </w:r>
      <w:r w:rsidRPr="005760AD">
        <w:rPr>
          <w:lang w:val="en-US"/>
        </w:rPr>
        <w:t xml:space="preserve">and the </w:t>
      </w:r>
      <w:hyperlink r:id="rId23" w:history="1">
        <w:r w:rsidRPr="009472F5">
          <w:rPr>
            <w:rStyle w:val="Hyperlink"/>
            <w:lang w:val="en-US"/>
          </w:rPr>
          <w:t>APS Review</w:t>
        </w:r>
      </w:hyperlink>
      <w:r w:rsidRPr="005760AD">
        <w:rPr>
          <w:lang w:val="en-US"/>
        </w:rPr>
        <w:t xml:space="preserve">. </w:t>
      </w:r>
    </w:p>
    <w:p w14:paraId="064416D0" w14:textId="77777777" w:rsidR="00D32DD2" w:rsidRPr="005760AD" w:rsidRDefault="0019327B" w:rsidP="00001C97">
      <w:pPr>
        <w:pStyle w:val="Bullet"/>
        <w:numPr>
          <w:ilvl w:val="0"/>
          <w:numId w:val="0"/>
        </w:numPr>
        <w:spacing w:after="120" w:line="240" w:lineRule="auto"/>
        <w:rPr>
          <w:lang w:val="en-US"/>
        </w:rPr>
      </w:pPr>
      <w:r w:rsidRPr="005760AD">
        <w:rPr>
          <w:lang w:val="en-US"/>
        </w:rPr>
        <w:t xml:space="preserve">The </w:t>
      </w:r>
      <w:r w:rsidR="00CC091A" w:rsidRPr="005760AD">
        <w:rPr>
          <w:lang w:val="en-US"/>
        </w:rPr>
        <w:t>S</w:t>
      </w:r>
      <w:r w:rsidRPr="005760AD">
        <w:rPr>
          <w:lang w:val="en-US"/>
        </w:rPr>
        <w:t xml:space="preserve">trategy is accompanied by a </w:t>
      </w:r>
      <w:hyperlink r:id="rId24" w:history="1">
        <w:r w:rsidRPr="008B3783">
          <w:rPr>
            <w:rStyle w:val="Hyperlink"/>
            <w:lang w:val="en-US"/>
          </w:rPr>
          <w:t>Roadmap</w:t>
        </w:r>
      </w:hyperlink>
      <w:r w:rsidR="00CC091A" w:rsidRPr="005760AD">
        <w:rPr>
          <w:lang w:val="en-US"/>
        </w:rPr>
        <w:t>,</w:t>
      </w:r>
      <w:r w:rsidRPr="005760AD">
        <w:rPr>
          <w:lang w:val="en-US"/>
        </w:rPr>
        <w:t xml:space="preserve"> </w:t>
      </w:r>
      <w:r w:rsidR="00CC091A" w:rsidRPr="005760AD">
        <w:rPr>
          <w:lang w:val="en-US"/>
        </w:rPr>
        <w:t>wh</w:t>
      </w:r>
      <w:r w:rsidRPr="005760AD">
        <w:rPr>
          <w:lang w:val="en-US"/>
        </w:rPr>
        <w:t>i</w:t>
      </w:r>
      <w:r w:rsidR="00CC091A" w:rsidRPr="005760AD">
        <w:rPr>
          <w:lang w:val="en-US"/>
        </w:rPr>
        <w:t>ch i</w:t>
      </w:r>
      <w:r w:rsidRPr="005760AD">
        <w:rPr>
          <w:lang w:val="en-US"/>
        </w:rPr>
        <w:t xml:space="preserve">ncludes the key projects and milestones to 2020 and some of the major transformation opportunities to 2025. The Strategy has three strategic priorities </w:t>
      </w:r>
      <w:r w:rsidR="002048BB">
        <w:rPr>
          <w:lang w:val="en-US"/>
        </w:rPr>
        <w:t xml:space="preserve">to </w:t>
      </w:r>
      <w:r w:rsidRPr="005760AD">
        <w:rPr>
          <w:lang w:val="en-US"/>
        </w:rPr>
        <w:t xml:space="preserve">provide focused areas of development to achieve </w:t>
      </w:r>
      <w:r w:rsidR="00CC091A" w:rsidRPr="005760AD">
        <w:rPr>
          <w:lang w:val="en-US"/>
        </w:rPr>
        <w:t xml:space="preserve">the </w:t>
      </w:r>
      <w:r w:rsidRPr="005760AD">
        <w:rPr>
          <w:lang w:val="en-US"/>
        </w:rPr>
        <w:t>vision</w:t>
      </w:r>
      <w:r w:rsidR="00CC091A" w:rsidRPr="005760AD">
        <w:rPr>
          <w:lang w:val="en-US"/>
        </w:rPr>
        <w:t xml:space="preserve"> to transform public service delivery</w:t>
      </w:r>
      <w:r w:rsidRPr="005760AD">
        <w:rPr>
          <w:lang w:val="en-US"/>
        </w:rPr>
        <w:t>.</w:t>
      </w:r>
    </w:p>
    <w:p w14:paraId="7D2BDAC9" w14:textId="77777777" w:rsidR="0019327B" w:rsidRPr="005760AD" w:rsidRDefault="0019327B" w:rsidP="00CE18B4">
      <w:pPr>
        <w:pStyle w:val="ListParagraph"/>
        <w:numPr>
          <w:ilvl w:val="0"/>
          <w:numId w:val="19"/>
        </w:numPr>
        <w:spacing w:after="120"/>
        <w:ind w:left="714" w:hanging="357"/>
      </w:pPr>
      <w:r w:rsidRPr="00CE18B4">
        <w:rPr>
          <w:b/>
        </w:rPr>
        <w:t>Government that's easy to deal with</w:t>
      </w:r>
      <w:r w:rsidR="002377CF">
        <w:t>:</w:t>
      </w:r>
    </w:p>
    <w:p w14:paraId="16755E30" w14:textId="77777777" w:rsidR="0019327B" w:rsidRPr="005760AD" w:rsidRDefault="0019327B" w:rsidP="00CE18B4">
      <w:pPr>
        <w:numPr>
          <w:ilvl w:val="0"/>
          <w:numId w:val="17"/>
        </w:numPr>
        <w:spacing w:after="120" w:line="240" w:lineRule="auto"/>
        <w:ind w:left="1077" w:hanging="357"/>
      </w:pPr>
      <w:r w:rsidRPr="005760AD">
        <w:t>Intuitive and convenient services.</w:t>
      </w:r>
    </w:p>
    <w:p w14:paraId="2FAB1302" w14:textId="77777777" w:rsidR="0019327B" w:rsidRPr="005760AD" w:rsidRDefault="0019327B" w:rsidP="00CE18B4">
      <w:pPr>
        <w:numPr>
          <w:ilvl w:val="0"/>
          <w:numId w:val="17"/>
        </w:numPr>
        <w:spacing w:after="120" w:line="240" w:lineRule="auto"/>
        <w:ind w:left="1077" w:hanging="357"/>
      </w:pPr>
      <w:r w:rsidRPr="005760AD">
        <w:t>Integrated services supporting your needs and life events.</w:t>
      </w:r>
    </w:p>
    <w:p w14:paraId="5104F6B6" w14:textId="63A7B2C2" w:rsidR="0019327B" w:rsidRDefault="0019327B" w:rsidP="00CE18B4">
      <w:pPr>
        <w:numPr>
          <w:ilvl w:val="0"/>
          <w:numId w:val="17"/>
        </w:numPr>
        <w:spacing w:after="120" w:line="240" w:lineRule="auto"/>
        <w:ind w:left="1077" w:hanging="357"/>
      </w:pPr>
      <w:r w:rsidRPr="005760AD">
        <w:t>Digital identity for easy and secure access.</w:t>
      </w:r>
    </w:p>
    <w:p w14:paraId="33819737" w14:textId="77777777" w:rsidR="00AF6B1D" w:rsidRPr="005760AD" w:rsidRDefault="00AF6B1D" w:rsidP="00421C2B">
      <w:pPr>
        <w:spacing w:after="120" w:line="240" w:lineRule="auto"/>
        <w:ind w:left="720"/>
      </w:pPr>
    </w:p>
    <w:p w14:paraId="46798CCB" w14:textId="77777777" w:rsidR="0019327B" w:rsidRPr="005760AD" w:rsidRDefault="0019327B" w:rsidP="00CE18B4">
      <w:pPr>
        <w:pStyle w:val="ListParagraph"/>
        <w:numPr>
          <w:ilvl w:val="0"/>
          <w:numId w:val="19"/>
        </w:numPr>
        <w:spacing w:after="120"/>
      </w:pPr>
      <w:r w:rsidRPr="00CE18B4">
        <w:rPr>
          <w:b/>
        </w:rPr>
        <w:lastRenderedPageBreak/>
        <w:t>Government that's informed by you</w:t>
      </w:r>
      <w:r w:rsidR="002377CF">
        <w:t>:</w:t>
      </w:r>
    </w:p>
    <w:p w14:paraId="401B1812" w14:textId="77777777" w:rsidR="0019327B" w:rsidRPr="005760AD" w:rsidRDefault="0019327B" w:rsidP="00CE18B4">
      <w:pPr>
        <w:numPr>
          <w:ilvl w:val="0"/>
          <w:numId w:val="16"/>
        </w:numPr>
        <w:spacing w:after="120" w:line="240" w:lineRule="auto"/>
      </w:pPr>
      <w:r w:rsidRPr="005760AD">
        <w:t>Smart services that adapt to the data you choose to share.</w:t>
      </w:r>
    </w:p>
    <w:p w14:paraId="6A773996" w14:textId="77777777" w:rsidR="0019327B" w:rsidRPr="005760AD" w:rsidRDefault="0019327B" w:rsidP="00CE18B4">
      <w:pPr>
        <w:numPr>
          <w:ilvl w:val="0"/>
          <w:numId w:val="16"/>
        </w:numPr>
        <w:spacing w:after="120" w:line="240" w:lineRule="auto"/>
      </w:pPr>
      <w:r w:rsidRPr="005760AD">
        <w:t>Greater insights for better services.</w:t>
      </w:r>
    </w:p>
    <w:p w14:paraId="7AE92188" w14:textId="77777777" w:rsidR="0019327B" w:rsidRPr="005760AD" w:rsidRDefault="0019327B" w:rsidP="00CE18B4">
      <w:pPr>
        <w:numPr>
          <w:ilvl w:val="0"/>
          <w:numId w:val="16"/>
        </w:numPr>
        <w:spacing w:after="120" w:line="240" w:lineRule="auto"/>
      </w:pPr>
      <w:r w:rsidRPr="005760AD">
        <w:t>Trust and transparency.</w:t>
      </w:r>
    </w:p>
    <w:p w14:paraId="5CB849C7" w14:textId="77777777" w:rsidR="0019327B" w:rsidRPr="005760AD" w:rsidRDefault="0019327B" w:rsidP="00CE18B4">
      <w:pPr>
        <w:pStyle w:val="ListParagraph"/>
        <w:numPr>
          <w:ilvl w:val="0"/>
          <w:numId w:val="19"/>
        </w:numPr>
        <w:spacing w:after="120"/>
      </w:pPr>
      <w:r w:rsidRPr="00CE18B4">
        <w:rPr>
          <w:b/>
        </w:rPr>
        <w:t>Government that’s fit for the digital age</w:t>
      </w:r>
      <w:r w:rsidR="002377CF">
        <w:t>:</w:t>
      </w:r>
    </w:p>
    <w:p w14:paraId="24F33C60" w14:textId="77777777" w:rsidR="0019327B" w:rsidRPr="005760AD" w:rsidRDefault="0019327B" w:rsidP="00CE18B4">
      <w:pPr>
        <w:numPr>
          <w:ilvl w:val="0"/>
          <w:numId w:val="18"/>
        </w:numPr>
        <w:spacing w:after="120" w:line="240" w:lineRule="auto"/>
        <w:ind w:left="1134"/>
      </w:pPr>
      <w:r w:rsidRPr="005760AD">
        <w:t>Expanding digital capability.</w:t>
      </w:r>
    </w:p>
    <w:p w14:paraId="225FE3A0" w14:textId="77777777" w:rsidR="0019327B" w:rsidRPr="005760AD" w:rsidRDefault="0019327B" w:rsidP="00CE18B4">
      <w:pPr>
        <w:numPr>
          <w:ilvl w:val="0"/>
          <w:numId w:val="18"/>
        </w:numPr>
        <w:spacing w:after="120" w:line="240" w:lineRule="auto"/>
        <w:ind w:left="1134"/>
      </w:pPr>
      <w:r w:rsidRPr="005760AD">
        <w:t>Developing modern infrastructure.</w:t>
      </w:r>
    </w:p>
    <w:p w14:paraId="53AC462B" w14:textId="77777777" w:rsidR="0019327B" w:rsidRPr="005760AD" w:rsidRDefault="0019327B" w:rsidP="00CE18B4">
      <w:pPr>
        <w:numPr>
          <w:ilvl w:val="0"/>
          <w:numId w:val="18"/>
        </w:numPr>
        <w:spacing w:after="120"/>
        <w:ind w:left="1134"/>
      </w:pPr>
      <w:r w:rsidRPr="005760AD">
        <w:t>Providing accountability.</w:t>
      </w:r>
    </w:p>
    <w:p w14:paraId="130CBFAF" w14:textId="77777777" w:rsidR="00525BC8" w:rsidRPr="00525BC8" w:rsidRDefault="00E8541C" w:rsidP="00CE18B4">
      <w:pPr>
        <w:pStyle w:val="Bullet"/>
        <w:numPr>
          <w:ilvl w:val="0"/>
          <w:numId w:val="0"/>
        </w:numPr>
        <w:spacing w:after="120" w:line="240" w:lineRule="auto"/>
        <w:rPr>
          <w:bCs/>
          <w:lang w:val="en-CA"/>
        </w:rPr>
      </w:pPr>
      <w:r w:rsidRPr="005760AD">
        <w:rPr>
          <w:bCs/>
          <w:lang w:val="en-CA"/>
        </w:rPr>
        <w:t>Led by the DTA, t</w:t>
      </w:r>
      <w:r w:rsidR="00525BC8" w:rsidRPr="005760AD">
        <w:rPr>
          <w:bCs/>
          <w:lang w:val="en-CA"/>
        </w:rPr>
        <w:t xml:space="preserve">he Australian Government </w:t>
      </w:r>
      <w:r w:rsidR="00441F17" w:rsidRPr="005760AD">
        <w:rPr>
          <w:bCs/>
          <w:lang w:val="en-CA"/>
        </w:rPr>
        <w:t xml:space="preserve">is working </w:t>
      </w:r>
      <w:r w:rsidR="00525BC8" w:rsidRPr="005760AD">
        <w:rPr>
          <w:bCs/>
          <w:lang w:val="en-CA"/>
        </w:rPr>
        <w:t>to enable government agencies to take advantage of the next generation of computing</w:t>
      </w:r>
      <w:r w:rsidR="00AA47DC" w:rsidRPr="005760AD">
        <w:rPr>
          <w:bCs/>
          <w:lang w:val="en-CA"/>
        </w:rPr>
        <w:t>, inc</w:t>
      </w:r>
      <w:r w:rsidR="00AA47DC">
        <w:rPr>
          <w:bCs/>
          <w:lang w:val="en-CA"/>
        </w:rPr>
        <w:t xml:space="preserve">luding </w:t>
      </w:r>
      <w:r w:rsidR="00525BC8" w:rsidRPr="00525BC8">
        <w:rPr>
          <w:bCs/>
          <w:lang w:val="en-CA"/>
        </w:rPr>
        <w:t>access to cloud services, protected utilities such as Office 365</w:t>
      </w:r>
      <w:r w:rsidR="00752504">
        <w:rPr>
          <w:bCs/>
          <w:lang w:val="en-CA"/>
        </w:rPr>
        <w:t>,</w:t>
      </w:r>
      <w:r w:rsidR="00525BC8" w:rsidRPr="00525BC8">
        <w:rPr>
          <w:bCs/>
          <w:lang w:val="en-CA"/>
        </w:rPr>
        <w:t xml:space="preserve"> and shared data and hosting services. </w:t>
      </w:r>
      <w:r w:rsidR="00AA47DC">
        <w:rPr>
          <w:bCs/>
          <w:lang w:val="en-CA"/>
        </w:rPr>
        <w:t xml:space="preserve">The </w:t>
      </w:r>
      <w:r w:rsidR="00441F17">
        <w:rPr>
          <w:bCs/>
          <w:lang w:val="en-CA"/>
        </w:rPr>
        <w:t>objectives are</w:t>
      </w:r>
      <w:r w:rsidR="00525BC8" w:rsidRPr="00525BC8">
        <w:rPr>
          <w:bCs/>
          <w:lang w:val="en-CA"/>
        </w:rPr>
        <w:t xml:space="preserve"> to provide teams with the ability to innovate, test and deliver better services to individuals and businesses</w:t>
      </w:r>
      <w:r w:rsidR="00752504">
        <w:rPr>
          <w:bCs/>
          <w:lang w:val="en-CA"/>
        </w:rPr>
        <w:t xml:space="preserve">, </w:t>
      </w:r>
      <w:r w:rsidR="00752504" w:rsidRPr="00525BC8">
        <w:rPr>
          <w:bCs/>
          <w:lang w:val="en-CA"/>
        </w:rPr>
        <w:t>reduce costs</w:t>
      </w:r>
      <w:r w:rsidR="00752504">
        <w:rPr>
          <w:bCs/>
          <w:lang w:val="en-CA"/>
        </w:rPr>
        <w:t xml:space="preserve"> and </w:t>
      </w:r>
      <w:r w:rsidR="00752504" w:rsidRPr="00525BC8">
        <w:rPr>
          <w:bCs/>
          <w:lang w:val="en-CA"/>
        </w:rPr>
        <w:t>create efficiencies</w:t>
      </w:r>
      <w:r w:rsidR="00525BC8" w:rsidRPr="00525BC8">
        <w:rPr>
          <w:bCs/>
          <w:lang w:val="en-CA"/>
        </w:rPr>
        <w:t xml:space="preserve">. </w:t>
      </w:r>
    </w:p>
    <w:p w14:paraId="6B224ACD" w14:textId="77777777" w:rsidR="00525BC8" w:rsidRPr="00525BC8" w:rsidRDefault="00525BC8" w:rsidP="00CE18B4">
      <w:pPr>
        <w:pStyle w:val="Bullet"/>
        <w:numPr>
          <w:ilvl w:val="0"/>
          <w:numId w:val="0"/>
        </w:numPr>
        <w:spacing w:after="120" w:line="240" w:lineRule="auto"/>
        <w:rPr>
          <w:bCs/>
          <w:lang w:val="en-CA"/>
        </w:rPr>
      </w:pPr>
      <w:r w:rsidRPr="00525BC8">
        <w:rPr>
          <w:bCs/>
          <w:lang w:val="en-CA"/>
        </w:rPr>
        <w:t xml:space="preserve">In 2017, the DTA launched the Secure Cloud Strategy, which provides guidance to government agencies to overcome barriers to entry and to make sure </w:t>
      </w:r>
      <w:r w:rsidR="00C87EF1">
        <w:rPr>
          <w:bCs/>
          <w:lang w:val="en-CA"/>
        </w:rPr>
        <w:t>all agencies have</w:t>
      </w:r>
      <w:r w:rsidRPr="00525BC8">
        <w:rPr>
          <w:bCs/>
          <w:lang w:val="en-CA"/>
        </w:rPr>
        <w:t xml:space="preserve"> the opportunity to make the most of what cloud has to offer. The strategy aims to lay the foundations for sustainable change, seizing opportunities to reduce duplication, enhance collaboration, improve responsiveness and increase innovation across the A</w:t>
      </w:r>
      <w:r w:rsidR="00A24C12">
        <w:rPr>
          <w:bCs/>
          <w:lang w:val="en-CA"/>
        </w:rPr>
        <w:t xml:space="preserve">ustralian </w:t>
      </w:r>
      <w:r w:rsidRPr="00525BC8">
        <w:rPr>
          <w:bCs/>
          <w:lang w:val="en-CA"/>
        </w:rPr>
        <w:t>P</w:t>
      </w:r>
      <w:r w:rsidR="00A24C12">
        <w:rPr>
          <w:bCs/>
          <w:lang w:val="en-CA"/>
        </w:rPr>
        <w:t xml:space="preserve">ublic </w:t>
      </w:r>
      <w:r w:rsidRPr="00525BC8">
        <w:rPr>
          <w:bCs/>
          <w:lang w:val="en-CA"/>
        </w:rPr>
        <w:t>S</w:t>
      </w:r>
      <w:r w:rsidR="00A24C12">
        <w:rPr>
          <w:bCs/>
          <w:lang w:val="en-CA"/>
        </w:rPr>
        <w:t>ervice (APS)</w:t>
      </w:r>
      <w:r w:rsidRPr="00525BC8">
        <w:rPr>
          <w:bCs/>
          <w:lang w:val="en-CA"/>
        </w:rPr>
        <w:t xml:space="preserve">. To build on this strategy, the APS is soon to release a Whole of Government Platforms Strategy and a Whole of Government Hosting Strategy. </w:t>
      </w:r>
    </w:p>
    <w:p w14:paraId="6110FB85" w14:textId="5CBE5982" w:rsidR="00364935" w:rsidRPr="0013059A" w:rsidRDefault="00E8541C" w:rsidP="00364935">
      <w:pPr>
        <w:pStyle w:val="Bullet"/>
        <w:numPr>
          <w:ilvl w:val="0"/>
          <w:numId w:val="0"/>
        </w:numPr>
        <w:spacing w:after="120" w:line="240" w:lineRule="auto"/>
        <w:rPr>
          <w:bCs/>
          <w:lang w:val="en-CA"/>
        </w:rPr>
      </w:pPr>
      <w:r>
        <w:rPr>
          <w:bCs/>
          <w:lang w:val="en-CA"/>
        </w:rPr>
        <w:t>Led by the DTA, t</w:t>
      </w:r>
      <w:r w:rsidR="00525BC8" w:rsidRPr="00525BC8">
        <w:rPr>
          <w:bCs/>
          <w:lang w:val="en-CA"/>
        </w:rPr>
        <w:t xml:space="preserve">he Australian Government is also investigating blockchain technology for a number of initiatives such as welfare payments and a supply chain prototype to better facilitate </w:t>
      </w:r>
      <w:r w:rsidR="00525BC8" w:rsidRPr="0013059A">
        <w:rPr>
          <w:bCs/>
          <w:lang w:val="en-CA"/>
        </w:rPr>
        <w:t>international trade</w:t>
      </w:r>
      <w:r w:rsidR="00752504" w:rsidRPr="0013059A">
        <w:rPr>
          <w:bCs/>
          <w:lang w:val="en-CA"/>
        </w:rPr>
        <w:t>. T</w:t>
      </w:r>
      <w:r w:rsidR="00525BC8" w:rsidRPr="0013059A">
        <w:rPr>
          <w:bCs/>
          <w:lang w:val="en-CA"/>
        </w:rPr>
        <w:t xml:space="preserve">he DTA is a part of an experiment with the FinTech industry. The New South Wales State Government is also experimenting with digital drivers’ licenses. </w:t>
      </w:r>
      <w:r w:rsidR="00364935" w:rsidRPr="0013059A">
        <w:rPr>
          <w:bCs/>
          <w:lang w:val="en-CA"/>
        </w:rPr>
        <w:t>Guidance is scheduled to be launched by the DTA in early 2019 providing an Australian Government view on the technical risks and opportunities of blockchain-based systems.</w:t>
      </w:r>
    </w:p>
    <w:p w14:paraId="1C510BBD" w14:textId="77777777" w:rsidR="00C1156F" w:rsidRPr="005760AD" w:rsidRDefault="00C1156F" w:rsidP="00421C2B">
      <w:pPr>
        <w:pStyle w:val="Bullet"/>
        <w:numPr>
          <w:ilvl w:val="0"/>
          <w:numId w:val="0"/>
        </w:numPr>
        <w:spacing w:after="120" w:line="240" w:lineRule="auto"/>
        <w:rPr>
          <w:bCs/>
          <w:u w:val="single"/>
          <w:lang w:val="en-CA"/>
        </w:rPr>
      </w:pPr>
      <w:r w:rsidRPr="0013059A">
        <w:rPr>
          <w:bCs/>
          <w:u w:val="single"/>
          <w:lang w:val="en-CA"/>
        </w:rPr>
        <w:t>Managing Key Issues and Challenges</w:t>
      </w:r>
      <w:r w:rsidR="005760AD" w:rsidRPr="0013059A">
        <w:rPr>
          <w:bCs/>
          <w:u w:val="single"/>
          <w:lang w:val="en-CA"/>
        </w:rPr>
        <w:t xml:space="preserve"> with AI</w:t>
      </w:r>
      <w:r w:rsidR="005760AD">
        <w:rPr>
          <w:bCs/>
          <w:u w:val="single"/>
          <w:lang w:val="en-CA"/>
        </w:rPr>
        <w:t xml:space="preserve"> </w:t>
      </w:r>
    </w:p>
    <w:p w14:paraId="6C3C05A8" w14:textId="65746736" w:rsidR="00C1156F" w:rsidRPr="00514B63" w:rsidRDefault="00C1156F" w:rsidP="00CE18B4">
      <w:pPr>
        <w:pStyle w:val="Bullet"/>
        <w:numPr>
          <w:ilvl w:val="0"/>
          <w:numId w:val="0"/>
        </w:numPr>
        <w:spacing w:after="120" w:line="240" w:lineRule="auto"/>
        <w:rPr>
          <w:bCs/>
          <w:lang w:val="en-CA"/>
        </w:rPr>
      </w:pPr>
      <w:r>
        <w:rPr>
          <w:bCs/>
          <w:lang w:val="en-CA"/>
        </w:rPr>
        <w:t>T</w:t>
      </w:r>
      <w:r w:rsidRPr="00514B63">
        <w:rPr>
          <w:bCs/>
          <w:lang w:val="en-CA"/>
        </w:rPr>
        <w:t xml:space="preserve">he </w:t>
      </w:r>
      <w:r w:rsidR="0088611F">
        <w:rPr>
          <w:szCs w:val="24"/>
          <w:lang w:val="en-US"/>
        </w:rPr>
        <w:t>Australian</w:t>
      </w:r>
      <w:r w:rsidR="0088611F" w:rsidRPr="00AD5A8B">
        <w:rPr>
          <w:szCs w:val="24"/>
          <w:lang w:val="en-US"/>
        </w:rPr>
        <w:t xml:space="preserve"> </w:t>
      </w:r>
      <w:r w:rsidR="00AD7302" w:rsidRPr="00AD5A8B">
        <w:rPr>
          <w:szCs w:val="24"/>
          <w:lang w:val="en-US"/>
        </w:rPr>
        <w:t>Minister for Human Services and Digital Transformation</w:t>
      </w:r>
      <w:r w:rsidR="00AD7302">
        <w:rPr>
          <w:szCs w:val="24"/>
          <w:lang w:val="en-US"/>
        </w:rPr>
        <w:t>, the Hon Michael Keenan MP,</w:t>
      </w:r>
      <w:r w:rsidR="00AD7302" w:rsidRPr="00514B63" w:rsidDel="00AD7302">
        <w:rPr>
          <w:bCs/>
          <w:lang w:val="en-CA"/>
        </w:rPr>
        <w:t xml:space="preserve"> </w:t>
      </w:r>
      <w:r w:rsidRPr="00514B63">
        <w:rPr>
          <w:bCs/>
          <w:lang w:val="en-CA"/>
        </w:rPr>
        <w:t xml:space="preserve">officially launched the </w:t>
      </w:r>
      <w:r w:rsidR="00353703">
        <w:rPr>
          <w:bCs/>
          <w:lang w:val="en-CA"/>
        </w:rPr>
        <w:t xml:space="preserve">DHS </w:t>
      </w:r>
      <w:r w:rsidRPr="00514B63">
        <w:rPr>
          <w:bCs/>
          <w:lang w:val="en-CA"/>
        </w:rPr>
        <w:t>Augmented Intelligence Centre of Excellence (</w:t>
      </w:r>
      <w:r w:rsidR="002048BB">
        <w:rPr>
          <w:bCs/>
          <w:lang w:val="en-CA"/>
        </w:rPr>
        <w:t xml:space="preserve">the </w:t>
      </w:r>
      <w:r w:rsidRPr="00514B63">
        <w:rPr>
          <w:bCs/>
          <w:lang w:val="en-CA"/>
        </w:rPr>
        <w:t xml:space="preserve">Centre) </w:t>
      </w:r>
      <w:r>
        <w:rPr>
          <w:bCs/>
          <w:lang w:val="en-CA"/>
        </w:rPr>
        <w:t>in</w:t>
      </w:r>
      <w:r w:rsidRPr="00514B63">
        <w:rPr>
          <w:bCs/>
          <w:lang w:val="en-CA"/>
        </w:rPr>
        <w:t xml:space="preserve"> November 2018. The Centre aims to drive research and discussion on topics like ethics, human rights, privacy, behavioural psychology and societal readiness for AI and then pilot, industrialise and operationalise further applications of AI </w:t>
      </w:r>
      <w:r w:rsidR="002048BB">
        <w:rPr>
          <w:bCs/>
          <w:lang w:val="en-CA"/>
        </w:rPr>
        <w:t>to</w:t>
      </w:r>
      <w:r w:rsidRPr="00514B63">
        <w:rPr>
          <w:bCs/>
          <w:lang w:val="en-CA"/>
        </w:rPr>
        <w:t xml:space="preserve"> benefit </w:t>
      </w:r>
      <w:r w:rsidR="00124A0E">
        <w:rPr>
          <w:bCs/>
          <w:lang w:val="en-CA"/>
        </w:rPr>
        <w:t>Australian</w:t>
      </w:r>
      <w:r w:rsidRPr="00514B63">
        <w:rPr>
          <w:bCs/>
          <w:lang w:val="en-CA"/>
        </w:rPr>
        <w:t xml:space="preserve"> citizens.</w:t>
      </w:r>
      <w:r>
        <w:rPr>
          <w:bCs/>
          <w:lang w:val="en-CA"/>
        </w:rPr>
        <w:t xml:space="preserve"> </w:t>
      </w:r>
      <w:r w:rsidRPr="00514B63">
        <w:rPr>
          <w:bCs/>
          <w:lang w:val="en-CA"/>
        </w:rPr>
        <w:t xml:space="preserve">The Centre will significantly contribute to the understanding of what policy factors need to be considered and business processes that need to be refined, while also ensuring the security, integrity and responsible use of data. </w:t>
      </w:r>
    </w:p>
    <w:p w14:paraId="55B2007B" w14:textId="77777777" w:rsidR="00431E6B" w:rsidRPr="00C1156F" w:rsidRDefault="005760AD" w:rsidP="00CE18B4">
      <w:pPr>
        <w:pStyle w:val="Bullet"/>
        <w:numPr>
          <w:ilvl w:val="0"/>
          <w:numId w:val="0"/>
        </w:numPr>
        <w:spacing w:after="120" w:line="240" w:lineRule="auto"/>
        <w:rPr>
          <w:bCs/>
          <w:u w:val="single"/>
          <w:lang w:val="en-CA"/>
        </w:rPr>
      </w:pPr>
      <w:r>
        <w:rPr>
          <w:bCs/>
          <w:u w:val="single"/>
          <w:lang w:val="en-CA"/>
        </w:rPr>
        <w:t xml:space="preserve">Example: Using </w:t>
      </w:r>
      <w:r w:rsidR="00B00DF6" w:rsidRPr="00C1156F">
        <w:rPr>
          <w:bCs/>
          <w:u w:val="single"/>
          <w:lang w:val="en-CA"/>
        </w:rPr>
        <w:t xml:space="preserve">Technology to </w:t>
      </w:r>
      <w:r w:rsidR="00CC6258" w:rsidRPr="00C1156F">
        <w:rPr>
          <w:bCs/>
          <w:u w:val="single"/>
          <w:lang w:val="en-CA"/>
        </w:rPr>
        <w:t xml:space="preserve">Improve </w:t>
      </w:r>
      <w:r w:rsidR="009D3DF8">
        <w:rPr>
          <w:bCs/>
          <w:u w:val="single"/>
          <w:lang w:val="en-CA"/>
        </w:rPr>
        <w:t xml:space="preserve">Social Welfare </w:t>
      </w:r>
      <w:r w:rsidR="00B00DF6" w:rsidRPr="00C1156F">
        <w:rPr>
          <w:bCs/>
          <w:u w:val="single"/>
          <w:lang w:val="en-CA"/>
        </w:rPr>
        <w:t>Service Delivery</w:t>
      </w:r>
      <w:r w:rsidR="00431E6B" w:rsidRPr="00C1156F">
        <w:rPr>
          <w:bCs/>
          <w:u w:val="single"/>
          <w:lang w:val="en-CA"/>
        </w:rPr>
        <w:t xml:space="preserve"> </w:t>
      </w:r>
    </w:p>
    <w:p w14:paraId="28C951AA" w14:textId="77777777" w:rsidR="00D13CF7" w:rsidRDefault="00D13CF7" w:rsidP="00CE18B4">
      <w:pPr>
        <w:pStyle w:val="Bullet"/>
        <w:numPr>
          <w:ilvl w:val="0"/>
          <w:numId w:val="0"/>
        </w:numPr>
        <w:spacing w:after="120" w:line="240" w:lineRule="auto"/>
        <w:rPr>
          <w:bCs/>
          <w:lang w:val="en-CA"/>
        </w:rPr>
      </w:pPr>
      <w:r w:rsidRPr="00124A0E">
        <w:rPr>
          <w:bCs/>
          <w:lang w:val="en-CA"/>
        </w:rPr>
        <w:t>At a practical level, DHS has been an early investor in exploring and developing AI capabilities to transform service delivery, along with building mobile and online accessibility. Since June 201</w:t>
      </w:r>
      <w:r w:rsidR="009E4236">
        <w:rPr>
          <w:bCs/>
          <w:lang w:val="en-CA"/>
        </w:rPr>
        <w:t>7</w:t>
      </w:r>
      <w:r w:rsidRPr="00124A0E">
        <w:rPr>
          <w:bCs/>
          <w:lang w:val="en-CA"/>
        </w:rPr>
        <w:t>, DHS has used AI to deploy digital assistants to help both citizens and staff navigate legislation and policy to ensure they can fulfil their obligations in a simple and effective manner. DHS continues to explore further applications of AI</w:t>
      </w:r>
      <w:r w:rsidR="005E3874" w:rsidRPr="00124A0E">
        <w:rPr>
          <w:bCs/>
          <w:lang w:val="en-CA"/>
        </w:rPr>
        <w:t xml:space="preserve">, including </w:t>
      </w:r>
      <w:r w:rsidRPr="00124A0E">
        <w:rPr>
          <w:bCs/>
          <w:lang w:val="en-CA"/>
        </w:rPr>
        <w:t>piloting the use of AI to support real-time language translation in digital channels</w:t>
      </w:r>
      <w:r w:rsidR="005E3874" w:rsidRPr="00124A0E">
        <w:rPr>
          <w:bCs/>
          <w:lang w:val="en-CA"/>
        </w:rPr>
        <w:t xml:space="preserve"> from July 2018</w:t>
      </w:r>
      <w:r w:rsidRPr="00124A0E">
        <w:rPr>
          <w:bCs/>
          <w:lang w:val="en-CA"/>
        </w:rPr>
        <w:t>.</w:t>
      </w:r>
    </w:p>
    <w:p w14:paraId="4E4EBE93" w14:textId="77777777" w:rsidR="00E43FFF" w:rsidRPr="00514B63" w:rsidRDefault="00C87EF1" w:rsidP="00CE18B4">
      <w:pPr>
        <w:pStyle w:val="Bullet"/>
        <w:numPr>
          <w:ilvl w:val="0"/>
          <w:numId w:val="0"/>
        </w:numPr>
        <w:spacing w:after="120" w:line="240" w:lineRule="auto"/>
        <w:rPr>
          <w:bCs/>
          <w:lang w:val="en-CA"/>
        </w:rPr>
      </w:pPr>
      <w:r>
        <w:rPr>
          <w:bCs/>
          <w:lang w:val="en-CA"/>
        </w:rPr>
        <w:t xml:space="preserve">For example, </w:t>
      </w:r>
      <w:r w:rsidR="00D13CF7">
        <w:rPr>
          <w:bCs/>
          <w:lang w:val="en-CA"/>
        </w:rPr>
        <w:t xml:space="preserve">in July 2018, </w:t>
      </w:r>
      <w:r w:rsidR="00E43FFF" w:rsidRPr="00514B63">
        <w:rPr>
          <w:bCs/>
          <w:lang w:val="en-CA"/>
        </w:rPr>
        <w:t xml:space="preserve">DHS deployed a new digital service offer for </w:t>
      </w:r>
      <w:r w:rsidR="00E43FFF">
        <w:rPr>
          <w:bCs/>
          <w:lang w:val="en-CA"/>
        </w:rPr>
        <w:t xml:space="preserve">delivering income support to </w:t>
      </w:r>
      <w:r w:rsidR="00E43FFF" w:rsidRPr="00514B63">
        <w:rPr>
          <w:bCs/>
          <w:lang w:val="en-CA"/>
        </w:rPr>
        <w:t>job seekers</w:t>
      </w:r>
      <w:r w:rsidR="00E43FFF">
        <w:rPr>
          <w:bCs/>
          <w:lang w:val="en-CA"/>
        </w:rPr>
        <w:t xml:space="preserve">. The new service offer </w:t>
      </w:r>
      <w:r w:rsidR="00E43FFF" w:rsidRPr="00514B63">
        <w:rPr>
          <w:bCs/>
          <w:lang w:val="en-CA"/>
        </w:rPr>
        <w:t>supports a dynamic, tailored, personalised and far more natural conversational interaction, supported by a</w:t>
      </w:r>
      <w:r w:rsidR="009F3F07">
        <w:rPr>
          <w:bCs/>
          <w:lang w:val="en-CA"/>
        </w:rPr>
        <w:t xml:space="preserve">n AI driven </w:t>
      </w:r>
      <w:r w:rsidR="00E43FFF" w:rsidRPr="00514B63">
        <w:rPr>
          <w:bCs/>
          <w:lang w:val="en-CA"/>
        </w:rPr>
        <w:t xml:space="preserve">digital assistant that allows a citizen to lodge their claim on any device, from any location at any time. </w:t>
      </w:r>
    </w:p>
    <w:p w14:paraId="3DF1E2BF" w14:textId="77777777" w:rsidR="00757FDB" w:rsidRDefault="009F3F07" w:rsidP="00CE18B4">
      <w:pPr>
        <w:pStyle w:val="Bullet"/>
        <w:numPr>
          <w:ilvl w:val="0"/>
          <w:numId w:val="0"/>
        </w:numPr>
        <w:spacing w:after="120" w:line="240" w:lineRule="auto"/>
      </w:pPr>
      <w:r w:rsidRPr="00124A0E">
        <w:rPr>
          <w:bCs/>
          <w:lang w:val="en-CA"/>
        </w:rPr>
        <w:t>DHS makes use of predictive modelling techniques to predict behaviour</w:t>
      </w:r>
      <w:r w:rsidR="003E4D9E" w:rsidRPr="00124A0E">
        <w:rPr>
          <w:bCs/>
          <w:lang w:val="en-CA"/>
        </w:rPr>
        <w:t xml:space="preserve"> to better target service delivery.</w:t>
      </w:r>
      <w:r w:rsidRPr="00124A0E">
        <w:rPr>
          <w:bCs/>
          <w:lang w:val="en-CA"/>
        </w:rPr>
        <w:t xml:space="preserve"> These models leverage DHS’ substantial data holdings and machine learning techniques to enable new, more targeted customer interventions</w:t>
      </w:r>
      <w:r w:rsidR="00752504" w:rsidRPr="00124A0E">
        <w:rPr>
          <w:bCs/>
          <w:lang w:val="en-CA"/>
        </w:rPr>
        <w:t xml:space="preserve"> that will </w:t>
      </w:r>
      <w:r w:rsidRPr="00124A0E">
        <w:t xml:space="preserve">enhance fraud detection, streamline customer experience and optimise </w:t>
      </w:r>
      <w:r w:rsidR="00752504" w:rsidRPr="00124A0E">
        <w:t xml:space="preserve">the </w:t>
      </w:r>
      <w:r w:rsidRPr="00124A0E">
        <w:t xml:space="preserve">use of </w:t>
      </w:r>
      <w:r w:rsidR="00752504" w:rsidRPr="00124A0E">
        <w:t xml:space="preserve">departmental </w:t>
      </w:r>
      <w:r w:rsidRPr="00124A0E">
        <w:t>resources.</w:t>
      </w:r>
    </w:p>
    <w:p w14:paraId="753D111C" w14:textId="126BF89E" w:rsidR="00324346" w:rsidRPr="00DB58BB" w:rsidRDefault="008F7E41" w:rsidP="00421C2B">
      <w:pPr>
        <w:spacing w:after="120" w:line="240" w:lineRule="auto"/>
        <w:ind w:right="-340"/>
        <w:rPr>
          <w:rFonts w:ascii="Calibri" w:hAnsi="Calibri" w:cs="Times New Roman"/>
        </w:rPr>
      </w:pPr>
      <w:r w:rsidRPr="00E8541C">
        <w:rPr>
          <w:rFonts w:ascii="Calibri" w:hAnsi="Calibri" w:cs="Times New Roman"/>
          <w:noProof/>
          <w:lang w:val="en-US"/>
        </w:rPr>
        <w:lastRenderedPageBreak/>
        <mc:AlternateContent>
          <mc:Choice Requires="wps">
            <w:drawing>
              <wp:anchor distT="45720" distB="45720" distL="114300" distR="114300" simplePos="0" relativeHeight="251677696" behindDoc="0" locked="0" layoutInCell="1" allowOverlap="1" wp14:anchorId="36562E92" wp14:editId="2C73B9A0">
                <wp:simplePos x="0" y="0"/>
                <wp:positionH relativeFrom="margin">
                  <wp:align>left</wp:align>
                </wp:positionH>
                <wp:positionV relativeFrom="paragraph">
                  <wp:posOffset>1856105</wp:posOffset>
                </wp:positionV>
                <wp:extent cx="5857875" cy="2581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581275"/>
                        </a:xfrm>
                        <a:prstGeom prst="rect">
                          <a:avLst/>
                        </a:prstGeom>
                        <a:solidFill>
                          <a:srgbClr val="FFFFFF"/>
                        </a:solidFill>
                        <a:ln w="9525">
                          <a:solidFill>
                            <a:srgbClr val="000000"/>
                          </a:solidFill>
                          <a:miter lim="800000"/>
                          <a:headEnd/>
                          <a:tailEnd/>
                        </a:ln>
                      </wps:spPr>
                      <wps:txbx>
                        <w:txbxContent>
                          <w:p w14:paraId="3EB15CEA" w14:textId="77777777" w:rsidR="00254599" w:rsidRPr="00F91F89" w:rsidRDefault="00254599" w:rsidP="00324346">
                            <w:pPr>
                              <w:rPr>
                                <w:i/>
                                <w:iCs/>
                                <w:u w:val="single"/>
                              </w:rPr>
                            </w:pPr>
                            <w:r w:rsidRPr="00F91F89">
                              <w:rPr>
                                <w:i/>
                                <w:iCs/>
                                <w:u w:val="single"/>
                              </w:rPr>
                              <w:t xml:space="preserve">Case Study: User-centred transformation of student payments </w:t>
                            </w:r>
                          </w:p>
                          <w:p w14:paraId="35465DD1" w14:textId="77777777" w:rsidR="00254599" w:rsidRPr="00E8541C" w:rsidRDefault="00254599" w:rsidP="00324346">
                            <w:pPr>
                              <w:rPr>
                                <w:i/>
                                <w:iCs/>
                              </w:rPr>
                            </w:pPr>
                            <w:r>
                              <w:rPr>
                                <w:i/>
                                <w:iCs/>
                              </w:rPr>
                              <w:t>DHS</w:t>
                            </w:r>
                            <w:r w:rsidRPr="00E8541C">
                              <w:rPr>
                                <w:i/>
                                <w:iCs/>
                              </w:rPr>
                              <w:t xml:space="preserve"> is progressively transforming its student payment systems by learning directly from real customers about how they use its services and redesigning those services around their needs. In 2017–18 this resulted in more than 45 online and behind-the-scenes </w:t>
                            </w:r>
                            <w:r>
                              <w:rPr>
                                <w:i/>
                                <w:iCs/>
                              </w:rPr>
                              <w:t xml:space="preserve">system </w:t>
                            </w:r>
                            <w:r w:rsidRPr="00E8541C">
                              <w:rPr>
                                <w:i/>
                                <w:iCs/>
                              </w:rPr>
                              <w:t xml:space="preserve">improvements that made it easier for students to claim and manage their payments. </w:t>
                            </w:r>
                          </w:p>
                          <w:p w14:paraId="6789E879" w14:textId="613D9AEA" w:rsidR="00254599" w:rsidRPr="00A90C01" w:rsidRDefault="00254599" w:rsidP="00324346">
                            <w:pPr>
                              <w:rPr>
                                <w:color w:val="FF0000"/>
                              </w:rPr>
                            </w:pPr>
                            <w:r w:rsidRPr="00E8541C">
                              <w:rPr>
                                <w:i/>
                                <w:iCs/>
                              </w:rPr>
                              <w:t>In March 2018 the multidisciplinary team driving this project – the Student Transformation Agile Release Train (START) – held two student engagement sessions in the department’s Brisbane Design Hub to gather insights from customers. Twenty-five students participated in a variety of visual activities to help design, test and validate changes being</w:t>
                            </w:r>
                            <w:r>
                              <w:rPr>
                                <w:i/>
                                <w:iCs/>
                              </w:rPr>
                              <w:t xml:space="preserve"> </w:t>
                            </w:r>
                            <w:r w:rsidRPr="00E8541C">
                              <w:rPr>
                                <w:i/>
                                <w:iCs/>
                              </w:rPr>
                              <w:t xml:space="preserve">developed by the START team. </w:t>
                            </w:r>
                            <w:r w:rsidRPr="00633480">
                              <w:rPr>
                                <w:i/>
                                <w:iCs/>
                              </w:rPr>
                              <w:t>At each session, they described their individual experiences of claiming student support payments</w:t>
                            </w:r>
                            <w:r w:rsidR="008F7E41">
                              <w:rPr>
                                <w:i/>
                                <w:iCs/>
                              </w:rPr>
                              <w:t>, which contributed to the final design of each online improvement</w:t>
                            </w:r>
                            <w:r w:rsidR="00633480" w:rsidRPr="00A90C01">
                              <w:rPr>
                                <w:i/>
                                <w:iCs/>
                              </w:rPr>
                              <w:t>.</w:t>
                            </w:r>
                            <w:r w:rsidR="00633480">
                              <w:rPr>
                                <w:i/>
                                <w:iCs/>
                                <w:highlight w:val="yell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62E92" id="_x0000_t202" coordsize="21600,21600" o:spt="202" path="m,l,21600r21600,l21600,xe">
                <v:stroke joinstyle="miter"/>
                <v:path gradientshapeok="t" o:connecttype="rect"/>
              </v:shapetype>
              <v:shape id="Text Box 2" o:spid="_x0000_s1026" type="#_x0000_t202" style="position:absolute;margin-left:0;margin-top:146.15pt;width:461.25pt;height:203.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">
                <v:textbox>
                  <w:txbxContent>
                    <w:p w14:paraId="3EB15CEA" w14:textId="77777777" w:rsidR="00254599" w:rsidRPr="00F91F89" w:rsidRDefault="00254599" w:rsidP="00324346">
                      <w:pPr>
                        <w:rPr>
                          <w:i/>
                          <w:iCs/>
                          <w:u w:val="single"/>
                        </w:rPr>
                      </w:pPr>
                      <w:r w:rsidRPr="00F91F89">
                        <w:rPr>
                          <w:i/>
                          <w:iCs/>
                          <w:u w:val="single"/>
                        </w:rPr>
                        <w:t xml:space="preserve">Case Study: User-centred transformation of student payments </w:t>
                      </w:r>
                    </w:p>
                    <w:p w14:paraId="35465DD1" w14:textId="77777777" w:rsidR="00254599" w:rsidRPr="00E8541C" w:rsidRDefault="00254599" w:rsidP="00324346">
                      <w:pPr>
                        <w:rPr>
                          <w:i/>
                          <w:iCs/>
                        </w:rPr>
                      </w:pPr>
                      <w:r>
                        <w:rPr>
                          <w:i/>
                          <w:iCs/>
                        </w:rPr>
                        <w:t>DHS</w:t>
                      </w:r>
                      <w:r w:rsidRPr="00E8541C">
                        <w:rPr>
                          <w:i/>
                          <w:iCs/>
                        </w:rPr>
                        <w:t xml:space="preserve"> is progressively transforming its student payment systems by learning directly from real customers about how they use its services and redesigning those services around their needs. In 2017–18 this resulted in more than 45 online and behind-the-scenes </w:t>
                      </w:r>
                      <w:r>
                        <w:rPr>
                          <w:i/>
                          <w:iCs/>
                        </w:rPr>
                        <w:t xml:space="preserve">system </w:t>
                      </w:r>
                      <w:r w:rsidRPr="00E8541C">
                        <w:rPr>
                          <w:i/>
                          <w:iCs/>
                        </w:rPr>
                        <w:t xml:space="preserve">improvements that made it easier for students to claim and manage their payments. </w:t>
                      </w:r>
                    </w:p>
                    <w:p w14:paraId="6789E879" w14:textId="613D9AEA" w:rsidR="00254599" w:rsidRPr="00A90C01" w:rsidRDefault="00254599" w:rsidP="00324346">
                      <w:pPr>
                        <w:rPr>
                          <w:color w:val="FF0000"/>
                        </w:rPr>
                      </w:pPr>
                      <w:r w:rsidRPr="00E8541C">
                        <w:rPr>
                          <w:i/>
                          <w:iCs/>
                        </w:rPr>
                        <w:t>In March 2018 the multidisciplinary team driving this project – the Student Transformation Agile Release Train (START) – held two student engagement sessions in the department’s Brisbane Design Hub to gather insights from customers. Twenty-five students participated in a variety of visual activities to help design, test and validate changes being</w:t>
                      </w:r>
                      <w:r>
                        <w:rPr>
                          <w:i/>
                          <w:iCs/>
                        </w:rPr>
                        <w:t xml:space="preserve"> </w:t>
                      </w:r>
                      <w:r w:rsidRPr="00E8541C">
                        <w:rPr>
                          <w:i/>
                          <w:iCs/>
                        </w:rPr>
                        <w:t xml:space="preserve">developed by the START team. </w:t>
                      </w:r>
                      <w:r w:rsidRPr="00633480">
                        <w:rPr>
                          <w:i/>
                          <w:iCs/>
                        </w:rPr>
                        <w:t>At each session, they described their individual experiences of claiming student support payments</w:t>
                      </w:r>
                      <w:r w:rsidR="008F7E41">
                        <w:rPr>
                          <w:i/>
                          <w:iCs/>
                        </w:rPr>
                        <w:t>, which contributed to the final design of each online improvement</w:t>
                      </w:r>
                      <w:r w:rsidR="00633480" w:rsidRPr="00A90C01">
                        <w:rPr>
                          <w:i/>
                          <w:iCs/>
                        </w:rPr>
                        <w:t>.</w:t>
                      </w:r>
                      <w:r w:rsidR="00633480">
                        <w:rPr>
                          <w:i/>
                          <w:iCs/>
                          <w:highlight w:val="yellow"/>
                        </w:rPr>
                        <w:t xml:space="preserve"> </w:t>
                      </w:r>
                    </w:p>
                  </w:txbxContent>
                </v:textbox>
                <w10:wrap type="square" anchorx="margin"/>
              </v:shape>
            </w:pict>
          </mc:Fallback>
        </mc:AlternateContent>
      </w:r>
      <w:r w:rsidR="008D1BC7">
        <w:t xml:space="preserve">The DHS experience </w:t>
      </w:r>
      <w:r w:rsidR="005E3874">
        <w:t xml:space="preserve">has been </w:t>
      </w:r>
      <w:r w:rsidR="008D1BC7">
        <w:t>that re-</w:t>
      </w:r>
      <w:r w:rsidR="000E392C">
        <w:t>designing</w:t>
      </w:r>
      <w:r w:rsidR="008D1BC7">
        <w:t xml:space="preserve"> the delivery of social welfare services requires a department</w:t>
      </w:r>
      <w:r w:rsidR="005E3874">
        <w:t>-</w:t>
      </w:r>
      <w:r w:rsidR="008D1BC7">
        <w:t xml:space="preserve">wide </w:t>
      </w:r>
      <w:r w:rsidR="00431E6B" w:rsidRPr="007A7459">
        <w:t>approach</w:t>
      </w:r>
      <w:r w:rsidR="005E3874">
        <w:t>,</w:t>
      </w:r>
      <w:r w:rsidR="00431E6B" w:rsidRPr="007A7459">
        <w:t xml:space="preserve"> with three critical focus areas: </w:t>
      </w:r>
      <w:r w:rsidR="00431E6B" w:rsidRPr="00CE18B4">
        <w:rPr>
          <w:b/>
        </w:rPr>
        <w:t>customers,</w:t>
      </w:r>
      <w:r w:rsidR="00431E6B" w:rsidRPr="007A7459">
        <w:t xml:space="preserve"> </w:t>
      </w:r>
      <w:r w:rsidR="00431E6B" w:rsidRPr="00CE18B4">
        <w:rPr>
          <w:b/>
        </w:rPr>
        <w:t>staff</w:t>
      </w:r>
      <w:r w:rsidR="00431E6B" w:rsidRPr="007A7459">
        <w:t xml:space="preserve"> and </w:t>
      </w:r>
      <w:r w:rsidR="00431E6B" w:rsidRPr="00CE18B4">
        <w:rPr>
          <w:b/>
        </w:rPr>
        <w:t>technolog</w:t>
      </w:r>
      <w:r w:rsidR="00B00DF6" w:rsidRPr="00CE18B4">
        <w:rPr>
          <w:b/>
        </w:rPr>
        <w:t>y</w:t>
      </w:r>
      <w:r w:rsidR="00431E6B" w:rsidRPr="007A7459">
        <w:t xml:space="preserve">. </w:t>
      </w:r>
      <w:r w:rsidR="00431E6B">
        <w:rPr>
          <w:lang w:val="en-US"/>
        </w:rPr>
        <w:t xml:space="preserve">DHS </w:t>
      </w:r>
      <w:r w:rsidR="00431E6B" w:rsidRPr="00EE2AAE">
        <w:rPr>
          <w:lang w:val="en-US"/>
        </w:rPr>
        <w:t xml:space="preserve">established the Chief Citizen Experience Officer </w:t>
      </w:r>
      <w:r w:rsidR="00431E6B">
        <w:rPr>
          <w:lang w:val="en-US"/>
        </w:rPr>
        <w:t xml:space="preserve">(CCXO) </w:t>
      </w:r>
      <w:r w:rsidR="00431E6B" w:rsidRPr="00EE2AAE">
        <w:rPr>
          <w:lang w:val="en-US"/>
        </w:rPr>
        <w:t>role in 2017, to lift the focus on customer</w:t>
      </w:r>
      <w:r w:rsidR="008D1BC7">
        <w:rPr>
          <w:lang w:val="en-US"/>
        </w:rPr>
        <w:t>–</w:t>
      </w:r>
      <w:r w:rsidR="00431E6B" w:rsidRPr="00EE2AAE">
        <w:rPr>
          <w:lang w:val="en-US"/>
        </w:rPr>
        <w:t xml:space="preserve">centred approaches to innovating service delivery. Guided by ‘Voice of the Customer’ research, </w:t>
      </w:r>
      <w:r w:rsidR="008D1BC7">
        <w:rPr>
          <w:lang w:val="en-US"/>
        </w:rPr>
        <w:t xml:space="preserve">DHS </w:t>
      </w:r>
      <w:r w:rsidR="00431E6B" w:rsidRPr="00EE2AAE">
        <w:rPr>
          <w:lang w:val="en-US"/>
        </w:rPr>
        <w:t>is working with customers and policy agencies to shape service delivery.</w:t>
      </w:r>
      <w:r w:rsidR="008D1BC7">
        <w:rPr>
          <w:lang w:val="en-US"/>
        </w:rPr>
        <w:t xml:space="preserve"> </w:t>
      </w:r>
      <w:r w:rsidR="00B00DF6">
        <w:rPr>
          <w:lang w:val="en-US"/>
        </w:rPr>
        <w:t>Transformation requires an un</w:t>
      </w:r>
      <w:r w:rsidR="008D1BC7">
        <w:rPr>
          <w:lang w:val="en-US"/>
        </w:rPr>
        <w:t xml:space="preserve">derstanding </w:t>
      </w:r>
      <w:r w:rsidR="00B00DF6">
        <w:rPr>
          <w:lang w:val="en-US"/>
        </w:rPr>
        <w:t xml:space="preserve">of </w:t>
      </w:r>
      <w:r w:rsidR="00431E6B" w:rsidRPr="00DB58BB">
        <w:rPr>
          <w:rFonts w:ascii="Calibri" w:hAnsi="Calibri" w:cs="Times New Roman"/>
        </w:rPr>
        <w:t>customer needs, pain points and experience</w:t>
      </w:r>
      <w:r w:rsidR="00B00DF6">
        <w:rPr>
          <w:rFonts w:ascii="Calibri" w:hAnsi="Calibri" w:cs="Times New Roman"/>
        </w:rPr>
        <w:t>s</w:t>
      </w:r>
      <w:r w:rsidR="00431E6B" w:rsidRPr="00DB58BB">
        <w:rPr>
          <w:rFonts w:ascii="Calibri" w:hAnsi="Calibri" w:cs="Times New Roman"/>
        </w:rPr>
        <w:t xml:space="preserve"> with services</w:t>
      </w:r>
      <w:r w:rsidR="005E3874">
        <w:rPr>
          <w:rFonts w:ascii="Calibri" w:hAnsi="Calibri" w:cs="Times New Roman"/>
        </w:rPr>
        <w:t>,</w:t>
      </w:r>
      <w:r w:rsidR="00431E6B" w:rsidRPr="00DB58BB">
        <w:rPr>
          <w:rFonts w:ascii="Calibri" w:hAnsi="Calibri" w:cs="Times New Roman"/>
        </w:rPr>
        <w:t xml:space="preserve"> and </w:t>
      </w:r>
      <w:r w:rsidR="00B00DF6">
        <w:rPr>
          <w:rFonts w:ascii="Calibri" w:hAnsi="Calibri" w:cs="Times New Roman"/>
        </w:rPr>
        <w:t xml:space="preserve">collaboration with customers </w:t>
      </w:r>
      <w:r w:rsidR="00431E6B" w:rsidRPr="00DB58BB">
        <w:rPr>
          <w:rFonts w:ascii="Calibri" w:hAnsi="Calibri" w:cs="Times New Roman"/>
        </w:rPr>
        <w:t>to design and develop services.</w:t>
      </w:r>
      <w:r>
        <w:rPr>
          <w:rFonts w:ascii="Calibri" w:hAnsi="Calibri" w:cs="Times New Roman"/>
        </w:rPr>
        <w:t xml:space="preserve"> Customer-led research, where DHS is connecting with hundreds of customers over long periods of time, underpins an active customer immersion program. The program works across DHS to support design activities by creating a shared understanding about customer behaviours and experiences. By the end of 2017-18, more than 5,000 customers had participated in DHS’ user research and design and innovation hubs. </w:t>
      </w:r>
      <w:r w:rsidR="00325C7F">
        <w:rPr>
          <w:rFonts w:ascii="Calibri" w:hAnsi="Calibri" w:cs="Times New Roman"/>
        </w:rPr>
        <w:t xml:space="preserve"> </w:t>
      </w:r>
    </w:p>
    <w:p w14:paraId="42C663A5" w14:textId="77777777" w:rsidR="00757FDB" w:rsidRPr="005760AD" w:rsidRDefault="007A1ADB" w:rsidP="00CE18B4">
      <w:pPr>
        <w:pStyle w:val="Bullet"/>
        <w:numPr>
          <w:ilvl w:val="0"/>
          <w:numId w:val="0"/>
        </w:numPr>
        <w:spacing w:after="120" w:line="240" w:lineRule="auto"/>
        <w:rPr>
          <w:bCs/>
          <w:u w:val="single"/>
          <w:lang w:val="en-CA"/>
        </w:rPr>
      </w:pPr>
      <w:r w:rsidRPr="005760AD">
        <w:rPr>
          <w:bCs/>
          <w:u w:val="single"/>
          <w:lang w:val="en-CA"/>
        </w:rPr>
        <w:t>Transforming Service Delivery</w:t>
      </w:r>
      <w:r w:rsidR="00B5479B" w:rsidRPr="005760AD">
        <w:rPr>
          <w:bCs/>
          <w:u w:val="single"/>
          <w:lang w:val="en-CA"/>
        </w:rPr>
        <w:t xml:space="preserve"> – </w:t>
      </w:r>
      <w:r w:rsidR="009D3DF8">
        <w:rPr>
          <w:bCs/>
          <w:u w:val="single"/>
          <w:lang w:val="en-CA"/>
        </w:rPr>
        <w:t xml:space="preserve">We Need </w:t>
      </w:r>
      <w:r w:rsidR="00B5479B" w:rsidRPr="005760AD">
        <w:rPr>
          <w:bCs/>
          <w:u w:val="single"/>
          <w:lang w:val="en-CA"/>
        </w:rPr>
        <w:t>New Way</w:t>
      </w:r>
      <w:r w:rsidR="003B64C6">
        <w:rPr>
          <w:bCs/>
          <w:u w:val="single"/>
          <w:lang w:val="en-CA"/>
        </w:rPr>
        <w:t>s</w:t>
      </w:r>
      <w:r w:rsidR="00B5479B" w:rsidRPr="005760AD">
        <w:rPr>
          <w:bCs/>
          <w:u w:val="single"/>
          <w:lang w:val="en-CA"/>
        </w:rPr>
        <w:t xml:space="preserve"> of Working</w:t>
      </w:r>
    </w:p>
    <w:p w14:paraId="4FE9902D" w14:textId="77777777" w:rsidR="00757FDB" w:rsidRPr="00DB58BB" w:rsidRDefault="003F64A4" w:rsidP="00CE18B4">
      <w:pPr>
        <w:pStyle w:val="Default"/>
        <w:adjustRightInd/>
        <w:spacing w:after="120"/>
        <w:rPr>
          <w:rFonts w:ascii="Calibri" w:hAnsi="Calibri" w:cs="Times New Roman"/>
          <w:color w:val="auto"/>
          <w:sz w:val="22"/>
          <w:szCs w:val="22"/>
        </w:rPr>
      </w:pPr>
      <w:r w:rsidRPr="00124A0E">
        <w:rPr>
          <w:rFonts w:ascii="Calibri" w:hAnsi="Calibri" w:cs="Times New Roman"/>
          <w:color w:val="auto"/>
          <w:sz w:val="22"/>
          <w:szCs w:val="22"/>
        </w:rPr>
        <w:t>DHS is developing new frameworks to embed transformation within its operating models. DH</w:t>
      </w:r>
      <w:r w:rsidR="00757FDB" w:rsidRPr="00124A0E">
        <w:rPr>
          <w:rFonts w:ascii="Calibri" w:hAnsi="Calibri" w:cs="Times New Roman"/>
          <w:color w:val="auto"/>
          <w:sz w:val="22"/>
          <w:szCs w:val="22"/>
        </w:rPr>
        <w:t>S is progressing the development, implementation and embedding of a new Customer Experience Strategy, the supporting measurement system</w:t>
      </w:r>
      <w:r w:rsidR="00F227A5" w:rsidRPr="00124A0E">
        <w:rPr>
          <w:rFonts w:ascii="Calibri" w:hAnsi="Calibri" w:cs="Times New Roman"/>
          <w:color w:val="auto"/>
          <w:sz w:val="22"/>
          <w:szCs w:val="22"/>
        </w:rPr>
        <w:t>,</w:t>
      </w:r>
      <w:r w:rsidR="00757FDB" w:rsidRPr="00124A0E">
        <w:rPr>
          <w:rFonts w:ascii="Calibri" w:hAnsi="Calibri" w:cs="Times New Roman"/>
          <w:color w:val="auto"/>
          <w:sz w:val="22"/>
          <w:szCs w:val="22"/>
        </w:rPr>
        <w:t xml:space="preserve"> and an End-to-End Design and Delivery Framework. The implementation of this work will create an enhanced operating model for how customer needs are considered and how efficiently </w:t>
      </w:r>
      <w:r w:rsidR="00D32DD2" w:rsidRPr="00124A0E">
        <w:rPr>
          <w:rFonts w:ascii="Calibri" w:hAnsi="Calibri" w:cs="Times New Roman"/>
          <w:color w:val="auto"/>
          <w:sz w:val="22"/>
          <w:szCs w:val="22"/>
        </w:rPr>
        <w:t>DHS</w:t>
      </w:r>
      <w:r w:rsidR="00757FDB" w:rsidRPr="00124A0E">
        <w:rPr>
          <w:rFonts w:ascii="Calibri" w:hAnsi="Calibri" w:cs="Times New Roman"/>
          <w:color w:val="auto"/>
          <w:sz w:val="22"/>
          <w:szCs w:val="22"/>
        </w:rPr>
        <w:t xml:space="preserve"> delivers these services. </w:t>
      </w:r>
      <w:r w:rsidR="00755847">
        <w:rPr>
          <w:rFonts w:ascii="Calibri" w:hAnsi="Calibri" w:cs="Times New Roman"/>
          <w:color w:val="auto"/>
          <w:sz w:val="22"/>
          <w:szCs w:val="22"/>
        </w:rPr>
        <w:t xml:space="preserve">DHS </w:t>
      </w:r>
      <w:r w:rsidR="00757FDB" w:rsidRPr="00124A0E">
        <w:rPr>
          <w:rFonts w:ascii="Calibri" w:hAnsi="Calibri" w:cs="Times New Roman"/>
          <w:color w:val="auto"/>
          <w:sz w:val="22"/>
          <w:szCs w:val="22"/>
        </w:rPr>
        <w:t xml:space="preserve">will support </w:t>
      </w:r>
      <w:r w:rsidR="00755847">
        <w:rPr>
          <w:rFonts w:ascii="Calibri" w:hAnsi="Calibri" w:cs="Times New Roman"/>
          <w:color w:val="auto"/>
          <w:sz w:val="22"/>
          <w:szCs w:val="22"/>
        </w:rPr>
        <w:t xml:space="preserve">this </w:t>
      </w:r>
      <w:r w:rsidR="00757FDB" w:rsidRPr="00124A0E">
        <w:rPr>
          <w:rFonts w:ascii="Calibri" w:hAnsi="Calibri" w:cs="Times New Roman"/>
          <w:color w:val="auto"/>
          <w:sz w:val="22"/>
          <w:szCs w:val="22"/>
        </w:rPr>
        <w:t>through a measured investment and return approach, which articulates clear financial drivers for government as well as broader public value.</w:t>
      </w:r>
    </w:p>
    <w:p w14:paraId="4E4CE304" w14:textId="77777777" w:rsidR="00A72508" w:rsidRDefault="00B00DF6" w:rsidP="00CE18B4">
      <w:pPr>
        <w:pStyle w:val="Bullet"/>
        <w:numPr>
          <w:ilvl w:val="0"/>
          <w:numId w:val="0"/>
        </w:numPr>
        <w:spacing w:after="120" w:line="240" w:lineRule="auto"/>
        <w:rPr>
          <w:bCs/>
          <w:lang w:val="en-CA"/>
        </w:rPr>
      </w:pPr>
      <w:r>
        <w:rPr>
          <w:bCs/>
          <w:lang w:val="en-CA"/>
        </w:rPr>
        <w:t xml:space="preserve">Early experience </w:t>
      </w:r>
      <w:r w:rsidR="00757FDB">
        <w:rPr>
          <w:bCs/>
          <w:lang w:val="en-CA"/>
        </w:rPr>
        <w:t xml:space="preserve">in rolling out technology to transform service delivery </w:t>
      </w:r>
      <w:r>
        <w:rPr>
          <w:bCs/>
          <w:lang w:val="en-CA"/>
        </w:rPr>
        <w:t>highlights the need for g</w:t>
      </w:r>
      <w:r w:rsidR="00AA47DC">
        <w:rPr>
          <w:bCs/>
          <w:lang w:val="en-CA"/>
        </w:rPr>
        <w:t xml:space="preserve">overnments </w:t>
      </w:r>
      <w:r>
        <w:rPr>
          <w:bCs/>
          <w:lang w:val="en-CA"/>
        </w:rPr>
        <w:t xml:space="preserve">to </w:t>
      </w:r>
      <w:r w:rsidR="003F64A4">
        <w:rPr>
          <w:bCs/>
          <w:lang w:val="en-CA"/>
        </w:rPr>
        <w:t xml:space="preserve">build the capability to </w:t>
      </w:r>
      <w:r w:rsidR="00AA47DC">
        <w:rPr>
          <w:bCs/>
          <w:lang w:val="en-CA"/>
        </w:rPr>
        <w:t xml:space="preserve">quickly adapt </w:t>
      </w:r>
      <w:r w:rsidR="00757FDB">
        <w:rPr>
          <w:bCs/>
          <w:lang w:val="en-CA"/>
        </w:rPr>
        <w:t>their operating models.</w:t>
      </w:r>
      <w:r w:rsidR="004E226F" w:rsidRPr="009F3F07">
        <w:rPr>
          <w:bCs/>
          <w:lang w:val="en-CA"/>
        </w:rPr>
        <w:t xml:space="preserve"> </w:t>
      </w:r>
      <w:r w:rsidR="00BB1492">
        <w:rPr>
          <w:bCs/>
          <w:lang w:val="en-CA"/>
        </w:rPr>
        <w:t xml:space="preserve">For example, </w:t>
      </w:r>
      <w:r w:rsidR="009F3F07">
        <w:rPr>
          <w:bCs/>
          <w:lang w:val="en-CA"/>
        </w:rPr>
        <w:t>DHS</w:t>
      </w:r>
      <w:r w:rsidR="004D393F">
        <w:rPr>
          <w:bCs/>
          <w:lang w:val="en-CA"/>
        </w:rPr>
        <w:t xml:space="preserve"> </w:t>
      </w:r>
      <w:r w:rsidR="00DA1430">
        <w:rPr>
          <w:bCs/>
          <w:lang w:val="en-CA"/>
        </w:rPr>
        <w:t xml:space="preserve">quickly changed </w:t>
      </w:r>
      <w:r w:rsidR="009F3F07">
        <w:rPr>
          <w:bCs/>
          <w:lang w:val="en-CA"/>
        </w:rPr>
        <w:t xml:space="preserve">customer </w:t>
      </w:r>
      <w:r w:rsidR="004D393F">
        <w:rPr>
          <w:bCs/>
          <w:lang w:val="en-CA"/>
        </w:rPr>
        <w:t xml:space="preserve">engagement and </w:t>
      </w:r>
      <w:r w:rsidR="009F3F07">
        <w:rPr>
          <w:bCs/>
          <w:lang w:val="en-CA"/>
        </w:rPr>
        <w:t xml:space="preserve">communication strategies following community feedback on the introduction of </w:t>
      </w:r>
      <w:r w:rsidR="001608B6">
        <w:rPr>
          <w:bCs/>
          <w:lang w:val="en-CA"/>
        </w:rPr>
        <w:t xml:space="preserve">the </w:t>
      </w:r>
      <w:r w:rsidR="009F3F07">
        <w:rPr>
          <w:bCs/>
          <w:lang w:val="en-CA"/>
        </w:rPr>
        <w:t xml:space="preserve">new </w:t>
      </w:r>
      <w:r w:rsidR="001608B6">
        <w:rPr>
          <w:bCs/>
          <w:lang w:val="en-CA"/>
        </w:rPr>
        <w:t>o</w:t>
      </w:r>
      <w:r w:rsidR="00CB1A12" w:rsidRPr="009F3F07">
        <w:rPr>
          <w:bCs/>
          <w:lang w:val="en-CA"/>
        </w:rPr>
        <w:t xml:space="preserve">nline approach to compliance </w:t>
      </w:r>
      <w:r w:rsidR="001608B6">
        <w:rPr>
          <w:bCs/>
          <w:lang w:val="en-CA"/>
        </w:rPr>
        <w:t xml:space="preserve">(Online Compliance Intervention) </w:t>
      </w:r>
      <w:r w:rsidR="004E226F" w:rsidRPr="009F3F07">
        <w:rPr>
          <w:bCs/>
          <w:lang w:val="en-CA"/>
        </w:rPr>
        <w:t>in 2016</w:t>
      </w:r>
      <w:r w:rsidR="008A5EB0">
        <w:rPr>
          <w:bCs/>
          <w:lang w:val="en-CA"/>
        </w:rPr>
        <w:t xml:space="preserve">. These responses have included </w:t>
      </w:r>
      <w:r w:rsidR="00441F17">
        <w:rPr>
          <w:bCs/>
          <w:lang w:val="en-CA"/>
        </w:rPr>
        <w:t xml:space="preserve">better use of data to target </w:t>
      </w:r>
      <w:r w:rsidR="00D32DD2">
        <w:rPr>
          <w:bCs/>
          <w:lang w:val="en-CA"/>
        </w:rPr>
        <w:t>c</w:t>
      </w:r>
      <w:r w:rsidR="00441F17">
        <w:rPr>
          <w:bCs/>
          <w:lang w:val="en-CA"/>
        </w:rPr>
        <w:t>ompliance reviews</w:t>
      </w:r>
      <w:r w:rsidR="00D64FE0">
        <w:rPr>
          <w:bCs/>
          <w:lang w:val="en-CA"/>
        </w:rPr>
        <w:t xml:space="preserve"> (r</w:t>
      </w:r>
      <w:r w:rsidR="004D393F">
        <w:rPr>
          <w:bCs/>
          <w:lang w:val="en-CA"/>
        </w:rPr>
        <w:t xml:space="preserve">efer </w:t>
      </w:r>
      <w:r w:rsidR="00CB1A12" w:rsidRPr="009F3F07">
        <w:rPr>
          <w:bCs/>
          <w:lang w:val="en-CA"/>
        </w:rPr>
        <w:t xml:space="preserve">Appendix 1 </w:t>
      </w:r>
      <w:r w:rsidR="004D393F">
        <w:rPr>
          <w:bCs/>
          <w:lang w:val="en-CA"/>
        </w:rPr>
        <w:t xml:space="preserve">for </w:t>
      </w:r>
      <w:r w:rsidR="008A5EB0">
        <w:rPr>
          <w:bCs/>
          <w:lang w:val="en-CA"/>
        </w:rPr>
        <w:t xml:space="preserve">more </w:t>
      </w:r>
      <w:r w:rsidR="004D393F">
        <w:rPr>
          <w:bCs/>
          <w:lang w:val="en-CA"/>
        </w:rPr>
        <w:t>detail</w:t>
      </w:r>
      <w:r w:rsidR="00D64FE0">
        <w:rPr>
          <w:bCs/>
          <w:lang w:val="en-CA"/>
        </w:rPr>
        <w:t>)</w:t>
      </w:r>
      <w:r w:rsidR="00CB1A12" w:rsidRPr="009F3F07">
        <w:rPr>
          <w:bCs/>
          <w:lang w:val="en-CA"/>
        </w:rPr>
        <w:t>.</w:t>
      </w:r>
    </w:p>
    <w:p w14:paraId="76ADF408" w14:textId="77777777" w:rsidR="00B00DF6" w:rsidRDefault="00B00DF6" w:rsidP="00CE18B4">
      <w:pPr>
        <w:spacing w:after="120" w:line="240" w:lineRule="auto"/>
        <w:rPr>
          <w:b/>
          <w:i/>
        </w:rPr>
      </w:pPr>
      <w:r w:rsidRPr="00B00DF6">
        <w:rPr>
          <w:b/>
          <w:i/>
        </w:rPr>
        <w:t xml:space="preserve">Issues </w:t>
      </w:r>
      <w:r>
        <w:rPr>
          <w:b/>
          <w:i/>
        </w:rPr>
        <w:t>for Discussion</w:t>
      </w:r>
    </w:p>
    <w:p w14:paraId="0A77C01C" w14:textId="77777777" w:rsidR="00DA1430" w:rsidRDefault="003B64C6" w:rsidP="00CE18B4">
      <w:pPr>
        <w:pStyle w:val="Bullet"/>
        <w:numPr>
          <w:ilvl w:val="0"/>
          <w:numId w:val="0"/>
        </w:numPr>
        <w:spacing w:after="120" w:line="240" w:lineRule="auto"/>
        <w:rPr>
          <w:bCs/>
          <w:lang w:val="en-CA"/>
        </w:rPr>
      </w:pPr>
      <w:r>
        <w:rPr>
          <w:bCs/>
          <w:lang w:val="en-CA"/>
        </w:rPr>
        <w:t>Issues f</w:t>
      </w:r>
      <w:r w:rsidR="00C5563A">
        <w:rPr>
          <w:bCs/>
          <w:lang w:val="en-CA"/>
        </w:rPr>
        <w:t>or</w:t>
      </w:r>
      <w:r>
        <w:rPr>
          <w:bCs/>
          <w:lang w:val="en-CA"/>
        </w:rPr>
        <w:t xml:space="preserve"> discussion might focus on</w:t>
      </w:r>
      <w:r w:rsidR="004954C2">
        <w:rPr>
          <w:bCs/>
          <w:lang w:val="en-CA"/>
        </w:rPr>
        <w:t>:</w:t>
      </w:r>
    </w:p>
    <w:p w14:paraId="2F11A68C" w14:textId="77777777" w:rsidR="00C5563A" w:rsidRPr="00C5563A" w:rsidRDefault="00C5563A" w:rsidP="00621E40">
      <w:pPr>
        <w:pStyle w:val="Bullet"/>
        <w:numPr>
          <w:ilvl w:val="0"/>
          <w:numId w:val="14"/>
        </w:numPr>
        <w:spacing w:line="240" w:lineRule="auto"/>
        <w:rPr>
          <w:bCs/>
          <w:lang w:val="en-CA"/>
        </w:rPr>
      </w:pPr>
      <w:r w:rsidRPr="00C5563A">
        <w:rPr>
          <w:bCs/>
          <w:lang w:val="en-CA"/>
        </w:rPr>
        <w:t>How can governments best engage citizens to inform the development of new policy and service delivery models?</w:t>
      </w:r>
    </w:p>
    <w:p w14:paraId="29389E9B" w14:textId="77777777" w:rsidR="008F7E41" w:rsidRDefault="008F7E41" w:rsidP="00CE18B4">
      <w:pPr>
        <w:spacing w:after="120" w:line="240" w:lineRule="auto"/>
        <w:rPr>
          <w:rFonts w:ascii="Times New Roman" w:hAnsi="Times New Roman" w:cs="Times New Roman"/>
          <w:b/>
          <w:i/>
          <w:sz w:val="28"/>
          <w:szCs w:val="28"/>
        </w:rPr>
      </w:pPr>
    </w:p>
    <w:p w14:paraId="69C77DB0" w14:textId="77777777" w:rsidR="008F7E41" w:rsidRDefault="008F7E41" w:rsidP="00CE18B4">
      <w:pPr>
        <w:spacing w:after="120" w:line="240" w:lineRule="auto"/>
        <w:rPr>
          <w:rFonts w:ascii="Times New Roman" w:hAnsi="Times New Roman" w:cs="Times New Roman"/>
          <w:b/>
          <w:i/>
          <w:sz w:val="28"/>
          <w:szCs w:val="28"/>
        </w:rPr>
      </w:pPr>
    </w:p>
    <w:p w14:paraId="62AC511A" w14:textId="77777777" w:rsidR="00AD79D8" w:rsidRDefault="00AD79D8" w:rsidP="00CE18B4">
      <w:pPr>
        <w:spacing w:after="120" w:line="240" w:lineRule="auto"/>
        <w:rPr>
          <w:rFonts w:ascii="Times New Roman" w:hAnsi="Times New Roman" w:cs="Times New Roman"/>
          <w:b/>
          <w:i/>
          <w:sz w:val="28"/>
          <w:szCs w:val="28"/>
        </w:rPr>
      </w:pPr>
    </w:p>
    <w:p w14:paraId="52AD214B" w14:textId="77777777" w:rsidR="00AD79D8" w:rsidRDefault="00AD79D8" w:rsidP="00CE18B4">
      <w:pPr>
        <w:spacing w:after="120" w:line="240" w:lineRule="auto"/>
        <w:rPr>
          <w:rFonts w:ascii="Times New Roman" w:hAnsi="Times New Roman" w:cs="Times New Roman"/>
          <w:b/>
          <w:i/>
          <w:sz w:val="28"/>
          <w:szCs w:val="28"/>
        </w:rPr>
      </w:pPr>
    </w:p>
    <w:p w14:paraId="532F216C" w14:textId="4676B290" w:rsidR="00D858E6" w:rsidRPr="00514B63" w:rsidRDefault="009A74EC" w:rsidP="00CE18B4">
      <w:pPr>
        <w:spacing w:after="120" w:line="240" w:lineRule="auto"/>
        <w:rPr>
          <w:rFonts w:ascii="Times New Roman" w:hAnsi="Times New Roman" w:cs="Times New Roman"/>
          <w:b/>
          <w:i/>
          <w:sz w:val="28"/>
          <w:szCs w:val="28"/>
        </w:rPr>
      </w:pPr>
      <w:r w:rsidRPr="00514B63">
        <w:rPr>
          <w:rFonts w:ascii="Times New Roman" w:hAnsi="Times New Roman" w:cs="Times New Roman"/>
          <w:b/>
          <w:i/>
          <w:sz w:val="28"/>
          <w:szCs w:val="28"/>
        </w:rPr>
        <w:t>Data Privacy</w:t>
      </w:r>
    </w:p>
    <w:p w14:paraId="522220E6" w14:textId="77777777" w:rsidR="00D858E6" w:rsidRPr="00514B63" w:rsidRDefault="00D858E6" w:rsidP="00CE18B4">
      <w:pPr>
        <w:spacing w:after="120" w:line="240" w:lineRule="auto"/>
        <w:rPr>
          <w:b/>
          <w:i/>
        </w:rPr>
      </w:pPr>
      <w:r w:rsidRPr="00514B63">
        <w:rPr>
          <w:b/>
          <w:i/>
        </w:rPr>
        <w:t>Canada</w:t>
      </w:r>
    </w:p>
    <w:p w14:paraId="0254EA48" w14:textId="77777777" w:rsidR="00A72508" w:rsidRPr="00A72508" w:rsidRDefault="003B64C6" w:rsidP="00CE18B4">
      <w:pPr>
        <w:spacing w:after="120" w:line="240" w:lineRule="auto"/>
        <w:rPr>
          <w:rFonts w:ascii="Calibri" w:hAnsi="Calibri" w:cs="Times New Roman"/>
          <w:szCs w:val="24"/>
          <w:u w:val="single"/>
        </w:rPr>
      </w:pPr>
      <w:r>
        <w:rPr>
          <w:rFonts w:ascii="Calibri" w:hAnsi="Calibri" w:cs="Times New Roman"/>
          <w:szCs w:val="24"/>
          <w:u w:val="single"/>
        </w:rPr>
        <w:t xml:space="preserve">Understanding and </w:t>
      </w:r>
      <w:r w:rsidR="00C1156F">
        <w:rPr>
          <w:rFonts w:ascii="Calibri" w:hAnsi="Calibri" w:cs="Times New Roman"/>
          <w:szCs w:val="24"/>
          <w:u w:val="single"/>
        </w:rPr>
        <w:t xml:space="preserve">Managing </w:t>
      </w:r>
      <w:r w:rsidR="00A72508" w:rsidRPr="00C1156F">
        <w:rPr>
          <w:rFonts w:ascii="Calibri" w:hAnsi="Calibri" w:cs="Times New Roman"/>
          <w:szCs w:val="24"/>
          <w:u w:val="single"/>
        </w:rPr>
        <w:t xml:space="preserve">Public </w:t>
      </w:r>
      <w:r w:rsidR="002C53C1">
        <w:rPr>
          <w:rFonts w:ascii="Calibri" w:hAnsi="Calibri" w:cs="Times New Roman"/>
          <w:szCs w:val="24"/>
          <w:u w:val="single"/>
        </w:rPr>
        <w:t xml:space="preserve">Expectations and </w:t>
      </w:r>
      <w:r w:rsidR="00A72508" w:rsidRPr="00C1156F">
        <w:rPr>
          <w:rFonts w:ascii="Calibri" w:hAnsi="Calibri" w:cs="Times New Roman"/>
          <w:szCs w:val="24"/>
          <w:u w:val="single"/>
        </w:rPr>
        <w:t>Opinion</w:t>
      </w:r>
      <w:r w:rsidR="00A72508">
        <w:rPr>
          <w:rFonts w:ascii="Calibri" w:hAnsi="Calibri" w:cs="Times New Roman"/>
          <w:szCs w:val="24"/>
          <w:u w:val="single"/>
        </w:rPr>
        <w:t xml:space="preserve"> </w:t>
      </w:r>
    </w:p>
    <w:p w14:paraId="0EAC6DA7" w14:textId="77777777" w:rsidR="0067470D" w:rsidRPr="00514B63" w:rsidRDefault="0067470D" w:rsidP="00CE18B4">
      <w:pPr>
        <w:spacing w:after="120" w:line="240" w:lineRule="auto"/>
        <w:rPr>
          <w:rFonts w:ascii="Calibri" w:hAnsi="Calibri" w:cs="Times New Roman"/>
          <w:szCs w:val="24"/>
        </w:rPr>
      </w:pPr>
      <w:r w:rsidRPr="00514B63">
        <w:rPr>
          <w:rFonts w:ascii="Calibri" w:hAnsi="Calibri" w:cs="Times New Roman"/>
          <w:szCs w:val="24"/>
        </w:rPr>
        <w:t xml:space="preserve">In March 2018, the </w:t>
      </w:r>
      <w:r>
        <w:rPr>
          <w:rFonts w:ascii="Calibri" w:hAnsi="Calibri" w:cs="Times New Roman"/>
          <w:szCs w:val="24"/>
        </w:rPr>
        <w:t>Treasury Board of Canada Secretariat</w:t>
      </w:r>
      <w:r w:rsidR="007B4FA8">
        <w:rPr>
          <w:rFonts w:ascii="Calibri" w:hAnsi="Calibri" w:cs="Times New Roman"/>
          <w:szCs w:val="24"/>
        </w:rPr>
        <w:t xml:space="preserve"> </w:t>
      </w:r>
      <w:r w:rsidR="000555DB">
        <w:rPr>
          <w:rFonts w:ascii="Calibri" w:hAnsi="Calibri" w:cs="Times New Roman"/>
          <w:szCs w:val="24"/>
        </w:rPr>
        <w:t xml:space="preserve">(TBS) </w:t>
      </w:r>
      <w:r w:rsidRPr="00514B63">
        <w:rPr>
          <w:rFonts w:ascii="Calibri" w:hAnsi="Calibri" w:cs="Times New Roman"/>
          <w:szCs w:val="24"/>
        </w:rPr>
        <w:t xml:space="preserve">undertook public opinion research that examined citizens’ views on how government should collect, use, and disclose their personal information, specifically in the context of service delivery. The results suggest Canadians are receptive to a “tell us once” approach to Government services. Two thirds of respondents support having an option to provide their personal information only once to access services from all federal government institutions. That being said, the majority of respondents also indicated they want, and expect, to be asked for permission when the government wants to share their information. These results also highlight the need to better understand the other “one third” of respondents who do not support a “tell us once” approach and to address questions this approach raises in terms of individual consent and control, transparency, and citizens’ confidence in the </w:t>
      </w:r>
      <w:r w:rsidR="00D0034C">
        <w:rPr>
          <w:rFonts w:ascii="Calibri" w:hAnsi="Calibri" w:cs="Times New Roman"/>
          <w:szCs w:val="24"/>
        </w:rPr>
        <w:t>G</w:t>
      </w:r>
      <w:r w:rsidRPr="00514B63">
        <w:rPr>
          <w:rFonts w:ascii="Calibri" w:hAnsi="Calibri" w:cs="Times New Roman"/>
          <w:szCs w:val="24"/>
        </w:rPr>
        <w:t>overnment’s ability to manage their personal information securely.</w:t>
      </w:r>
    </w:p>
    <w:p w14:paraId="19AF9166" w14:textId="77777777" w:rsidR="00C1156F" w:rsidRDefault="00820277" w:rsidP="00CE18B4">
      <w:pPr>
        <w:spacing w:after="120" w:line="240" w:lineRule="auto"/>
        <w:rPr>
          <w:rFonts w:ascii="Calibri" w:hAnsi="Calibri" w:cs="Times New Roman"/>
          <w:szCs w:val="24"/>
        </w:rPr>
      </w:pPr>
      <w:r>
        <w:rPr>
          <w:rFonts w:ascii="Calibri" w:hAnsi="Calibri" w:cs="Times New Roman"/>
          <w:szCs w:val="24"/>
          <w:u w:val="single"/>
        </w:rPr>
        <w:t>Clarifying the L</w:t>
      </w:r>
      <w:r w:rsidRPr="00820277">
        <w:rPr>
          <w:rFonts w:ascii="Calibri" w:hAnsi="Calibri" w:cs="Times New Roman"/>
          <w:szCs w:val="24"/>
          <w:u w:val="single"/>
        </w:rPr>
        <w:t xml:space="preserve">egislative </w:t>
      </w:r>
      <w:r>
        <w:rPr>
          <w:rFonts w:ascii="Calibri" w:hAnsi="Calibri" w:cs="Times New Roman"/>
          <w:szCs w:val="24"/>
          <w:u w:val="single"/>
        </w:rPr>
        <w:t>Framework</w:t>
      </w:r>
      <w:r w:rsidRPr="00820277">
        <w:rPr>
          <w:rFonts w:ascii="Calibri" w:hAnsi="Calibri" w:cs="Times New Roman"/>
          <w:szCs w:val="24"/>
          <w:u w:val="single"/>
        </w:rPr>
        <w:t xml:space="preserve"> </w:t>
      </w:r>
    </w:p>
    <w:p w14:paraId="7F69C3D4" w14:textId="4B11F07A" w:rsidR="0067470D" w:rsidRDefault="0067470D" w:rsidP="00CE18B4">
      <w:pPr>
        <w:spacing w:after="120" w:line="240" w:lineRule="auto"/>
        <w:ind w:right="-340"/>
        <w:rPr>
          <w:rFonts w:ascii="Calibri" w:hAnsi="Calibri" w:cs="Times New Roman"/>
          <w:szCs w:val="24"/>
        </w:rPr>
      </w:pPr>
      <w:r w:rsidRPr="00514B63">
        <w:rPr>
          <w:rFonts w:ascii="Calibri" w:hAnsi="Calibri" w:cs="Times New Roman"/>
          <w:szCs w:val="24"/>
        </w:rPr>
        <w:t xml:space="preserve">While there appears to be general support for better information sharing, and the technology to enable integrated and seamless service delivery exists, there remains some question as to the extent the existing legislative and policy framework is structured to support a balanced approach that enables improved service delivery, while at the same time ensuring personal information and privacy is safeguarded. For example, Canada’s </w:t>
      </w:r>
      <w:r w:rsidRPr="00514B63">
        <w:rPr>
          <w:rFonts w:ascii="Calibri" w:hAnsi="Calibri" w:cs="Times New Roman"/>
          <w:i/>
          <w:szCs w:val="24"/>
        </w:rPr>
        <w:t>Privacy Act</w:t>
      </w:r>
      <w:r w:rsidRPr="00514B63">
        <w:rPr>
          <w:rFonts w:ascii="Calibri" w:hAnsi="Calibri" w:cs="Times New Roman"/>
          <w:szCs w:val="24"/>
        </w:rPr>
        <w:t xml:space="preserve"> was implemented well before the “digital era” and has not had substantial changes since 1983. At the same time, there are multiple other pieces of legislation that define the sharing or use of information in the public sector context.</w:t>
      </w:r>
      <w:r>
        <w:rPr>
          <w:rFonts w:ascii="Calibri" w:hAnsi="Calibri" w:cs="Times New Roman"/>
          <w:szCs w:val="24"/>
        </w:rPr>
        <w:t xml:space="preserve"> </w:t>
      </w:r>
    </w:p>
    <w:p w14:paraId="178A8AB0" w14:textId="77777777" w:rsidR="0067470D" w:rsidRDefault="00C1156F" w:rsidP="00CE18B4">
      <w:pPr>
        <w:spacing w:after="120" w:line="240" w:lineRule="auto"/>
        <w:rPr>
          <w:rFonts w:ascii="Calibri" w:hAnsi="Calibri" w:cs="Times New Roman"/>
          <w:szCs w:val="24"/>
          <w:u w:val="single"/>
        </w:rPr>
      </w:pPr>
      <w:r w:rsidRPr="00C1156F">
        <w:rPr>
          <w:rFonts w:ascii="Calibri" w:hAnsi="Calibri" w:cs="Times New Roman"/>
          <w:szCs w:val="24"/>
          <w:u w:val="single"/>
        </w:rPr>
        <w:t xml:space="preserve">Developing </w:t>
      </w:r>
      <w:r w:rsidR="00236549">
        <w:rPr>
          <w:rFonts w:ascii="Calibri" w:hAnsi="Calibri" w:cs="Times New Roman"/>
          <w:szCs w:val="24"/>
          <w:u w:val="single"/>
        </w:rPr>
        <w:t>a</w:t>
      </w:r>
      <w:r w:rsidR="00A72508" w:rsidRPr="00C1156F">
        <w:rPr>
          <w:rFonts w:ascii="Calibri" w:hAnsi="Calibri" w:cs="Times New Roman"/>
          <w:szCs w:val="24"/>
          <w:u w:val="single"/>
        </w:rPr>
        <w:t xml:space="preserve"> Trusted Digital Identity System</w:t>
      </w:r>
    </w:p>
    <w:p w14:paraId="38F7405B" w14:textId="77777777" w:rsidR="00D32DD2" w:rsidRDefault="0067470D" w:rsidP="00CE18B4">
      <w:pPr>
        <w:spacing w:after="120" w:line="240" w:lineRule="auto"/>
        <w:rPr>
          <w:rFonts w:ascii="Calibri" w:hAnsi="Calibri" w:cs="Times New Roman"/>
          <w:szCs w:val="24"/>
        </w:rPr>
      </w:pPr>
      <w:r w:rsidRPr="000D3147">
        <w:rPr>
          <w:rFonts w:ascii="Calibri" w:hAnsi="Calibri" w:cs="Times New Roman"/>
          <w:szCs w:val="24"/>
        </w:rPr>
        <w:t xml:space="preserve">A trusted digital identity system is fundamental and is a key enabler of seamless and frictionless security in digital systems. TBS will continue to evolve external and internal authentication. This includes enhancing Sign-in Canada, the authentication service for external, public-facing services, so that it can accept trusted digital identities from provincial and territorial governments. </w:t>
      </w:r>
    </w:p>
    <w:p w14:paraId="006CA24D" w14:textId="77777777" w:rsidR="0067470D" w:rsidRPr="00514B63" w:rsidRDefault="0067470D" w:rsidP="00CE18B4">
      <w:pPr>
        <w:spacing w:after="120" w:line="240" w:lineRule="auto"/>
        <w:rPr>
          <w:rFonts w:ascii="Calibri" w:hAnsi="Calibri" w:cs="Times New Roman"/>
          <w:szCs w:val="24"/>
        </w:rPr>
      </w:pPr>
      <w:r w:rsidRPr="000D3147">
        <w:rPr>
          <w:rFonts w:ascii="Calibri" w:hAnsi="Calibri" w:cs="Times New Roman"/>
          <w:szCs w:val="24"/>
        </w:rPr>
        <w:t>To support internal government workers, TBS is working with Shared Services Canada to implement common internal identity and credential processes and technologies tailored to the level of assurance required for particular business processes. When developing digital services that require digital identity authentication, departments will make use of these common enterprise solutions to enable access to government services for authorized parties. TBS, Shared Services Canada and other departments will continue to work together to minimize the misuse, whether malicious or accidental, of any account that has elevated privileges. Sharing personnel screening information more quickly will also help reduce the risk of insider threats.</w:t>
      </w:r>
    </w:p>
    <w:p w14:paraId="629B2323" w14:textId="126BFC16" w:rsidR="0067470D" w:rsidRDefault="0067470D" w:rsidP="00CE18B4">
      <w:pPr>
        <w:spacing w:after="120" w:line="240" w:lineRule="auto"/>
        <w:rPr>
          <w:rFonts w:ascii="Calibri" w:hAnsi="Calibri" w:cs="Times New Roman"/>
          <w:szCs w:val="24"/>
        </w:rPr>
      </w:pPr>
      <w:r w:rsidRPr="00514B63">
        <w:rPr>
          <w:rFonts w:ascii="Calibri" w:hAnsi="Calibri" w:cs="Times New Roman"/>
          <w:szCs w:val="24"/>
        </w:rPr>
        <w:t xml:space="preserve">TBS introduced new </w:t>
      </w:r>
      <w:hyperlink r:id="rId25" w:history="1">
        <w:r w:rsidRPr="00E15CB9">
          <w:rPr>
            <w:rStyle w:val="Hyperlink"/>
            <w:rFonts w:ascii="Calibri" w:hAnsi="Calibri" w:cs="Times New Roman"/>
            <w:szCs w:val="24"/>
          </w:rPr>
          <w:t>Digital Standards</w:t>
        </w:r>
      </w:hyperlink>
      <w:r w:rsidRPr="00514B63">
        <w:rPr>
          <w:rFonts w:ascii="Calibri" w:hAnsi="Calibri" w:cs="Times New Roman"/>
          <w:szCs w:val="24"/>
        </w:rPr>
        <w:t xml:space="preserve"> in 2018, which call for a balanced approach to managing security and privacy risks by implementing appropriate, but frictionless, privacy and security measures that do not place a burden on users. At the same time, </w:t>
      </w:r>
      <w:r w:rsidR="00263C98">
        <w:rPr>
          <w:rFonts w:ascii="Calibri" w:hAnsi="Calibri" w:cs="Times New Roman"/>
          <w:szCs w:val="24"/>
        </w:rPr>
        <w:t xml:space="preserve">TBS is </w:t>
      </w:r>
      <w:r w:rsidRPr="00514B63">
        <w:rPr>
          <w:rFonts w:ascii="Calibri" w:hAnsi="Calibri" w:cs="Times New Roman"/>
          <w:szCs w:val="24"/>
        </w:rPr>
        <w:t xml:space="preserve">working with departments to assess the applicable rules framework in order to identify how it can be improved to better support the sharing of information and improved service, while protecting personal information and privacy and ensuring transparency. </w:t>
      </w:r>
    </w:p>
    <w:p w14:paraId="749FD446" w14:textId="77777777" w:rsidR="0067470D" w:rsidRDefault="005760AD" w:rsidP="00CE18B4">
      <w:pPr>
        <w:spacing w:after="120" w:line="240" w:lineRule="auto"/>
        <w:rPr>
          <w:rFonts w:ascii="Calibri" w:hAnsi="Calibri" w:cs="Times New Roman"/>
          <w:szCs w:val="24"/>
          <w:u w:val="single"/>
        </w:rPr>
      </w:pPr>
      <w:r>
        <w:rPr>
          <w:rFonts w:ascii="Calibri" w:hAnsi="Calibri" w:cs="Times New Roman"/>
          <w:szCs w:val="24"/>
          <w:u w:val="single"/>
        </w:rPr>
        <w:t xml:space="preserve">Exploring </w:t>
      </w:r>
      <w:r w:rsidR="0067470D" w:rsidRPr="00C1156F">
        <w:rPr>
          <w:rFonts w:ascii="Calibri" w:hAnsi="Calibri" w:cs="Times New Roman"/>
          <w:szCs w:val="24"/>
          <w:u w:val="single"/>
        </w:rPr>
        <w:t>Tell-us-once Approaches</w:t>
      </w:r>
    </w:p>
    <w:p w14:paraId="329F6F93" w14:textId="0559E1D5" w:rsidR="002C53C1" w:rsidRDefault="0067470D" w:rsidP="00CE18B4">
      <w:pPr>
        <w:spacing w:after="120" w:line="240" w:lineRule="auto"/>
        <w:rPr>
          <w:rFonts w:ascii="Calibri" w:hAnsi="Calibri" w:cs="Times New Roman"/>
          <w:szCs w:val="24"/>
        </w:rPr>
      </w:pPr>
      <w:r w:rsidRPr="00634303">
        <w:rPr>
          <w:rFonts w:ascii="Calibri" w:hAnsi="Calibri" w:cs="Times New Roman"/>
          <w:szCs w:val="24"/>
        </w:rPr>
        <w:t xml:space="preserve">The 2017 to 2021 </w:t>
      </w:r>
      <w:r w:rsidR="008D561B" w:rsidRPr="00A90C01">
        <w:t xml:space="preserve">Government of Canada Information Management-Information Technology </w:t>
      </w:r>
      <w:hyperlink r:id="rId26" w:history="1">
        <w:r w:rsidR="008D561B" w:rsidRPr="008D561B">
          <w:rPr>
            <w:rStyle w:val="Hyperlink"/>
            <w:rFonts w:ascii="Calibri" w:hAnsi="Calibri" w:cs="Times New Roman"/>
            <w:szCs w:val="24"/>
          </w:rPr>
          <w:t>Strategic Plan</w:t>
        </w:r>
      </w:hyperlink>
      <w:r w:rsidRPr="00634303">
        <w:rPr>
          <w:rFonts w:ascii="Calibri" w:hAnsi="Calibri" w:cs="Times New Roman"/>
          <w:szCs w:val="24"/>
        </w:rPr>
        <w:t xml:space="preserve"> announced that TBS and departments would be exploring the potential of greater sharing of data in order to deliver better services while protecting privacy, and that the government was studying the feasibility o</w:t>
      </w:r>
      <w:r>
        <w:rPr>
          <w:rFonts w:ascii="Calibri" w:hAnsi="Calibri" w:cs="Times New Roman"/>
          <w:szCs w:val="24"/>
        </w:rPr>
        <w:t xml:space="preserve">f implementing “tell us once.” </w:t>
      </w:r>
    </w:p>
    <w:p w14:paraId="6153A613" w14:textId="096765DB" w:rsidR="00994297" w:rsidRDefault="00994297" w:rsidP="00421C2B">
      <w:pPr>
        <w:spacing w:after="120" w:line="240" w:lineRule="auto"/>
      </w:pPr>
      <w:r>
        <w:t xml:space="preserve">From 2018 to 2020, TBS and key service delivery departments will identify policy and legal barriers to information-sharing and digitally-enabled services, and make recommendations for changes to the rules framework to allow service delivery departments to collect information digitally and share it for the purpose of </w:t>
      </w:r>
      <w:r w:rsidR="00364935">
        <w:t xml:space="preserve">easier </w:t>
      </w:r>
      <w:r>
        <w:t>delivery</w:t>
      </w:r>
      <w:r w:rsidR="00364935">
        <w:t xml:space="preserve"> and</w:t>
      </w:r>
      <w:r>
        <w:t xml:space="preserve"> seamless services, while ensuring privacy is protected.</w:t>
      </w:r>
    </w:p>
    <w:p w14:paraId="695FFF29" w14:textId="77777777" w:rsidR="0067470D" w:rsidRDefault="00820277" w:rsidP="00CE18B4">
      <w:pPr>
        <w:spacing w:after="120" w:line="240" w:lineRule="auto"/>
        <w:rPr>
          <w:rFonts w:ascii="Calibri" w:hAnsi="Calibri" w:cs="Times New Roman"/>
          <w:szCs w:val="24"/>
        </w:rPr>
      </w:pPr>
      <w:r>
        <w:rPr>
          <w:rFonts w:ascii="Calibri" w:hAnsi="Calibri" w:cs="Times New Roman"/>
          <w:szCs w:val="24"/>
          <w:u w:val="single"/>
        </w:rPr>
        <w:t>Building Government</w:t>
      </w:r>
      <w:r w:rsidR="006B0FAD">
        <w:rPr>
          <w:rFonts w:ascii="Calibri" w:hAnsi="Calibri" w:cs="Times New Roman"/>
          <w:szCs w:val="24"/>
          <w:u w:val="single"/>
        </w:rPr>
        <w:t>-w</w:t>
      </w:r>
      <w:r>
        <w:rPr>
          <w:rFonts w:ascii="Calibri" w:hAnsi="Calibri" w:cs="Times New Roman"/>
          <w:szCs w:val="24"/>
          <w:u w:val="single"/>
        </w:rPr>
        <w:t xml:space="preserve">ide </w:t>
      </w:r>
      <w:r w:rsidR="0067470D" w:rsidRPr="002C53C1">
        <w:rPr>
          <w:rFonts w:ascii="Calibri" w:hAnsi="Calibri" w:cs="Times New Roman"/>
          <w:szCs w:val="24"/>
          <w:u w:val="single"/>
        </w:rPr>
        <w:t>Interoperability</w:t>
      </w:r>
    </w:p>
    <w:p w14:paraId="22CCA6AE" w14:textId="77777777" w:rsidR="002C53C1" w:rsidRDefault="0067470D" w:rsidP="00CE18B4">
      <w:pPr>
        <w:spacing w:after="120" w:line="240" w:lineRule="auto"/>
        <w:rPr>
          <w:rFonts w:ascii="Calibri" w:hAnsi="Calibri" w:cs="Times New Roman"/>
          <w:szCs w:val="24"/>
          <w:lang w:val="en-CA"/>
        </w:rPr>
      </w:pPr>
      <w:r w:rsidRPr="00F35190">
        <w:rPr>
          <w:rFonts w:ascii="Calibri" w:hAnsi="Calibri" w:cs="Times New Roman"/>
          <w:szCs w:val="24"/>
          <w:lang w:val="en-CA"/>
        </w:rPr>
        <w:t xml:space="preserve">A platform for government-wide interoperability will lay the foundation for achieving the data-sharing vision of getting the right information to the right people at the right time while respecting privacy requirements. This will be critically important for the successful implementation of tell-us-once approaches and integrated services. </w:t>
      </w:r>
    </w:p>
    <w:p w14:paraId="0152A245" w14:textId="08474522" w:rsidR="0067470D" w:rsidRPr="00F35190" w:rsidRDefault="0067470D" w:rsidP="00CE18B4">
      <w:pPr>
        <w:spacing w:after="120" w:line="240" w:lineRule="auto"/>
        <w:rPr>
          <w:rFonts w:ascii="Calibri" w:hAnsi="Calibri" w:cs="Times New Roman"/>
          <w:szCs w:val="24"/>
          <w:lang w:val="en-CA"/>
        </w:rPr>
      </w:pPr>
      <w:r w:rsidRPr="00F35190">
        <w:rPr>
          <w:rFonts w:ascii="Calibri" w:hAnsi="Calibri" w:cs="Times New Roman"/>
          <w:szCs w:val="24"/>
          <w:lang w:val="en-CA"/>
        </w:rPr>
        <w:t>TBS will continue to work with departments and partners on building a digital exchange platform and providing a digital exchange toolkit that includes a suite of modern integration tools (for example, identity management and data transfer systems). This toolkit will serve the needs of a digital exchange ecosystem and enable the secure exchange of data between centralized systems, departments, governments and the public.</w:t>
      </w:r>
    </w:p>
    <w:p w14:paraId="5A27F1A7" w14:textId="77777777" w:rsidR="00A72508" w:rsidRDefault="0067470D" w:rsidP="00CE18B4">
      <w:pPr>
        <w:spacing w:after="120" w:line="240" w:lineRule="auto"/>
        <w:rPr>
          <w:rFonts w:ascii="Calibri" w:hAnsi="Calibri" w:cs="Times New Roman"/>
          <w:szCs w:val="24"/>
          <w:lang w:val="en-CA"/>
        </w:rPr>
      </w:pPr>
      <w:r w:rsidRPr="00F35190">
        <w:rPr>
          <w:rFonts w:ascii="Calibri" w:hAnsi="Calibri" w:cs="Times New Roman"/>
          <w:szCs w:val="24"/>
          <w:lang w:val="en-CA"/>
        </w:rPr>
        <w:t xml:space="preserve">The capability to link internal departmental information with solutions for delivering programs and services will enable greater government-wide collaboration when designing digital services, while respecting privacy requirements. It will also enable business process improvement within the government and across jurisdictions, leading to improved program and service delivery for citizens and businesses. </w:t>
      </w:r>
    </w:p>
    <w:p w14:paraId="496E8389" w14:textId="77777777" w:rsidR="00D858E6" w:rsidRPr="00514B63" w:rsidRDefault="00D858E6" w:rsidP="00CE18B4">
      <w:pPr>
        <w:spacing w:after="120" w:line="240" w:lineRule="auto"/>
        <w:rPr>
          <w:b/>
          <w:i/>
        </w:rPr>
      </w:pPr>
      <w:r w:rsidRPr="00514B63">
        <w:rPr>
          <w:b/>
          <w:i/>
        </w:rPr>
        <w:t>Australia</w:t>
      </w:r>
    </w:p>
    <w:p w14:paraId="2FB90B58" w14:textId="77777777" w:rsidR="00FA5147" w:rsidRPr="005760AD" w:rsidRDefault="00FA5147" w:rsidP="00001C97">
      <w:pPr>
        <w:pStyle w:val="Bullet"/>
        <w:numPr>
          <w:ilvl w:val="0"/>
          <w:numId w:val="0"/>
        </w:numPr>
        <w:tabs>
          <w:tab w:val="left" w:pos="720"/>
        </w:tabs>
        <w:spacing w:after="120" w:line="240" w:lineRule="auto"/>
        <w:rPr>
          <w:rFonts w:ascii="Calibri" w:hAnsi="Calibri" w:cs="Calibri"/>
          <w:u w:val="single"/>
        </w:rPr>
      </w:pPr>
      <w:r w:rsidRPr="005760AD">
        <w:rPr>
          <w:rFonts w:ascii="Calibri" w:hAnsi="Calibri" w:cs="Calibri"/>
          <w:u w:val="single"/>
        </w:rPr>
        <w:t>Data Transformation Strategy</w:t>
      </w:r>
    </w:p>
    <w:p w14:paraId="68F4EA03" w14:textId="77777777" w:rsidR="00FA5147" w:rsidRDefault="00FA5147" w:rsidP="00001C97">
      <w:pPr>
        <w:pStyle w:val="Bullet"/>
        <w:numPr>
          <w:ilvl w:val="0"/>
          <w:numId w:val="0"/>
        </w:numPr>
        <w:tabs>
          <w:tab w:val="left" w:pos="720"/>
        </w:tabs>
        <w:spacing w:after="120" w:line="240" w:lineRule="auto"/>
        <w:rPr>
          <w:rFonts w:ascii="Calibri" w:hAnsi="Calibri" w:cs="Calibri"/>
        </w:rPr>
      </w:pPr>
      <w:r w:rsidRPr="005760AD">
        <w:rPr>
          <w:rFonts w:ascii="Calibri" w:hAnsi="Calibri" w:cs="Calibri"/>
        </w:rPr>
        <w:t>Priority two of the Digital Transformation Strategy refers to how the Australian Government protects, secures and utilises data. It outlines the opportunities to create better services if data can be leveraged but it also reflects on the importance of trust and privacy.</w:t>
      </w:r>
      <w:r>
        <w:rPr>
          <w:rFonts w:ascii="Calibri" w:hAnsi="Calibri" w:cs="Calibri"/>
        </w:rPr>
        <w:t xml:space="preserve"> </w:t>
      </w:r>
    </w:p>
    <w:p w14:paraId="16C25407" w14:textId="77777777" w:rsidR="00FA5147" w:rsidRPr="00CE6CAA" w:rsidRDefault="00FA5147" w:rsidP="00CE18B4">
      <w:pPr>
        <w:spacing w:after="120" w:line="240" w:lineRule="auto"/>
        <w:rPr>
          <w:u w:val="single"/>
        </w:rPr>
      </w:pPr>
      <w:r>
        <w:rPr>
          <w:u w:val="single"/>
        </w:rPr>
        <w:t xml:space="preserve">A </w:t>
      </w:r>
      <w:r w:rsidR="00820277">
        <w:rPr>
          <w:u w:val="single"/>
        </w:rPr>
        <w:t xml:space="preserve">new </w:t>
      </w:r>
      <w:r w:rsidRPr="00CE6CAA">
        <w:rPr>
          <w:u w:val="single"/>
        </w:rPr>
        <w:t>National Data Commissioner</w:t>
      </w:r>
    </w:p>
    <w:p w14:paraId="381E4957" w14:textId="77777777" w:rsidR="00965FF0" w:rsidRPr="00CE18B4" w:rsidRDefault="00965FF0" w:rsidP="00965FF0">
      <w:pPr>
        <w:pStyle w:val="Bullet"/>
        <w:numPr>
          <w:ilvl w:val="0"/>
          <w:numId w:val="0"/>
        </w:numPr>
        <w:tabs>
          <w:tab w:val="left" w:pos="720"/>
        </w:tabs>
        <w:spacing w:after="120" w:line="240" w:lineRule="auto"/>
        <w:rPr>
          <w:rFonts w:ascii="Calibri" w:hAnsi="Calibri" w:cs="Calibri"/>
        </w:rPr>
      </w:pPr>
      <w:r w:rsidRPr="00CE18B4">
        <w:rPr>
          <w:rFonts w:ascii="Calibri" w:hAnsi="Calibri" w:cs="Calibri"/>
        </w:rPr>
        <w:t xml:space="preserve">The Australian Government tasked the Productivity Commission to undertake an extensive 12 month inquiry into data availability and use in Australia. While its </w:t>
      </w:r>
      <w:hyperlink r:id="rId27" w:anchor="report" w:history="1">
        <w:r w:rsidRPr="009D0504">
          <w:rPr>
            <w:rStyle w:val="Hyperlink"/>
            <w:rFonts w:ascii="Calibri" w:hAnsi="Calibri" w:cs="Calibri"/>
          </w:rPr>
          <w:t>report</w:t>
        </w:r>
      </w:hyperlink>
      <w:r w:rsidRPr="00CE18B4">
        <w:rPr>
          <w:rFonts w:ascii="Calibri" w:hAnsi="Calibri" w:cs="Calibri"/>
        </w:rPr>
        <w:t xml:space="preserve"> noted progress had been made, it also identified substantial barriers to data sharing and release in Australia, including:</w:t>
      </w:r>
    </w:p>
    <w:p w14:paraId="7CF05C4D"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 xml:space="preserve">a culture of risk aversion </w:t>
      </w:r>
    </w:p>
    <w:p w14:paraId="2C12040A"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 xml:space="preserve">a lack of a whole of government approach </w:t>
      </w:r>
    </w:p>
    <w:p w14:paraId="4A31B618"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inconsistent and complex legal frameworks to navigate</w:t>
      </w:r>
      <w:r w:rsidR="009A2D35" w:rsidRPr="00CE18B4">
        <w:rPr>
          <w:rFonts w:ascii="Calibri" w:hAnsi="Calibri" w:cs="Calibri"/>
        </w:rPr>
        <w:t>,</w:t>
      </w:r>
      <w:r w:rsidRPr="00CE18B4">
        <w:rPr>
          <w:rFonts w:ascii="Calibri" w:hAnsi="Calibri" w:cs="Calibri"/>
        </w:rPr>
        <w:t xml:space="preserve"> and</w:t>
      </w:r>
    </w:p>
    <w:p w14:paraId="702394FA"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 xml:space="preserve">barriers between states and territories. </w:t>
      </w:r>
    </w:p>
    <w:p w14:paraId="201727FE" w14:textId="77777777" w:rsidR="00965FF0" w:rsidRPr="00CE18B4" w:rsidRDefault="00965FF0" w:rsidP="00965FF0">
      <w:pPr>
        <w:pStyle w:val="Bullet"/>
        <w:numPr>
          <w:ilvl w:val="0"/>
          <w:numId w:val="0"/>
        </w:numPr>
        <w:tabs>
          <w:tab w:val="left" w:pos="720"/>
        </w:tabs>
        <w:spacing w:after="120" w:line="240" w:lineRule="auto"/>
        <w:rPr>
          <w:rFonts w:ascii="Calibri" w:hAnsi="Calibri" w:cs="Calibri"/>
        </w:rPr>
      </w:pPr>
      <w:r w:rsidRPr="00CE18B4">
        <w:rPr>
          <w:rFonts w:ascii="Calibri" w:hAnsi="Calibri" w:cs="Calibri"/>
        </w:rPr>
        <w:t>There are more than 500 existing data secrecy and confidentiality provisions across more than 175 different pieces of Australian Government legislation. The vast majority of these provisions prevent sharing of data, except in specific limited circumstances.</w:t>
      </w:r>
    </w:p>
    <w:p w14:paraId="336607C7" w14:textId="77777777" w:rsidR="00965FF0" w:rsidRPr="00CE18B4" w:rsidRDefault="00965FF0" w:rsidP="00965FF0">
      <w:pPr>
        <w:pStyle w:val="Bullet"/>
        <w:numPr>
          <w:ilvl w:val="0"/>
          <w:numId w:val="0"/>
        </w:numPr>
        <w:tabs>
          <w:tab w:val="left" w:pos="720"/>
        </w:tabs>
        <w:spacing w:after="120" w:line="240" w:lineRule="auto"/>
        <w:rPr>
          <w:rFonts w:ascii="Calibri" w:hAnsi="Calibri" w:cs="Calibri"/>
        </w:rPr>
      </w:pPr>
      <w:r w:rsidRPr="00CE18B4">
        <w:rPr>
          <w:rFonts w:ascii="Calibri" w:hAnsi="Calibri" w:cs="Calibri"/>
        </w:rPr>
        <w:t xml:space="preserve">On 1 May 2018, the Australian Government announced its </w:t>
      </w:r>
      <w:hyperlink r:id="rId28" w:history="1">
        <w:r w:rsidRPr="001C4A25">
          <w:rPr>
            <w:rStyle w:val="Hyperlink"/>
            <w:rFonts w:ascii="Calibri" w:hAnsi="Calibri" w:cs="Calibri"/>
          </w:rPr>
          <w:t>response</w:t>
        </w:r>
      </w:hyperlink>
      <w:r w:rsidRPr="00CE18B4">
        <w:rPr>
          <w:rFonts w:ascii="Calibri" w:hAnsi="Calibri" w:cs="Calibri"/>
        </w:rPr>
        <w:t xml:space="preserve"> to the Inquiry, including a </w:t>
      </w:r>
      <w:r w:rsidR="009A2D35" w:rsidRPr="00CE18B4">
        <w:rPr>
          <w:rFonts w:ascii="Calibri" w:hAnsi="Calibri" w:cs="Calibri"/>
        </w:rPr>
        <w:br/>
      </w:r>
      <w:r w:rsidR="00745089" w:rsidRPr="00CE18B4">
        <w:rPr>
          <w:rFonts w:ascii="Calibri" w:hAnsi="Calibri" w:cs="Calibri"/>
        </w:rPr>
        <w:t>A</w:t>
      </w:r>
      <w:r w:rsidRPr="00CE18B4">
        <w:rPr>
          <w:rFonts w:ascii="Calibri" w:hAnsi="Calibri" w:cs="Calibri"/>
        </w:rPr>
        <w:t>$65 million investment over four years to improve data access and use, and strengthen safeguards around the Australian data system. The package of reforms included:</w:t>
      </w:r>
    </w:p>
    <w:p w14:paraId="6C45223A"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 xml:space="preserve">Establishing a National Data Commissioner to implement and oversee a simpler, more efficient data sharing and release framework. </w:t>
      </w:r>
    </w:p>
    <w:p w14:paraId="333EE91B"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Introducing legislation to improve the sharing, use and reuse of public sector data while maintaining the strong security and privacy protections the community expects.</w:t>
      </w:r>
    </w:p>
    <w:p w14:paraId="0F818927"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A new National Data Advisory Council to advise the National Data Commissioner on ethical data use, technical best practice, and industry and international developments.</w:t>
      </w:r>
    </w:p>
    <w:p w14:paraId="7777568F" w14:textId="77777777" w:rsidR="00965FF0" w:rsidRPr="00CE18B4" w:rsidRDefault="00965FF0" w:rsidP="00CE18B4">
      <w:pPr>
        <w:pStyle w:val="Bullet"/>
        <w:numPr>
          <w:ilvl w:val="0"/>
          <w:numId w:val="14"/>
        </w:numPr>
        <w:tabs>
          <w:tab w:val="left" w:pos="720"/>
        </w:tabs>
        <w:spacing w:after="120" w:line="240" w:lineRule="auto"/>
        <w:ind w:left="714" w:hanging="357"/>
        <w:rPr>
          <w:rFonts w:ascii="Calibri" w:hAnsi="Calibri" w:cs="Calibri"/>
        </w:rPr>
      </w:pPr>
      <w:r w:rsidRPr="00CE18B4">
        <w:rPr>
          <w:rFonts w:ascii="Calibri" w:hAnsi="Calibri" w:cs="Calibri"/>
        </w:rPr>
        <w:t>Introducing a Consumer Data Right to allow consumers to share their transaction, usage and product data with service competitors and comparison services.</w:t>
      </w:r>
    </w:p>
    <w:p w14:paraId="3840B166" w14:textId="77777777" w:rsidR="00965FF0" w:rsidRPr="0013059A" w:rsidRDefault="00965FF0" w:rsidP="00965FF0">
      <w:pPr>
        <w:pStyle w:val="Bullet"/>
        <w:numPr>
          <w:ilvl w:val="0"/>
          <w:numId w:val="0"/>
        </w:numPr>
        <w:tabs>
          <w:tab w:val="left" w:pos="720"/>
        </w:tabs>
        <w:spacing w:after="120" w:line="240" w:lineRule="auto"/>
        <w:rPr>
          <w:rFonts w:ascii="Calibri" w:hAnsi="Calibri" w:cs="Calibri"/>
        </w:rPr>
      </w:pPr>
      <w:r w:rsidRPr="00CE18B4">
        <w:rPr>
          <w:rFonts w:ascii="Calibri" w:hAnsi="Calibri" w:cs="Calibri"/>
        </w:rPr>
        <w:t xml:space="preserve">As a package, these </w:t>
      </w:r>
      <w:r w:rsidRPr="0013059A">
        <w:rPr>
          <w:rFonts w:ascii="Calibri" w:hAnsi="Calibri" w:cs="Calibri"/>
        </w:rPr>
        <w:t>reforms are a substantial change to the way the Australian Government uses, manages</w:t>
      </w:r>
      <w:r w:rsidR="00F56DC4" w:rsidRPr="0013059A">
        <w:rPr>
          <w:rFonts w:ascii="Calibri" w:hAnsi="Calibri" w:cs="Calibri"/>
        </w:rPr>
        <w:t>,</w:t>
      </w:r>
      <w:r w:rsidRPr="0013059A">
        <w:rPr>
          <w:rFonts w:ascii="Calibri" w:hAnsi="Calibri" w:cs="Calibri"/>
        </w:rPr>
        <w:t xml:space="preserve"> and shares its data, and will ensure the Australian Government is fit-for-purpose in a 21st century digital economy. </w:t>
      </w:r>
    </w:p>
    <w:p w14:paraId="193CF65D" w14:textId="77777777" w:rsidR="00C3554C" w:rsidRPr="0013059A" w:rsidRDefault="00C3554C" w:rsidP="00421C2B">
      <w:pPr>
        <w:pStyle w:val="Bullet"/>
        <w:numPr>
          <w:ilvl w:val="0"/>
          <w:numId w:val="0"/>
        </w:numPr>
        <w:tabs>
          <w:tab w:val="left" w:pos="720"/>
        </w:tabs>
        <w:spacing w:after="120" w:line="240" w:lineRule="auto"/>
        <w:rPr>
          <w:rFonts w:ascii="Calibri" w:hAnsi="Calibri" w:cs="Calibri"/>
        </w:rPr>
      </w:pPr>
      <w:r w:rsidRPr="0013059A">
        <w:rPr>
          <w:rFonts w:ascii="Calibri" w:hAnsi="Calibri" w:cs="Calibri"/>
        </w:rPr>
        <w:t>The Office of the National Data Commissioner was established on 1 July 2018. An Interim National Data Commissioner, Ms Deborah Anton, was announced on 9 August 2018. The Office of the National Data Commissioner is working to develop data sharing and release legislation in close consultation with government agencies, privacy advocates and the public.</w:t>
      </w:r>
    </w:p>
    <w:p w14:paraId="24E25CDD" w14:textId="28ABE5F8" w:rsidR="00965FF0" w:rsidRPr="0013059A" w:rsidRDefault="00965FF0" w:rsidP="00965FF0">
      <w:pPr>
        <w:pStyle w:val="Bullet"/>
        <w:numPr>
          <w:ilvl w:val="0"/>
          <w:numId w:val="0"/>
        </w:numPr>
        <w:tabs>
          <w:tab w:val="left" w:pos="720"/>
        </w:tabs>
        <w:spacing w:after="120" w:line="240" w:lineRule="auto"/>
        <w:rPr>
          <w:rFonts w:ascii="Calibri" w:hAnsi="Calibri" w:cs="Calibri"/>
        </w:rPr>
      </w:pPr>
      <w:r w:rsidRPr="0013059A">
        <w:rPr>
          <w:rFonts w:ascii="Calibri" w:hAnsi="Calibri" w:cs="Calibri"/>
        </w:rPr>
        <w:t>Privacy and security continue to be an important issue for the Australian public. These reforms will allow the Australian Government to share more data more efficiently, strengthen safeguards, improve transparency and increase engagement with the public so that public trust is maintained. It will also protect citizens through better risk management and coordination of the data system.</w:t>
      </w:r>
    </w:p>
    <w:p w14:paraId="1B1156B7" w14:textId="3133EBE4" w:rsidR="00B5479B" w:rsidRPr="0013059A" w:rsidRDefault="005760AD" w:rsidP="00CE18B4">
      <w:pPr>
        <w:spacing w:after="120" w:line="240" w:lineRule="auto"/>
        <w:rPr>
          <w:u w:val="single"/>
        </w:rPr>
      </w:pPr>
      <w:r w:rsidRPr="0013059A">
        <w:rPr>
          <w:u w:val="single"/>
        </w:rPr>
        <w:t>Understanding</w:t>
      </w:r>
      <w:r w:rsidR="00B5479B" w:rsidRPr="0013059A">
        <w:rPr>
          <w:u w:val="single"/>
        </w:rPr>
        <w:t xml:space="preserve"> </w:t>
      </w:r>
      <w:r w:rsidR="00F91F89" w:rsidRPr="0013059A">
        <w:rPr>
          <w:u w:val="single"/>
        </w:rPr>
        <w:t xml:space="preserve">Employers’ </w:t>
      </w:r>
      <w:r w:rsidR="00B5479B" w:rsidRPr="0013059A">
        <w:rPr>
          <w:u w:val="single"/>
        </w:rPr>
        <w:t>Expectations</w:t>
      </w:r>
      <w:r w:rsidR="00F91F89" w:rsidRPr="0013059A">
        <w:rPr>
          <w:u w:val="single"/>
        </w:rPr>
        <w:t xml:space="preserve"> and Social Licence </w:t>
      </w:r>
      <w:r w:rsidR="00B5479B" w:rsidRPr="0013059A">
        <w:rPr>
          <w:u w:val="single"/>
        </w:rPr>
        <w:t xml:space="preserve">– </w:t>
      </w:r>
      <w:r w:rsidR="00F3192E" w:rsidRPr="0013059A">
        <w:rPr>
          <w:u w:val="single"/>
        </w:rPr>
        <w:t xml:space="preserve">Including </w:t>
      </w:r>
      <w:r w:rsidR="00B5479B" w:rsidRPr="0013059A">
        <w:rPr>
          <w:u w:val="single"/>
        </w:rPr>
        <w:t xml:space="preserve">The Single Touch Payroll Experience </w:t>
      </w:r>
    </w:p>
    <w:p w14:paraId="03386873" w14:textId="77777777" w:rsidR="00B5479B" w:rsidRPr="005760AD" w:rsidRDefault="00B5479B" w:rsidP="00CE18B4">
      <w:pPr>
        <w:pStyle w:val="Bullet"/>
        <w:numPr>
          <w:ilvl w:val="0"/>
          <w:numId w:val="0"/>
        </w:numPr>
        <w:spacing w:after="120" w:line="240" w:lineRule="auto"/>
      </w:pPr>
      <w:r w:rsidRPr="0013059A">
        <w:t>DHS has been working with several other government agencies to develop an approach</w:t>
      </w:r>
      <w:r w:rsidRPr="005760AD">
        <w:t xml:space="preserve"> to exchange and use payroll data from the Australian Taxation Office’s </w:t>
      </w:r>
      <w:r w:rsidR="00923B20">
        <w:t xml:space="preserve">(ATO’s) new </w:t>
      </w:r>
      <w:r w:rsidRPr="005760AD">
        <w:t xml:space="preserve">Single Touch Payroll (STP) Program, which commenced from 1 July 2018, for use beyond </w:t>
      </w:r>
      <w:r w:rsidRPr="00F56DC4">
        <w:t xml:space="preserve">taxation purposes. </w:t>
      </w:r>
      <w:r w:rsidR="00923B20" w:rsidRPr="00F56DC4">
        <w:t>Using payroll or accounting software that offers STP</w:t>
      </w:r>
      <w:r w:rsidR="00745089">
        <w:t xml:space="preserve"> functionality</w:t>
      </w:r>
      <w:r w:rsidR="00923B20" w:rsidRPr="00F56DC4">
        <w:t xml:space="preserve">, </w:t>
      </w:r>
      <w:r w:rsidR="00923B20" w:rsidRPr="002C3AEF">
        <w:t xml:space="preserve">employers send their employees’ taxation and </w:t>
      </w:r>
      <w:r w:rsidR="00923B20" w:rsidRPr="00F56DC4">
        <w:t>superannuation information to the ATO each time they run their payroll and pay their employees. STP started gradually on 1 July 2018 for employers with 20 or more employees. Employers with under 20 employees may choose to report via STP.</w:t>
      </w:r>
    </w:p>
    <w:p w14:paraId="260BBF92" w14:textId="77777777" w:rsidR="00B5479B" w:rsidRPr="005760AD" w:rsidRDefault="00B5479B" w:rsidP="00CE18B4">
      <w:pPr>
        <w:spacing w:after="120" w:line="240" w:lineRule="auto"/>
        <w:rPr>
          <w:rFonts w:ascii="Calibri" w:hAnsi="Calibri" w:cs="Calibri"/>
        </w:rPr>
      </w:pPr>
      <w:r w:rsidRPr="005760AD">
        <w:rPr>
          <w:rFonts w:cs="Calibri"/>
        </w:rPr>
        <w:t xml:space="preserve">STP is a significant step forward for Whole-of-Government data sharing, not only because of the number of Government agencies involved, but also because of the number of individuals who will be impacted (approximately 14 million working Australians). </w:t>
      </w:r>
      <w:r w:rsidRPr="005760AD">
        <w:rPr>
          <w:rFonts w:ascii="Calibri" w:hAnsi="Calibri" w:cs="Calibri"/>
        </w:rPr>
        <w:t>Almost certainly there will be legitimate community concerns expressed about privacy, social licence, the security of peoples information, as well as the impact of misapplication of this data.</w:t>
      </w:r>
    </w:p>
    <w:p w14:paraId="2BC11BEF" w14:textId="77777777" w:rsidR="00B5479B" w:rsidRPr="005760AD" w:rsidRDefault="00B5479B" w:rsidP="00CE18B4">
      <w:pPr>
        <w:spacing w:after="120" w:line="240" w:lineRule="auto"/>
        <w:rPr>
          <w:rFonts w:cs="Calibri"/>
        </w:rPr>
      </w:pPr>
      <w:r w:rsidRPr="005760AD">
        <w:rPr>
          <w:rFonts w:ascii="Calibri" w:hAnsi="Calibri" w:cs="Calibri"/>
        </w:rPr>
        <w:t xml:space="preserve">To support STP, a pilot with a major Australian employer was undertaken to explore the concept of near real-time exchange of payroll data with the Australian Government for social security purposes. Findings from the pilot showed that while a vast number of customers contacted to participate in the pilot were happy to share their data, a small percentage (~5 per cent) opted out due to concerns about privacy or loss of control about how their data was to be applied. </w:t>
      </w:r>
      <w:r w:rsidRPr="005760AD">
        <w:rPr>
          <w:rFonts w:cs="Calibri"/>
        </w:rPr>
        <w:t>Further customer research has shown that, overall, people support the sharing and use of their data if it makes their experience better, as long as there is:</w:t>
      </w:r>
    </w:p>
    <w:p w14:paraId="2A596CC7" w14:textId="77777777" w:rsidR="00B5479B" w:rsidRPr="005760AD" w:rsidRDefault="00B5479B" w:rsidP="00CE18B4">
      <w:pPr>
        <w:pStyle w:val="ListParagraph"/>
        <w:numPr>
          <w:ilvl w:val="0"/>
          <w:numId w:val="15"/>
        </w:numPr>
        <w:spacing w:after="120"/>
        <w:ind w:left="714" w:hanging="357"/>
        <w:rPr>
          <w:rFonts w:cs="Calibri"/>
        </w:rPr>
      </w:pPr>
      <w:r w:rsidRPr="005760AD">
        <w:rPr>
          <w:rFonts w:cs="Calibri"/>
          <w:b/>
        </w:rPr>
        <w:t>transparency</w:t>
      </w:r>
      <w:r w:rsidRPr="005760AD">
        <w:rPr>
          <w:rFonts w:cs="Calibri"/>
        </w:rPr>
        <w:t xml:space="preserve"> about who their data is being shared with and why</w:t>
      </w:r>
    </w:p>
    <w:p w14:paraId="43AED6AC" w14:textId="77777777" w:rsidR="00B5479B" w:rsidRPr="005760AD" w:rsidRDefault="00B5479B" w:rsidP="00CE18B4">
      <w:pPr>
        <w:pStyle w:val="ListParagraph"/>
        <w:numPr>
          <w:ilvl w:val="0"/>
          <w:numId w:val="15"/>
        </w:numPr>
        <w:spacing w:after="120"/>
        <w:ind w:left="714" w:hanging="357"/>
        <w:rPr>
          <w:rFonts w:cs="Calibri"/>
        </w:rPr>
      </w:pPr>
      <w:r w:rsidRPr="005760AD">
        <w:rPr>
          <w:rFonts w:cs="Calibri"/>
        </w:rPr>
        <w:t xml:space="preserve">an avenue to </w:t>
      </w:r>
      <w:r w:rsidRPr="005760AD">
        <w:rPr>
          <w:rFonts w:cs="Calibri"/>
          <w:b/>
        </w:rPr>
        <w:t>correct</w:t>
      </w:r>
      <w:r w:rsidRPr="005760AD">
        <w:rPr>
          <w:rFonts w:cs="Calibri"/>
        </w:rPr>
        <w:t xml:space="preserve"> the data if it is wrong, and</w:t>
      </w:r>
    </w:p>
    <w:p w14:paraId="256E7029" w14:textId="77777777" w:rsidR="00D13CF7" w:rsidRPr="00001C97" w:rsidRDefault="00B5479B" w:rsidP="00CE18B4">
      <w:pPr>
        <w:pStyle w:val="ListParagraph"/>
        <w:numPr>
          <w:ilvl w:val="0"/>
          <w:numId w:val="15"/>
        </w:numPr>
        <w:spacing w:after="120"/>
        <w:ind w:left="714" w:hanging="357"/>
        <w:rPr>
          <w:rFonts w:cs="Calibri"/>
        </w:rPr>
      </w:pPr>
      <w:r w:rsidRPr="005760AD">
        <w:rPr>
          <w:rFonts w:cs="Calibri"/>
        </w:rPr>
        <w:t xml:space="preserve">adequate measures to protect the data. </w:t>
      </w:r>
    </w:p>
    <w:p w14:paraId="18D1890C" w14:textId="77777777" w:rsidR="00B5479B" w:rsidRPr="005760AD" w:rsidRDefault="00B5479B" w:rsidP="00CE18B4">
      <w:pPr>
        <w:spacing w:after="120" w:line="240" w:lineRule="auto"/>
        <w:rPr>
          <w:rFonts w:ascii="Calibri" w:hAnsi="Calibri" w:cs="Calibri"/>
        </w:rPr>
      </w:pPr>
      <w:r w:rsidRPr="005760AD">
        <w:rPr>
          <w:rFonts w:ascii="Calibri" w:hAnsi="Calibri" w:cs="Calibri"/>
        </w:rPr>
        <w:t>The Australian Government is working towards ensuring it has a strong social licence for its emerging data-related activities.</w:t>
      </w:r>
    </w:p>
    <w:p w14:paraId="39835505" w14:textId="2FED48B2" w:rsidR="00B5479B" w:rsidRPr="005760AD" w:rsidRDefault="00B5479B" w:rsidP="00CE18B4">
      <w:pPr>
        <w:spacing w:after="120" w:line="240" w:lineRule="auto"/>
        <w:rPr>
          <w:rFonts w:ascii="Calibri" w:hAnsi="Calibri" w:cs="Calibri"/>
          <w:i/>
        </w:rPr>
      </w:pPr>
      <w:r w:rsidRPr="005760AD">
        <w:rPr>
          <w:rFonts w:ascii="Calibri" w:hAnsi="Calibri" w:cs="Calibri"/>
        </w:rPr>
        <w:t xml:space="preserve">In its submission to the Productivity Commission, the Office of the Australian Information Commissioner noted that, </w:t>
      </w:r>
      <w:r w:rsidRPr="005760AD">
        <w:rPr>
          <w:rFonts w:ascii="Calibri" w:hAnsi="Calibri" w:cs="Calibri"/>
          <w:i/>
        </w:rPr>
        <w:t>“Building the social licence for new data-related activities will require well-thought out data governance measures. Such measures will give individuals confidence about how their information will be managed, and give clear guidance to data custodians about how they should handle personal information. Privacy law, underpinned as it is by principles of transparency and accountability, will continue to be an essential component of any successful data governance framework” (Data Availability and Use — submission to Productivity Commission Draft Report| Office of the Australian Information Commissioner – OAIC December 2016).</w:t>
      </w:r>
    </w:p>
    <w:p w14:paraId="1C26DE23" w14:textId="77777777" w:rsidR="00D91FA6" w:rsidRPr="00400AFB" w:rsidRDefault="00D91FA6" w:rsidP="00D91FA6">
      <w:pPr>
        <w:spacing w:after="120" w:line="240" w:lineRule="auto"/>
        <w:rPr>
          <w:rFonts w:ascii="Calibri" w:hAnsi="Calibri" w:cs="Calibri"/>
        </w:rPr>
      </w:pPr>
      <w:r>
        <w:rPr>
          <w:rFonts w:ascii="Calibri" w:hAnsi="Calibri" w:cs="Calibri"/>
        </w:rPr>
        <w:t xml:space="preserve">To support the development of this social licence, </w:t>
      </w:r>
      <w:r w:rsidRPr="00A846EF">
        <w:rPr>
          <w:rFonts w:ascii="Calibri" w:hAnsi="Calibri" w:cs="Calibri"/>
        </w:rPr>
        <w:t>DHS has developed an Ethics Framework. The Ethics Framework is a roadmap for incorporating ethical assessments as part of project/data related activities, to help ensure that service offerings are ethical. As the Australian Government continues to explore the many potential benefits associated with data</w:t>
      </w:r>
      <w:r>
        <w:rPr>
          <w:rFonts w:ascii="Calibri" w:hAnsi="Calibri" w:cs="Calibri"/>
        </w:rPr>
        <w:t>,</w:t>
      </w:r>
      <w:r w:rsidRPr="00A846EF">
        <w:rPr>
          <w:rFonts w:ascii="Calibri" w:hAnsi="Calibri" w:cs="Calibri"/>
        </w:rPr>
        <w:t xml:space="preserve"> it is essential that the collection and use of </w:t>
      </w:r>
      <w:r w:rsidRPr="00B43901">
        <w:rPr>
          <w:rFonts w:ascii="Calibri" w:hAnsi="Calibri" w:cs="Calibri"/>
        </w:rPr>
        <w:t xml:space="preserve">individuals’ data is not only legal and in line with applicable privacy and data protection guidelines, but it is also ethical. </w:t>
      </w:r>
    </w:p>
    <w:p w14:paraId="42C47BFF" w14:textId="032ED97D" w:rsidR="00AD3447" w:rsidRDefault="00B5479B" w:rsidP="00CE18B4">
      <w:pPr>
        <w:spacing w:after="120" w:line="240" w:lineRule="auto"/>
        <w:rPr>
          <w:rFonts w:ascii="Calibri" w:hAnsi="Calibri" w:cs="Calibri"/>
        </w:rPr>
      </w:pPr>
      <w:r w:rsidRPr="00A846EF">
        <w:rPr>
          <w:rFonts w:ascii="Calibri" w:hAnsi="Calibri" w:cs="Calibri"/>
        </w:rPr>
        <w:t>To support the development of social licence</w:t>
      </w:r>
      <w:r w:rsidR="00B43901">
        <w:rPr>
          <w:rFonts w:ascii="Calibri" w:hAnsi="Calibri" w:cs="Calibri"/>
        </w:rPr>
        <w:t xml:space="preserve"> across the Australian Government</w:t>
      </w:r>
      <w:r w:rsidRPr="00A846EF">
        <w:rPr>
          <w:rFonts w:ascii="Calibri" w:hAnsi="Calibri" w:cs="Calibri"/>
        </w:rPr>
        <w:t xml:space="preserve">, </w:t>
      </w:r>
      <w:r w:rsidR="001C5FB0" w:rsidRPr="00A846EF">
        <w:rPr>
          <w:rFonts w:ascii="Calibri" w:hAnsi="Calibri" w:cs="Calibri"/>
        </w:rPr>
        <w:t>the Commonwealth Scientific and Industrial Research Organisation (CSIRO)</w:t>
      </w:r>
      <w:r w:rsidR="00A846EF">
        <w:rPr>
          <w:rFonts w:ascii="Calibri" w:hAnsi="Calibri" w:cs="Calibri"/>
        </w:rPr>
        <w:t>,</w:t>
      </w:r>
      <w:r w:rsidR="001C5FB0" w:rsidRPr="00A846EF">
        <w:rPr>
          <w:rFonts w:ascii="Calibri" w:hAnsi="Calibri" w:cs="Calibri"/>
        </w:rPr>
        <w:t xml:space="preserve"> in partnership with the Department of Innovation, Industry and Science</w:t>
      </w:r>
      <w:r w:rsidR="00A846EF">
        <w:rPr>
          <w:rFonts w:ascii="Calibri" w:hAnsi="Calibri" w:cs="Calibri"/>
        </w:rPr>
        <w:t>,</w:t>
      </w:r>
      <w:r w:rsidR="001C5FB0" w:rsidRPr="00A846EF">
        <w:rPr>
          <w:rFonts w:ascii="Calibri" w:hAnsi="Calibri" w:cs="Calibri"/>
        </w:rPr>
        <w:t xml:space="preserve"> </w:t>
      </w:r>
      <w:r w:rsidR="00772D62">
        <w:rPr>
          <w:rFonts w:ascii="Calibri" w:hAnsi="Calibri" w:cs="Calibri"/>
        </w:rPr>
        <w:t>is</w:t>
      </w:r>
      <w:r w:rsidR="001C5FB0" w:rsidRPr="00A846EF">
        <w:rPr>
          <w:rFonts w:ascii="Calibri" w:hAnsi="Calibri" w:cs="Calibri"/>
        </w:rPr>
        <w:t xml:space="preserve"> developing </w:t>
      </w:r>
      <w:r w:rsidR="00A846EF">
        <w:rPr>
          <w:rFonts w:ascii="Calibri" w:hAnsi="Calibri" w:cs="Calibri"/>
        </w:rPr>
        <w:t>an</w:t>
      </w:r>
      <w:r w:rsidR="001C5FB0" w:rsidRPr="00A846EF">
        <w:rPr>
          <w:rFonts w:ascii="Calibri" w:hAnsi="Calibri" w:cs="Calibri"/>
        </w:rPr>
        <w:t xml:space="preserve"> Artificial Intelligence Roadmap and Ethics Framework</w:t>
      </w:r>
      <w:r w:rsidR="00B43901">
        <w:rPr>
          <w:rFonts w:ascii="Calibri" w:hAnsi="Calibri" w:cs="Calibri"/>
        </w:rPr>
        <w:t xml:space="preserve"> (the Roadmap and Framework)</w:t>
      </w:r>
      <w:r w:rsidR="00AD3447">
        <w:rPr>
          <w:rFonts w:ascii="Calibri" w:hAnsi="Calibri" w:cs="Calibri"/>
        </w:rPr>
        <w:t xml:space="preserve"> which w</w:t>
      </w:r>
      <w:r w:rsidR="001C5FB0" w:rsidRPr="00B43901">
        <w:rPr>
          <w:rFonts w:ascii="Calibri" w:hAnsi="Calibri" w:cs="Calibri"/>
        </w:rPr>
        <w:t>ill be released in early 2019</w:t>
      </w:r>
      <w:r w:rsidR="00AD3447">
        <w:rPr>
          <w:rFonts w:ascii="Calibri" w:hAnsi="Calibri" w:cs="Calibri"/>
        </w:rPr>
        <w:t>. The Roadmap and Framework</w:t>
      </w:r>
      <w:r w:rsidR="001C5FB0" w:rsidRPr="00B43901">
        <w:rPr>
          <w:rFonts w:ascii="Calibri" w:hAnsi="Calibri" w:cs="Calibri"/>
        </w:rPr>
        <w:t xml:space="preserve"> </w:t>
      </w:r>
      <w:r w:rsidR="00A846EF">
        <w:rPr>
          <w:rFonts w:ascii="Calibri" w:hAnsi="Calibri" w:cs="Calibri"/>
        </w:rPr>
        <w:t xml:space="preserve">will </w:t>
      </w:r>
      <w:r w:rsidR="00095356">
        <w:rPr>
          <w:rFonts w:ascii="Calibri" w:hAnsi="Calibri" w:cs="Calibri"/>
        </w:rPr>
        <w:t xml:space="preserve">list </w:t>
      </w:r>
      <w:r w:rsidR="00AD3447">
        <w:rPr>
          <w:rFonts w:ascii="Calibri" w:hAnsi="Calibri" w:cs="Calibri"/>
        </w:rPr>
        <w:t xml:space="preserve">future government and non-government </w:t>
      </w:r>
      <w:r w:rsidR="001C5FB0" w:rsidRPr="00A846EF">
        <w:rPr>
          <w:rFonts w:ascii="Calibri" w:hAnsi="Calibri" w:cs="Calibri"/>
        </w:rPr>
        <w:t xml:space="preserve">technology initiatives </w:t>
      </w:r>
      <w:r w:rsidR="00AD3447">
        <w:rPr>
          <w:rFonts w:ascii="Calibri" w:hAnsi="Calibri" w:cs="Calibri"/>
        </w:rPr>
        <w:t xml:space="preserve">that will </w:t>
      </w:r>
      <w:r w:rsidR="001C5FB0" w:rsidRPr="00A846EF">
        <w:rPr>
          <w:rFonts w:ascii="Calibri" w:hAnsi="Calibri" w:cs="Calibri"/>
        </w:rPr>
        <w:t xml:space="preserve">support the growth of AI and </w:t>
      </w:r>
      <w:r w:rsidR="00AD3447">
        <w:rPr>
          <w:rFonts w:ascii="Calibri" w:hAnsi="Calibri" w:cs="Calibri"/>
        </w:rPr>
        <w:t xml:space="preserve">will provide voluntary guidelines to help government and non-government organisations </w:t>
      </w:r>
      <w:r w:rsidR="008C75EF" w:rsidRPr="00B43901">
        <w:rPr>
          <w:rFonts w:ascii="Calibri" w:hAnsi="Calibri" w:cs="Calibri"/>
        </w:rPr>
        <w:t xml:space="preserve">ensure </w:t>
      </w:r>
      <w:r w:rsidR="00AD3447">
        <w:rPr>
          <w:rFonts w:ascii="Calibri" w:hAnsi="Calibri" w:cs="Calibri"/>
        </w:rPr>
        <w:t xml:space="preserve">AI initiatives build in adequate </w:t>
      </w:r>
      <w:r w:rsidR="008C75EF" w:rsidRPr="00B43901">
        <w:rPr>
          <w:rFonts w:ascii="Calibri" w:hAnsi="Calibri" w:cs="Calibri"/>
        </w:rPr>
        <w:t>protection</w:t>
      </w:r>
      <w:r w:rsidR="00AD3447">
        <w:rPr>
          <w:rFonts w:ascii="Calibri" w:hAnsi="Calibri" w:cs="Calibri"/>
        </w:rPr>
        <w:t>s</w:t>
      </w:r>
      <w:r w:rsidR="008C75EF" w:rsidRPr="00B43901">
        <w:rPr>
          <w:rFonts w:ascii="Calibri" w:hAnsi="Calibri" w:cs="Calibri"/>
        </w:rPr>
        <w:t>, fairness, transparency, contestability, ac</w:t>
      </w:r>
      <w:r w:rsidR="008C75EF" w:rsidRPr="00421C2B">
        <w:rPr>
          <w:rFonts w:ascii="Calibri" w:hAnsi="Calibri" w:cs="Calibri"/>
        </w:rPr>
        <w:t>countability and other factor</w:t>
      </w:r>
      <w:r w:rsidR="00A846EF">
        <w:rPr>
          <w:rFonts w:ascii="Calibri" w:hAnsi="Calibri" w:cs="Calibri"/>
        </w:rPr>
        <w:t xml:space="preserve">s necessary </w:t>
      </w:r>
      <w:r w:rsidR="00AD3447">
        <w:rPr>
          <w:rFonts w:ascii="Calibri" w:hAnsi="Calibri" w:cs="Calibri"/>
        </w:rPr>
        <w:t xml:space="preserve">to achieve </w:t>
      </w:r>
      <w:r w:rsidR="00A846EF">
        <w:rPr>
          <w:rFonts w:ascii="Calibri" w:hAnsi="Calibri" w:cs="Calibri"/>
        </w:rPr>
        <w:t>social licence</w:t>
      </w:r>
      <w:r w:rsidR="008C75EF" w:rsidRPr="00421C2B">
        <w:rPr>
          <w:rFonts w:ascii="Calibri" w:hAnsi="Calibri" w:cs="Calibri"/>
        </w:rPr>
        <w:t>.</w:t>
      </w:r>
      <w:r w:rsidR="00B43901">
        <w:rPr>
          <w:rFonts w:ascii="Calibri" w:hAnsi="Calibri" w:cs="Calibri"/>
        </w:rPr>
        <w:t xml:space="preserve">  </w:t>
      </w:r>
    </w:p>
    <w:p w14:paraId="7CCAEF47" w14:textId="22E58BD5" w:rsidR="00965FF0" w:rsidRPr="00CE18B4" w:rsidRDefault="00965FF0" w:rsidP="00421C2B">
      <w:pPr>
        <w:spacing w:after="120" w:line="240" w:lineRule="auto"/>
        <w:rPr>
          <w:rFonts w:ascii="Calibri" w:hAnsi="Calibri" w:cs="Calibri"/>
        </w:rPr>
      </w:pPr>
      <w:r w:rsidRPr="00400AFB">
        <w:rPr>
          <w:rFonts w:ascii="Calibri" w:hAnsi="Calibri" w:cs="Calibri"/>
        </w:rPr>
        <w:t>The Office</w:t>
      </w:r>
      <w:r w:rsidRPr="00A846EF">
        <w:rPr>
          <w:rFonts w:ascii="Calibri" w:hAnsi="Calibri" w:cs="Calibri"/>
        </w:rPr>
        <w:t xml:space="preserve"> </w:t>
      </w:r>
      <w:r w:rsidR="00D91FA6" w:rsidRPr="005760AD">
        <w:rPr>
          <w:rFonts w:ascii="Calibri" w:hAnsi="Calibri" w:cs="Calibri"/>
        </w:rPr>
        <w:t xml:space="preserve">of the Australian Information </w:t>
      </w:r>
      <w:r w:rsidRPr="00A846EF">
        <w:rPr>
          <w:rFonts w:ascii="Calibri" w:hAnsi="Calibri" w:cs="Calibri"/>
        </w:rPr>
        <w:t>will develop a suite of guidance materials to support best practice across the national data system. It is also consulting widely on the Data Sharing and Release legislation in development, to ensure the proposed actions possible under the legislation aligns with community expectations and norms while facilitating the greatest data sharing for innovation and policy development across the Australian Government.</w:t>
      </w:r>
    </w:p>
    <w:p w14:paraId="104A6FA8" w14:textId="77777777" w:rsidR="00965FF0" w:rsidRPr="00CE18B4" w:rsidRDefault="00965FF0" w:rsidP="00965FF0">
      <w:pPr>
        <w:pStyle w:val="Bullet"/>
        <w:numPr>
          <w:ilvl w:val="0"/>
          <w:numId w:val="0"/>
        </w:numPr>
        <w:tabs>
          <w:tab w:val="left" w:pos="720"/>
        </w:tabs>
        <w:spacing w:after="120" w:line="240" w:lineRule="auto"/>
        <w:rPr>
          <w:rFonts w:cs="Calibri"/>
          <w:u w:val="single"/>
        </w:rPr>
      </w:pPr>
      <w:r w:rsidRPr="00CE18B4">
        <w:rPr>
          <w:rFonts w:cs="Calibri"/>
          <w:u w:val="single"/>
        </w:rPr>
        <w:t xml:space="preserve">Understanding Citizens’ Expectations and Experiences – Citizen Experience Survey </w:t>
      </w:r>
    </w:p>
    <w:p w14:paraId="12AA330F" w14:textId="77777777" w:rsidR="00965FF0" w:rsidRPr="00CE18B4" w:rsidRDefault="00965FF0" w:rsidP="00965FF0">
      <w:pPr>
        <w:pStyle w:val="Bullet"/>
        <w:numPr>
          <w:ilvl w:val="0"/>
          <w:numId w:val="0"/>
        </w:numPr>
        <w:tabs>
          <w:tab w:val="left" w:pos="720"/>
        </w:tabs>
        <w:spacing w:after="120" w:line="240" w:lineRule="auto"/>
        <w:rPr>
          <w:rFonts w:cs="Calibri"/>
        </w:rPr>
      </w:pPr>
      <w:r w:rsidRPr="00CE18B4">
        <w:rPr>
          <w:rFonts w:cs="Calibri"/>
        </w:rPr>
        <w:t xml:space="preserve">At the opening of Innovation Month in July 2018, the Secretary of the Department of the Prime Minister and Cabinet, Dr Martin Parkinson AC PSM, announced the development of a regular, national Citizen Experience Survey that measures satisfaction, trust and experiences of the APS. </w:t>
      </w:r>
    </w:p>
    <w:p w14:paraId="267594AD" w14:textId="77777777" w:rsidR="00965FF0" w:rsidRPr="00CE18B4" w:rsidRDefault="00965FF0" w:rsidP="00965FF0">
      <w:pPr>
        <w:pStyle w:val="Bullet"/>
        <w:numPr>
          <w:ilvl w:val="0"/>
          <w:numId w:val="0"/>
        </w:numPr>
        <w:tabs>
          <w:tab w:val="left" w:pos="720"/>
        </w:tabs>
        <w:spacing w:after="120" w:line="240" w:lineRule="auto"/>
        <w:rPr>
          <w:rFonts w:cs="Calibri"/>
        </w:rPr>
      </w:pPr>
      <w:r w:rsidRPr="00CE18B4">
        <w:rPr>
          <w:rFonts w:cs="Calibri"/>
        </w:rPr>
        <w:t>The survey fills an important gap in understanding of the public’s overall experiences and perceptions of the diverse range of Australian Government services. The survey also aligns with the mechanisms many APS agencies currently undertake to understand user satisfaction in their services.</w:t>
      </w:r>
    </w:p>
    <w:p w14:paraId="07D57C9B" w14:textId="77777777" w:rsidR="00965FF0" w:rsidRDefault="00965FF0" w:rsidP="00965FF0">
      <w:pPr>
        <w:pStyle w:val="Bullet"/>
        <w:numPr>
          <w:ilvl w:val="0"/>
          <w:numId w:val="0"/>
        </w:numPr>
        <w:tabs>
          <w:tab w:val="left" w:pos="720"/>
        </w:tabs>
        <w:spacing w:after="120" w:line="240" w:lineRule="auto"/>
        <w:rPr>
          <w:rFonts w:cs="Calibri"/>
        </w:rPr>
      </w:pPr>
      <w:r w:rsidRPr="00CE18B4">
        <w:rPr>
          <w:rFonts w:cs="Calibri"/>
        </w:rPr>
        <w:t>Understanding how the public navigates multiple services is a key goal of the survey, which will inform how coordination across APS services can be improved. Measuring public satisfaction and trust will also enable APS services to be more responsive and track improvements, as well as contribute to a more citizen-centered APS culture.</w:t>
      </w:r>
    </w:p>
    <w:p w14:paraId="2419EBED" w14:textId="77777777" w:rsidR="00F91F89" w:rsidRPr="004553A3" w:rsidRDefault="00F91F89" w:rsidP="00001C97">
      <w:pPr>
        <w:pStyle w:val="Bullet"/>
        <w:numPr>
          <w:ilvl w:val="0"/>
          <w:numId w:val="0"/>
        </w:numPr>
        <w:tabs>
          <w:tab w:val="left" w:pos="720"/>
        </w:tabs>
        <w:spacing w:after="120" w:line="240" w:lineRule="auto"/>
        <w:rPr>
          <w:rFonts w:ascii="Calibri" w:hAnsi="Calibri" w:cs="Calibri"/>
          <w:u w:val="single"/>
        </w:rPr>
      </w:pPr>
      <w:r w:rsidRPr="004553A3">
        <w:rPr>
          <w:rFonts w:ascii="Calibri" w:hAnsi="Calibri" w:cs="Calibri"/>
          <w:u w:val="single"/>
        </w:rPr>
        <w:t>Cyber Security</w:t>
      </w:r>
    </w:p>
    <w:p w14:paraId="117C9D9F" w14:textId="77777777" w:rsidR="00F91F89" w:rsidRPr="0013059A" w:rsidRDefault="00F91F89" w:rsidP="00001C97">
      <w:pPr>
        <w:pStyle w:val="Bullet"/>
        <w:numPr>
          <w:ilvl w:val="0"/>
          <w:numId w:val="0"/>
        </w:numPr>
        <w:tabs>
          <w:tab w:val="left" w:pos="720"/>
        </w:tabs>
        <w:spacing w:after="120" w:line="240" w:lineRule="auto"/>
        <w:rPr>
          <w:rFonts w:cstheme="minorHAnsi"/>
        </w:rPr>
      </w:pPr>
      <w:r w:rsidRPr="004553A3">
        <w:rPr>
          <w:rFonts w:ascii="Calibri" w:hAnsi="Calibri" w:cs="Calibri"/>
        </w:rPr>
        <w:t xml:space="preserve">In December 2017, the Australian Government established the Department of Home Affairs. While having a strong focus on National security and law enforcement functions, it has also been given responsibilities in regards to </w:t>
      </w:r>
      <w:r w:rsidR="006B0FAD">
        <w:rPr>
          <w:rFonts w:ascii="Calibri" w:hAnsi="Calibri" w:cs="Calibri"/>
        </w:rPr>
        <w:t>c</w:t>
      </w:r>
      <w:r w:rsidRPr="004553A3">
        <w:rPr>
          <w:rFonts w:ascii="Calibri" w:hAnsi="Calibri" w:cs="Calibri"/>
        </w:rPr>
        <w:t xml:space="preserve">yber </w:t>
      </w:r>
      <w:r w:rsidR="006B0FAD">
        <w:rPr>
          <w:rFonts w:ascii="Calibri" w:hAnsi="Calibri" w:cs="Calibri"/>
        </w:rPr>
        <w:t>s</w:t>
      </w:r>
      <w:r w:rsidRPr="004553A3">
        <w:rPr>
          <w:rFonts w:ascii="Calibri" w:hAnsi="Calibri" w:cs="Calibri"/>
        </w:rPr>
        <w:t xml:space="preserve">ecurity. </w:t>
      </w:r>
      <w:r w:rsidRPr="004553A3">
        <w:rPr>
          <w:rFonts w:cstheme="minorHAnsi"/>
        </w:rPr>
        <w:t xml:space="preserve">This includes leading the development of cyber security policy for the Australian Government, including the implementation of the Government's Cyber Security Strategy and Action Plan, and the Cyber Resilience Taskforce. In addition, Home Affairs also provides operational support to other departments during </w:t>
      </w:r>
      <w:r w:rsidR="006B0FAD">
        <w:rPr>
          <w:rFonts w:cstheme="minorHAnsi"/>
        </w:rPr>
        <w:t>c</w:t>
      </w:r>
      <w:r w:rsidRPr="004553A3">
        <w:rPr>
          <w:rFonts w:cstheme="minorHAnsi"/>
        </w:rPr>
        <w:t xml:space="preserve">yber </w:t>
      </w:r>
      <w:r w:rsidRPr="0013059A">
        <w:rPr>
          <w:rFonts w:cstheme="minorHAnsi"/>
        </w:rPr>
        <w:t>events in order to close issues quickly, cross</w:t>
      </w:r>
      <w:r w:rsidR="006B0FAD" w:rsidRPr="0013059A">
        <w:rPr>
          <w:rFonts w:cstheme="minorHAnsi"/>
        </w:rPr>
        <w:t xml:space="preserve">-pollinate </w:t>
      </w:r>
      <w:r w:rsidRPr="0013059A">
        <w:rPr>
          <w:rFonts w:cstheme="minorHAnsi"/>
        </w:rPr>
        <w:t>agency experience</w:t>
      </w:r>
      <w:r w:rsidR="00182177" w:rsidRPr="0013059A">
        <w:rPr>
          <w:rFonts w:cstheme="minorHAnsi"/>
        </w:rPr>
        <w:t>,</w:t>
      </w:r>
      <w:r w:rsidRPr="0013059A">
        <w:rPr>
          <w:rFonts w:cstheme="minorHAnsi"/>
        </w:rPr>
        <w:t xml:space="preserve"> and ensure legal requirements are met.</w:t>
      </w:r>
    </w:p>
    <w:p w14:paraId="74B78AEA" w14:textId="4162F8A7" w:rsidR="00F91F89" w:rsidRPr="0013059A" w:rsidRDefault="00F91F89" w:rsidP="00001C97">
      <w:pPr>
        <w:pStyle w:val="Bullet"/>
        <w:numPr>
          <w:ilvl w:val="0"/>
          <w:numId w:val="0"/>
        </w:numPr>
        <w:tabs>
          <w:tab w:val="left" w:pos="720"/>
        </w:tabs>
        <w:spacing w:after="120" w:line="240" w:lineRule="auto"/>
        <w:rPr>
          <w:rFonts w:cstheme="minorHAnsi"/>
        </w:rPr>
      </w:pPr>
      <w:r w:rsidRPr="0013059A">
        <w:rPr>
          <w:rFonts w:cstheme="minorHAnsi"/>
        </w:rPr>
        <w:t xml:space="preserve">While the </w:t>
      </w:r>
      <w:r w:rsidR="00F56DC4" w:rsidRPr="0013059A">
        <w:rPr>
          <w:rFonts w:cstheme="minorHAnsi"/>
        </w:rPr>
        <w:t>Australian G</w:t>
      </w:r>
      <w:r w:rsidRPr="0013059A">
        <w:rPr>
          <w:rFonts w:cstheme="minorHAnsi"/>
        </w:rPr>
        <w:t>overnment has a ‘</w:t>
      </w:r>
      <w:hyperlink r:id="rId29" w:history="1">
        <w:r w:rsidRPr="0013059A">
          <w:rPr>
            <w:rStyle w:val="Hyperlink"/>
            <w:rFonts w:cstheme="minorHAnsi"/>
          </w:rPr>
          <w:t>Cloud First’</w:t>
        </w:r>
      </w:hyperlink>
      <w:r w:rsidRPr="0013059A">
        <w:rPr>
          <w:rFonts w:cstheme="minorHAnsi"/>
        </w:rPr>
        <w:t xml:space="preserve"> policy, this has been implemented with a strong focus on </w:t>
      </w:r>
      <w:r w:rsidR="006B0FAD" w:rsidRPr="0013059A">
        <w:rPr>
          <w:rFonts w:cstheme="minorHAnsi"/>
        </w:rPr>
        <w:t>c</w:t>
      </w:r>
      <w:r w:rsidRPr="0013059A">
        <w:rPr>
          <w:rFonts w:cstheme="minorHAnsi"/>
        </w:rPr>
        <w:t xml:space="preserve">yber </w:t>
      </w:r>
      <w:r w:rsidR="006B0FAD" w:rsidRPr="0013059A">
        <w:rPr>
          <w:rFonts w:cstheme="minorHAnsi"/>
        </w:rPr>
        <w:t>s</w:t>
      </w:r>
      <w:r w:rsidRPr="0013059A">
        <w:rPr>
          <w:rFonts w:cstheme="minorHAnsi"/>
        </w:rPr>
        <w:t xml:space="preserve">ecurity. This policy requires providers who wish to service </w:t>
      </w:r>
      <w:r w:rsidR="00F56DC4" w:rsidRPr="0013059A">
        <w:rPr>
          <w:rFonts w:cstheme="minorHAnsi"/>
        </w:rPr>
        <w:t>the Australian G</w:t>
      </w:r>
      <w:r w:rsidRPr="0013059A">
        <w:rPr>
          <w:rFonts w:cstheme="minorHAnsi"/>
        </w:rPr>
        <w:t xml:space="preserve">overnment </w:t>
      </w:r>
      <w:r w:rsidR="00923B20" w:rsidRPr="0013059A">
        <w:rPr>
          <w:rFonts w:cstheme="minorHAnsi"/>
        </w:rPr>
        <w:t xml:space="preserve">to satisfy </w:t>
      </w:r>
      <w:r w:rsidRPr="0013059A">
        <w:rPr>
          <w:rFonts w:cstheme="minorHAnsi"/>
        </w:rPr>
        <w:t>a certification program before they commence providing services. This has been extensively supported by industry with vendors such as Amazon and Microsoft undergoing certification early in the process.</w:t>
      </w:r>
    </w:p>
    <w:p w14:paraId="78BE546C" w14:textId="7EC010A4" w:rsidR="00C3554C" w:rsidRPr="0013059A" w:rsidRDefault="00C3554C" w:rsidP="00421C2B">
      <w:pPr>
        <w:pStyle w:val="Bullet"/>
        <w:numPr>
          <w:ilvl w:val="0"/>
          <w:numId w:val="0"/>
        </w:numPr>
        <w:tabs>
          <w:tab w:val="left" w:pos="720"/>
        </w:tabs>
        <w:spacing w:after="120" w:line="240" w:lineRule="auto"/>
        <w:rPr>
          <w:rFonts w:cstheme="minorHAnsi"/>
        </w:rPr>
      </w:pPr>
      <w:r w:rsidRPr="0013059A">
        <w:rPr>
          <w:rFonts w:cstheme="minorHAnsi"/>
        </w:rPr>
        <w:t xml:space="preserve">Both the Department of Finance (Finance) and the DTA are examples within government where the </w:t>
      </w:r>
      <w:r w:rsidR="00AF6B1D" w:rsidRPr="0013059A">
        <w:rPr>
          <w:rFonts w:cstheme="minorHAnsi"/>
        </w:rPr>
        <w:t>C</w:t>
      </w:r>
      <w:r w:rsidRPr="0013059A">
        <w:rPr>
          <w:rFonts w:cstheme="minorHAnsi"/>
        </w:rPr>
        <w:t xml:space="preserve">loud </w:t>
      </w:r>
      <w:r w:rsidR="00AF6B1D" w:rsidRPr="0013059A">
        <w:rPr>
          <w:rFonts w:cstheme="minorHAnsi"/>
        </w:rPr>
        <w:t>F</w:t>
      </w:r>
      <w:r w:rsidRPr="0013059A">
        <w:rPr>
          <w:rFonts w:cstheme="minorHAnsi"/>
        </w:rPr>
        <w:t>irst policy has been adopted. Finance transitioned the “Parliamentary Document Management System” into the SlicedTech Cloud in September 2018. The DTA has commissioned “cloud.gov.au” as a secure mechanism for agencies to setup digital services quickly.</w:t>
      </w:r>
    </w:p>
    <w:p w14:paraId="40592F04" w14:textId="77777777" w:rsidR="00B5479B" w:rsidRPr="0013059A" w:rsidRDefault="00080043" w:rsidP="00001C97">
      <w:pPr>
        <w:pStyle w:val="Bullet"/>
        <w:numPr>
          <w:ilvl w:val="0"/>
          <w:numId w:val="0"/>
        </w:numPr>
        <w:tabs>
          <w:tab w:val="left" w:pos="720"/>
        </w:tabs>
        <w:spacing w:after="120" w:line="240" w:lineRule="auto"/>
        <w:rPr>
          <w:rFonts w:ascii="Calibri" w:hAnsi="Calibri" w:cs="Calibri"/>
          <w:u w:val="single"/>
        </w:rPr>
      </w:pPr>
      <w:r w:rsidRPr="0013059A">
        <w:rPr>
          <w:rFonts w:ascii="Calibri" w:hAnsi="Calibri" w:cs="Calibri"/>
          <w:u w:val="single"/>
        </w:rPr>
        <w:t xml:space="preserve">Testing and </w:t>
      </w:r>
      <w:r w:rsidR="00B5479B" w:rsidRPr="0013059A">
        <w:rPr>
          <w:rFonts w:ascii="Calibri" w:hAnsi="Calibri" w:cs="Calibri"/>
          <w:u w:val="single"/>
        </w:rPr>
        <w:t>Piloting new approaches - Digital Identity Program</w:t>
      </w:r>
    </w:p>
    <w:p w14:paraId="386D779B" w14:textId="77777777" w:rsidR="00B5479B" w:rsidRPr="00514B63" w:rsidRDefault="00B5479B" w:rsidP="00001C97">
      <w:pPr>
        <w:pStyle w:val="Bullet"/>
        <w:numPr>
          <w:ilvl w:val="0"/>
          <w:numId w:val="0"/>
        </w:numPr>
        <w:tabs>
          <w:tab w:val="left" w:pos="720"/>
        </w:tabs>
        <w:spacing w:after="120" w:line="240" w:lineRule="auto"/>
        <w:rPr>
          <w:rFonts w:ascii="Calibri" w:hAnsi="Calibri" w:cs="Calibri"/>
        </w:rPr>
      </w:pPr>
      <w:r w:rsidRPr="0013059A">
        <w:rPr>
          <w:rFonts w:ascii="Calibri" w:hAnsi="Calibri" w:cs="Calibri"/>
        </w:rPr>
        <w:t xml:space="preserve">The Government is also launching </w:t>
      </w:r>
      <w:r w:rsidR="006B0FAD" w:rsidRPr="0013059A">
        <w:rPr>
          <w:rFonts w:ascii="Calibri" w:hAnsi="Calibri" w:cs="Calibri"/>
        </w:rPr>
        <w:t xml:space="preserve">a new </w:t>
      </w:r>
      <w:r w:rsidRPr="0013059A">
        <w:rPr>
          <w:rFonts w:ascii="Calibri" w:hAnsi="Calibri" w:cs="Calibri"/>
        </w:rPr>
        <w:t xml:space="preserve">Digital Identity Program, </w:t>
      </w:r>
      <w:hyperlink r:id="rId30" w:history="1">
        <w:r w:rsidRPr="0013059A">
          <w:rPr>
            <w:rStyle w:val="Hyperlink"/>
            <w:rFonts w:ascii="Calibri" w:hAnsi="Calibri" w:cs="Calibri"/>
          </w:rPr>
          <w:t>myGovID</w:t>
        </w:r>
      </w:hyperlink>
      <w:r w:rsidRPr="0013059A">
        <w:rPr>
          <w:rFonts w:ascii="Calibri" w:hAnsi="Calibri" w:cs="Calibri"/>
        </w:rPr>
        <w:t>. For the first time, the</w:t>
      </w:r>
      <w:r w:rsidRPr="00514B63">
        <w:rPr>
          <w:rFonts w:ascii="Calibri" w:hAnsi="Calibri" w:cs="Calibri"/>
        </w:rPr>
        <w:t xml:space="preserve"> </w:t>
      </w:r>
      <w:r>
        <w:rPr>
          <w:rFonts w:ascii="Calibri" w:hAnsi="Calibri" w:cs="Calibri"/>
        </w:rPr>
        <w:t xml:space="preserve">Australian </w:t>
      </w:r>
      <w:r w:rsidRPr="00514B63">
        <w:rPr>
          <w:rFonts w:ascii="Calibri" w:hAnsi="Calibri" w:cs="Calibri"/>
        </w:rPr>
        <w:t>Government’s digital identity program will allow people to verify their identity online and reuse this verified digital identity across multiple government services.</w:t>
      </w:r>
    </w:p>
    <w:p w14:paraId="5A925644" w14:textId="77777777" w:rsidR="00B5479B" w:rsidRPr="00514B63" w:rsidRDefault="00B5479B" w:rsidP="00001C97">
      <w:pPr>
        <w:pStyle w:val="Bullet"/>
        <w:numPr>
          <w:ilvl w:val="0"/>
          <w:numId w:val="0"/>
        </w:numPr>
        <w:tabs>
          <w:tab w:val="left" w:pos="720"/>
        </w:tabs>
        <w:spacing w:after="120" w:line="240" w:lineRule="auto"/>
        <w:rPr>
          <w:rFonts w:ascii="Calibri" w:hAnsi="Calibri" w:cs="Calibri"/>
        </w:rPr>
      </w:pPr>
      <w:r w:rsidRPr="00514B63">
        <w:rPr>
          <w:rFonts w:ascii="Calibri" w:hAnsi="Calibri" w:cs="Calibri"/>
        </w:rPr>
        <w:t xml:space="preserve">On 31 October 2018, </w:t>
      </w:r>
      <w:r>
        <w:rPr>
          <w:rFonts w:ascii="Calibri" w:hAnsi="Calibri" w:cs="Calibri"/>
        </w:rPr>
        <w:t xml:space="preserve">the </w:t>
      </w:r>
      <w:r>
        <w:rPr>
          <w:bCs/>
          <w:lang w:val="en-CA"/>
        </w:rPr>
        <w:t>Government</w:t>
      </w:r>
      <w:r w:rsidRPr="00514B63">
        <w:rPr>
          <w:bCs/>
          <w:lang w:val="en-CA"/>
        </w:rPr>
        <w:t xml:space="preserve"> </w:t>
      </w:r>
      <w:r w:rsidRPr="00514B63">
        <w:rPr>
          <w:rFonts w:ascii="Calibri" w:hAnsi="Calibri" w:cs="Calibri"/>
        </w:rPr>
        <w:t xml:space="preserve">announced the first pilot program with a new online system for tax file number (TFN) applications. This is the first time myGovID will be used by real people for a real service, using real data. </w:t>
      </w:r>
    </w:p>
    <w:p w14:paraId="3B044A31" w14:textId="77777777" w:rsidR="00B5479B" w:rsidRPr="00514B63" w:rsidRDefault="00B5479B">
      <w:pPr>
        <w:pStyle w:val="Bullet"/>
        <w:numPr>
          <w:ilvl w:val="0"/>
          <w:numId w:val="0"/>
        </w:numPr>
        <w:tabs>
          <w:tab w:val="left" w:pos="720"/>
        </w:tabs>
        <w:spacing w:after="120" w:line="240" w:lineRule="auto"/>
        <w:rPr>
          <w:rFonts w:ascii="Calibri" w:hAnsi="Calibri" w:cs="Calibri"/>
        </w:rPr>
      </w:pPr>
      <w:r w:rsidRPr="00514B63">
        <w:rPr>
          <w:rFonts w:ascii="Calibri" w:hAnsi="Calibri" w:cs="Calibri"/>
        </w:rPr>
        <w:t xml:space="preserve">The current process for applying for a TFN involves completing a form, printing it and then taking it with identity documents to a post office. The myGovID pilot brings this entire process online, reducing the waiting time for a TFN from up to </w:t>
      </w:r>
      <w:r w:rsidR="006B0FAD">
        <w:rPr>
          <w:rFonts w:ascii="Calibri" w:hAnsi="Calibri" w:cs="Calibri"/>
        </w:rPr>
        <w:t>one</w:t>
      </w:r>
      <w:r w:rsidRPr="00514B63">
        <w:rPr>
          <w:rFonts w:ascii="Calibri" w:hAnsi="Calibri" w:cs="Calibri"/>
        </w:rPr>
        <w:t xml:space="preserve"> month to just minutes.</w:t>
      </w:r>
    </w:p>
    <w:p w14:paraId="2E9F0B53" w14:textId="77777777" w:rsidR="00B5479B" w:rsidRPr="00514B63" w:rsidRDefault="00B5479B">
      <w:pPr>
        <w:pStyle w:val="Bullet"/>
        <w:numPr>
          <w:ilvl w:val="0"/>
          <w:numId w:val="0"/>
        </w:numPr>
        <w:tabs>
          <w:tab w:val="left" w:pos="720"/>
        </w:tabs>
        <w:spacing w:after="120" w:line="240" w:lineRule="auto"/>
        <w:rPr>
          <w:rFonts w:ascii="Calibri" w:hAnsi="Calibri" w:cs="Calibri"/>
        </w:rPr>
      </w:pPr>
      <w:r w:rsidRPr="00514B63">
        <w:rPr>
          <w:rFonts w:ascii="Calibri" w:hAnsi="Calibri" w:cs="Calibri"/>
        </w:rPr>
        <w:t xml:space="preserve">More pilots with different government services will follow over the coming months, allowing more people and businesses to get a myGovID and test the program. The program will continue to be expanded for use with state and territory government services, and in the future, </w:t>
      </w:r>
      <w:r w:rsidR="00254599">
        <w:rPr>
          <w:rFonts w:ascii="Calibri" w:hAnsi="Calibri" w:cs="Calibri"/>
        </w:rPr>
        <w:t>within</w:t>
      </w:r>
      <w:r w:rsidRPr="00514B63">
        <w:rPr>
          <w:rFonts w:ascii="Calibri" w:hAnsi="Calibri" w:cs="Calibri"/>
        </w:rPr>
        <w:t xml:space="preserve"> the private sector.</w:t>
      </w:r>
    </w:p>
    <w:p w14:paraId="26823A9B" w14:textId="09D5B997" w:rsidR="00FA5147" w:rsidRPr="005760AD" w:rsidRDefault="00B5479B">
      <w:pPr>
        <w:pStyle w:val="Bullet"/>
        <w:numPr>
          <w:ilvl w:val="0"/>
          <w:numId w:val="0"/>
        </w:numPr>
        <w:tabs>
          <w:tab w:val="left" w:pos="720"/>
        </w:tabs>
        <w:spacing w:after="120" w:line="240" w:lineRule="auto"/>
        <w:rPr>
          <w:rFonts w:ascii="Calibri" w:hAnsi="Calibri" w:cs="Calibri"/>
          <w:u w:val="single"/>
        </w:rPr>
      </w:pPr>
      <w:r w:rsidRPr="005760AD">
        <w:rPr>
          <w:rFonts w:ascii="Calibri" w:hAnsi="Calibri" w:cs="Calibri"/>
          <w:u w:val="single"/>
        </w:rPr>
        <w:t>Key Issues and Challenges</w:t>
      </w:r>
    </w:p>
    <w:p w14:paraId="6D0F22C6" w14:textId="77777777" w:rsidR="00965FF0" w:rsidRDefault="00965FF0" w:rsidP="00CE18B4">
      <w:pPr>
        <w:spacing w:after="120" w:line="240" w:lineRule="auto"/>
      </w:pPr>
      <w:r>
        <w:t xml:space="preserve">Citizen feedback on major </w:t>
      </w:r>
      <w:r w:rsidRPr="00514B63">
        <w:t xml:space="preserve">Australian Government </w:t>
      </w:r>
      <w:r>
        <w:t xml:space="preserve">initiatives highlights the challenge of needing to build broad based citizen trust in greater data sharing.  </w:t>
      </w:r>
    </w:p>
    <w:p w14:paraId="78B5F74B" w14:textId="77777777" w:rsidR="00B275AC" w:rsidRPr="00CE18B4" w:rsidRDefault="00B275AC" w:rsidP="00CE18B4">
      <w:pPr>
        <w:spacing w:after="120" w:line="240" w:lineRule="auto"/>
        <w:rPr>
          <w:i/>
        </w:rPr>
      </w:pPr>
      <w:r w:rsidRPr="00CE18B4">
        <w:rPr>
          <w:i/>
        </w:rPr>
        <w:t>My Health Record</w:t>
      </w:r>
    </w:p>
    <w:p w14:paraId="77DCF1B4" w14:textId="77777777" w:rsidR="00965FF0" w:rsidRPr="00CE18B4" w:rsidRDefault="00965FF0" w:rsidP="00CE18B4">
      <w:pPr>
        <w:spacing w:after="120" w:line="240" w:lineRule="auto"/>
        <w:rPr>
          <w:rFonts w:ascii="Calibri" w:hAnsi="Calibri" w:cs="Calibri"/>
        </w:rPr>
      </w:pPr>
      <w:r w:rsidRPr="00CE18B4">
        <w:rPr>
          <w:rFonts w:ascii="Calibri" w:hAnsi="Calibri" w:cs="Calibri"/>
        </w:rPr>
        <w:t xml:space="preserve">The </w:t>
      </w:r>
      <w:hyperlink r:id="rId31" w:history="1">
        <w:r w:rsidRPr="003609F8">
          <w:rPr>
            <w:rStyle w:val="Hyperlink"/>
            <w:rFonts w:ascii="Calibri" w:hAnsi="Calibri" w:cs="Calibri"/>
            <w:i/>
          </w:rPr>
          <w:t>My Health Record</w:t>
        </w:r>
      </w:hyperlink>
      <w:r w:rsidRPr="00CE18B4">
        <w:rPr>
          <w:rFonts w:ascii="Calibri" w:hAnsi="Calibri" w:cs="Calibri"/>
        </w:rPr>
        <w:t xml:space="preserve"> initiative allows individuals to have their medical records in a safe and secure electronic location. With consent, these records can be accessed by health profession</w:t>
      </w:r>
      <w:r w:rsidR="00F56DC4" w:rsidRPr="00CE18B4">
        <w:rPr>
          <w:rFonts w:ascii="Calibri" w:hAnsi="Calibri" w:cs="Calibri"/>
        </w:rPr>
        <w:t>al</w:t>
      </w:r>
      <w:r w:rsidRPr="00CE18B4">
        <w:rPr>
          <w:rFonts w:ascii="Calibri" w:hAnsi="Calibri" w:cs="Calibri"/>
        </w:rPr>
        <w:t xml:space="preserve">s to create efficiencies and reduce errors in miscommunication. Doctors have identified that one of the biggest problems they face in healthcare is the disconnect between various systems. </w:t>
      </w:r>
    </w:p>
    <w:p w14:paraId="72317129" w14:textId="77777777" w:rsidR="00965FF0" w:rsidRPr="00CE18B4" w:rsidRDefault="00965FF0" w:rsidP="00CE18B4">
      <w:pPr>
        <w:spacing w:after="120" w:line="240" w:lineRule="auto"/>
      </w:pPr>
      <w:r w:rsidRPr="00CE18B4">
        <w:t xml:space="preserve">Previously, individuals could opt-in and have their health information stored in an online My Health Record. However, from 16 July 2018 the system changed to an opt-out method where every individual would have a My Health Record created for them. </w:t>
      </w:r>
    </w:p>
    <w:p w14:paraId="6DCF2BF3" w14:textId="77777777" w:rsidR="00965FF0" w:rsidRPr="00CE18B4" w:rsidRDefault="00965FF0" w:rsidP="00CE18B4">
      <w:pPr>
        <w:spacing w:after="120" w:line="240" w:lineRule="auto"/>
      </w:pPr>
      <w:r w:rsidRPr="00CE18B4">
        <w:t xml:space="preserve">There has been significant debate about the benefits and risks of </w:t>
      </w:r>
      <w:r w:rsidR="00F56DC4" w:rsidRPr="00CE18B4">
        <w:t xml:space="preserve">the </w:t>
      </w:r>
      <w:r w:rsidRPr="00CE18B4">
        <w:t xml:space="preserve">My Health Record since the opt-out period commenced on 16 July 2018. Issues have been raised around privacy, security and the potential for misuse, including the risk that certain cohorts are disproportionately affected (e.g. people with mental health issues).  </w:t>
      </w:r>
    </w:p>
    <w:p w14:paraId="3FD6056F" w14:textId="77777777" w:rsidR="00965FF0" w:rsidRPr="00CE18B4" w:rsidRDefault="00965FF0" w:rsidP="00CE18B4">
      <w:pPr>
        <w:spacing w:after="120" w:line="240" w:lineRule="auto"/>
      </w:pPr>
      <w:r w:rsidRPr="00CE18B4">
        <w:t xml:space="preserve">The Australian public’s reaction to the My Health Record initiative highlighted the need for </w:t>
      </w:r>
      <w:r w:rsidR="00F56DC4" w:rsidRPr="00CE18B4">
        <w:t xml:space="preserve">the Australian </w:t>
      </w:r>
      <w:r w:rsidRPr="00CE18B4">
        <w:t>Government’s arrangements to embed strong safeguards to protect people’s privacy and security, and in instances where questions do arise, processes are swiftly put in place to protect and preserve the privacy of Australians.</w:t>
      </w:r>
    </w:p>
    <w:p w14:paraId="109B4C6B" w14:textId="77777777" w:rsidR="00965FF0" w:rsidRPr="00CE18B4" w:rsidRDefault="00965FF0" w:rsidP="00CE18B4">
      <w:pPr>
        <w:spacing w:after="120" w:line="240" w:lineRule="auto"/>
      </w:pPr>
      <w:r w:rsidRPr="00CE18B4">
        <w:t xml:space="preserve">To help address the public’s concerns, the Australian Government has put in place a Notifiable Data Breaches scheme, requiring organisations covered by the </w:t>
      </w:r>
      <w:r w:rsidRPr="00CE18B4">
        <w:rPr>
          <w:i/>
        </w:rPr>
        <w:t xml:space="preserve">Privacy Act 1988 </w:t>
      </w:r>
      <w:r w:rsidRPr="00CE18B4">
        <w:t>to notify any individuals likely to be at risk of serious harm by a data breach. Previously, notifications to individuals were voluntary.</w:t>
      </w:r>
    </w:p>
    <w:p w14:paraId="30CF5739" w14:textId="77777777" w:rsidR="00965FF0" w:rsidRDefault="00965FF0" w:rsidP="00CE18B4">
      <w:pPr>
        <w:spacing w:after="120" w:line="240" w:lineRule="auto"/>
      </w:pPr>
      <w:r w:rsidRPr="00CE18B4">
        <w:t>The Australian Privacy Commissioner has also released an Australian Government Agencies Privacy Code, which was developed to support the public data agenda. While many Australian Government agencies have already implemented these requirements, the Code will provide consistency in data privacy governance across the APS.</w:t>
      </w:r>
      <w:r>
        <w:t xml:space="preserve"> </w:t>
      </w:r>
    </w:p>
    <w:p w14:paraId="1D5201F2" w14:textId="77777777" w:rsidR="001608B6" w:rsidRPr="00CE18B4" w:rsidRDefault="001608B6" w:rsidP="00CE18B4">
      <w:pPr>
        <w:spacing w:after="120" w:line="240" w:lineRule="auto"/>
        <w:rPr>
          <w:i/>
        </w:rPr>
      </w:pPr>
      <w:r w:rsidRPr="00CE18B4">
        <w:rPr>
          <w:i/>
        </w:rPr>
        <w:t>Online Compliance</w:t>
      </w:r>
      <w:r>
        <w:rPr>
          <w:i/>
        </w:rPr>
        <w:t xml:space="preserve"> Intervention</w:t>
      </w:r>
    </w:p>
    <w:p w14:paraId="6E216B64" w14:textId="77777777" w:rsidR="001608B6" w:rsidRPr="00CE18B4" w:rsidRDefault="001608B6" w:rsidP="00CE18B4">
      <w:pPr>
        <w:pStyle w:val="Bullet"/>
        <w:numPr>
          <w:ilvl w:val="0"/>
          <w:numId w:val="0"/>
        </w:numPr>
        <w:spacing w:after="120" w:line="240" w:lineRule="auto"/>
        <w:rPr>
          <w:bCs/>
          <w:lang w:val="en-CA"/>
        </w:rPr>
      </w:pPr>
      <w:r w:rsidRPr="00CE18B4">
        <w:rPr>
          <w:bCs/>
          <w:lang w:val="en-CA"/>
        </w:rPr>
        <w:t xml:space="preserve">The challenge of customers trusting government to do business digitally is also illustrated by the issues experienced by DHS in relation to </w:t>
      </w:r>
      <w:r w:rsidR="00F56DC4" w:rsidRPr="00CE18B4">
        <w:rPr>
          <w:bCs/>
          <w:lang w:val="en-CA"/>
        </w:rPr>
        <w:t xml:space="preserve">the </w:t>
      </w:r>
      <w:r w:rsidRPr="00CE18B4">
        <w:rPr>
          <w:bCs/>
          <w:lang w:val="en-CA"/>
        </w:rPr>
        <w:t xml:space="preserve">Online Compliance Intervention in late 2016, referred to earlier in this paper. The experience reinforces the view that while customers are already willing to work with digital technologies in the private sector in relation to banking, restaurant bookings, online shopping and the like, government needs to find the right balance to enable customers to trust it to the same degree as the private sector. The concept of allowing government to use technology to deliver services including compliance appears to be difficult for the community to accept. This may be because there is a perception that ‘big brother is watching’ or some other hidden agenda is at play. </w:t>
      </w:r>
    </w:p>
    <w:p w14:paraId="1321CA4D" w14:textId="77777777" w:rsidR="001608B6" w:rsidRDefault="001608B6" w:rsidP="00CE18B4">
      <w:pPr>
        <w:pStyle w:val="Bullet"/>
        <w:numPr>
          <w:ilvl w:val="0"/>
          <w:numId w:val="0"/>
        </w:numPr>
        <w:spacing w:after="120" w:line="240" w:lineRule="auto"/>
        <w:rPr>
          <w:bCs/>
          <w:lang w:val="en-CA"/>
        </w:rPr>
      </w:pPr>
      <w:r w:rsidRPr="00CE18B4">
        <w:rPr>
          <w:bCs/>
          <w:lang w:val="en-CA"/>
        </w:rPr>
        <w:t>The experience further suggests there is some way to go before the community will place complete trust in government to deliver services using disruptive digital technologies. Slow and incremental change done well may be the key to finding this balance.</w:t>
      </w:r>
    </w:p>
    <w:p w14:paraId="1D1AC35D" w14:textId="77777777" w:rsidR="00AF6B1D" w:rsidRDefault="00AF6B1D" w:rsidP="00CE18B4">
      <w:pPr>
        <w:spacing w:after="120" w:line="240" w:lineRule="auto"/>
        <w:rPr>
          <w:b/>
          <w:i/>
        </w:rPr>
      </w:pPr>
    </w:p>
    <w:p w14:paraId="45339637" w14:textId="77777777" w:rsidR="00AF6B1D" w:rsidRDefault="00AF6B1D" w:rsidP="00CE18B4">
      <w:pPr>
        <w:spacing w:after="120" w:line="240" w:lineRule="auto"/>
        <w:rPr>
          <w:b/>
          <w:i/>
        </w:rPr>
      </w:pPr>
    </w:p>
    <w:p w14:paraId="125A9FE7" w14:textId="7C0ACBA6" w:rsidR="002C53C1" w:rsidRDefault="002C53C1" w:rsidP="00CE18B4">
      <w:pPr>
        <w:spacing w:after="120" w:line="240" w:lineRule="auto"/>
        <w:rPr>
          <w:b/>
          <w:i/>
        </w:rPr>
      </w:pPr>
      <w:r w:rsidRPr="00B00DF6">
        <w:rPr>
          <w:b/>
          <w:i/>
        </w:rPr>
        <w:t xml:space="preserve">Issues </w:t>
      </w:r>
      <w:r>
        <w:rPr>
          <w:b/>
          <w:i/>
        </w:rPr>
        <w:t>for Discussion</w:t>
      </w:r>
    </w:p>
    <w:p w14:paraId="39B50FAD" w14:textId="77777777" w:rsidR="003B64C6" w:rsidRDefault="003B64C6" w:rsidP="00CE18B4">
      <w:pPr>
        <w:pStyle w:val="Bullet"/>
        <w:numPr>
          <w:ilvl w:val="0"/>
          <w:numId w:val="0"/>
        </w:numPr>
        <w:spacing w:after="120" w:line="240" w:lineRule="auto"/>
        <w:rPr>
          <w:bCs/>
          <w:lang w:val="en-CA"/>
        </w:rPr>
      </w:pPr>
      <w:r>
        <w:rPr>
          <w:bCs/>
          <w:lang w:val="en-CA"/>
        </w:rPr>
        <w:t xml:space="preserve">Issues for discussion might focus on: </w:t>
      </w:r>
    </w:p>
    <w:p w14:paraId="72272082" w14:textId="77777777" w:rsidR="00080043" w:rsidRPr="00080043" w:rsidRDefault="00080043" w:rsidP="00CE18B4">
      <w:pPr>
        <w:pStyle w:val="ListParagraph"/>
        <w:numPr>
          <w:ilvl w:val="0"/>
          <w:numId w:val="4"/>
        </w:numPr>
        <w:spacing w:after="120"/>
        <w:ind w:left="714" w:hanging="357"/>
        <w:rPr>
          <w:rFonts w:asciiTheme="minorHAnsi" w:hAnsiTheme="minorHAnsi" w:cstheme="minorBidi"/>
          <w:bCs/>
          <w:lang w:val="en-CA"/>
        </w:rPr>
      </w:pPr>
      <w:r w:rsidRPr="00080043">
        <w:rPr>
          <w:rFonts w:asciiTheme="minorHAnsi" w:hAnsiTheme="minorHAnsi" w:cstheme="minorBidi"/>
          <w:bCs/>
          <w:lang w:val="en-CA"/>
        </w:rPr>
        <w:t xml:space="preserve">How can governments better balance the demands of providing seamless, efficient service delivery </w:t>
      </w:r>
      <w:r w:rsidR="00254599">
        <w:rPr>
          <w:rFonts w:asciiTheme="minorHAnsi" w:hAnsiTheme="minorHAnsi" w:cstheme="minorBidi"/>
          <w:bCs/>
          <w:lang w:val="en-CA"/>
        </w:rPr>
        <w:t xml:space="preserve">while </w:t>
      </w:r>
      <w:r w:rsidRPr="00080043">
        <w:rPr>
          <w:rFonts w:asciiTheme="minorHAnsi" w:hAnsiTheme="minorHAnsi" w:cstheme="minorBidi"/>
          <w:bCs/>
          <w:lang w:val="en-CA"/>
        </w:rPr>
        <w:t>at the same time maintain a high-degree of trust in citizen-state interactions?</w:t>
      </w:r>
    </w:p>
    <w:p w14:paraId="62171210" w14:textId="77777777" w:rsidR="00080043" w:rsidRPr="00D32DD2" w:rsidRDefault="00080043" w:rsidP="00CE18B4">
      <w:pPr>
        <w:pStyle w:val="ListParagraph"/>
        <w:numPr>
          <w:ilvl w:val="0"/>
          <w:numId w:val="4"/>
        </w:numPr>
        <w:spacing w:after="120"/>
        <w:ind w:left="714" w:hanging="357"/>
        <w:rPr>
          <w:rFonts w:asciiTheme="minorHAnsi" w:hAnsiTheme="minorHAnsi" w:cstheme="minorBidi"/>
          <w:bCs/>
          <w:lang w:val="en-CA"/>
        </w:rPr>
      </w:pPr>
      <w:r w:rsidRPr="00D32DD2">
        <w:rPr>
          <w:rFonts w:asciiTheme="minorHAnsi" w:hAnsiTheme="minorHAnsi" w:cstheme="minorBidi"/>
          <w:bCs/>
          <w:lang w:val="en-CA"/>
        </w:rPr>
        <w:t xml:space="preserve">At what point </w:t>
      </w:r>
      <w:r w:rsidR="00001C97">
        <w:rPr>
          <w:rFonts w:asciiTheme="minorHAnsi" w:hAnsiTheme="minorHAnsi" w:cstheme="minorBidi"/>
          <w:bCs/>
          <w:lang w:val="en-CA"/>
        </w:rPr>
        <w:t>-</w:t>
      </w:r>
      <w:r w:rsidRPr="00D32DD2">
        <w:rPr>
          <w:rFonts w:asciiTheme="minorHAnsi" w:hAnsiTheme="minorHAnsi" w:cstheme="minorBidi"/>
          <w:bCs/>
          <w:lang w:val="en-CA"/>
        </w:rPr>
        <w:t xml:space="preserve"> if any</w:t>
      </w:r>
      <w:r w:rsidR="00001C97">
        <w:rPr>
          <w:rFonts w:asciiTheme="minorHAnsi" w:hAnsiTheme="minorHAnsi" w:cstheme="minorBidi"/>
          <w:bCs/>
          <w:lang w:val="en-CA"/>
        </w:rPr>
        <w:t xml:space="preserve"> - </w:t>
      </w:r>
      <w:r w:rsidRPr="00D32DD2">
        <w:rPr>
          <w:rFonts w:asciiTheme="minorHAnsi" w:hAnsiTheme="minorHAnsi" w:cstheme="minorBidi"/>
          <w:bCs/>
          <w:lang w:val="en-CA"/>
        </w:rPr>
        <w:t xml:space="preserve">does it make sense for government to </w:t>
      </w:r>
      <w:r w:rsidR="00D32DD2">
        <w:rPr>
          <w:rFonts w:asciiTheme="minorHAnsi" w:hAnsiTheme="minorHAnsi" w:cstheme="minorBidi"/>
          <w:bCs/>
          <w:lang w:val="en-CA"/>
        </w:rPr>
        <w:t xml:space="preserve">not </w:t>
      </w:r>
      <w:r w:rsidRPr="00D32DD2">
        <w:rPr>
          <w:rFonts w:asciiTheme="minorHAnsi" w:hAnsiTheme="minorHAnsi" w:cstheme="minorBidi"/>
          <w:bCs/>
          <w:lang w:val="en-CA"/>
        </w:rPr>
        <w:t>implement efficiencies if there is a danger of the public not being comfortable with the technology</w:t>
      </w:r>
      <w:r w:rsidR="00254599">
        <w:rPr>
          <w:rFonts w:asciiTheme="minorHAnsi" w:hAnsiTheme="minorHAnsi" w:cstheme="minorBidi"/>
          <w:bCs/>
          <w:lang w:val="en-CA"/>
        </w:rPr>
        <w:t xml:space="preserve"> and privacy implications</w:t>
      </w:r>
      <w:r w:rsidRPr="00D32DD2">
        <w:rPr>
          <w:rFonts w:asciiTheme="minorHAnsi" w:hAnsiTheme="minorHAnsi" w:cstheme="minorBidi"/>
          <w:bCs/>
          <w:lang w:val="en-CA"/>
        </w:rPr>
        <w:t xml:space="preserve">? How do governments balance conflicting public views </w:t>
      </w:r>
      <w:r w:rsidR="00254599">
        <w:rPr>
          <w:rFonts w:asciiTheme="minorHAnsi" w:hAnsiTheme="minorHAnsi" w:cstheme="minorBidi"/>
          <w:bCs/>
          <w:lang w:val="en-CA"/>
        </w:rPr>
        <w:t>about</w:t>
      </w:r>
      <w:r w:rsidRPr="00D32DD2">
        <w:rPr>
          <w:rFonts w:asciiTheme="minorHAnsi" w:hAnsiTheme="minorHAnsi" w:cstheme="minorBidi"/>
          <w:bCs/>
          <w:lang w:val="en-CA"/>
        </w:rPr>
        <w:t xml:space="preserve"> </w:t>
      </w:r>
      <w:r w:rsidR="00254599">
        <w:rPr>
          <w:rFonts w:asciiTheme="minorHAnsi" w:hAnsiTheme="minorHAnsi" w:cstheme="minorBidi"/>
          <w:bCs/>
          <w:lang w:val="en-CA"/>
        </w:rPr>
        <w:t xml:space="preserve">the risks associated with </w:t>
      </w:r>
      <w:r w:rsidRPr="00D32DD2">
        <w:rPr>
          <w:rFonts w:asciiTheme="minorHAnsi" w:hAnsiTheme="minorHAnsi" w:cstheme="minorBidi"/>
          <w:bCs/>
          <w:lang w:val="en-CA"/>
        </w:rPr>
        <w:t>certain types of technology?</w:t>
      </w:r>
    </w:p>
    <w:p w14:paraId="2A1CCCF3" w14:textId="77777777" w:rsidR="000B4DE4" w:rsidRPr="00514B63" w:rsidRDefault="00CE6CAA" w:rsidP="00CE18B4">
      <w:pPr>
        <w:spacing w:after="120" w:line="240" w:lineRule="auto"/>
        <w:rPr>
          <w:rFonts w:ascii="Times New Roman" w:hAnsi="Times New Roman" w:cs="Times New Roman"/>
          <w:b/>
          <w:i/>
          <w:sz w:val="28"/>
          <w:szCs w:val="28"/>
        </w:rPr>
      </w:pPr>
      <w:r>
        <w:rPr>
          <w:rFonts w:ascii="Times New Roman" w:hAnsi="Times New Roman" w:cs="Times New Roman"/>
          <w:b/>
          <w:i/>
          <w:sz w:val="28"/>
          <w:szCs w:val="28"/>
        </w:rPr>
        <w:t>G</w:t>
      </w:r>
      <w:r w:rsidR="009A74EC" w:rsidRPr="00514B63">
        <w:rPr>
          <w:rFonts w:ascii="Times New Roman" w:hAnsi="Times New Roman" w:cs="Times New Roman"/>
          <w:b/>
          <w:i/>
          <w:sz w:val="28"/>
          <w:szCs w:val="28"/>
        </w:rPr>
        <w:t>overnance</w:t>
      </w:r>
    </w:p>
    <w:p w14:paraId="2DEF57A7" w14:textId="77777777" w:rsidR="00455598" w:rsidRPr="00514B63" w:rsidRDefault="00455598" w:rsidP="00CE18B4">
      <w:pPr>
        <w:spacing w:after="120" w:line="240" w:lineRule="auto"/>
        <w:rPr>
          <w:b/>
          <w:i/>
        </w:rPr>
      </w:pPr>
      <w:r w:rsidRPr="00514B63">
        <w:rPr>
          <w:b/>
          <w:i/>
        </w:rPr>
        <w:t>Canada</w:t>
      </w:r>
    </w:p>
    <w:p w14:paraId="52025F2F" w14:textId="77777777" w:rsidR="002C53C1" w:rsidRPr="002C53C1" w:rsidRDefault="002C53C1">
      <w:pPr>
        <w:keepNext/>
        <w:tabs>
          <w:tab w:val="left" w:pos="3585"/>
        </w:tabs>
        <w:spacing w:after="120" w:line="240" w:lineRule="auto"/>
        <w:outlineLvl w:val="0"/>
        <w:rPr>
          <w:rFonts w:eastAsia="Times New Roman" w:cstheme="minorHAnsi"/>
          <w:kern w:val="32"/>
          <w:szCs w:val="24"/>
          <w:u w:val="single"/>
        </w:rPr>
      </w:pPr>
      <w:r>
        <w:rPr>
          <w:rFonts w:eastAsia="Times New Roman" w:cstheme="minorHAnsi"/>
          <w:kern w:val="32"/>
          <w:szCs w:val="24"/>
          <w:u w:val="single"/>
        </w:rPr>
        <w:t xml:space="preserve">A New </w:t>
      </w:r>
      <w:r w:rsidRPr="002C53C1">
        <w:rPr>
          <w:rFonts w:eastAsia="Times New Roman" w:cstheme="minorHAnsi"/>
          <w:kern w:val="32"/>
          <w:szCs w:val="24"/>
          <w:u w:val="single"/>
        </w:rPr>
        <w:t>Digital Investment Framework</w:t>
      </w:r>
    </w:p>
    <w:p w14:paraId="400A6CC9" w14:textId="77777777" w:rsidR="0067470D" w:rsidRPr="00514B63" w:rsidRDefault="003B64C6">
      <w:pPr>
        <w:keepNext/>
        <w:tabs>
          <w:tab w:val="left" w:pos="3585"/>
        </w:tabs>
        <w:spacing w:after="120" w:line="240" w:lineRule="auto"/>
        <w:outlineLvl w:val="0"/>
        <w:rPr>
          <w:rFonts w:eastAsia="Times New Roman" w:cstheme="minorHAnsi"/>
          <w:kern w:val="32"/>
          <w:szCs w:val="24"/>
        </w:rPr>
      </w:pPr>
      <w:r>
        <w:rPr>
          <w:rFonts w:eastAsia="Times New Roman" w:cstheme="minorHAnsi"/>
          <w:kern w:val="32"/>
          <w:szCs w:val="24"/>
        </w:rPr>
        <w:t>A</w:t>
      </w:r>
      <w:r w:rsidR="0067470D">
        <w:rPr>
          <w:rFonts w:eastAsia="Times New Roman" w:cstheme="minorHAnsi"/>
          <w:kern w:val="32"/>
          <w:szCs w:val="24"/>
        </w:rPr>
        <w:t xml:space="preserve"> new governance system for IT projects called the</w:t>
      </w:r>
      <w:r w:rsidR="0067470D" w:rsidRPr="00514B63">
        <w:rPr>
          <w:szCs w:val="24"/>
          <w:lang w:val="en-US"/>
        </w:rPr>
        <w:t xml:space="preserve"> Digital Investment Framework</w:t>
      </w:r>
      <w:r w:rsidR="002C53C1">
        <w:rPr>
          <w:szCs w:val="24"/>
          <w:lang w:val="en-US"/>
        </w:rPr>
        <w:t xml:space="preserve"> (Framework)</w:t>
      </w:r>
      <w:r w:rsidR="0067470D">
        <w:rPr>
          <w:szCs w:val="24"/>
          <w:lang w:val="en-US"/>
        </w:rPr>
        <w:t xml:space="preserve"> is being set up. This system</w:t>
      </w:r>
      <w:r w:rsidR="0067470D" w:rsidRPr="00514B63">
        <w:rPr>
          <w:szCs w:val="24"/>
          <w:lang w:val="en-US"/>
        </w:rPr>
        <w:t xml:space="preserve"> is critical to long</w:t>
      </w:r>
      <w:r w:rsidR="00001C97">
        <w:rPr>
          <w:szCs w:val="24"/>
          <w:lang w:val="en-US"/>
        </w:rPr>
        <w:t>-</w:t>
      </w:r>
      <w:r w:rsidR="0067470D" w:rsidRPr="00514B63">
        <w:rPr>
          <w:szCs w:val="24"/>
          <w:lang w:val="en-US"/>
        </w:rPr>
        <w:t>term benefit realization across government. Therefore</w:t>
      </w:r>
      <w:r w:rsidR="002C3AEF">
        <w:rPr>
          <w:szCs w:val="24"/>
          <w:lang w:val="en-US"/>
        </w:rPr>
        <w:t>,</w:t>
      </w:r>
      <w:r w:rsidR="0067470D" w:rsidRPr="00514B63">
        <w:rPr>
          <w:szCs w:val="24"/>
          <w:lang w:val="en-US"/>
        </w:rPr>
        <w:t xml:space="preserve"> specific mechanisms and opportunities </w:t>
      </w:r>
      <w:r w:rsidR="00923B20">
        <w:rPr>
          <w:szCs w:val="24"/>
          <w:lang w:val="en-US"/>
        </w:rPr>
        <w:t xml:space="preserve">are being put in place </w:t>
      </w:r>
      <w:r w:rsidR="0067470D" w:rsidRPr="00514B63">
        <w:rPr>
          <w:szCs w:val="24"/>
          <w:lang w:val="en-US"/>
        </w:rPr>
        <w:t>to influence and ensure there is alignment to the Digital Standards from the initial concept to delivery of the respective initiative. There are three significant governance mechanisms under this Framework:</w:t>
      </w:r>
    </w:p>
    <w:p w14:paraId="6AFC2545" w14:textId="77777777" w:rsidR="00551D2D" w:rsidRPr="00CE18B4" w:rsidRDefault="00551D2D" w:rsidP="00CE18B4">
      <w:pPr>
        <w:pStyle w:val="Bullet"/>
        <w:numPr>
          <w:ilvl w:val="0"/>
          <w:numId w:val="5"/>
        </w:numPr>
        <w:spacing w:after="120" w:line="240" w:lineRule="auto"/>
        <w:ind w:left="714" w:hanging="357"/>
        <w:rPr>
          <w:b/>
          <w:szCs w:val="24"/>
          <w:lang w:val="en-US"/>
        </w:rPr>
      </w:pPr>
      <w:r w:rsidRPr="00CE18B4">
        <w:rPr>
          <w:b/>
          <w:szCs w:val="24"/>
          <w:lang w:val="en-US"/>
        </w:rPr>
        <w:t xml:space="preserve">Concept Case </w:t>
      </w:r>
    </w:p>
    <w:p w14:paraId="662EC87E" w14:textId="77777777" w:rsidR="00551D2D" w:rsidRPr="00514B63" w:rsidRDefault="00551D2D" w:rsidP="00CE18B4">
      <w:pPr>
        <w:pStyle w:val="Bullet"/>
        <w:numPr>
          <w:ilvl w:val="0"/>
          <w:numId w:val="0"/>
        </w:numPr>
        <w:spacing w:after="120" w:line="240" w:lineRule="auto"/>
        <w:ind w:left="714"/>
        <w:rPr>
          <w:szCs w:val="24"/>
          <w:lang w:val="en-US"/>
        </w:rPr>
      </w:pPr>
      <w:r w:rsidRPr="00514B63">
        <w:rPr>
          <w:szCs w:val="24"/>
          <w:lang w:val="en-US"/>
        </w:rPr>
        <w:t>Concept cases provide an examination of a business problem or opportunity before the solution to resolve that problem has been considered. It encourages departments to provide well</w:t>
      </w:r>
      <w:r w:rsidRPr="00514B63">
        <w:rPr>
          <w:szCs w:val="24"/>
          <w:lang w:val="en-US"/>
        </w:rPr>
        <w:noBreakHyphen/>
        <w:t>defined problem statement</w:t>
      </w:r>
      <w:r w:rsidR="00254599">
        <w:rPr>
          <w:szCs w:val="24"/>
          <w:lang w:val="en-US"/>
        </w:rPr>
        <w:t>s</w:t>
      </w:r>
      <w:r w:rsidRPr="00514B63">
        <w:rPr>
          <w:szCs w:val="24"/>
          <w:lang w:val="en-US"/>
        </w:rPr>
        <w:t xml:space="preserve"> and desired business outcomes, as well as identify</w:t>
      </w:r>
      <w:r w:rsidR="00254599">
        <w:rPr>
          <w:szCs w:val="24"/>
          <w:lang w:val="en-US"/>
        </w:rPr>
        <w:t>ing</w:t>
      </w:r>
      <w:r w:rsidRPr="00514B63">
        <w:rPr>
          <w:szCs w:val="24"/>
          <w:lang w:val="en-US"/>
        </w:rPr>
        <w:t xml:space="preserve"> the business owner. This interaction allows the Government of Canada Chief Information Office to provide early guidance, ensure alignment to the Digital Standards, and promote best practices to solving problems. The best results from concept cases have occurred when they are completed as early in the process as possible.</w:t>
      </w:r>
    </w:p>
    <w:p w14:paraId="2BCE7080" w14:textId="77777777" w:rsidR="00551D2D" w:rsidRPr="00CE18B4" w:rsidRDefault="00551D2D">
      <w:pPr>
        <w:pStyle w:val="Bullet"/>
        <w:numPr>
          <w:ilvl w:val="0"/>
          <w:numId w:val="5"/>
        </w:numPr>
        <w:tabs>
          <w:tab w:val="left" w:pos="720"/>
        </w:tabs>
        <w:spacing w:after="120" w:line="240" w:lineRule="auto"/>
        <w:rPr>
          <w:b/>
          <w:szCs w:val="24"/>
          <w:lang w:val="en-US"/>
        </w:rPr>
      </w:pPr>
      <w:r w:rsidRPr="00CE18B4">
        <w:rPr>
          <w:b/>
          <w:szCs w:val="24"/>
          <w:lang w:val="en-US"/>
        </w:rPr>
        <w:t xml:space="preserve">Enterprise Architecture Review Board </w:t>
      </w:r>
    </w:p>
    <w:p w14:paraId="29BEB977" w14:textId="77777777" w:rsidR="00551D2D" w:rsidRPr="00514B63" w:rsidRDefault="00551D2D">
      <w:pPr>
        <w:pStyle w:val="Bullet"/>
        <w:numPr>
          <w:ilvl w:val="0"/>
          <w:numId w:val="0"/>
        </w:numPr>
        <w:tabs>
          <w:tab w:val="left" w:pos="720"/>
        </w:tabs>
        <w:spacing w:after="120" w:line="240" w:lineRule="auto"/>
        <w:ind w:left="720"/>
        <w:rPr>
          <w:rFonts w:eastAsia="Times New Roman" w:cstheme="minorHAnsi"/>
          <w:szCs w:val="24"/>
        </w:rPr>
      </w:pPr>
      <w:r w:rsidRPr="00514B63">
        <w:rPr>
          <w:szCs w:val="24"/>
          <w:lang w:val="en-US"/>
        </w:rPr>
        <w:t>The Government of Canada</w:t>
      </w:r>
      <w:r w:rsidR="00001C97">
        <w:rPr>
          <w:szCs w:val="24"/>
          <w:lang w:val="en-US"/>
        </w:rPr>
        <w:t xml:space="preserve"> (GC)</w:t>
      </w:r>
      <w:r w:rsidRPr="00514B63">
        <w:rPr>
          <w:rFonts w:eastAsia="Times New Roman" w:cstheme="minorHAnsi"/>
          <w:szCs w:val="24"/>
        </w:rPr>
        <w:t xml:space="preserve"> has established the Enterprise Architecture Review Board (EARB) to help implement the “whole of government as one enterprise” vision. This governance mechanism “[…] is integrated into the larger GC governance structure and examines the alignment of initiatives; the system and solution gaps and overlaps; the development of new digital capabilities and innovation opportunities; the definition of technology standards; and the information management and information technology investment direction”</w:t>
      </w:r>
      <w:r w:rsidRPr="00514B63">
        <w:rPr>
          <w:rStyle w:val="FootnoteReference"/>
          <w:rFonts w:eastAsia="Times New Roman" w:cstheme="minorHAnsi"/>
          <w:szCs w:val="24"/>
        </w:rPr>
        <w:footnoteReference w:id="4"/>
      </w:r>
      <w:r w:rsidRPr="00514B63">
        <w:rPr>
          <w:rFonts w:eastAsia="Times New Roman" w:cstheme="minorHAnsi"/>
          <w:szCs w:val="24"/>
        </w:rPr>
        <w:t>.</w:t>
      </w:r>
    </w:p>
    <w:p w14:paraId="14DDD157" w14:textId="2EFAFD2A" w:rsidR="00551D2D" w:rsidRDefault="00551D2D">
      <w:pPr>
        <w:pStyle w:val="ListParagraph"/>
        <w:spacing w:after="120"/>
        <w:outlineLvl w:val="2"/>
        <w:rPr>
          <w:rFonts w:asciiTheme="minorHAnsi" w:eastAsia="Times New Roman" w:hAnsiTheme="minorHAnsi" w:cstheme="minorHAnsi"/>
          <w:bCs/>
          <w:szCs w:val="24"/>
          <w:lang w:val="en-CA" w:eastAsia="en-CA"/>
        </w:rPr>
      </w:pPr>
      <w:r w:rsidRPr="00514B63">
        <w:rPr>
          <w:rFonts w:asciiTheme="minorHAnsi" w:eastAsia="Times New Roman" w:hAnsiTheme="minorHAnsi" w:cstheme="minorHAnsi"/>
          <w:szCs w:val="24"/>
          <w:lang w:val="en-CA"/>
        </w:rPr>
        <w:t xml:space="preserve">This Board is mandated to </w:t>
      </w:r>
      <w:r w:rsidRPr="00514B63">
        <w:rPr>
          <w:rFonts w:asciiTheme="minorHAnsi" w:eastAsia="Times New Roman" w:hAnsiTheme="minorHAnsi" w:cstheme="minorHAnsi"/>
          <w:bCs/>
          <w:szCs w:val="24"/>
          <w:lang w:val="en-CA"/>
        </w:rPr>
        <w:t>define current and promote target architecture standards for the Government of Canada, and review departmental plans to ensure alignment to those government-wide architecture expectations and standards</w:t>
      </w:r>
      <w:r w:rsidRPr="00514B63">
        <w:rPr>
          <w:rStyle w:val="FootnoteReference"/>
          <w:rFonts w:asciiTheme="minorHAnsi" w:eastAsia="Times New Roman" w:hAnsiTheme="minorHAnsi" w:cstheme="minorHAnsi"/>
          <w:bCs/>
          <w:szCs w:val="24"/>
          <w:lang w:val="en-CA"/>
        </w:rPr>
        <w:footnoteReference w:id="5"/>
      </w:r>
      <w:r w:rsidRPr="00514B63">
        <w:rPr>
          <w:rFonts w:asciiTheme="minorHAnsi" w:eastAsia="Times New Roman" w:hAnsiTheme="minorHAnsi" w:cstheme="minorHAnsi"/>
          <w:bCs/>
          <w:szCs w:val="24"/>
          <w:lang w:val="en-CA"/>
        </w:rPr>
        <w:t xml:space="preserve">. More precisely, it provides technical recommendations on organization proposed solutions on the problem identified in the Concept Case and endorse it if need be. Concretely, </w:t>
      </w:r>
      <w:r w:rsidRPr="00514B63">
        <w:rPr>
          <w:rFonts w:asciiTheme="minorHAnsi" w:eastAsia="Times New Roman" w:hAnsiTheme="minorHAnsi" w:cstheme="minorHAnsi"/>
          <w:bCs/>
          <w:szCs w:val="24"/>
          <w:lang w:val="en-CA" w:eastAsia="en-CA"/>
        </w:rPr>
        <w:t xml:space="preserve">EARB conducts technical review on solutions that are enterprise and/or common in nature; public facing; emerging or disruptive technology; cloud services; long-term contract renewals for existing solutions; or proposed architectural exemptions to currently established reference architectures for all departments. </w:t>
      </w:r>
    </w:p>
    <w:p w14:paraId="6DCF0900" w14:textId="77777777" w:rsidR="00AF6B1D" w:rsidRDefault="00AF6B1D">
      <w:pPr>
        <w:pStyle w:val="ListParagraph"/>
        <w:spacing w:after="120"/>
        <w:outlineLvl w:val="2"/>
        <w:rPr>
          <w:rFonts w:asciiTheme="minorHAnsi" w:eastAsia="Times New Roman" w:hAnsiTheme="minorHAnsi" w:cstheme="minorHAnsi"/>
          <w:bCs/>
          <w:szCs w:val="24"/>
          <w:lang w:val="en-CA" w:eastAsia="en-CA"/>
        </w:rPr>
      </w:pPr>
    </w:p>
    <w:p w14:paraId="1CB4B88B" w14:textId="77777777" w:rsidR="00551D2D" w:rsidRPr="00421C2B" w:rsidRDefault="00551D2D" w:rsidP="00CE18B4">
      <w:pPr>
        <w:pStyle w:val="ListParagraph"/>
        <w:numPr>
          <w:ilvl w:val="0"/>
          <w:numId w:val="5"/>
        </w:numPr>
        <w:spacing w:after="120"/>
        <w:ind w:left="714" w:hanging="357"/>
        <w:outlineLvl w:val="2"/>
        <w:rPr>
          <w:rFonts w:asciiTheme="minorHAnsi" w:eastAsia="Times New Roman" w:hAnsiTheme="minorHAnsi" w:cstheme="minorHAnsi"/>
          <w:b/>
          <w:bCs/>
          <w:szCs w:val="24"/>
          <w:lang w:val="en-CA" w:eastAsia="en-CA"/>
        </w:rPr>
      </w:pPr>
      <w:r w:rsidRPr="00421C2B">
        <w:rPr>
          <w:rFonts w:asciiTheme="minorHAnsi" w:eastAsia="Times New Roman" w:hAnsiTheme="minorHAnsi" w:cstheme="minorHAnsi"/>
          <w:b/>
          <w:bCs/>
          <w:szCs w:val="24"/>
          <w:lang w:val="en-CA" w:eastAsia="en-CA"/>
        </w:rPr>
        <w:t>Oversight</w:t>
      </w:r>
    </w:p>
    <w:p w14:paraId="5C188057" w14:textId="7A05EE8E" w:rsidR="00551D2D" w:rsidRDefault="00551D2D" w:rsidP="00CE18B4">
      <w:pPr>
        <w:pStyle w:val="ListParagraph"/>
        <w:spacing w:after="120"/>
        <w:rPr>
          <w:rFonts w:asciiTheme="minorHAnsi" w:hAnsiTheme="minorHAnsi"/>
          <w:szCs w:val="24"/>
          <w:lang w:val="en-CA"/>
        </w:rPr>
      </w:pPr>
      <w:r w:rsidRPr="00514B63">
        <w:rPr>
          <w:rFonts w:asciiTheme="minorHAnsi" w:hAnsiTheme="minorHAnsi"/>
          <w:szCs w:val="24"/>
          <w:lang w:val="en-CA"/>
        </w:rPr>
        <w:t>Since large multi-stakeholder digital projects continue to be challenging for most organizations, a number of those projects are subject to specific oversight. The objective of TBS project oversight is to confirm that digital investments are defined and managed in a way that is conducive to a successful delivery that support the achievement of expected outcomes and benefits. Project oversight in</w:t>
      </w:r>
      <w:r w:rsidR="00232954">
        <w:rPr>
          <w:rFonts w:asciiTheme="minorHAnsi" w:hAnsiTheme="minorHAnsi"/>
          <w:szCs w:val="24"/>
          <w:lang w:val="en-CA"/>
        </w:rPr>
        <w:t>volves</w:t>
      </w:r>
      <w:r w:rsidRPr="00514B63">
        <w:rPr>
          <w:rFonts w:asciiTheme="minorHAnsi" w:hAnsiTheme="minorHAnsi"/>
          <w:szCs w:val="24"/>
          <w:lang w:val="en-CA"/>
        </w:rPr>
        <w:t xml:space="preserve"> a broad </w:t>
      </w:r>
      <w:r w:rsidR="00232954">
        <w:rPr>
          <w:rFonts w:asciiTheme="minorHAnsi" w:hAnsiTheme="minorHAnsi"/>
          <w:szCs w:val="24"/>
          <w:lang w:val="en-CA"/>
        </w:rPr>
        <w:t xml:space="preserve">range </w:t>
      </w:r>
      <w:r w:rsidRPr="00514B63">
        <w:rPr>
          <w:rFonts w:asciiTheme="minorHAnsi" w:hAnsiTheme="minorHAnsi"/>
          <w:szCs w:val="24"/>
          <w:lang w:val="en-CA"/>
        </w:rPr>
        <w:t xml:space="preserve">of activities including ongoing interactions with the project team in the departments; participation </w:t>
      </w:r>
      <w:r w:rsidR="00232954">
        <w:rPr>
          <w:rFonts w:asciiTheme="minorHAnsi" w:hAnsiTheme="minorHAnsi"/>
          <w:szCs w:val="24"/>
          <w:lang w:val="en-CA"/>
        </w:rPr>
        <w:t>in</w:t>
      </w:r>
      <w:r w:rsidRPr="00514B63">
        <w:rPr>
          <w:rFonts w:asciiTheme="minorHAnsi" w:hAnsiTheme="minorHAnsi"/>
          <w:szCs w:val="24"/>
          <w:lang w:val="en-CA"/>
        </w:rPr>
        <w:t xml:space="preserve"> project governance as ex-officio member; provision of enabling tools, advice and guidance; and review of monthly project status reports. </w:t>
      </w:r>
    </w:p>
    <w:p w14:paraId="3EB26C06" w14:textId="68FECAA8" w:rsidR="00DB4920" w:rsidRPr="00653598" w:rsidRDefault="00DB4920" w:rsidP="00DB4920">
      <w:pPr>
        <w:pStyle w:val="ListParagraph"/>
        <w:spacing w:after="120"/>
        <w:ind w:left="0"/>
        <w:rPr>
          <w:szCs w:val="24"/>
          <w:lang w:val="en-CA"/>
        </w:rPr>
      </w:pPr>
      <w:r>
        <w:rPr>
          <w:szCs w:val="24"/>
          <w:lang w:val="en-CA"/>
        </w:rPr>
        <w:t xml:space="preserve">This work aligns to the recent </w:t>
      </w:r>
      <w:r w:rsidRPr="00653598">
        <w:rPr>
          <w:szCs w:val="24"/>
          <w:lang w:val="en-CA"/>
        </w:rPr>
        <w:t xml:space="preserve">release of the Clerk of the Privy Council: A Data Strategy Roadmap for the Federal Public Service. The Strategy </w:t>
      </w:r>
      <w:r>
        <w:rPr>
          <w:szCs w:val="24"/>
          <w:lang w:val="en-CA"/>
        </w:rPr>
        <w:t>s</w:t>
      </w:r>
      <w:r w:rsidRPr="00653598">
        <w:rPr>
          <w:szCs w:val="24"/>
          <w:lang w:val="en-CA"/>
        </w:rPr>
        <w:t>et</w:t>
      </w:r>
      <w:r>
        <w:rPr>
          <w:szCs w:val="24"/>
          <w:lang w:val="en-CA"/>
        </w:rPr>
        <w:t>s</w:t>
      </w:r>
      <w:r w:rsidRPr="00653598">
        <w:rPr>
          <w:szCs w:val="24"/>
          <w:lang w:val="en-CA"/>
        </w:rPr>
        <w:t xml:space="preserve"> the foundation for the Federal Public Service to create greater public value from the data it collects, manages and creates. The report highlights four themes: (1) stronger governance; (2) improved data literacy and skills; (3) enabling infrastructure and legislation; and (4) more focused treatment of data as a valuable asset. These themes form the basis for a series of recommendations, which acknowledge that there is not a “one-size-fits-all” approach for data, and that departments will have different needs based on their own lines of business.</w:t>
      </w:r>
    </w:p>
    <w:p w14:paraId="33006D43" w14:textId="77777777" w:rsidR="009A74EC" w:rsidRPr="00514B63" w:rsidRDefault="00602F42" w:rsidP="00CE18B4">
      <w:pPr>
        <w:spacing w:after="120" w:line="240" w:lineRule="auto"/>
        <w:rPr>
          <w:b/>
          <w:i/>
        </w:rPr>
      </w:pPr>
      <w:r>
        <w:rPr>
          <w:b/>
          <w:i/>
        </w:rPr>
        <w:t>A</w:t>
      </w:r>
      <w:r w:rsidR="009A74EC" w:rsidRPr="00514B63">
        <w:rPr>
          <w:b/>
          <w:i/>
        </w:rPr>
        <w:t>ustralia</w:t>
      </w:r>
    </w:p>
    <w:p w14:paraId="326C6D25" w14:textId="77777777" w:rsidR="005D75CA" w:rsidRPr="005D75CA" w:rsidRDefault="005D75CA" w:rsidP="00CE18B4">
      <w:pPr>
        <w:spacing w:after="120" w:line="240" w:lineRule="auto"/>
        <w:rPr>
          <w:u w:val="single"/>
        </w:rPr>
      </w:pPr>
      <w:r w:rsidRPr="005D75CA">
        <w:rPr>
          <w:u w:val="single"/>
        </w:rPr>
        <w:t>Australian Digital Council</w:t>
      </w:r>
    </w:p>
    <w:p w14:paraId="04A3FB10" w14:textId="77777777" w:rsidR="00965FF0" w:rsidRPr="00CE18B4" w:rsidRDefault="00965FF0" w:rsidP="00CE18B4">
      <w:pPr>
        <w:spacing w:after="120" w:line="240" w:lineRule="auto"/>
        <w:ind w:right="-567"/>
        <w:rPr>
          <w:szCs w:val="24"/>
          <w:lang w:val="en-US"/>
        </w:rPr>
      </w:pPr>
      <w:r w:rsidRPr="00CE18B4">
        <w:rPr>
          <w:szCs w:val="24"/>
          <w:lang w:val="en-US"/>
        </w:rPr>
        <w:t xml:space="preserve">The </w:t>
      </w:r>
      <w:hyperlink r:id="rId32" w:history="1">
        <w:r w:rsidRPr="0001692A">
          <w:rPr>
            <w:rStyle w:val="Hyperlink"/>
            <w:szCs w:val="24"/>
            <w:lang w:val="en-US"/>
          </w:rPr>
          <w:t>Australian Digital Council</w:t>
        </w:r>
      </w:hyperlink>
      <w:r w:rsidRPr="00CE18B4">
        <w:rPr>
          <w:szCs w:val="24"/>
          <w:lang w:val="en-US"/>
        </w:rPr>
        <w:t xml:space="preserve"> (ADC) is bringing together all nine ministers responsible for data and digital transformation across federal, state and territory governments. Meeting for the first time on 14 September 2018, this collaboration is driving smarter service delivery and improved policy outcomes on data and digital transformation initiatives. The ADC was convened and chaired by the Minister for Human Services and Digital Transformation, the Hon Michael Keenan MP, and the Prime Minister opened the first meeting. </w:t>
      </w:r>
    </w:p>
    <w:p w14:paraId="21E34764" w14:textId="77777777" w:rsidR="00965FF0" w:rsidRPr="00CE18B4" w:rsidRDefault="00965FF0" w:rsidP="00CE18B4">
      <w:pPr>
        <w:spacing w:after="120" w:line="240" w:lineRule="auto"/>
        <w:rPr>
          <w:szCs w:val="24"/>
          <w:lang w:val="en-US"/>
        </w:rPr>
      </w:pPr>
      <w:r w:rsidRPr="00CE18B4">
        <w:rPr>
          <w:szCs w:val="24"/>
          <w:lang w:val="en-US"/>
        </w:rPr>
        <w:t>Each state and territory has nominated two members to join the</w:t>
      </w:r>
      <w:r w:rsidR="002C3AEF" w:rsidRPr="00CE18B4">
        <w:rPr>
          <w:szCs w:val="24"/>
          <w:lang w:val="en-US"/>
        </w:rPr>
        <w:t xml:space="preserve"> Senior Officials Group</w:t>
      </w:r>
      <w:r w:rsidRPr="00CE18B4">
        <w:rPr>
          <w:szCs w:val="24"/>
          <w:lang w:val="en-US"/>
        </w:rPr>
        <w:t xml:space="preserve"> sub-committee. This </w:t>
      </w:r>
      <w:r w:rsidR="002C3AEF" w:rsidRPr="00CE18B4">
        <w:rPr>
          <w:szCs w:val="24"/>
          <w:lang w:val="en-US"/>
        </w:rPr>
        <w:t>sub-committee</w:t>
      </w:r>
      <w:r w:rsidRPr="00CE18B4">
        <w:rPr>
          <w:szCs w:val="24"/>
          <w:lang w:val="en-US"/>
        </w:rPr>
        <w:t xml:space="preserve"> supports the ADC and leads implementation of the ADC’s priorities, some of which focus on cross-jurisdiction collaboration on data and digital transformation related initiatives. </w:t>
      </w:r>
    </w:p>
    <w:p w14:paraId="2736921C" w14:textId="77777777" w:rsidR="009A2D35" w:rsidRDefault="00965FF0" w:rsidP="00CE18B4">
      <w:pPr>
        <w:spacing w:after="120" w:line="240" w:lineRule="auto"/>
        <w:rPr>
          <w:szCs w:val="24"/>
          <w:lang w:val="en-US"/>
        </w:rPr>
      </w:pPr>
      <w:r w:rsidRPr="00CE18B4">
        <w:rPr>
          <w:szCs w:val="24"/>
          <w:lang w:val="en-US"/>
        </w:rPr>
        <w:t xml:space="preserve">The ADC has already identified life events to focus on, and </w:t>
      </w:r>
      <w:r w:rsidR="004206C3" w:rsidRPr="00CE18B4">
        <w:rPr>
          <w:szCs w:val="24"/>
          <w:lang w:val="en-US"/>
        </w:rPr>
        <w:t>m</w:t>
      </w:r>
      <w:r w:rsidRPr="00CE18B4">
        <w:rPr>
          <w:szCs w:val="24"/>
          <w:lang w:val="en-US"/>
        </w:rPr>
        <w:t>ulti-</w:t>
      </w:r>
      <w:r w:rsidR="004206C3" w:rsidRPr="00CE18B4">
        <w:rPr>
          <w:szCs w:val="24"/>
          <w:lang w:val="en-US"/>
        </w:rPr>
        <w:t>d</w:t>
      </w:r>
      <w:r w:rsidRPr="00CE18B4">
        <w:rPr>
          <w:szCs w:val="24"/>
          <w:lang w:val="en-US"/>
        </w:rPr>
        <w:t xml:space="preserve">isciplinary </w:t>
      </w:r>
      <w:r w:rsidR="004206C3" w:rsidRPr="00CE18B4">
        <w:rPr>
          <w:szCs w:val="24"/>
          <w:lang w:val="en-US"/>
        </w:rPr>
        <w:t>t</w:t>
      </w:r>
      <w:r w:rsidRPr="00CE18B4">
        <w:rPr>
          <w:szCs w:val="24"/>
          <w:lang w:val="en-US"/>
        </w:rPr>
        <w:t>eams (MDTs) across jurisdictions are being created to tackle these life events.</w:t>
      </w:r>
      <w:r w:rsidRPr="00AD5A8B">
        <w:rPr>
          <w:szCs w:val="24"/>
          <w:lang w:val="en-US"/>
        </w:rPr>
        <w:t xml:space="preserve"> </w:t>
      </w:r>
    </w:p>
    <w:p w14:paraId="738FFA49" w14:textId="77777777" w:rsidR="00BB1492" w:rsidRPr="00AD5A8B" w:rsidRDefault="00D32DD2" w:rsidP="00CE18B4">
      <w:pPr>
        <w:spacing w:after="120" w:line="240" w:lineRule="auto"/>
        <w:rPr>
          <w:i/>
        </w:rPr>
      </w:pPr>
      <w:r>
        <w:rPr>
          <w:i/>
        </w:rPr>
        <w:t xml:space="preserve">Scoping </w:t>
      </w:r>
      <w:r w:rsidR="00BB1492" w:rsidRPr="00AD5A8B">
        <w:rPr>
          <w:i/>
        </w:rPr>
        <w:t>Whole of Government Platforms</w:t>
      </w:r>
    </w:p>
    <w:p w14:paraId="7581B29C" w14:textId="77777777" w:rsidR="00FA28FF" w:rsidRPr="00D40FDD" w:rsidRDefault="00D13CF7" w:rsidP="00CE18B4">
      <w:pPr>
        <w:spacing w:after="120" w:line="240" w:lineRule="auto"/>
        <w:rPr>
          <w:szCs w:val="24"/>
          <w:lang w:val="en-US"/>
        </w:rPr>
      </w:pPr>
      <w:r w:rsidRPr="00AD5A8B">
        <w:rPr>
          <w:szCs w:val="24"/>
          <w:lang w:val="en-US"/>
        </w:rPr>
        <w:t>The ADC is being used to help communicate opportunities to work together and to experiment on whole of government initiatives</w:t>
      </w:r>
      <w:r w:rsidRPr="004553A3">
        <w:rPr>
          <w:szCs w:val="24"/>
          <w:lang w:val="en-US"/>
        </w:rPr>
        <w:t>.</w:t>
      </w:r>
      <w:r>
        <w:rPr>
          <w:szCs w:val="24"/>
          <w:lang w:val="en-US"/>
        </w:rPr>
        <w:t xml:space="preserve"> In regard to whole of government platforms, t</w:t>
      </w:r>
      <w:r w:rsidRPr="00D40FDD">
        <w:rPr>
          <w:szCs w:val="24"/>
          <w:lang w:val="en-US"/>
        </w:rPr>
        <w:t>he Australian Government is working to reduce the duplication of platforms across government to</w:t>
      </w:r>
      <w:r w:rsidR="00BB1492" w:rsidRPr="00D40FDD">
        <w:rPr>
          <w:szCs w:val="24"/>
          <w:lang w:val="en-US"/>
        </w:rPr>
        <w:t>:</w:t>
      </w:r>
    </w:p>
    <w:p w14:paraId="0BAE00B0" w14:textId="77777777" w:rsidR="00FA28FF" w:rsidRPr="00D40FDD" w:rsidRDefault="00494AF4" w:rsidP="00CE18B4">
      <w:pPr>
        <w:pStyle w:val="ListParagraph"/>
        <w:numPr>
          <w:ilvl w:val="0"/>
          <w:numId w:val="8"/>
        </w:numPr>
        <w:spacing w:after="120"/>
        <w:ind w:left="714" w:hanging="357"/>
        <w:rPr>
          <w:rFonts w:asciiTheme="minorHAnsi" w:hAnsiTheme="minorHAnsi" w:cstheme="minorBidi"/>
          <w:szCs w:val="24"/>
          <w:lang w:val="en-US"/>
        </w:rPr>
      </w:pPr>
      <w:r w:rsidRPr="00D40FDD">
        <w:rPr>
          <w:rFonts w:asciiTheme="minorHAnsi" w:hAnsiTheme="minorHAnsi" w:cstheme="minorBidi"/>
          <w:szCs w:val="24"/>
          <w:lang w:val="en-US"/>
        </w:rPr>
        <w:t>g</w:t>
      </w:r>
      <w:r w:rsidR="00FA28FF" w:rsidRPr="00D40FDD">
        <w:rPr>
          <w:rFonts w:asciiTheme="minorHAnsi" w:hAnsiTheme="minorHAnsi" w:cstheme="minorBidi"/>
          <w:szCs w:val="24"/>
          <w:lang w:val="en-US"/>
        </w:rPr>
        <w:t>ive users an easier and more consistent way of interacting with government</w:t>
      </w:r>
    </w:p>
    <w:p w14:paraId="2D5D16B6" w14:textId="77777777" w:rsidR="00FA28FF" w:rsidRPr="00D40FDD" w:rsidRDefault="00494AF4" w:rsidP="00CE18B4">
      <w:pPr>
        <w:pStyle w:val="ListParagraph"/>
        <w:numPr>
          <w:ilvl w:val="0"/>
          <w:numId w:val="8"/>
        </w:numPr>
        <w:spacing w:after="120"/>
        <w:ind w:left="714" w:hanging="357"/>
        <w:rPr>
          <w:rFonts w:asciiTheme="minorHAnsi" w:hAnsiTheme="minorHAnsi" w:cstheme="minorBidi"/>
          <w:szCs w:val="24"/>
          <w:lang w:val="en-US"/>
        </w:rPr>
      </w:pPr>
      <w:r w:rsidRPr="00D40FDD">
        <w:rPr>
          <w:rFonts w:asciiTheme="minorHAnsi" w:hAnsiTheme="minorHAnsi" w:cstheme="minorBidi"/>
          <w:szCs w:val="24"/>
          <w:lang w:val="en-US"/>
        </w:rPr>
        <w:t>l</w:t>
      </w:r>
      <w:r w:rsidR="00FA28FF" w:rsidRPr="00D40FDD">
        <w:rPr>
          <w:rFonts w:asciiTheme="minorHAnsi" w:hAnsiTheme="minorHAnsi" w:cstheme="minorBidi"/>
          <w:szCs w:val="24"/>
          <w:lang w:val="en-US"/>
        </w:rPr>
        <w:t>ower the cost of information and communications technology (ICT) for government agencies</w:t>
      </w:r>
      <w:r w:rsidRPr="00D40FDD">
        <w:rPr>
          <w:rFonts w:asciiTheme="minorHAnsi" w:hAnsiTheme="minorHAnsi" w:cstheme="minorBidi"/>
          <w:szCs w:val="24"/>
          <w:lang w:val="en-US"/>
        </w:rPr>
        <w:t>,</w:t>
      </w:r>
      <w:r w:rsidR="00FA28FF" w:rsidRPr="00D40FDD">
        <w:rPr>
          <w:rFonts w:asciiTheme="minorHAnsi" w:hAnsiTheme="minorHAnsi" w:cstheme="minorBidi"/>
          <w:szCs w:val="24"/>
          <w:lang w:val="en-US"/>
        </w:rPr>
        <w:t xml:space="preserve"> and</w:t>
      </w:r>
    </w:p>
    <w:p w14:paraId="673D157D" w14:textId="77777777" w:rsidR="00FA28FF" w:rsidRPr="00CE18B4" w:rsidRDefault="00494AF4" w:rsidP="00CE18B4">
      <w:pPr>
        <w:pStyle w:val="ListParagraph"/>
        <w:numPr>
          <w:ilvl w:val="0"/>
          <w:numId w:val="8"/>
        </w:numPr>
        <w:spacing w:after="120"/>
        <w:ind w:left="714" w:hanging="357"/>
        <w:rPr>
          <w:rFonts w:asciiTheme="minorHAnsi" w:hAnsiTheme="minorHAnsi" w:cstheme="minorBidi"/>
          <w:szCs w:val="24"/>
          <w:lang w:val="en-US"/>
        </w:rPr>
      </w:pPr>
      <w:r w:rsidRPr="00D40FDD">
        <w:rPr>
          <w:rFonts w:asciiTheme="minorHAnsi" w:hAnsiTheme="minorHAnsi" w:cstheme="minorBidi"/>
          <w:szCs w:val="24"/>
          <w:lang w:val="en-US"/>
        </w:rPr>
        <w:t>r</w:t>
      </w:r>
      <w:r w:rsidR="00FA28FF" w:rsidRPr="00D40FDD">
        <w:rPr>
          <w:rFonts w:asciiTheme="minorHAnsi" w:hAnsiTheme="minorHAnsi" w:cstheme="minorBidi"/>
          <w:szCs w:val="24"/>
          <w:lang w:val="en-US"/>
        </w:rPr>
        <w:t xml:space="preserve">educe the need to customise processes and integrate new technologies. </w:t>
      </w:r>
    </w:p>
    <w:p w14:paraId="2D6E404B" w14:textId="77777777" w:rsidR="00FA28FF" w:rsidRDefault="00FA28FF" w:rsidP="00CE18B4">
      <w:pPr>
        <w:spacing w:after="120" w:line="240" w:lineRule="auto"/>
        <w:rPr>
          <w:szCs w:val="24"/>
          <w:lang w:val="en-US"/>
        </w:rPr>
      </w:pPr>
      <w:r w:rsidRPr="00D40FDD">
        <w:rPr>
          <w:szCs w:val="24"/>
          <w:lang w:val="en-US"/>
        </w:rPr>
        <w:t xml:space="preserve">While </w:t>
      </w:r>
      <w:r w:rsidR="00C87EF1" w:rsidRPr="00D40FDD">
        <w:rPr>
          <w:szCs w:val="24"/>
          <w:lang w:val="en-US"/>
        </w:rPr>
        <w:t xml:space="preserve">there is support for </w:t>
      </w:r>
      <w:r w:rsidR="00115F05" w:rsidRPr="00D40FDD">
        <w:rPr>
          <w:szCs w:val="24"/>
          <w:lang w:val="en-US"/>
        </w:rPr>
        <w:t xml:space="preserve">change, </w:t>
      </w:r>
      <w:r w:rsidRPr="00D40FDD">
        <w:rPr>
          <w:szCs w:val="24"/>
          <w:lang w:val="en-US"/>
        </w:rPr>
        <w:t xml:space="preserve">implementation </w:t>
      </w:r>
      <w:r w:rsidR="00BB1492" w:rsidRPr="00D40FDD">
        <w:rPr>
          <w:szCs w:val="24"/>
          <w:lang w:val="en-US"/>
        </w:rPr>
        <w:t xml:space="preserve">will be </w:t>
      </w:r>
      <w:r w:rsidRPr="00D40FDD">
        <w:rPr>
          <w:szCs w:val="24"/>
          <w:lang w:val="en-US"/>
        </w:rPr>
        <w:t>challenging. Each government agency has its own requirements, legacy technology, cultures, ways of working and measure</w:t>
      </w:r>
      <w:r w:rsidR="005D75CA" w:rsidRPr="00D40FDD">
        <w:rPr>
          <w:szCs w:val="24"/>
          <w:lang w:val="en-US"/>
        </w:rPr>
        <w:t>s</w:t>
      </w:r>
      <w:r w:rsidRPr="00D40FDD">
        <w:rPr>
          <w:szCs w:val="24"/>
          <w:lang w:val="en-US"/>
        </w:rPr>
        <w:t xml:space="preserve"> of success. To develop a platform that will endure and work for the whole of government </w:t>
      </w:r>
      <w:r w:rsidR="00C87EF1" w:rsidRPr="00D40FDD">
        <w:rPr>
          <w:szCs w:val="24"/>
          <w:lang w:val="en-US"/>
        </w:rPr>
        <w:t xml:space="preserve">will require </w:t>
      </w:r>
      <w:r w:rsidRPr="00D40FDD">
        <w:rPr>
          <w:szCs w:val="24"/>
          <w:lang w:val="en-US"/>
        </w:rPr>
        <w:t xml:space="preserve">transformation skills </w:t>
      </w:r>
      <w:r w:rsidR="00C87EF1" w:rsidRPr="00D40FDD">
        <w:rPr>
          <w:szCs w:val="24"/>
          <w:lang w:val="en-US"/>
        </w:rPr>
        <w:t>arou</w:t>
      </w:r>
      <w:r w:rsidRPr="00D40FDD">
        <w:rPr>
          <w:szCs w:val="24"/>
          <w:lang w:val="en-US"/>
        </w:rPr>
        <w:t>nd engagement, stakeholder buy</w:t>
      </w:r>
      <w:r w:rsidR="00232954">
        <w:rPr>
          <w:szCs w:val="24"/>
          <w:lang w:val="en-US"/>
        </w:rPr>
        <w:t>-</w:t>
      </w:r>
      <w:r w:rsidRPr="00D40FDD">
        <w:rPr>
          <w:szCs w:val="24"/>
          <w:lang w:val="en-US"/>
        </w:rPr>
        <w:t>in and change management</w:t>
      </w:r>
      <w:r w:rsidR="00C5563A">
        <w:rPr>
          <w:szCs w:val="24"/>
          <w:lang w:val="en-US"/>
        </w:rPr>
        <w:t xml:space="preserve"> (refer section under Capability)</w:t>
      </w:r>
      <w:r w:rsidRPr="00D40FDD">
        <w:rPr>
          <w:szCs w:val="24"/>
          <w:lang w:val="en-US"/>
        </w:rPr>
        <w:t>.</w:t>
      </w:r>
      <w:r w:rsidRPr="005D75CA">
        <w:rPr>
          <w:szCs w:val="24"/>
          <w:lang w:val="en-US"/>
        </w:rPr>
        <w:t xml:space="preserve"> </w:t>
      </w:r>
    </w:p>
    <w:p w14:paraId="79A53597" w14:textId="77777777" w:rsidR="001317A1" w:rsidRDefault="001317A1" w:rsidP="00CE18B4">
      <w:pPr>
        <w:spacing w:after="120" w:line="240" w:lineRule="auto"/>
        <w:rPr>
          <w:szCs w:val="24"/>
          <w:lang w:val="en-US"/>
        </w:rPr>
      </w:pPr>
      <w:r>
        <w:rPr>
          <w:szCs w:val="24"/>
          <w:lang w:val="en-US"/>
        </w:rPr>
        <w:t xml:space="preserve">The program of whole of government platforms </w:t>
      </w:r>
      <w:r w:rsidR="006C7159">
        <w:rPr>
          <w:szCs w:val="24"/>
          <w:lang w:val="en-US"/>
        </w:rPr>
        <w:t>is</w:t>
      </w:r>
      <w:r>
        <w:rPr>
          <w:szCs w:val="24"/>
          <w:lang w:val="en-US"/>
        </w:rPr>
        <w:t xml:space="preserve"> a part of the Digital Transformation Strategy with the first platform, Digital Identity, launch</w:t>
      </w:r>
      <w:r w:rsidR="00C5563A">
        <w:rPr>
          <w:szCs w:val="24"/>
          <w:lang w:val="en-US"/>
        </w:rPr>
        <w:t>ed</w:t>
      </w:r>
      <w:r>
        <w:rPr>
          <w:szCs w:val="24"/>
          <w:lang w:val="en-US"/>
        </w:rPr>
        <w:t xml:space="preserve"> in October 2018. The upcoming platforms for launch in 2019 include a Tell us Once platform, Notifications and improvements to myGov. </w:t>
      </w:r>
    </w:p>
    <w:p w14:paraId="6321200A" w14:textId="77777777" w:rsidR="00AF6B1D" w:rsidRDefault="00AF6B1D" w:rsidP="00CE18B4">
      <w:pPr>
        <w:spacing w:after="120" w:line="240" w:lineRule="auto"/>
        <w:rPr>
          <w:i/>
        </w:rPr>
      </w:pPr>
    </w:p>
    <w:p w14:paraId="30F0AE77" w14:textId="77777777" w:rsidR="00AF6B1D" w:rsidRDefault="00AF6B1D" w:rsidP="00CE18B4">
      <w:pPr>
        <w:spacing w:after="120" w:line="240" w:lineRule="auto"/>
        <w:rPr>
          <w:i/>
        </w:rPr>
      </w:pPr>
    </w:p>
    <w:p w14:paraId="6F8DBEB6" w14:textId="77777777" w:rsidR="00AF6B1D" w:rsidRDefault="00AF6B1D" w:rsidP="00CE18B4">
      <w:pPr>
        <w:spacing w:after="120" w:line="240" w:lineRule="auto"/>
        <w:rPr>
          <w:i/>
        </w:rPr>
      </w:pPr>
    </w:p>
    <w:p w14:paraId="29736E59" w14:textId="77777777" w:rsidR="00AF6B1D" w:rsidRDefault="00AF6B1D" w:rsidP="00CE18B4">
      <w:pPr>
        <w:spacing w:after="120" w:line="240" w:lineRule="auto"/>
        <w:rPr>
          <w:i/>
        </w:rPr>
      </w:pPr>
    </w:p>
    <w:p w14:paraId="5205D279" w14:textId="408E2D7A" w:rsidR="00FA28FF" w:rsidRPr="004F5ECC" w:rsidRDefault="00D32DD2" w:rsidP="00CE18B4">
      <w:pPr>
        <w:spacing w:after="120" w:line="240" w:lineRule="auto"/>
        <w:rPr>
          <w:i/>
        </w:rPr>
      </w:pPr>
      <w:r>
        <w:rPr>
          <w:i/>
        </w:rPr>
        <w:t>Scoping Whole of Government Approaches to Managing L</w:t>
      </w:r>
      <w:r w:rsidR="00FA28FF" w:rsidRPr="004F5ECC">
        <w:rPr>
          <w:i/>
        </w:rPr>
        <w:t xml:space="preserve">ife </w:t>
      </w:r>
      <w:r>
        <w:rPr>
          <w:i/>
        </w:rPr>
        <w:t>E</w:t>
      </w:r>
      <w:r w:rsidR="00FA28FF" w:rsidRPr="004F5ECC">
        <w:rPr>
          <w:i/>
        </w:rPr>
        <w:t>vents</w:t>
      </w:r>
    </w:p>
    <w:p w14:paraId="44684619" w14:textId="77777777" w:rsidR="00FA28FF" w:rsidRPr="00D40FDD" w:rsidRDefault="00FA28FF" w:rsidP="00CE18B4">
      <w:pPr>
        <w:spacing w:after="120" w:line="240" w:lineRule="auto"/>
      </w:pPr>
      <w:r w:rsidRPr="00D40FDD">
        <w:t xml:space="preserve">When events happen in citizen’s lives they currently need to deal with multiple agencies or government layers. They need to fill in multiple forms or respond to different requirements. For example, </w:t>
      </w:r>
      <w:r w:rsidR="00232954">
        <w:t xml:space="preserve">with the birth of a child, </w:t>
      </w:r>
      <w:r w:rsidR="005D75CA" w:rsidRPr="00D40FDD">
        <w:t>a citizen</w:t>
      </w:r>
      <w:r w:rsidR="009F3CB9">
        <w:t xml:space="preserve"> </w:t>
      </w:r>
      <w:r w:rsidRPr="00D40FDD">
        <w:t>may want to:</w:t>
      </w:r>
    </w:p>
    <w:p w14:paraId="6F55F443" w14:textId="77777777" w:rsidR="00FA28FF" w:rsidRPr="00D40FDD" w:rsidRDefault="00494AF4" w:rsidP="00CE18B4">
      <w:pPr>
        <w:pStyle w:val="ListParagraph"/>
        <w:numPr>
          <w:ilvl w:val="0"/>
          <w:numId w:val="9"/>
        </w:numPr>
        <w:spacing w:after="120"/>
      </w:pPr>
      <w:r w:rsidRPr="00D40FDD">
        <w:t>f</w:t>
      </w:r>
      <w:r w:rsidR="00FA28FF" w:rsidRPr="00D40FDD">
        <w:t>ind a midwife</w:t>
      </w:r>
    </w:p>
    <w:p w14:paraId="4F889D9C" w14:textId="77777777" w:rsidR="00FA28FF" w:rsidRPr="00D40FDD" w:rsidRDefault="00494AF4" w:rsidP="00CE18B4">
      <w:pPr>
        <w:pStyle w:val="ListParagraph"/>
        <w:numPr>
          <w:ilvl w:val="0"/>
          <w:numId w:val="9"/>
        </w:numPr>
        <w:spacing w:after="120"/>
      </w:pPr>
      <w:r w:rsidRPr="00D40FDD">
        <w:t>r</w:t>
      </w:r>
      <w:r w:rsidR="00FA28FF" w:rsidRPr="00D40FDD">
        <w:t>egister</w:t>
      </w:r>
      <w:r w:rsidR="005D75CA" w:rsidRPr="00D40FDD">
        <w:t xml:space="preserve"> the </w:t>
      </w:r>
      <w:r w:rsidR="00FA28FF" w:rsidRPr="00D40FDD">
        <w:t>baby’s birth</w:t>
      </w:r>
    </w:p>
    <w:p w14:paraId="47133978" w14:textId="77777777" w:rsidR="00FA28FF" w:rsidRPr="00D40FDD" w:rsidRDefault="00494AF4" w:rsidP="00CE18B4">
      <w:pPr>
        <w:pStyle w:val="ListParagraph"/>
        <w:numPr>
          <w:ilvl w:val="0"/>
          <w:numId w:val="9"/>
        </w:numPr>
        <w:spacing w:after="120"/>
      </w:pPr>
      <w:r w:rsidRPr="00D40FDD">
        <w:t>a</w:t>
      </w:r>
      <w:r w:rsidR="00FA28FF" w:rsidRPr="00D40FDD">
        <w:t>pply for child care benefits</w:t>
      </w:r>
      <w:r w:rsidRPr="00D40FDD">
        <w:t>,</w:t>
      </w:r>
      <w:r w:rsidR="00FA28FF" w:rsidRPr="00D40FDD">
        <w:t xml:space="preserve"> and</w:t>
      </w:r>
    </w:p>
    <w:p w14:paraId="47909B97" w14:textId="77777777" w:rsidR="005D75CA" w:rsidRPr="00D40FDD" w:rsidRDefault="00494AF4" w:rsidP="00CE18B4">
      <w:pPr>
        <w:pStyle w:val="ListParagraph"/>
        <w:numPr>
          <w:ilvl w:val="0"/>
          <w:numId w:val="9"/>
        </w:numPr>
        <w:spacing w:after="120"/>
      </w:pPr>
      <w:r w:rsidRPr="00D40FDD">
        <w:t>s</w:t>
      </w:r>
      <w:r w:rsidR="00FA28FF" w:rsidRPr="00D40FDD">
        <w:t xml:space="preserve">ee </w:t>
      </w:r>
      <w:r w:rsidR="005D75CA" w:rsidRPr="00D40FDD">
        <w:t xml:space="preserve">the </w:t>
      </w:r>
      <w:r w:rsidR="00FA28FF" w:rsidRPr="00D40FDD">
        <w:t xml:space="preserve">baby’s health records. </w:t>
      </w:r>
    </w:p>
    <w:p w14:paraId="11ADD862" w14:textId="77777777" w:rsidR="00FA28FF" w:rsidRPr="00D40FDD" w:rsidRDefault="00FA28FF" w:rsidP="00CE18B4">
      <w:pPr>
        <w:spacing w:after="120" w:line="240" w:lineRule="auto"/>
      </w:pPr>
      <w:r w:rsidRPr="00D40FDD">
        <w:t>The Australian Government</w:t>
      </w:r>
      <w:r w:rsidR="001317A1">
        <w:t>, led by the DTA,</w:t>
      </w:r>
      <w:r w:rsidRPr="00D40FDD">
        <w:t xml:space="preserve"> is developing a program to make these services </w:t>
      </w:r>
      <w:r w:rsidR="00232954">
        <w:t xml:space="preserve">more easily </w:t>
      </w:r>
      <w:r w:rsidRPr="00D40FDD">
        <w:t xml:space="preserve">accessible and link them together. </w:t>
      </w:r>
      <w:r w:rsidR="00115F05" w:rsidRPr="00D40FDD">
        <w:t>T</w:t>
      </w:r>
      <w:r w:rsidR="005D75CA" w:rsidRPr="00D40FDD">
        <w:t>his work aim</w:t>
      </w:r>
      <w:r w:rsidR="002C3AEF">
        <w:t>s</w:t>
      </w:r>
      <w:r w:rsidR="005D75CA" w:rsidRPr="00D40FDD">
        <w:t xml:space="preserve"> to </w:t>
      </w:r>
      <w:r w:rsidRPr="00D40FDD">
        <w:t xml:space="preserve">remove </w:t>
      </w:r>
      <w:r w:rsidR="00232954">
        <w:t>existing</w:t>
      </w:r>
      <w:r w:rsidRPr="00D40FDD">
        <w:t xml:space="preserve"> complexity by connecting government services behind the scenes. </w:t>
      </w:r>
      <w:r w:rsidR="005D75CA" w:rsidRPr="00D40FDD">
        <w:t xml:space="preserve">The work recognises </w:t>
      </w:r>
      <w:r w:rsidRPr="00D40FDD">
        <w:t>that individuals and businesses want a consistent experience when dealing with government</w:t>
      </w:r>
      <w:r w:rsidR="005D75CA" w:rsidRPr="00D40FDD">
        <w:t xml:space="preserve">, </w:t>
      </w:r>
      <w:r w:rsidRPr="00D40FDD">
        <w:t>regardless of whether the service comes from federal or state/territory agencies.</w:t>
      </w:r>
    </w:p>
    <w:p w14:paraId="5552E9FD" w14:textId="34E7F109" w:rsidR="001317A1" w:rsidRDefault="00FA28FF" w:rsidP="00CE18B4">
      <w:pPr>
        <w:spacing w:after="120" w:line="240" w:lineRule="auto"/>
      </w:pPr>
      <w:r w:rsidRPr="00D40FDD">
        <w:t xml:space="preserve">While the </w:t>
      </w:r>
      <w:r w:rsidR="005D75CA" w:rsidRPr="00D40FDD">
        <w:t xml:space="preserve">potential </w:t>
      </w:r>
      <w:r w:rsidRPr="00D40FDD">
        <w:t xml:space="preserve">benefits for Australians </w:t>
      </w:r>
      <w:r w:rsidR="005D75CA" w:rsidRPr="00D40FDD">
        <w:t xml:space="preserve">will be </w:t>
      </w:r>
      <w:r w:rsidRPr="00D40FDD">
        <w:t xml:space="preserve">high, there are also benefits for government in developing services around life events. This approach </w:t>
      </w:r>
      <w:r w:rsidR="005D75CA" w:rsidRPr="00D40FDD">
        <w:t xml:space="preserve">would </w:t>
      </w:r>
      <w:r w:rsidRPr="00D40FDD">
        <w:t>remove the cost and inefficiencies of duplicate services across multiple agencies and layers of government.</w:t>
      </w:r>
      <w:r w:rsidR="001317A1">
        <w:t xml:space="preserve"> </w:t>
      </w:r>
      <w:r w:rsidR="00A94E53">
        <w:t>Opportunities for better servicing s</w:t>
      </w:r>
      <w:r w:rsidR="001317A1">
        <w:t xml:space="preserve">ome life events are being </w:t>
      </w:r>
      <w:r w:rsidR="00A94E53">
        <w:t>explored</w:t>
      </w:r>
      <w:r w:rsidR="001317A1">
        <w:t xml:space="preserve"> within the ADC across all levels of government. A life event community of practice </w:t>
      </w:r>
      <w:r w:rsidR="0054441B">
        <w:t xml:space="preserve">hosted by the DTA has proven to be </w:t>
      </w:r>
      <w:r w:rsidR="001317A1">
        <w:t xml:space="preserve">pivotal </w:t>
      </w:r>
      <w:r w:rsidR="00A94E53">
        <w:t>in</w:t>
      </w:r>
      <w:r w:rsidR="001317A1">
        <w:t xml:space="preserve"> connecting government agencies that can impact the lives of people and business during </w:t>
      </w:r>
      <w:r w:rsidR="006C7159">
        <w:t>a</w:t>
      </w:r>
      <w:r w:rsidR="001317A1">
        <w:t xml:space="preserve"> </w:t>
      </w:r>
      <w:r w:rsidR="0054441B">
        <w:t xml:space="preserve">life </w:t>
      </w:r>
      <w:r w:rsidR="001317A1">
        <w:t>event</w:t>
      </w:r>
      <w:r w:rsidR="0054441B">
        <w:t xml:space="preserve">. </w:t>
      </w:r>
    </w:p>
    <w:p w14:paraId="04935F17" w14:textId="3745E641" w:rsidR="00584E9C" w:rsidRPr="00421C2B" w:rsidRDefault="00584E9C" w:rsidP="00584E9C">
      <w:pPr>
        <w:spacing w:after="120" w:line="240" w:lineRule="auto"/>
        <w:rPr>
          <w:u w:val="single"/>
        </w:rPr>
      </w:pPr>
      <w:r>
        <w:rPr>
          <w:u w:val="single"/>
        </w:rPr>
        <w:t>Arrangements within the Australian Government</w:t>
      </w:r>
    </w:p>
    <w:p w14:paraId="24B397E6" w14:textId="657BEC42" w:rsidR="00584E9C" w:rsidRDefault="00584E9C" w:rsidP="00584E9C">
      <w:pPr>
        <w:spacing w:after="120" w:line="240" w:lineRule="auto"/>
      </w:pPr>
      <w:r w:rsidRPr="00421C2B">
        <w:t>While the ADC provides governance across the jurisdictions, the Australian Government also has internal governance mechanisms to manage government investment in ICT and digital services. The DTA oversees ICT and digital projects and programs and looks for opportunities to help government agencies lift their capabilities. The DTA also provides strategic advice to Cabinet meetings on the investment proposals to inform decision making.</w:t>
      </w:r>
      <w:r>
        <w:t xml:space="preserve"> </w:t>
      </w:r>
    </w:p>
    <w:p w14:paraId="68E76633" w14:textId="77777777" w:rsidR="004F5ECC" w:rsidRDefault="004F5ECC" w:rsidP="00CE18B4">
      <w:pPr>
        <w:spacing w:after="120" w:line="240" w:lineRule="auto"/>
        <w:rPr>
          <w:b/>
          <w:i/>
        </w:rPr>
      </w:pPr>
      <w:r w:rsidRPr="00B00DF6">
        <w:rPr>
          <w:b/>
          <w:i/>
        </w:rPr>
        <w:t xml:space="preserve">Issues </w:t>
      </w:r>
      <w:r>
        <w:rPr>
          <w:b/>
          <w:i/>
        </w:rPr>
        <w:t>for Discussion</w:t>
      </w:r>
    </w:p>
    <w:p w14:paraId="1048A3D2" w14:textId="77777777" w:rsidR="00AD5A8B" w:rsidRPr="002C53C1" w:rsidRDefault="00C5563A" w:rsidP="00CE18B4">
      <w:pPr>
        <w:pStyle w:val="Bullet"/>
        <w:numPr>
          <w:ilvl w:val="0"/>
          <w:numId w:val="0"/>
        </w:numPr>
        <w:spacing w:after="120" w:line="240" w:lineRule="auto"/>
        <w:ind w:right="-340"/>
        <w:rPr>
          <w:bCs/>
          <w:lang w:val="en-CA"/>
        </w:rPr>
      </w:pPr>
      <w:r>
        <w:rPr>
          <w:bCs/>
          <w:lang w:val="en-CA"/>
        </w:rPr>
        <w:t>The c</w:t>
      </w:r>
      <w:r w:rsidR="00AD5A8B">
        <w:rPr>
          <w:bCs/>
          <w:lang w:val="en-CA"/>
        </w:rPr>
        <w:t>ritical challenge in b</w:t>
      </w:r>
      <w:r w:rsidR="004F5ECC">
        <w:rPr>
          <w:bCs/>
          <w:lang w:val="en-CA"/>
        </w:rPr>
        <w:t xml:space="preserve">oth countries </w:t>
      </w:r>
      <w:r w:rsidR="00AD5A8B">
        <w:rPr>
          <w:bCs/>
          <w:lang w:val="en-CA"/>
        </w:rPr>
        <w:t>will be implement</w:t>
      </w:r>
      <w:r>
        <w:rPr>
          <w:bCs/>
          <w:lang w:val="en-CA"/>
        </w:rPr>
        <w:t xml:space="preserve">ing </w:t>
      </w:r>
      <w:r w:rsidR="00AD5A8B">
        <w:rPr>
          <w:bCs/>
          <w:lang w:val="en-CA"/>
        </w:rPr>
        <w:t xml:space="preserve">the new governance arrangements. </w:t>
      </w:r>
      <w:r w:rsidR="00A94E53">
        <w:rPr>
          <w:bCs/>
          <w:lang w:val="en-CA"/>
        </w:rPr>
        <w:t>Issues</w:t>
      </w:r>
      <w:r w:rsidR="00AD5A8B">
        <w:rPr>
          <w:bCs/>
          <w:lang w:val="en-CA"/>
        </w:rPr>
        <w:t xml:space="preserve"> for discussion might focus on:  </w:t>
      </w:r>
    </w:p>
    <w:p w14:paraId="4DC17B57" w14:textId="77777777" w:rsidR="00AD5A8B" w:rsidRPr="00AD5A8B" w:rsidRDefault="00AD5A8B" w:rsidP="00CE18B4">
      <w:pPr>
        <w:pStyle w:val="ListParagraph"/>
        <w:numPr>
          <w:ilvl w:val="0"/>
          <w:numId w:val="4"/>
        </w:numPr>
        <w:spacing w:after="120"/>
        <w:rPr>
          <w:rFonts w:asciiTheme="minorHAnsi" w:hAnsiTheme="minorHAnsi" w:cstheme="minorBidi"/>
          <w:bCs/>
          <w:lang w:val="en-CA"/>
        </w:rPr>
      </w:pPr>
      <w:r w:rsidRPr="00AD5A8B">
        <w:rPr>
          <w:rFonts w:asciiTheme="minorHAnsi" w:hAnsiTheme="minorHAnsi" w:cstheme="minorBidi"/>
          <w:bCs/>
          <w:lang w:val="en-CA"/>
        </w:rPr>
        <w:t>How can governments work across boundaries to improve whole of government service delivery?  </w:t>
      </w:r>
    </w:p>
    <w:p w14:paraId="12A5A076" w14:textId="77777777" w:rsidR="00AD5A8B" w:rsidRPr="00AD5A8B" w:rsidRDefault="00AD5A8B" w:rsidP="00CE18B4">
      <w:pPr>
        <w:pStyle w:val="ListParagraph"/>
        <w:numPr>
          <w:ilvl w:val="0"/>
          <w:numId w:val="4"/>
        </w:numPr>
        <w:spacing w:after="120"/>
        <w:rPr>
          <w:rFonts w:asciiTheme="minorHAnsi" w:hAnsiTheme="minorHAnsi" w:cstheme="minorBidi"/>
          <w:bCs/>
          <w:lang w:val="en-CA"/>
        </w:rPr>
      </w:pPr>
      <w:r w:rsidRPr="00AD5A8B">
        <w:rPr>
          <w:rFonts w:asciiTheme="minorHAnsi" w:hAnsiTheme="minorHAnsi" w:cstheme="minorBidi"/>
          <w:bCs/>
          <w:lang w:val="en-CA"/>
        </w:rPr>
        <w:t>What are some of the key ways to encourage and share innovation across complex sets of departments and agencies without imposing additional re</w:t>
      </w:r>
      <w:r w:rsidR="00C5563A">
        <w:rPr>
          <w:rFonts w:asciiTheme="minorHAnsi" w:hAnsiTheme="minorHAnsi" w:cstheme="minorBidi"/>
          <w:bCs/>
          <w:lang w:val="en-CA"/>
        </w:rPr>
        <w:t>d tape</w:t>
      </w:r>
      <w:r w:rsidRPr="00AD5A8B">
        <w:rPr>
          <w:rFonts w:asciiTheme="minorHAnsi" w:hAnsiTheme="minorHAnsi" w:cstheme="minorBidi"/>
          <w:bCs/>
          <w:lang w:val="en-CA"/>
        </w:rPr>
        <w:t xml:space="preserve">? </w:t>
      </w:r>
    </w:p>
    <w:p w14:paraId="2C7C6E67" w14:textId="77777777" w:rsidR="00AF6B1D" w:rsidRDefault="00AF6B1D" w:rsidP="00CE18B4">
      <w:pPr>
        <w:spacing w:after="120" w:line="240" w:lineRule="auto"/>
        <w:rPr>
          <w:rFonts w:ascii="Times New Roman" w:hAnsi="Times New Roman" w:cs="Times New Roman"/>
          <w:b/>
          <w:i/>
          <w:sz w:val="28"/>
          <w:szCs w:val="28"/>
        </w:rPr>
      </w:pPr>
    </w:p>
    <w:p w14:paraId="747BBD79" w14:textId="77777777" w:rsidR="00AF6B1D" w:rsidRDefault="00AF6B1D" w:rsidP="00CE18B4">
      <w:pPr>
        <w:spacing w:after="120" w:line="240" w:lineRule="auto"/>
        <w:rPr>
          <w:rFonts w:ascii="Times New Roman" w:hAnsi="Times New Roman" w:cs="Times New Roman"/>
          <w:b/>
          <w:i/>
          <w:sz w:val="28"/>
          <w:szCs w:val="28"/>
        </w:rPr>
      </w:pPr>
    </w:p>
    <w:p w14:paraId="6E76AB6C" w14:textId="77777777" w:rsidR="00AF6B1D" w:rsidRDefault="00AF6B1D" w:rsidP="00CE18B4">
      <w:pPr>
        <w:spacing w:after="120" w:line="240" w:lineRule="auto"/>
        <w:rPr>
          <w:rFonts w:ascii="Times New Roman" w:hAnsi="Times New Roman" w:cs="Times New Roman"/>
          <w:b/>
          <w:i/>
          <w:sz w:val="28"/>
          <w:szCs w:val="28"/>
        </w:rPr>
      </w:pPr>
    </w:p>
    <w:p w14:paraId="2BF2F3E3" w14:textId="77777777" w:rsidR="00AF6B1D" w:rsidRDefault="00AF6B1D" w:rsidP="00CE18B4">
      <w:pPr>
        <w:spacing w:after="120" w:line="240" w:lineRule="auto"/>
        <w:rPr>
          <w:rFonts w:ascii="Times New Roman" w:hAnsi="Times New Roman" w:cs="Times New Roman"/>
          <w:b/>
          <w:i/>
          <w:sz w:val="28"/>
          <w:szCs w:val="28"/>
        </w:rPr>
      </w:pPr>
    </w:p>
    <w:p w14:paraId="0B6CC1AA" w14:textId="77777777" w:rsidR="00AF6B1D" w:rsidRDefault="00AF6B1D" w:rsidP="00CE18B4">
      <w:pPr>
        <w:spacing w:after="120" w:line="240" w:lineRule="auto"/>
        <w:rPr>
          <w:rFonts w:ascii="Times New Roman" w:hAnsi="Times New Roman" w:cs="Times New Roman"/>
          <w:b/>
          <w:i/>
          <w:sz w:val="28"/>
          <w:szCs w:val="28"/>
        </w:rPr>
      </w:pPr>
    </w:p>
    <w:p w14:paraId="3EB56ECB" w14:textId="77777777" w:rsidR="00AF6B1D" w:rsidRDefault="00AF6B1D" w:rsidP="00CE18B4">
      <w:pPr>
        <w:spacing w:after="120" w:line="240" w:lineRule="auto"/>
        <w:rPr>
          <w:rFonts w:ascii="Times New Roman" w:hAnsi="Times New Roman" w:cs="Times New Roman"/>
          <w:b/>
          <w:i/>
          <w:sz w:val="28"/>
          <w:szCs w:val="28"/>
        </w:rPr>
      </w:pPr>
    </w:p>
    <w:p w14:paraId="216FBC3E" w14:textId="77777777" w:rsidR="00AF6B1D" w:rsidRDefault="00AF6B1D" w:rsidP="00CE18B4">
      <w:pPr>
        <w:spacing w:after="120" w:line="240" w:lineRule="auto"/>
        <w:rPr>
          <w:rFonts w:ascii="Times New Roman" w:hAnsi="Times New Roman" w:cs="Times New Roman"/>
          <w:b/>
          <w:i/>
          <w:sz w:val="28"/>
          <w:szCs w:val="28"/>
        </w:rPr>
      </w:pPr>
    </w:p>
    <w:p w14:paraId="7AD56AFF" w14:textId="77777777" w:rsidR="00AF6B1D" w:rsidRDefault="00AF6B1D" w:rsidP="00CE18B4">
      <w:pPr>
        <w:spacing w:after="120" w:line="240" w:lineRule="auto"/>
        <w:rPr>
          <w:rFonts w:ascii="Times New Roman" w:hAnsi="Times New Roman" w:cs="Times New Roman"/>
          <w:b/>
          <w:i/>
          <w:sz w:val="28"/>
          <w:szCs w:val="28"/>
        </w:rPr>
      </w:pPr>
    </w:p>
    <w:p w14:paraId="1FD53953" w14:textId="77777777" w:rsidR="00AF6B1D" w:rsidRDefault="00AF6B1D" w:rsidP="00CE18B4">
      <w:pPr>
        <w:spacing w:after="120" w:line="240" w:lineRule="auto"/>
        <w:rPr>
          <w:rFonts w:ascii="Times New Roman" w:hAnsi="Times New Roman" w:cs="Times New Roman"/>
          <w:b/>
          <w:i/>
          <w:sz w:val="28"/>
          <w:szCs w:val="28"/>
        </w:rPr>
      </w:pPr>
    </w:p>
    <w:p w14:paraId="770978E6" w14:textId="09BFD82F" w:rsidR="00DC08F3" w:rsidRPr="00514B63" w:rsidRDefault="009A74EC" w:rsidP="00CE18B4">
      <w:pPr>
        <w:spacing w:after="120" w:line="240" w:lineRule="auto"/>
        <w:rPr>
          <w:rFonts w:ascii="Times New Roman" w:hAnsi="Times New Roman" w:cs="Times New Roman"/>
          <w:b/>
          <w:i/>
          <w:sz w:val="28"/>
          <w:szCs w:val="28"/>
        </w:rPr>
      </w:pPr>
      <w:r w:rsidRPr="00514B63">
        <w:rPr>
          <w:rFonts w:ascii="Times New Roman" w:hAnsi="Times New Roman" w:cs="Times New Roman"/>
          <w:b/>
          <w:i/>
          <w:sz w:val="28"/>
          <w:szCs w:val="28"/>
        </w:rPr>
        <w:t>Capability for Change</w:t>
      </w:r>
    </w:p>
    <w:p w14:paraId="41700BF0" w14:textId="77777777" w:rsidR="00FA5147" w:rsidRPr="00FA5147" w:rsidRDefault="00FA5147" w:rsidP="00CE18B4">
      <w:pPr>
        <w:spacing w:after="120" w:line="240" w:lineRule="auto"/>
        <w:rPr>
          <w:b/>
          <w:szCs w:val="24"/>
          <w:lang w:val="en-US"/>
        </w:rPr>
      </w:pPr>
      <w:r w:rsidRPr="00FA5147">
        <w:rPr>
          <w:b/>
          <w:szCs w:val="24"/>
          <w:lang w:val="en-US"/>
        </w:rPr>
        <w:t>Canada</w:t>
      </w:r>
    </w:p>
    <w:p w14:paraId="0286BDC0" w14:textId="77777777" w:rsidR="00FA5147" w:rsidRDefault="00E9069A" w:rsidP="00CE18B4">
      <w:pPr>
        <w:spacing w:after="120" w:line="240" w:lineRule="auto"/>
        <w:rPr>
          <w:szCs w:val="24"/>
          <w:u w:val="single"/>
          <w:lang w:val="en-US"/>
        </w:rPr>
      </w:pPr>
      <w:r>
        <w:rPr>
          <w:szCs w:val="24"/>
          <w:u w:val="single"/>
          <w:lang w:val="en-US"/>
        </w:rPr>
        <w:t xml:space="preserve">Establishing </w:t>
      </w:r>
      <w:r w:rsidR="00AD5A8B">
        <w:rPr>
          <w:szCs w:val="24"/>
          <w:u w:val="single"/>
          <w:lang w:val="en-US"/>
        </w:rPr>
        <w:t xml:space="preserve">a new </w:t>
      </w:r>
      <w:r w:rsidR="00FA5147">
        <w:rPr>
          <w:szCs w:val="24"/>
          <w:u w:val="single"/>
          <w:lang w:val="en-US"/>
        </w:rPr>
        <w:t>Digital Academy</w:t>
      </w:r>
    </w:p>
    <w:p w14:paraId="062A0DC6" w14:textId="77777777" w:rsidR="00FA5147" w:rsidRPr="00FF5C45" w:rsidRDefault="00FA5147" w:rsidP="00CE18B4">
      <w:pPr>
        <w:spacing w:after="120" w:line="240" w:lineRule="auto"/>
        <w:rPr>
          <w:szCs w:val="24"/>
          <w:lang w:val="en-CA"/>
        </w:rPr>
      </w:pPr>
      <w:r w:rsidRPr="00FF5C45">
        <w:rPr>
          <w:szCs w:val="24"/>
          <w:lang w:val="en-CA"/>
        </w:rPr>
        <w:t xml:space="preserve">To effectively enable digital government, the public service must promote digital literacy among all public servants. Digital literacy goes beyond basic computer skills, and public servants need to be able to use various technologies to extract high-value insights from the wealth of available information and data, use collaboration tools, and communicate in digital spaces. </w:t>
      </w:r>
    </w:p>
    <w:p w14:paraId="165F200E" w14:textId="7817F0B7" w:rsidR="00FA5147" w:rsidRPr="00FF5C45" w:rsidRDefault="00FA5147" w:rsidP="00CE18B4">
      <w:pPr>
        <w:spacing w:after="120" w:line="240" w:lineRule="auto"/>
        <w:rPr>
          <w:szCs w:val="24"/>
          <w:lang w:val="en-CA"/>
        </w:rPr>
      </w:pPr>
      <w:r w:rsidRPr="00FF5C45">
        <w:rPr>
          <w:szCs w:val="24"/>
          <w:lang w:val="en-CA"/>
        </w:rPr>
        <w:t xml:space="preserve">The Government of Canada is launching a Digital Academy with the goal of increasing the offerings available to public servants who want to increase their digital literacy and understanding of key areas such as service design, data analytics and new technologies as they apply to their work. Informed by examples in other jurisdictions, </w:t>
      </w:r>
      <w:r w:rsidR="008F12E7">
        <w:rPr>
          <w:szCs w:val="24"/>
          <w:lang w:val="en-CA"/>
        </w:rPr>
        <w:t>they</w:t>
      </w:r>
      <w:r w:rsidRPr="00FF5C45">
        <w:rPr>
          <w:szCs w:val="24"/>
          <w:lang w:val="en-CA"/>
        </w:rPr>
        <w:t xml:space="preserve"> will build a made-in-Canada model that will lead to</w:t>
      </w:r>
      <w:r w:rsidR="00A94E53">
        <w:rPr>
          <w:szCs w:val="24"/>
          <w:lang w:val="en-CA"/>
        </w:rPr>
        <w:t xml:space="preserve"> a</w:t>
      </w:r>
      <w:r w:rsidRPr="00FF5C45">
        <w:rPr>
          <w:szCs w:val="24"/>
          <w:lang w:val="en-CA"/>
        </w:rPr>
        <w:t xml:space="preserve"> better understanding of how digital can improve how government functions and </w:t>
      </w:r>
      <w:r w:rsidR="00A94E53">
        <w:rPr>
          <w:szCs w:val="24"/>
          <w:lang w:val="en-CA"/>
        </w:rPr>
        <w:t>enable</w:t>
      </w:r>
      <w:r w:rsidRPr="00FF5C45">
        <w:rPr>
          <w:szCs w:val="24"/>
          <w:lang w:val="en-CA"/>
        </w:rPr>
        <w:t xml:space="preserve"> better services. The Canada School of Public Service will lead the delivery of the Digital Academy, in partnership with TBS, the Canadian Digital Service, Statistics Canada, other government departments</w:t>
      </w:r>
      <w:r w:rsidR="00005F67">
        <w:rPr>
          <w:szCs w:val="24"/>
          <w:lang w:val="en-CA"/>
        </w:rPr>
        <w:t>,</w:t>
      </w:r>
      <w:r w:rsidRPr="00FF5C45">
        <w:rPr>
          <w:szCs w:val="24"/>
          <w:lang w:val="en-CA"/>
        </w:rPr>
        <w:t xml:space="preserve"> and partners in the non-profit, academic or private sectors. </w:t>
      </w:r>
    </w:p>
    <w:p w14:paraId="5A5D6941" w14:textId="77777777" w:rsidR="00FA5147" w:rsidRPr="00FF5C45" w:rsidRDefault="00FA5147" w:rsidP="00CE18B4">
      <w:pPr>
        <w:spacing w:after="120" w:line="240" w:lineRule="auto"/>
        <w:rPr>
          <w:szCs w:val="24"/>
          <w:lang w:val="en-CA"/>
        </w:rPr>
      </w:pPr>
      <w:r w:rsidRPr="00FF5C45">
        <w:rPr>
          <w:szCs w:val="24"/>
          <w:lang w:val="en-CA"/>
        </w:rPr>
        <w:t xml:space="preserve">The development of the Digital Academy will be especially guided by the principles of open by default, collaborating wisely, and iterative development. Initial courses were piloted in September 2018, and the </w:t>
      </w:r>
      <w:r w:rsidR="008F12E7">
        <w:rPr>
          <w:szCs w:val="24"/>
          <w:lang w:val="en-CA"/>
        </w:rPr>
        <w:t>G</w:t>
      </w:r>
      <w:r w:rsidRPr="00FF5C45">
        <w:rPr>
          <w:szCs w:val="24"/>
          <w:lang w:val="en-CA"/>
        </w:rPr>
        <w:t xml:space="preserve">overnment </w:t>
      </w:r>
      <w:r w:rsidR="008F12E7">
        <w:rPr>
          <w:szCs w:val="24"/>
          <w:lang w:val="en-CA"/>
        </w:rPr>
        <w:t xml:space="preserve">of Canada </w:t>
      </w:r>
      <w:r w:rsidRPr="00FF5C45">
        <w:rPr>
          <w:szCs w:val="24"/>
          <w:lang w:val="en-CA"/>
        </w:rPr>
        <w:t xml:space="preserve">will aim for this service to be available beginning in 2019. </w:t>
      </w:r>
    </w:p>
    <w:p w14:paraId="4C9BCBB3" w14:textId="77777777" w:rsidR="00FA5147" w:rsidRPr="00FA5147" w:rsidRDefault="00FA5147" w:rsidP="00CE18B4">
      <w:pPr>
        <w:spacing w:after="120" w:line="240" w:lineRule="auto"/>
        <w:rPr>
          <w:b/>
        </w:rPr>
      </w:pPr>
      <w:r w:rsidRPr="00FA5147">
        <w:rPr>
          <w:b/>
        </w:rPr>
        <w:t>Australia</w:t>
      </w:r>
    </w:p>
    <w:p w14:paraId="0869B05B" w14:textId="77777777" w:rsidR="00584E9C" w:rsidRPr="00AD5A8B" w:rsidRDefault="00584E9C" w:rsidP="00584E9C">
      <w:pPr>
        <w:spacing w:after="120" w:line="240" w:lineRule="auto"/>
        <w:rPr>
          <w:u w:val="single"/>
        </w:rPr>
      </w:pPr>
      <w:r>
        <w:rPr>
          <w:u w:val="single"/>
        </w:rPr>
        <w:t>Building Digital Capability Program</w:t>
      </w:r>
    </w:p>
    <w:p w14:paraId="599F4230" w14:textId="77777777" w:rsidR="00584E9C" w:rsidRPr="00514B63" w:rsidRDefault="00584E9C" w:rsidP="00584E9C">
      <w:pPr>
        <w:spacing w:after="120" w:line="240" w:lineRule="auto"/>
      </w:pPr>
      <w:r w:rsidRPr="00421C2B">
        <w:t>The DTA is working with the Australian Public Service Commission on a program known as ‘Building Digital Capability’. Its objectives are to identify and document the digital skills required for the APS, to inform training, recruitment and career development. To date, learning standards have been developed, a training program for senior executives has commenced and peer group learning circles have been launched. In addition, there are also central programs in place to recruit digital emerging talent through internships, cadetships and graduate placements, data fellowships and a Women in Technology Executive Management mentoring program.</w:t>
      </w:r>
      <w:r>
        <w:t xml:space="preserve"> </w:t>
      </w:r>
    </w:p>
    <w:p w14:paraId="5A5B8013" w14:textId="77777777" w:rsidR="00FA28FF" w:rsidRPr="00514B63" w:rsidRDefault="00FA28FF" w:rsidP="00CE18B4">
      <w:pPr>
        <w:spacing w:after="120" w:line="240" w:lineRule="auto"/>
      </w:pPr>
      <w:r w:rsidRPr="00514B63">
        <w:t xml:space="preserve">Through initiatives such as the </w:t>
      </w:r>
      <w:r w:rsidR="00AD5A8B">
        <w:t xml:space="preserve">Independent Review of the </w:t>
      </w:r>
      <w:r w:rsidRPr="00514B63">
        <w:t xml:space="preserve">APS, the </w:t>
      </w:r>
      <w:r w:rsidR="008F12E7">
        <w:t xml:space="preserve">Australian </w:t>
      </w:r>
      <w:r w:rsidR="00D152BA" w:rsidRPr="00514B63">
        <w:t>G</w:t>
      </w:r>
      <w:r w:rsidRPr="00514B63">
        <w:t xml:space="preserve">overnment is assessing how </w:t>
      </w:r>
      <w:r w:rsidR="00AA47DC">
        <w:t xml:space="preserve">it </w:t>
      </w:r>
      <w:r w:rsidRPr="00514B63">
        <w:t xml:space="preserve">can improve on borrowing capability across agencies. </w:t>
      </w:r>
      <w:r w:rsidR="00AA47DC">
        <w:t>There is a n</w:t>
      </w:r>
      <w:r w:rsidRPr="00514B63">
        <w:t xml:space="preserve">eed to establish better ways to allow for mobility of key skills and teams across government agencies, academic, not for profit organisations and the private sector. </w:t>
      </w:r>
    </w:p>
    <w:p w14:paraId="034D313F" w14:textId="77777777" w:rsidR="00D13CF7" w:rsidRPr="00514B63" w:rsidRDefault="00D13CF7" w:rsidP="00CE18B4">
      <w:pPr>
        <w:spacing w:after="120" w:line="240" w:lineRule="auto"/>
      </w:pPr>
      <w:r w:rsidRPr="00CE18B4">
        <w:t>Digital literacy is an APS</w:t>
      </w:r>
      <w:r w:rsidR="008F12E7" w:rsidRPr="00CE18B4">
        <w:t>-</w:t>
      </w:r>
      <w:r w:rsidRPr="00CE18B4">
        <w:t xml:space="preserve">wide focus, as reflected through the APS Census questions. </w:t>
      </w:r>
      <w:r w:rsidR="00A94E53" w:rsidRPr="00CE18B4">
        <w:t xml:space="preserve">For example, </w:t>
      </w:r>
      <w:r w:rsidRPr="00CE18B4">
        <w:t xml:space="preserve">DHS is undertaking a capability assessment to </w:t>
      </w:r>
      <w:r w:rsidR="00A94E53" w:rsidRPr="00CE18B4">
        <w:t xml:space="preserve">identify the skills required to </w:t>
      </w:r>
      <w:r w:rsidRPr="00CE18B4">
        <w:t>support the organisation into future.</w:t>
      </w:r>
    </w:p>
    <w:p w14:paraId="4366F748" w14:textId="77777777" w:rsidR="00FA28FF" w:rsidRPr="00514B63" w:rsidRDefault="00AD5A8B" w:rsidP="00CE18B4">
      <w:pPr>
        <w:spacing w:after="120" w:line="240" w:lineRule="auto"/>
      </w:pPr>
      <w:r>
        <w:t>T</w:t>
      </w:r>
      <w:r w:rsidR="00FA28FF" w:rsidRPr="00514B63">
        <w:t xml:space="preserve">here are many </w:t>
      </w:r>
      <w:r>
        <w:t xml:space="preserve">other </w:t>
      </w:r>
      <w:r w:rsidR="00AA47DC">
        <w:t xml:space="preserve">specific examples of </w:t>
      </w:r>
      <w:r w:rsidR="00FA28FF" w:rsidRPr="00514B63">
        <w:t xml:space="preserve">initiatives across the </w:t>
      </w:r>
      <w:r w:rsidR="00AA47DC">
        <w:t>APS</w:t>
      </w:r>
      <w:r w:rsidR="00FA28FF" w:rsidRPr="00514B63">
        <w:t xml:space="preserve"> </w:t>
      </w:r>
      <w:r w:rsidR="00AA47DC">
        <w:t xml:space="preserve">that will </w:t>
      </w:r>
      <w:r w:rsidR="00FA28FF" w:rsidRPr="00514B63">
        <w:t xml:space="preserve">improve </w:t>
      </w:r>
      <w:r w:rsidR="00AA47DC">
        <w:t>its capability to drive transformation</w:t>
      </w:r>
      <w:r w:rsidR="00FA28FF" w:rsidRPr="00514B63">
        <w:t>. These include:</w:t>
      </w:r>
    </w:p>
    <w:p w14:paraId="6029643E" w14:textId="77777777" w:rsidR="005962C0" w:rsidRPr="00CE18B4" w:rsidRDefault="005962C0" w:rsidP="005962C0">
      <w:pPr>
        <w:pStyle w:val="ListParagraph"/>
        <w:numPr>
          <w:ilvl w:val="0"/>
          <w:numId w:val="8"/>
        </w:numPr>
        <w:spacing w:after="120"/>
        <w:ind w:left="714" w:hanging="357"/>
        <w:rPr>
          <w:rFonts w:asciiTheme="minorHAnsi" w:hAnsiTheme="minorHAnsi" w:cstheme="minorBidi"/>
          <w:szCs w:val="24"/>
          <w:lang w:val="en-US"/>
        </w:rPr>
      </w:pPr>
      <w:r w:rsidRPr="00CE18B4">
        <w:rPr>
          <w:rFonts w:asciiTheme="minorHAnsi" w:hAnsiTheme="minorHAnsi" w:cstheme="minorBidi"/>
          <w:szCs w:val="24"/>
          <w:lang w:val="en-US"/>
        </w:rPr>
        <w:t>senior leaders in DHS championing cultural change in how DHS works with policy agencies to explore ways to better share insights and utilise DHS service delivery and transformation expertise to inform policy</w:t>
      </w:r>
    </w:p>
    <w:p w14:paraId="2EF77C43" w14:textId="77777777" w:rsidR="005962C0" w:rsidRPr="00CE18B4" w:rsidRDefault="005962C0" w:rsidP="005962C0">
      <w:pPr>
        <w:pStyle w:val="ListParagraph"/>
        <w:numPr>
          <w:ilvl w:val="0"/>
          <w:numId w:val="8"/>
        </w:numPr>
        <w:spacing w:after="120"/>
        <w:ind w:left="714" w:hanging="357"/>
        <w:rPr>
          <w:rFonts w:asciiTheme="minorHAnsi" w:hAnsiTheme="minorHAnsi" w:cstheme="minorBidi"/>
          <w:szCs w:val="24"/>
          <w:lang w:val="en-US"/>
        </w:rPr>
      </w:pPr>
      <w:r w:rsidRPr="00CE18B4">
        <w:rPr>
          <w:rFonts w:asciiTheme="minorHAnsi" w:hAnsiTheme="minorHAnsi" w:cstheme="minorBidi"/>
          <w:szCs w:val="24"/>
          <w:lang w:val="en-US"/>
        </w:rPr>
        <w:t xml:space="preserve">an award winning Women in IT Executive mentoring program with the aim to reduce the large gender imbalance in leaders across the APS </w:t>
      </w:r>
    </w:p>
    <w:p w14:paraId="6766D2BB" w14:textId="77777777" w:rsidR="005962C0" w:rsidRPr="00CE18B4" w:rsidRDefault="005962C0" w:rsidP="005962C0">
      <w:pPr>
        <w:pStyle w:val="ListParagraph"/>
        <w:numPr>
          <w:ilvl w:val="0"/>
          <w:numId w:val="8"/>
        </w:numPr>
        <w:spacing w:after="120"/>
        <w:ind w:left="714" w:hanging="357"/>
        <w:rPr>
          <w:rFonts w:asciiTheme="minorHAnsi" w:hAnsiTheme="minorHAnsi" w:cstheme="minorBidi"/>
          <w:szCs w:val="24"/>
          <w:lang w:val="en-US"/>
        </w:rPr>
      </w:pPr>
      <w:r w:rsidRPr="00CE18B4">
        <w:rPr>
          <w:rFonts w:asciiTheme="minorHAnsi" w:hAnsiTheme="minorHAnsi" w:cstheme="minorBidi"/>
          <w:szCs w:val="24"/>
          <w:lang w:val="en-US"/>
        </w:rPr>
        <w:t>innovation hubs to support cross-agency collaboration in an incubated space to help remove physical and departmental barriers, and</w:t>
      </w:r>
    </w:p>
    <w:p w14:paraId="6EAF3935" w14:textId="77777777" w:rsidR="005962C0" w:rsidRPr="00CE18B4" w:rsidRDefault="005962C0" w:rsidP="005962C0">
      <w:pPr>
        <w:pStyle w:val="ListParagraph"/>
        <w:numPr>
          <w:ilvl w:val="0"/>
          <w:numId w:val="8"/>
        </w:numPr>
        <w:spacing w:after="120"/>
        <w:ind w:left="714" w:hanging="357"/>
        <w:rPr>
          <w:szCs w:val="24"/>
          <w:lang w:val="en-US"/>
        </w:rPr>
      </w:pPr>
      <w:r w:rsidRPr="00CE18B4">
        <w:rPr>
          <w:rFonts w:asciiTheme="minorHAnsi" w:hAnsiTheme="minorHAnsi" w:cstheme="minorBidi"/>
          <w:szCs w:val="24"/>
          <w:lang w:val="en-US"/>
        </w:rPr>
        <w:t xml:space="preserve">communities of practice and learning events like </w:t>
      </w:r>
      <w:hyperlink r:id="rId33" w:history="1">
        <w:r w:rsidRPr="001927AB">
          <w:rPr>
            <w:rStyle w:val="Hyperlink"/>
            <w:rFonts w:asciiTheme="minorHAnsi" w:hAnsiTheme="minorHAnsi" w:cstheme="minorBidi"/>
            <w:szCs w:val="24"/>
            <w:lang w:val="en-US"/>
          </w:rPr>
          <w:t>GovHack</w:t>
        </w:r>
      </w:hyperlink>
      <w:r w:rsidRPr="00CE18B4">
        <w:rPr>
          <w:rFonts w:asciiTheme="minorHAnsi" w:hAnsiTheme="minorHAnsi" w:cstheme="minorBidi"/>
          <w:szCs w:val="24"/>
          <w:lang w:val="en-US"/>
        </w:rPr>
        <w:t xml:space="preserve"> to encourage sharing and innovation across the APS. </w:t>
      </w:r>
    </w:p>
    <w:p w14:paraId="3372CA22" w14:textId="77777777" w:rsidR="00AF6B1D" w:rsidRDefault="00AF6B1D" w:rsidP="00CE18B4">
      <w:pPr>
        <w:spacing w:after="120" w:line="240" w:lineRule="auto"/>
        <w:rPr>
          <w:rFonts w:ascii="Calibri" w:hAnsi="Calibri" w:cs="Times New Roman"/>
          <w:szCs w:val="24"/>
          <w:u w:val="single"/>
        </w:rPr>
      </w:pPr>
    </w:p>
    <w:p w14:paraId="533287F6" w14:textId="54B15E12" w:rsidR="00441F17" w:rsidRDefault="00E9069A" w:rsidP="00CE18B4">
      <w:pPr>
        <w:spacing w:after="120" w:line="240" w:lineRule="auto"/>
        <w:rPr>
          <w:rFonts w:ascii="Calibri" w:hAnsi="Calibri" w:cs="Times New Roman"/>
          <w:szCs w:val="24"/>
          <w:highlight w:val="lightGray"/>
        </w:rPr>
      </w:pPr>
      <w:r>
        <w:rPr>
          <w:rFonts w:ascii="Calibri" w:hAnsi="Calibri" w:cs="Times New Roman"/>
          <w:szCs w:val="24"/>
          <w:u w:val="single"/>
        </w:rPr>
        <w:t xml:space="preserve">Strengthening Capability to </w:t>
      </w:r>
      <w:r w:rsidR="00441F17" w:rsidRPr="00441F17">
        <w:rPr>
          <w:rFonts w:ascii="Calibri" w:hAnsi="Calibri" w:cs="Times New Roman"/>
          <w:szCs w:val="24"/>
          <w:u w:val="single"/>
        </w:rPr>
        <w:t>Manag</w:t>
      </w:r>
      <w:r>
        <w:rPr>
          <w:rFonts w:ascii="Calibri" w:hAnsi="Calibri" w:cs="Times New Roman"/>
          <w:szCs w:val="24"/>
          <w:u w:val="single"/>
        </w:rPr>
        <w:t>e</w:t>
      </w:r>
      <w:r w:rsidR="00441F17" w:rsidRPr="00441F17">
        <w:rPr>
          <w:rFonts w:ascii="Calibri" w:hAnsi="Calibri" w:cs="Times New Roman"/>
          <w:szCs w:val="24"/>
          <w:u w:val="single"/>
        </w:rPr>
        <w:t xml:space="preserve"> Relationships with Private Partners </w:t>
      </w:r>
    </w:p>
    <w:p w14:paraId="36400825" w14:textId="77777777" w:rsidR="00584E9C" w:rsidRDefault="00584E9C" w:rsidP="00CE18B4">
      <w:pPr>
        <w:spacing w:after="120" w:line="240" w:lineRule="auto"/>
        <w:ind w:right="-340"/>
        <w:rPr>
          <w:rFonts w:ascii="Calibri" w:hAnsi="Calibri" w:cs="Times New Roman"/>
        </w:rPr>
      </w:pPr>
      <w:r w:rsidRPr="00421C2B">
        <w:rPr>
          <w:rFonts w:ascii="Calibri" w:hAnsi="Calibri" w:cs="Times New Roman"/>
        </w:rPr>
        <w:t>The DTA is working towards transforming the Australian Government sourcing arrangements to improve the experience of buyers and sellers and to ensure government is purchasing value for money technology and services. The underlying model being implemented is known as the ‘Digital Sourcing Framework’. It includes principles, policies, guidance and tools. It also involves rebuilding the digital panels and marketplaces agencies utilise for purchasing. The transformation is being rolled out incrementally in consultation with businesses and agencies. A contemporary approach is critical to ensure Australian companies and their workforces can play a lead role to help deliver digital transformation.</w:t>
      </w:r>
    </w:p>
    <w:p w14:paraId="35D6463D" w14:textId="77777777" w:rsidR="00207576" w:rsidRPr="00D40FDD" w:rsidRDefault="008A5EB0" w:rsidP="00CE18B4">
      <w:pPr>
        <w:spacing w:after="120" w:line="240" w:lineRule="auto"/>
        <w:ind w:right="-340"/>
        <w:rPr>
          <w:rFonts w:ascii="Calibri" w:hAnsi="Calibri" w:cs="Times New Roman"/>
          <w:szCs w:val="24"/>
        </w:rPr>
      </w:pPr>
      <w:r>
        <w:rPr>
          <w:rFonts w:ascii="Calibri" w:hAnsi="Calibri" w:cs="Times New Roman"/>
          <w:szCs w:val="24"/>
        </w:rPr>
        <w:t>G</w:t>
      </w:r>
      <w:r w:rsidR="00BA2779" w:rsidRPr="00D40FDD">
        <w:rPr>
          <w:rFonts w:ascii="Calibri" w:hAnsi="Calibri" w:cs="Times New Roman"/>
          <w:szCs w:val="24"/>
        </w:rPr>
        <w:t>overnment</w:t>
      </w:r>
      <w:r>
        <w:rPr>
          <w:rFonts w:ascii="Calibri" w:hAnsi="Calibri" w:cs="Times New Roman"/>
          <w:szCs w:val="24"/>
        </w:rPr>
        <w:t>s will require new capabilities to manage partnerships with private providers to leverage technological advances</w:t>
      </w:r>
      <w:r w:rsidR="00C61B9C">
        <w:rPr>
          <w:rFonts w:ascii="Calibri" w:hAnsi="Calibri" w:cs="Times New Roman"/>
          <w:szCs w:val="24"/>
        </w:rPr>
        <w:t xml:space="preserve">, particularly where providers are multi-national and offer solutions that might involve </w:t>
      </w:r>
      <w:r w:rsidR="008806DD" w:rsidRPr="00D40FDD">
        <w:rPr>
          <w:rFonts w:ascii="Calibri" w:hAnsi="Calibri" w:cs="Times New Roman"/>
          <w:szCs w:val="24"/>
        </w:rPr>
        <w:t>shar</w:t>
      </w:r>
      <w:r w:rsidR="00C61B9C">
        <w:rPr>
          <w:rFonts w:ascii="Calibri" w:hAnsi="Calibri" w:cs="Times New Roman"/>
          <w:szCs w:val="24"/>
        </w:rPr>
        <w:t>ing</w:t>
      </w:r>
      <w:r w:rsidR="008806DD" w:rsidRPr="00D40FDD">
        <w:rPr>
          <w:rFonts w:ascii="Calibri" w:hAnsi="Calibri" w:cs="Times New Roman"/>
          <w:szCs w:val="24"/>
        </w:rPr>
        <w:t xml:space="preserve"> </w:t>
      </w:r>
      <w:r w:rsidR="00C61B9C">
        <w:rPr>
          <w:rFonts w:ascii="Calibri" w:hAnsi="Calibri" w:cs="Times New Roman"/>
          <w:szCs w:val="24"/>
        </w:rPr>
        <w:t xml:space="preserve">government </w:t>
      </w:r>
      <w:r w:rsidR="008806DD" w:rsidRPr="00D40FDD">
        <w:rPr>
          <w:rFonts w:ascii="Calibri" w:hAnsi="Calibri" w:cs="Times New Roman"/>
          <w:szCs w:val="24"/>
        </w:rPr>
        <w:t xml:space="preserve">data across national jurisdictions. There may be benefit in governments sharing strategies to develop consistent approaches towards managing </w:t>
      </w:r>
      <w:r w:rsidR="00C61B9C">
        <w:rPr>
          <w:rFonts w:ascii="Calibri" w:hAnsi="Calibri" w:cs="Times New Roman"/>
          <w:szCs w:val="24"/>
        </w:rPr>
        <w:t xml:space="preserve">such </w:t>
      </w:r>
      <w:r w:rsidR="008806DD" w:rsidRPr="00D40FDD">
        <w:rPr>
          <w:rFonts w:ascii="Calibri" w:hAnsi="Calibri" w:cs="Times New Roman"/>
          <w:szCs w:val="24"/>
        </w:rPr>
        <w:t xml:space="preserve">relationships </w:t>
      </w:r>
      <w:r w:rsidR="00C61B9C">
        <w:rPr>
          <w:rFonts w:ascii="Calibri" w:hAnsi="Calibri" w:cs="Times New Roman"/>
          <w:szCs w:val="24"/>
        </w:rPr>
        <w:t xml:space="preserve">including such matters </w:t>
      </w:r>
      <w:r w:rsidR="008806DD" w:rsidRPr="00D40FDD">
        <w:rPr>
          <w:rFonts w:ascii="Calibri" w:hAnsi="Calibri" w:cs="Times New Roman"/>
          <w:szCs w:val="24"/>
        </w:rPr>
        <w:t>as:</w:t>
      </w:r>
    </w:p>
    <w:p w14:paraId="7851615B" w14:textId="77777777" w:rsidR="00BA2779" w:rsidRPr="00D40FDD" w:rsidRDefault="008806DD" w:rsidP="00CE18B4">
      <w:pPr>
        <w:pStyle w:val="ListParagraph"/>
        <w:numPr>
          <w:ilvl w:val="0"/>
          <w:numId w:val="8"/>
        </w:numPr>
        <w:spacing w:after="120"/>
        <w:ind w:left="714" w:hanging="357"/>
        <w:rPr>
          <w:rFonts w:asciiTheme="minorHAnsi" w:hAnsiTheme="minorHAnsi" w:cstheme="minorBidi"/>
          <w:szCs w:val="24"/>
          <w:lang w:val="en-US"/>
        </w:rPr>
      </w:pPr>
      <w:r w:rsidRPr="00D40FDD">
        <w:rPr>
          <w:rFonts w:asciiTheme="minorHAnsi" w:hAnsiTheme="minorHAnsi" w:cstheme="minorBidi"/>
          <w:szCs w:val="24"/>
          <w:lang w:val="en-US"/>
        </w:rPr>
        <w:t xml:space="preserve">experiences in </w:t>
      </w:r>
      <w:r w:rsidR="00BA2779" w:rsidRPr="00D40FDD">
        <w:rPr>
          <w:rFonts w:asciiTheme="minorHAnsi" w:hAnsiTheme="minorHAnsi" w:cstheme="minorBidi"/>
          <w:szCs w:val="24"/>
          <w:lang w:val="en-US"/>
        </w:rPr>
        <w:t xml:space="preserve">contracting with large US-based firms, including </w:t>
      </w:r>
      <w:r w:rsidRPr="00D40FDD">
        <w:rPr>
          <w:rFonts w:asciiTheme="minorHAnsi" w:hAnsiTheme="minorHAnsi" w:cstheme="minorBidi"/>
          <w:szCs w:val="24"/>
          <w:lang w:val="en-US"/>
        </w:rPr>
        <w:t xml:space="preserve">managing </w:t>
      </w:r>
      <w:r w:rsidR="00BA2779" w:rsidRPr="00D40FDD">
        <w:rPr>
          <w:rFonts w:asciiTheme="minorHAnsi" w:hAnsiTheme="minorHAnsi" w:cstheme="minorBidi"/>
          <w:szCs w:val="24"/>
          <w:lang w:val="en-US"/>
        </w:rPr>
        <w:t xml:space="preserve">any implications from US firms being subject to data legislation that may affect contracts with foreign governments </w:t>
      </w:r>
    </w:p>
    <w:p w14:paraId="6510E009" w14:textId="77777777" w:rsidR="00BA2779" w:rsidRPr="00D40FDD" w:rsidRDefault="00BA2779" w:rsidP="00CE18B4">
      <w:pPr>
        <w:pStyle w:val="ListParagraph"/>
        <w:numPr>
          <w:ilvl w:val="0"/>
          <w:numId w:val="8"/>
        </w:numPr>
        <w:spacing w:after="120"/>
        <w:ind w:left="714" w:hanging="357"/>
        <w:rPr>
          <w:rFonts w:asciiTheme="minorHAnsi" w:hAnsiTheme="minorHAnsi" w:cstheme="minorBidi"/>
          <w:szCs w:val="24"/>
          <w:lang w:val="en-US"/>
        </w:rPr>
      </w:pPr>
      <w:r w:rsidRPr="00D40FDD">
        <w:rPr>
          <w:rFonts w:asciiTheme="minorHAnsi" w:hAnsiTheme="minorHAnsi" w:cstheme="minorBidi"/>
          <w:szCs w:val="24"/>
          <w:lang w:val="en-US"/>
        </w:rPr>
        <w:t xml:space="preserve">the process of obtaining external assistance, including indemnities, confidentiality clauses and local legislation on issues such as secrecy provisions or privacy protections and trans–border data flows </w:t>
      </w:r>
    </w:p>
    <w:p w14:paraId="536F9C66" w14:textId="77777777" w:rsidR="00BA2779" w:rsidRPr="00D40FDD" w:rsidRDefault="00BA2779" w:rsidP="00CE18B4">
      <w:pPr>
        <w:pStyle w:val="ListParagraph"/>
        <w:numPr>
          <w:ilvl w:val="0"/>
          <w:numId w:val="8"/>
        </w:numPr>
        <w:spacing w:after="120"/>
        <w:ind w:left="714" w:hanging="357"/>
        <w:rPr>
          <w:rFonts w:asciiTheme="minorHAnsi" w:hAnsiTheme="minorHAnsi" w:cstheme="minorBidi"/>
          <w:szCs w:val="24"/>
          <w:lang w:val="en-US"/>
        </w:rPr>
      </w:pPr>
      <w:r w:rsidRPr="00D40FDD">
        <w:rPr>
          <w:rFonts w:asciiTheme="minorHAnsi" w:hAnsiTheme="minorHAnsi" w:cstheme="minorBidi"/>
          <w:szCs w:val="24"/>
          <w:lang w:val="en-US"/>
        </w:rPr>
        <w:t>maximis</w:t>
      </w:r>
      <w:r w:rsidR="008806DD" w:rsidRPr="00D40FDD">
        <w:rPr>
          <w:rFonts w:asciiTheme="minorHAnsi" w:hAnsiTheme="minorHAnsi" w:cstheme="minorBidi"/>
          <w:szCs w:val="24"/>
          <w:lang w:val="en-US"/>
        </w:rPr>
        <w:t>ing</w:t>
      </w:r>
      <w:r w:rsidRPr="00D40FDD">
        <w:rPr>
          <w:rFonts w:asciiTheme="minorHAnsi" w:hAnsiTheme="minorHAnsi" w:cstheme="minorBidi"/>
          <w:szCs w:val="24"/>
          <w:lang w:val="en-US"/>
        </w:rPr>
        <w:t xml:space="preserve"> the clarity of contract arrangements and providing transparency on </w:t>
      </w:r>
      <w:r w:rsidR="008806DD" w:rsidRPr="00D40FDD">
        <w:rPr>
          <w:rFonts w:asciiTheme="minorHAnsi" w:hAnsiTheme="minorHAnsi" w:cstheme="minorBidi"/>
          <w:szCs w:val="24"/>
          <w:lang w:val="en-US"/>
        </w:rPr>
        <w:t xml:space="preserve">arrangements </w:t>
      </w:r>
      <w:r w:rsidRPr="00D40FDD">
        <w:rPr>
          <w:rFonts w:asciiTheme="minorHAnsi" w:hAnsiTheme="minorHAnsi" w:cstheme="minorBidi"/>
          <w:szCs w:val="24"/>
          <w:lang w:val="en-US"/>
        </w:rPr>
        <w:t xml:space="preserve">for relevant bodies including auditors, privacy commissioners </w:t>
      </w:r>
      <w:r w:rsidR="008806DD" w:rsidRPr="00D40FDD">
        <w:rPr>
          <w:rFonts w:asciiTheme="minorHAnsi" w:hAnsiTheme="minorHAnsi" w:cstheme="minorBidi"/>
          <w:szCs w:val="24"/>
          <w:lang w:val="en-US"/>
        </w:rPr>
        <w:t>and</w:t>
      </w:r>
      <w:r w:rsidRPr="00D40FDD">
        <w:rPr>
          <w:rFonts w:asciiTheme="minorHAnsi" w:hAnsiTheme="minorHAnsi" w:cstheme="minorBidi"/>
          <w:szCs w:val="24"/>
          <w:lang w:val="en-US"/>
        </w:rPr>
        <w:t xml:space="preserve"> Parliament</w:t>
      </w:r>
      <w:r w:rsidR="008806DD" w:rsidRPr="00D40FDD">
        <w:rPr>
          <w:rFonts w:asciiTheme="minorHAnsi" w:hAnsiTheme="minorHAnsi" w:cstheme="minorBidi"/>
          <w:szCs w:val="24"/>
          <w:lang w:val="en-US"/>
        </w:rPr>
        <w:t>, and</w:t>
      </w:r>
      <w:r w:rsidRPr="00D40FDD">
        <w:rPr>
          <w:rFonts w:asciiTheme="minorHAnsi" w:hAnsiTheme="minorHAnsi" w:cstheme="minorBidi"/>
          <w:szCs w:val="24"/>
          <w:lang w:val="en-US"/>
        </w:rPr>
        <w:t xml:space="preserve"> </w:t>
      </w:r>
    </w:p>
    <w:p w14:paraId="7BCFDACE" w14:textId="7EDD044B" w:rsidR="00BA2779" w:rsidRPr="00AB5F2B" w:rsidRDefault="00BA2779" w:rsidP="00CE18B4">
      <w:pPr>
        <w:pStyle w:val="ListParagraph"/>
        <w:numPr>
          <w:ilvl w:val="0"/>
          <w:numId w:val="8"/>
        </w:numPr>
        <w:spacing w:after="120"/>
        <w:ind w:left="714" w:hanging="357"/>
        <w:rPr>
          <w:szCs w:val="24"/>
        </w:rPr>
      </w:pPr>
      <w:r w:rsidRPr="00D40FDD">
        <w:rPr>
          <w:rFonts w:asciiTheme="minorHAnsi" w:hAnsiTheme="minorHAnsi" w:cstheme="minorBidi"/>
          <w:szCs w:val="24"/>
          <w:lang w:val="en-US"/>
        </w:rPr>
        <w:t>achiev</w:t>
      </w:r>
      <w:r w:rsidR="008806DD" w:rsidRPr="00D40FDD">
        <w:rPr>
          <w:rFonts w:asciiTheme="minorHAnsi" w:hAnsiTheme="minorHAnsi" w:cstheme="minorBidi"/>
          <w:szCs w:val="24"/>
          <w:lang w:val="en-US"/>
        </w:rPr>
        <w:t>ing</w:t>
      </w:r>
      <w:r w:rsidRPr="00D40FDD">
        <w:rPr>
          <w:rFonts w:asciiTheme="minorHAnsi" w:hAnsiTheme="minorHAnsi" w:cstheme="minorBidi"/>
          <w:szCs w:val="24"/>
          <w:lang w:val="en-US"/>
        </w:rPr>
        <w:t xml:space="preserve"> </w:t>
      </w:r>
      <w:r w:rsidR="00584E9C">
        <w:rPr>
          <w:rFonts w:asciiTheme="minorHAnsi" w:hAnsiTheme="minorHAnsi" w:cstheme="minorBidi"/>
          <w:szCs w:val="24"/>
          <w:lang w:val="en-US"/>
        </w:rPr>
        <w:t>aligned</w:t>
      </w:r>
      <w:r w:rsidRPr="00D40FDD">
        <w:rPr>
          <w:rFonts w:asciiTheme="minorHAnsi" w:hAnsiTheme="minorHAnsi" w:cstheme="minorBidi"/>
          <w:szCs w:val="24"/>
          <w:lang w:val="en-US"/>
        </w:rPr>
        <w:t xml:space="preserve"> contracts with supplier</w:t>
      </w:r>
      <w:r w:rsidR="008806DD" w:rsidRPr="00D40FDD">
        <w:rPr>
          <w:rFonts w:asciiTheme="minorHAnsi" w:hAnsiTheme="minorHAnsi" w:cstheme="minorBidi"/>
          <w:szCs w:val="24"/>
          <w:lang w:val="en-US"/>
        </w:rPr>
        <w:t>s</w:t>
      </w:r>
      <w:r w:rsidRPr="00D40FDD">
        <w:rPr>
          <w:rFonts w:asciiTheme="minorHAnsi" w:hAnsiTheme="minorHAnsi" w:cstheme="minorBidi"/>
          <w:szCs w:val="24"/>
          <w:lang w:val="en-US"/>
        </w:rPr>
        <w:t xml:space="preserve"> working for more than one part of </w:t>
      </w:r>
      <w:r w:rsidR="008806DD" w:rsidRPr="00D40FDD">
        <w:rPr>
          <w:rFonts w:asciiTheme="minorHAnsi" w:hAnsiTheme="minorHAnsi" w:cstheme="minorBidi"/>
          <w:szCs w:val="24"/>
          <w:lang w:val="en-US"/>
        </w:rPr>
        <w:t>g</w:t>
      </w:r>
      <w:r w:rsidRPr="00D40FDD">
        <w:rPr>
          <w:rFonts w:asciiTheme="minorHAnsi" w:hAnsiTheme="minorHAnsi" w:cstheme="minorBidi"/>
          <w:szCs w:val="24"/>
          <w:lang w:val="en-US"/>
        </w:rPr>
        <w:t>overnment</w:t>
      </w:r>
      <w:r w:rsidR="008806DD" w:rsidRPr="00D40FDD">
        <w:rPr>
          <w:rFonts w:asciiTheme="minorHAnsi" w:hAnsiTheme="minorHAnsi" w:cstheme="minorBidi"/>
          <w:szCs w:val="24"/>
          <w:lang w:val="en-US"/>
        </w:rPr>
        <w:t>.</w:t>
      </w:r>
      <w:r w:rsidRPr="00D40FDD">
        <w:rPr>
          <w:rFonts w:asciiTheme="minorHAnsi" w:hAnsiTheme="minorHAnsi" w:cstheme="minorBidi"/>
          <w:szCs w:val="24"/>
          <w:lang w:val="en-US"/>
        </w:rPr>
        <w:t xml:space="preserve"> </w:t>
      </w:r>
    </w:p>
    <w:p w14:paraId="700A044C" w14:textId="77777777" w:rsidR="004F5ECC" w:rsidRDefault="004F5ECC" w:rsidP="00CE18B4">
      <w:pPr>
        <w:spacing w:after="120" w:line="240" w:lineRule="auto"/>
        <w:rPr>
          <w:b/>
          <w:i/>
        </w:rPr>
      </w:pPr>
      <w:r w:rsidRPr="00B00DF6">
        <w:rPr>
          <w:b/>
          <w:i/>
        </w:rPr>
        <w:t xml:space="preserve">Issues </w:t>
      </w:r>
      <w:r>
        <w:rPr>
          <w:b/>
          <w:i/>
        </w:rPr>
        <w:t>for Discussion</w:t>
      </w:r>
    </w:p>
    <w:p w14:paraId="4B53D45D" w14:textId="77777777" w:rsidR="004F5ECC" w:rsidRPr="002C53C1" w:rsidRDefault="00BD6D90" w:rsidP="00CE18B4">
      <w:pPr>
        <w:pStyle w:val="Bullet"/>
        <w:numPr>
          <w:ilvl w:val="0"/>
          <w:numId w:val="0"/>
        </w:numPr>
        <w:spacing w:after="120" w:line="240" w:lineRule="auto"/>
        <w:rPr>
          <w:bCs/>
          <w:highlight w:val="yellow"/>
          <w:lang w:val="en-CA"/>
        </w:rPr>
      </w:pPr>
      <w:r>
        <w:rPr>
          <w:bCs/>
          <w:lang w:val="en-CA"/>
        </w:rPr>
        <w:t xml:space="preserve">Issue </w:t>
      </w:r>
      <w:r w:rsidR="003B64C6">
        <w:rPr>
          <w:bCs/>
          <w:lang w:val="en-CA"/>
        </w:rPr>
        <w:t xml:space="preserve">for discussion might focus on: </w:t>
      </w:r>
    </w:p>
    <w:p w14:paraId="6A06DE42" w14:textId="77777777" w:rsidR="00AD5A8B" w:rsidRPr="003B64C6" w:rsidRDefault="00AD5A8B" w:rsidP="00CE18B4">
      <w:pPr>
        <w:pStyle w:val="ListParagraph"/>
        <w:numPr>
          <w:ilvl w:val="0"/>
          <w:numId w:val="8"/>
        </w:numPr>
        <w:spacing w:after="120"/>
        <w:rPr>
          <w:rFonts w:asciiTheme="minorHAnsi" w:hAnsiTheme="minorHAnsi" w:cstheme="minorBidi"/>
          <w:szCs w:val="24"/>
          <w:lang w:val="en-US"/>
        </w:rPr>
      </w:pPr>
      <w:r w:rsidRPr="00AD5A8B">
        <w:rPr>
          <w:rFonts w:asciiTheme="minorHAnsi" w:hAnsiTheme="minorHAnsi" w:cstheme="minorBidi"/>
          <w:szCs w:val="24"/>
          <w:lang w:val="en-US"/>
        </w:rPr>
        <w:t xml:space="preserve">What can governments learn from one another about building skills and capability within the public </w:t>
      </w:r>
      <w:r w:rsidRPr="003B64C6">
        <w:rPr>
          <w:rFonts w:asciiTheme="minorHAnsi" w:hAnsiTheme="minorHAnsi" w:cstheme="minorBidi"/>
          <w:szCs w:val="24"/>
          <w:lang w:val="en-US"/>
        </w:rPr>
        <w:t>service to support change?</w:t>
      </w:r>
    </w:p>
    <w:p w14:paraId="24896817" w14:textId="2488AF1A" w:rsidR="004F5ECC" w:rsidRPr="00734987" w:rsidRDefault="00AD5A8B" w:rsidP="00CE18B4">
      <w:pPr>
        <w:pStyle w:val="ListParagraph"/>
        <w:numPr>
          <w:ilvl w:val="0"/>
          <w:numId w:val="14"/>
        </w:numPr>
        <w:spacing w:after="120"/>
        <w:rPr>
          <w:rFonts w:asciiTheme="minorHAnsi" w:hAnsiTheme="minorHAnsi" w:cstheme="minorBidi"/>
          <w:szCs w:val="24"/>
          <w:lang w:val="en-US"/>
        </w:rPr>
      </w:pPr>
      <w:r w:rsidRPr="003B64C6">
        <w:rPr>
          <w:rFonts w:asciiTheme="minorHAnsi" w:hAnsiTheme="minorHAnsi" w:cstheme="minorBidi"/>
          <w:szCs w:val="24"/>
          <w:lang w:val="en-US"/>
        </w:rPr>
        <w:t>What can governments learn from each other in managing contract arrangements with private partners in delivering change?</w:t>
      </w:r>
    </w:p>
    <w:p w14:paraId="4E67D6EE" w14:textId="77777777" w:rsidR="00734987" w:rsidRPr="00734987" w:rsidRDefault="00734987" w:rsidP="00734987">
      <w:pPr>
        <w:pStyle w:val="ListParagraph"/>
        <w:numPr>
          <w:ilvl w:val="0"/>
          <w:numId w:val="14"/>
        </w:numPr>
        <w:spacing w:after="120"/>
        <w:rPr>
          <w:rFonts w:asciiTheme="minorHAnsi" w:hAnsiTheme="minorHAnsi" w:cstheme="minorBidi"/>
          <w:szCs w:val="24"/>
          <w:lang w:val="en-US"/>
        </w:rPr>
      </w:pPr>
      <w:r w:rsidRPr="00734987">
        <w:rPr>
          <w:rFonts w:asciiTheme="minorHAnsi" w:hAnsiTheme="minorHAnsi" w:cstheme="minorBidi"/>
          <w:szCs w:val="24"/>
          <w:lang w:val="en-US"/>
        </w:rPr>
        <w:t xml:space="preserve">How can governments better use visual technology and data to support decision making on significant policy initiatives? </w:t>
      </w:r>
    </w:p>
    <w:p w14:paraId="466AF33A" w14:textId="77777777" w:rsidR="005235C0" w:rsidRPr="00514B63" w:rsidRDefault="005235C0" w:rsidP="00207576">
      <w:pPr>
        <w:spacing w:after="0" w:line="240" w:lineRule="auto"/>
        <w:rPr>
          <w:rFonts w:ascii="Calibri" w:hAnsi="Calibri" w:cs="Times New Roman"/>
          <w:szCs w:val="24"/>
        </w:rPr>
      </w:pPr>
      <w:r w:rsidRPr="00514B63">
        <w:rPr>
          <w:rFonts w:ascii="Calibri" w:hAnsi="Calibri" w:cs="Times New Roman"/>
          <w:szCs w:val="24"/>
        </w:rPr>
        <w:br w:type="page"/>
      </w:r>
    </w:p>
    <w:p w14:paraId="1001CCBE" w14:textId="77777777" w:rsidR="00402954" w:rsidRPr="00514B63" w:rsidRDefault="00D858E6" w:rsidP="00D858E6">
      <w:pPr>
        <w:spacing w:before="360" w:after="120" w:line="240" w:lineRule="auto"/>
        <w:rPr>
          <w:rFonts w:ascii="Times New Roman" w:hAnsi="Times New Roman" w:cs="Times New Roman"/>
          <w:b/>
          <w:i/>
          <w:sz w:val="28"/>
          <w:szCs w:val="28"/>
        </w:rPr>
      </w:pPr>
      <w:r w:rsidRPr="00514B63">
        <w:rPr>
          <w:rFonts w:ascii="Times New Roman" w:hAnsi="Times New Roman" w:cs="Times New Roman"/>
          <w:b/>
          <w:i/>
          <w:sz w:val="28"/>
          <w:szCs w:val="28"/>
        </w:rPr>
        <w:t>Q</w:t>
      </w:r>
      <w:r w:rsidR="00402954" w:rsidRPr="00514B63">
        <w:rPr>
          <w:rFonts w:ascii="Times New Roman" w:hAnsi="Times New Roman" w:cs="Times New Roman"/>
          <w:b/>
          <w:i/>
          <w:sz w:val="28"/>
          <w:szCs w:val="28"/>
        </w:rPr>
        <w:t>uestions for discussion</w:t>
      </w:r>
    </w:p>
    <w:p w14:paraId="3018523E" w14:textId="77777777" w:rsidR="009A74EC" w:rsidRPr="00BA2779" w:rsidRDefault="009A74EC" w:rsidP="00CE18B4">
      <w:pPr>
        <w:pStyle w:val="Bullet"/>
        <w:numPr>
          <w:ilvl w:val="0"/>
          <w:numId w:val="4"/>
        </w:numPr>
        <w:spacing w:line="240" w:lineRule="auto"/>
        <w:ind w:left="714" w:hanging="357"/>
        <w:rPr>
          <w:rFonts w:cs="Calibri"/>
          <w:b/>
          <w:sz w:val="28"/>
          <w:szCs w:val="28"/>
        </w:rPr>
      </w:pPr>
      <w:r w:rsidRPr="00BA2779">
        <w:rPr>
          <w:rFonts w:cs="Calibri"/>
          <w:b/>
          <w:sz w:val="28"/>
          <w:szCs w:val="28"/>
        </w:rPr>
        <w:t xml:space="preserve">How </w:t>
      </w:r>
      <w:r w:rsidR="00E64C6C">
        <w:rPr>
          <w:rFonts w:cs="Calibri"/>
          <w:b/>
          <w:sz w:val="28"/>
          <w:szCs w:val="28"/>
        </w:rPr>
        <w:t xml:space="preserve">can </w:t>
      </w:r>
      <w:r w:rsidR="00AA47DC" w:rsidRPr="00BA2779">
        <w:rPr>
          <w:rFonts w:cs="Calibri"/>
          <w:b/>
          <w:sz w:val="28"/>
          <w:szCs w:val="28"/>
        </w:rPr>
        <w:t xml:space="preserve">governments best </w:t>
      </w:r>
      <w:r w:rsidRPr="00BA2779">
        <w:rPr>
          <w:rFonts w:cs="Calibri"/>
          <w:b/>
          <w:sz w:val="28"/>
          <w:szCs w:val="28"/>
        </w:rPr>
        <w:t xml:space="preserve">engage citizens to </w:t>
      </w:r>
      <w:r w:rsidR="00BA2779" w:rsidRPr="00BA2779">
        <w:rPr>
          <w:rFonts w:cs="Calibri"/>
          <w:b/>
          <w:sz w:val="28"/>
          <w:szCs w:val="28"/>
        </w:rPr>
        <w:t>inform the development of new policy and service delivery models</w:t>
      </w:r>
      <w:r w:rsidRPr="00BA2779">
        <w:rPr>
          <w:rFonts w:cs="Calibri"/>
          <w:b/>
          <w:sz w:val="28"/>
          <w:szCs w:val="28"/>
        </w:rPr>
        <w:t>?</w:t>
      </w:r>
    </w:p>
    <w:p w14:paraId="3017D75C" w14:textId="77777777" w:rsidR="00C5563A" w:rsidRPr="00634303" w:rsidRDefault="00C5563A" w:rsidP="00CE18B4">
      <w:pPr>
        <w:pStyle w:val="ListParagraph"/>
        <w:numPr>
          <w:ilvl w:val="0"/>
          <w:numId w:val="4"/>
        </w:numPr>
        <w:spacing w:after="240"/>
        <w:ind w:left="714" w:hanging="357"/>
        <w:rPr>
          <w:rFonts w:cs="Calibri"/>
          <w:b/>
          <w:sz w:val="28"/>
          <w:szCs w:val="28"/>
        </w:rPr>
      </w:pPr>
      <w:r w:rsidRPr="00634303">
        <w:rPr>
          <w:rFonts w:cs="Calibri"/>
          <w:b/>
          <w:sz w:val="28"/>
          <w:szCs w:val="28"/>
        </w:rPr>
        <w:t>How can governmen</w:t>
      </w:r>
      <w:r w:rsidRPr="00BD5325">
        <w:rPr>
          <w:rFonts w:cs="Calibri"/>
          <w:b/>
          <w:sz w:val="28"/>
          <w:szCs w:val="28"/>
        </w:rPr>
        <w:t>t</w:t>
      </w:r>
      <w:r>
        <w:rPr>
          <w:rFonts w:cs="Calibri"/>
          <w:b/>
          <w:sz w:val="28"/>
          <w:szCs w:val="28"/>
        </w:rPr>
        <w:t>s</w:t>
      </w:r>
      <w:r w:rsidRPr="00BD5325">
        <w:rPr>
          <w:rFonts w:cs="Calibri"/>
          <w:b/>
          <w:sz w:val="28"/>
          <w:szCs w:val="28"/>
        </w:rPr>
        <w:t xml:space="preserve"> better balance the demands of </w:t>
      </w:r>
      <w:r>
        <w:rPr>
          <w:rFonts w:cs="Calibri"/>
          <w:b/>
          <w:sz w:val="28"/>
          <w:szCs w:val="28"/>
        </w:rPr>
        <w:t>providing</w:t>
      </w:r>
      <w:r w:rsidRPr="00BD5325">
        <w:rPr>
          <w:rFonts w:cs="Calibri"/>
          <w:b/>
          <w:sz w:val="28"/>
          <w:szCs w:val="28"/>
        </w:rPr>
        <w:t xml:space="preserve"> </w:t>
      </w:r>
      <w:r>
        <w:rPr>
          <w:rFonts w:cs="Calibri"/>
          <w:b/>
          <w:sz w:val="28"/>
          <w:szCs w:val="28"/>
        </w:rPr>
        <w:t xml:space="preserve">seamless, efficient service delivery </w:t>
      </w:r>
      <w:r w:rsidR="002841B4">
        <w:rPr>
          <w:rFonts w:cs="Calibri"/>
          <w:b/>
          <w:sz w:val="28"/>
          <w:szCs w:val="28"/>
        </w:rPr>
        <w:t>while</w:t>
      </w:r>
      <w:r>
        <w:rPr>
          <w:rFonts w:cs="Calibri"/>
          <w:b/>
          <w:sz w:val="28"/>
          <w:szCs w:val="28"/>
        </w:rPr>
        <w:t xml:space="preserve"> at the same time maintain a high-degree of trust in citizen-state interactions?</w:t>
      </w:r>
    </w:p>
    <w:p w14:paraId="1DADBF2A" w14:textId="77777777" w:rsidR="00C5563A" w:rsidRPr="00634303" w:rsidRDefault="00C5563A" w:rsidP="00CE18B4">
      <w:pPr>
        <w:pStyle w:val="ListParagraph"/>
        <w:numPr>
          <w:ilvl w:val="1"/>
          <w:numId w:val="4"/>
        </w:numPr>
        <w:spacing w:after="240"/>
        <w:ind w:left="1071" w:hanging="357"/>
        <w:rPr>
          <w:rFonts w:cs="Calibri"/>
          <w:b/>
          <w:sz w:val="28"/>
          <w:szCs w:val="28"/>
        </w:rPr>
      </w:pPr>
      <w:r>
        <w:rPr>
          <w:rFonts w:cs="Calibri"/>
          <w:b/>
          <w:sz w:val="28"/>
          <w:szCs w:val="28"/>
        </w:rPr>
        <w:t>At what point – if any - does it make sense for a government to not implement efficiencies</w:t>
      </w:r>
      <w:r w:rsidR="002841B4">
        <w:rPr>
          <w:rFonts w:cs="Calibri"/>
          <w:b/>
          <w:sz w:val="28"/>
          <w:szCs w:val="28"/>
        </w:rPr>
        <w:t xml:space="preserve"> </w:t>
      </w:r>
      <w:r>
        <w:rPr>
          <w:rFonts w:cs="Calibri"/>
          <w:b/>
          <w:sz w:val="28"/>
          <w:szCs w:val="28"/>
        </w:rPr>
        <w:t>if there is a danger of the public not being comfortable with the technology</w:t>
      </w:r>
      <w:r w:rsidR="002841B4">
        <w:rPr>
          <w:rFonts w:cs="Calibri"/>
          <w:b/>
          <w:sz w:val="28"/>
          <w:szCs w:val="28"/>
        </w:rPr>
        <w:t xml:space="preserve"> and privacy implications</w:t>
      </w:r>
      <w:r>
        <w:rPr>
          <w:rFonts w:cs="Calibri"/>
          <w:b/>
          <w:sz w:val="28"/>
          <w:szCs w:val="28"/>
        </w:rPr>
        <w:t xml:space="preserve">? How do governments balance conflicting public views </w:t>
      </w:r>
      <w:r w:rsidR="002841B4">
        <w:rPr>
          <w:rFonts w:cs="Calibri"/>
          <w:b/>
          <w:sz w:val="28"/>
          <w:szCs w:val="28"/>
        </w:rPr>
        <w:t xml:space="preserve">about the risks associated with </w:t>
      </w:r>
      <w:r>
        <w:rPr>
          <w:rFonts w:cs="Calibri"/>
          <w:b/>
          <w:sz w:val="28"/>
          <w:szCs w:val="28"/>
        </w:rPr>
        <w:t>certain types of technology?</w:t>
      </w:r>
    </w:p>
    <w:p w14:paraId="2D8B6076" w14:textId="77777777" w:rsidR="00D11549" w:rsidRPr="00514B63" w:rsidRDefault="00D11549" w:rsidP="00BA2779">
      <w:pPr>
        <w:pStyle w:val="ListParagraph"/>
        <w:numPr>
          <w:ilvl w:val="0"/>
          <w:numId w:val="4"/>
        </w:numPr>
        <w:spacing w:after="240"/>
        <w:rPr>
          <w:rFonts w:cs="Calibri"/>
          <w:b/>
          <w:sz w:val="28"/>
          <w:szCs w:val="28"/>
        </w:rPr>
      </w:pPr>
      <w:r w:rsidRPr="00514B63">
        <w:rPr>
          <w:rFonts w:cs="Calibri"/>
          <w:b/>
          <w:sz w:val="28"/>
          <w:szCs w:val="28"/>
        </w:rPr>
        <w:t xml:space="preserve">How can governments </w:t>
      </w:r>
      <w:r w:rsidR="00BA2779">
        <w:rPr>
          <w:rFonts w:cs="Calibri"/>
          <w:b/>
          <w:sz w:val="28"/>
          <w:szCs w:val="28"/>
        </w:rPr>
        <w:t>work across boundaries to improve whole of government service delivery</w:t>
      </w:r>
      <w:r w:rsidRPr="00514B63">
        <w:rPr>
          <w:rFonts w:cs="Calibri"/>
          <w:b/>
          <w:sz w:val="28"/>
          <w:szCs w:val="28"/>
        </w:rPr>
        <w:t>?  </w:t>
      </w:r>
    </w:p>
    <w:p w14:paraId="57005D2B" w14:textId="77777777" w:rsidR="00C5563A" w:rsidRDefault="00C5563A" w:rsidP="00CE18B4">
      <w:pPr>
        <w:pStyle w:val="ListParagraph"/>
        <w:numPr>
          <w:ilvl w:val="1"/>
          <w:numId w:val="4"/>
        </w:numPr>
        <w:spacing w:after="240"/>
        <w:ind w:left="1071" w:hanging="357"/>
        <w:rPr>
          <w:rFonts w:cs="Calibri"/>
          <w:b/>
          <w:sz w:val="28"/>
          <w:szCs w:val="28"/>
        </w:rPr>
      </w:pPr>
      <w:r>
        <w:rPr>
          <w:rFonts w:cs="Calibri"/>
          <w:b/>
          <w:sz w:val="28"/>
          <w:szCs w:val="28"/>
        </w:rPr>
        <w:t xml:space="preserve">What are some of the key ways to encourage and share innovation across complex sets of departments and agencies without imposing additional red tape? </w:t>
      </w:r>
    </w:p>
    <w:p w14:paraId="44030D58" w14:textId="77777777" w:rsidR="00BA2779" w:rsidRDefault="00BA2779" w:rsidP="003D04B0">
      <w:pPr>
        <w:pStyle w:val="ListParagraph"/>
        <w:numPr>
          <w:ilvl w:val="0"/>
          <w:numId w:val="4"/>
        </w:numPr>
        <w:spacing w:after="240"/>
        <w:rPr>
          <w:rFonts w:cs="Calibri"/>
          <w:b/>
          <w:sz w:val="28"/>
          <w:szCs w:val="28"/>
        </w:rPr>
      </w:pPr>
      <w:r>
        <w:rPr>
          <w:rFonts w:cs="Calibri"/>
          <w:b/>
          <w:sz w:val="28"/>
          <w:szCs w:val="28"/>
        </w:rPr>
        <w:t>What can governments learn from one another about building skills and capability within the public service to support change?</w:t>
      </w:r>
    </w:p>
    <w:p w14:paraId="4423B0D3" w14:textId="6165A29D" w:rsidR="00BA2779" w:rsidRDefault="00BA2779" w:rsidP="00CE18B4">
      <w:pPr>
        <w:pStyle w:val="ListParagraph"/>
        <w:numPr>
          <w:ilvl w:val="1"/>
          <w:numId w:val="4"/>
        </w:numPr>
        <w:spacing w:after="240"/>
        <w:ind w:left="1071" w:hanging="357"/>
        <w:rPr>
          <w:rFonts w:cs="Calibri"/>
          <w:b/>
          <w:sz w:val="28"/>
          <w:szCs w:val="28"/>
        </w:rPr>
      </w:pPr>
      <w:r>
        <w:rPr>
          <w:rFonts w:cs="Calibri"/>
          <w:b/>
          <w:sz w:val="28"/>
          <w:szCs w:val="28"/>
        </w:rPr>
        <w:t>What can governments learn from each other in managing contract arrangements with private partners in delivering change?</w:t>
      </w:r>
    </w:p>
    <w:p w14:paraId="131C4165" w14:textId="350F4ECD" w:rsidR="004F4EC2" w:rsidRDefault="004F4EC2" w:rsidP="00CE18B4">
      <w:pPr>
        <w:pStyle w:val="ListParagraph"/>
        <w:numPr>
          <w:ilvl w:val="1"/>
          <w:numId w:val="4"/>
        </w:numPr>
        <w:spacing w:after="240"/>
        <w:ind w:left="1071" w:hanging="357"/>
        <w:rPr>
          <w:rFonts w:cs="Calibri"/>
          <w:b/>
          <w:sz w:val="28"/>
          <w:szCs w:val="28"/>
        </w:rPr>
      </w:pPr>
      <w:r>
        <w:rPr>
          <w:rFonts w:cs="Calibri"/>
          <w:b/>
          <w:sz w:val="28"/>
          <w:szCs w:val="28"/>
        </w:rPr>
        <w:t xml:space="preserve">How can governments better use visual technology and data to support decision making on significant policy initiatives? </w:t>
      </w:r>
    </w:p>
    <w:p w14:paraId="28436FE9" w14:textId="77777777" w:rsidR="00CD588D" w:rsidRPr="00514B63" w:rsidRDefault="00CD588D" w:rsidP="00421C2B">
      <w:pPr>
        <w:spacing w:before="120" w:after="120" w:line="240" w:lineRule="auto"/>
        <w:rPr>
          <w:rFonts w:ascii="Times New Roman" w:hAnsi="Times New Roman" w:cs="Times New Roman"/>
          <w:b/>
          <w:i/>
          <w:sz w:val="28"/>
          <w:szCs w:val="28"/>
        </w:rPr>
      </w:pPr>
      <w:r w:rsidRPr="00514B63">
        <w:rPr>
          <w:rFonts w:ascii="Times New Roman" w:hAnsi="Times New Roman" w:cs="Times New Roman"/>
          <w:b/>
          <w:i/>
          <w:sz w:val="28"/>
          <w:szCs w:val="28"/>
        </w:rPr>
        <w:t>Interesting Reading Material</w:t>
      </w:r>
    </w:p>
    <w:p w14:paraId="3E290EA4" w14:textId="77777777" w:rsidR="00366937" w:rsidRPr="00514B63" w:rsidRDefault="00366937" w:rsidP="00CE18B4">
      <w:pPr>
        <w:pStyle w:val="ListParagraph"/>
        <w:numPr>
          <w:ilvl w:val="0"/>
          <w:numId w:val="6"/>
        </w:numPr>
        <w:spacing w:after="120"/>
        <w:ind w:left="714" w:hanging="357"/>
      </w:pPr>
      <w:r w:rsidRPr="00514B63">
        <w:t>Government of Canada’s Digital Government Strategic Plan for 2018 – 2022: Toward the Government of Tomorrow (web link to come)</w:t>
      </w:r>
    </w:p>
    <w:p w14:paraId="482390FB" w14:textId="77777777" w:rsidR="00366937" w:rsidRPr="00514B63" w:rsidRDefault="00366937" w:rsidP="00CE18B4">
      <w:pPr>
        <w:pStyle w:val="ListParagraph"/>
        <w:numPr>
          <w:ilvl w:val="0"/>
          <w:numId w:val="6"/>
        </w:numPr>
        <w:spacing w:after="120"/>
        <w:ind w:left="714" w:hanging="357"/>
      </w:pPr>
      <w:r w:rsidRPr="00514B63">
        <w:t>Government of Canada Digital Standards  (</w:t>
      </w:r>
      <w:hyperlink r:id="rId34" w:history="1">
        <w:r w:rsidRPr="00514B63">
          <w:rPr>
            <w:rStyle w:val="Hyperlink"/>
          </w:rPr>
          <w:t>https://www.canada.ca/en/government/publicservice/modernizing/government-canada-digital-standards.html</w:t>
        </w:r>
      </w:hyperlink>
      <w:r w:rsidRPr="00514B63">
        <w:t xml:space="preserve"> )</w:t>
      </w:r>
    </w:p>
    <w:p w14:paraId="177DBA23" w14:textId="77777777" w:rsidR="00FB1480" w:rsidRPr="00514B63" w:rsidRDefault="00FB1480" w:rsidP="00CE18B4">
      <w:pPr>
        <w:pStyle w:val="ListParagraph"/>
        <w:numPr>
          <w:ilvl w:val="0"/>
          <w:numId w:val="6"/>
        </w:numPr>
        <w:spacing w:after="120"/>
        <w:ind w:left="714" w:hanging="357"/>
        <w:rPr>
          <w:rFonts w:cs="Calibri"/>
          <w:lang w:val="en-US"/>
        </w:rPr>
      </w:pPr>
      <w:r w:rsidRPr="00514B63">
        <w:rPr>
          <w:rFonts w:cs="Calibri"/>
          <w:lang w:val="en-US"/>
        </w:rPr>
        <w:t xml:space="preserve">Kick-Start the Conversation on Digital ethics: </w:t>
      </w:r>
      <w:hyperlink r:id="rId35" w:history="1">
        <w:r w:rsidRPr="00514B63">
          <w:rPr>
            <w:rStyle w:val="Hyperlink"/>
            <w:rFonts w:cs="Calibri"/>
            <w:lang w:val="en-US"/>
          </w:rPr>
          <w:t>https://www.gartner.com/smarterwithgartner/kick-start-the-conversation-on-digital-ethics-2/</w:t>
        </w:r>
      </w:hyperlink>
    </w:p>
    <w:p w14:paraId="4D5A9918" w14:textId="77777777" w:rsidR="00FA28FF" w:rsidRPr="009E534F" w:rsidRDefault="00FA28FF" w:rsidP="00CE18B4">
      <w:pPr>
        <w:pStyle w:val="Bullet"/>
        <w:numPr>
          <w:ilvl w:val="0"/>
          <w:numId w:val="6"/>
        </w:numPr>
        <w:spacing w:after="120" w:line="240" w:lineRule="auto"/>
        <w:ind w:left="714" w:hanging="357"/>
        <w:rPr>
          <w:rStyle w:val="Hyperlink"/>
          <w:rFonts w:ascii="Calibri" w:hAnsi="Calibri" w:cs="Times New Roman"/>
          <w:color w:val="auto"/>
          <w:u w:val="none"/>
          <w:lang w:val="en-US"/>
        </w:rPr>
      </w:pPr>
      <w:r w:rsidRPr="00514B63">
        <w:rPr>
          <w:lang w:val="en-US"/>
        </w:rPr>
        <w:t>Australian Government</w:t>
      </w:r>
      <w:r w:rsidR="009A246E" w:rsidRPr="009A246E">
        <w:rPr>
          <w:lang w:val="en-US"/>
        </w:rPr>
        <w:t xml:space="preserve"> </w:t>
      </w:r>
      <w:r w:rsidR="009A246E" w:rsidRPr="00514B63">
        <w:rPr>
          <w:lang w:val="en-US"/>
        </w:rPr>
        <w:t>Di</w:t>
      </w:r>
      <w:r w:rsidR="009A246E">
        <w:rPr>
          <w:lang w:val="en-US"/>
        </w:rPr>
        <w:t>gital Transformation Strategy (</w:t>
      </w:r>
      <w:hyperlink r:id="rId36" w:history="1">
        <w:r w:rsidR="009A246E" w:rsidRPr="00514B63">
          <w:rPr>
            <w:rStyle w:val="Hyperlink"/>
            <w:lang w:val="en-US"/>
          </w:rPr>
          <w:t>https://www.dta.gov.au/strategy</w:t>
        </w:r>
      </w:hyperlink>
      <w:r w:rsidR="009A246E">
        <w:rPr>
          <w:rStyle w:val="Hyperlink"/>
          <w:lang w:val="en-US"/>
        </w:rPr>
        <w:t>)</w:t>
      </w:r>
    </w:p>
    <w:p w14:paraId="27B01964" w14:textId="77777777" w:rsidR="009A246E" w:rsidRPr="00514B63" w:rsidRDefault="009A246E" w:rsidP="00CE18B4">
      <w:pPr>
        <w:pStyle w:val="Bullet"/>
        <w:numPr>
          <w:ilvl w:val="0"/>
          <w:numId w:val="6"/>
        </w:numPr>
        <w:spacing w:after="120" w:line="240" w:lineRule="auto"/>
        <w:ind w:left="714" w:hanging="357"/>
        <w:rPr>
          <w:lang w:val="en-US"/>
        </w:rPr>
      </w:pPr>
      <w:r w:rsidRPr="006C7159">
        <w:t xml:space="preserve">Australian Government </w:t>
      </w:r>
      <w:r>
        <w:rPr>
          <w:lang w:val="en-US"/>
        </w:rPr>
        <w:t>Secure Cloud Strategy (</w:t>
      </w:r>
      <w:hyperlink r:id="rId37" w:history="1">
        <w:r w:rsidRPr="00514B63">
          <w:rPr>
            <w:rStyle w:val="Hyperlink"/>
            <w:lang w:val="en-US"/>
          </w:rPr>
          <w:t>https://www.dta.gov.au/our-projects/secure-cloud-strategy</w:t>
        </w:r>
      </w:hyperlink>
      <w:r>
        <w:rPr>
          <w:rStyle w:val="Hyperlink"/>
          <w:lang w:val="en-US"/>
        </w:rPr>
        <w:t>)</w:t>
      </w:r>
    </w:p>
    <w:p w14:paraId="29CAEBD8" w14:textId="77777777" w:rsidR="00366937" w:rsidRPr="00514B63" w:rsidRDefault="00FB1480" w:rsidP="00CE18B4">
      <w:pPr>
        <w:pStyle w:val="ListParagraph"/>
        <w:numPr>
          <w:ilvl w:val="0"/>
          <w:numId w:val="11"/>
        </w:numPr>
        <w:spacing w:after="120"/>
        <w:ind w:left="714" w:hanging="357"/>
      </w:pPr>
      <w:r w:rsidRPr="00514B63">
        <w:rPr>
          <w:lang w:val="en-US"/>
        </w:rPr>
        <w:t>Department of Human Services submission to the Independent Review of the Australian Public Service</w:t>
      </w:r>
      <w:r w:rsidR="009A246E">
        <w:rPr>
          <w:lang w:val="en-US"/>
        </w:rPr>
        <w:t>(</w:t>
      </w:r>
      <w:hyperlink r:id="rId38" w:history="1">
        <w:r w:rsidRPr="00514B63">
          <w:rPr>
            <w:rStyle w:val="Hyperlink"/>
            <w:lang w:val="en-US"/>
          </w:rPr>
          <w:t>https://uploadstorage.blob.core.windows.net/submission-uploads/fil053a9c29a67dceb4202fb.pdf</w:t>
        </w:r>
      </w:hyperlink>
      <w:r w:rsidR="009A246E">
        <w:rPr>
          <w:rStyle w:val="Hyperlink"/>
          <w:lang w:val="en-US"/>
        </w:rPr>
        <w:t>)</w:t>
      </w:r>
    </w:p>
    <w:p w14:paraId="2254A9A7" w14:textId="77777777" w:rsidR="001509B0" w:rsidRPr="00514B63" w:rsidRDefault="001509B0" w:rsidP="00421C2B">
      <w:pPr>
        <w:rPr>
          <w:b/>
          <w:lang w:val="en-US"/>
        </w:rPr>
      </w:pPr>
      <w:r w:rsidRPr="00514B63">
        <w:rPr>
          <w:b/>
          <w:lang w:val="en-US"/>
        </w:rPr>
        <w:t>Appendix</w:t>
      </w:r>
      <w:r w:rsidR="00895E71" w:rsidRPr="00514B63">
        <w:rPr>
          <w:b/>
          <w:lang w:val="en-US"/>
        </w:rPr>
        <w:t xml:space="preserve"> 1:  </w:t>
      </w:r>
      <w:r w:rsidR="009D292E" w:rsidRPr="00514B63">
        <w:rPr>
          <w:b/>
          <w:lang w:val="en-US"/>
        </w:rPr>
        <w:t xml:space="preserve">DHS </w:t>
      </w:r>
      <w:r w:rsidR="00895E71" w:rsidRPr="00514B63">
        <w:rPr>
          <w:b/>
          <w:lang w:val="en-US"/>
        </w:rPr>
        <w:t>Online Compliance Interv</w:t>
      </w:r>
      <w:r w:rsidR="003D04B0" w:rsidRPr="00514B63">
        <w:rPr>
          <w:b/>
          <w:lang w:val="en-US"/>
        </w:rPr>
        <w:t>e</w:t>
      </w:r>
      <w:r w:rsidR="00895E71" w:rsidRPr="00514B63">
        <w:rPr>
          <w:b/>
          <w:lang w:val="en-US"/>
        </w:rPr>
        <w:t>ntion</w:t>
      </w:r>
      <w:r w:rsidR="009D292E" w:rsidRPr="00514B63">
        <w:rPr>
          <w:b/>
          <w:lang w:val="en-US"/>
        </w:rPr>
        <w:t xml:space="preserve"> Strategies</w:t>
      </w:r>
    </w:p>
    <w:p w14:paraId="24FD3D44" w14:textId="77777777" w:rsidR="00C60CB9" w:rsidRDefault="00D270E9" w:rsidP="00CE18B4">
      <w:pPr>
        <w:pStyle w:val="Bullet"/>
        <w:numPr>
          <w:ilvl w:val="0"/>
          <w:numId w:val="0"/>
        </w:numPr>
        <w:spacing w:after="120" w:line="240" w:lineRule="auto"/>
        <w:rPr>
          <w:lang w:val="en-US"/>
        </w:rPr>
      </w:pPr>
      <w:r w:rsidRPr="00514B63">
        <w:rPr>
          <w:lang w:val="en-US"/>
        </w:rPr>
        <w:t xml:space="preserve">This appendix </w:t>
      </w:r>
      <w:r w:rsidR="003D04B0" w:rsidRPr="00514B63">
        <w:rPr>
          <w:lang w:val="en-US"/>
        </w:rPr>
        <w:t xml:space="preserve">outlines </w:t>
      </w:r>
      <w:r w:rsidR="0090138C">
        <w:rPr>
          <w:lang w:val="en-US"/>
        </w:rPr>
        <w:t>actions</w:t>
      </w:r>
      <w:r w:rsidR="003D04B0" w:rsidRPr="00514B63">
        <w:rPr>
          <w:lang w:val="en-US"/>
        </w:rPr>
        <w:t xml:space="preserve"> taken by DHS </w:t>
      </w:r>
      <w:r w:rsidR="00C5037F" w:rsidRPr="00514B63">
        <w:rPr>
          <w:lang w:val="en-US"/>
        </w:rPr>
        <w:t xml:space="preserve">to </w:t>
      </w:r>
      <w:r w:rsidR="0090138C">
        <w:rPr>
          <w:lang w:val="en-US"/>
        </w:rPr>
        <w:t xml:space="preserve">respond to feedback </w:t>
      </w:r>
      <w:r w:rsidR="003D04B0" w:rsidRPr="00514B63">
        <w:rPr>
          <w:lang w:val="en-US"/>
        </w:rPr>
        <w:t>f</w:t>
      </w:r>
      <w:r w:rsidR="0090138C">
        <w:rPr>
          <w:lang w:val="en-US"/>
        </w:rPr>
        <w:t>rom</w:t>
      </w:r>
      <w:r w:rsidR="003D04B0" w:rsidRPr="00514B63">
        <w:rPr>
          <w:lang w:val="en-US"/>
        </w:rPr>
        <w:t xml:space="preserve"> the introduction in 2016 of new online approach</w:t>
      </w:r>
      <w:r w:rsidR="0090138C">
        <w:rPr>
          <w:lang w:val="en-US"/>
        </w:rPr>
        <w:t>es to compliance</w:t>
      </w:r>
      <w:r w:rsidR="003D04B0" w:rsidRPr="00514B63">
        <w:rPr>
          <w:lang w:val="en-US"/>
        </w:rPr>
        <w:t>.</w:t>
      </w:r>
      <w:r w:rsidR="008806DD">
        <w:rPr>
          <w:lang w:val="en-US"/>
        </w:rPr>
        <w:t xml:space="preserve"> Th</w:t>
      </w:r>
      <w:r w:rsidR="0090138C">
        <w:rPr>
          <w:lang w:val="en-US"/>
        </w:rPr>
        <w:t>e new</w:t>
      </w:r>
      <w:r w:rsidR="008806DD">
        <w:rPr>
          <w:lang w:val="en-US"/>
        </w:rPr>
        <w:t xml:space="preserve"> </w:t>
      </w:r>
      <w:r w:rsidR="00C60CB9">
        <w:rPr>
          <w:lang w:val="en-US"/>
        </w:rPr>
        <w:t xml:space="preserve">compliance checks </w:t>
      </w:r>
      <w:r w:rsidR="0090138C">
        <w:rPr>
          <w:lang w:val="en-US"/>
        </w:rPr>
        <w:t xml:space="preserve">focus on </w:t>
      </w:r>
      <w:r w:rsidR="00C60CB9">
        <w:rPr>
          <w:lang w:val="en-US"/>
        </w:rPr>
        <w:t xml:space="preserve">where there is a discrepancy between </w:t>
      </w:r>
      <w:r w:rsidR="008806DD">
        <w:rPr>
          <w:lang w:val="en-US"/>
        </w:rPr>
        <w:t xml:space="preserve">income </w:t>
      </w:r>
      <w:r w:rsidR="00C60CB9">
        <w:rPr>
          <w:lang w:val="en-US"/>
        </w:rPr>
        <w:t xml:space="preserve">that a customer reports to DHS and information held by other parties, including </w:t>
      </w:r>
      <w:r w:rsidR="008806DD">
        <w:rPr>
          <w:lang w:val="en-US"/>
        </w:rPr>
        <w:t>the Australian Taxation Office</w:t>
      </w:r>
      <w:r w:rsidR="00C60CB9">
        <w:rPr>
          <w:lang w:val="en-US"/>
        </w:rPr>
        <w:t>. The process gives the customer the opportunity to explain the discrepancy.</w:t>
      </w:r>
    </w:p>
    <w:p w14:paraId="22242C20" w14:textId="77777777" w:rsidR="003D04B0" w:rsidRPr="00514B63" w:rsidRDefault="00C60CB9" w:rsidP="00CE18B4">
      <w:pPr>
        <w:pStyle w:val="Bullet"/>
        <w:numPr>
          <w:ilvl w:val="0"/>
          <w:numId w:val="0"/>
        </w:numPr>
        <w:spacing w:after="120" w:line="240" w:lineRule="auto"/>
        <w:rPr>
          <w:lang w:val="en-US"/>
        </w:rPr>
      </w:pPr>
      <w:r>
        <w:rPr>
          <w:lang w:val="en-US"/>
        </w:rPr>
        <w:t xml:space="preserve">DHS has </w:t>
      </w:r>
      <w:r w:rsidR="0090138C">
        <w:rPr>
          <w:lang w:val="en-US"/>
        </w:rPr>
        <w:t xml:space="preserve">worked </w:t>
      </w:r>
      <w:r>
        <w:rPr>
          <w:lang w:val="en-US"/>
        </w:rPr>
        <w:t xml:space="preserve">to enhance the online portal and associated compliance letters. DHS has done this through extensive user testing and consultation with community and welfare organisations.   </w:t>
      </w:r>
      <w:r w:rsidR="003D04B0" w:rsidRPr="00514B63">
        <w:rPr>
          <w:lang w:val="en-US"/>
        </w:rPr>
        <w:t xml:space="preserve"> </w:t>
      </w:r>
    </w:p>
    <w:p w14:paraId="60BD99F8" w14:textId="77777777" w:rsidR="00305358" w:rsidRPr="00514B63" w:rsidRDefault="00C60CB9" w:rsidP="00CE18B4">
      <w:pPr>
        <w:pStyle w:val="Bullet"/>
        <w:numPr>
          <w:ilvl w:val="0"/>
          <w:numId w:val="0"/>
        </w:numPr>
        <w:spacing w:after="120" w:line="240" w:lineRule="auto"/>
        <w:rPr>
          <w:rFonts w:cstheme="minorHAnsi"/>
          <w:b/>
        </w:rPr>
      </w:pPr>
      <w:r>
        <w:rPr>
          <w:rFonts w:cstheme="minorHAnsi"/>
          <w:b/>
        </w:rPr>
        <w:t>E</w:t>
      </w:r>
      <w:r w:rsidR="00305358" w:rsidRPr="00514B63">
        <w:rPr>
          <w:rFonts w:cstheme="minorHAnsi"/>
          <w:b/>
        </w:rPr>
        <w:t>nhanc</w:t>
      </w:r>
      <w:r>
        <w:rPr>
          <w:rFonts w:cstheme="minorHAnsi"/>
          <w:b/>
        </w:rPr>
        <w:t>ing</w:t>
      </w:r>
      <w:r w:rsidR="00305358" w:rsidRPr="00514B63">
        <w:rPr>
          <w:rFonts w:cstheme="minorHAnsi"/>
          <w:b/>
        </w:rPr>
        <w:t xml:space="preserve"> communication</w:t>
      </w:r>
    </w:p>
    <w:p w14:paraId="64C8B0D5" w14:textId="77777777" w:rsidR="00305358" w:rsidRPr="00514B63" w:rsidRDefault="00C60CB9" w:rsidP="00CE18B4">
      <w:pPr>
        <w:pStyle w:val="Default"/>
        <w:adjustRightInd/>
        <w:spacing w:after="120"/>
      </w:pPr>
      <w:r w:rsidRPr="0090138C">
        <w:rPr>
          <w:rFonts w:asciiTheme="minorHAnsi" w:hAnsiTheme="minorHAnsi" w:cstheme="minorHAnsi"/>
          <w:color w:val="auto"/>
          <w:sz w:val="22"/>
          <w:szCs w:val="22"/>
        </w:rPr>
        <w:t>DHS has</w:t>
      </w:r>
      <w:r w:rsidR="00305358" w:rsidRPr="0090138C">
        <w:rPr>
          <w:rFonts w:asciiTheme="minorHAnsi" w:hAnsiTheme="minorHAnsi" w:cstheme="minorHAnsi"/>
          <w:color w:val="auto"/>
          <w:sz w:val="22"/>
          <w:szCs w:val="22"/>
        </w:rPr>
        <w:t xml:space="preserve"> taken long and complex letters and improved them </w:t>
      </w:r>
      <w:r w:rsidR="00BD6D90">
        <w:rPr>
          <w:rFonts w:asciiTheme="minorHAnsi" w:hAnsiTheme="minorHAnsi" w:cstheme="minorHAnsi"/>
          <w:color w:val="auto"/>
          <w:sz w:val="22"/>
          <w:szCs w:val="22"/>
        </w:rPr>
        <w:t xml:space="preserve">by using more </w:t>
      </w:r>
      <w:r w:rsidR="00305358" w:rsidRPr="0090138C">
        <w:rPr>
          <w:rFonts w:asciiTheme="minorHAnsi" w:hAnsiTheme="minorHAnsi" w:cstheme="minorHAnsi"/>
          <w:color w:val="auto"/>
          <w:sz w:val="22"/>
          <w:szCs w:val="22"/>
        </w:rPr>
        <w:t xml:space="preserve">simple language, </w:t>
      </w:r>
      <w:r w:rsidR="00BD6D90">
        <w:rPr>
          <w:rFonts w:asciiTheme="minorHAnsi" w:hAnsiTheme="minorHAnsi" w:cstheme="minorHAnsi"/>
          <w:color w:val="auto"/>
          <w:sz w:val="22"/>
          <w:szCs w:val="22"/>
        </w:rPr>
        <w:t>and including</w:t>
      </w:r>
      <w:r w:rsidR="00305358" w:rsidRPr="0090138C">
        <w:rPr>
          <w:rFonts w:asciiTheme="minorHAnsi" w:hAnsiTheme="minorHAnsi" w:cstheme="minorHAnsi"/>
          <w:color w:val="auto"/>
          <w:sz w:val="22"/>
          <w:szCs w:val="22"/>
        </w:rPr>
        <w:t xml:space="preserve"> all key information on the first page, a call to action box and clear next steps required, </w:t>
      </w:r>
      <w:r w:rsidR="00BD6D90">
        <w:rPr>
          <w:rFonts w:asciiTheme="minorHAnsi" w:hAnsiTheme="minorHAnsi" w:cstheme="minorHAnsi"/>
          <w:color w:val="auto"/>
          <w:sz w:val="22"/>
          <w:szCs w:val="22"/>
        </w:rPr>
        <w:t xml:space="preserve">such as the </w:t>
      </w:r>
      <w:r w:rsidR="00305358" w:rsidRPr="0090138C">
        <w:rPr>
          <w:rFonts w:asciiTheme="minorHAnsi" w:hAnsiTheme="minorHAnsi" w:cstheme="minorHAnsi"/>
          <w:color w:val="auto"/>
          <w:sz w:val="22"/>
          <w:szCs w:val="22"/>
        </w:rPr>
        <w:t>documents they will need</w:t>
      </w:r>
      <w:r w:rsidR="00BD6D90">
        <w:rPr>
          <w:rFonts w:asciiTheme="minorHAnsi" w:hAnsiTheme="minorHAnsi" w:cstheme="minorHAnsi"/>
          <w:color w:val="auto"/>
          <w:sz w:val="22"/>
          <w:szCs w:val="22"/>
        </w:rPr>
        <w:t xml:space="preserve"> to provide</w:t>
      </w:r>
      <w:r w:rsidR="00305358" w:rsidRPr="0090138C">
        <w:rPr>
          <w:rFonts w:asciiTheme="minorHAnsi" w:hAnsiTheme="minorHAnsi" w:cstheme="minorHAnsi"/>
          <w:color w:val="auto"/>
          <w:sz w:val="22"/>
          <w:szCs w:val="22"/>
        </w:rPr>
        <w:t>.</w:t>
      </w:r>
      <w:r w:rsidRPr="0090138C">
        <w:rPr>
          <w:rFonts w:asciiTheme="minorHAnsi" w:hAnsiTheme="minorHAnsi" w:cstheme="minorHAnsi"/>
          <w:color w:val="auto"/>
          <w:sz w:val="22"/>
          <w:szCs w:val="22"/>
        </w:rPr>
        <w:t xml:space="preserve"> </w:t>
      </w:r>
      <w:r w:rsidR="00BD6D90">
        <w:rPr>
          <w:rFonts w:asciiTheme="minorHAnsi" w:hAnsiTheme="minorHAnsi" w:cstheme="minorHAnsi"/>
          <w:color w:val="auto"/>
          <w:sz w:val="22"/>
          <w:szCs w:val="22"/>
        </w:rPr>
        <w:t>Experience has found that c</w:t>
      </w:r>
      <w:r w:rsidR="00305358" w:rsidRPr="0090138C">
        <w:rPr>
          <w:rFonts w:asciiTheme="minorHAnsi" w:hAnsiTheme="minorHAnsi" w:cstheme="minorHAnsi"/>
          <w:color w:val="auto"/>
          <w:sz w:val="22"/>
          <w:szCs w:val="22"/>
        </w:rPr>
        <w:t>ommunication is more effective when concise and simple language</w:t>
      </w:r>
      <w:r w:rsidR="00F00B6E">
        <w:rPr>
          <w:rFonts w:asciiTheme="minorHAnsi" w:hAnsiTheme="minorHAnsi" w:cstheme="minorHAnsi"/>
          <w:color w:val="auto"/>
          <w:sz w:val="22"/>
          <w:szCs w:val="22"/>
        </w:rPr>
        <w:t xml:space="preserve"> is used</w:t>
      </w:r>
      <w:r w:rsidR="00305358" w:rsidRPr="0090138C">
        <w:rPr>
          <w:rFonts w:asciiTheme="minorHAnsi" w:hAnsiTheme="minorHAnsi" w:cstheme="minorHAnsi"/>
          <w:color w:val="auto"/>
          <w:sz w:val="22"/>
          <w:szCs w:val="22"/>
        </w:rPr>
        <w:t>.</w:t>
      </w:r>
    </w:p>
    <w:p w14:paraId="0234D13F" w14:textId="77777777" w:rsidR="001509B0" w:rsidRPr="00514B63" w:rsidRDefault="00C60CB9" w:rsidP="00CE18B4">
      <w:pPr>
        <w:pStyle w:val="Bullet"/>
        <w:numPr>
          <w:ilvl w:val="0"/>
          <w:numId w:val="0"/>
        </w:numPr>
        <w:spacing w:after="120" w:line="240" w:lineRule="auto"/>
        <w:rPr>
          <w:rFonts w:cstheme="minorHAnsi"/>
          <w:b/>
        </w:rPr>
      </w:pPr>
      <w:r>
        <w:rPr>
          <w:rFonts w:cstheme="minorHAnsi"/>
          <w:b/>
        </w:rPr>
        <w:t>P</w:t>
      </w:r>
      <w:r w:rsidR="00305358" w:rsidRPr="00514B63">
        <w:rPr>
          <w:rFonts w:cstheme="minorHAnsi"/>
          <w:b/>
        </w:rPr>
        <w:t>lac</w:t>
      </w:r>
      <w:r>
        <w:rPr>
          <w:rFonts w:cstheme="minorHAnsi"/>
          <w:b/>
        </w:rPr>
        <w:t>ing</w:t>
      </w:r>
      <w:r w:rsidR="00305358" w:rsidRPr="00514B63">
        <w:rPr>
          <w:rFonts w:cstheme="minorHAnsi"/>
          <w:b/>
        </w:rPr>
        <w:t xml:space="preserve"> the customer at the centre of design (customer centric)</w:t>
      </w:r>
    </w:p>
    <w:p w14:paraId="3F4C06A6" w14:textId="77777777" w:rsidR="00305358" w:rsidRPr="00514B63" w:rsidRDefault="0090138C" w:rsidP="00CE18B4">
      <w:pPr>
        <w:pStyle w:val="Default"/>
        <w:adjustRightInd/>
        <w:spacing w:after="120"/>
      </w:pPr>
      <w:r w:rsidRPr="0090138C">
        <w:rPr>
          <w:rFonts w:asciiTheme="minorHAnsi" w:hAnsiTheme="minorHAnsi" w:cstheme="minorHAnsi"/>
          <w:color w:val="auto"/>
          <w:sz w:val="22"/>
          <w:szCs w:val="22"/>
        </w:rPr>
        <w:t xml:space="preserve">DHS </w:t>
      </w:r>
      <w:r w:rsidR="00305358" w:rsidRPr="0090138C">
        <w:rPr>
          <w:rFonts w:asciiTheme="minorHAnsi" w:hAnsiTheme="minorHAnsi" w:cstheme="minorHAnsi"/>
          <w:color w:val="auto"/>
          <w:sz w:val="22"/>
          <w:szCs w:val="22"/>
        </w:rPr>
        <w:t>seek</w:t>
      </w:r>
      <w:r w:rsidRPr="0090138C">
        <w:rPr>
          <w:rFonts w:asciiTheme="minorHAnsi" w:hAnsiTheme="minorHAnsi" w:cstheme="minorHAnsi"/>
          <w:color w:val="auto"/>
          <w:sz w:val="22"/>
          <w:szCs w:val="22"/>
        </w:rPr>
        <w:t>s</w:t>
      </w:r>
      <w:r w:rsidR="00305358" w:rsidRPr="0090138C">
        <w:rPr>
          <w:rFonts w:asciiTheme="minorHAnsi" w:hAnsiTheme="minorHAnsi" w:cstheme="minorHAnsi"/>
          <w:color w:val="auto"/>
          <w:sz w:val="22"/>
          <w:szCs w:val="22"/>
        </w:rPr>
        <w:t xml:space="preserve"> to ensure that customers</w:t>
      </w:r>
      <w:r w:rsidRPr="0090138C">
        <w:rPr>
          <w:rFonts w:asciiTheme="minorHAnsi" w:hAnsiTheme="minorHAnsi" w:cstheme="minorHAnsi"/>
          <w:color w:val="auto"/>
          <w:sz w:val="22"/>
          <w:szCs w:val="22"/>
        </w:rPr>
        <w:t>,</w:t>
      </w:r>
      <w:r w:rsidR="00305358" w:rsidRPr="0090138C">
        <w:rPr>
          <w:rFonts w:asciiTheme="minorHAnsi" w:hAnsiTheme="minorHAnsi" w:cstheme="minorHAnsi"/>
          <w:color w:val="auto"/>
          <w:sz w:val="22"/>
          <w:szCs w:val="22"/>
        </w:rPr>
        <w:t xml:space="preserve"> for whom </w:t>
      </w:r>
      <w:r w:rsidRPr="0090138C">
        <w:rPr>
          <w:rFonts w:asciiTheme="minorHAnsi" w:hAnsiTheme="minorHAnsi" w:cstheme="minorHAnsi"/>
          <w:color w:val="auto"/>
          <w:sz w:val="22"/>
          <w:szCs w:val="22"/>
        </w:rPr>
        <w:t>new</w:t>
      </w:r>
      <w:r w:rsidR="00305358" w:rsidRPr="0090138C">
        <w:rPr>
          <w:rFonts w:asciiTheme="minorHAnsi" w:hAnsiTheme="minorHAnsi" w:cstheme="minorHAnsi"/>
          <w:color w:val="auto"/>
          <w:sz w:val="22"/>
          <w:szCs w:val="22"/>
        </w:rPr>
        <w:t xml:space="preserve"> products are targeted, are included in the design process. This means engaging early with customers to </w:t>
      </w:r>
      <w:r w:rsidR="00BD6D90">
        <w:rPr>
          <w:rFonts w:asciiTheme="minorHAnsi" w:hAnsiTheme="minorHAnsi" w:cstheme="minorHAnsi"/>
          <w:color w:val="auto"/>
          <w:sz w:val="22"/>
          <w:szCs w:val="22"/>
        </w:rPr>
        <w:t>gather</w:t>
      </w:r>
      <w:r w:rsidR="00305358" w:rsidRPr="0090138C">
        <w:rPr>
          <w:rFonts w:asciiTheme="minorHAnsi" w:hAnsiTheme="minorHAnsi" w:cstheme="minorHAnsi"/>
          <w:color w:val="auto"/>
          <w:sz w:val="22"/>
          <w:szCs w:val="22"/>
        </w:rPr>
        <w:t xml:space="preserve"> feedback on how best to deliver services.</w:t>
      </w:r>
      <w:r w:rsidRPr="0090138C">
        <w:rPr>
          <w:rFonts w:asciiTheme="minorHAnsi" w:hAnsiTheme="minorHAnsi" w:cstheme="minorHAnsi"/>
          <w:color w:val="auto"/>
          <w:sz w:val="22"/>
          <w:szCs w:val="22"/>
        </w:rPr>
        <w:t xml:space="preserve"> </w:t>
      </w:r>
      <w:r w:rsidR="00305358" w:rsidRPr="0090138C">
        <w:rPr>
          <w:rFonts w:asciiTheme="minorHAnsi" w:hAnsiTheme="minorHAnsi" w:cstheme="minorHAnsi"/>
          <w:color w:val="auto"/>
          <w:sz w:val="22"/>
          <w:szCs w:val="22"/>
        </w:rPr>
        <w:t>Systems need to be designed in a way that make them accessible to the entire customer base</w:t>
      </w:r>
      <w:r w:rsidR="00BD6D90">
        <w:rPr>
          <w:rFonts w:asciiTheme="minorHAnsi" w:hAnsiTheme="minorHAnsi" w:cstheme="minorHAnsi"/>
          <w:color w:val="auto"/>
          <w:sz w:val="22"/>
          <w:szCs w:val="22"/>
        </w:rPr>
        <w:t>, including the most vulnerable members of the community</w:t>
      </w:r>
      <w:r w:rsidR="00305358" w:rsidRPr="0090138C">
        <w:rPr>
          <w:rFonts w:asciiTheme="minorHAnsi" w:hAnsiTheme="minorHAnsi" w:cstheme="minorHAnsi"/>
          <w:color w:val="auto"/>
          <w:sz w:val="22"/>
          <w:szCs w:val="22"/>
        </w:rPr>
        <w:t>.</w:t>
      </w:r>
      <w:r w:rsidRPr="0090138C">
        <w:rPr>
          <w:rFonts w:asciiTheme="minorHAnsi" w:hAnsiTheme="minorHAnsi" w:cstheme="minorHAnsi"/>
          <w:color w:val="auto"/>
          <w:sz w:val="22"/>
          <w:szCs w:val="22"/>
        </w:rPr>
        <w:t xml:space="preserve"> </w:t>
      </w:r>
      <w:r w:rsidR="00D270E9" w:rsidRPr="0090138C">
        <w:rPr>
          <w:rFonts w:asciiTheme="minorHAnsi" w:hAnsiTheme="minorHAnsi" w:cstheme="minorHAnsi"/>
          <w:color w:val="auto"/>
          <w:sz w:val="22"/>
          <w:szCs w:val="22"/>
        </w:rPr>
        <w:t>DHS</w:t>
      </w:r>
      <w:r w:rsidR="00305358" w:rsidRPr="0090138C">
        <w:rPr>
          <w:rFonts w:asciiTheme="minorHAnsi" w:hAnsiTheme="minorHAnsi" w:cstheme="minorHAnsi"/>
          <w:color w:val="auto"/>
          <w:sz w:val="22"/>
          <w:szCs w:val="22"/>
        </w:rPr>
        <w:t xml:space="preserve"> </w:t>
      </w:r>
      <w:r w:rsidRPr="0090138C">
        <w:rPr>
          <w:rFonts w:asciiTheme="minorHAnsi" w:hAnsiTheme="minorHAnsi" w:cstheme="minorHAnsi"/>
          <w:color w:val="auto"/>
          <w:sz w:val="22"/>
          <w:szCs w:val="22"/>
        </w:rPr>
        <w:t xml:space="preserve">also </w:t>
      </w:r>
      <w:r w:rsidR="00305358" w:rsidRPr="0090138C">
        <w:rPr>
          <w:rFonts w:asciiTheme="minorHAnsi" w:hAnsiTheme="minorHAnsi" w:cstheme="minorHAnsi"/>
          <w:color w:val="auto"/>
          <w:sz w:val="22"/>
          <w:szCs w:val="22"/>
        </w:rPr>
        <w:t>consult</w:t>
      </w:r>
      <w:r w:rsidRPr="0090138C">
        <w:rPr>
          <w:rFonts w:asciiTheme="minorHAnsi" w:hAnsiTheme="minorHAnsi" w:cstheme="minorHAnsi"/>
          <w:color w:val="auto"/>
          <w:sz w:val="22"/>
          <w:szCs w:val="22"/>
        </w:rPr>
        <w:t>s</w:t>
      </w:r>
      <w:r w:rsidR="00305358" w:rsidRPr="0090138C">
        <w:rPr>
          <w:rFonts w:asciiTheme="minorHAnsi" w:hAnsiTheme="minorHAnsi" w:cstheme="minorHAnsi"/>
          <w:color w:val="auto"/>
          <w:sz w:val="22"/>
          <w:szCs w:val="22"/>
        </w:rPr>
        <w:t xml:space="preserve"> community, legal organisations and other government agencies throughout system development.</w:t>
      </w:r>
    </w:p>
    <w:p w14:paraId="62A7E0F3" w14:textId="77777777" w:rsidR="001509B0" w:rsidRPr="00514B63" w:rsidRDefault="0090138C">
      <w:pPr>
        <w:pStyle w:val="Bullet"/>
        <w:numPr>
          <w:ilvl w:val="0"/>
          <w:numId w:val="0"/>
        </w:numPr>
        <w:spacing w:after="120" w:line="240" w:lineRule="auto"/>
        <w:rPr>
          <w:rFonts w:cstheme="minorHAnsi"/>
          <w:b/>
        </w:rPr>
      </w:pPr>
      <w:r>
        <w:rPr>
          <w:rFonts w:cstheme="minorHAnsi"/>
          <w:b/>
        </w:rPr>
        <w:t>A</w:t>
      </w:r>
      <w:r w:rsidR="00305358" w:rsidRPr="00514B63">
        <w:rPr>
          <w:rFonts w:cstheme="minorHAnsi"/>
          <w:b/>
        </w:rPr>
        <w:t>ppl</w:t>
      </w:r>
      <w:r>
        <w:rPr>
          <w:rFonts w:cstheme="minorHAnsi"/>
          <w:b/>
        </w:rPr>
        <w:t>ying</w:t>
      </w:r>
      <w:r w:rsidR="00305358" w:rsidRPr="00514B63">
        <w:rPr>
          <w:rFonts w:cstheme="minorHAnsi"/>
          <w:b/>
        </w:rPr>
        <w:t xml:space="preserve"> </w:t>
      </w:r>
      <w:r w:rsidR="001509B0" w:rsidRPr="00514B63">
        <w:rPr>
          <w:rFonts w:cstheme="minorHAnsi"/>
          <w:b/>
        </w:rPr>
        <w:t xml:space="preserve">behavioural insights </w:t>
      </w:r>
    </w:p>
    <w:p w14:paraId="5D6DC888" w14:textId="77777777" w:rsidR="00305358" w:rsidRPr="0090138C" w:rsidRDefault="00305358" w:rsidP="00CE18B4">
      <w:pPr>
        <w:pStyle w:val="Default"/>
        <w:adjustRightInd/>
        <w:spacing w:after="120"/>
        <w:rPr>
          <w:rFonts w:asciiTheme="minorHAnsi" w:hAnsiTheme="minorHAnsi" w:cstheme="minorHAnsi"/>
          <w:color w:val="auto"/>
          <w:sz w:val="22"/>
          <w:szCs w:val="22"/>
        </w:rPr>
      </w:pPr>
      <w:r w:rsidRPr="0090138C">
        <w:rPr>
          <w:rFonts w:asciiTheme="minorHAnsi" w:hAnsiTheme="minorHAnsi" w:cstheme="minorHAnsi"/>
          <w:color w:val="auto"/>
          <w:sz w:val="22"/>
          <w:szCs w:val="22"/>
        </w:rPr>
        <w:t xml:space="preserve">Traditional views about communication have evolved, particularly with advances in behavioural insights, such </w:t>
      </w:r>
      <w:r w:rsidR="00BD6D90">
        <w:rPr>
          <w:rFonts w:asciiTheme="minorHAnsi" w:hAnsiTheme="minorHAnsi" w:cstheme="minorHAnsi"/>
          <w:color w:val="auto"/>
          <w:sz w:val="22"/>
          <w:szCs w:val="22"/>
        </w:rPr>
        <w:t>as</w:t>
      </w:r>
      <w:r w:rsidRPr="0090138C">
        <w:rPr>
          <w:rFonts w:asciiTheme="minorHAnsi" w:hAnsiTheme="minorHAnsi" w:cstheme="minorHAnsi"/>
          <w:color w:val="auto"/>
          <w:sz w:val="22"/>
          <w:szCs w:val="22"/>
        </w:rPr>
        <w:t xml:space="preserve"> </w:t>
      </w:r>
      <w:r w:rsidR="00BD6D90">
        <w:rPr>
          <w:rFonts w:asciiTheme="minorHAnsi" w:hAnsiTheme="minorHAnsi" w:cstheme="minorHAnsi"/>
          <w:color w:val="auto"/>
          <w:sz w:val="22"/>
          <w:szCs w:val="22"/>
        </w:rPr>
        <w:t xml:space="preserve">using </w:t>
      </w:r>
      <w:r w:rsidRPr="0090138C">
        <w:rPr>
          <w:rFonts w:asciiTheme="minorHAnsi" w:hAnsiTheme="minorHAnsi" w:cstheme="minorHAnsi"/>
          <w:color w:val="auto"/>
          <w:sz w:val="22"/>
          <w:szCs w:val="22"/>
        </w:rPr>
        <w:t>visual prompts and other tools that may be more effective at communicating than text.</w:t>
      </w:r>
      <w:r w:rsidR="0090138C" w:rsidRPr="0090138C">
        <w:rPr>
          <w:rFonts w:asciiTheme="minorHAnsi" w:hAnsiTheme="minorHAnsi" w:cstheme="minorHAnsi"/>
          <w:color w:val="auto"/>
          <w:sz w:val="22"/>
          <w:szCs w:val="22"/>
        </w:rPr>
        <w:t xml:space="preserve"> DHS</w:t>
      </w:r>
      <w:r w:rsidR="0090138C">
        <w:rPr>
          <w:rFonts w:asciiTheme="minorHAnsi" w:hAnsiTheme="minorHAnsi" w:cstheme="minorHAnsi"/>
          <w:color w:val="auto"/>
          <w:sz w:val="22"/>
          <w:szCs w:val="22"/>
        </w:rPr>
        <w:t xml:space="preserve"> has</w:t>
      </w:r>
      <w:r w:rsidRPr="0090138C">
        <w:rPr>
          <w:rFonts w:asciiTheme="minorHAnsi" w:hAnsiTheme="minorHAnsi" w:cstheme="minorHAnsi"/>
          <w:color w:val="auto"/>
          <w:sz w:val="22"/>
          <w:szCs w:val="22"/>
        </w:rPr>
        <w:t xml:space="preserve"> learn</w:t>
      </w:r>
      <w:r w:rsidR="0090138C">
        <w:rPr>
          <w:rFonts w:asciiTheme="minorHAnsi" w:hAnsiTheme="minorHAnsi" w:cstheme="minorHAnsi"/>
          <w:color w:val="auto"/>
          <w:sz w:val="22"/>
          <w:szCs w:val="22"/>
        </w:rPr>
        <w:t>ed</w:t>
      </w:r>
      <w:r w:rsidRPr="0090138C">
        <w:rPr>
          <w:rFonts w:asciiTheme="minorHAnsi" w:hAnsiTheme="minorHAnsi" w:cstheme="minorHAnsi"/>
          <w:color w:val="auto"/>
          <w:sz w:val="22"/>
          <w:szCs w:val="22"/>
        </w:rPr>
        <w:t xml:space="preserve"> from behavioural science: </w:t>
      </w:r>
    </w:p>
    <w:p w14:paraId="57B2E5B7" w14:textId="77777777" w:rsidR="00305358" w:rsidRPr="00CE18B4" w:rsidRDefault="00DF2965" w:rsidP="00CE18B4">
      <w:pPr>
        <w:pStyle w:val="Default"/>
        <w:numPr>
          <w:ilvl w:val="0"/>
          <w:numId w:val="7"/>
        </w:numPr>
        <w:adjustRightInd/>
        <w:spacing w:after="120"/>
        <w:ind w:left="714" w:hanging="357"/>
        <w:rPr>
          <w:rFonts w:asciiTheme="minorHAnsi" w:hAnsiTheme="minorHAnsi" w:cstheme="minorHAnsi"/>
          <w:color w:val="auto"/>
          <w:sz w:val="22"/>
          <w:szCs w:val="22"/>
        </w:rPr>
      </w:pPr>
      <w:r w:rsidRPr="00CE18B4">
        <w:rPr>
          <w:rFonts w:asciiTheme="minorHAnsi" w:hAnsiTheme="minorHAnsi" w:cstheme="minorHAnsi"/>
          <w:sz w:val="22"/>
          <w:szCs w:val="22"/>
        </w:rPr>
        <w:t>While the vast majority of people do the right thing, some people deliberately defraud the system, and others need a reminder to keep their details up to date.</w:t>
      </w:r>
    </w:p>
    <w:p w14:paraId="0523954B" w14:textId="77777777" w:rsidR="00305358" w:rsidRPr="00CE18B4" w:rsidRDefault="00305358" w:rsidP="00CE18B4">
      <w:pPr>
        <w:pStyle w:val="Default"/>
        <w:numPr>
          <w:ilvl w:val="0"/>
          <w:numId w:val="7"/>
        </w:numPr>
        <w:adjustRightInd/>
        <w:spacing w:after="120"/>
        <w:ind w:left="714" w:hanging="357"/>
        <w:rPr>
          <w:rFonts w:cstheme="minorHAnsi"/>
          <w:b/>
        </w:rPr>
      </w:pPr>
      <w:r w:rsidRPr="00514B63">
        <w:rPr>
          <w:rFonts w:asciiTheme="minorHAnsi" w:hAnsiTheme="minorHAnsi" w:cstheme="minorHAnsi"/>
          <w:color w:val="auto"/>
          <w:sz w:val="22"/>
          <w:szCs w:val="22"/>
        </w:rPr>
        <w:t>advising people on the probability of consequences can increase compliance for people who are not morally motivated.</w:t>
      </w:r>
    </w:p>
    <w:p w14:paraId="412322BB" w14:textId="77777777" w:rsidR="001509B0" w:rsidRPr="00514B63" w:rsidRDefault="0090138C">
      <w:pPr>
        <w:pStyle w:val="Bullet"/>
        <w:numPr>
          <w:ilvl w:val="0"/>
          <w:numId w:val="0"/>
        </w:numPr>
        <w:spacing w:after="120" w:line="240" w:lineRule="auto"/>
        <w:rPr>
          <w:rFonts w:cstheme="minorHAnsi"/>
          <w:b/>
        </w:rPr>
      </w:pPr>
      <w:r>
        <w:rPr>
          <w:rFonts w:cstheme="minorHAnsi"/>
          <w:b/>
        </w:rPr>
        <w:t>M</w:t>
      </w:r>
      <w:r w:rsidR="00305358" w:rsidRPr="00514B63">
        <w:rPr>
          <w:rFonts w:cstheme="minorHAnsi"/>
          <w:b/>
        </w:rPr>
        <w:t xml:space="preserve">aking </w:t>
      </w:r>
      <w:r w:rsidR="001509B0" w:rsidRPr="00514B63">
        <w:rPr>
          <w:rFonts w:cstheme="minorHAnsi"/>
          <w:b/>
        </w:rPr>
        <w:t xml:space="preserve">better use of data </w:t>
      </w:r>
      <w:r>
        <w:rPr>
          <w:rFonts w:cstheme="minorHAnsi"/>
          <w:b/>
        </w:rPr>
        <w:t>to target compliance reviews</w:t>
      </w:r>
    </w:p>
    <w:p w14:paraId="7BF83A85" w14:textId="77777777" w:rsidR="00305358" w:rsidRPr="00514B63" w:rsidRDefault="00305358" w:rsidP="00CE18B4">
      <w:pPr>
        <w:pStyle w:val="Default"/>
        <w:adjustRightInd/>
        <w:spacing w:after="120"/>
        <w:rPr>
          <w:rFonts w:asciiTheme="minorHAnsi" w:hAnsiTheme="minorHAnsi" w:cstheme="minorHAnsi"/>
          <w:color w:val="auto"/>
          <w:sz w:val="22"/>
          <w:szCs w:val="22"/>
        </w:rPr>
      </w:pPr>
      <w:r w:rsidRPr="00514B63">
        <w:rPr>
          <w:rFonts w:asciiTheme="minorHAnsi" w:hAnsiTheme="minorHAnsi" w:cstheme="minorHAnsi"/>
          <w:color w:val="auto"/>
          <w:sz w:val="22"/>
          <w:szCs w:val="22"/>
        </w:rPr>
        <w:t xml:space="preserve">Significant work is being undertaken to improve the user experience and productivity of undertaking </w:t>
      </w:r>
      <w:r w:rsidR="0090138C">
        <w:rPr>
          <w:rFonts w:asciiTheme="minorHAnsi" w:hAnsiTheme="minorHAnsi" w:cstheme="minorHAnsi"/>
          <w:color w:val="auto"/>
          <w:sz w:val="22"/>
          <w:szCs w:val="22"/>
        </w:rPr>
        <w:t xml:space="preserve">compliance </w:t>
      </w:r>
      <w:r w:rsidRPr="00514B63">
        <w:rPr>
          <w:rFonts w:asciiTheme="minorHAnsi" w:hAnsiTheme="minorHAnsi" w:cstheme="minorHAnsi"/>
          <w:color w:val="auto"/>
          <w:sz w:val="22"/>
          <w:szCs w:val="22"/>
        </w:rPr>
        <w:t>reviews through the use of ‘big data’.</w:t>
      </w:r>
      <w:r w:rsidR="0090138C">
        <w:rPr>
          <w:rFonts w:asciiTheme="minorHAnsi" w:hAnsiTheme="minorHAnsi" w:cstheme="minorHAnsi"/>
          <w:color w:val="auto"/>
          <w:sz w:val="22"/>
          <w:szCs w:val="22"/>
        </w:rPr>
        <w:t xml:space="preserve"> </w:t>
      </w:r>
      <w:r w:rsidR="00BD6D90">
        <w:rPr>
          <w:rFonts w:asciiTheme="minorHAnsi" w:hAnsiTheme="minorHAnsi" w:cstheme="minorHAnsi"/>
          <w:color w:val="auto"/>
          <w:sz w:val="22"/>
          <w:szCs w:val="22"/>
        </w:rPr>
        <w:t xml:space="preserve">For example, </w:t>
      </w:r>
      <w:r w:rsidR="0090138C">
        <w:rPr>
          <w:rFonts w:asciiTheme="minorHAnsi" w:hAnsiTheme="minorHAnsi" w:cstheme="minorHAnsi"/>
          <w:color w:val="auto"/>
          <w:sz w:val="22"/>
          <w:szCs w:val="22"/>
        </w:rPr>
        <w:t>DHS has</w:t>
      </w:r>
      <w:r w:rsidRPr="00514B63">
        <w:rPr>
          <w:rFonts w:asciiTheme="minorHAnsi" w:hAnsiTheme="minorHAnsi" w:cstheme="minorHAnsi"/>
          <w:color w:val="auto"/>
          <w:sz w:val="22"/>
          <w:szCs w:val="22"/>
        </w:rPr>
        <w:t xml:space="preserve"> enhanced data analytics tools to predict with confidence income discrepancies that are likely to result in either </w:t>
      </w:r>
      <w:r w:rsidR="00BD6D90">
        <w:rPr>
          <w:rFonts w:asciiTheme="minorHAnsi" w:hAnsiTheme="minorHAnsi" w:cstheme="minorHAnsi"/>
          <w:color w:val="auto"/>
          <w:sz w:val="22"/>
          <w:szCs w:val="22"/>
        </w:rPr>
        <w:t xml:space="preserve">a </w:t>
      </w:r>
      <w:r w:rsidRPr="00514B63">
        <w:rPr>
          <w:rFonts w:asciiTheme="minorHAnsi" w:hAnsiTheme="minorHAnsi" w:cstheme="minorHAnsi"/>
          <w:color w:val="auto"/>
          <w:sz w:val="22"/>
          <w:szCs w:val="22"/>
        </w:rPr>
        <w:t xml:space="preserve">zero or very low debt outcome. For these discrepancies, </w:t>
      </w:r>
      <w:r w:rsidR="0090138C">
        <w:rPr>
          <w:rFonts w:asciiTheme="minorHAnsi" w:hAnsiTheme="minorHAnsi" w:cstheme="minorHAnsi"/>
          <w:color w:val="auto"/>
          <w:sz w:val="22"/>
          <w:szCs w:val="22"/>
        </w:rPr>
        <w:t>DHS</w:t>
      </w:r>
      <w:r w:rsidRPr="00514B63">
        <w:rPr>
          <w:rFonts w:asciiTheme="minorHAnsi" w:hAnsiTheme="minorHAnsi" w:cstheme="minorHAnsi"/>
          <w:color w:val="auto"/>
          <w:sz w:val="22"/>
          <w:szCs w:val="22"/>
        </w:rPr>
        <w:t xml:space="preserve"> is able to finalise a </w:t>
      </w:r>
      <w:r w:rsidR="0090138C">
        <w:rPr>
          <w:rFonts w:asciiTheme="minorHAnsi" w:hAnsiTheme="minorHAnsi" w:cstheme="minorHAnsi"/>
          <w:color w:val="auto"/>
          <w:sz w:val="22"/>
          <w:szCs w:val="22"/>
        </w:rPr>
        <w:t xml:space="preserve">compliance </w:t>
      </w:r>
      <w:r w:rsidRPr="00514B63">
        <w:rPr>
          <w:rFonts w:asciiTheme="minorHAnsi" w:hAnsiTheme="minorHAnsi" w:cstheme="minorHAnsi"/>
          <w:color w:val="auto"/>
          <w:sz w:val="22"/>
          <w:szCs w:val="22"/>
        </w:rPr>
        <w:t>review without directly engaging with the customer.</w:t>
      </w:r>
    </w:p>
    <w:sectPr w:rsidR="00305358" w:rsidRPr="00514B63" w:rsidSect="00366937">
      <w:headerReference w:type="even" r:id="rId39"/>
      <w:headerReference w:type="default" r:id="rId40"/>
      <w:footerReference w:type="even" r:id="rId41"/>
      <w:footerReference w:type="default" r:id="rId42"/>
      <w:headerReference w:type="first" r:id="rId43"/>
      <w:footerReference w:type="first" r:id="rId44"/>
      <w:pgSz w:w="11906" w:h="16838" w:code="277"/>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4A91" w14:textId="77777777" w:rsidR="00564BCA" w:rsidRDefault="00564BCA" w:rsidP="002325B2">
      <w:pPr>
        <w:spacing w:after="0" w:line="240" w:lineRule="auto"/>
      </w:pPr>
      <w:r>
        <w:separator/>
      </w:r>
    </w:p>
  </w:endnote>
  <w:endnote w:type="continuationSeparator" w:id="0">
    <w:p w14:paraId="2C7FCBDD" w14:textId="77777777" w:rsidR="00564BCA" w:rsidRDefault="00564BCA" w:rsidP="002325B2">
      <w:pPr>
        <w:spacing w:after="0" w:line="240" w:lineRule="auto"/>
      </w:pPr>
      <w:r>
        <w:continuationSeparator/>
      </w:r>
    </w:p>
  </w:endnote>
  <w:endnote w:type="continuationNotice" w:id="1">
    <w:p w14:paraId="07BF46DC" w14:textId="77777777" w:rsidR="00564BCA" w:rsidRDefault="00564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40919985"/>
      <w:docPartObj>
        <w:docPartGallery w:val="Page Numbers (Bottom of Page)"/>
        <w:docPartUnique/>
      </w:docPartObj>
    </w:sdtPr>
    <w:sdtEndPr/>
    <w:sdtContent>
      <w:sdt>
        <w:sdtPr>
          <w:rPr>
            <w:i/>
            <w:sz w:val="18"/>
            <w:szCs w:val="18"/>
          </w:rPr>
          <w:id w:val="-1754966264"/>
          <w:docPartObj>
            <w:docPartGallery w:val="Page Numbers (Top of Page)"/>
            <w:docPartUnique/>
          </w:docPartObj>
        </w:sdtPr>
        <w:sdtEndPr>
          <w:rPr>
            <w:i w:val="0"/>
          </w:rPr>
        </w:sdtEndPr>
        <w:sdtContent>
          <w:p w14:paraId="05707F79" w14:textId="0973597C" w:rsidR="00254599" w:rsidRPr="006D00EB" w:rsidRDefault="00254599" w:rsidP="00366937">
            <w:pPr>
              <w:pStyle w:val="Footer"/>
              <w:jc w:val="right"/>
              <w:rPr>
                <w:sz w:val="18"/>
                <w:szCs w:val="18"/>
              </w:rPr>
            </w:pPr>
            <w:r>
              <w:rPr>
                <w:i/>
                <w:sz w:val="18"/>
                <w:szCs w:val="18"/>
              </w:rPr>
              <w:t xml:space="preserve">[Topic]                         </w:t>
            </w:r>
            <w:r w:rsidRPr="006C79B3">
              <w:rPr>
                <w:i/>
                <w:sz w:val="18"/>
                <w:szCs w:val="18"/>
              </w:rPr>
              <w:t xml:space="preserve">                       </w:t>
            </w:r>
            <w:r>
              <w:rPr>
                <w:i/>
                <w:sz w:val="18"/>
                <w:szCs w:val="18"/>
              </w:rPr>
              <w:t xml:space="preserve">                            </w:t>
            </w:r>
            <w:r w:rsidRPr="006C79B3">
              <w:rPr>
                <w:i/>
                <w:sz w:val="18"/>
                <w:szCs w:val="18"/>
              </w:rPr>
              <w:t xml:space="preserve">  </w:t>
            </w:r>
            <w:r w:rsidRPr="00A34FF2">
              <w:rPr>
                <w:sz w:val="18"/>
                <w:szCs w:val="18"/>
              </w:rPr>
              <w:t xml:space="preserve">Page </w:t>
            </w:r>
            <w:r w:rsidRPr="00A34FF2">
              <w:rPr>
                <w:b/>
                <w:bCs/>
                <w:sz w:val="18"/>
                <w:szCs w:val="18"/>
              </w:rPr>
              <w:fldChar w:fldCharType="begin"/>
            </w:r>
            <w:r w:rsidRPr="00A34FF2">
              <w:rPr>
                <w:b/>
                <w:bCs/>
                <w:sz w:val="18"/>
                <w:szCs w:val="18"/>
              </w:rPr>
              <w:instrText xml:space="preserve"> PAGE </w:instrText>
            </w:r>
            <w:r w:rsidRPr="00A34FF2">
              <w:rPr>
                <w:b/>
                <w:bCs/>
                <w:sz w:val="18"/>
                <w:szCs w:val="18"/>
              </w:rPr>
              <w:fldChar w:fldCharType="separate"/>
            </w:r>
            <w:r w:rsidR="00C218DB">
              <w:rPr>
                <w:b/>
                <w:bCs/>
                <w:noProof/>
                <w:sz w:val="18"/>
                <w:szCs w:val="18"/>
              </w:rPr>
              <w:t>4</w:t>
            </w:r>
            <w:r w:rsidRPr="00A34FF2">
              <w:rPr>
                <w:b/>
                <w:bCs/>
                <w:sz w:val="18"/>
                <w:szCs w:val="18"/>
              </w:rPr>
              <w:fldChar w:fldCharType="end"/>
            </w:r>
            <w:r w:rsidRPr="00A34FF2">
              <w:rPr>
                <w:sz w:val="18"/>
                <w:szCs w:val="18"/>
              </w:rPr>
              <w:t xml:space="preserve"> of </w:t>
            </w:r>
            <w:r w:rsidRPr="00A34FF2">
              <w:rPr>
                <w:b/>
                <w:bCs/>
                <w:sz w:val="18"/>
                <w:szCs w:val="18"/>
              </w:rPr>
              <w:fldChar w:fldCharType="begin"/>
            </w:r>
            <w:r w:rsidRPr="00A34FF2">
              <w:rPr>
                <w:b/>
                <w:bCs/>
                <w:sz w:val="18"/>
                <w:szCs w:val="18"/>
              </w:rPr>
              <w:instrText xml:space="preserve"> NUMPAGES  </w:instrText>
            </w:r>
            <w:r w:rsidRPr="00A34FF2">
              <w:rPr>
                <w:b/>
                <w:bCs/>
                <w:sz w:val="18"/>
                <w:szCs w:val="18"/>
              </w:rPr>
              <w:fldChar w:fldCharType="separate"/>
            </w:r>
            <w:r w:rsidR="00C218DB">
              <w:rPr>
                <w:b/>
                <w:bCs/>
                <w:noProof/>
                <w:sz w:val="18"/>
                <w:szCs w:val="18"/>
              </w:rPr>
              <w:t>18</w:t>
            </w:r>
            <w:r w:rsidRPr="00A34FF2">
              <w:rPr>
                <w:b/>
                <w:bCs/>
                <w:sz w:val="18"/>
                <w:szCs w:val="18"/>
              </w:rPr>
              <w:fldChar w:fldCharType="end"/>
            </w:r>
          </w:p>
        </w:sdtContent>
      </w:sdt>
    </w:sdtContent>
  </w:sdt>
  <w:p w14:paraId="47D6FFA0" w14:textId="77777777" w:rsidR="00254599" w:rsidRPr="00DC08F3" w:rsidRDefault="00254599" w:rsidP="00366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68066712"/>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rPr>
            <w:i w:val="0"/>
          </w:rPr>
        </w:sdtEndPr>
        <w:sdtContent>
          <w:p w14:paraId="53404487" w14:textId="31CAA7E5" w:rsidR="00254599" w:rsidRPr="006D00EB" w:rsidRDefault="00254599" w:rsidP="00DC08F3">
            <w:pPr>
              <w:pStyle w:val="Footer"/>
              <w:jc w:val="right"/>
              <w:rPr>
                <w:sz w:val="18"/>
                <w:szCs w:val="18"/>
              </w:rPr>
            </w:pPr>
            <w:r>
              <w:rPr>
                <w:i/>
                <w:sz w:val="18"/>
                <w:szCs w:val="18"/>
              </w:rPr>
              <w:t xml:space="preserve">[Topic]                         </w:t>
            </w:r>
            <w:r w:rsidRPr="006C79B3">
              <w:rPr>
                <w:i/>
                <w:sz w:val="18"/>
                <w:szCs w:val="18"/>
              </w:rPr>
              <w:t xml:space="preserve">                       </w:t>
            </w:r>
            <w:r>
              <w:rPr>
                <w:i/>
                <w:sz w:val="18"/>
                <w:szCs w:val="18"/>
              </w:rPr>
              <w:t xml:space="preserve">                            </w:t>
            </w:r>
            <w:r w:rsidRPr="006C79B3">
              <w:rPr>
                <w:i/>
                <w:sz w:val="18"/>
                <w:szCs w:val="18"/>
              </w:rPr>
              <w:t xml:space="preserve">  </w:t>
            </w:r>
            <w:r w:rsidRPr="00A34FF2">
              <w:rPr>
                <w:sz w:val="18"/>
                <w:szCs w:val="18"/>
              </w:rPr>
              <w:t xml:space="preserve">Page </w:t>
            </w:r>
            <w:r w:rsidRPr="00A34FF2">
              <w:rPr>
                <w:b/>
                <w:bCs/>
                <w:sz w:val="18"/>
                <w:szCs w:val="18"/>
              </w:rPr>
              <w:fldChar w:fldCharType="begin"/>
            </w:r>
            <w:r w:rsidRPr="00A34FF2">
              <w:rPr>
                <w:b/>
                <w:bCs/>
                <w:sz w:val="18"/>
                <w:szCs w:val="18"/>
              </w:rPr>
              <w:instrText xml:space="preserve"> PAGE </w:instrText>
            </w:r>
            <w:r w:rsidRPr="00A34FF2">
              <w:rPr>
                <w:b/>
                <w:bCs/>
                <w:sz w:val="18"/>
                <w:szCs w:val="18"/>
              </w:rPr>
              <w:fldChar w:fldCharType="separate"/>
            </w:r>
            <w:r w:rsidR="00C218DB">
              <w:rPr>
                <w:b/>
                <w:bCs/>
                <w:noProof/>
                <w:sz w:val="18"/>
                <w:szCs w:val="18"/>
              </w:rPr>
              <w:t>3</w:t>
            </w:r>
            <w:r w:rsidRPr="00A34FF2">
              <w:rPr>
                <w:b/>
                <w:bCs/>
                <w:sz w:val="18"/>
                <w:szCs w:val="18"/>
              </w:rPr>
              <w:fldChar w:fldCharType="end"/>
            </w:r>
            <w:r w:rsidRPr="00A34FF2">
              <w:rPr>
                <w:sz w:val="18"/>
                <w:szCs w:val="18"/>
              </w:rPr>
              <w:t xml:space="preserve"> of </w:t>
            </w:r>
            <w:r w:rsidRPr="00A34FF2">
              <w:rPr>
                <w:b/>
                <w:bCs/>
                <w:sz w:val="18"/>
                <w:szCs w:val="18"/>
              </w:rPr>
              <w:fldChar w:fldCharType="begin"/>
            </w:r>
            <w:r w:rsidRPr="00A34FF2">
              <w:rPr>
                <w:b/>
                <w:bCs/>
                <w:sz w:val="18"/>
                <w:szCs w:val="18"/>
              </w:rPr>
              <w:instrText xml:space="preserve"> NUMPAGES  </w:instrText>
            </w:r>
            <w:r w:rsidRPr="00A34FF2">
              <w:rPr>
                <w:b/>
                <w:bCs/>
                <w:sz w:val="18"/>
                <w:szCs w:val="18"/>
              </w:rPr>
              <w:fldChar w:fldCharType="separate"/>
            </w:r>
            <w:r w:rsidR="00C218DB">
              <w:rPr>
                <w:b/>
                <w:bCs/>
                <w:noProof/>
                <w:sz w:val="18"/>
                <w:szCs w:val="18"/>
              </w:rPr>
              <w:t>18</w:t>
            </w:r>
            <w:r w:rsidRPr="00A34FF2">
              <w:rPr>
                <w:b/>
                <w:bCs/>
                <w:sz w:val="18"/>
                <w:szCs w:val="18"/>
              </w:rPr>
              <w:fldChar w:fldCharType="end"/>
            </w:r>
          </w:p>
        </w:sdtContent>
      </w:sdt>
    </w:sdtContent>
  </w:sdt>
  <w:p w14:paraId="6391E13B" w14:textId="77777777" w:rsidR="00254599" w:rsidRPr="00DC08F3" w:rsidRDefault="00254599" w:rsidP="00DC0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67F2" w14:textId="77777777" w:rsidR="00254599" w:rsidRDefault="0025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AF43" w14:textId="77777777" w:rsidR="00564BCA" w:rsidRDefault="00564BCA" w:rsidP="002325B2">
      <w:pPr>
        <w:spacing w:after="0" w:line="240" w:lineRule="auto"/>
      </w:pPr>
      <w:r>
        <w:separator/>
      </w:r>
    </w:p>
  </w:footnote>
  <w:footnote w:type="continuationSeparator" w:id="0">
    <w:p w14:paraId="1FC173EA" w14:textId="77777777" w:rsidR="00564BCA" w:rsidRDefault="00564BCA" w:rsidP="002325B2">
      <w:pPr>
        <w:spacing w:after="0" w:line="240" w:lineRule="auto"/>
      </w:pPr>
      <w:r>
        <w:continuationSeparator/>
      </w:r>
    </w:p>
  </w:footnote>
  <w:footnote w:type="continuationNotice" w:id="1">
    <w:p w14:paraId="2435D95D" w14:textId="77777777" w:rsidR="00564BCA" w:rsidRDefault="00564BCA">
      <w:pPr>
        <w:spacing w:after="0" w:line="240" w:lineRule="auto"/>
      </w:pPr>
    </w:p>
  </w:footnote>
  <w:footnote w:id="2">
    <w:p w14:paraId="695556E6" w14:textId="77777777" w:rsidR="00DB4920" w:rsidRPr="0043623C" w:rsidRDefault="00DB4920" w:rsidP="00DB4920">
      <w:pPr>
        <w:pStyle w:val="FootnoteText"/>
      </w:pPr>
      <w:r>
        <w:rPr>
          <w:rStyle w:val="FootnoteReference"/>
        </w:rPr>
        <w:footnoteRef/>
      </w:r>
      <w:r>
        <w:t xml:space="preserve">Government of Australia, Automated Assistance in Decision Making 2007, Better Practice Guide </w:t>
      </w:r>
      <w:r w:rsidRPr="0043623C">
        <w:t>https://www.oaic.gov.au/images/documents/migrated/migrated/betterpracticeguide.pdf</w:t>
      </w:r>
    </w:p>
  </w:footnote>
  <w:footnote w:id="3">
    <w:p w14:paraId="4EA7761B" w14:textId="77777777" w:rsidR="00DB4920" w:rsidRPr="00476BEF" w:rsidRDefault="00DB4920" w:rsidP="00DB4920">
      <w:pPr>
        <w:pStyle w:val="FootnoteText"/>
      </w:pPr>
      <w:r>
        <w:rPr>
          <w:rStyle w:val="FootnoteReference"/>
        </w:rPr>
        <w:footnoteRef/>
      </w:r>
      <w:r>
        <w:t xml:space="preserve"> Government of Canada, News Release, </w:t>
      </w:r>
      <w:r w:rsidRPr="00476BEF">
        <w:t>https://www.canada.ca/en/treasury-board-secretariat/news/2018/11/canada-welcomes-leading-digital-nations-into-the-digital-9.html</w:t>
      </w:r>
    </w:p>
  </w:footnote>
  <w:footnote w:id="4">
    <w:p w14:paraId="0057ECE6" w14:textId="77777777" w:rsidR="00254599" w:rsidRDefault="00254599" w:rsidP="00551D2D">
      <w:pPr>
        <w:pStyle w:val="FootnoteText"/>
        <w:rPr>
          <w:rFonts w:cstheme="minorHAnsi"/>
          <w:lang w:val="en-CA"/>
        </w:rPr>
      </w:pPr>
      <w:r>
        <w:rPr>
          <w:rStyle w:val="FootnoteReference"/>
          <w:rFonts w:cstheme="minorHAnsi"/>
        </w:rPr>
        <w:footnoteRef/>
      </w:r>
      <w:r>
        <w:rPr>
          <w:rFonts w:cstheme="minorHAnsi"/>
        </w:rPr>
        <w:t xml:space="preserve"> Government of Canada Strategic Plan for Information Management and Information Technology 2017 to 2021 (last modified on November 28, 2017), </w:t>
      </w:r>
      <w:hyperlink r:id="rId1" w:history="1">
        <w:r>
          <w:rPr>
            <w:rStyle w:val="Hyperlink"/>
            <w:rFonts w:cstheme="minorHAnsi"/>
          </w:rPr>
          <w:t>https://www.canada.ca/en/treasury-board-secretariat/services/information-technology/strategic-plan-2017-2021.html</w:t>
        </w:r>
      </w:hyperlink>
    </w:p>
  </w:footnote>
  <w:footnote w:id="5">
    <w:p w14:paraId="4827E408" w14:textId="77777777" w:rsidR="00254599" w:rsidRDefault="00254599" w:rsidP="00551D2D">
      <w:pPr>
        <w:pStyle w:val="FootnoteText"/>
        <w:rPr>
          <w:lang w:val="en-CA"/>
        </w:rPr>
      </w:pPr>
      <w:r>
        <w:rPr>
          <w:rStyle w:val="FootnoteReference"/>
          <w:rFonts w:cstheme="minorHAnsi"/>
        </w:rPr>
        <w:footnoteRef/>
      </w:r>
      <w:r>
        <w:rPr>
          <w:rFonts w:cstheme="minorHAnsi"/>
        </w:rPr>
        <w:t xml:space="preserve"> </w:t>
      </w:r>
      <w:r>
        <w:rPr>
          <w:rFonts w:cstheme="minorHAnsi"/>
          <w:lang w:val="en-CA"/>
        </w:rPr>
        <w:t xml:space="preserve">TB Policy on the Management of IT (last modified on April 1, 2018), </w:t>
      </w:r>
      <w:hyperlink r:id="rId2" w:anchor="appA" w:history="1">
        <w:r>
          <w:rPr>
            <w:rStyle w:val="Hyperlink"/>
            <w:rFonts w:cstheme="minorHAnsi"/>
            <w:lang w:val="en-CA"/>
          </w:rPr>
          <w:t>https://www.tbs-sct.gc.ca/pol/doc-eng.aspx?id=12755#appA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8171" w14:textId="77777777" w:rsidR="00254599" w:rsidRDefault="00254599" w:rsidP="00366937">
    <w:pPr>
      <w:pStyle w:val="Header"/>
      <w:jc w:val="right"/>
      <w:rPr>
        <w:i/>
      </w:rPr>
    </w:pPr>
    <w:bookmarkStart w:id="1" w:name="TITUS1HeaderEvenPages"/>
  </w:p>
  <w:bookmarkEnd w:id="1"/>
  <w:p w14:paraId="726FD398" w14:textId="77777777" w:rsidR="00254599" w:rsidRPr="00850D05" w:rsidRDefault="00254599" w:rsidP="00366937">
    <w:pPr>
      <w:pStyle w:val="Header"/>
      <w:jc w:val="right"/>
      <w:rPr>
        <w:i/>
      </w:rPr>
    </w:pPr>
    <w:r w:rsidRPr="00FF671E">
      <w:rPr>
        <w:i/>
      </w:rPr>
      <w:t xml:space="preserve">CAPPI Retreat </w:t>
    </w:r>
    <w:r>
      <w:rPr>
        <w:i/>
      </w:rPr>
      <w:t>2019</w:t>
    </w:r>
  </w:p>
  <w:p w14:paraId="47155EB0" w14:textId="77777777" w:rsidR="00254599" w:rsidRDefault="00254599" w:rsidP="00366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FE82" w14:textId="77777777" w:rsidR="00254599" w:rsidRPr="00850D05" w:rsidRDefault="00254599" w:rsidP="00850D05">
    <w:pPr>
      <w:pStyle w:val="Header"/>
      <w:jc w:val="right"/>
      <w:rPr>
        <w:i/>
      </w:rPr>
    </w:pPr>
    <w:r w:rsidRPr="00FF671E">
      <w:rPr>
        <w:i/>
      </w:rPr>
      <w:t xml:space="preserve">CAPPI Retreat </w:t>
    </w:r>
    <w:r>
      <w:rPr>
        <w:i/>
      </w:rPr>
      <w:t>2019</w:t>
    </w:r>
  </w:p>
  <w:p w14:paraId="448D6305" w14:textId="77777777" w:rsidR="00254599" w:rsidRDefault="00254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8EC8" w14:textId="77777777" w:rsidR="00254599" w:rsidRDefault="00254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740"/>
    <w:multiLevelType w:val="hybridMultilevel"/>
    <w:tmpl w:val="ABD81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7B3BE3"/>
    <w:multiLevelType w:val="hybridMultilevel"/>
    <w:tmpl w:val="BC0A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476C5"/>
    <w:multiLevelType w:val="hybridMultilevel"/>
    <w:tmpl w:val="7D24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C1441"/>
    <w:multiLevelType w:val="hybridMultilevel"/>
    <w:tmpl w:val="8ED632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F4BAD"/>
    <w:multiLevelType w:val="hybridMultilevel"/>
    <w:tmpl w:val="4B903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A04B75"/>
    <w:multiLevelType w:val="hybridMultilevel"/>
    <w:tmpl w:val="F3F24E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7845DEC"/>
    <w:multiLevelType w:val="multilevel"/>
    <w:tmpl w:val="E15E7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46334"/>
    <w:multiLevelType w:val="hybridMultilevel"/>
    <w:tmpl w:val="204EA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B7166C"/>
    <w:multiLevelType w:val="hybridMultilevel"/>
    <w:tmpl w:val="C75E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D671B5"/>
    <w:multiLevelType w:val="hybridMultilevel"/>
    <w:tmpl w:val="F4F05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F0E5C"/>
    <w:multiLevelType w:val="hybridMultilevel"/>
    <w:tmpl w:val="E474F3E2"/>
    <w:lvl w:ilvl="0" w:tplc="A85EA298">
      <w:start w:val="1"/>
      <w:numFmt w:val="decimal"/>
      <w:pStyle w:val="CABNETParagraph"/>
      <w:lvlText w:val="%1."/>
      <w:lvlJc w:val="left"/>
      <w:pPr>
        <w:ind w:left="4046" w:hanging="360"/>
      </w:pPr>
      <w:rPr>
        <w:rFonts w:ascii="Times New Roman" w:hAnsi="Times New Roman"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8C2710"/>
    <w:multiLevelType w:val="multilevel"/>
    <w:tmpl w:val="7026C81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310705B0"/>
    <w:multiLevelType w:val="hybridMultilevel"/>
    <w:tmpl w:val="C7521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8944C6"/>
    <w:multiLevelType w:val="multilevel"/>
    <w:tmpl w:val="4A4CBEE8"/>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4" w15:restartNumberingAfterBreak="0">
    <w:nsid w:val="46934192"/>
    <w:multiLevelType w:val="hybridMultilevel"/>
    <w:tmpl w:val="89589D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87729"/>
    <w:multiLevelType w:val="multilevel"/>
    <w:tmpl w:val="4A4CBEE8"/>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6" w15:restartNumberingAfterBreak="0">
    <w:nsid w:val="64864398"/>
    <w:multiLevelType w:val="multilevel"/>
    <w:tmpl w:val="B588BCE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6CAE2662"/>
    <w:multiLevelType w:val="hybridMultilevel"/>
    <w:tmpl w:val="019AEC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857A11"/>
    <w:multiLevelType w:val="multilevel"/>
    <w:tmpl w:val="41223F5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756E5614"/>
    <w:multiLevelType w:val="hybridMultilevel"/>
    <w:tmpl w:val="E708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7A1C3A"/>
    <w:multiLevelType w:val="multilevel"/>
    <w:tmpl w:val="73D6691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0"/>
  </w:num>
  <w:num w:numId="4">
    <w:abstractNumId w:val="3"/>
  </w:num>
  <w:num w:numId="5">
    <w:abstractNumId w:val="13"/>
  </w:num>
  <w:num w:numId="6">
    <w:abstractNumId w:val="4"/>
  </w:num>
  <w:num w:numId="7">
    <w:abstractNumId w:val="12"/>
  </w:num>
  <w:num w:numId="8">
    <w:abstractNumId w:val="2"/>
  </w:num>
  <w:num w:numId="9">
    <w:abstractNumId w:val="8"/>
  </w:num>
  <w:num w:numId="10">
    <w:abstractNumId w:val="19"/>
  </w:num>
  <w:num w:numId="11">
    <w:abstractNumId w:val="14"/>
  </w:num>
  <w:num w:numId="12">
    <w:abstractNumId w:val="5"/>
  </w:num>
  <w:num w:numId="13">
    <w:abstractNumId w:val="7"/>
  </w:num>
  <w:num w:numId="14">
    <w:abstractNumId w:val="9"/>
  </w:num>
  <w:num w:numId="15">
    <w:abstractNumId w:val="1"/>
  </w:num>
  <w:num w:numId="16">
    <w:abstractNumId w:val="18"/>
  </w:num>
  <w:num w:numId="17">
    <w:abstractNumId w:val="16"/>
  </w:num>
  <w:num w:numId="18">
    <w:abstractNumId w:val="6"/>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0"/>
  </w:num>
  <w:num w:numId="23">
    <w:abstractNumId w:val="20"/>
  </w:num>
  <w:num w:numId="24">
    <w:abstractNumId w:val="20"/>
  </w:num>
  <w:num w:numId="2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EE"/>
    <w:rsid w:val="00000AEE"/>
    <w:rsid w:val="00001C97"/>
    <w:rsid w:val="00005F67"/>
    <w:rsid w:val="00010399"/>
    <w:rsid w:val="00010DED"/>
    <w:rsid w:val="00014E86"/>
    <w:rsid w:val="0001692A"/>
    <w:rsid w:val="00016AE8"/>
    <w:rsid w:val="00017FB0"/>
    <w:rsid w:val="00032F5E"/>
    <w:rsid w:val="0003564C"/>
    <w:rsid w:val="00037B20"/>
    <w:rsid w:val="000417BC"/>
    <w:rsid w:val="00045832"/>
    <w:rsid w:val="000555DB"/>
    <w:rsid w:val="00062E41"/>
    <w:rsid w:val="00063445"/>
    <w:rsid w:val="000650A9"/>
    <w:rsid w:val="00067ADE"/>
    <w:rsid w:val="0007165E"/>
    <w:rsid w:val="00076258"/>
    <w:rsid w:val="00080043"/>
    <w:rsid w:val="000831BF"/>
    <w:rsid w:val="00083B6C"/>
    <w:rsid w:val="00085B4F"/>
    <w:rsid w:val="00095356"/>
    <w:rsid w:val="00095A10"/>
    <w:rsid w:val="000966BE"/>
    <w:rsid w:val="000A3AA1"/>
    <w:rsid w:val="000A5D90"/>
    <w:rsid w:val="000B010B"/>
    <w:rsid w:val="000B4DE4"/>
    <w:rsid w:val="000C0B18"/>
    <w:rsid w:val="000C2082"/>
    <w:rsid w:val="000C535F"/>
    <w:rsid w:val="000C7E19"/>
    <w:rsid w:val="000D428B"/>
    <w:rsid w:val="000E00F6"/>
    <w:rsid w:val="000E392C"/>
    <w:rsid w:val="000F64AA"/>
    <w:rsid w:val="00100233"/>
    <w:rsid w:val="001027D2"/>
    <w:rsid w:val="00102FC6"/>
    <w:rsid w:val="001037A9"/>
    <w:rsid w:val="00114B2D"/>
    <w:rsid w:val="00115F05"/>
    <w:rsid w:val="0011720C"/>
    <w:rsid w:val="00124A0E"/>
    <w:rsid w:val="00125254"/>
    <w:rsid w:val="001263FC"/>
    <w:rsid w:val="00127804"/>
    <w:rsid w:val="0013059A"/>
    <w:rsid w:val="001317A1"/>
    <w:rsid w:val="0013209B"/>
    <w:rsid w:val="00133FD2"/>
    <w:rsid w:val="00134485"/>
    <w:rsid w:val="00136013"/>
    <w:rsid w:val="001373E0"/>
    <w:rsid w:val="00140892"/>
    <w:rsid w:val="00142D02"/>
    <w:rsid w:val="001509B0"/>
    <w:rsid w:val="00155376"/>
    <w:rsid w:val="00156462"/>
    <w:rsid w:val="00157069"/>
    <w:rsid w:val="001608B6"/>
    <w:rsid w:val="0016210D"/>
    <w:rsid w:val="0016354C"/>
    <w:rsid w:val="00164CC3"/>
    <w:rsid w:val="00172758"/>
    <w:rsid w:val="00174264"/>
    <w:rsid w:val="0017753F"/>
    <w:rsid w:val="00177E0A"/>
    <w:rsid w:val="00182177"/>
    <w:rsid w:val="00192285"/>
    <w:rsid w:val="001927AB"/>
    <w:rsid w:val="0019327B"/>
    <w:rsid w:val="001978C7"/>
    <w:rsid w:val="001A4776"/>
    <w:rsid w:val="001B20F1"/>
    <w:rsid w:val="001B2BE5"/>
    <w:rsid w:val="001B49FB"/>
    <w:rsid w:val="001B6660"/>
    <w:rsid w:val="001C2559"/>
    <w:rsid w:val="001C4A25"/>
    <w:rsid w:val="001C5FB0"/>
    <w:rsid w:val="001C6E63"/>
    <w:rsid w:val="001D41FE"/>
    <w:rsid w:val="001E0609"/>
    <w:rsid w:val="001E08D0"/>
    <w:rsid w:val="001E0942"/>
    <w:rsid w:val="001E1F06"/>
    <w:rsid w:val="001E40F1"/>
    <w:rsid w:val="001F3695"/>
    <w:rsid w:val="001F4250"/>
    <w:rsid w:val="001F6E88"/>
    <w:rsid w:val="001F7D90"/>
    <w:rsid w:val="002048BB"/>
    <w:rsid w:val="00204E3A"/>
    <w:rsid w:val="00207576"/>
    <w:rsid w:val="002100E6"/>
    <w:rsid w:val="002325B2"/>
    <w:rsid w:val="00232954"/>
    <w:rsid w:val="00235A6E"/>
    <w:rsid w:val="00236549"/>
    <w:rsid w:val="0023654C"/>
    <w:rsid w:val="00236CC2"/>
    <w:rsid w:val="002377CF"/>
    <w:rsid w:val="002409C1"/>
    <w:rsid w:val="002459C4"/>
    <w:rsid w:val="00245D02"/>
    <w:rsid w:val="00254599"/>
    <w:rsid w:val="002562CC"/>
    <w:rsid w:val="00263C98"/>
    <w:rsid w:val="002653C9"/>
    <w:rsid w:val="00265DEF"/>
    <w:rsid w:val="00270B6F"/>
    <w:rsid w:val="00280933"/>
    <w:rsid w:val="002841B4"/>
    <w:rsid w:val="00284273"/>
    <w:rsid w:val="002930F6"/>
    <w:rsid w:val="0029395E"/>
    <w:rsid w:val="0029736A"/>
    <w:rsid w:val="00297438"/>
    <w:rsid w:val="002A35A2"/>
    <w:rsid w:val="002A53D0"/>
    <w:rsid w:val="002A6BE8"/>
    <w:rsid w:val="002B11FC"/>
    <w:rsid w:val="002B292D"/>
    <w:rsid w:val="002B474C"/>
    <w:rsid w:val="002C3AEF"/>
    <w:rsid w:val="002C4956"/>
    <w:rsid w:val="002C53C1"/>
    <w:rsid w:val="002C597F"/>
    <w:rsid w:val="002C6D14"/>
    <w:rsid w:val="002C704D"/>
    <w:rsid w:val="002D578A"/>
    <w:rsid w:val="002E5CA8"/>
    <w:rsid w:val="002E6FDE"/>
    <w:rsid w:val="002F1876"/>
    <w:rsid w:val="002F1ACC"/>
    <w:rsid w:val="002F5144"/>
    <w:rsid w:val="00301134"/>
    <w:rsid w:val="00302764"/>
    <w:rsid w:val="00303E98"/>
    <w:rsid w:val="00305358"/>
    <w:rsid w:val="00323309"/>
    <w:rsid w:val="00324346"/>
    <w:rsid w:val="0032585E"/>
    <w:rsid w:val="00325C7F"/>
    <w:rsid w:val="00327E77"/>
    <w:rsid w:val="00331AF3"/>
    <w:rsid w:val="00333A65"/>
    <w:rsid w:val="003340DB"/>
    <w:rsid w:val="00337931"/>
    <w:rsid w:val="00341609"/>
    <w:rsid w:val="00341A70"/>
    <w:rsid w:val="0034363C"/>
    <w:rsid w:val="003521DC"/>
    <w:rsid w:val="003528AE"/>
    <w:rsid w:val="00353703"/>
    <w:rsid w:val="00353D1A"/>
    <w:rsid w:val="0035486E"/>
    <w:rsid w:val="00355E83"/>
    <w:rsid w:val="003609F8"/>
    <w:rsid w:val="00363549"/>
    <w:rsid w:val="00364935"/>
    <w:rsid w:val="003653D0"/>
    <w:rsid w:val="00366937"/>
    <w:rsid w:val="00366EED"/>
    <w:rsid w:val="00372A73"/>
    <w:rsid w:val="003761E3"/>
    <w:rsid w:val="00383EB0"/>
    <w:rsid w:val="00385536"/>
    <w:rsid w:val="0039278E"/>
    <w:rsid w:val="003937AE"/>
    <w:rsid w:val="00393B77"/>
    <w:rsid w:val="003A007C"/>
    <w:rsid w:val="003A0E1F"/>
    <w:rsid w:val="003B4EE0"/>
    <w:rsid w:val="003B64C6"/>
    <w:rsid w:val="003B6784"/>
    <w:rsid w:val="003B6E63"/>
    <w:rsid w:val="003B74D5"/>
    <w:rsid w:val="003B7D62"/>
    <w:rsid w:val="003C023F"/>
    <w:rsid w:val="003C1240"/>
    <w:rsid w:val="003C562A"/>
    <w:rsid w:val="003C6B27"/>
    <w:rsid w:val="003D04B0"/>
    <w:rsid w:val="003D0519"/>
    <w:rsid w:val="003D3A48"/>
    <w:rsid w:val="003D4F0A"/>
    <w:rsid w:val="003E4D9E"/>
    <w:rsid w:val="003E6C95"/>
    <w:rsid w:val="003E6E00"/>
    <w:rsid w:val="003E6F26"/>
    <w:rsid w:val="003F64A4"/>
    <w:rsid w:val="00400720"/>
    <w:rsid w:val="00400797"/>
    <w:rsid w:val="00400AFB"/>
    <w:rsid w:val="00402954"/>
    <w:rsid w:val="00413630"/>
    <w:rsid w:val="004206C3"/>
    <w:rsid w:val="00421C2B"/>
    <w:rsid w:val="00423F0E"/>
    <w:rsid w:val="00426320"/>
    <w:rsid w:val="00426B02"/>
    <w:rsid w:val="00430FD7"/>
    <w:rsid w:val="00431E6B"/>
    <w:rsid w:val="00433438"/>
    <w:rsid w:val="00435393"/>
    <w:rsid w:val="004419C1"/>
    <w:rsid w:val="00441F17"/>
    <w:rsid w:val="00455598"/>
    <w:rsid w:val="00455A89"/>
    <w:rsid w:val="00461D8F"/>
    <w:rsid w:val="00462740"/>
    <w:rsid w:val="004670A3"/>
    <w:rsid w:val="00476619"/>
    <w:rsid w:val="00485829"/>
    <w:rsid w:val="0049206D"/>
    <w:rsid w:val="00493AE0"/>
    <w:rsid w:val="00494AF4"/>
    <w:rsid w:val="004954C2"/>
    <w:rsid w:val="00497072"/>
    <w:rsid w:val="00497A7D"/>
    <w:rsid w:val="004A1A45"/>
    <w:rsid w:val="004A4229"/>
    <w:rsid w:val="004A4C8F"/>
    <w:rsid w:val="004A57DA"/>
    <w:rsid w:val="004A620F"/>
    <w:rsid w:val="004A74EA"/>
    <w:rsid w:val="004B3129"/>
    <w:rsid w:val="004C0203"/>
    <w:rsid w:val="004C3D0B"/>
    <w:rsid w:val="004C535C"/>
    <w:rsid w:val="004C78EF"/>
    <w:rsid w:val="004D0B45"/>
    <w:rsid w:val="004D22C6"/>
    <w:rsid w:val="004D3083"/>
    <w:rsid w:val="004D393F"/>
    <w:rsid w:val="004E2080"/>
    <w:rsid w:val="004E226F"/>
    <w:rsid w:val="004E4BD8"/>
    <w:rsid w:val="004E5689"/>
    <w:rsid w:val="004F1BAA"/>
    <w:rsid w:val="004F4EC2"/>
    <w:rsid w:val="004F5ECC"/>
    <w:rsid w:val="005023EC"/>
    <w:rsid w:val="0050296F"/>
    <w:rsid w:val="0051007C"/>
    <w:rsid w:val="00510D6E"/>
    <w:rsid w:val="00512143"/>
    <w:rsid w:val="00512F69"/>
    <w:rsid w:val="005139FF"/>
    <w:rsid w:val="00514B63"/>
    <w:rsid w:val="00521230"/>
    <w:rsid w:val="005235C0"/>
    <w:rsid w:val="00525BC8"/>
    <w:rsid w:val="00526180"/>
    <w:rsid w:val="00535968"/>
    <w:rsid w:val="00536CA6"/>
    <w:rsid w:val="005377AD"/>
    <w:rsid w:val="0054441B"/>
    <w:rsid w:val="0054618F"/>
    <w:rsid w:val="0054668F"/>
    <w:rsid w:val="005473A4"/>
    <w:rsid w:val="00551D2D"/>
    <w:rsid w:val="00552FD4"/>
    <w:rsid w:val="005531AD"/>
    <w:rsid w:val="0055619D"/>
    <w:rsid w:val="005605E3"/>
    <w:rsid w:val="00562B28"/>
    <w:rsid w:val="00564BCA"/>
    <w:rsid w:val="00567947"/>
    <w:rsid w:val="00571417"/>
    <w:rsid w:val="005732C1"/>
    <w:rsid w:val="00574C3B"/>
    <w:rsid w:val="005760AD"/>
    <w:rsid w:val="00581475"/>
    <w:rsid w:val="005837D1"/>
    <w:rsid w:val="0058385C"/>
    <w:rsid w:val="00584414"/>
    <w:rsid w:val="00584E9C"/>
    <w:rsid w:val="005852A6"/>
    <w:rsid w:val="00590454"/>
    <w:rsid w:val="00592948"/>
    <w:rsid w:val="005962C0"/>
    <w:rsid w:val="005A099E"/>
    <w:rsid w:val="005A19BF"/>
    <w:rsid w:val="005A35D3"/>
    <w:rsid w:val="005A69B9"/>
    <w:rsid w:val="005A732C"/>
    <w:rsid w:val="005B2E77"/>
    <w:rsid w:val="005B4036"/>
    <w:rsid w:val="005B6AA7"/>
    <w:rsid w:val="005B7FE9"/>
    <w:rsid w:val="005C5F84"/>
    <w:rsid w:val="005C6497"/>
    <w:rsid w:val="005C7509"/>
    <w:rsid w:val="005C78A7"/>
    <w:rsid w:val="005D59B4"/>
    <w:rsid w:val="005D64B7"/>
    <w:rsid w:val="005D75CA"/>
    <w:rsid w:val="005D79A5"/>
    <w:rsid w:val="005E3874"/>
    <w:rsid w:val="005E4015"/>
    <w:rsid w:val="005F2E81"/>
    <w:rsid w:val="005F5A83"/>
    <w:rsid w:val="00602DED"/>
    <w:rsid w:val="00602F42"/>
    <w:rsid w:val="006075AF"/>
    <w:rsid w:val="00610AF6"/>
    <w:rsid w:val="00610CD7"/>
    <w:rsid w:val="00621D9E"/>
    <w:rsid w:val="00621E40"/>
    <w:rsid w:val="006220CA"/>
    <w:rsid w:val="00632D82"/>
    <w:rsid w:val="00633480"/>
    <w:rsid w:val="00644FD3"/>
    <w:rsid w:val="0065510A"/>
    <w:rsid w:val="0065737F"/>
    <w:rsid w:val="00665414"/>
    <w:rsid w:val="00665691"/>
    <w:rsid w:val="00667E68"/>
    <w:rsid w:val="00670763"/>
    <w:rsid w:val="0067470D"/>
    <w:rsid w:val="00675DA7"/>
    <w:rsid w:val="00676175"/>
    <w:rsid w:val="00676C15"/>
    <w:rsid w:val="00685EEB"/>
    <w:rsid w:val="00695CE4"/>
    <w:rsid w:val="006A0870"/>
    <w:rsid w:val="006B0FAD"/>
    <w:rsid w:val="006B37C4"/>
    <w:rsid w:val="006B4017"/>
    <w:rsid w:val="006B56BC"/>
    <w:rsid w:val="006B5F80"/>
    <w:rsid w:val="006C5396"/>
    <w:rsid w:val="006C67F4"/>
    <w:rsid w:val="006C695F"/>
    <w:rsid w:val="006C7159"/>
    <w:rsid w:val="006E1523"/>
    <w:rsid w:val="006E5FEF"/>
    <w:rsid w:val="006E6B3E"/>
    <w:rsid w:val="006F21CE"/>
    <w:rsid w:val="006F5F4A"/>
    <w:rsid w:val="006F7191"/>
    <w:rsid w:val="00700A85"/>
    <w:rsid w:val="00700D30"/>
    <w:rsid w:val="007013BE"/>
    <w:rsid w:val="0070297F"/>
    <w:rsid w:val="00707C27"/>
    <w:rsid w:val="00710571"/>
    <w:rsid w:val="007112BD"/>
    <w:rsid w:val="007113DA"/>
    <w:rsid w:val="007143E4"/>
    <w:rsid w:val="0071567E"/>
    <w:rsid w:val="0072031C"/>
    <w:rsid w:val="00723E8E"/>
    <w:rsid w:val="00727A85"/>
    <w:rsid w:val="007305C3"/>
    <w:rsid w:val="007307BA"/>
    <w:rsid w:val="007328AB"/>
    <w:rsid w:val="00734987"/>
    <w:rsid w:val="007376AC"/>
    <w:rsid w:val="00737D68"/>
    <w:rsid w:val="00745089"/>
    <w:rsid w:val="00746D4C"/>
    <w:rsid w:val="00750D63"/>
    <w:rsid w:val="00752504"/>
    <w:rsid w:val="00752C1E"/>
    <w:rsid w:val="00753E86"/>
    <w:rsid w:val="00755847"/>
    <w:rsid w:val="00757FDB"/>
    <w:rsid w:val="00761200"/>
    <w:rsid w:val="00762546"/>
    <w:rsid w:val="007633BA"/>
    <w:rsid w:val="00766809"/>
    <w:rsid w:val="007677CB"/>
    <w:rsid w:val="007702D2"/>
    <w:rsid w:val="007703A4"/>
    <w:rsid w:val="00772D62"/>
    <w:rsid w:val="00780AA4"/>
    <w:rsid w:val="00780E81"/>
    <w:rsid w:val="00780EF9"/>
    <w:rsid w:val="0079068D"/>
    <w:rsid w:val="00790898"/>
    <w:rsid w:val="00795A6F"/>
    <w:rsid w:val="00797AA6"/>
    <w:rsid w:val="00797DE0"/>
    <w:rsid w:val="007A0732"/>
    <w:rsid w:val="007A1ADB"/>
    <w:rsid w:val="007A744D"/>
    <w:rsid w:val="007B012A"/>
    <w:rsid w:val="007B0FCF"/>
    <w:rsid w:val="007B488F"/>
    <w:rsid w:val="007B4FA8"/>
    <w:rsid w:val="007C1187"/>
    <w:rsid w:val="007C4C3D"/>
    <w:rsid w:val="007D326D"/>
    <w:rsid w:val="007D3B79"/>
    <w:rsid w:val="007D48E4"/>
    <w:rsid w:val="007F3B67"/>
    <w:rsid w:val="007F4554"/>
    <w:rsid w:val="007F6B90"/>
    <w:rsid w:val="00800A5B"/>
    <w:rsid w:val="00813DB4"/>
    <w:rsid w:val="00820277"/>
    <w:rsid w:val="008209EC"/>
    <w:rsid w:val="00845B6D"/>
    <w:rsid w:val="00847BFA"/>
    <w:rsid w:val="008506D1"/>
    <w:rsid w:val="00850D05"/>
    <w:rsid w:val="00857B8C"/>
    <w:rsid w:val="00861C7B"/>
    <w:rsid w:val="0086343A"/>
    <w:rsid w:val="00864CEE"/>
    <w:rsid w:val="0086658B"/>
    <w:rsid w:val="008674EB"/>
    <w:rsid w:val="008726D2"/>
    <w:rsid w:val="00872E17"/>
    <w:rsid w:val="00877077"/>
    <w:rsid w:val="008806DD"/>
    <w:rsid w:val="00885596"/>
    <w:rsid w:val="0088611F"/>
    <w:rsid w:val="00895E71"/>
    <w:rsid w:val="008A5EB0"/>
    <w:rsid w:val="008A7FCA"/>
    <w:rsid w:val="008B154C"/>
    <w:rsid w:val="008B3783"/>
    <w:rsid w:val="008B3D02"/>
    <w:rsid w:val="008C721E"/>
    <w:rsid w:val="008C75EF"/>
    <w:rsid w:val="008C7D6E"/>
    <w:rsid w:val="008D1BC7"/>
    <w:rsid w:val="008D1C05"/>
    <w:rsid w:val="008D561B"/>
    <w:rsid w:val="008D76E9"/>
    <w:rsid w:val="008E0CB9"/>
    <w:rsid w:val="008E7697"/>
    <w:rsid w:val="008F12E7"/>
    <w:rsid w:val="008F1B93"/>
    <w:rsid w:val="008F3EE4"/>
    <w:rsid w:val="008F7E41"/>
    <w:rsid w:val="00900CE3"/>
    <w:rsid w:val="0090138C"/>
    <w:rsid w:val="00911A42"/>
    <w:rsid w:val="00912692"/>
    <w:rsid w:val="00913A9F"/>
    <w:rsid w:val="00915E99"/>
    <w:rsid w:val="00923B20"/>
    <w:rsid w:val="00923E17"/>
    <w:rsid w:val="0092760E"/>
    <w:rsid w:val="00927D5D"/>
    <w:rsid w:val="00930C8F"/>
    <w:rsid w:val="0093507F"/>
    <w:rsid w:val="00935DA2"/>
    <w:rsid w:val="00935DFA"/>
    <w:rsid w:val="00937A7E"/>
    <w:rsid w:val="00940DB2"/>
    <w:rsid w:val="009421DF"/>
    <w:rsid w:val="00943A24"/>
    <w:rsid w:val="009472F5"/>
    <w:rsid w:val="00951606"/>
    <w:rsid w:val="00951E15"/>
    <w:rsid w:val="00952FA8"/>
    <w:rsid w:val="009623DB"/>
    <w:rsid w:val="00963537"/>
    <w:rsid w:val="00963EF1"/>
    <w:rsid w:val="00963F61"/>
    <w:rsid w:val="00965FF0"/>
    <w:rsid w:val="0096764C"/>
    <w:rsid w:val="00967EBD"/>
    <w:rsid w:val="0098145D"/>
    <w:rsid w:val="009911AD"/>
    <w:rsid w:val="00993291"/>
    <w:rsid w:val="00993F8C"/>
    <w:rsid w:val="00994297"/>
    <w:rsid w:val="00997DE2"/>
    <w:rsid w:val="009A246E"/>
    <w:rsid w:val="009A2D35"/>
    <w:rsid w:val="009A5633"/>
    <w:rsid w:val="009A563A"/>
    <w:rsid w:val="009A74EC"/>
    <w:rsid w:val="009B47B1"/>
    <w:rsid w:val="009B6DDE"/>
    <w:rsid w:val="009B7AA5"/>
    <w:rsid w:val="009C01C2"/>
    <w:rsid w:val="009C0524"/>
    <w:rsid w:val="009C14A3"/>
    <w:rsid w:val="009C575B"/>
    <w:rsid w:val="009C67CC"/>
    <w:rsid w:val="009C7258"/>
    <w:rsid w:val="009D0201"/>
    <w:rsid w:val="009D0504"/>
    <w:rsid w:val="009D083A"/>
    <w:rsid w:val="009D0FB6"/>
    <w:rsid w:val="009D2035"/>
    <w:rsid w:val="009D2892"/>
    <w:rsid w:val="009D292E"/>
    <w:rsid w:val="009D3DF8"/>
    <w:rsid w:val="009E2B97"/>
    <w:rsid w:val="009E4236"/>
    <w:rsid w:val="009E534F"/>
    <w:rsid w:val="009F071C"/>
    <w:rsid w:val="009F3CB9"/>
    <w:rsid w:val="009F3F07"/>
    <w:rsid w:val="00A033DA"/>
    <w:rsid w:val="00A063B8"/>
    <w:rsid w:val="00A063C0"/>
    <w:rsid w:val="00A11F2D"/>
    <w:rsid w:val="00A16016"/>
    <w:rsid w:val="00A20265"/>
    <w:rsid w:val="00A245A2"/>
    <w:rsid w:val="00A24C12"/>
    <w:rsid w:val="00A301F5"/>
    <w:rsid w:val="00A353ED"/>
    <w:rsid w:val="00A36482"/>
    <w:rsid w:val="00A37210"/>
    <w:rsid w:val="00A4033E"/>
    <w:rsid w:val="00A40DFC"/>
    <w:rsid w:val="00A434D2"/>
    <w:rsid w:val="00A47D29"/>
    <w:rsid w:val="00A5217E"/>
    <w:rsid w:val="00A56BAB"/>
    <w:rsid w:val="00A57140"/>
    <w:rsid w:val="00A658CB"/>
    <w:rsid w:val="00A72508"/>
    <w:rsid w:val="00A76461"/>
    <w:rsid w:val="00A76E28"/>
    <w:rsid w:val="00A846EF"/>
    <w:rsid w:val="00A9077A"/>
    <w:rsid w:val="00A90C01"/>
    <w:rsid w:val="00A90CFC"/>
    <w:rsid w:val="00A9282D"/>
    <w:rsid w:val="00A93F35"/>
    <w:rsid w:val="00A94E53"/>
    <w:rsid w:val="00A9631C"/>
    <w:rsid w:val="00AA47DC"/>
    <w:rsid w:val="00AA4ED2"/>
    <w:rsid w:val="00AB4642"/>
    <w:rsid w:val="00AB5F2B"/>
    <w:rsid w:val="00AB6240"/>
    <w:rsid w:val="00AB69AF"/>
    <w:rsid w:val="00AC3B23"/>
    <w:rsid w:val="00AD3447"/>
    <w:rsid w:val="00AD5632"/>
    <w:rsid w:val="00AD5A8B"/>
    <w:rsid w:val="00AD7302"/>
    <w:rsid w:val="00AD79D8"/>
    <w:rsid w:val="00AE0A21"/>
    <w:rsid w:val="00AE6298"/>
    <w:rsid w:val="00AE6E77"/>
    <w:rsid w:val="00AF6B1D"/>
    <w:rsid w:val="00B00D42"/>
    <w:rsid w:val="00B00DF6"/>
    <w:rsid w:val="00B03030"/>
    <w:rsid w:val="00B1071C"/>
    <w:rsid w:val="00B12D55"/>
    <w:rsid w:val="00B1348A"/>
    <w:rsid w:val="00B169FB"/>
    <w:rsid w:val="00B16BE8"/>
    <w:rsid w:val="00B24742"/>
    <w:rsid w:val="00B275AC"/>
    <w:rsid w:val="00B31301"/>
    <w:rsid w:val="00B33C2C"/>
    <w:rsid w:val="00B43901"/>
    <w:rsid w:val="00B45205"/>
    <w:rsid w:val="00B47BC9"/>
    <w:rsid w:val="00B50B1D"/>
    <w:rsid w:val="00B51D1A"/>
    <w:rsid w:val="00B5479B"/>
    <w:rsid w:val="00B60913"/>
    <w:rsid w:val="00B6222A"/>
    <w:rsid w:val="00B66B68"/>
    <w:rsid w:val="00B70A66"/>
    <w:rsid w:val="00B76BD8"/>
    <w:rsid w:val="00B8281B"/>
    <w:rsid w:val="00B83B0B"/>
    <w:rsid w:val="00B844FE"/>
    <w:rsid w:val="00B85167"/>
    <w:rsid w:val="00B87912"/>
    <w:rsid w:val="00BA0329"/>
    <w:rsid w:val="00BA1C44"/>
    <w:rsid w:val="00BA2779"/>
    <w:rsid w:val="00BA2BCD"/>
    <w:rsid w:val="00BA4084"/>
    <w:rsid w:val="00BB00BA"/>
    <w:rsid w:val="00BB1492"/>
    <w:rsid w:val="00BB39C1"/>
    <w:rsid w:val="00BB3FBA"/>
    <w:rsid w:val="00BD1A2F"/>
    <w:rsid w:val="00BD2D85"/>
    <w:rsid w:val="00BD4D15"/>
    <w:rsid w:val="00BD6D90"/>
    <w:rsid w:val="00BE15A1"/>
    <w:rsid w:val="00BE76D6"/>
    <w:rsid w:val="00BE7A00"/>
    <w:rsid w:val="00BF4D6E"/>
    <w:rsid w:val="00BF57F2"/>
    <w:rsid w:val="00C0654C"/>
    <w:rsid w:val="00C10426"/>
    <w:rsid w:val="00C1156F"/>
    <w:rsid w:val="00C218DB"/>
    <w:rsid w:val="00C3220D"/>
    <w:rsid w:val="00C34EA1"/>
    <w:rsid w:val="00C3554C"/>
    <w:rsid w:val="00C37CED"/>
    <w:rsid w:val="00C5037F"/>
    <w:rsid w:val="00C52DB4"/>
    <w:rsid w:val="00C53321"/>
    <w:rsid w:val="00C5563A"/>
    <w:rsid w:val="00C55EBE"/>
    <w:rsid w:val="00C5726A"/>
    <w:rsid w:val="00C60CB9"/>
    <w:rsid w:val="00C61123"/>
    <w:rsid w:val="00C61B9C"/>
    <w:rsid w:val="00C62E23"/>
    <w:rsid w:val="00C711CB"/>
    <w:rsid w:val="00C75E3C"/>
    <w:rsid w:val="00C774C1"/>
    <w:rsid w:val="00C77D41"/>
    <w:rsid w:val="00C87EF1"/>
    <w:rsid w:val="00C91970"/>
    <w:rsid w:val="00CA2014"/>
    <w:rsid w:val="00CA27AC"/>
    <w:rsid w:val="00CB03DB"/>
    <w:rsid w:val="00CB0D3A"/>
    <w:rsid w:val="00CB101C"/>
    <w:rsid w:val="00CB142B"/>
    <w:rsid w:val="00CB1A12"/>
    <w:rsid w:val="00CB57CA"/>
    <w:rsid w:val="00CB59F4"/>
    <w:rsid w:val="00CC091A"/>
    <w:rsid w:val="00CC44FD"/>
    <w:rsid w:val="00CC56F5"/>
    <w:rsid w:val="00CC6258"/>
    <w:rsid w:val="00CC72CF"/>
    <w:rsid w:val="00CD2A90"/>
    <w:rsid w:val="00CD588D"/>
    <w:rsid w:val="00CD6A53"/>
    <w:rsid w:val="00CE0B2F"/>
    <w:rsid w:val="00CE18B4"/>
    <w:rsid w:val="00CE3D53"/>
    <w:rsid w:val="00CE645E"/>
    <w:rsid w:val="00CE6CAA"/>
    <w:rsid w:val="00CE785E"/>
    <w:rsid w:val="00CF3A06"/>
    <w:rsid w:val="00CF5877"/>
    <w:rsid w:val="00CF60D9"/>
    <w:rsid w:val="00CF71B8"/>
    <w:rsid w:val="00CF7C1A"/>
    <w:rsid w:val="00D0034C"/>
    <w:rsid w:val="00D01D00"/>
    <w:rsid w:val="00D0500F"/>
    <w:rsid w:val="00D10118"/>
    <w:rsid w:val="00D11549"/>
    <w:rsid w:val="00D13CF7"/>
    <w:rsid w:val="00D152BA"/>
    <w:rsid w:val="00D21603"/>
    <w:rsid w:val="00D243A1"/>
    <w:rsid w:val="00D270E9"/>
    <w:rsid w:val="00D32DD2"/>
    <w:rsid w:val="00D35219"/>
    <w:rsid w:val="00D35483"/>
    <w:rsid w:val="00D40FDD"/>
    <w:rsid w:val="00D43F5A"/>
    <w:rsid w:val="00D45858"/>
    <w:rsid w:val="00D46EC6"/>
    <w:rsid w:val="00D476AC"/>
    <w:rsid w:val="00D5039C"/>
    <w:rsid w:val="00D53467"/>
    <w:rsid w:val="00D53E8E"/>
    <w:rsid w:val="00D567A4"/>
    <w:rsid w:val="00D60CA4"/>
    <w:rsid w:val="00D6272F"/>
    <w:rsid w:val="00D64FE0"/>
    <w:rsid w:val="00D764CD"/>
    <w:rsid w:val="00D82DC8"/>
    <w:rsid w:val="00D830C9"/>
    <w:rsid w:val="00D858E6"/>
    <w:rsid w:val="00D87FE3"/>
    <w:rsid w:val="00D91FA6"/>
    <w:rsid w:val="00D96404"/>
    <w:rsid w:val="00D971EF"/>
    <w:rsid w:val="00D97710"/>
    <w:rsid w:val="00DA030F"/>
    <w:rsid w:val="00DA1019"/>
    <w:rsid w:val="00DA1430"/>
    <w:rsid w:val="00DA30B6"/>
    <w:rsid w:val="00DA37DD"/>
    <w:rsid w:val="00DB04ED"/>
    <w:rsid w:val="00DB4920"/>
    <w:rsid w:val="00DB5B54"/>
    <w:rsid w:val="00DB6BC6"/>
    <w:rsid w:val="00DC08F3"/>
    <w:rsid w:val="00DC1E9A"/>
    <w:rsid w:val="00DC2CC3"/>
    <w:rsid w:val="00DC4545"/>
    <w:rsid w:val="00DD1985"/>
    <w:rsid w:val="00DD1A2B"/>
    <w:rsid w:val="00DD1C70"/>
    <w:rsid w:val="00DD32A6"/>
    <w:rsid w:val="00DD46C3"/>
    <w:rsid w:val="00DD7761"/>
    <w:rsid w:val="00DE4297"/>
    <w:rsid w:val="00DE47E9"/>
    <w:rsid w:val="00DE552C"/>
    <w:rsid w:val="00DE729D"/>
    <w:rsid w:val="00DE74D3"/>
    <w:rsid w:val="00DF2965"/>
    <w:rsid w:val="00DF360C"/>
    <w:rsid w:val="00DF7174"/>
    <w:rsid w:val="00E12856"/>
    <w:rsid w:val="00E14EC5"/>
    <w:rsid w:val="00E15CB9"/>
    <w:rsid w:val="00E17605"/>
    <w:rsid w:val="00E27A49"/>
    <w:rsid w:val="00E32B00"/>
    <w:rsid w:val="00E42D41"/>
    <w:rsid w:val="00E43FFF"/>
    <w:rsid w:val="00E44C1F"/>
    <w:rsid w:val="00E45BB6"/>
    <w:rsid w:val="00E4642A"/>
    <w:rsid w:val="00E50487"/>
    <w:rsid w:val="00E54620"/>
    <w:rsid w:val="00E57D55"/>
    <w:rsid w:val="00E60C24"/>
    <w:rsid w:val="00E61D0C"/>
    <w:rsid w:val="00E62BD7"/>
    <w:rsid w:val="00E62C36"/>
    <w:rsid w:val="00E63C02"/>
    <w:rsid w:val="00E64C6C"/>
    <w:rsid w:val="00E723A1"/>
    <w:rsid w:val="00E7582E"/>
    <w:rsid w:val="00E80C3E"/>
    <w:rsid w:val="00E83003"/>
    <w:rsid w:val="00E8541C"/>
    <w:rsid w:val="00E9069A"/>
    <w:rsid w:val="00E9131A"/>
    <w:rsid w:val="00EA16BF"/>
    <w:rsid w:val="00EA2D8C"/>
    <w:rsid w:val="00EA4037"/>
    <w:rsid w:val="00EA4E41"/>
    <w:rsid w:val="00EA6AF2"/>
    <w:rsid w:val="00EA7130"/>
    <w:rsid w:val="00EB0770"/>
    <w:rsid w:val="00EB2409"/>
    <w:rsid w:val="00EB28D2"/>
    <w:rsid w:val="00EB324B"/>
    <w:rsid w:val="00EB4D72"/>
    <w:rsid w:val="00ED55A1"/>
    <w:rsid w:val="00ED6187"/>
    <w:rsid w:val="00ED69EC"/>
    <w:rsid w:val="00ED7C30"/>
    <w:rsid w:val="00EE0917"/>
    <w:rsid w:val="00EE159C"/>
    <w:rsid w:val="00EE2AAE"/>
    <w:rsid w:val="00EE4CAA"/>
    <w:rsid w:val="00EE7982"/>
    <w:rsid w:val="00EF1D39"/>
    <w:rsid w:val="00EF270E"/>
    <w:rsid w:val="00EF4BD6"/>
    <w:rsid w:val="00F00B6E"/>
    <w:rsid w:val="00F056F1"/>
    <w:rsid w:val="00F07C61"/>
    <w:rsid w:val="00F227A5"/>
    <w:rsid w:val="00F25610"/>
    <w:rsid w:val="00F267F8"/>
    <w:rsid w:val="00F27BD7"/>
    <w:rsid w:val="00F3192E"/>
    <w:rsid w:val="00F33C0E"/>
    <w:rsid w:val="00F358E9"/>
    <w:rsid w:val="00F36CB3"/>
    <w:rsid w:val="00F4084D"/>
    <w:rsid w:val="00F52D49"/>
    <w:rsid w:val="00F52D7A"/>
    <w:rsid w:val="00F54152"/>
    <w:rsid w:val="00F55240"/>
    <w:rsid w:val="00F55270"/>
    <w:rsid w:val="00F56DC4"/>
    <w:rsid w:val="00F67184"/>
    <w:rsid w:val="00F67BFD"/>
    <w:rsid w:val="00F80ADB"/>
    <w:rsid w:val="00F810FB"/>
    <w:rsid w:val="00F82919"/>
    <w:rsid w:val="00F842FE"/>
    <w:rsid w:val="00F86BDE"/>
    <w:rsid w:val="00F91EE6"/>
    <w:rsid w:val="00F91F89"/>
    <w:rsid w:val="00F958E9"/>
    <w:rsid w:val="00F97FFB"/>
    <w:rsid w:val="00FA28FF"/>
    <w:rsid w:val="00FA5147"/>
    <w:rsid w:val="00FA65D7"/>
    <w:rsid w:val="00FA6989"/>
    <w:rsid w:val="00FA6C3F"/>
    <w:rsid w:val="00FB1480"/>
    <w:rsid w:val="00FB2410"/>
    <w:rsid w:val="00FB5CD3"/>
    <w:rsid w:val="00FB76CE"/>
    <w:rsid w:val="00FC2E9E"/>
    <w:rsid w:val="00FC349D"/>
    <w:rsid w:val="00FC3657"/>
    <w:rsid w:val="00FC52FB"/>
    <w:rsid w:val="00FC7E44"/>
    <w:rsid w:val="00FD0583"/>
    <w:rsid w:val="00FD15DC"/>
    <w:rsid w:val="00FD5D6D"/>
    <w:rsid w:val="00FD6D03"/>
    <w:rsid w:val="00FE211F"/>
    <w:rsid w:val="00FE3CF0"/>
    <w:rsid w:val="00FF3440"/>
    <w:rsid w:val="00FF4C57"/>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60633"/>
  <w15:docId w15:val="{B41CE8E9-D63C-4A27-AF1F-228697C0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32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7F2"/>
    <w:rPr>
      <w:color w:val="0000FF"/>
      <w:u w:val="single"/>
    </w:rPr>
  </w:style>
  <w:style w:type="paragraph" w:styleId="ListParagraph">
    <w:name w:val="List Paragraph"/>
    <w:aliases w:val="List Paragraph1,Recommendation,List Paragraph11,L,F5 List Paragraph,Dot pt,CV text,Table text,Medium Grid 1 - Accent 21,Numbered Paragraph,List Paragraph111,List Paragraph2,No Spacing1,List Paragraph Char Char Char,Indicator Text,Bullet 1"/>
    <w:basedOn w:val="Normal"/>
    <w:uiPriority w:val="34"/>
    <w:qFormat/>
    <w:rsid w:val="00BF57F2"/>
    <w:pPr>
      <w:spacing w:after="0" w:line="240" w:lineRule="auto"/>
      <w:ind w:left="720"/>
    </w:pPr>
    <w:rPr>
      <w:rFonts w:ascii="Calibri" w:hAnsi="Calibri" w:cs="Times New Roman"/>
    </w:rPr>
  </w:style>
  <w:style w:type="paragraph" w:customStyle="1" w:styleId="Body">
    <w:name w:val="Body"/>
    <w:basedOn w:val="Normal"/>
    <w:rsid w:val="00DB04ED"/>
    <w:pPr>
      <w:spacing w:after="0" w:line="240" w:lineRule="auto"/>
    </w:pPr>
    <w:rPr>
      <w:rFonts w:ascii="Helvetica" w:hAnsi="Helvetica" w:cs="Helvetica"/>
      <w:color w:val="000000"/>
      <w:lang w:eastAsia="en-AU"/>
    </w:rPr>
  </w:style>
  <w:style w:type="paragraph" w:customStyle="1" w:styleId="Bullet">
    <w:name w:val="Bullet"/>
    <w:aliases w:val="b,b1,b + line,level 1,Bullet + line"/>
    <w:basedOn w:val="Normal"/>
    <w:link w:val="BulletChar"/>
    <w:qFormat/>
    <w:rsid w:val="00DB04ED"/>
    <w:pPr>
      <w:numPr>
        <w:numId w:val="1"/>
      </w:numPr>
      <w:spacing w:after="240"/>
    </w:pPr>
  </w:style>
  <w:style w:type="character" w:customStyle="1" w:styleId="BulletChar">
    <w:name w:val="Bullet Char"/>
    <w:aliases w:val="b + line Char Char,b Char,b Char Char,b1 Char,b + line Char,Body Char,L Char,List Paragraph Char,List Paragraph1 Char,List Paragraph11 Char,Number Char,Recommendation Char,level 1 Char,Bullet + line Char,Bullets Char,List Paragraph2 Char"/>
    <w:basedOn w:val="DefaultParagraphFont"/>
    <w:link w:val="Bullet"/>
    <w:qFormat/>
    <w:rsid w:val="00DB04ED"/>
  </w:style>
  <w:style w:type="paragraph" w:customStyle="1" w:styleId="Dash">
    <w:name w:val="Dash"/>
    <w:basedOn w:val="Normal"/>
    <w:link w:val="DashChar"/>
    <w:uiPriority w:val="99"/>
    <w:qFormat/>
    <w:rsid w:val="00DB04ED"/>
    <w:pPr>
      <w:numPr>
        <w:ilvl w:val="1"/>
        <w:numId w:val="1"/>
      </w:numPr>
      <w:spacing w:after="240"/>
    </w:pPr>
  </w:style>
  <w:style w:type="character" w:customStyle="1" w:styleId="DashChar">
    <w:name w:val="Dash Char"/>
    <w:basedOn w:val="DefaultParagraphFont"/>
    <w:link w:val="Dash"/>
    <w:uiPriority w:val="99"/>
    <w:rsid w:val="00DB04ED"/>
  </w:style>
  <w:style w:type="paragraph" w:customStyle="1" w:styleId="DoubleDot">
    <w:name w:val="Double Dot"/>
    <w:basedOn w:val="Normal"/>
    <w:link w:val="DoubleDotChar"/>
    <w:uiPriority w:val="99"/>
    <w:qFormat/>
    <w:rsid w:val="00DB04ED"/>
    <w:pPr>
      <w:numPr>
        <w:ilvl w:val="2"/>
        <w:numId w:val="1"/>
      </w:numPr>
      <w:spacing w:after="240"/>
    </w:pPr>
  </w:style>
  <w:style w:type="character" w:customStyle="1" w:styleId="DoubleDotChar">
    <w:name w:val="Double Dot Char"/>
    <w:basedOn w:val="DefaultParagraphFont"/>
    <w:link w:val="DoubleDot"/>
    <w:uiPriority w:val="99"/>
    <w:rsid w:val="00DB04ED"/>
  </w:style>
  <w:style w:type="paragraph" w:styleId="BalloonText">
    <w:name w:val="Balloon Text"/>
    <w:basedOn w:val="Normal"/>
    <w:link w:val="BalloonTextChar"/>
    <w:uiPriority w:val="99"/>
    <w:semiHidden/>
    <w:unhideWhenUsed/>
    <w:rsid w:val="0071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DA"/>
    <w:rPr>
      <w:rFonts w:ascii="Tahoma" w:hAnsi="Tahoma" w:cs="Tahoma"/>
      <w:sz w:val="16"/>
      <w:szCs w:val="16"/>
    </w:rPr>
  </w:style>
  <w:style w:type="character" w:styleId="CommentReference">
    <w:name w:val="annotation reference"/>
    <w:basedOn w:val="DefaultParagraphFont"/>
    <w:uiPriority w:val="99"/>
    <w:semiHidden/>
    <w:unhideWhenUsed/>
    <w:rsid w:val="007113DA"/>
    <w:rPr>
      <w:sz w:val="16"/>
      <w:szCs w:val="16"/>
    </w:rPr>
  </w:style>
  <w:style w:type="paragraph" w:styleId="CommentText">
    <w:name w:val="annotation text"/>
    <w:basedOn w:val="Normal"/>
    <w:link w:val="CommentTextChar"/>
    <w:uiPriority w:val="99"/>
    <w:unhideWhenUsed/>
    <w:rsid w:val="007113DA"/>
    <w:pPr>
      <w:spacing w:line="240" w:lineRule="auto"/>
    </w:pPr>
    <w:rPr>
      <w:sz w:val="20"/>
      <w:szCs w:val="20"/>
    </w:rPr>
  </w:style>
  <w:style w:type="character" w:customStyle="1" w:styleId="CommentTextChar">
    <w:name w:val="Comment Text Char"/>
    <w:basedOn w:val="DefaultParagraphFont"/>
    <w:link w:val="CommentText"/>
    <w:uiPriority w:val="99"/>
    <w:rsid w:val="007113DA"/>
    <w:rPr>
      <w:sz w:val="20"/>
      <w:szCs w:val="20"/>
    </w:rPr>
  </w:style>
  <w:style w:type="paragraph" w:styleId="CommentSubject">
    <w:name w:val="annotation subject"/>
    <w:basedOn w:val="CommentText"/>
    <w:next w:val="CommentText"/>
    <w:link w:val="CommentSubjectChar"/>
    <w:uiPriority w:val="99"/>
    <w:semiHidden/>
    <w:unhideWhenUsed/>
    <w:rsid w:val="007113DA"/>
    <w:rPr>
      <w:b/>
      <w:bCs/>
    </w:rPr>
  </w:style>
  <w:style w:type="character" w:customStyle="1" w:styleId="CommentSubjectChar">
    <w:name w:val="Comment Subject Char"/>
    <w:basedOn w:val="CommentTextChar"/>
    <w:link w:val="CommentSubject"/>
    <w:uiPriority w:val="99"/>
    <w:semiHidden/>
    <w:rsid w:val="007113DA"/>
    <w:rPr>
      <w:b/>
      <w:bCs/>
      <w:sz w:val="20"/>
      <w:szCs w:val="20"/>
    </w:rPr>
  </w:style>
  <w:style w:type="character" w:customStyle="1" w:styleId="italic">
    <w:name w:val="italic"/>
    <w:basedOn w:val="DefaultParagraphFont"/>
    <w:rsid w:val="002100E6"/>
    <w:rPr>
      <w:i/>
      <w:iCs/>
    </w:rPr>
  </w:style>
  <w:style w:type="numbering" w:customStyle="1" w:styleId="BulletedList">
    <w:name w:val="Bulleted List"/>
    <w:uiPriority w:val="99"/>
    <w:rsid w:val="002100E6"/>
    <w:pPr>
      <w:numPr>
        <w:numId w:val="2"/>
      </w:numPr>
    </w:pPr>
  </w:style>
  <w:style w:type="paragraph" w:styleId="PlainText">
    <w:name w:val="Plain Text"/>
    <w:basedOn w:val="Normal"/>
    <w:link w:val="PlainTextChar"/>
    <w:uiPriority w:val="99"/>
    <w:semiHidden/>
    <w:unhideWhenUsed/>
    <w:rsid w:val="00A56B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56BAB"/>
    <w:rPr>
      <w:rFonts w:ascii="Calibri" w:hAnsi="Calibri"/>
      <w:szCs w:val="21"/>
    </w:rPr>
  </w:style>
  <w:style w:type="paragraph" w:customStyle="1" w:styleId="CABNETParagraph">
    <w:name w:val="CABNET Paragraph"/>
    <w:basedOn w:val="Normal"/>
    <w:link w:val="CABNETParagraphChar"/>
    <w:qFormat/>
    <w:rsid w:val="00C10426"/>
    <w:pPr>
      <w:numPr>
        <w:numId w:val="3"/>
      </w:numPr>
      <w:spacing w:before="120" w:after="120" w:line="240" w:lineRule="auto"/>
    </w:pPr>
    <w:rPr>
      <w:rFonts w:ascii="Times New Roman" w:hAnsi="Times New Roman"/>
      <w:sz w:val="24"/>
    </w:rPr>
  </w:style>
  <w:style w:type="character" w:customStyle="1" w:styleId="CABNETParagraphChar">
    <w:name w:val="CABNET Paragraph Char"/>
    <w:basedOn w:val="DefaultParagraphFont"/>
    <w:link w:val="CABNETParagraph"/>
    <w:rsid w:val="00C10426"/>
    <w:rPr>
      <w:rFonts w:ascii="Times New Roman" w:hAnsi="Times New Roman"/>
      <w:sz w:val="24"/>
    </w:rPr>
  </w:style>
  <w:style w:type="character" w:customStyle="1" w:styleId="Heading2Char">
    <w:name w:val="Heading 2 Char"/>
    <w:basedOn w:val="DefaultParagraphFont"/>
    <w:link w:val="Heading2"/>
    <w:uiPriority w:val="9"/>
    <w:rsid w:val="002325B2"/>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32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5B2"/>
    <w:rPr>
      <w:sz w:val="20"/>
      <w:szCs w:val="20"/>
    </w:rPr>
  </w:style>
  <w:style w:type="character" w:styleId="FootnoteReference">
    <w:name w:val="footnote reference"/>
    <w:basedOn w:val="DefaultParagraphFont"/>
    <w:uiPriority w:val="99"/>
    <w:semiHidden/>
    <w:unhideWhenUsed/>
    <w:rsid w:val="002325B2"/>
    <w:rPr>
      <w:vertAlign w:val="superscript"/>
    </w:rPr>
  </w:style>
  <w:style w:type="paragraph" w:customStyle="1" w:styleId="Default">
    <w:name w:val="Default"/>
    <w:uiPriority w:val="99"/>
    <w:rsid w:val="00D830C9"/>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93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DA2"/>
  </w:style>
  <w:style w:type="paragraph" w:styleId="Footer">
    <w:name w:val="footer"/>
    <w:basedOn w:val="Normal"/>
    <w:link w:val="FooterChar"/>
    <w:uiPriority w:val="99"/>
    <w:unhideWhenUsed/>
    <w:rsid w:val="0093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DA2"/>
  </w:style>
  <w:style w:type="paragraph" w:styleId="NormalWeb">
    <w:name w:val="Normal (Web)"/>
    <w:basedOn w:val="Normal"/>
    <w:uiPriority w:val="99"/>
    <w:semiHidden/>
    <w:unhideWhenUsed/>
    <w:rsid w:val="00114B2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HSBodytext">
    <w:name w:val="DHS Body text"/>
    <w:basedOn w:val="Normal"/>
    <w:qFormat/>
    <w:rsid w:val="00FF7579"/>
    <w:pPr>
      <w:spacing w:after="120" w:line="240" w:lineRule="auto"/>
    </w:pPr>
    <w:rPr>
      <w:rFonts w:ascii="Arial" w:eastAsia="Times New Roman" w:hAnsi="Arial" w:cs="Arial"/>
      <w:lang w:eastAsia="en-AU"/>
    </w:rPr>
  </w:style>
  <w:style w:type="paragraph" w:styleId="Revision">
    <w:name w:val="Revision"/>
    <w:hidden/>
    <w:uiPriority w:val="99"/>
    <w:semiHidden/>
    <w:rsid w:val="005732C1"/>
    <w:pPr>
      <w:spacing w:after="0" w:line="240" w:lineRule="auto"/>
    </w:pPr>
  </w:style>
  <w:style w:type="character" w:styleId="FollowedHyperlink">
    <w:name w:val="FollowedHyperlink"/>
    <w:basedOn w:val="DefaultParagraphFont"/>
    <w:uiPriority w:val="99"/>
    <w:semiHidden/>
    <w:unhideWhenUsed/>
    <w:rsid w:val="00DB5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938">
      <w:bodyDiv w:val="1"/>
      <w:marLeft w:val="0"/>
      <w:marRight w:val="0"/>
      <w:marTop w:val="0"/>
      <w:marBottom w:val="0"/>
      <w:divBdr>
        <w:top w:val="none" w:sz="0" w:space="0" w:color="auto"/>
        <w:left w:val="none" w:sz="0" w:space="0" w:color="auto"/>
        <w:bottom w:val="none" w:sz="0" w:space="0" w:color="auto"/>
        <w:right w:val="none" w:sz="0" w:space="0" w:color="auto"/>
      </w:divBdr>
    </w:div>
    <w:div w:id="177500490">
      <w:bodyDiv w:val="1"/>
      <w:marLeft w:val="0"/>
      <w:marRight w:val="0"/>
      <w:marTop w:val="0"/>
      <w:marBottom w:val="0"/>
      <w:divBdr>
        <w:top w:val="none" w:sz="0" w:space="0" w:color="auto"/>
        <w:left w:val="none" w:sz="0" w:space="0" w:color="auto"/>
        <w:bottom w:val="none" w:sz="0" w:space="0" w:color="auto"/>
        <w:right w:val="none" w:sz="0" w:space="0" w:color="auto"/>
      </w:divBdr>
    </w:div>
    <w:div w:id="188104543">
      <w:bodyDiv w:val="1"/>
      <w:marLeft w:val="0"/>
      <w:marRight w:val="0"/>
      <w:marTop w:val="0"/>
      <w:marBottom w:val="0"/>
      <w:divBdr>
        <w:top w:val="none" w:sz="0" w:space="0" w:color="auto"/>
        <w:left w:val="none" w:sz="0" w:space="0" w:color="auto"/>
        <w:bottom w:val="none" w:sz="0" w:space="0" w:color="auto"/>
        <w:right w:val="none" w:sz="0" w:space="0" w:color="auto"/>
      </w:divBdr>
    </w:div>
    <w:div w:id="319190474">
      <w:bodyDiv w:val="1"/>
      <w:marLeft w:val="0"/>
      <w:marRight w:val="0"/>
      <w:marTop w:val="0"/>
      <w:marBottom w:val="0"/>
      <w:divBdr>
        <w:top w:val="none" w:sz="0" w:space="0" w:color="auto"/>
        <w:left w:val="none" w:sz="0" w:space="0" w:color="auto"/>
        <w:bottom w:val="none" w:sz="0" w:space="0" w:color="auto"/>
        <w:right w:val="none" w:sz="0" w:space="0" w:color="auto"/>
      </w:divBdr>
    </w:div>
    <w:div w:id="613446229">
      <w:bodyDiv w:val="1"/>
      <w:marLeft w:val="0"/>
      <w:marRight w:val="0"/>
      <w:marTop w:val="0"/>
      <w:marBottom w:val="0"/>
      <w:divBdr>
        <w:top w:val="none" w:sz="0" w:space="0" w:color="auto"/>
        <w:left w:val="none" w:sz="0" w:space="0" w:color="auto"/>
        <w:bottom w:val="none" w:sz="0" w:space="0" w:color="auto"/>
        <w:right w:val="none" w:sz="0" w:space="0" w:color="auto"/>
      </w:divBdr>
    </w:div>
    <w:div w:id="662975366">
      <w:bodyDiv w:val="1"/>
      <w:marLeft w:val="0"/>
      <w:marRight w:val="0"/>
      <w:marTop w:val="0"/>
      <w:marBottom w:val="0"/>
      <w:divBdr>
        <w:top w:val="none" w:sz="0" w:space="0" w:color="auto"/>
        <w:left w:val="none" w:sz="0" w:space="0" w:color="auto"/>
        <w:bottom w:val="none" w:sz="0" w:space="0" w:color="auto"/>
        <w:right w:val="none" w:sz="0" w:space="0" w:color="auto"/>
      </w:divBdr>
    </w:div>
    <w:div w:id="675694644">
      <w:bodyDiv w:val="1"/>
      <w:marLeft w:val="0"/>
      <w:marRight w:val="0"/>
      <w:marTop w:val="0"/>
      <w:marBottom w:val="0"/>
      <w:divBdr>
        <w:top w:val="none" w:sz="0" w:space="0" w:color="auto"/>
        <w:left w:val="none" w:sz="0" w:space="0" w:color="auto"/>
        <w:bottom w:val="none" w:sz="0" w:space="0" w:color="auto"/>
        <w:right w:val="none" w:sz="0" w:space="0" w:color="auto"/>
      </w:divBdr>
    </w:div>
    <w:div w:id="981539338">
      <w:bodyDiv w:val="1"/>
      <w:marLeft w:val="0"/>
      <w:marRight w:val="0"/>
      <w:marTop w:val="0"/>
      <w:marBottom w:val="0"/>
      <w:divBdr>
        <w:top w:val="none" w:sz="0" w:space="0" w:color="auto"/>
        <w:left w:val="none" w:sz="0" w:space="0" w:color="auto"/>
        <w:bottom w:val="none" w:sz="0" w:space="0" w:color="auto"/>
        <w:right w:val="none" w:sz="0" w:space="0" w:color="auto"/>
      </w:divBdr>
    </w:div>
    <w:div w:id="982081588">
      <w:bodyDiv w:val="1"/>
      <w:marLeft w:val="0"/>
      <w:marRight w:val="0"/>
      <w:marTop w:val="0"/>
      <w:marBottom w:val="0"/>
      <w:divBdr>
        <w:top w:val="none" w:sz="0" w:space="0" w:color="auto"/>
        <w:left w:val="none" w:sz="0" w:space="0" w:color="auto"/>
        <w:bottom w:val="none" w:sz="0" w:space="0" w:color="auto"/>
        <w:right w:val="none" w:sz="0" w:space="0" w:color="auto"/>
      </w:divBdr>
    </w:div>
    <w:div w:id="1109467057">
      <w:bodyDiv w:val="1"/>
      <w:marLeft w:val="0"/>
      <w:marRight w:val="0"/>
      <w:marTop w:val="0"/>
      <w:marBottom w:val="0"/>
      <w:divBdr>
        <w:top w:val="none" w:sz="0" w:space="0" w:color="auto"/>
        <w:left w:val="none" w:sz="0" w:space="0" w:color="auto"/>
        <w:bottom w:val="none" w:sz="0" w:space="0" w:color="auto"/>
        <w:right w:val="none" w:sz="0" w:space="0" w:color="auto"/>
      </w:divBdr>
    </w:div>
    <w:div w:id="1109545321">
      <w:bodyDiv w:val="1"/>
      <w:marLeft w:val="0"/>
      <w:marRight w:val="0"/>
      <w:marTop w:val="0"/>
      <w:marBottom w:val="0"/>
      <w:divBdr>
        <w:top w:val="none" w:sz="0" w:space="0" w:color="auto"/>
        <w:left w:val="none" w:sz="0" w:space="0" w:color="auto"/>
        <w:bottom w:val="none" w:sz="0" w:space="0" w:color="auto"/>
        <w:right w:val="none" w:sz="0" w:space="0" w:color="auto"/>
      </w:divBdr>
    </w:div>
    <w:div w:id="1234510710">
      <w:bodyDiv w:val="1"/>
      <w:marLeft w:val="0"/>
      <w:marRight w:val="0"/>
      <w:marTop w:val="0"/>
      <w:marBottom w:val="0"/>
      <w:divBdr>
        <w:top w:val="none" w:sz="0" w:space="0" w:color="auto"/>
        <w:left w:val="none" w:sz="0" w:space="0" w:color="auto"/>
        <w:bottom w:val="none" w:sz="0" w:space="0" w:color="auto"/>
        <w:right w:val="none" w:sz="0" w:space="0" w:color="auto"/>
      </w:divBdr>
    </w:div>
    <w:div w:id="1235893859">
      <w:bodyDiv w:val="1"/>
      <w:marLeft w:val="0"/>
      <w:marRight w:val="0"/>
      <w:marTop w:val="0"/>
      <w:marBottom w:val="0"/>
      <w:divBdr>
        <w:top w:val="none" w:sz="0" w:space="0" w:color="auto"/>
        <w:left w:val="none" w:sz="0" w:space="0" w:color="auto"/>
        <w:bottom w:val="none" w:sz="0" w:space="0" w:color="auto"/>
        <w:right w:val="none" w:sz="0" w:space="0" w:color="auto"/>
      </w:divBdr>
    </w:div>
    <w:div w:id="1239098921">
      <w:bodyDiv w:val="1"/>
      <w:marLeft w:val="0"/>
      <w:marRight w:val="0"/>
      <w:marTop w:val="0"/>
      <w:marBottom w:val="0"/>
      <w:divBdr>
        <w:top w:val="none" w:sz="0" w:space="0" w:color="auto"/>
        <w:left w:val="none" w:sz="0" w:space="0" w:color="auto"/>
        <w:bottom w:val="none" w:sz="0" w:space="0" w:color="auto"/>
        <w:right w:val="none" w:sz="0" w:space="0" w:color="auto"/>
      </w:divBdr>
    </w:div>
    <w:div w:id="1258323547">
      <w:bodyDiv w:val="1"/>
      <w:marLeft w:val="0"/>
      <w:marRight w:val="0"/>
      <w:marTop w:val="0"/>
      <w:marBottom w:val="0"/>
      <w:divBdr>
        <w:top w:val="none" w:sz="0" w:space="0" w:color="auto"/>
        <w:left w:val="none" w:sz="0" w:space="0" w:color="auto"/>
        <w:bottom w:val="none" w:sz="0" w:space="0" w:color="auto"/>
        <w:right w:val="none" w:sz="0" w:space="0" w:color="auto"/>
      </w:divBdr>
    </w:div>
    <w:div w:id="1498881994">
      <w:bodyDiv w:val="1"/>
      <w:marLeft w:val="0"/>
      <w:marRight w:val="0"/>
      <w:marTop w:val="0"/>
      <w:marBottom w:val="0"/>
      <w:divBdr>
        <w:top w:val="none" w:sz="0" w:space="0" w:color="auto"/>
        <w:left w:val="none" w:sz="0" w:space="0" w:color="auto"/>
        <w:bottom w:val="none" w:sz="0" w:space="0" w:color="auto"/>
        <w:right w:val="none" w:sz="0" w:space="0" w:color="auto"/>
      </w:divBdr>
    </w:div>
    <w:div w:id="1539048976">
      <w:bodyDiv w:val="1"/>
      <w:marLeft w:val="0"/>
      <w:marRight w:val="0"/>
      <w:marTop w:val="0"/>
      <w:marBottom w:val="0"/>
      <w:divBdr>
        <w:top w:val="none" w:sz="0" w:space="0" w:color="auto"/>
        <w:left w:val="none" w:sz="0" w:space="0" w:color="auto"/>
        <w:bottom w:val="none" w:sz="0" w:space="0" w:color="auto"/>
        <w:right w:val="none" w:sz="0" w:space="0" w:color="auto"/>
      </w:divBdr>
    </w:div>
    <w:div w:id="1640379863">
      <w:bodyDiv w:val="1"/>
      <w:marLeft w:val="0"/>
      <w:marRight w:val="0"/>
      <w:marTop w:val="0"/>
      <w:marBottom w:val="0"/>
      <w:divBdr>
        <w:top w:val="none" w:sz="0" w:space="0" w:color="auto"/>
        <w:left w:val="none" w:sz="0" w:space="0" w:color="auto"/>
        <w:bottom w:val="none" w:sz="0" w:space="0" w:color="auto"/>
        <w:right w:val="none" w:sz="0" w:space="0" w:color="auto"/>
      </w:divBdr>
    </w:div>
    <w:div w:id="1783265448">
      <w:bodyDiv w:val="1"/>
      <w:marLeft w:val="0"/>
      <w:marRight w:val="0"/>
      <w:marTop w:val="0"/>
      <w:marBottom w:val="0"/>
      <w:divBdr>
        <w:top w:val="none" w:sz="0" w:space="0" w:color="auto"/>
        <w:left w:val="none" w:sz="0" w:space="0" w:color="auto"/>
        <w:bottom w:val="none" w:sz="0" w:space="0" w:color="auto"/>
        <w:right w:val="none" w:sz="0" w:space="0" w:color="auto"/>
      </w:divBdr>
    </w:div>
    <w:div w:id="1882356088">
      <w:bodyDiv w:val="1"/>
      <w:marLeft w:val="0"/>
      <w:marRight w:val="0"/>
      <w:marTop w:val="0"/>
      <w:marBottom w:val="0"/>
      <w:divBdr>
        <w:top w:val="none" w:sz="0" w:space="0" w:color="auto"/>
        <w:left w:val="none" w:sz="0" w:space="0" w:color="auto"/>
        <w:bottom w:val="none" w:sz="0" w:space="0" w:color="auto"/>
        <w:right w:val="none" w:sz="0" w:space="0" w:color="auto"/>
      </w:divBdr>
    </w:div>
    <w:div w:id="1899198202">
      <w:bodyDiv w:val="1"/>
      <w:marLeft w:val="0"/>
      <w:marRight w:val="0"/>
      <w:marTop w:val="0"/>
      <w:marBottom w:val="0"/>
      <w:divBdr>
        <w:top w:val="none" w:sz="0" w:space="0" w:color="auto"/>
        <w:left w:val="none" w:sz="0" w:space="0" w:color="auto"/>
        <w:bottom w:val="none" w:sz="0" w:space="0" w:color="auto"/>
        <w:right w:val="none" w:sz="0" w:space="0" w:color="auto"/>
      </w:divBdr>
    </w:div>
    <w:div w:id="1996493083">
      <w:bodyDiv w:val="1"/>
      <w:marLeft w:val="0"/>
      <w:marRight w:val="0"/>
      <w:marTop w:val="0"/>
      <w:marBottom w:val="0"/>
      <w:divBdr>
        <w:top w:val="none" w:sz="0" w:space="0" w:color="auto"/>
        <w:left w:val="none" w:sz="0" w:space="0" w:color="auto"/>
        <w:bottom w:val="none" w:sz="0" w:space="0" w:color="auto"/>
        <w:right w:val="none" w:sz="0" w:space="0" w:color="auto"/>
      </w:divBdr>
    </w:div>
    <w:div w:id="20985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swire.ca/news-releases/canada-funds-125-million-pan-canadian-artificial-intelligence-strategy-616876434.html" TargetMode="External"/><Relationship Id="rId18" Type="http://schemas.openxmlformats.org/officeDocument/2006/relationships/hyperlink" Target="https://canada-ca.github.io/digital-playbook-guide-numerique/views-vues/automated-decision-automatise/en/algorithmic-impact-assessment.html" TargetMode="External"/><Relationship Id="rId26" Type="http://schemas.openxmlformats.org/officeDocument/2006/relationships/hyperlink" Target="https://www.canada.ca/en/treasury-board-secretariat/services/information-technology/strategic-plan-2017-2021.htm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ybersecuritystrategy.homeaffairs.gov.au/" TargetMode="External"/><Relationship Id="rId34" Type="http://schemas.openxmlformats.org/officeDocument/2006/relationships/hyperlink" Target="https://www.canada.ca/en/government/publicservice/modernizing/government-canada-digital-standards.html"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http://resourceclips.com/wp-content/feature_images/Canada%20Australia%20flags%20030214.jpg" TargetMode="External"/><Relationship Id="rId17" Type="http://schemas.openxmlformats.org/officeDocument/2006/relationships/hyperlink" Target="https://docs.google.com/document/d/1LdciG-UYeokx3U7ZzRng3u4T3IHrBXXk9JddjjueQok/edit" TargetMode="External"/><Relationship Id="rId25" Type="http://schemas.openxmlformats.org/officeDocument/2006/relationships/hyperlink" Target="https://www.canada.ca/en/government/publicservice/modernizing/government-canada-digital-standards.html" TargetMode="External"/><Relationship Id="rId33" Type="http://schemas.openxmlformats.org/officeDocument/2006/relationships/hyperlink" Target="https://www.govhack.org/about-us/" TargetMode="External"/><Relationship Id="rId38" Type="http://schemas.openxmlformats.org/officeDocument/2006/relationships/hyperlink" Target="https://uploadstorage.blob.core.windows.net/submission-uploads/fil053a9c29a67dceb4202fb.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c.ca/news/politics/artificial-intelligence-tax-justice-pilot-1.4817242" TargetMode="External"/><Relationship Id="rId20" Type="http://schemas.openxmlformats.org/officeDocument/2006/relationships/hyperlink" Target="https://www.industry.gov.au/strategies-for-the-future/participating-in-the-digital-economy" TargetMode="External"/><Relationship Id="rId29" Type="http://schemas.openxmlformats.org/officeDocument/2006/relationships/hyperlink" Target="https://www.dta.gov.au/our-projects/secure-cloud-strateg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ta.gov.au/digital-transformation-strategy/roadmap-page" TargetMode="External"/><Relationship Id="rId32" Type="http://schemas.openxmlformats.org/officeDocument/2006/relationships/hyperlink" Target="https://www.pmc.gov.au/news-centre/public-data/streamlining-all-government-data-and-digital-services" TargetMode="External"/><Relationship Id="rId37" Type="http://schemas.openxmlformats.org/officeDocument/2006/relationships/hyperlink" Target="https://www.dta.gov.au/our-projects/secure-cloud-strateg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cleans.ca/politics/ottawa/what-happens-when-artificial-intelligence-comes-to-ottawa/" TargetMode="External"/><Relationship Id="rId23" Type="http://schemas.openxmlformats.org/officeDocument/2006/relationships/hyperlink" Target="https://www.apsreview.gov.au/" TargetMode="External"/><Relationship Id="rId28" Type="http://schemas.openxmlformats.org/officeDocument/2006/relationships/hyperlink" Target="http://dataavailability.pmc.gov.au/" TargetMode="External"/><Relationship Id="rId36" Type="http://schemas.openxmlformats.org/officeDocument/2006/relationships/hyperlink" Target="https://www.dta.gov.au/strategy" TargetMode="External"/><Relationship Id="rId10" Type="http://schemas.openxmlformats.org/officeDocument/2006/relationships/endnotes" Target="endnotes.xml"/><Relationship Id="rId19" Type="http://schemas.openxmlformats.org/officeDocument/2006/relationships/hyperlink" Target="https://www.dta.gov.au/node/594" TargetMode="External"/><Relationship Id="rId31" Type="http://schemas.openxmlformats.org/officeDocument/2006/relationships/hyperlink" Target="https://www.myhealthrecord.gov.au/"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gc.ca/eic/site/093.nsf/eng/home" TargetMode="External"/><Relationship Id="rId22" Type="http://schemas.openxmlformats.org/officeDocument/2006/relationships/hyperlink" Target="https://www.industry.gov.au/strategies-for-the-future/simplifying-business" TargetMode="External"/><Relationship Id="rId27" Type="http://schemas.openxmlformats.org/officeDocument/2006/relationships/hyperlink" Target="https://www.pc.gov.au/inquiries/completed/data-access" TargetMode="External"/><Relationship Id="rId30" Type="http://schemas.openxmlformats.org/officeDocument/2006/relationships/hyperlink" Target="https://www.dta.gov.au/our-projects/digital-identity/creating-digital-identity" TargetMode="External"/><Relationship Id="rId35" Type="http://schemas.openxmlformats.org/officeDocument/2006/relationships/hyperlink" Target="https://www.gartner.com/smarterwithgartner/kick-start-the-conversation-on-digital-ethics-2/"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tbs-sct.gc.ca/pol/doc-eng.aspx?id=12755" TargetMode="External"/><Relationship Id="rId1" Type="http://schemas.openxmlformats.org/officeDocument/2006/relationships/hyperlink" Target="https://www.canada.ca/en/treasury-board-secretariat/services/information-technology/strategic-plan-2017-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EA40AC8314B62849863C79CB39A7E8FA" ma:contentTypeVersion="11" ma:contentTypeDescription="PMC Document" ma:contentTypeScope="" ma:versionID="eadea53713e241ab11bd003c759a383e">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402bd145446d5de8019a4c6cdf5d6a3c"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jf43624ff82d476f950aa6325c587b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43624ff82d476f950aa6325c587b1a" ma:index="18"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134daf-f59e-4db7-a35c-450a99b2ffd7">
      <Value>1</Value>
      <Value>12</Value>
    </TaxCatchAll>
    <PMCNotes xmlns="63134daf-f59e-4db7-a35c-450a99b2ffd7" xsi:nil="true"/>
    <ShareHubID xmlns="63134daf-f59e-4db7-a35c-450a99b2ffd7">DOC18-431209</ShareHubID>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63134daf-f59e-4db7-a35c-450a99b2ffd7">
      <Terms xmlns="http://schemas.microsoft.com/office/infopath/2007/PartnerControls"/>
    </jd1c641577414dfdab1686c9d5d0dbd0>
    <jf43624ff82d476f950aa6325c587b1a xmlns="63134daf-f59e-4db7-a35c-450a99b2ffd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jf43624ff82d476f950aa6325c587b1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E1DE-23A2-41F3-96EC-426B6873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1F4FD-3881-4572-A552-CB87CCB902F8}">
  <ds:schemaRefs>
    <ds:schemaRef ds:uri="http://schemas.microsoft.com/sharepoint/v3/contenttype/forms"/>
  </ds:schemaRefs>
</ds:datastoreItem>
</file>

<file path=customXml/itemProps3.xml><?xml version="1.0" encoding="utf-8"?>
<ds:datastoreItem xmlns:ds="http://schemas.openxmlformats.org/officeDocument/2006/customXml" ds:itemID="{A65489A4-980E-4F9E-8790-1A022507C08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3134daf-f59e-4db7-a35c-450a99b2ffd7"/>
    <ds:schemaRef ds:uri="http://purl.org/dc/terms/"/>
    <ds:schemaRef ds:uri="http://schemas.microsoft.com/office/2006/documentManagement/typ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38F93D32-A651-4F32-8E1B-39F34808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8829</Words>
  <Characters>50329</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Dylan</dc:creator>
  <cp:lastModifiedBy>Busby, Jason</cp:lastModifiedBy>
  <cp:revision>2</cp:revision>
  <cp:lastPrinted>2018-12-07T04:48:00Z</cp:lastPrinted>
  <dcterms:created xsi:type="dcterms:W3CDTF">2019-01-04T19:59:00Z</dcterms:created>
  <dcterms:modified xsi:type="dcterms:W3CDTF">2019-01-04T19:59:00Z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0x0101002825A64A6E1845A99A9D8EE8A5686ECB00EA40AC8314B62849863C79CB39A7E8FA</vt:lpwstr>
  </property>
  <property fmtid="{D5CDD505-2E9C-101B-9397-08002B2CF9AE}" pid="3" name="TSYRecordClass">
    <vt:lpwstr>2;#TSY RA-9081 - Retain as national archives|bbf0bcde-1687-4ff2-bc57-f31b5d545d4b</vt:lpwstr>
  </property>
  <property fmtid="{D5CDD505-2E9C-101B-9397-08002B2CF9AE}" pid="4" name="_dlc_DocIdItemGuid">
    <vt:lpwstr>5a05cd34-8c23-476b-aa30-4491690ffe27</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{5a05cd34-8c23-476b-aa30-4491690ffe27}</vt:lpwstr>
  </property>
  <property fmtid="{D5CDD505-2E9C-101B-9397-08002B2CF9AE}" pid="9" name="RecordPoint_ActiveItemWebId">
    <vt:lpwstr>{682871c2-4073-4158-957a-6d924b9ba0a6}</vt:lpwstr>
  </property>
  <property fmtid="{D5CDD505-2E9C-101B-9397-08002B2CF9AE}" pid="10" name="RecordPoint_SubmissionDate">
    <vt:lpwstr/>
  </property>
  <property fmtid="{D5CDD505-2E9C-101B-9397-08002B2CF9AE}" pid="11" name="RecordPoint_RecordNumberSubmitted">
    <vt:lpwstr>R0001209530</vt:lpwstr>
  </property>
  <property fmtid="{D5CDD505-2E9C-101B-9397-08002B2CF9AE}" pid="12" name="RecordPoint_ActiveItemMoved">
    <vt:lpwstr/>
  </property>
  <property fmtid="{D5CDD505-2E9C-101B-9397-08002B2CF9AE}" pid="13" name="RecordPoint_RecordFormat">
    <vt:lpwstr/>
  </property>
  <property fmtid="{D5CDD505-2E9C-101B-9397-08002B2CF9AE}" pid="14" name="_NewReviewCycle">
    <vt:lpwstr/>
  </property>
  <property fmtid="{D5CDD505-2E9C-101B-9397-08002B2CF9AE}" pid="15" name="RecordPoint_SubmissionCompleted">
    <vt:lpwstr>2017-02-17T16:47:27.3373370+11:00</vt:lpwstr>
  </property>
  <property fmtid="{D5CDD505-2E9C-101B-9397-08002B2CF9AE}" pid="16" name="HPRMSecurityLevel">
    <vt:lpwstr>1;#UNCLASSIFIED|9c49a7c7-17c7-412f-8077-62dec89b9196</vt:lpwstr>
  </property>
  <property fmtid="{D5CDD505-2E9C-101B-9397-08002B2CF9AE}" pid="17" name="HPRMSecurityCaveat">
    <vt:lpwstr/>
  </property>
  <property fmtid="{D5CDD505-2E9C-101B-9397-08002B2CF9AE}" pid="18" name="TitusGUID">
    <vt:lpwstr>636a2fcc-adf9-4394-bbda-38d202a1828c</vt:lpwstr>
  </property>
  <property fmtid="{D5CDD505-2E9C-101B-9397-08002B2CF9AE}" pid="19" name="SECCLASS">
    <vt:lpwstr>CLASSU</vt:lpwstr>
  </property>
  <property fmtid="{D5CDD505-2E9C-101B-9397-08002B2CF9AE}" pid="20" name="TBSSCTCLASSIFICATION">
    <vt:lpwstr>UNCLASSIFIED</vt:lpwstr>
  </property>
  <property fmtid="{D5CDD505-2E9C-101B-9397-08002B2CF9AE}" pid="21" name="TBSSCTVISUALMARKINGNO">
    <vt:lpwstr>NO</vt:lpwstr>
  </property>
  <property fmtid="{D5CDD505-2E9C-101B-9397-08002B2CF9AE}" pid="22" name="ESearchTags">
    <vt:lpwstr>12;#Training|2f396fb6-baad-479d-8254-1550153bbe31</vt:lpwstr>
  </property>
  <property fmtid="{D5CDD505-2E9C-101B-9397-08002B2CF9AE}" pid="23" name="PMC.ESearch.TagGeneratedTime">
    <vt:lpwstr>2018-12-18T15:35:29</vt:lpwstr>
  </property>
</Properties>
</file>