
<file path=[Content_Types].xml><?xml version="1.0" encoding="utf-8"?>
<Types xmlns="http://schemas.openxmlformats.org/package/2006/content-types">
  <Default Extension="fntdata" ContentType="application/x-fontdata"/>
  <Default Extension="jpg" ContentType="image/jpeg"/>
  <Default Extension="png" ContentType="image/pn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notesMasters/notesMaster1.xml" ContentType="application/vnd.openxmlformats-officedocument.presentationml.notes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comments/comment1.xml" ContentType="application/vnd.openxmlformats-officedocument.presentationml.comments+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ppt/presentation.xml"/><Relationship Id="rId4" Type="http://schemas.openxmlformats.org/officeDocument/2006/relationships/custom-properties" Target="docProps/custom.xml"/></Relationships>
</file>

<file path=ppt/presentation.xml><?xml version="1.0" encoding="utf-8"?>
<p:presentation xmlns:a="http://schemas.openxmlformats.org/drawingml/2006/main" xmlns:r="http://schemas.openxmlformats.org/officeDocument/2006/relationships" xmlns:p="http://schemas.openxmlformats.org/presentationml/2006/main" strictFirstAndLastChars="0" embedTrueTypeFonts="1" saveSubsetFonts="1" autoCompressPictures="0">
  <p:sldMasterIdLst>
    <p:sldMasterId id="2147483659" r:id="rId1"/>
  </p:sldMasterIdLst>
  <p:notesMasterIdLst>
    <p:notesMasterId r:id="rId34"/>
  </p:notesMasterIdLst>
  <p:sldIdLst>
    <p:sldId id="256" r:id="rId2"/>
    <p:sldId id="257" r:id="rId3"/>
    <p:sldId id="258" r:id="rId4"/>
    <p:sldId id="259" r:id="rId5"/>
    <p:sldId id="260" r:id="rId6"/>
    <p:sldId id="261" r:id="rId7"/>
    <p:sldId id="262" r:id="rId8"/>
    <p:sldId id="263" r:id="rId9"/>
    <p:sldId id="264" r:id="rId10"/>
    <p:sldId id="265" r:id="rId11"/>
    <p:sldId id="266" r:id="rId12"/>
    <p:sldId id="267" r:id="rId13"/>
    <p:sldId id="268" r:id="rId14"/>
    <p:sldId id="269" r:id="rId15"/>
    <p:sldId id="270" r:id="rId16"/>
    <p:sldId id="271" r:id="rId17"/>
    <p:sldId id="272" r:id="rId18"/>
    <p:sldId id="273" r:id="rId19"/>
    <p:sldId id="274" r:id="rId20"/>
    <p:sldId id="275" r:id="rId21"/>
    <p:sldId id="276" r:id="rId22"/>
    <p:sldId id="277" r:id="rId23"/>
    <p:sldId id="278" r:id="rId24"/>
    <p:sldId id="279" r:id="rId25"/>
    <p:sldId id="280" r:id="rId26"/>
    <p:sldId id="281" r:id="rId27"/>
    <p:sldId id="282" r:id="rId28"/>
    <p:sldId id="283" r:id="rId29"/>
    <p:sldId id="284" r:id="rId30"/>
    <p:sldId id="285" r:id="rId31"/>
    <p:sldId id="286" r:id="rId32"/>
    <p:sldId id="287" r:id="rId33"/>
  </p:sldIdLst>
  <p:sldSz cx="9144000" cy="5143500" type="screen16x9"/>
  <p:notesSz cx="6858000" cy="9144000"/>
  <p:embeddedFontLst>
    <p:embeddedFont>
      <p:font typeface="Lato" panose="020F0502020204030203" pitchFamily="34" charset="0"/>
      <p:regular r:id="rId35"/>
      <p:bold r:id="rId36"/>
      <p:italic r:id="rId37"/>
      <p:boldItalic r:id="rId38"/>
    </p:embeddedFont>
    <p:embeddedFont>
      <p:font typeface="Open Sans" panose="020B0606030504020204" pitchFamily="34" charset="0"/>
      <p:regular r:id="rId39"/>
      <p:bold r:id="rId40"/>
      <p:italic r:id="rId41"/>
      <p:boldItalic r:id="rId42"/>
    </p:embeddedFont>
    <p:embeddedFont>
      <p:font typeface="Roboto" panose="02000000000000000000" pitchFamily="2" charset="0"/>
      <p:regular r:id="rId43"/>
      <p:bold r:id="rId44"/>
      <p:italic r:id="rId45"/>
      <p:boldItalic r:id="rId46"/>
    </p:embeddedFont>
  </p:embeddedFontLst>
  <p:custDataLst>
    <p:tags r:id="rId47"/>
  </p:custDataLst>
  <p:defaultTex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defaultTextStyle>
  <p:extLst>
    <p:ext uri="{EFAFB233-063F-42B5-8137-9DF3F51BA10A}">
      <p15:sldGuideLst xmlns:p15="http://schemas.microsoft.com/office/powerpoint/2012/main">
        <p15:guide id="1" orient="horz" pos="1620">
          <p15:clr>
            <a:srgbClr val="A4A3A4"/>
          </p15:clr>
        </p15:guide>
        <p15:guide id="2" pos="2880">
          <p15:clr>
            <a:srgbClr val="A4A3A4"/>
          </p15:clr>
        </p15:guide>
      </p15:sldGuideLst>
    </p:ext>
    <p:ext uri="{2D200454-40CA-4A62-9FC3-DE9A4176ACB9}">
      <p15:notesGuideLst xmlns:p15="http://schemas.microsoft.com/office/powerpoint/2012/main"/>
    </p:ext>
  </p:extLst>
</p:presentation>
</file>

<file path=ppt/commentAuthors.xml><?xml version="1.0" encoding="utf-8"?>
<p:cmAuthorLst xmlns:a="http://schemas.openxmlformats.org/drawingml/2006/main" xmlns:r="http://schemas.openxmlformats.org/officeDocument/2006/relationships" xmlns:p="http://schemas.openxmlformats.org/presentationml/2006/main">
  <p:cmAuthor id="0" name="Peter Smith" initials="" lastIdx="1" clrIdx="0"/>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620"/>
    <p:restoredTop sz="94660"/>
  </p:normalViewPr>
  <p:slideViewPr>
    <p:cSldViewPr snapToGrid="0">
      <p:cViewPr varScale="1">
        <p:scale>
          <a:sx n="116" d="100"/>
          <a:sy n="116" d="100"/>
        </p:scale>
        <p:origin x="75" y="348"/>
      </p:cViewPr>
      <p:guideLst>
        <p:guide orient="horz" pos="1620"/>
        <p:guide pos="2880"/>
      </p:guideLst>
    </p:cSldViewPr>
  </p:slideViewPr>
  <p:notesTextViewPr>
    <p:cViewPr>
      <p:scale>
        <a:sx n="1" d="1"/>
        <a:sy n="1" d="1"/>
      </p:scale>
      <p:origin x="0" y="0"/>
    </p:cViewPr>
  </p:notesTextViewPr>
  <p:notesViewPr>
    <p:cSldViewPr snapToGrid="0">
      <p:cViewPr varScale="1">
        <p:scale>
          <a:sx n="59" d="100"/>
          <a:sy n="59" d="100"/>
        </p:scale>
        <p:origin x="2604" y="72"/>
      </p:cViewPr>
      <p:guideLst/>
    </p:cSldViewPr>
  </p:notes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font" Target="fonts/font5.fntdata"/><Relationship Id="rId21" Type="http://schemas.openxmlformats.org/officeDocument/2006/relationships/slide" Target="slides/slide20.xml"/><Relationship Id="rId34" Type="http://schemas.openxmlformats.org/officeDocument/2006/relationships/notesMaster" Target="notesMasters/notesMaster1.xml"/><Relationship Id="rId42" Type="http://schemas.openxmlformats.org/officeDocument/2006/relationships/font" Target="fonts/font8.fntdata"/><Relationship Id="rId47" Type="http://schemas.openxmlformats.org/officeDocument/2006/relationships/tags" Target="tags/tag1.xml"/><Relationship Id="rId50" Type="http://schemas.openxmlformats.org/officeDocument/2006/relationships/viewProps" Target="view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font" Target="fonts/font3.fntdata"/><Relationship Id="rId40" Type="http://schemas.openxmlformats.org/officeDocument/2006/relationships/font" Target="fonts/font6.fntdata"/><Relationship Id="rId45" Type="http://schemas.openxmlformats.org/officeDocument/2006/relationships/font" Target="fonts/font11.fntdata"/><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font" Target="fonts/font2.fntdata"/><Relationship Id="rId49" Type="http://schemas.openxmlformats.org/officeDocument/2006/relationships/presProps" Target="presProps.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font" Target="fonts/font10.fntdata"/><Relationship Id="rId52" Type="http://schemas.openxmlformats.org/officeDocument/2006/relationships/tableStyles" Target="tableStyles.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font" Target="fonts/font1.fntdata"/><Relationship Id="rId43" Type="http://schemas.openxmlformats.org/officeDocument/2006/relationships/font" Target="fonts/font9.fntdata"/><Relationship Id="rId48" Type="http://schemas.openxmlformats.org/officeDocument/2006/relationships/commentAuthors" Target="commentAuthors.xml"/><Relationship Id="rId8" Type="http://schemas.openxmlformats.org/officeDocument/2006/relationships/slide" Target="slides/slide7.xml"/><Relationship Id="rId51" Type="http://schemas.openxmlformats.org/officeDocument/2006/relationships/theme" Target="theme/theme1.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font" Target="fonts/font4.fntdata"/><Relationship Id="rId46" Type="http://schemas.openxmlformats.org/officeDocument/2006/relationships/font" Target="fonts/font12.fntdata"/><Relationship Id="rId20" Type="http://schemas.openxmlformats.org/officeDocument/2006/relationships/slide" Target="slides/slide19.xml"/><Relationship Id="rId41" Type="http://schemas.openxmlformats.org/officeDocument/2006/relationships/font" Target="fonts/font7.fntdata"/><Relationship Id="rId1" Type="http://schemas.openxmlformats.org/officeDocument/2006/relationships/slideMaster" Target="slideMasters/slideMaster1.xml"/><Relationship Id="rId6" Type="http://schemas.openxmlformats.org/officeDocument/2006/relationships/slide" Target="slides/slide5.xml"/></Relationships>
</file>

<file path=ppt/comments/comment1.xml><?xml version="1.0" encoding="utf-8"?>
<p:cmLst xmlns:a="http://schemas.openxmlformats.org/drawingml/2006/main" xmlns:r="http://schemas.openxmlformats.org/officeDocument/2006/relationships" xmlns:p="http://schemas.openxmlformats.org/presentationml/2006/main">
  <p:cm authorId="0" dt="2022-11-22T22:33:45.272" idx="1">
    <p:pos x="2424" y="121"/>
    <p:text>French link for this is https://helpx.adobe.com/ca_fr/acrobat/using/creating-accessible-pdfs.html</p:text>
  </p:cm>
</p:cmLst>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Shape 2"/>
        <p:cNvGrpSpPr/>
        <p:nvPr/>
      </p:nvGrpSpPr>
      <p:grpSpPr>
        <a:xfrm>
          <a:off x="0" y="0"/>
          <a:ext cx="0" cy="0"/>
          <a:chOff x="0" y="0"/>
          <a:chExt cx="0" cy="0"/>
        </a:xfrm>
      </p:grpSpPr>
      <p:sp>
        <p:nvSpPr>
          <p:cNvPr id="3" name="Google Shape;3;n"/>
          <p:cNvSpPr>
            <a:spLocks noGrp="1" noRot="1" noChangeAspect="1"/>
          </p:cNvSpPr>
          <p:nvPr>
            <p:ph type="sldImg" idx="2"/>
          </p:nvPr>
        </p:nvSpPr>
        <p:spPr>
          <a:xfrm>
            <a:off x="381300" y="685800"/>
            <a:ext cx="6096075" cy="3429000"/>
          </a:xfrm>
          <a:custGeom>
            <a:avLst/>
            <a:gdLst/>
            <a:ahLst/>
            <a:cxnLst/>
            <a:rect l="l" t="t" r="r" b="b"/>
            <a:pathLst>
              <a:path w="120000" h="120000" extrusionOk="0">
                <a:moveTo>
                  <a:pt x="0" y="0"/>
                </a:moveTo>
                <a:lnTo>
                  <a:pt x="120000" y="0"/>
                </a:lnTo>
                <a:lnTo>
                  <a:pt x="120000" y="120000"/>
                </a:lnTo>
                <a:lnTo>
                  <a:pt x="0" y="120000"/>
                </a:lnTo>
                <a:close/>
              </a:path>
            </a:pathLst>
          </a:custGeom>
          <a:noFill/>
          <a:ln w="9525" cap="flat" cmpd="sng">
            <a:solidFill>
              <a:srgbClr val="000000"/>
            </a:solidFill>
            <a:prstDash val="solid"/>
            <a:round/>
            <a:headEnd type="none" w="sm" len="sm"/>
            <a:tailEnd type="none" w="sm" len="sm"/>
          </a:ln>
        </p:spPr>
      </p:sp>
      <p:sp>
        <p:nvSpPr>
          <p:cNvPr id="4" name="Google Shape;4;n"/>
          <p:cNvSpPr txBox="1">
            <a:spLocks noGrp="1"/>
          </p:cNvSpPr>
          <p:nvPr>
            <p:ph type="body" idx="1"/>
          </p:nvPr>
        </p:nvSpPr>
        <p:spPr>
          <a:xfrm>
            <a:off x="685800" y="4343400"/>
            <a:ext cx="5486400" cy="4114800"/>
          </a:xfrm>
          <a:prstGeom prst="rect">
            <a:avLst/>
          </a:prstGeom>
          <a:noFill/>
          <a:ln>
            <a:noFill/>
          </a:ln>
        </p:spPr>
        <p:txBody>
          <a:bodyPr spcFirstLastPara="1" wrap="square" lIns="91425" tIns="91425" rIns="91425" bIns="91425" anchor="t" anchorCtr="0">
            <a:noAutofit/>
          </a:bodyPr>
          <a:lstStyle>
            <a:lvl1pPr marL="457200" lvl="0" indent="-298450">
              <a:spcBef>
                <a:spcPts val="0"/>
              </a:spcBef>
              <a:spcAft>
                <a:spcPts val="0"/>
              </a:spcAft>
              <a:buSzPts val="1100"/>
              <a:buChar char="●"/>
              <a:defRPr sz="1100"/>
            </a:lvl1pPr>
            <a:lvl2pPr marL="914400" lvl="1" indent="-298450">
              <a:spcBef>
                <a:spcPts val="0"/>
              </a:spcBef>
              <a:spcAft>
                <a:spcPts val="0"/>
              </a:spcAft>
              <a:buSzPts val="1100"/>
              <a:buChar char="○"/>
              <a:defRPr sz="1100"/>
            </a:lvl2pPr>
            <a:lvl3pPr marL="1371600" lvl="2" indent="-298450">
              <a:spcBef>
                <a:spcPts val="0"/>
              </a:spcBef>
              <a:spcAft>
                <a:spcPts val="0"/>
              </a:spcAft>
              <a:buSzPts val="1100"/>
              <a:buChar char="■"/>
              <a:defRPr sz="1100"/>
            </a:lvl3pPr>
            <a:lvl4pPr marL="1828800" lvl="3" indent="-298450">
              <a:spcBef>
                <a:spcPts val="0"/>
              </a:spcBef>
              <a:spcAft>
                <a:spcPts val="0"/>
              </a:spcAft>
              <a:buSzPts val="1100"/>
              <a:buChar char="●"/>
              <a:defRPr sz="1100"/>
            </a:lvl4pPr>
            <a:lvl5pPr marL="2286000" lvl="4" indent="-298450">
              <a:spcBef>
                <a:spcPts val="0"/>
              </a:spcBef>
              <a:spcAft>
                <a:spcPts val="0"/>
              </a:spcAft>
              <a:buSzPts val="1100"/>
              <a:buChar char="○"/>
              <a:defRPr sz="1100"/>
            </a:lvl5pPr>
            <a:lvl6pPr marL="2743200" lvl="5" indent="-298450">
              <a:spcBef>
                <a:spcPts val="0"/>
              </a:spcBef>
              <a:spcAft>
                <a:spcPts val="0"/>
              </a:spcAft>
              <a:buSzPts val="1100"/>
              <a:buChar char="■"/>
              <a:defRPr sz="1100"/>
            </a:lvl6pPr>
            <a:lvl7pPr marL="3200400" lvl="6" indent="-298450">
              <a:spcBef>
                <a:spcPts val="0"/>
              </a:spcBef>
              <a:spcAft>
                <a:spcPts val="0"/>
              </a:spcAft>
              <a:buSzPts val="1100"/>
              <a:buChar char="●"/>
              <a:defRPr sz="1100"/>
            </a:lvl7pPr>
            <a:lvl8pPr marL="3657600" lvl="7" indent="-298450">
              <a:spcBef>
                <a:spcPts val="0"/>
              </a:spcBef>
              <a:spcAft>
                <a:spcPts val="0"/>
              </a:spcAft>
              <a:buSzPts val="1100"/>
              <a:buChar char="○"/>
              <a:defRPr sz="1100"/>
            </a:lvl8pPr>
            <a:lvl9pPr marL="4114800" lvl="8" indent="-298450">
              <a:spcBef>
                <a:spcPts val="0"/>
              </a:spcBef>
              <a:spcAft>
                <a:spcPts val="0"/>
              </a:spcAft>
              <a:buSzPts val="1100"/>
              <a:buChar char="■"/>
              <a:defRPr sz="1100"/>
            </a:lvl9pPr>
          </a:lstStyle>
          <a:p>
            <a:endParaRPr/>
          </a:p>
        </p:txBody>
      </p:sp>
    </p:spTree>
  </p:cSld>
  <p:clrMap bg1="lt1" tx1="dk1" bg2="dk2" tx2="lt2" accent1="accent1" accent2="accent2" accent3="accent3" accent4="accent4" accent5="accent5" accent6="accent6" hlink="hlink" folHlink="folHlink"/>
  <p:notes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50"/>
        <p:cNvGrpSpPr/>
        <p:nvPr/>
      </p:nvGrpSpPr>
      <p:grpSpPr>
        <a:xfrm>
          <a:off x="0" y="0"/>
          <a:ext cx="0" cy="0"/>
          <a:chOff x="0" y="0"/>
          <a:chExt cx="0" cy="0"/>
        </a:xfrm>
      </p:grpSpPr>
      <p:sp>
        <p:nvSpPr>
          <p:cNvPr id="51" name="Google Shape;51;g168222990b5_0_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52" name="Google Shape;52;g168222990b5_0_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Diapositive d’ouverture</a:t>
            </a:r>
          </a:p>
          <a:p>
            <a:pPr marL="0" lvl="0" indent="0" algn="l" rtl="0">
              <a:spcBef>
                <a:spcPts val="0"/>
              </a:spcBef>
              <a:spcAft>
                <a:spcPts val="0"/>
              </a:spcAft>
              <a:buNone/>
            </a:pPr>
            <a:endParaRPr/>
          </a:p>
        </p:txBody>
      </p:sp>
    </p:spTree>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40"/>
        <p:cNvGrpSpPr/>
        <p:nvPr/>
      </p:nvGrpSpPr>
      <p:grpSpPr>
        <a:xfrm>
          <a:off x="0" y="0"/>
          <a:ext cx="0" cy="0"/>
          <a:chOff x="0" y="0"/>
          <a:chExt cx="0" cy="0"/>
        </a:xfrm>
      </p:grpSpPr>
      <p:sp>
        <p:nvSpPr>
          <p:cNvPr id="141" name="Google Shape;141;g168222990b5_0_586: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42" name="Google Shape;142;g168222990b5_0_586: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51"/>
        <p:cNvGrpSpPr/>
        <p:nvPr/>
      </p:nvGrpSpPr>
      <p:grpSpPr>
        <a:xfrm>
          <a:off x="0" y="0"/>
          <a:ext cx="0" cy="0"/>
          <a:chOff x="0" y="0"/>
          <a:chExt cx="0" cy="0"/>
        </a:xfrm>
      </p:grpSpPr>
      <p:sp>
        <p:nvSpPr>
          <p:cNvPr id="152" name="Google Shape;152;g1928cc5716e_6_27: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53" name="Google Shape;153;g1928cc5716e_6_27: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60"/>
        <p:cNvGrpSpPr/>
        <p:nvPr/>
      </p:nvGrpSpPr>
      <p:grpSpPr>
        <a:xfrm>
          <a:off x="0" y="0"/>
          <a:ext cx="0" cy="0"/>
          <a:chOff x="0" y="0"/>
          <a:chExt cx="0" cy="0"/>
        </a:xfrm>
      </p:grpSpPr>
      <p:sp>
        <p:nvSpPr>
          <p:cNvPr id="161" name="Google Shape;161;g168222990b5_0_567: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62" name="Google Shape;162;g168222990b5_0_567: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70"/>
        <p:cNvGrpSpPr/>
        <p:nvPr/>
      </p:nvGrpSpPr>
      <p:grpSpPr>
        <a:xfrm>
          <a:off x="0" y="0"/>
          <a:ext cx="0" cy="0"/>
          <a:chOff x="0" y="0"/>
          <a:chExt cx="0" cy="0"/>
        </a:xfrm>
      </p:grpSpPr>
      <p:sp>
        <p:nvSpPr>
          <p:cNvPr id="171" name="Google Shape;171;g19d4bc45674_0_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72" name="Google Shape;172;g19d4bc45674_0_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79"/>
        <p:cNvGrpSpPr/>
        <p:nvPr/>
      </p:nvGrpSpPr>
      <p:grpSpPr>
        <a:xfrm>
          <a:off x="0" y="0"/>
          <a:ext cx="0" cy="0"/>
          <a:chOff x="0" y="0"/>
          <a:chExt cx="0" cy="0"/>
        </a:xfrm>
      </p:grpSpPr>
      <p:sp>
        <p:nvSpPr>
          <p:cNvPr id="180" name="Google Shape;180;g1928cc5716e_6_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81" name="Google Shape;181;g1928cc5716e_6_1: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89"/>
        <p:cNvGrpSpPr/>
        <p:nvPr/>
      </p:nvGrpSpPr>
      <p:grpSpPr>
        <a:xfrm>
          <a:off x="0" y="0"/>
          <a:ext cx="0" cy="0"/>
          <a:chOff x="0" y="0"/>
          <a:chExt cx="0" cy="0"/>
        </a:xfrm>
      </p:grpSpPr>
      <p:sp>
        <p:nvSpPr>
          <p:cNvPr id="190" name="Google Shape;190;g1928cc5716e_6_35: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91" name="Google Shape;191;g1928cc5716e_6_35: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98"/>
        <p:cNvGrpSpPr/>
        <p:nvPr/>
      </p:nvGrpSpPr>
      <p:grpSpPr>
        <a:xfrm>
          <a:off x="0" y="0"/>
          <a:ext cx="0" cy="0"/>
          <a:chOff x="0" y="0"/>
          <a:chExt cx="0" cy="0"/>
        </a:xfrm>
      </p:grpSpPr>
      <p:sp>
        <p:nvSpPr>
          <p:cNvPr id="199" name="Google Shape;199;g1928cc5716e_8_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00" name="Google Shape;200;g1928cc5716e_8_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07"/>
        <p:cNvGrpSpPr/>
        <p:nvPr/>
      </p:nvGrpSpPr>
      <p:grpSpPr>
        <a:xfrm>
          <a:off x="0" y="0"/>
          <a:ext cx="0" cy="0"/>
          <a:chOff x="0" y="0"/>
          <a:chExt cx="0" cy="0"/>
        </a:xfrm>
      </p:grpSpPr>
      <p:sp>
        <p:nvSpPr>
          <p:cNvPr id="208" name="Google Shape;208;g196ffb9da47_4_5: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09" name="Google Shape;209;g196ffb9da47_4_5: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16"/>
        <p:cNvGrpSpPr/>
        <p:nvPr/>
      </p:nvGrpSpPr>
      <p:grpSpPr>
        <a:xfrm>
          <a:off x="0" y="0"/>
          <a:ext cx="0" cy="0"/>
          <a:chOff x="0" y="0"/>
          <a:chExt cx="0" cy="0"/>
        </a:xfrm>
      </p:grpSpPr>
      <p:sp>
        <p:nvSpPr>
          <p:cNvPr id="217" name="Google Shape;217;g19d4bc45674_0_8: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18" name="Google Shape;218;g19d4bc45674_0_8: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26"/>
        <p:cNvGrpSpPr/>
        <p:nvPr/>
      </p:nvGrpSpPr>
      <p:grpSpPr>
        <a:xfrm>
          <a:off x="0" y="0"/>
          <a:ext cx="0" cy="0"/>
          <a:chOff x="0" y="0"/>
          <a:chExt cx="0" cy="0"/>
        </a:xfrm>
      </p:grpSpPr>
      <p:sp>
        <p:nvSpPr>
          <p:cNvPr id="227" name="Google Shape;227;g19d4bc45674_0_82: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28" name="Google Shape;228;g19d4bc45674_0_82: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61"/>
        <p:cNvGrpSpPr/>
        <p:nvPr/>
      </p:nvGrpSpPr>
      <p:grpSpPr>
        <a:xfrm>
          <a:off x="0" y="0"/>
          <a:ext cx="0" cy="0"/>
          <a:chOff x="0" y="0"/>
          <a:chExt cx="0" cy="0"/>
        </a:xfrm>
      </p:grpSpPr>
      <p:sp>
        <p:nvSpPr>
          <p:cNvPr id="62" name="Google Shape;62;g168222990b5_0_6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63" name="Google Shape;63;g168222990b5_0_6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Clr>
                <a:schemeClr val="dk1"/>
              </a:buClr>
              <a:buSzPts val="1100"/>
              <a:buFont typeface="Arial"/>
              <a:buNone/>
            </a:pPr>
            <a:r>
              <a:rPr lang="fr-CA">
                <a:solidFill>
                  <a:schemeClr val="dk1"/>
                </a:solidFill>
              </a:rPr>
              <a:t>Exemple de contenu diapositive 1</a:t>
            </a:r>
          </a:p>
          <a:p>
            <a:pPr marL="0" lvl="0" indent="0" algn="l" rtl="0">
              <a:spcBef>
                <a:spcPts val="0"/>
              </a:spcBef>
              <a:spcAft>
                <a:spcPts val="0"/>
              </a:spcAft>
              <a:buNone/>
            </a:pPr>
            <a:endParaRPr/>
          </a:p>
        </p:txBody>
      </p:sp>
    </p:spTree>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36"/>
        <p:cNvGrpSpPr/>
        <p:nvPr/>
      </p:nvGrpSpPr>
      <p:grpSpPr>
        <a:xfrm>
          <a:off x="0" y="0"/>
          <a:ext cx="0" cy="0"/>
          <a:chOff x="0" y="0"/>
          <a:chExt cx="0" cy="0"/>
        </a:xfrm>
      </p:grpSpPr>
      <p:sp>
        <p:nvSpPr>
          <p:cNvPr id="237" name="Google Shape;237;g1928cc5716e_6_1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38" name="Google Shape;238;g1928cc5716e_6_1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45"/>
        <p:cNvGrpSpPr/>
        <p:nvPr/>
      </p:nvGrpSpPr>
      <p:grpSpPr>
        <a:xfrm>
          <a:off x="0" y="0"/>
          <a:ext cx="0" cy="0"/>
          <a:chOff x="0" y="0"/>
          <a:chExt cx="0" cy="0"/>
        </a:xfrm>
      </p:grpSpPr>
      <p:sp>
        <p:nvSpPr>
          <p:cNvPr id="246" name="Google Shape;246;g168222990b5_0_606: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47" name="Google Shape;247;g168222990b5_0_606: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54"/>
        <p:cNvGrpSpPr/>
        <p:nvPr/>
      </p:nvGrpSpPr>
      <p:grpSpPr>
        <a:xfrm>
          <a:off x="0" y="0"/>
          <a:ext cx="0" cy="0"/>
          <a:chOff x="0" y="0"/>
          <a:chExt cx="0" cy="0"/>
        </a:xfrm>
      </p:grpSpPr>
      <p:sp>
        <p:nvSpPr>
          <p:cNvPr id="255" name="Google Shape;255;g1928cc5716e_6_18: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56" name="Google Shape;256;g1928cc5716e_6_18: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64"/>
        <p:cNvGrpSpPr/>
        <p:nvPr/>
      </p:nvGrpSpPr>
      <p:grpSpPr>
        <a:xfrm>
          <a:off x="0" y="0"/>
          <a:ext cx="0" cy="0"/>
          <a:chOff x="0" y="0"/>
          <a:chExt cx="0" cy="0"/>
        </a:xfrm>
      </p:grpSpPr>
      <p:sp>
        <p:nvSpPr>
          <p:cNvPr id="265" name="Google Shape;265;g1928cc5716e_6_43: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66" name="Google Shape;266;g1928cc5716e_6_43: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73"/>
        <p:cNvGrpSpPr/>
        <p:nvPr/>
      </p:nvGrpSpPr>
      <p:grpSpPr>
        <a:xfrm>
          <a:off x="0" y="0"/>
          <a:ext cx="0" cy="0"/>
          <a:chOff x="0" y="0"/>
          <a:chExt cx="0" cy="0"/>
        </a:xfrm>
      </p:grpSpPr>
      <p:sp>
        <p:nvSpPr>
          <p:cNvPr id="274" name="Google Shape;274;g19cad61680e_1_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75" name="Google Shape;275;g19cad61680e_1_1: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82"/>
        <p:cNvGrpSpPr/>
        <p:nvPr/>
      </p:nvGrpSpPr>
      <p:grpSpPr>
        <a:xfrm>
          <a:off x="0" y="0"/>
          <a:ext cx="0" cy="0"/>
          <a:chOff x="0" y="0"/>
          <a:chExt cx="0" cy="0"/>
        </a:xfrm>
      </p:grpSpPr>
      <p:sp>
        <p:nvSpPr>
          <p:cNvPr id="283" name="Google Shape;283;g198b545baa4_0_13: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84" name="Google Shape;284;g198b545baa4_0_13: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91"/>
        <p:cNvGrpSpPr/>
        <p:nvPr/>
      </p:nvGrpSpPr>
      <p:grpSpPr>
        <a:xfrm>
          <a:off x="0" y="0"/>
          <a:ext cx="0" cy="0"/>
          <a:chOff x="0" y="0"/>
          <a:chExt cx="0" cy="0"/>
        </a:xfrm>
      </p:grpSpPr>
      <p:sp>
        <p:nvSpPr>
          <p:cNvPr id="292" name="Google Shape;292;g196ffb9da47_4_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93" name="Google Shape;293;g196ffb9da47_4_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Diapositive de citation</a:t>
            </a:r>
          </a:p>
          <a:p>
            <a:pPr marL="0" lvl="0" indent="0" algn="l" rtl="0">
              <a:spcBef>
                <a:spcPts val="0"/>
              </a:spcBef>
              <a:spcAft>
                <a:spcPts val="0"/>
              </a:spcAft>
              <a:buNone/>
            </a:pPr>
            <a:endParaRPr/>
          </a:p>
          <a:p>
            <a:pPr marL="0" lvl="0" indent="0" algn="l" rtl="0">
              <a:spcBef>
                <a:spcPts val="0"/>
              </a:spcBef>
              <a:spcAft>
                <a:spcPts val="0"/>
              </a:spcAft>
              <a:buNone/>
            </a:pPr>
            <a:endParaRPr/>
          </a:p>
        </p:txBody>
      </p:sp>
    </p:spTree>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297"/>
        <p:cNvGrpSpPr/>
        <p:nvPr/>
      </p:nvGrpSpPr>
      <p:grpSpPr>
        <a:xfrm>
          <a:off x="0" y="0"/>
          <a:ext cx="0" cy="0"/>
          <a:chOff x="0" y="0"/>
          <a:chExt cx="0" cy="0"/>
        </a:xfrm>
      </p:grpSpPr>
      <p:sp>
        <p:nvSpPr>
          <p:cNvPr id="298" name="Google Shape;298;g19d4bc45674_0_73: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299" name="Google Shape;299;g19d4bc45674_0_73: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306"/>
        <p:cNvGrpSpPr/>
        <p:nvPr/>
      </p:nvGrpSpPr>
      <p:grpSpPr>
        <a:xfrm>
          <a:off x="0" y="0"/>
          <a:ext cx="0" cy="0"/>
          <a:chOff x="0" y="0"/>
          <a:chExt cx="0" cy="0"/>
        </a:xfrm>
      </p:grpSpPr>
      <p:sp>
        <p:nvSpPr>
          <p:cNvPr id="307" name="Google Shape;307;g196ffb9da47_4_13: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308" name="Google Shape;308;g196ffb9da47_4_13: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315"/>
        <p:cNvGrpSpPr/>
        <p:nvPr/>
      </p:nvGrpSpPr>
      <p:grpSpPr>
        <a:xfrm>
          <a:off x="0" y="0"/>
          <a:ext cx="0" cy="0"/>
          <a:chOff x="0" y="0"/>
          <a:chExt cx="0" cy="0"/>
        </a:xfrm>
      </p:grpSpPr>
      <p:sp>
        <p:nvSpPr>
          <p:cNvPr id="316" name="Google Shape;316;g1a754feb695_20_3: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317" name="Google Shape;317;g1a754feb695_20_3: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69"/>
        <p:cNvGrpSpPr/>
        <p:nvPr/>
      </p:nvGrpSpPr>
      <p:grpSpPr>
        <a:xfrm>
          <a:off x="0" y="0"/>
          <a:ext cx="0" cy="0"/>
          <a:chOff x="0" y="0"/>
          <a:chExt cx="0" cy="0"/>
        </a:xfrm>
      </p:grpSpPr>
      <p:sp>
        <p:nvSpPr>
          <p:cNvPr id="70" name="Google Shape;70;g168222990b5_0_128: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71" name="Google Shape;71;g168222990b5_0_128: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325"/>
        <p:cNvGrpSpPr/>
        <p:nvPr/>
      </p:nvGrpSpPr>
      <p:grpSpPr>
        <a:xfrm>
          <a:off x="0" y="0"/>
          <a:ext cx="0" cy="0"/>
          <a:chOff x="0" y="0"/>
          <a:chExt cx="0" cy="0"/>
        </a:xfrm>
      </p:grpSpPr>
      <p:sp>
        <p:nvSpPr>
          <p:cNvPr id="326" name="Google Shape;326;g1a754feb695_20_11: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327" name="Google Shape;327;g1a754feb695_20_11: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335"/>
        <p:cNvGrpSpPr/>
        <p:nvPr/>
      </p:nvGrpSpPr>
      <p:grpSpPr>
        <a:xfrm>
          <a:off x="0" y="0"/>
          <a:ext cx="0" cy="0"/>
          <a:chOff x="0" y="0"/>
          <a:chExt cx="0" cy="0"/>
        </a:xfrm>
      </p:grpSpPr>
      <p:sp>
        <p:nvSpPr>
          <p:cNvPr id="336" name="Google Shape;336;g1a754feb695_21_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337" name="Google Shape;337;g1a754feb695_21_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345"/>
        <p:cNvGrpSpPr/>
        <p:nvPr/>
      </p:nvGrpSpPr>
      <p:grpSpPr>
        <a:xfrm>
          <a:off x="0" y="0"/>
          <a:ext cx="0" cy="0"/>
          <a:chOff x="0" y="0"/>
          <a:chExt cx="0" cy="0"/>
        </a:xfrm>
      </p:grpSpPr>
      <p:sp>
        <p:nvSpPr>
          <p:cNvPr id="346" name="Google Shape;346;g1a754feb695_21_16: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347" name="Google Shape;347;g1a754feb695_21_16: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78"/>
        <p:cNvGrpSpPr/>
        <p:nvPr/>
      </p:nvGrpSpPr>
      <p:grpSpPr>
        <a:xfrm>
          <a:off x="0" y="0"/>
          <a:ext cx="0" cy="0"/>
          <a:chOff x="0" y="0"/>
          <a:chExt cx="0" cy="0"/>
        </a:xfrm>
      </p:grpSpPr>
      <p:sp>
        <p:nvSpPr>
          <p:cNvPr id="79" name="Google Shape;79;g14cb7db8b30_0_5: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80" name="Google Shape;80;g14cb7db8b30_0_5: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87"/>
        <p:cNvGrpSpPr/>
        <p:nvPr/>
      </p:nvGrpSpPr>
      <p:grpSpPr>
        <a:xfrm>
          <a:off x="0" y="0"/>
          <a:ext cx="0" cy="0"/>
          <a:chOff x="0" y="0"/>
          <a:chExt cx="0" cy="0"/>
        </a:xfrm>
      </p:grpSpPr>
      <p:sp>
        <p:nvSpPr>
          <p:cNvPr id="88" name="Google Shape;88;g168222990b5_0_182: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89" name="Google Shape;89;g168222990b5_0_182: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96"/>
        <p:cNvGrpSpPr/>
        <p:nvPr/>
      </p:nvGrpSpPr>
      <p:grpSpPr>
        <a:xfrm>
          <a:off x="0" y="0"/>
          <a:ext cx="0" cy="0"/>
          <a:chOff x="0" y="0"/>
          <a:chExt cx="0" cy="0"/>
        </a:xfrm>
      </p:grpSpPr>
      <p:sp>
        <p:nvSpPr>
          <p:cNvPr id="97" name="Google Shape;97;g19d4bc45674_0_22: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98" name="Google Shape;98;g19d4bc45674_0_22: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Diapositive de citation</a:t>
            </a:r>
          </a:p>
          <a:p>
            <a:pPr marL="0" lvl="0" indent="0" algn="l" rtl="0">
              <a:spcBef>
                <a:spcPts val="0"/>
              </a:spcBef>
              <a:spcAft>
                <a:spcPts val="0"/>
              </a:spcAft>
              <a:buNone/>
            </a:pPr>
            <a:endParaRPr/>
          </a:p>
          <a:p>
            <a:pPr marL="0" lvl="0" indent="0" algn="l" rtl="0">
              <a:spcBef>
                <a:spcPts val="0"/>
              </a:spcBef>
              <a:spcAft>
                <a:spcPts val="0"/>
              </a:spcAft>
              <a:buNone/>
            </a:pPr>
            <a:endParaRPr/>
          </a:p>
        </p:txBody>
      </p:sp>
    </p:spTree>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02"/>
        <p:cNvGrpSpPr/>
        <p:nvPr/>
      </p:nvGrpSpPr>
      <p:grpSpPr>
        <a:xfrm>
          <a:off x="0" y="0"/>
          <a:ext cx="0" cy="0"/>
          <a:chOff x="0" y="0"/>
          <a:chExt cx="0" cy="0"/>
        </a:xfrm>
      </p:grpSpPr>
      <p:sp>
        <p:nvSpPr>
          <p:cNvPr id="103" name="Google Shape;103;g168222990b5_0_597: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04" name="Google Shape;104;g168222990b5_0_597: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endParaRPr/>
          </a:p>
        </p:txBody>
      </p:sp>
    </p:spTree>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11"/>
        <p:cNvGrpSpPr/>
        <p:nvPr/>
      </p:nvGrpSpPr>
      <p:grpSpPr>
        <a:xfrm>
          <a:off x="0" y="0"/>
          <a:ext cx="0" cy="0"/>
          <a:chOff x="0" y="0"/>
          <a:chExt cx="0" cy="0"/>
        </a:xfrm>
      </p:grpSpPr>
      <p:sp>
        <p:nvSpPr>
          <p:cNvPr id="112" name="Google Shape;112;g168222990b5_0_614: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13" name="Google Shape;113;g168222990b5_0_614: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Clr>
                <a:schemeClr val="dk1"/>
              </a:buClr>
              <a:buSzPts val="1100"/>
              <a:buFont typeface="Arial"/>
              <a:buNone/>
            </a:pPr>
            <a:r>
              <a:rPr lang="fr-CA">
                <a:solidFill>
                  <a:schemeClr val="dk1"/>
                </a:solidFill>
              </a:rPr>
              <a:t>Exemple de contenu diapositive 2</a:t>
            </a:r>
          </a:p>
          <a:p>
            <a:pPr marL="0" lvl="0" indent="0" algn="l" rtl="0">
              <a:spcBef>
                <a:spcPts val="0"/>
              </a:spcBef>
              <a:spcAft>
                <a:spcPts val="0"/>
              </a:spcAft>
              <a:buNone/>
            </a:pPr>
            <a:endParaRPr/>
          </a:p>
        </p:txBody>
      </p:sp>
    </p:spTree>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showMasterSp="0" showMasterPhAnim="0">
  <p:cSld>
    <p:spTree>
      <p:nvGrpSpPr>
        <p:cNvPr id="1" name="Shape 128"/>
        <p:cNvGrpSpPr/>
        <p:nvPr/>
      </p:nvGrpSpPr>
      <p:grpSpPr>
        <a:xfrm>
          <a:off x="0" y="0"/>
          <a:ext cx="0" cy="0"/>
          <a:chOff x="0" y="0"/>
          <a:chExt cx="0" cy="0"/>
        </a:xfrm>
      </p:grpSpPr>
      <p:sp>
        <p:nvSpPr>
          <p:cNvPr id="129" name="Google Shape;129;g168222990b5_0_550:notes"/>
          <p:cNvSpPr>
            <a:spLocks noGrp="1" noRot="1" noChangeAspect="1"/>
          </p:cNvSpPr>
          <p:nvPr>
            <p:ph type="sldImg" idx="2"/>
          </p:nvPr>
        </p:nvSpPr>
        <p:spPr>
          <a:xfrm>
            <a:off x="381000" y="685800"/>
            <a:ext cx="6096000" cy="3429000"/>
          </a:xfrm>
          <a:custGeom>
            <a:avLst/>
            <a:gdLst/>
            <a:ahLst/>
            <a:cxnLst/>
            <a:rect l="l" t="t" r="r" b="b"/>
            <a:pathLst>
              <a:path w="120000" h="120000" extrusionOk="0">
                <a:moveTo>
                  <a:pt x="0" y="0"/>
                </a:moveTo>
                <a:lnTo>
                  <a:pt x="120000" y="0"/>
                </a:lnTo>
                <a:lnTo>
                  <a:pt x="120000" y="120000"/>
                </a:lnTo>
                <a:lnTo>
                  <a:pt x="0" y="120000"/>
                </a:lnTo>
                <a:close/>
              </a:path>
            </a:pathLst>
          </a:custGeom>
        </p:spPr>
      </p:sp>
      <p:sp>
        <p:nvSpPr>
          <p:cNvPr id="130" name="Google Shape;130;g168222990b5_0_550:notes"/>
          <p:cNvSpPr txBox="1">
            <a:spLocks noGrp="1"/>
          </p:cNvSpPr>
          <p:nvPr>
            <p:ph type="body" idx="1"/>
          </p:nvPr>
        </p:nvSpPr>
        <p:spPr>
          <a:xfrm>
            <a:off x="685800" y="4343400"/>
            <a:ext cx="5486400" cy="41148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a:t>Exemple de contenu diapositive 1 b</a:t>
            </a:r>
          </a:p>
        </p:txBody>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matchingName="Title slide" type="title">
  <p:cSld name="TITLE">
    <p:spTree>
      <p:nvGrpSpPr>
        <p:cNvPr id="1" name="Shape 9"/>
        <p:cNvGrpSpPr/>
        <p:nvPr/>
      </p:nvGrpSpPr>
      <p:grpSpPr>
        <a:xfrm>
          <a:off x="0" y="0"/>
          <a:ext cx="0" cy="0"/>
          <a:chOff x="0" y="0"/>
          <a:chExt cx="0" cy="0"/>
        </a:xfrm>
      </p:grpSpPr>
      <p:sp>
        <p:nvSpPr>
          <p:cNvPr id="10" name="Google Shape;10;p2"/>
          <p:cNvSpPr txBox="1">
            <a:spLocks noGrp="1"/>
          </p:cNvSpPr>
          <p:nvPr>
            <p:ph type="ctrTitle"/>
          </p:nvPr>
        </p:nvSpPr>
        <p:spPr>
          <a:xfrm>
            <a:off x="311708" y="744575"/>
            <a:ext cx="8520600" cy="2052600"/>
          </a:xfrm>
          <a:prstGeom prst="rect">
            <a:avLst/>
          </a:prstGeom>
        </p:spPr>
        <p:txBody>
          <a:bodyPr spcFirstLastPara="1" wrap="square" lIns="91425" tIns="91425" rIns="91425" bIns="91425" anchor="b" anchorCtr="0">
            <a:normAutofit/>
          </a:bodyPr>
          <a:lstStyle>
            <a:lvl1pPr lvl="0" algn="ctr">
              <a:spcBef>
                <a:spcPts val="0"/>
              </a:spcBef>
              <a:spcAft>
                <a:spcPts val="0"/>
              </a:spcAft>
              <a:buSzPts val="5200"/>
              <a:buNone/>
              <a:defRPr sz="5200"/>
            </a:lvl1pPr>
            <a:lvl2pPr lvl="1" algn="ctr">
              <a:spcBef>
                <a:spcPts val="0"/>
              </a:spcBef>
              <a:spcAft>
                <a:spcPts val="0"/>
              </a:spcAft>
              <a:buSzPts val="5200"/>
              <a:buNone/>
              <a:defRPr sz="5200"/>
            </a:lvl2pPr>
            <a:lvl3pPr lvl="2" algn="ctr">
              <a:spcBef>
                <a:spcPts val="0"/>
              </a:spcBef>
              <a:spcAft>
                <a:spcPts val="0"/>
              </a:spcAft>
              <a:buSzPts val="5200"/>
              <a:buNone/>
              <a:defRPr sz="5200"/>
            </a:lvl3pPr>
            <a:lvl4pPr lvl="3" algn="ctr">
              <a:spcBef>
                <a:spcPts val="0"/>
              </a:spcBef>
              <a:spcAft>
                <a:spcPts val="0"/>
              </a:spcAft>
              <a:buSzPts val="5200"/>
              <a:buNone/>
              <a:defRPr sz="5200"/>
            </a:lvl4pPr>
            <a:lvl5pPr lvl="4" algn="ctr">
              <a:spcBef>
                <a:spcPts val="0"/>
              </a:spcBef>
              <a:spcAft>
                <a:spcPts val="0"/>
              </a:spcAft>
              <a:buSzPts val="5200"/>
              <a:buNone/>
              <a:defRPr sz="5200"/>
            </a:lvl5pPr>
            <a:lvl6pPr lvl="5" algn="ctr">
              <a:spcBef>
                <a:spcPts val="0"/>
              </a:spcBef>
              <a:spcAft>
                <a:spcPts val="0"/>
              </a:spcAft>
              <a:buSzPts val="5200"/>
              <a:buNone/>
              <a:defRPr sz="5200"/>
            </a:lvl6pPr>
            <a:lvl7pPr lvl="6" algn="ctr">
              <a:spcBef>
                <a:spcPts val="0"/>
              </a:spcBef>
              <a:spcAft>
                <a:spcPts val="0"/>
              </a:spcAft>
              <a:buSzPts val="5200"/>
              <a:buNone/>
              <a:defRPr sz="5200"/>
            </a:lvl7pPr>
            <a:lvl8pPr lvl="7" algn="ctr">
              <a:spcBef>
                <a:spcPts val="0"/>
              </a:spcBef>
              <a:spcAft>
                <a:spcPts val="0"/>
              </a:spcAft>
              <a:buSzPts val="5200"/>
              <a:buNone/>
              <a:defRPr sz="5200"/>
            </a:lvl8pPr>
            <a:lvl9pPr lvl="8" algn="ctr">
              <a:spcBef>
                <a:spcPts val="0"/>
              </a:spcBef>
              <a:spcAft>
                <a:spcPts val="0"/>
              </a:spcAft>
              <a:buSzPts val="5200"/>
              <a:buNone/>
              <a:defRPr sz="5200"/>
            </a:lvl9pPr>
          </a:lstStyle>
          <a:p>
            <a:endParaRPr/>
          </a:p>
        </p:txBody>
      </p:sp>
      <p:sp>
        <p:nvSpPr>
          <p:cNvPr id="11" name="Google Shape;11;p2"/>
          <p:cNvSpPr txBox="1">
            <a:spLocks noGrp="1"/>
          </p:cNvSpPr>
          <p:nvPr>
            <p:ph type="subTitle" idx="1"/>
          </p:nvPr>
        </p:nvSpPr>
        <p:spPr>
          <a:xfrm>
            <a:off x="311700" y="2834125"/>
            <a:ext cx="8520600" cy="792600"/>
          </a:xfrm>
          <a:prstGeom prst="rect">
            <a:avLst/>
          </a:prstGeom>
        </p:spPr>
        <p:txBody>
          <a:bodyPr spcFirstLastPara="1" wrap="square" lIns="91425" tIns="91425" rIns="91425" bIns="91425" anchor="t" anchorCtr="0">
            <a:normAutofit/>
          </a:bodyPr>
          <a:lstStyle>
            <a:lvl1pPr lvl="0" algn="ctr">
              <a:lnSpc>
                <a:spcPct val="100000"/>
              </a:lnSpc>
              <a:spcBef>
                <a:spcPts val="0"/>
              </a:spcBef>
              <a:spcAft>
                <a:spcPts val="0"/>
              </a:spcAft>
              <a:buSzPts val="2800"/>
              <a:buNone/>
              <a:defRPr sz="2800"/>
            </a:lvl1pPr>
            <a:lvl2pPr lvl="1" algn="ctr">
              <a:lnSpc>
                <a:spcPct val="100000"/>
              </a:lnSpc>
              <a:spcBef>
                <a:spcPts val="0"/>
              </a:spcBef>
              <a:spcAft>
                <a:spcPts val="0"/>
              </a:spcAft>
              <a:buSzPts val="2800"/>
              <a:buNone/>
              <a:defRPr sz="2800"/>
            </a:lvl2pPr>
            <a:lvl3pPr lvl="2" algn="ctr">
              <a:lnSpc>
                <a:spcPct val="100000"/>
              </a:lnSpc>
              <a:spcBef>
                <a:spcPts val="0"/>
              </a:spcBef>
              <a:spcAft>
                <a:spcPts val="0"/>
              </a:spcAft>
              <a:buSzPts val="2800"/>
              <a:buNone/>
              <a:defRPr sz="2800"/>
            </a:lvl3pPr>
            <a:lvl4pPr lvl="3" algn="ctr">
              <a:lnSpc>
                <a:spcPct val="100000"/>
              </a:lnSpc>
              <a:spcBef>
                <a:spcPts val="0"/>
              </a:spcBef>
              <a:spcAft>
                <a:spcPts val="0"/>
              </a:spcAft>
              <a:buSzPts val="2800"/>
              <a:buNone/>
              <a:defRPr sz="2800"/>
            </a:lvl4pPr>
            <a:lvl5pPr lvl="4" algn="ctr">
              <a:lnSpc>
                <a:spcPct val="100000"/>
              </a:lnSpc>
              <a:spcBef>
                <a:spcPts val="0"/>
              </a:spcBef>
              <a:spcAft>
                <a:spcPts val="0"/>
              </a:spcAft>
              <a:buSzPts val="2800"/>
              <a:buNone/>
              <a:defRPr sz="2800"/>
            </a:lvl5pPr>
            <a:lvl6pPr lvl="5" algn="ctr">
              <a:lnSpc>
                <a:spcPct val="100000"/>
              </a:lnSpc>
              <a:spcBef>
                <a:spcPts val="0"/>
              </a:spcBef>
              <a:spcAft>
                <a:spcPts val="0"/>
              </a:spcAft>
              <a:buSzPts val="2800"/>
              <a:buNone/>
              <a:defRPr sz="2800"/>
            </a:lvl6pPr>
            <a:lvl7pPr lvl="6" algn="ctr">
              <a:lnSpc>
                <a:spcPct val="100000"/>
              </a:lnSpc>
              <a:spcBef>
                <a:spcPts val="0"/>
              </a:spcBef>
              <a:spcAft>
                <a:spcPts val="0"/>
              </a:spcAft>
              <a:buSzPts val="2800"/>
              <a:buNone/>
              <a:defRPr sz="2800"/>
            </a:lvl7pPr>
            <a:lvl8pPr lvl="7" algn="ctr">
              <a:lnSpc>
                <a:spcPct val="100000"/>
              </a:lnSpc>
              <a:spcBef>
                <a:spcPts val="0"/>
              </a:spcBef>
              <a:spcAft>
                <a:spcPts val="0"/>
              </a:spcAft>
              <a:buSzPts val="2800"/>
              <a:buNone/>
              <a:defRPr sz="2800"/>
            </a:lvl8pPr>
            <a:lvl9pPr lvl="8" algn="ctr">
              <a:lnSpc>
                <a:spcPct val="100000"/>
              </a:lnSpc>
              <a:spcBef>
                <a:spcPts val="0"/>
              </a:spcBef>
              <a:spcAft>
                <a:spcPts val="0"/>
              </a:spcAft>
              <a:buSzPts val="2800"/>
              <a:buNone/>
              <a:defRPr sz="2800"/>
            </a:lvl9pPr>
          </a:lstStyle>
          <a:p>
            <a:endParaRPr/>
          </a:p>
        </p:txBody>
      </p:sp>
      <p:sp>
        <p:nvSpPr>
          <p:cNvPr id="12" name="Google Shape;12;p2"/>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matchingName="Big number">
  <p:cSld name="BIG_NUMBER">
    <p:spTree>
      <p:nvGrpSpPr>
        <p:cNvPr id="1" name="Shape 44"/>
        <p:cNvGrpSpPr/>
        <p:nvPr/>
      </p:nvGrpSpPr>
      <p:grpSpPr>
        <a:xfrm>
          <a:off x="0" y="0"/>
          <a:ext cx="0" cy="0"/>
          <a:chOff x="0" y="0"/>
          <a:chExt cx="0" cy="0"/>
        </a:xfrm>
      </p:grpSpPr>
      <p:sp>
        <p:nvSpPr>
          <p:cNvPr id="45" name="Google Shape;45;p11"/>
          <p:cNvSpPr txBox="1">
            <a:spLocks noGrp="1"/>
          </p:cNvSpPr>
          <p:nvPr>
            <p:ph type="title" hasCustomPrompt="1"/>
          </p:nvPr>
        </p:nvSpPr>
        <p:spPr>
          <a:xfrm>
            <a:off x="311700" y="1106125"/>
            <a:ext cx="8520600" cy="1963500"/>
          </a:xfrm>
          <a:prstGeom prst="rect">
            <a:avLst/>
          </a:prstGeom>
        </p:spPr>
        <p:txBody>
          <a:bodyPr spcFirstLastPara="1" wrap="square" lIns="91425" tIns="91425" rIns="91425" bIns="91425" anchor="b" anchorCtr="0">
            <a:normAutofit/>
          </a:bodyPr>
          <a:lstStyle>
            <a:lvl1pPr lvl="0" algn="ctr">
              <a:spcBef>
                <a:spcPts val="0"/>
              </a:spcBef>
              <a:spcAft>
                <a:spcPts val="0"/>
              </a:spcAft>
              <a:buSzPts val="12000"/>
              <a:buNone/>
              <a:defRPr sz="12000"/>
            </a:lvl1pPr>
            <a:lvl2pPr lvl="1" algn="ctr">
              <a:spcBef>
                <a:spcPts val="0"/>
              </a:spcBef>
              <a:spcAft>
                <a:spcPts val="0"/>
              </a:spcAft>
              <a:buSzPts val="12000"/>
              <a:buNone/>
              <a:defRPr sz="12000"/>
            </a:lvl2pPr>
            <a:lvl3pPr lvl="2" algn="ctr">
              <a:spcBef>
                <a:spcPts val="0"/>
              </a:spcBef>
              <a:spcAft>
                <a:spcPts val="0"/>
              </a:spcAft>
              <a:buSzPts val="12000"/>
              <a:buNone/>
              <a:defRPr sz="12000"/>
            </a:lvl3pPr>
            <a:lvl4pPr lvl="3" algn="ctr">
              <a:spcBef>
                <a:spcPts val="0"/>
              </a:spcBef>
              <a:spcAft>
                <a:spcPts val="0"/>
              </a:spcAft>
              <a:buSzPts val="12000"/>
              <a:buNone/>
              <a:defRPr sz="12000"/>
            </a:lvl4pPr>
            <a:lvl5pPr lvl="4" algn="ctr">
              <a:spcBef>
                <a:spcPts val="0"/>
              </a:spcBef>
              <a:spcAft>
                <a:spcPts val="0"/>
              </a:spcAft>
              <a:buSzPts val="12000"/>
              <a:buNone/>
              <a:defRPr sz="12000"/>
            </a:lvl5pPr>
            <a:lvl6pPr lvl="5" algn="ctr">
              <a:spcBef>
                <a:spcPts val="0"/>
              </a:spcBef>
              <a:spcAft>
                <a:spcPts val="0"/>
              </a:spcAft>
              <a:buSzPts val="12000"/>
              <a:buNone/>
              <a:defRPr sz="12000"/>
            </a:lvl6pPr>
            <a:lvl7pPr lvl="6" algn="ctr">
              <a:spcBef>
                <a:spcPts val="0"/>
              </a:spcBef>
              <a:spcAft>
                <a:spcPts val="0"/>
              </a:spcAft>
              <a:buSzPts val="12000"/>
              <a:buNone/>
              <a:defRPr sz="12000"/>
            </a:lvl7pPr>
            <a:lvl8pPr lvl="7" algn="ctr">
              <a:spcBef>
                <a:spcPts val="0"/>
              </a:spcBef>
              <a:spcAft>
                <a:spcPts val="0"/>
              </a:spcAft>
              <a:buSzPts val="12000"/>
              <a:buNone/>
              <a:defRPr sz="12000"/>
            </a:lvl8pPr>
            <a:lvl9pPr lvl="8" algn="ctr">
              <a:spcBef>
                <a:spcPts val="0"/>
              </a:spcBef>
              <a:spcAft>
                <a:spcPts val="0"/>
              </a:spcAft>
              <a:buSzPts val="12000"/>
              <a:buNone/>
              <a:defRPr sz="12000"/>
            </a:lvl9pPr>
          </a:lstStyle>
          <a:p>
            <a:r>
              <a:t>xx%</a:t>
            </a:r>
          </a:p>
        </p:txBody>
      </p:sp>
      <p:sp>
        <p:nvSpPr>
          <p:cNvPr id="46" name="Google Shape;46;p11"/>
          <p:cNvSpPr txBox="1">
            <a:spLocks noGrp="1"/>
          </p:cNvSpPr>
          <p:nvPr>
            <p:ph type="body" idx="1"/>
          </p:nvPr>
        </p:nvSpPr>
        <p:spPr>
          <a:xfrm>
            <a:off x="311700" y="3152225"/>
            <a:ext cx="8520600" cy="1300800"/>
          </a:xfrm>
          <a:prstGeom prst="rect">
            <a:avLst/>
          </a:prstGeom>
        </p:spPr>
        <p:txBody>
          <a:bodyPr spcFirstLastPara="1" wrap="square" lIns="91425" tIns="91425" rIns="91425" bIns="91425" anchor="t" anchorCtr="0">
            <a:normAutofit/>
          </a:bodyPr>
          <a:lstStyle>
            <a:lvl1pPr marL="457200" lvl="0" indent="-342900" algn="ctr">
              <a:spcBef>
                <a:spcPts val="0"/>
              </a:spcBef>
              <a:spcAft>
                <a:spcPts val="0"/>
              </a:spcAft>
              <a:buSzPts val="1800"/>
              <a:buChar char="●"/>
              <a:defRPr/>
            </a:lvl1pPr>
            <a:lvl2pPr marL="914400" lvl="1" indent="-317500" algn="ctr">
              <a:spcBef>
                <a:spcPts val="0"/>
              </a:spcBef>
              <a:spcAft>
                <a:spcPts val="0"/>
              </a:spcAft>
              <a:buSzPts val="1400"/>
              <a:buChar char="○"/>
              <a:defRPr/>
            </a:lvl2pPr>
            <a:lvl3pPr marL="1371600" lvl="2" indent="-317500" algn="ctr">
              <a:spcBef>
                <a:spcPts val="0"/>
              </a:spcBef>
              <a:spcAft>
                <a:spcPts val="0"/>
              </a:spcAft>
              <a:buSzPts val="1400"/>
              <a:buChar char="■"/>
              <a:defRPr/>
            </a:lvl3pPr>
            <a:lvl4pPr marL="1828800" lvl="3" indent="-317500" algn="ctr">
              <a:spcBef>
                <a:spcPts val="0"/>
              </a:spcBef>
              <a:spcAft>
                <a:spcPts val="0"/>
              </a:spcAft>
              <a:buSzPts val="1400"/>
              <a:buChar char="●"/>
              <a:defRPr/>
            </a:lvl4pPr>
            <a:lvl5pPr marL="2286000" lvl="4" indent="-317500" algn="ctr">
              <a:spcBef>
                <a:spcPts val="0"/>
              </a:spcBef>
              <a:spcAft>
                <a:spcPts val="0"/>
              </a:spcAft>
              <a:buSzPts val="1400"/>
              <a:buChar char="○"/>
              <a:defRPr/>
            </a:lvl5pPr>
            <a:lvl6pPr marL="2743200" lvl="5" indent="-317500" algn="ctr">
              <a:spcBef>
                <a:spcPts val="0"/>
              </a:spcBef>
              <a:spcAft>
                <a:spcPts val="0"/>
              </a:spcAft>
              <a:buSzPts val="1400"/>
              <a:buChar char="■"/>
              <a:defRPr/>
            </a:lvl6pPr>
            <a:lvl7pPr marL="3200400" lvl="6" indent="-317500" algn="ctr">
              <a:spcBef>
                <a:spcPts val="0"/>
              </a:spcBef>
              <a:spcAft>
                <a:spcPts val="0"/>
              </a:spcAft>
              <a:buSzPts val="1400"/>
              <a:buChar char="●"/>
              <a:defRPr/>
            </a:lvl7pPr>
            <a:lvl8pPr marL="3657600" lvl="7" indent="-317500" algn="ctr">
              <a:spcBef>
                <a:spcPts val="0"/>
              </a:spcBef>
              <a:spcAft>
                <a:spcPts val="0"/>
              </a:spcAft>
              <a:buSzPts val="1400"/>
              <a:buChar char="○"/>
              <a:defRPr/>
            </a:lvl8pPr>
            <a:lvl9pPr marL="4114800" lvl="8" indent="-317500" algn="ctr">
              <a:spcBef>
                <a:spcPts val="0"/>
              </a:spcBef>
              <a:spcAft>
                <a:spcPts val="0"/>
              </a:spcAft>
              <a:buSzPts val="1400"/>
              <a:buChar char="■"/>
              <a:defRPr/>
            </a:lvl9pPr>
          </a:lstStyle>
          <a:p>
            <a:endParaRPr/>
          </a:p>
        </p:txBody>
      </p:sp>
      <p:sp>
        <p:nvSpPr>
          <p:cNvPr id="47" name="Google Shape;47;p11"/>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matchingName="Blank" type="blank">
  <p:cSld name="BLANK">
    <p:spTree>
      <p:nvGrpSpPr>
        <p:cNvPr id="1" name="Shape 48"/>
        <p:cNvGrpSpPr/>
        <p:nvPr/>
      </p:nvGrpSpPr>
      <p:grpSpPr>
        <a:xfrm>
          <a:off x="0" y="0"/>
          <a:ext cx="0" cy="0"/>
          <a:chOff x="0" y="0"/>
          <a:chExt cx="0" cy="0"/>
        </a:xfrm>
      </p:grpSpPr>
      <p:sp>
        <p:nvSpPr>
          <p:cNvPr id="49" name="Google Shape;49;p12"/>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matchingName="Section header" type="secHead">
  <p:cSld name="SECTION_HEADER">
    <p:spTree>
      <p:nvGrpSpPr>
        <p:cNvPr id="1" name="Shape 13"/>
        <p:cNvGrpSpPr/>
        <p:nvPr/>
      </p:nvGrpSpPr>
      <p:grpSpPr>
        <a:xfrm>
          <a:off x="0" y="0"/>
          <a:ext cx="0" cy="0"/>
          <a:chOff x="0" y="0"/>
          <a:chExt cx="0" cy="0"/>
        </a:xfrm>
      </p:grpSpPr>
      <p:sp>
        <p:nvSpPr>
          <p:cNvPr id="14" name="Google Shape;14;p3"/>
          <p:cNvSpPr txBox="1">
            <a:spLocks noGrp="1"/>
          </p:cNvSpPr>
          <p:nvPr>
            <p:ph type="title"/>
          </p:nvPr>
        </p:nvSpPr>
        <p:spPr>
          <a:xfrm>
            <a:off x="311700" y="2150850"/>
            <a:ext cx="8520600" cy="841800"/>
          </a:xfrm>
          <a:prstGeom prst="rect">
            <a:avLst/>
          </a:prstGeom>
        </p:spPr>
        <p:txBody>
          <a:bodyPr spcFirstLastPara="1" wrap="square" lIns="91425" tIns="91425" rIns="91425" bIns="91425" anchor="ctr" anchorCtr="0">
            <a:normAutofit/>
          </a:bodyPr>
          <a:lstStyle>
            <a:lvl1pPr lvl="0" algn="ctr">
              <a:spcBef>
                <a:spcPts val="0"/>
              </a:spcBef>
              <a:spcAft>
                <a:spcPts val="0"/>
              </a:spcAft>
              <a:buSzPts val="3600"/>
              <a:buNone/>
              <a:defRPr sz="3600"/>
            </a:lvl1pPr>
            <a:lvl2pPr lvl="1" algn="ctr">
              <a:spcBef>
                <a:spcPts val="0"/>
              </a:spcBef>
              <a:spcAft>
                <a:spcPts val="0"/>
              </a:spcAft>
              <a:buSzPts val="3600"/>
              <a:buNone/>
              <a:defRPr sz="3600"/>
            </a:lvl2pPr>
            <a:lvl3pPr lvl="2" algn="ctr">
              <a:spcBef>
                <a:spcPts val="0"/>
              </a:spcBef>
              <a:spcAft>
                <a:spcPts val="0"/>
              </a:spcAft>
              <a:buSzPts val="3600"/>
              <a:buNone/>
              <a:defRPr sz="3600"/>
            </a:lvl3pPr>
            <a:lvl4pPr lvl="3" algn="ctr">
              <a:spcBef>
                <a:spcPts val="0"/>
              </a:spcBef>
              <a:spcAft>
                <a:spcPts val="0"/>
              </a:spcAft>
              <a:buSzPts val="3600"/>
              <a:buNone/>
              <a:defRPr sz="3600"/>
            </a:lvl4pPr>
            <a:lvl5pPr lvl="4" algn="ctr">
              <a:spcBef>
                <a:spcPts val="0"/>
              </a:spcBef>
              <a:spcAft>
                <a:spcPts val="0"/>
              </a:spcAft>
              <a:buSzPts val="3600"/>
              <a:buNone/>
              <a:defRPr sz="3600"/>
            </a:lvl5pPr>
            <a:lvl6pPr lvl="5" algn="ctr">
              <a:spcBef>
                <a:spcPts val="0"/>
              </a:spcBef>
              <a:spcAft>
                <a:spcPts val="0"/>
              </a:spcAft>
              <a:buSzPts val="3600"/>
              <a:buNone/>
              <a:defRPr sz="3600"/>
            </a:lvl6pPr>
            <a:lvl7pPr lvl="6" algn="ctr">
              <a:spcBef>
                <a:spcPts val="0"/>
              </a:spcBef>
              <a:spcAft>
                <a:spcPts val="0"/>
              </a:spcAft>
              <a:buSzPts val="3600"/>
              <a:buNone/>
              <a:defRPr sz="3600"/>
            </a:lvl7pPr>
            <a:lvl8pPr lvl="7" algn="ctr">
              <a:spcBef>
                <a:spcPts val="0"/>
              </a:spcBef>
              <a:spcAft>
                <a:spcPts val="0"/>
              </a:spcAft>
              <a:buSzPts val="3600"/>
              <a:buNone/>
              <a:defRPr sz="3600"/>
            </a:lvl8pPr>
            <a:lvl9pPr lvl="8" algn="ctr">
              <a:spcBef>
                <a:spcPts val="0"/>
              </a:spcBef>
              <a:spcAft>
                <a:spcPts val="0"/>
              </a:spcAft>
              <a:buSzPts val="3600"/>
              <a:buNone/>
              <a:defRPr sz="3600"/>
            </a:lvl9pPr>
          </a:lstStyle>
          <a:p>
            <a:endParaRPr/>
          </a:p>
        </p:txBody>
      </p:sp>
      <p:sp>
        <p:nvSpPr>
          <p:cNvPr id="15" name="Google Shape;15;p3"/>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matchingName="Title and body" type="tx">
  <p:cSld name="TITLE_AND_BODY">
    <p:spTree>
      <p:nvGrpSpPr>
        <p:cNvPr id="1" name="Shape 16"/>
        <p:cNvGrpSpPr/>
        <p:nvPr/>
      </p:nvGrpSpPr>
      <p:grpSpPr>
        <a:xfrm>
          <a:off x="0" y="0"/>
          <a:ext cx="0" cy="0"/>
          <a:chOff x="0" y="0"/>
          <a:chExt cx="0" cy="0"/>
        </a:xfrm>
      </p:grpSpPr>
      <p:sp>
        <p:nvSpPr>
          <p:cNvPr id="17" name="Google Shape;17;p4"/>
          <p:cNvSpPr txBox="1">
            <a:spLocks noGrp="1"/>
          </p:cNvSpPr>
          <p:nvPr>
            <p:ph type="title"/>
          </p:nvPr>
        </p:nvSpPr>
        <p:spPr>
          <a:xfrm>
            <a:off x="311700" y="445025"/>
            <a:ext cx="8520600" cy="572700"/>
          </a:xfrm>
          <a:prstGeom prst="rect">
            <a:avLst/>
          </a:prstGeom>
        </p:spPr>
        <p:txBody>
          <a:bodyPr spcFirstLastPara="1" wrap="square" lIns="91425" tIns="91425" rIns="91425" bIns="91425" anchor="t" anchorCtr="0">
            <a:normAutofit/>
          </a:bodyPr>
          <a:lstStyle>
            <a:lvl1pPr lvl="0">
              <a:spcBef>
                <a:spcPts val="0"/>
              </a:spcBef>
              <a:spcAft>
                <a:spcPts val="0"/>
              </a:spcAft>
              <a:buSzPts val="2800"/>
              <a:buNone/>
              <a:defRPr/>
            </a:lvl1pPr>
            <a:lvl2pPr lvl="1">
              <a:spcBef>
                <a:spcPts val="0"/>
              </a:spcBef>
              <a:spcAft>
                <a:spcPts val="0"/>
              </a:spcAft>
              <a:buSzPts val="2800"/>
              <a:buNone/>
              <a:defRPr/>
            </a:lvl2pPr>
            <a:lvl3pPr lvl="2">
              <a:spcBef>
                <a:spcPts val="0"/>
              </a:spcBef>
              <a:spcAft>
                <a:spcPts val="0"/>
              </a:spcAft>
              <a:buSzPts val="2800"/>
              <a:buNone/>
              <a:defRPr/>
            </a:lvl3pPr>
            <a:lvl4pPr lvl="3">
              <a:spcBef>
                <a:spcPts val="0"/>
              </a:spcBef>
              <a:spcAft>
                <a:spcPts val="0"/>
              </a:spcAft>
              <a:buSzPts val="2800"/>
              <a:buNone/>
              <a:defRPr/>
            </a:lvl4pPr>
            <a:lvl5pPr lvl="4">
              <a:spcBef>
                <a:spcPts val="0"/>
              </a:spcBef>
              <a:spcAft>
                <a:spcPts val="0"/>
              </a:spcAft>
              <a:buSzPts val="2800"/>
              <a:buNone/>
              <a:defRPr/>
            </a:lvl5pPr>
            <a:lvl6pPr lvl="5">
              <a:spcBef>
                <a:spcPts val="0"/>
              </a:spcBef>
              <a:spcAft>
                <a:spcPts val="0"/>
              </a:spcAft>
              <a:buSzPts val="2800"/>
              <a:buNone/>
              <a:defRPr/>
            </a:lvl6pPr>
            <a:lvl7pPr lvl="6">
              <a:spcBef>
                <a:spcPts val="0"/>
              </a:spcBef>
              <a:spcAft>
                <a:spcPts val="0"/>
              </a:spcAft>
              <a:buSzPts val="2800"/>
              <a:buNone/>
              <a:defRPr/>
            </a:lvl7pPr>
            <a:lvl8pPr lvl="7">
              <a:spcBef>
                <a:spcPts val="0"/>
              </a:spcBef>
              <a:spcAft>
                <a:spcPts val="0"/>
              </a:spcAft>
              <a:buSzPts val="2800"/>
              <a:buNone/>
              <a:defRPr/>
            </a:lvl8pPr>
            <a:lvl9pPr lvl="8">
              <a:spcBef>
                <a:spcPts val="0"/>
              </a:spcBef>
              <a:spcAft>
                <a:spcPts val="0"/>
              </a:spcAft>
              <a:buSzPts val="2800"/>
              <a:buNone/>
              <a:defRPr/>
            </a:lvl9pPr>
          </a:lstStyle>
          <a:p>
            <a:endParaRPr/>
          </a:p>
        </p:txBody>
      </p:sp>
      <p:sp>
        <p:nvSpPr>
          <p:cNvPr id="18" name="Google Shape;18;p4"/>
          <p:cNvSpPr txBox="1">
            <a:spLocks noGrp="1"/>
          </p:cNvSpPr>
          <p:nvPr>
            <p:ph type="body" idx="1"/>
          </p:nvPr>
        </p:nvSpPr>
        <p:spPr>
          <a:xfrm>
            <a:off x="311700" y="1152475"/>
            <a:ext cx="8520600" cy="3416400"/>
          </a:xfrm>
          <a:prstGeom prst="rect">
            <a:avLst/>
          </a:prstGeom>
        </p:spPr>
        <p:txBody>
          <a:bodyPr spcFirstLastPara="1" wrap="square" lIns="91425" tIns="91425" rIns="91425" bIns="91425" anchor="t" anchorCtr="0">
            <a:normAutofit/>
          </a:bodyPr>
          <a:lstStyle>
            <a:lvl1pPr marL="457200" lvl="0" indent="-342900">
              <a:spcBef>
                <a:spcPts val="0"/>
              </a:spcBef>
              <a:spcAft>
                <a:spcPts val="0"/>
              </a:spcAft>
              <a:buSzPts val="1800"/>
              <a:buChar char="●"/>
              <a:defRPr/>
            </a:lvl1pPr>
            <a:lvl2pPr marL="914400" lvl="1" indent="-317500">
              <a:spcBef>
                <a:spcPts val="0"/>
              </a:spcBef>
              <a:spcAft>
                <a:spcPts val="0"/>
              </a:spcAft>
              <a:buSzPts val="1400"/>
              <a:buChar char="○"/>
              <a:defRPr/>
            </a:lvl2pPr>
            <a:lvl3pPr marL="1371600" lvl="2" indent="-317500">
              <a:spcBef>
                <a:spcPts val="0"/>
              </a:spcBef>
              <a:spcAft>
                <a:spcPts val="0"/>
              </a:spcAft>
              <a:buSzPts val="1400"/>
              <a:buChar char="■"/>
              <a:defRPr/>
            </a:lvl3pPr>
            <a:lvl4pPr marL="1828800" lvl="3" indent="-317500">
              <a:spcBef>
                <a:spcPts val="0"/>
              </a:spcBef>
              <a:spcAft>
                <a:spcPts val="0"/>
              </a:spcAft>
              <a:buSzPts val="1400"/>
              <a:buChar char="●"/>
              <a:defRPr/>
            </a:lvl4pPr>
            <a:lvl5pPr marL="2286000" lvl="4" indent="-317500">
              <a:spcBef>
                <a:spcPts val="0"/>
              </a:spcBef>
              <a:spcAft>
                <a:spcPts val="0"/>
              </a:spcAft>
              <a:buSzPts val="1400"/>
              <a:buChar char="○"/>
              <a:defRPr/>
            </a:lvl5pPr>
            <a:lvl6pPr marL="2743200" lvl="5" indent="-317500">
              <a:spcBef>
                <a:spcPts val="0"/>
              </a:spcBef>
              <a:spcAft>
                <a:spcPts val="0"/>
              </a:spcAft>
              <a:buSzPts val="1400"/>
              <a:buChar char="■"/>
              <a:defRPr/>
            </a:lvl6pPr>
            <a:lvl7pPr marL="3200400" lvl="6" indent="-317500">
              <a:spcBef>
                <a:spcPts val="0"/>
              </a:spcBef>
              <a:spcAft>
                <a:spcPts val="0"/>
              </a:spcAft>
              <a:buSzPts val="1400"/>
              <a:buChar char="●"/>
              <a:defRPr/>
            </a:lvl7pPr>
            <a:lvl8pPr marL="3657600" lvl="7" indent="-317500">
              <a:spcBef>
                <a:spcPts val="0"/>
              </a:spcBef>
              <a:spcAft>
                <a:spcPts val="0"/>
              </a:spcAft>
              <a:buSzPts val="1400"/>
              <a:buChar char="○"/>
              <a:defRPr/>
            </a:lvl8pPr>
            <a:lvl9pPr marL="4114800" lvl="8" indent="-317500">
              <a:spcBef>
                <a:spcPts val="0"/>
              </a:spcBef>
              <a:spcAft>
                <a:spcPts val="0"/>
              </a:spcAft>
              <a:buSzPts val="1400"/>
              <a:buChar char="■"/>
              <a:defRPr/>
            </a:lvl9pPr>
          </a:lstStyle>
          <a:p>
            <a:endParaRPr/>
          </a:p>
        </p:txBody>
      </p:sp>
      <p:sp>
        <p:nvSpPr>
          <p:cNvPr id="19" name="Google Shape;19;p4"/>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matchingName="Title and two columns" type="twoColTx">
  <p:cSld name="TITLE_AND_TWO_COLUMNS">
    <p:spTree>
      <p:nvGrpSpPr>
        <p:cNvPr id="1" name="Shape 20"/>
        <p:cNvGrpSpPr/>
        <p:nvPr/>
      </p:nvGrpSpPr>
      <p:grpSpPr>
        <a:xfrm>
          <a:off x="0" y="0"/>
          <a:ext cx="0" cy="0"/>
          <a:chOff x="0" y="0"/>
          <a:chExt cx="0" cy="0"/>
        </a:xfrm>
      </p:grpSpPr>
      <p:sp>
        <p:nvSpPr>
          <p:cNvPr id="21" name="Google Shape;21;p5"/>
          <p:cNvSpPr txBox="1">
            <a:spLocks noGrp="1"/>
          </p:cNvSpPr>
          <p:nvPr>
            <p:ph type="title"/>
          </p:nvPr>
        </p:nvSpPr>
        <p:spPr>
          <a:xfrm>
            <a:off x="311700" y="445025"/>
            <a:ext cx="8520600" cy="572700"/>
          </a:xfrm>
          <a:prstGeom prst="rect">
            <a:avLst/>
          </a:prstGeom>
        </p:spPr>
        <p:txBody>
          <a:bodyPr spcFirstLastPara="1" wrap="square" lIns="91425" tIns="91425" rIns="91425" bIns="91425" anchor="t" anchorCtr="0">
            <a:normAutofit/>
          </a:bodyPr>
          <a:lstStyle>
            <a:lvl1pPr lvl="0">
              <a:spcBef>
                <a:spcPts val="0"/>
              </a:spcBef>
              <a:spcAft>
                <a:spcPts val="0"/>
              </a:spcAft>
              <a:buSzPts val="2800"/>
              <a:buNone/>
              <a:defRPr/>
            </a:lvl1pPr>
            <a:lvl2pPr lvl="1">
              <a:spcBef>
                <a:spcPts val="0"/>
              </a:spcBef>
              <a:spcAft>
                <a:spcPts val="0"/>
              </a:spcAft>
              <a:buSzPts val="2800"/>
              <a:buNone/>
              <a:defRPr/>
            </a:lvl2pPr>
            <a:lvl3pPr lvl="2">
              <a:spcBef>
                <a:spcPts val="0"/>
              </a:spcBef>
              <a:spcAft>
                <a:spcPts val="0"/>
              </a:spcAft>
              <a:buSzPts val="2800"/>
              <a:buNone/>
              <a:defRPr/>
            </a:lvl3pPr>
            <a:lvl4pPr lvl="3">
              <a:spcBef>
                <a:spcPts val="0"/>
              </a:spcBef>
              <a:spcAft>
                <a:spcPts val="0"/>
              </a:spcAft>
              <a:buSzPts val="2800"/>
              <a:buNone/>
              <a:defRPr/>
            </a:lvl4pPr>
            <a:lvl5pPr lvl="4">
              <a:spcBef>
                <a:spcPts val="0"/>
              </a:spcBef>
              <a:spcAft>
                <a:spcPts val="0"/>
              </a:spcAft>
              <a:buSzPts val="2800"/>
              <a:buNone/>
              <a:defRPr/>
            </a:lvl5pPr>
            <a:lvl6pPr lvl="5">
              <a:spcBef>
                <a:spcPts val="0"/>
              </a:spcBef>
              <a:spcAft>
                <a:spcPts val="0"/>
              </a:spcAft>
              <a:buSzPts val="2800"/>
              <a:buNone/>
              <a:defRPr/>
            </a:lvl6pPr>
            <a:lvl7pPr lvl="6">
              <a:spcBef>
                <a:spcPts val="0"/>
              </a:spcBef>
              <a:spcAft>
                <a:spcPts val="0"/>
              </a:spcAft>
              <a:buSzPts val="2800"/>
              <a:buNone/>
              <a:defRPr/>
            </a:lvl7pPr>
            <a:lvl8pPr lvl="7">
              <a:spcBef>
                <a:spcPts val="0"/>
              </a:spcBef>
              <a:spcAft>
                <a:spcPts val="0"/>
              </a:spcAft>
              <a:buSzPts val="2800"/>
              <a:buNone/>
              <a:defRPr/>
            </a:lvl8pPr>
            <a:lvl9pPr lvl="8">
              <a:spcBef>
                <a:spcPts val="0"/>
              </a:spcBef>
              <a:spcAft>
                <a:spcPts val="0"/>
              </a:spcAft>
              <a:buSzPts val="2800"/>
              <a:buNone/>
              <a:defRPr/>
            </a:lvl9pPr>
          </a:lstStyle>
          <a:p>
            <a:endParaRPr/>
          </a:p>
        </p:txBody>
      </p:sp>
      <p:sp>
        <p:nvSpPr>
          <p:cNvPr id="22" name="Google Shape;22;p5"/>
          <p:cNvSpPr txBox="1">
            <a:spLocks noGrp="1"/>
          </p:cNvSpPr>
          <p:nvPr>
            <p:ph type="body" idx="1"/>
          </p:nvPr>
        </p:nvSpPr>
        <p:spPr>
          <a:xfrm>
            <a:off x="311700" y="1152475"/>
            <a:ext cx="3999900" cy="3416400"/>
          </a:xfrm>
          <a:prstGeom prst="rect">
            <a:avLst/>
          </a:prstGeom>
        </p:spPr>
        <p:txBody>
          <a:bodyPr spcFirstLastPara="1" wrap="square" lIns="91425" tIns="91425" rIns="91425" bIns="91425" anchor="t" anchorCtr="0">
            <a:normAutofit/>
          </a:bodyPr>
          <a:lstStyle>
            <a:lvl1pPr marL="457200" lvl="0" indent="-317500">
              <a:spcBef>
                <a:spcPts val="0"/>
              </a:spcBef>
              <a:spcAft>
                <a:spcPts val="0"/>
              </a:spcAft>
              <a:buSzPts val="1400"/>
              <a:buChar char="●"/>
              <a:defRPr sz="1400"/>
            </a:lvl1pPr>
            <a:lvl2pPr marL="914400" lvl="1" indent="-304800">
              <a:spcBef>
                <a:spcPts val="0"/>
              </a:spcBef>
              <a:spcAft>
                <a:spcPts val="0"/>
              </a:spcAft>
              <a:buSzPts val="1200"/>
              <a:buChar char="○"/>
              <a:defRPr sz="1200"/>
            </a:lvl2pPr>
            <a:lvl3pPr marL="1371600" lvl="2" indent="-304800">
              <a:spcBef>
                <a:spcPts val="0"/>
              </a:spcBef>
              <a:spcAft>
                <a:spcPts val="0"/>
              </a:spcAft>
              <a:buSzPts val="1200"/>
              <a:buChar char="■"/>
              <a:defRPr sz="1200"/>
            </a:lvl3pPr>
            <a:lvl4pPr marL="1828800" lvl="3" indent="-304800">
              <a:spcBef>
                <a:spcPts val="0"/>
              </a:spcBef>
              <a:spcAft>
                <a:spcPts val="0"/>
              </a:spcAft>
              <a:buSzPts val="1200"/>
              <a:buChar char="●"/>
              <a:defRPr sz="1200"/>
            </a:lvl4pPr>
            <a:lvl5pPr marL="2286000" lvl="4" indent="-304800">
              <a:spcBef>
                <a:spcPts val="0"/>
              </a:spcBef>
              <a:spcAft>
                <a:spcPts val="0"/>
              </a:spcAft>
              <a:buSzPts val="1200"/>
              <a:buChar char="○"/>
              <a:defRPr sz="1200"/>
            </a:lvl5pPr>
            <a:lvl6pPr marL="2743200" lvl="5" indent="-304800">
              <a:spcBef>
                <a:spcPts val="0"/>
              </a:spcBef>
              <a:spcAft>
                <a:spcPts val="0"/>
              </a:spcAft>
              <a:buSzPts val="1200"/>
              <a:buChar char="■"/>
              <a:defRPr sz="1200"/>
            </a:lvl6pPr>
            <a:lvl7pPr marL="3200400" lvl="6" indent="-304800">
              <a:spcBef>
                <a:spcPts val="0"/>
              </a:spcBef>
              <a:spcAft>
                <a:spcPts val="0"/>
              </a:spcAft>
              <a:buSzPts val="1200"/>
              <a:buChar char="●"/>
              <a:defRPr sz="1200"/>
            </a:lvl7pPr>
            <a:lvl8pPr marL="3657600" lvl="7" indent="-304800">
              <a:spcBef>
                <a:spcPts val="0"/>
              </a:spcBef>
              <a:spcAft>
                <a:spcPts val="0"/>
              </a:spcAft>
              <a:buSzPts val="1200"/>
              <a:buChar char="○"/>
              <a:defRPr sz="1200"/>
            </a:lvl8pPr>
            <a:lvl9pPr marL="4114800" lvl="8" indent="-304800">
              <a:spcBef>
                <a:spcPts val="0"/>
              </a:spcBef>
              <a:spcAft>
                <a:spcPts val="0"/>
              </a:spcAft>
              <a:buSzPts val="1200"/>
              <a:buChar char="■"/>
              <a:defRPr sz="1200"/>
            </a:lvl9pPr>
          </a:lstStyle>
          <a:p>
            <a:endParaRPr/>
          </a:p>
        </p:txBody>
      </p:sp>
      <p:sp>
        <p:nvSpPr>
          <p:cNvPr id="23" name="Google Shape;23;p5"/>
          <p:cNvSpPr txBox="1">
            <a:spLocks noGrp="1"/>
          </p:cNvSpPr>
          <p:nvPr>
            <p:ph type="body" idx="2"/>
          </p:nvPr>
        </p:nvSpPr>
        <p:spPr>
          <a:xfrm>
            <a:off x="4832400" y="1152475"/>
            <a:ext cx="3999900" cy="3416400"/>
          </a:xfrm>
          <a:prstGeom prst="rect">
            <a:avLst/>
          </a:prstGeom>
        </p:spPr>
        <p:txBody>
          <a:bodyPr spcFirstLastPara="1" wrap="square" lIns="91425" tIns="91425" rIns="91425" bIns="91425" anchor="t" anchorCtr="0">
            <a:normAutofit/>
          </a:bodyPr>
          <a:lstStyle>
            <a:lvl1pPr marL="457200" lvl="0" indent="-317500">
              <a:spcBef>
                <a:spcPts val="0"/>
              </a:spcBef>
              <a:spcAft>
                <a:spcPts val="0"/>
              </a:spcAft>
              <a:buSzPts val="1400"/>
              <a:buChar char="●"/>
              <a:defRPr sz="1400"/>
            </a:lvl1pPr>
            <a:lvl2pPr marL="914400" lvl="1" indent="-304800">
              <a:spcBef>
                <a:spcPts val="0"/>
              </a:spcBef>
              <a:spcAft>
                <a:spcPts val="0"/>
              </a:spcAft>
              <a:buSzPts val="1200"/>
              <a:buChar char="○"/>
              <a:defRPr sz="1200"/>
            </a:lvl2pPr>
            <a:lvl3pPr marL="1371600" lvl="2" indent="-304800">
              <a:spcBef>
                <a:spcPts val="0"/>
              </a:spcBef>
              <a:spcAft>
                <a:spcPts val="0"/>
              </a:spcAft>
              <a:buSzPts val="1200"/>
              <a:buChar char="■"/>
              <a:defRPr sz="1200"/>
            </a:lvl3pPr>
            <a:lvl4pPr marL="1828800" lvl="3" indent="-304800">
              <a:spcBef>
                <a:spcPts val="0"/>
              </a:spcBef>
              <a:spcAft>
                <a:spcPts val="0"/>
              </a:spcAft>
              <a:buSzPts val="1200"/>
              <a:buChar char="●"/>
              <a:defRPr sz="1200"/>
            </a:lvl4pPr>
            <a:lvl5pPr marL="2286000" lvl="4" indent="-304800">
              <a:spcBef>
                <a:spcPts val="0"/>
              </a:spcBef>
              <a:spcAft>
                <a:spcPts val="0"/>
              </a:spcAft>
              <a:buSzPts val="1200"/>
              <a:buChar char="○"/>
              <a:defRPr sz="1200"/>
            </a:lvl5pPr>
            <a:lvl6pPr marL="2743200" lvl="5" indent="-304800">
              <a:spcBef>
                <a:spcPts val="0"/>
              </a:spcBef>
              <a:spcAft>
                <a:spcPts val="0"/>
              </a:spcAft>
              <a:buSzPts val="1200"/>
              <a:buChar char="■"/>
              <a:defRPr sz="1200"/>
            </a:lvl6pPr>
            <a:lvl7pPr marL="3200400" lvl="6" indent="-304800">
              <a:spcBef>
                <a:spcPts val="0"/>
              </a:spcBef>
              <a:spcAft>
                <a:spcPts val="0"/>
              </a:spcAft>
              <a:buSzPts val="1200"/>
              <a:buChar char="●"/>
              <a:defRPr sz="1200"/>
            </a:lvl7pPr>
            <a:lvl8pPr marL="3657600" lvl="7" indent="-304800">
              <a:spcBef>
                <a:spcPts val="0"/>
              </a:spcBef>
              <a:spcAft>
                <a:spcPts val="0"/>
              </a:spcAft>
              <a:buSzPts val="1200"/>
              <a:buChar char="○"/>
              <a:defRPr sz="1200"/>
            </a:lvl8pPr>
            <a:lvl9pPr marL="4114800" lvl="8" indent="-304800">
              <a:spcBef>
                <a:spcPts val="0"/>
              </a:spcBef>
              <a:spcAft>
                <a:spcPts val="0"/>
              </a:spcAft>
              <a:buSzPts val="1200"/>
              <a:buChar char="■"/>
              <a:defRPr sz="1200"/>
            </a:lvl9pPr>
          </a:lstStyle>
          <a:p>
            <a:endParaRPr/>
          </a:p>
        </p:txBody>
      </p:sp>
      <p:sp>
        <p:nvSpPr>
          <p:cNvPr id="24" name="Google Shape;24;p5"/>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matchingName="Title only" type="titleOnly">
  <p:cSld name="TITLE_ONLY">
    <p:spTree>
      <p:nvGrpSpPr>
        <p:cNvPr id="1" name="Shape 25"/>
        <p:cNvGrpSpPr/>
        <p:nvPr/>
      </p:nvGrpSpPr>
      <p:grpSpPr>
        <a:xfrm>
          <a:off x="0" y="0"/>
          <a:ext cx="0" cy="0"/>
          <a:chOff x="0" y="0"/>
          <a:chExt cx="0" cy="0"/>
        </a:xfrm>
      </p:grpSpPr>
      <p:sp>
        <p:nvSpPr>
          <p:cNvPr id="26" name="Google Shape;26;p6"/>
          <p:cNvSpPr txBox="1">
            <a:spLocks noGrp="1"/>
          </p:cNvSpPr>
          <p:nvPr>
            <p:ph type="title"/>
          </p:nvPr>
        </p:nvSpPr>
        <p:spPr>
          <a:xfrm>
            <a:off x="311700" y="445025"/>
            <a:ext cx="8520600" cy="572700"/>
          </a:xfrm>
          <a:prstGeom prst="rect">
            <a:avLst/>
          </a:prstGeom>
        </p:spPr>
        <p:txBody>
          <a:bodyPr spcFirstLastPara="1" wrap="square" lIns="91425" tIns="91425" rIns="91425" bIns="91425" anchor="t" anchorCtr="0">
            <a:normAutofit/>
          </a:bodyPr>
          <a:lstStyle>
            <a:lvl1pPr lvl="0">
              <a:spcBef>
                <a:spcPts val="0"/>
              </a:spcBef>
              <a:spcAft>
                <a:spcPts val="0"/>
              </a:spcAft>
              <a:buSzPts val="2800"/>
              <a:buNone/>
              <a:defRPr/>
            </a:lvl1pPr>
            <a:lvl2pPr lvl="1">
              <a:spcBef>
                <a:spcPts val="0"/>
              </a:spcBef>
              <a:spcAft>
                <a:spcPts val="0"/>
              </a:spcAft>
              <a:buSzPts val="2800"/>
              <a:buNone/>
              <a:defRPr/>
            </a:lvl2pPr>
            <a:lvl3pPr lvl="2">
              <a:spcBef>
                <a:spcPts val="0"/>
              </a:spcBef>
              <a:spcAft>
                <a:spcPts val="0"/>
              </a:spcAft>
              <a:buSzPts val="2800"/>
              <a:buNone/>
              <a:defRPr/>
            </a:lvl3pPr>
            <a:lvl4pPr lvl="3">
              <a:spcBef>
                <a:spcPts val="0"/>
              </a:spcBef>
              <a:spcAft>
                <a:spcPts val="0"/>
              </a:spcAft>
              <a:buSzPts val="2800"/>
              <a:buNone/>
              <a:defRPr/>
            </a:lvl4pPr>
            <a:lvl5pPr lvl="4">
              <a:spcBef>
                <a:spcPts val="0"/>
              </a:spcBef>
              <a:spcAft>
                <a:spcPts val="0"/>
              </a:spcAft>
              <a:buSzPts val="2800"/>
              <a:buNone/>
              <a:defRPr/>
            </a:lvl5pPr>
            <a:lvl6pPr lvl="5">
              <a:spcBef>
                <a:spcPts val="0"/>
              </a:spcBef>
              <a:spcAft>
                <a:spcPts val="0"/>
              </a:spcAft>
              <a:buSzPts val="2800"/>
              <a:buNone/>
              <a:defRPr/>
            </a:lvl6pPr>
            <a:lvl7pPr lvl="6">
              <a:spcBef>
                <a:spcPts val="0"/>
              </a:spcBef>
              <a:spcAft>
                <a:spcPts val="0"/>
              </a:spcAft>
              <a:buSzPts val="2800"/>
              <a:buNone/>
              <a:defRPr/>
            </a:lvl7pPr>
            <a:lvl8pPr lvl="7">
              <a:spcBef>
                <a:spcPts val="0"/>
              </a:spcBef>
              <a:spcAft>
                <a:spcPts val="0"/>
              </a:spcAft>
              <a:buSzPts val="2800"/>
              <a:buNone/>
              <a:defRPr/>
            </a:lvl8pPr>
            <a:lvl9pPr lvl="8">
              <a:spcBef>
                <a:spcPts val="0"/>
              </a:spcBef>
              <a:spcAft>
                <a:spcPts val="0"/>
              </a:spcAft>
              <a:buSzPts val="2800"/>
              <a:buNone/>
              <a:defRPr/>
            </a:lvl9pPr>
          </a:lstStyle>
          <a:p>
            <a:endParaRPr/>
          </a:p>
        </p:txBody>
      </p:sp>
      <p:sp>
        <p:nvSpPr>
          <p:cNvPr id="27" name="Google Shape;27;p6"/>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matchingName="One column text">
  <p:cSld name="ONE_COLUMN_TEXT">
    <p:spTree>
      <p:nvGrpSpPr>
        <p:cNvPr id="1" name="Shape 28"/>
        <p:cNvGrpSpPr/>
        <p:nvPr/>
      </p:nvGrpSpPr>
      <p:grpSpPr>
        <a:xfrm>
          <a:off x="0" y="0"/>
          <a:ext cx="0" cy="0"/>
          <a:chOff x="0" y="0"/>
          <a:chExt cx="0" cy="0"/>
        </a:xfrm>
      </p:grpSpPr>
      <p:sp>
        <p:nvSpPr>
          <p:cNvPr id="29" name="Google Shape;29;p7"/>
          <p:cNvSpPr txBox="1">
            <a:spLocks noGrp="1"/>
          </p:cNvSpPr>
          <p:nvPr>
            <p:ph type="title"/>
          </p:nvPr>
        </p:nvSpPr>
        <p:spPr>
          <a:xfrm>
            <a:off x="311700" y="555600"/>
            <a:ext cx="2808000" cy="755700"/>
          </a:xfrm>
          <a:prstGeom prst="rect">
            <a:avLst/>
          </a:prstGeom>
        </p:spPr>
        <p:txBody>
          <a:bodyPr spcFirstLastPara="1" wrap="square" lIns="91425" tIns="91425" rIns="91425" bIns="91425" anchor="b" anchorCtr="0">
            <a:normAutofit/>
          </a:bodyPr>
          <a:lstStyle>
            <a:lvl1pPr lvl="0">
              <a:spcBef>
                <a:spcPts val="0"/>
              </a:spcBef>
              <a:spcAft>
                <a:spcPts val="0"/>
              </a:spcAft>
              <a:buSzPts val="2400"/>
              <a:buNone/>
              <a:defRPr sz="2400"/>
            </a:lvl1pPr>
            <a:lvl2pPr lvl="1">
              <a:spcBef>
                <a:spcPts val="0"/>
              </a:spcBef>
              <a:spcAft>
                <a:spcPts val="0"/>
              </a:spcAft>
              <a:buSzPts val="2400"/>
              <a:buNone/>
              <a:defRPr sz="2400"/>
            </a:lvl2pPr>
            <a:lvl3pPr lvl="2">
              <a:spcBef>
                <a:spcPts val="0"/>
              </a:spcBef>
              <a:spcAft>
                <a:spcPts val="0"/>
              </a:spcAft>
              <a:buSzPts val="2400"/>
              <a:buNone/>
              <a:defRPr sz="2400"/>
            </a:lvl3pPr>
            <a:lvl4pPr lvl="3">
              <a:spcBef>
                <a:spcPts val="0"/>
              </a:spcBef>
              <a:spcAft>
                <a:spcPts val="0"/>
              </a:spcAft>
              <a:buSzPts val="2400"/>
              <a:buNone/>
              <a:defRPr sz="2400"/>
            </a:lvl4pPr>
            <a:lvl5pPr lvl="4">
              <a:spcBef>
                <a:spcPts val="0"/>
              </a:spcBef>
              <a:spcAft>
                <a:spcPts val="0"/>
              </a:spcAft>
              <a:buSzPts val="2400"/>
              <a:buNone/>
              <a:defRPr sz="2400"/>
            </a:lvl5pPr>
            <a:lvl6pPr lvl="5">
              <a:spcBef>
                <a:spcPts val="0"/>
              </a:spcBef>
              <a:spcAft>
                <a:spcPts val="0"/>
              </a:spcAft>
              <a:buSzPts val="2400"/>
              <a:buNone/>
              <a:defRPr sz="2400"/>
            </a:lvl6pPr>
            <a:lvl7pPr lvl="6">
              <a:spcBef>
                <a:spcPts val="0"/>
              </a:spcBef>
              <a:spcAft>
                <a:spcPts val="0"/>
              </a:spcAft>
              <a:buSzPts val="2400"/>
              <a:buNone/>
              <a:defRPr sz="2400"/>
            </a:lvl7pPr>
            <a:lvl8pPr lvl="7">
              <a:spcBef>
                <a:spcPts val="0"/>
              </a:spcBef>
              <a:spcAft>
                <a:spcPts val="0"/>
              </a:spcAft>
              <a:buSzPts val="2400"/>
              <a:buNone/>
              <a:defRPr sz="2400"/>
            </a:lvl8pPr>
            <a:lvl9pPr lvl="8">
              <a:spcBef>
                <a:spcPts val="0"/>
              </a:spcBef>
              <a:spcAft>
                <a:spcPts val="0"/>
              </a:spcAft>
              <a:buSzPts val="2400"/>
              <a:buNone/>
              <a:defRPr sz="2400"/>
            </a:lvl9pPr>
          </a:lstStyle>
          <a:p>
            <a:endParaRPr/>
          </a:p>
        </p:txBody>
      </p:sp>
      <p:sp>
        <p:nvSpPr>
          <p:cNvPr id="30" name="Google Shape;30;p7"/>
          <p:cNvSpPr txBox="1">
            <a:spLocks noGrp="1"/>
          </p:cNvSpPr>
          <p:nvPr>
            <p:ph type="body" idx="1"/>
          </p:nvPr>
        </p:nvSpPr>
        <p:spPr>
          <a:xfrm>
            <a:off x="311700" y="1389600"/>
            <a:ext cx="2808000" cy="3179400"/>
          </a:xfrm>
          <a:prstGeom prst="rect">
            <a:avLst/>
          </a:prstGeom>
        </p:spPr>
        <p:txBody>
          <a:bodyPr spcFirstLastPara="1" wrap="square" lIns="91425" tIns="91425" rIns="91425" bIns="91425" anchor="t" anchorCtr="0">
            <a:normAutofit/>
          </a:bodyPr>
          <a:lstStyle>
            <a:lvl1pPr marL="457200" lvl="0" indent="-304800">
              <a:spcBef>
                <a:spcPts val="0"/>
              </a:spcBef>
              <a:spcAft>
                <a:spcPts val="0"/>
              </a:spcAft>
              <a:buSzPts val="1200"/>
              <a:buChar char="●"/>
              <a:defRPr sz="1200"/>
            </a:lvl1pPr>
            <a:lvl2pPr marL="914400" lvl="1" indent="-304800">
              <a:spcBef>
                <a:spcPts val="0"/>
              </a:spcBef>
              <a:spcAft>
                <a:spcPts val="0"/>
              </a:spcAft>
              <a:buSzPts val="1200"/>
              <a:buChar char="○"/>
              <a:defRPr sz="1200"/>
            </a:lvl2pPr>
            <a:lvl3pPr marL="1371600" lvl="2" indent="-304800">
              <a:spcBef>
                <a:spcPts val="0"/>
              </a:spcBef>
              <a:spcAft>
                <a:spcPts val="0"/>
              </a:spcAft>
              <a:buSzPts val="1200"/>
              <a:buChar char="■"/>
              <a:defRPr sz="1200"/>
            </a:lvl3pPr>
            <a:lvl4pPr marL="1828800" lvl="3" indent="-304800">
              <a:spcBef>
                <a:spcPts val="0"/>
              </a:spcBef>
              <a:spcAft>
                <a:spcPts val="0"/>
              </a:spcAft>
              <a:buSzPts val="1200"/>
              <a:buChar char="●"/>
              <a:defRPr sz="1200"/>
            </a:lvl4pPr>
            <a:lvl5pPr marL="2286000" lvl="4" indent="-304800">
              <a:spcBef>
                <a:spcPts val="0"/>
              </a:spcBef>
              <a:spcAft>
                <a:spcPts val="0"/>
              </a:spcAft>
              <a:buSzPts val="1200"/>
              <a:buChar char="○"/>
              <a:defRPr sz="1200"/>
            </a:lvl5pPr>
            <a:lvl6pPr marL="2743200" lvl="5" indent="-304800">
              <a:spcBef>
                <a:spcPts val="0"/>
              </a:spcBef>
              <a:spcAft>
                <a:spcPts val="0"/>
              </a:spcAft>
              <a:buSzPts val="1200"/>
              <a:buChar char="■"/>
              <a:defRPr sz="1200"/>
            </a:lvl6pPr>
            <a:lvl7pPr marL="3200400" lvl="6" indent="-304800">
              <a:spcBef>
                <a:spcPts val="0"/>
              </a:spcBef>
              <a:spcAft>
                <a:spcPts val="0"/>
              </a:spcAft>
              <a:buSzPts val="1200"/>
              <a:buChar char="●"/>
              <a:defRPr sz="1200"/>
            </a:lvl7pPr>
            <a:lvl8pPr marL="3657600" lvl="7" indent="-304800">
              <a:spcBef>
                <a:spcPts val="0"/>
              </a:spcBef>
              <a:spcAft>
                <a:spcPts val="0"/>
              </a:spcAft>
              <a:buSzPts val="1200"/>
              <a:buChar char="○"/>
              <a:defRPr sz="1200"/>
            </a:lvl8pPr>
            <a:lvl9pPr marL="4114800" lvl="8" indent="-304800">
              <a:spcBef>
                <a:spcPts val="0"/>
              </a:spcBef>
              <a:spcAft>
                <a:spcPts val="0"/>
              </a:spcAft>
              <a:buSzPts val="1200"/>
              <a:buChar char="■"/>
              <a:defRPr sz="1200"/>
            </a:lvl9pPr>
          </a:lstStyle>
          <a:p>
            <a:endParaRPr/>
          </a:p>
        </p:txBody>
      </p:sp>
      <p:sp>
        <p:nvSpPr>
          <p:cNvPr id="31" name="Google Shape;31;p7"/>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matchingName="Main point">
  <p:cSld name="MAIN_POINT">
    <p:spTree>
      <p:nvGrpSpPr>
        <p:cNvPr id="1" name="Shape 32"/>
        <p:cNvGrpSpPr/>
        <p:nvPr/>
      </p:nvGrpSpPr>
      <p:grpSpPr>
        <a:xfrm>
          <a:off x="0" y="0"/>
          <a:ext cx="0" cy="0"/>
          <a:chOff x="0" y="0"/>
          <a:chExt cx="0" cy="0"/>
        </a:xfrm>
      </p:grpSpPr>
      <p:sp>
        <p:nvSpPr>
          <p:cNvPr id="33" name="Google Shape;33;p8"/>
          <p:cNvSpPr txBox="1">
            <a:spLocks noGrp="1"/>
          </p:cNvSpPr>
          <p:nvPr>
            <p:ph type="title"/>
          </p:nvPr>
        </p:nvSpPr>
        <p:spPr>
          <a:xfrm>
            <a:off x="490250" y="450150"/>
            <a:ext cx="6367800" cy="4090800"/>
          </a:xfrm>
          <a:prstGeom prst="rect">
            <a:avLst/>
          </a:prstGeom>
        </p:spPr>
        <p:txBody>
          <a:bodyPr spcFirstLastPara="1" wrap="square" lIns="91425" tIns="91425" rIns="91425" bIns="91425" anchor="ctr" anchorCtr="0">
            <a:normAutofit/>
          </a:bodyPr>
          <a:lstStyle>
            <a:lvl1pPr lvl="0">
              <a:spcBef>
                <a:spcPts val="0"/>
              </a:spcBef>
              <a:spcAft>
                <a:spcPts val="0"/>
              </a:spcAft>
              <a:buSzPts val="4800"/>
              <a:buNone/>
              <a:defRPr sz="4800"/>
            </a:lvl1pPr>
            <a:lvl2pPr lvl="1">
              <a:spcBef>
                <a:spcPts val="0"/>
              </a:spcBef>
              <a:spcAft>
                <a:spcPts val="0"/>
              </a:spcAft>
              <a:buSzPts val="4800"/>
              <a:buNone/>
              <a:defRPr sz="4800"/>
            </a:lvl2pPr>
            <a:lvl3pPr lvl="2">
              <a:spcBef>
                <a:spcPts val="0"/>
              </a:spcBef>
              <a:spcAft>
                <a:spcPts val="0"/>
              </a:spcAft>
              <a:buSzPts val="4800"/>
              <a:buNone/>
              <a:defRPr sz="4800"/>
            </a:lvl3pPr>
            <a:lvl4pPr lvl="3">
              <a:spcBef>
                <a:spcPts val="0"/>
              </a:spcBef>
              <a:spcAft>
                <a:spcPts val="0"/>
              </a:spcAft>
              <a:buSzPts val="4800"/>
              <a:buNone/>
              <a:defRPr sz="4800"/>
            </a:lvl4pPr>
            <a:lvl5pPr lvl="4">
              <a:spcBef>
                <a:spcPts val="0"/>
              </a:spcBef>
              <a:spcAft>
                <a:spcPts val="0"/>
              </a:spcAft>
              <a:buSzPts val="4800"/>
              <a:buNone/>
              <a:defRPr sz="4800"/>
            </a:lvl5pPr>
            <a:lvl6pPr lvl="5">
              <a:spcBef>
                <a:spcPts val="0"/>
              </a:spcBef>
              <a:spcAft>
                <a:spcPts val="0"/>
              </a:spcAft>
              <a:buSzPts val="4800"/>
              <a:buNone/>
              <a:defRPr sz="4800"/>
            </a:lvl6pPr>
            <a:lvl7pPr lvl="6">
              <a:spcBef>
                <a:spcPts val="0"/>
              </a:spcBef>
              <a:spcAft>
                <a:spcPts val="0"/>
              </a:spcAft>
              <a:buSzPts val="4800"/>
              <a:buNone/>
              <a:defRPr sz="4800"/>
            </a:lvl7pPr>
            <a:lvl8pPr lvl="7">
              <a:spcBef>
                <a:spcPts val="0"/>
              </a:spcBef>
              <a:spcAft>
                <a:spcPts val="0"/>
              </a:spcAft>
              <a:buSzPts val="4800"/>
              <a:buNone/>
              <a:defRPr sz="4800"/>
            </a:lvl8pPr>
            <a:lvl9pPr lvl="8">
              <a:spcBef>
                <a:spcPts val="0"/>
              </a:spcBef>
              <a:spcAft>
                <a:spcPts val="0"/>
              </a:spcAft>
              <a:buSzPts val="4800"/>
              <a:buNone/>
              <a:defRPr sz="4800"/>
            </a:lvl9pPr>
          </a:lstStyle>
          <a:p>
            <a:endParaRPr/>
          </a:p>
        </p:txBody>
      </p:sp>
      <p:sp>
        <p:nvSpPr>
          <p:cNvPr id="34" name="Google Shape;34;p8"/>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matchingName="Section title and description">
  <p:cSld name="SECTION_TITLE_AND_DESCRIPTION">
    <p:spTree>
      <p:nvGrpSpPr>
        <p:cNvPr id="1" name="Shape 35"/>
        <p:cNvGrpSpPr/>
        <p:nvPr/>
      </p:nvGrpSpPr>
      <p:grpSpPr>
        <a:xfrm>
          <a:off x="0" y="0"/>
          <a:ext cx="0" cy="0"/>
          <a:chOff x="0" y="0"/>
          <a:chExt cx="0" cy="0"/>
        </a:xfrm>
      </p:grpSpPr>
      <p:sp>
        <p:nvSpPr>
          <p:cNvPr id="36" name="Google Shape;36;p9"/>
          <p:cNvSpPr/>
          <p:nvPr/>
        </p:nvSpPr>
        <p:spPr>
          <a:xfrm>
            <a:off x="4572000" y="-125"/>
            <a:ext cx="4572000" cy="5143500"/>
          </a:xfrm>
          <a:prstGeom prst="rect">
            <a:avLst/>
          </a:prstGeom>
          <a:solidFill>
            <a:schemeClr val="lt2"/>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7" name="Google Shape;37;p9"/>
          <p:cNvSpPr txBox="1">
            <a:spLocks noGrp="1"/>
          </p:cNvSpPr>
          <p:nvPr>
            <p:ph type="title"/>
          </p:nvPr>
        </p:nvSpPr>
        <p:spPr>
          <a:xfrm>
            <a:off x="265500" y="1233175"/>
            <a:ext cx="4045200" cy="1482300"/>
          </a:xfrm>
          <a:prstGeom prst="rect">
            <a:avLst/>
          </a:prstGeom>
        </p:spPr>
        <p:txBody>
          <a:bodyPr spcFirstLastPara="1" wrap="square" lIns="91425" tIns="91425" rIns="91425" bIns="91425" anchor="b" anchorCtr="0">
            <a:normAutofit/>
          </a:bodyPr>
          <a:lstStyle>
            <a:lvl1pPr lvl="0" algn="ctr">
              <a:spcBef>
                <a:spcPts val="0"/>
              </a:spcBef>
              <a:spcAft>
                <a:spcPts val="0"/>
              </a:spcAft>
              <a:buSzPts val="4200"/>
              <a:buNone/>
              <a:defRPr sz="4200"/>
            </a:lvl1pPr>
            <a:lvl2pPr lvl="1" algn="ctr">
              <a:spcBef>
                <a:spcPts val="0"/>
              </a:spcBef>
              <a:spcAft>
                <a:spcPts val="0"/>
              </a:spcAft>
              <a:buSzPts val="4200"/>
              <a:buNone/>
              <a:defRPr sz="4200"/>
            </a:lvl2pPr>
            <a:lvl3pPr lvl="2" algn="ctr">
              <a:spcBef>
                <a:spcPts val="0"/>
              </a:spcBef>
              <a:spcAft>
                <a:spcPts val="0"/>
              </a:spcAft>
              <a:buSzPts val="4200"/>
              <a:buNone/>
              <a:defRPr sz="4200"/>
            </a:lvl3pPr>
            <a:lvl4pPr lvl="3" algn="ctr">
              <a:spcBef>
                <a:spcPts val="0"/>
              </a:spcBef>
              <a:spcAft>
                <a:spcPts val="0"/>
              </a:spcAft>
              <a:buSzPts val="4200"/>
              <a:buNone/>
              <a:defRPr sz="4200"/>
            </a:lvl4pPr>
            <a:lvl5pPr lvl="4" algn="ctr">
              <a:spcBef>
                <a:spcPts val="0"/>
              </a:spcBef>
              <a:spcAft>
                <a:spcPts val="0"/>
              </a:spcAft>
              <a:buSzPts val="4200"/>
              <a:buNone/>
              <a:defRPr sz="4200"/>
            </a:lvl5pPr>
            <a:lvl6pPr lvl="5" algn="ctr">
              <a:spcBef>
                <a:spcPts val="0"/>
              </a:spcBef>
              <a:spcAft>
                <a:spcPts val="0"/>
              </a:spcAft>
              <a:buSzPts val="4200"/>
              <a:buNone/>
              <a:defRPr sz="4200"/>
            </a:lvl6pPr>
            <a:lvl7pPr lvl="6" algn="ctr">
              <a:spcBef>
                <a:spcPts val="0"/>
              </a:spcBef>
              <a:spcAft>
                <a:spcPts val="0"/>
              </a:spcAft>
              <a:buSzPts val="4200"/>
              <a:buNone/>
              <a:defRPr sz="4200"/>
            </a:lvl7pPr>
            <a:lvl8pPr lvl="7" algn="ctr">
              <a:spcBef>
                <a:spcPts val="0"/>
              </a:spcBef>
              <a:spcAft>
                <a:spcPts val="0"/>
              </a:spcAft>
              <a:buSzPts val="4200"/>
              <a:buNone/>
              <a:defRPr sz="4200"/>
            </a:lvl8pPr>
            <a:lvl9pPr lvl="8" algn="ctr">
              <a:spcBef>
                <a:spcPts val="0"/>
              </a:spcBef>
              <a:spcAft>
                <a:spcPts val="0"/>
              </a:spcAft>
              <a:buSzPts val="4200"/>
              <a:buNone/>
              <a:defRPr sz="4200"/>
            </a:lvl9pPr>
          </a:lstStyle>
          <a:p>
            <a:endParaRPr/>
          </a:p>
        </p:txBody>
      </p:sp>
      <p:sp>
        <p:nvSpPr>
          <p:cNvPr id="38" name="Google Shape;38;p9"/>
          <p:cNvSpPr txBox="1">
            <a:spLocks noGrp="1"/>
          </p:cNvSpPr>
          <p:nvPr>
            <p:ph type="subTitle" idx="1"/>
          </p:nvPr>
        </p:nvSpPr>
        <p:spPr>
          <a:xfrm>
            <a:off x="265500" y="2803075"/>
            <a:ext cx="4045200" cy="1235100"/>
          </a:xfrm>
          <a:prstGeom prst="rect">
            <a:avLst/>
          </a:prstGeom>
        </p:spPr>
        <p:txBody>
          <a:bodyPr spcFirstLastPara="1" wrap="square" lIns="91425" tIns="91425" rIns="91425" bIns="91425" anchor="t" anchorCtr="0">
            <a:normAutofit/>
          </a:bodyPr>
          <a:lstStyle>
            <a:lvl1pPr lvl="0" algn="ctr">
              <a:lnSpc>
                <a:spcPct val="100000"/>
              </a:lnSpc>
              <a:spcBef>
                <a:spcPts val="0"/>
              </a:spcBef>
              <a:spcAft>
                <a:spcPts val="0"/>
              </a:spcAft>
              <a:buSzPts val="2100"/>
              <a:buNone/>
              <a:defRPr sz="2100"/>
            </a:lvl1pPr>
            <a:lvl2pPr lvl="1" algn="ctr">
              <a:lnSpc>
                <a:spcPct val="100000"/>
              </a:lnSpc>
              <a:spcBef>
                <a:spcPts val="0"/>
              </a:spcBef>
              <a:spcAft>
                <a:spcPts val="0"/>
              </a:spcAft>
              <a:buSzPts val="2100"/>
              <a:buNone/>
              <a:defRPr sz="2100"/>
            </a:lvl2pPr>
            <a:lvl3pPr lvl="2" algn="ctr">
              <a:lnSpc>
                <a:spcPct val="100000"/>
              </a:lnSpc>
              <a:spcBef>
                <a:spcPts val="0"/>
              </a:spcBef>
              <a:spcAft>
                <a:spcPts val="0"/>
              </a:spcAft>
              <a:buSzPts val="2100"/>
              <a:buNone/>
              <a:defRPr sz="2100"/>
            </a:lvl3pPr>
            <a:lvl4pPr lvl="3" algn="ctr">
              <a:lnSpc>
                <a:spcPct val="100000"/>
              </a:lnSpc>
              <a:spcBef>
                <a:spcPts val="0"/>
              </a:spcBef>
              <a:spcAft>
                <a:spcPts val="0"/>
              </a:spcAft>
              <a:buSzPts val="2100"/>
              <a:buNone/>
              <a:defRPr sz="2100"/>
            </a:lvl4pPr>
            <a:lvl5pPr lvl="4" algn="ctr">
              <a:lnSpc>
                <a:spcPct val="100000"/>
              </a:lnSpc>
              <a:spcBef>
                <a:spcPts val="0"/>
              </a:spcBef>
              <a:spcAft>
                <a:spcPts val="0"/>
              </a:spcAft>
              <a:buSzPts val="2100"/>
              <a:buNone/>
              <a:defRPr sz="2100"/>
            </a:lvl5pPr>
            <a:lvl6pPr lvl="5" algn="ctr">
              <a:lnSpc>
                <a:spcPct val="100000"/>
              </a:lnSpc>
              <a:spcBef>
                <a:spcPts val="0"/>
              </a:spcBef>
              <a:spcAft>
                <a:spcPts val="0"/>
              </a:spcAft>
              <a:buSzPts val="2100"/>
              <a:buNone/>
              <a:defRPr sz="2100"/>
            </a:lvl6pPr>
            <a:lvl7pPr lvl="6" algn="ctr">
              <a:lnSpc>
                <a:spcPct val="100000"/>
              </a:lnSpc>
              <a:spcBef>
                <a:spcPts val="0"/>
              </a:spcBef>
              <a:spcAft>
                <a:spcPts val="0"/>
              </a:spcAft>
              <a:buSzPts val="2100"/>
              <a:buNone/>
              <a:defRPr sz="2100"/>
            </a:lvl7pPr>
            <a:lvl8pPr lvl="7" algn="ctr">
              <a:lnSpc>
                <a:spcPct val="100000"/>
              </a:lnSpc>
              <a:spcBef>
                <a:spcPts val="0"/>
              </a:spcBef>
              <a:spcAft>
                <a:spcPts val="0"/>
              </a:spcAft>
              <a:buSzPts val="2100"/>
              <a:buNone/>
              <a:defRPr sz="2100"/>
            </a:lvl8pPr>
            <a:lvl9pPr lvl="8" algn="ctr">
              <a:lnSpc>
                <a:spcPct val="100000"/>
              </a:lnSpc>
              <a:spcBef>
                <a:spcPts val="0"/>
              </a:spcBef>
              <a:spcAft>
                <a:spcPts val="0"/>
              </a:spcAft>
              <a:buSzPts val="2100"/>
              <a:buNone/>
              <a:defRPr sz="2100"/>
            </a:lvl9pPr>
          </a:lstStyle>
          <a:p>
            <a:endParaRPr/>
          </a:p>
        </p:txBody>
      </p:sp>
      <p:sp>
        <p:nvSpPr>
          <p:cNvPr id="39" name="Google Shape;39;p9"/>
          <p:cNvSpPr txBox="1">
            <a:spLocks noGrp="1"/>
          </p:cNvSpPr>
          <p:nvPr>
            <p:ph type="body" idx="2"/>
          </p:nvPr>
        </p:nvSpPr>
        <p:spPr>
          <a:xfrm>
            <a:off x="4939500" y="724075"/>
            <a:ext cx="3837000" cy="3695100"/>
          </a:xfrm>
          <a:prstGeom prst="rect">
            <a:avLst/>
          </a:prstGeom>
        </p:spPr>
        <p:txBody>
          <a:bodyPr spcFirstLastPara="1" wrap="square" lIns="91425" tIns="91425" rIns="91425" bIns="91425" anchor="ctr" anchorCtr="0">
            <a:normAutofit/>
          </a:bodyPr>
          <a:lstStyle>
            <a:lvl1pPr marL="457200" lvl="0" indent="-342900">
              <a:spcBef>
                <a:spcPts val="0"/>
              </a:spcBef>
              <a:spcAft>
                <a:spcPts val="0"/>
              </a:spcAft>
              <a:buSzPts val="1800"/>
              <a:buChar char="●"/>
              <a:defRPr/>
            </a:lvl1pPr>
            <a:lvl2pPr marL="914400" lvl="1" indent="-317500">
              <a:spcBef>
                <a:spcPts val="0"/>
              </a:spcBef>
              <a:spcAft>
                <a:spcPts val="0"/>
              </a:spcAft>
              <a:buSzPts val="1400"/>
              <a:buChar char="○"/>
              <a:defRPr/>
            </a:lvl2pPr>
            <a:lvl3pPr marL="1371600" lvl="2" indent="-317500">
              <a:spcBef>
                <a:spcPts val="0"/>
              </a:spcBef>
              <a:spcAft>
                <a:spcPts val="0"/>
              </a:spcAft>
              <a:buSzPts val="1400"/>
              <a:buChar char="■"/>
              <a:defRPr/>
            </a:lvl3pPr>
            <a:lvl4pPr marL="1828800" lvl="3" indent="-317500">
              <a:spcBef>
                <a:spcPts val="0"/>
              </a:spcBef>
              <a:spcAft>
                <a:spcPts val="0"/>
              </a:spcAft>
              <a:buSzPts val="1400"/>
              <a:buChar char="●"/>
              <a:defRPr/>
            </a:lvl4pPr>
            <a:lvl5pPr marL="2286000" lvl="4" indent="-317500">
              <a:spcBef>
                <a:spcPts val="0"/>
              </a:spcBef>
              <a:spcAft>
                <a:spcPts val="0"/>
              </a:spcAft>
              <a:buSzPts val="1400"/>
              <a:buChar char="○"/>
              <a:defRPr/>
            </a:lvl5pPr>
            <a:lvl6pPr marL="2743200" lvl="5" indent="-317500">
              <a:spcBef>
                <a:spcPts val="0"/>
              </a:spcBef>
              <a:spcAft>
                <a:spcPts val="0"/>
              </a:spcAft>
              <a:buSzPts val="1400"/>
              <a:buChar char="■"/>
              <a:defRPr/>
            </a:lvl6pPr>
            <a:lvl7pPr marL="3200400" lvl="6" indent="-317500">
              <a:spcBef>
                <a:spcPts val="0"/>
              </a:spcBef>
              <a:spcAft>
                <a:spcPts val="0"/>
              </a:spcAft>
              <a:buSzPts val="1400"/>
              <a:buChar char="●"/>
              <a:defRPr/>
            </a:lvl7pPr>
            <a:lvl8pPr marL="3657600" lvl="7" indent="-317500">
              <a:spcBef>
                <a:spcPts val="0"/>
              </a:spcBef>
              <a:spcAft>
                <a:spcPts val="0"/>
              </a:spcAft>
              <a:buSzPts val="1400"/>
              <a:buChar char="○"/>
              <a:defRPr/>
            </a:lvl8pPr>
            <a:lvl9pPr marL="4114800" lvl="8" indent="-317500">
              <a:spcBef>
                <a:spcPts val="0"/>
              </a:spcBef>
              <a:spcAft>
                <a:spcPts val="0"/>
              </a:spcAft>
              <a:buSzPts val="1400"/>
              <a:buChar char="■"/>
              <a:defRPr/>
            </a:lvl9pPr>
          </a:lstStyle>
          <a:p>
            <a:endParaRPr/>
          </a:p>
        </p:txBody>
      </p:sp>
      <p:sp>
        <p:nvSpPr>
          <p:cNvPr id="40" name="Google Shape;40;p9"/>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matchingName="Caption">
  <p:cSld name="CAPTION_ONLY">
    <p:spTree>
      <p:nvGrpSpPr>
        <p:cNvPr id="1" name="Shape 41"/>
        <p:cNvGrpSpPr/>
        <p:nvPr/>
      </p:nvGrpSpPr>
      <p:grpSpPr>
        <a:xfrm>
          <a:off x="0" y="0"/>
          <a:ext cx="0" cy="0"/>
          <a:chOff x="0" y="0"/>
          <a:chExt cx="0" cy="0"/>
        </a:xfrm>
      </p:grpSpPr>
      <p:sp>
        <p:nvSpPr>
          <p:cNvPr id="42" name="Google Shape;42;p10"/>
          <p:cNvSpPr txBox="1">
            <a:spLocks noGrp="1"/>
          </p:cNvSpPr>
          <p:nvPr>
            <p:ph type="body" idx="1"/>
          </p:nvPr>
        </p:nvSpPr>
        <p:spPr>
          <a:xfrm>
            <a:off x="311700" y="4230575"/>
            <a:ext cx="5998800" cy="605100"/>
          </a:xfrm>
          <a:prstGeom prst="rect">
            <a:avLst/>
          </a:prstGeom>
        </p:spPr>
        <p:txBody>
          <a:bodyPr spcFirstLastPara="1" wrap="square" lIns="91425" tIns="91425" rIns="91425" bIns="91425" anchor="ctr" anchorCtr="0">
            <a:normAutofit/>
          </a:bodyPr>
          <a:lstStyle>
            <a:lvl1pPr marL="457200" lvl="0" indent="-228600">
              <a:lnSpc>
                <a:spcPct val="100000"/>
              </a:lnSpc>
              <a:spcBef>
                <a:spcPts val="0"/>
              </a:spcBef>
              <a:spcAft>
                <a:spcPts val="0"/>
              </a:spcAft>
              <a:buSzPts val="1800"/>
              <a:buNone/>
              <a:defRPr/>
            </a:lvl1pPr>
          </a:lstStyle>
          <a:p>
            <a:endParaRPr/>
          </a:p>
        </p:txBody>
      </p:sp>
      <p:sp>
        <p:nvSpPr>
          <p:cNvPr id="43" name="Google Shape;43;p10"/>
          <p:cNvSpPr txBox="1">
            <a:spLocks noGrp="1"/>
          </p:cNvSpPr>
          <p:nvPr>
            <p:ph type="sldNum" idx="12"/>
          </p:nvPr>
        </p:nvSpPr>
        <p:spPr>
          <a:xfrm>
            <a:off x="8472458" y="4663217"/>
            <a:ext cx="548700" cy="393600"/>
          </a:xfrm>
          <a:prstGeom prst="rect">
            <a:avLst/>
          </a:prstGeom>
        </p:spPr>
        <p:txBody>
          <a:bodyPr spcFirstLastPara="1" wrap="square" lIns="91425" tIns="91425" rIns="91425" bIns="91425" anchor="ctr" anchorCtr="0">
            <a:normAutofit/>
          </a:bodyPr>
          <a:lstStyle>
            <a:lvl1pPr lvl="0">
              <a:buNone/>
              <a:defRPr/>
            </a:lvl1pPr>
            <a:lvl2pPr lvl="1">
              <a:buNone/>
              <a:defRPr/>
            </a:lvl2pPr>
            <a:lvl3pPr lvl="2">
              <a:buNone/>
              <a:defRPr/>
            </a:lvl3pPr>
            <a:lvl4pPr lvl="3">
              <a:buNone/>
              <a:defRPr/>
            </a:lvl4pPr>
            <a:lvl5pPr lvl="4">
              <a:buNone/>
              <a:defRPr/>
            </a:lvl5pPr>
            <a:lvl6pPr lvl="5">
              <a:buNone/>
              <a:defRPr/>
            </a:lvl6pPr>
            <a:lvl7pPr lvl="6">
              <a:buNone/>
              <a:defRPr/>
            </a:lvl7pPr>
            <a:lvl8pPr lvl="7">
              <a:buNone/>
              <a:defRPr/>
            </a:lvl8pPr>
            <a:lvl9pPr lvl="8">
              <a:buNone/>
              <a:defRPr/>
            </a:lvl9pPr>
          </a:lstStyle>
          <a:p>
            <a:pPr marL="0" lvl="0" indent="0" algn="r" rtl="0">
              <a:spcBef>
                <a:spcPts val="0"/>
              </a:spcBef>
              <a:spcAft>
                <a:spcPts val="0"/>
              </a:spcAft>
              <a:buNone/>
            </a:pPr>
            <a:fld id="{00000000-1234-1234-1234-123412341234}" type="slidenum">
              <a:rPr lang="en"/>
              <a:t>‹#›</a:t>
            </a:fld>
            <a:endParaRPr/>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name="simple-light-2">
    <p:bg>
      <p:bgPr>
        <a:solidFill>
          <a:schemeClr val="lt1"/>
        </a:solidFill>
        <a:effectLst/>
      </p:bgPr>
    </p:bg>
    <p:spTree>
      <p:nvGrpSpPr>
        <p:cNvPr id="1" name="Shape 5"/>
        <p:cNvGrpSpPr/>
        <p:nvPr/>
      </p:nvGrpSpPr>
      <p:grpSpPr>
        <a:xfrm>
          <a:off x="0" y="0"/>
          <a:ext cx="0" cy="0"/>
          <a:chOff x="0" y="0"/>
          <a:chExt cx="0" cy="0"/>
        </a:xfrm>
      </p:grpSpPr>
      <p:sp>
        <p:nvSpPr>
          <p:cNvPr id="6" name="Google Shape;6;p1"/>
          <p:cNvSpPr txBox="1">
            <a:spLocks noGrp="1"/>
          </p:cNvSpPr>
          <p:nvPr>
            <p:ph type="title"/>
          </p:nvPr>
        </p:nvSpPr>
        <p:spPr>
          <a:xfrm>
            <a:off x="311700" y="445025"/>
            <a:ext cx="8520600" cy="572700"/>
          </a:xfrm>
          <a:prstGeom prst="rect">
            <a:avLst/>
          </a:prstGeom>
          <a:noFill/>
          <a:ln>
            <a:noFill/>
          </a:ln>
        </p:spPr>
        <p:txBody>
          <a:bodyPr spcFirstLastPara="1" wrap="square" lIns="91425" tIns="91425" rIns="91425" bIns="91425" anchor="t" anchorCtr="0">
            <a:normAutofit/>
          </a:bodyPr>
          <a:lstStyle>
            <a:lvl1pPr lvl="0">
              <a:spcBef>
                <a:spcPts val="0"/>
              </a:spcBef>
              <a:spcAft>
                <a:spcPts val="0"/>
              </a:spcAft>
              <a:buClr>
                <a:schemeClr val="dk1"/>
              </a:buClr>
              <a:buSzPts val="2800"/>
              <a:buNone/>
              <a:defRPr sz="2800">
                <a:solidFill>
                  <a:schemeClr val="dk1"/>
                </a:solidFill>
              </a:defRPr>
            </a:lvl1pPr>
            <a:lvl2pPr lvl="1">
              <a:spcBef>
                <a:spcPts val="0"/>
              </a:spcBef>
              <a:spcAft>
                <a:spcPts val="0"/>
              </a:spcAft>
              <a:buClr>
                <a:schemeClr val="dk1"/>
              </a:buClr>
              <a:buSzPts val="2800"/>
              <a:buNone/>
              <a:defRPr sz="2800">
                <a:solidFill>
                  <a:schemeClr val="dk1"/>
                </a:solidFill>
              </a:defRPr>
            </a:lvl2pPr>
            <a:lvl3pPr lvl="2">
              <a:spcBef>
                <a:spcPts val="0"/>
              </a:spcBef>
              <a:spcAft>
                <a:spcPts val="0"/>
              </a:spcAft>
              <a:buClr>
                <a:schemeClr val="dk1"/>
              </a:buClr>
              <a:buSzPts val="2800"/>
              <a:buNone/>
              <a:defRPr sz="2800">
                <a:solidFill>
                  <a:schemeClr val="dk1"/>
                </a:solidFill>
              </a:defRPr>
            </a:lvl3pPr>
            <a:lvl4pPr lvl="3">
              <a:spcBef>
                <a:spcPts val="0"/>
              </a:spcBef>
              <a:spcAft>
                <a:spcPts val="0"/>
              </a:spcAft>
              <a:buClr>
                <a:schemeClr val="dk1"/>
              </a:buClr>
              <a:buSzPts val="2800"/>
              <a:buNone/>
              <a:defRPr sz="2800">
                <a:solidFill>
                  <a:schemeClr val="dk1"/>
                </a:solidFill>
              </a:defRPr>
            </a:lvl4pPr>
            <a:lvl5pPr lvl="4">
              <a:spcBef>
                <a:spcPts val="0"/>
              </a:spcBef>
              <a:spcAft>
                <a:spcPts val="0"/>
              </a:spcAft>
              <a:buClr>
                <a:schemeClr val="dk1"/>
              </a:buClr>
              <a:buSzPts val="2800"/>
              <a:buNone/>
              <a:defRPr sz="2800">
                <a:solidFill>
                  <a:schemeClr val="dk1"/>
                </a:solidFill>
              </a:defRPr>
            </a:lvl5pPr>
            <a:lvl6pPr lvl="5">
              <a:spcBef>
                <a:spcPts val="0"/>
              </a:spcBef>
              <a:spcAft>
                <a:spcPts val="0"/>
              </a:spcAft>
              <a:buClr>
                <a:schemeClr val="dk1"/>
              </a:buClr>
              <a:buSzPts val="2800"/>
              <a:buNone/>
              <a:defRPr sz="2800">
                <a:solidFill>
                  <a:schemeClr val="dk1"/>
                </a:solidFill>
              </a:defRPr>
            </a:lvl6pPr>
            <a:lvl7pPr lvl="6">
              <a:spcBef>
                <a:spcPts val="0"/>
              </a:spcBef>
              <a:spcAft>
                <a:spcPts val="0"/>
              </a:spcAft>
              <a:buClr>
                <a:schemeClr val="dk1"/>
              </a:buClr>
              <a:buSzPts val="2800"/>
              <a:buNone/>
              <a:defRPr sz="2800">
                <a:solidFill>
                  <a:schemeClr val="dk1"/>
                </a:solidFill>
              </a:defRPr>
            </a:lvl7pPr>
            <a:lvl8pPr lvl="7">
              <a:spcBef>
                <a:spcPts val="0"/>
              </a:spcBef>
              <a:spcAft>
                <a:spcPts val="0"/>
              </a:spcAft>
              <a:buClr>
                <a:schemeClr val="dk1"/>
              </a:buClr>
              <a:buSzPts val="2800"/>
              <a:buNone/>
              <a:defRPr sz="2800">
                <a:solidFill>
                  <a:schemeClr val="dk1"/>
                </a:solidFill>
              </a:defRPr>
            </a:lvl8pPr>
            <a:lvl9pPr lvl="8">
              <a:spcBef>
                <a:spcPts val="0"/>
              </a:spcBef>
              <a:spcAft>
                <a:spcPts val="0"/>
              </a:spcAft>
              <a:buClr>
                <a:schemeClr val="dk1"/>
              </a:buClr>
              <a:buSzPts val="2800"/>
              <a:buNone/>
              <a:defRPr sz="2800">
                <a:solidFill>
                  <a:schemeClr val="dk1"/>
                </a:solidFill>
              </a:defRPr>
            </a:lvl9pPr>
          </a:lstStyle>
          <a:p>
            <a:endParaRPr/>
          </a:p>
        </p:txBody>
      </p:sp>
      <p:sp>
        <p:nvSpPr>
          <p:cNvPr id="7" name="Google Shape;7;p1"/>
          <p:cNvSpPr txBox="1">
            <a:spLocks noGrp="1"/>
          </p:cNvSpPr>
          <p:nvPr>
            <p:ph type="body" idx="1"/>
          </p:nvPr>
        </p:nvSpPr>
        <p:spPr>
          <a:xfrm>
            <a:off x="311700" y="1152475"/>
            <a:ext cx="8520600" cy="3416400"/>
          </a:xfrm>
          <a:prstGeom prst="rect">
            <a:avLst/>
          </a:prstGeom>
          <a:noFill/>
          <a:ln>
            <a:noFill/>
          </a:ln>
        </p:spPr>
        <p:txBody>
          <a:bodyPr spcFirstLastPara="1" wrap="square" lIns="91425" tIns="91425" rIns="91425" bIns="91425" anchor="t" anchorCtr="0">
            <a:normAutofit/>
          </a:bodyPr>
          <a:lstStyle>
            <a:lvl1pPr marL="457200" lvl="0" indent="-342900">
              <a:lnSpc>
                <a:spcPct val="115000"/>
              </a:lnSpc>
              <a:spcBef>
                <a:spcPts val="0"/>
              </a:spcBef>
              <a:spcAft>
                <a:spcPts val="0"/>
              </a:spcAft>
              <a:buClr>
                <a:schemeClr val="dk2"/>
              </a:buClr>
              <a:buSzPts val="1800"/>
              <a:buChar char="●"/>
              <a:defRPr sz="1800">
                <a:solidFill>
                  <a:schemeClr val="dk2"/>
                </a:solidFill>
              </a:defRPr>
            </a:lvl1pPr>
            <a:lvl2pPr marL="914400" lvl="1" indent="-317500">
              <a:lnSpc>
                <a:spcPct val="115000"/>
              </a:lnSpc>
              <a:spcBef>
                <a:spcPts val="0"/>
              </a:spcBef>
              <a:spcAft>
                <a:spcPts val="0"/>
              </a:spcAft>
              <a:buClr>
                <a:schemeClr val="dk2"/>
              </a:buClr>
              <a:buSzPts val="1400"/>
              <a:buChar char="○"/>
              <a:defRPr>
                <a:solidFill>
                  <a:schemeClr val="dk2"/>
                </a:solidFill>
              </a:defRPr>
            </a:lvl2pPr>
            <a:lvl3pPr marL="1371600" lvl="2" indent="-317500">
              <a:lnSpc>
                <a:spcPct val="115000"/>
              </a:lnSpc>
              <a:spcBef>
                <a:spcPts val="0"/>
              </a:spcBef>
              <a:spcAft>
                <a:spcPts val="0"/>
              </a:spcAft>
              <a:buClr>
                <a:schemeClr val="dk2"/>
              </a:buClr>
              <a:buSzPts val="1400"/>
              <a:buChar char="■"/>
              <a:defRPr>
                <a:solidFill>
                  <a:schemeClr val="dk2"/>
                </a:solidFill>
              </a:defRPr>
            </a:lvl3pPr>
            <a:lvl4pPr marL="1828800" lvl="3" indent="-317500">
              <a:lnSpc>
                <a:spcPct val="115000"/>
              </a:lnSpc>
              <a:spcBef>
                <a:spcPts val="0"/>
              </a:spcBef>
              <a:spcAft>
                <a:spcPts val="0"/>
              </a:spcAft>
              <a:buClr>
                <a:schemeClr val="dk2"/>
              </a:buClr>
              <a:buSzPts val="1400"/>
              <a:buChar char="●"/>
              <a:defRPr>
                <a:solidFill>
                  <a:schemeClr val="dk2"/>
                </a:solidFill>
              </a:defRPr>
            </a:lvl4pPr>
            <a:lvl5pPr marL="2286000" lvl="4" indent="-317500">
              <a:lnSpc>
                <a:spcPct val="115000"/>
              </a:lnSpc>
              <a:spcBef>
                <a:spcPts val="0"/>
              </a:spcBef>
              <a:spcAft>
                <a:spcPts val="0"/>
              </a:spcAft>
              <a:buClr>
                <a:schemeClr val="dk2"/>
              </a:buClr>
              <a:buSzPts val="1400"/>
              <a:buChar char="○"/>
              <a:defRPr>
                <a:solidFill>
                  <a:schemeClr val="dk2"/>
                </a:solidFill>
              </a:defRPr>
            </a:lvl5pPr>
            <a:lvl6pPr marL="2743200" lvl="5" indent="-317500">
              <a:lnSpc>
                <a:spcPct val="115000"/>
              </a:lnSpc>
              <a:spcBef>
                <a:spcPts val="0"/>
              </a:spcBef>
              <a:spcAft>
                <a:spcPts val="0"/>
              </a:spcAft>
              <a:buClr>
                <a:schemeClr val="dk2"/>
              </a:buClr>
              <a:buSzPts val="1400"/>
              <a:buChar char="■"/>
              <a:defRPr>
                <a:solidFill>
                  <a:schemeClr val="dk2"/>
                </a:solidFill>
              </a:defRPr>
            </a:lvl6pPr>
            <a:lvl7pPr marL="3200400" lvl="6" indent="-317500">
              <a:lnSpc>
                <a:spcPct val="115000"/>
              </a:lnSpc>
              <a:spcBef>
                <a:spcPts val="0"/>
              </a:spcBef>
              <a:spcAft>
                <a:spcPts val="0"/>
              </a:spcAft>
              <a:buClr>
                <a:schemeClr val="dk2"/>
              </a:buClr>
              <a:buSzPts val="1400"/>
              <a:buChar char="●"/>
              <a:defRPr>
                <a:solidFill>
                  <a:schemeClr val="dk2"/>
                </a:solidFill>
              </a:defRPr>
            </a:lvl7pPr>
            <a:lvl8pPr marL="3657600" lvl="7" indent="-317500">
              <a:lnSpc>
                <a:spcPct val="115000"/>
              </a:lnSpc>
              <a:spcBef>
                <a:spcPts val="0"/>
              </a:spcBef>
              <a:spcAft>
                <a:spcPts val="0"/>
              </a:spcAft>
              <a:buClr>
                <a:schemeClr val="dk2"/>
              </a:buClr>
              <a:buSzPts val="1400"/>
              <a:buChar char="○"/>
              <a:defRPr>
                <a:solidFill>
                  <a:schemeClr val="dk2"/>
                </a:solidFill>
              </a:defRPr>
            </a:lvl8pPr>
            <a:lvl9pPr marL="4114800" lvl="8" indent="-317500">
              <a:lnSpc>
                <a:spcPct val="115000"/>
              </a:lnSpc>
              <a:spcBef>
                <a:spcPts val="0"/>
              </a:spcBef>
              <a:spcAft>
                <a:spcPts val="0"/>
              </a:spcAft>
              <a:buClr>
                <a:schemeClr val="dk2"/>
              </a:buClr>
              <a:buSzPts val="1400"/>
              <a:buChar char="■"/>
              <a:defRPr>
                <a:solidFill>
                  <a:schemeClr val="dk2"/>
                </a:solidFill>
              </a:defRPr>
            </a:lvl9pPr>
          </a:lstStyle>
          <a:p>
            <a:endParaRPr/>
          </a:p>
        </p:txBody>
      </p:sp>
      <p:sp>
        <p:nvSpPr>
          <p:cNvPr id="8" name="Google Shape;8;p1"/>
          <p:cNvSpPr txBox="1">
            <a:spLocks noGrp="1"/>
          </p:cNvSpPr>
          <p:nvPr>
            <p:ph type="sldNum" idx="12"/>
          </p:nvPr>
        </p:nvSpPr>
        <p:spPr>
          <a:xfrm>
            <a:off x="8472458" y="4663217"/>
            <a:ext cx="548700" cy="393600"/>
          </a:xfrm>
          <a:prstGeom prst="rect">
            <a:avLst/>
          </a:prstGeom>
          <a:noFill/>
          <a:ln>
            <a:noFill/>
          </a:ln>
        </p:spPr>
        <p:txBody>
          <a:bodyPr spcFirstLastPara="1" wrap="square" lIns="91425" tIns="91425" rIns="91425" bIns="91425" anchor="ctr" anchorCtr="0">
            <a:normAutofit/>
          </a:bodyPr>
          <a:lstStyle>
            <a:lvl1pPr lvl="0" algn="r">
              <a:buNone/>
              <a:defRPr sz="1000">
                <a:solidFill>
                  <a:schemeClr val="dk2"/>
                </a:solidFill>
              </a:defRPr>
            </a:lvl1pPr>
            <a:lvl2pPr lvl="1" algn="r">
              <a:buNone/>
              <a:defRPr sz="1000">
                <a:solidFill>
                  <a:schemeClr val="dk2"/>
                </a:solidFill>
              </a:defRPr>
            </a:lvl2pPr>
            <a:lvl3pPr lvl="2" algn="r">
              <a:buNone/>
              <a:defRPr sz="1000">
                <a:solidFill>
                  <a:schemeClr val="dk2"/>
                </a:solidFill>
              </a:defRPr>
            </a:lvl3pPr>
            <a:lvl4pPr lvl="3" algn="r">
              <a:buNone/>
              <a:defRPr sz="1000">
                <a:solidFill>
                  <a:schemeClr val="dk2"/>
                </a:solidFill>
              </a:defRPr>
            </a:lvl4pPr>
            <a:lvl5pPr lvl="4" algn="r">
              <a:buNone/>
              <a:defRPr sz="1000">
                <a:solidFill>
                  <a:schemeClr val="dk2"/>
                </a:solidFill>
              </a:defRPr>
            </a:lvl5pPr>
            <a:lvl6pPr lvl="5" algn="r">
              <a:buNone/>
              <a:defRPr sz="1000">
                <a:solidFill>
                  <a:schemeClr val="dk2"/>
                </a:solidFill>
              </a:defRPr>
            </a:lvl6pPr>
            <a:lvl7pPr lvl="6" algn="r">
              <a:buNone/>
              <a:defRPr sz="1000">
                <a:solidFill>
                  <a:schemeClr val="dk2"/>
                </a:solidFill>
              </a:defRPr>
            </a:lvl7pPr>
            <a:lvl8pPr lvl="7" algn="r">
              <a:buNone/>
              <a:defRPr sz="1000">
                <a:solidFill>
                  <a:schemeClr val="dk2"/>
                </a:solidFill>
              </a:defRPr>
            </a:lvl8pPr>
            <a:lvl9pPr lvl="8" algn="r">
              <a:buNone/>
              <a:defRPr sz="1000">
                <a:solidFill>
                  <a:schemeClr val="dk2"/>
                </a:solidFill>
              </a:defRPr>
            </a:lvl9pPr>
          </a:lstStyle>
          <a:p>
            <a:pPr marL="0" lvl="0" indent="0" algn="r" rtl="0">
              <a:spcBef>
                <a:spcPts val="0"/>
              </a:spcBef>
              <a:spcAft>
                <a:spcPts val="0"/>
              </a:spcAft>
              <a:buNone/>
            </a:pPr>
            <a:fld id="{00000000-1234-1234-1234-123412341234}" type="slidenum">
              <a:rPr lang="en"/>
              <a:t>‹#›</a:t>
            </a:fld>
            <a:endParaRPr/>
          </a:p>
        </p:txBody>
      </p:sp>
      <p:sp>
        <p:nvSpPr>
          <p:cNvPr id="2" name="MSIPCMContentMarking" descr="{&quot;HashCode&quot;:-1880398799,&quot;Placement&quot;:&quot;Header&quot;,&quot;Top&quot;:0.0,&quot;Left&quot;:502.4445,&quot;SlideWidth&quot;:720,&quot;SlideHeight&quot;:405}">
            <a:extLst>
              <a:ext uri="{FF2B5EF4-FFF2-40B4-BE49-F238E27FC236}">
                <a16:creationId xmlns:a16="http://schemas.microsoft.com/office/drawing/2014/main" id="{25A674F5-791F-3382-FED1-9D10C08C28D8}"/>
              </a:ext>
            </a:extLst>
          </p:cNvPr>
          <p:cNvSpPr txBox="1"/>
          <p:nvPr userDrawn="1"/>
        </p:nvSpPr>
        <p:spPr>
          <a:xfrm>
            <a:off x="6381045" y="0"/>
            <a:ext cx="2762954" cy="280749"/>
          </a:xfrm>
          <a:prstGeom prst="rect">
            <a:avLst/>
          </a:prstGeom>
          <a:noFill/>
        </p:spPr>
        <p:txBody>
          <a:bodyPr vert="horz" wrap="square" lIns="0" tIns="0" rIns="0" bIns="0" rtlCol="0" anchor="ctr" anchorCtr="1">
            <a:spAutoFit/>
          </a:bodyPr>
          <a:lstStyle/>
          <a:p>
            <a:pPr algn="r">
              <a:spcBef>
                <a:spcPts val="0"/>
              </a:spcBef>
              <a:spcAft>
                <a:spcPts val="0"/>
              </a:spcAft>
            </a:pPr>
            <a:r>
              <a:rPr lang="en-US" sz="1200">
                <a:solidFill>
                  <a:srgbClr val="000000"/>
                </a:solidFill>
                <a:latin typeface="Arial" panose="020B0604020202020204" pitchFamily="34" charset="0"/>
              </a:rPr>
              <a:t>UNCLASSIFIED / NON CLASSIFIÉ</a:t>
            </a:r>
          </a:p>
        </p:txBody>
      </p:sp>
    </p:spTree>
  </p:cSld>
  <p:clrMap bg1="lt1" tx1="dk1" bg2="dk2" tx2="lt2" accent1="accent1" accent2="accent2" accent3="accent3" accent4="accent4" accent5="accent5" accent6="accent6" hlink="hlink" folHlink="folHlink"/>
  <p:sldLayoutIdLst>
    <p:sldLayoutId id="2147483648" r:id="rId1"/>
    <p:sldLayoutId id="2147483649" r:id="rId2"/>
    <p:sldLayoutId id="2147483650" r:id="rId3"/>
    <p:sldLayoutId id="2147483651" r:id="rId4"/>
    <p:sldLayoutId id="2147483652" r:id="rId5"/>
    <p:sldLayoutId id="2147483653" r:id="rId6"/>
    <p:sldLayoutId id="2147483654" r:id="rId7"/>
    <p:sldLayoutId id="2147483655" r:id="rId8"/>
    <p:sldLayoutId id="2147483656" r:id="rId9"/>
    <p:sldLayoutId id="2147483657" r:id="rId10"/>
    <p:sldLayoutId id="2147483658" r:id="rId11"/>
  </p:sldLayoutIdLst>
  <p:hf sldNum="0" hdr="0" ftr="0" dt="0"/>
  <p:txStyles>
    <p:title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titleStyle>
    <p:body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bodyStyle>
    <p:other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xml"/><Relationship Id="rId1" Type="http://schemas.openxmlformats.org/officeDocument/2006/relationships/slideLayout" Target="../slideLayouts/slideLayout1.xml"/><Relationship Id="rId4" Type="http://schemas.openxmlformats.org/officeDocument/2006/relationships/image" Target="../media/image2.png"/></Relationships>
</file>

<file path=ppt/slides/_rels/slide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0.xml"/><Relationship Id="rId1" Type="http://schemas.openxmlformats.org/officeDocument/2006/relationships/slideLayout" Target="../slideLayouts/slideLayout3.xml"/></Relationships>
</file>

<file path=ppt/slides/_rels/slide11.xml.rels><?xml version="1.0" encoding="UTF-8" standalone="yes"?>
<Relationships xmlns="http://schemas.openxmlformats.org/package/2006/relationships"><Relationship Id="rId2" Type="http://schemas.openxmlformats.org/officeDocument/2006/relationships/notesSlide" Target="../notesSlides/notesSlide11.xml"/><Relationship Id="rId1" Type="http://schemas.openxmlformats.org/officeDocument/2006/relationships/slideLayout" Target="../slideLayouts/slideLayout3.xml"/></Relationships>
</file>

<file path=ppt/slides/_rels/slide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notesSlide" Target="../notesSlides/notesSlide12.xml"/><Relationship Id="rId1" Type="http://schemas.openxmlformats.org/officeDocument/2006/relationships/slideLayout" Target="../slideLayouts/slideLayout3.xml"/><Relationship Id="rId4" Type="http://schemas.openxmlformats.org/officeDocument/2006/relationships/hyperlink" Target="https://test.canada.ca/accessibilite/" TargetMode="External"/></Relationships>
</file>

<file path=ppt/slides/_rels/slide13.xml.rels><?xml version="1.0" encoding="UTF-8" standalone="yes"?>
<Relationships xmlns="http://schemas.openxmlformats.org/package/2006/relationships"><Relationship Id="rId3" Type="http://schemas.openxmlformats.org/officeDocument/2006/relationships/hyperlink" Target="https://a11y.canada.ca/fr/standards/" TargetMode="External"/><Relationship Id="rId2" Type="http://schemas.openxmlformats.org/officeDocument/2006/relationships/notesSlide" Target="../notesSlides/notesSlide13.xml"/><Relationship Id="rId1" Type="http://schemas.openxmlformats.org/officeDocument/2006/relationships/slideLayout" Target="../slideLayouts/slideLayout3.xml"/></Relationships>
</file>

<file path=ppt/slides/_rels/slide1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4.xml"/><Relationship Id="rId1" Type="http://schemas.openxmlformats.org/officeDocument/2006/relationships/slideLayout" Target="../slideLayouts/slideLayout3.xml"/><Relationship Id="rId4" Type="http://schemas.openxmlformats.org/officeDocument/2006/relationships/hyperlink" Target="https://test.canada.ca/accessibilite/" TargetMode="External"/></Relationships>
</file>

<file path=ppt/slides/_rels/slide15.xml.rels><?xml version="1.0" encoding="UTF-8" standalone="yes"?>
<Relationships xmlns="http://schemas.openxmlformats.org/package/2006/relationships"><Relationship Id="rId3" Type="http://schemas.openxmlformats.org/officeDocument/2006/relationships/hyperlink" Target="https://www.canada.ca/fr/emploi-developpement-social/programmes/directives-reglements-canadien-accessibilite/plans-accessibilite.html" TargetMode="External"/><Relationship Id="rId2" Type="http://schemas.openxmlformats.org/officeDocument/2006/relationships/notesSlide" Target="../notesSlides/notesSlide15.xml"/><Relationship Id="rId1" Type="http://schemas.openxmlformats.org/officeDocument/2006/relationships/slideLayout" Target="../slideLayouts/slideLayout3.xml"/></Relationships>
</file>

<file path=ppt/slides/_rels/slide16.xml.rels><?xml version="1.0" encoding="UTF-8" standalone="yes"?>
<Relationships xmlns="http://schemas.openxmlformats.org/package/2006/relationships"><Relationship Id="rId3" Type="http://schemas.openxmlformats.org/officeDocument/2006/relationships/hyperlink" Target="https://ouvert.canada.ca/fr" TargetMode="External"/><Relationship Id="rId2" Type="http://schemas.openxmlformats.org/officeDocument/2006/relationships/notesSlide" Target="../notesSlides/notesSlide16.xml"/><Relationship Id="rId1" Type="http://schemas.openxmlformats.org/officeDocument/2006/relationships/slideLayout" Target="../slideLayouts/slideLayout3.xml"/><Relationship Id="rId4" Type="http://schemas.openxmlformats.org/officeDocument/2006/relationships/hyperlink" Target="https://www.tbs-sct.canada.ca/pol/doc-fra.aspx?id=27167" TargetMode="External"/></Relationships>
</file>

<file path=ppt/slides/_rels/slide17.xml.rels><?xml version="1.0" encoding="UTF-8" standalone="yes"?>
<Relationships xmlns="http://schemas.openxmlformats.org/package/2006/relationships"><Relationship Id="rId3" Type="http://schemas.openxmlformats.org/officeDocument/2006/relationships/hyperlink" Target="mailto:Info.Com@chrc-ccdp.gc.ca" TargetMode="External"/><Relationship Id="rId2" Type="http://schemas.openxmlformats.org/officeDocument/2006/relationships/notesSlide" Target="../notesSlides/notesSlide17.xml"/><Relationship Id="rId1" Type="http://schemas.openxmlformats.org/officeDocument/2006/relationships/slideLayout" Target="../slideLayouts/slideLayout3.xml"/><Relationship Id="rId4" Type="http://schemas.openxmlformats.org/officeDocument/2006/relationships/hyperlink" Target="https://www.accessibilitychrc.ca/fr/aviser-le-commissaire-laccessibilite" TargetMode="External"/></Relationships>
</file>

<file path=ppt/slides/_rels/slide1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notesSlide" Target="../notesSlides/notesSlide18.xml"/><Relationship Id="rId1" Type="http://schemas.openxmlformats.org/officeDocument/2006/relationships/slideLayout" Target="../slideLayouts/slideLayout3.xml"/><Relationship Id="rId4" Type="http://schemas.openxmlformats.org/officeDocument/2006/relationships/hyperlink" Target="https://test.canada.ca/accessibilite/" TargetMode="External"/></Relationships>
</file>

<file path=ppt/slides/_rels/slide1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notesSlide" Target="../notesSlides/notesSlide19.xml"/><Relationship Id="rId1" Type="http://schemas.openxmlformats.org/officeDocument/2006/relationships/slideLayout" Target="../slideLayouts/slideLayout3.xml"/><Relationship Id="rId4" Type="http://schemas.openxmlformats.org/officeDocument/2006/relationships/hyperlink" Target="https://test.canada.ca/accessibilite/" TargetMode="External"/></Relationships>
</file>

<file path=ppt/slides/_rels/slide2.xml.rels><?xml version="1.0" encoding="UTF-8" standalone="yes"?>
<Relationships xmlns="http://schemas.openxmlformats.org/package/2006/relationships"><Relationship Id="rId3" Type="http://schemas.openxmlformats.org/officeDocument/2006/relationships/hyperlink" Target="https://www.canada.ca/fr/emploi-developpement-social/programmes/directives-reglements-canadien-accessibilite.html" TargetMode="External"/><Relationship Id="rId2" Type="http://schemas.openxmlformats.org/officeDocument/2006/relationships/notesSlide" Target="../notesSlides/notesSlide2.xml"/><Relationship Id="rId1" Type="http://schemas.openxmlformats.org/officeDocument/2006/relationships/slideLayout" Target="../slideLayouts/slideLayout3.xml"/></Relationships>
</file>

<file path=ppt/slides/_rels/slide20.xml.rels><?xml version="1.0" encoding="UTF-8" standalone="yes"?>
<Relationships xmlns="http://schemas.openxmlformats.org/package/2006/relationships"><Relationship Id="rId3" Type="http://schemas.openxmlformats.org/officeDocument/2006/relationships/hyperlink" Target="http://requestform.portal.gc.ca/tickets.html" TargetMode="External"/><Relationship Id="rId2" Type="http://schemas.openxmlformats.org/officeDocument/2006/relationships/notesSlide" Target="../notesSlides/notesSlide20.xml"/><Relationship Id="rId1" Type="http://schemas.openxmlformats.org/officeDocument/2006/relationships/slideLayout" Target="../slideLayouts/slideLayout3.xml"/></Relationships>
</file>

<file path=ppt/slides/_rels/slide21.xml.rels><?xml version="1.0" encoding="UTF-8" standalone="yes"?>
<Relationships xmlns="http://schemas.openxmlformats.org/package/2006/relationships"><Relationship Id="rId2" Type="http://schemas.openxmlformats.org/officeDocument/2006/relationships/notesSlide" Target="../notesSlides/notesSlide21.xml"/><Relationship Id="rId1" Type="http://schemas.openxmlformats.org/officeDocument/2006/relationships/slideLayout" Target="../slideLayouts/slideLayout3.xml"/></Relationships>
</file>

<file path=ppt/slides/_rels/slide2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notesSlide" Target="../notesSlides/notesSlide22.xml"/><Relationship Id="rId1" Type="http://schemas.openxmlformats.org/officeDocument/2006/relationships/slideLayout" Target="../slideLayouts/slideLayout3.xml"/><Relationship Id="rId4" Type="http://schemas.openxmlformats.org/officeDocument/2006/relationships/hyperlink" Target="https://test.canada.ca/accessibilite/" TargetMode="External"/></Relationships>
</file>

<file path=ppt/slides/_rels/slide23.xml.rels><?xml version="1.0" encoding="UTF-8" standalone="yes"?>
<Relationships xmlns="http://schemas.openxmlformats.org/package/2006/relationships"><Relationship Id="rId3" Type="http://schemas.openxmlformats.org/officeDocument/2006/relationships/hyperlink" Target="https://www.canada.ca/fr/emploi-developpement-social/programmes/directives-reglements-canadien-accessibilite/processus-retroaction/introduction.html" TargetMode="External"/><Relationship Id="rId2" Type="http://schemas.openxmlformats.org/officeDocument/2006/relationships/notesSlide" Target="../notesSlides/notesSlide23.xml"/><Relationship Id="rId1" Type="http://schemas.openxmlformats.org/officeDocument/2006/relationships/slideLayout" Target="../slideLayouts/slideLayout3.xml"/></Relationships>
</file>

<file path=ppt/slides/_rels/slide24.xml.rels><?xml version="1.0" encoding="UTF-8" standalone="yes"?>
<Relationships xmlns="http://schemas.openxmlformats.org/package/2006/relationships"><Relationship Id="rId3" Type="http://schemas.openxmlformats.org/officeDocument/2006/relationships/hyperlink" Target="mailto:Info.Com@chrc-ccdp.gc.ca" TargetMode="External"/><Relationship Id="rId2" Type="http://schemas.openxmlformats.org/officeDocument/2006/relationships/notesSlide" Target="../notesSlides/notesSlide24.xml"/><Relationship Id="rId1" Type="http://schemas.openxmlformats.org/officeDocument/2006/relationships/slideLayout" Target="../slideLayouts/slideLayout3.xml"/><Relationship Id="rId4" Type="http://schemas.openxmlformats.org/officeDocument/2006/relationships/hyperlink" Target="https://www.accessibilitychrc.ca/fr/aviser-le-commissaire-laccessibilite" TargetMode="External"/></Relationships>
</file>

<file path=ppt/slides/_rels/slide25.xml.rels><?xml version="1.0" encoding="UTF-8" standalone="yes"?>
<Relationships xmlns="http://schemas.openxmlformats.org/package/2006/relationships"><Relationship Id="rId3" Type="http://schemas.openxmlformats.org/officeDocument/2006/relationships/hyperlink" Target="mailto:dto.btn@tbs-sct.gc.ca" TargetMode="External"/><Relationship Id="rId2" Type="http://schemas.openxmlformats.org/officeDocument/2006/relationships/notesSlide" Target="../notesSlides/notesSlide25.xml"/><Relationship Id="rId1" Type="http://schemas.openxmlformats.org/officeDocument/2006/relationships/slideLayout" Target="../slideLayouts/slideLayout3.xml"/><Relationship Id="rId4" Type="http://schemas.openxmlformats.org/officeDocument/2006/relationships/hyperlink" Target="https://www.canada.ca/fr/gouvernement/a-propos/systeme-conception/bibliotheque-modeles.html" TargetMode="External"/></Relationships>
</file>

<file path=ppt/slides/_rels/slide26.xml.rels><?xml version="1.0" encoding="UTF-8" standalone="yes"?>
<Relationships xmlns="http://schemas.openxmlformats.org/package/2006/relationships"><Relationship Id="rId2" Type="http://schemas.openxmlformats.org/officeDocument/2006/relationships/notesSlide" Target="../notesSlides/notesSlide26.xml"/><Relationship Id="rId1" Type="http://schemas.openxmlformats.org/officeDocument/2006/relationships/slideLayout" Target="../slideLayouts/slideLayout1.xml"/></Relationships>
</file>

<file path=ppt/slides/_rels/slide27.xml.rels><?xml version="1.0" encoding="UTF-8" standalone="yes"?>
<Relationships xmlns="http://schemas.openxmlformats.org/package/2006/relationships"><Relationship Id="rId8" Type="http://schemas.openxmlformats.org/officeDocument/2006/relationships/hyperlink" Target="https://helpx.adobe.com/ca_fr/acrobat/using/creating-accessible-pdfs.html" TargetMode="External"/><Relationship Id="rId3" Type="http://schemas.openxmlformats.org/officeDocument/2006/relationships/hyperlink" Target="https://publications.gc.ca" TargetMode="External"/><Relationship Id="rId7" Type="http://schemas.openxmlformats.org/officeDocument/2006/relationships/hyperlink" Target="mailto:publications.acquisitions@pwgsc.gc.ca" TargetMode="External"/><Relationship Id="rId2" Type="http://schemas.openxmlformats.org/officeDocument/2006/relationships/notesSlide" Target="../notesSlides/notesSlide27.xml"/><Relationship Id="rId1" Type="http://schemas.openxmlformats.org/officeDocument/2006/relationships/slideLayout" Target="../slideLayouts/slideLayout3.xml"/><Relationship Id="rId6" Type="http://schemas.openxmlformats.org/officeDocument/2006/relationships/hyperlink" Target="https://publications.gc.ca/site/fra/services/formePageDroitAuteur.html" TargetMode="External"/><Relationship Id="rId5" Type="http://schemas.openxmlformats.org/officeDocument/2006/relationships/hyperlink" Target="Pr&#233;senter%20une%20demande%20de%20Num&#233;ro%20international%20normalis&#233;%20du%20livre%20et%20de%20num&#233;ro%20de%20catalogue" TargetMode="External"/><Relationship Id="rId4" Type="http://schemas.openxmlformats.org/officeDocument/2006/relationships/hyperlink" Target="https://bibliotheque-archives.canada.ca/fra/services/editeurs/issn/Pages/issn.aspx" TargetMode="External"/><Relationship Id="rId9" Type="http://schemas.openxmlformats.org/officeDocument/2006/relationships/comments" Target="../comments/comment1.xml"/></Relationships>
</file>

<file path=ppt/slides/_rels/slide28.xml.rels><?xml version="1.0" encoding="UTF-8" standalone="yes"?>
<Relationships xmlns="http://schemas.openxmlformats.org/package/2006/relationships"><Relationship Id="rId3" Type="http://schemas.openxmlformats.org/officeDocument/2006/relationships/hyperlink" Target="http://registry.open.canada.ca/fr/" TargetMode="External"/><Relationship Id="rId2" Type="http://schemas.openxmlformats.org/officeDocument/2006/relationships/notesSlide" Target="../notesSlides/notesSlide28.xml"/><Relationship Id="rId1" Type="http://schemas.openxmlformats.org/officeDocument/2006/relationships/slideLayout" Target="../slideLayouts/slideLayout3.xml"/></Relationships>
</file>

<file path=ppt/slides/_rels/slide29.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29.xml"/><Relationship Id="rId1" Type="http://schemas.openxmlformats.org/officeDocument/2006/relationships/slideLayout" Target="../slideLayouts/slideLayout3.xml"/></Relationships>
</file>

<file path=ppt/slides/_rels/slide3.xml.rels><?xml version="1.0" encoding="UTF-8" standalone="yes"?>
<Relationships xmlns="http://schemas.openxmlformats.org/package/2006/relationships"><Relationship Id="rId2" Type="http://schemas.openxmlformats.org/officeDocument/2006/relationships/notesSlide" Target="../notesSlides/notesSlide3.xml"/><Relationship Id="rId1" Type="http://schemas.openxmlformats.org/officeDocument/2006/relationships/slideLayout" Target="../slideLayouts/slideLayout3.xml"/></Relationships>
</file>

<file path=ppt/slides/_rels/slide30.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notesSlide" Target="../notesSlides/notesSlide30.xml"/><Relationship Id="rId1" Type="http://schemas.openxmlformats.org/officeDocument/2006/relationships/slideLayout" Target="../slideLayouts/slideLayout3.xml"/></Relationships>
</file>

<file path=ppt/slides/_rels/slide3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notesSlide" Target="../notesSlides/notesSlide31.xml"/><Relationship Id="rId1" Type="http://schemas.openxmlformats.org/officeDocument/2006/relationships/slideLayout" Target="../slideLayouts/slideLayout3.xml"/></Relationships>
</file>

<file path=ppt/slides/_rels/slide32.xml.rels><?xml version="1.0" encoding="UTF-8" standalone="yes"?>
<Relationships xmlns="http://schemas.openxmlformats.org/package/2006/relationships"><Relationship Id="rId2" Type="http://schemas.openxmlformats.org/officeDocument/2006/relationships/notesSlide" Target="../notesSlides/notesSlide32.xml"/><Relationship Id="rId1" Type="http://schemas.openxmlformats.org/officeDocument/2006/relationships/slideLayout" Target="../slideLayouts/slideLayout3.xml"/></Relationships>
</file>

<file path=ppt/slides/_rels/slide4.xml.rels><?xml version="1.0" encoding="UTF-8" standalone="yes"?>
<Relationships xmlns="http://schemas.openxmlformats.org/package/2006/relationships"><Relationship Id="rId2" Type="http://schemas.openxmlformats.org/officeDocument/2006/relationships/notesSlide" Target="../notesSlides/notesSlide4.xml"/><Relationship Id="rId1" Type="http://schemas.openxmlformats.org/officeDocument/2006/relationships/slideLayout" Target="../slideLayouts/slideLayout3.xml"/></Relationships>
</file>

<file path=ppt/slides/_rels/slide5.xml.rels><?xml version="1.0" encoding="UTF-8" standalone="yes"?>
<Relationships xmlns="http://schemas.openxmlformats.org/package/2006/relationships"><Relationship Id="rId2" Type="http://schemas.openxmlformats.org/officeDocument/2006/relationships/notesSlide" Target="../notesSlides/notesSlide5.xml"/><Relationship Id="rId1" Type="http://schemas.openxmlformats.org/officeDocument/2006/relationships/slideLayout" Target="../slideLayouts/slideLayout3.xml"/></Relationships>
</file>

<file path=ppt/slides/_rels/slide6.xml.rels><?xml version="1.0" encoding="UTF-8" standalone="yes"?>
<Relationships xmlns="http://schemas.openxmlformats.org/package/2006/relationships"><Relationship Id="rId2" Type="http://schemas.openxmlformats.org/officeDocument/2006/relationships/notesSlide" Target="../notesSlides/notesSlide6.xml"/><Relationship Id="rId1" Type="http://schemas.openxmlformats.org/officeDocument/2006/relationships/slideLayout" Target="../slideLayouts/slideLayout1.xml"/></Relationships>
</file>

<file path=ppt/slides/_rels/slide7.xml.rels><?xml version="1.0" encoding="UTF-8" standalone="yes"?>
<Relationships xmlns="http://schemas.openxmlformats.org/package/2006/relationships"><Relationship Id="rId2" Type="http://schemas.openxmlformats.org/officeDocument/2006/relationships/notesSlide" Target="../notesSlides/notesSlide7.xml"/><Relationship Id="rId1" Type="http://schemas.openxmlformats.org/officeDocument/2006/relationships/slideLayout" Target="../slideLayouts/slideLayout3.xml"/></Relationships>
</file>

<file path=ppt/slides/_rels/slide8.xml.rels><?xml version="1.0" encoding="UTF-8" standalone="yes"?>
<Relationships xmlns="http://schemas.openxmlformats.org/package/2006/relationships"><Relationship Id="rId2" Type="http://schemas.openxmlformats.org/officeDocument/2006/relationships/notesSlide" Target="../notesSlides/notesSlide8.xml"/><Relationship Id="rId1" Type="http://schemas.openxmlformats.org/officeDocument/2006/relationships/slideLayout" Target="../slideLayouts/slideLayout3.xml"/></Relationships>
</file>

<file path=ppt/slides/_rels/slide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notesSlide" Target="../notesSlides/notesSlide9.xml"/><Relationship Id="rId1" Type="http://schemas.openxmlformats.org/officeDocument/2006/relationships/slideLayout" Target="../slideLayouts/slideLayout3.xml"/><Relationship Id="rId4" Type="http://schemas.openxmlformats.org/officeDocument/2006/relationships/hyperlink" Target="https://agriculture.canada.ca/fr" TargetMode="Externa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Shape 53"/>
        <p:cNvGrpSpPr/>
        <p:nvPr/>
      </p:nvGrpSpPr>
      <p:grpSpPr>
        <a:xfrm>
          <a:off x="0" y="0"/>
          <a:ext cx="0" cy="0"/>
          <a:chOff x="0" y="0"/>
          <a:chExt cx="0" cy="0"/>
        </a:xfrm>
      </p:grpSpPr>
      <p:sp>
        <p:nvSpPr>
          <p:cNvPr id="54" name="Google Shape;54;p13"/>
          <p:cNvSpPr/>
          <p:nvPr/>
        </p:nvSpPr>
        <p:spPr>
          <a:xfrm>
            <a:off x="-43100" y="-12575"/>
            <a:ext cx="9187200" cy="51879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55" name="Google Shape;55;p13"/>
          <p:cNvSpPr txBox="1">
            <a:spLocks noGrp="1"/>
          </p:cNvSpPr>
          <p:nvPr>
            <p:ph type="ctrTitle"/>
          </p:nvPr>
        </p:nvSpPr>
        <p:spPr>
          <a:xfrm>
            <a:off x="311708" y="744575"/>
            <a:ext cx="8520600" cy="2052600"/>
          </a:xfrm>
          <a:prstGeom prst="rect">
            <a:avLst/>
          </a:prstGeom>
        </p:spPr>
        <p:txBody>
          <a:bodyPr spcFirstLastPara="1" wrap="square" lIns="91425" tIns="91425" rIns="91425" bIns="91425" anchor="b" anchorCtr="0">
            <a:normAutofit/>
          </a:bodyPr>
          <a:lstStyle/>
          <a:p>
            <a:pPr marL="0" lvl="0" indent="0" algn="l" rtl="0">
              <a:spcBef>
                <a:spcPts val="0"/>
              </a:spcBef>
              <a:spcAft>
                <a:spcPts val="0"/>
              </a:spcAft>
              <a:buNone/>
            </a:pPr>
            <a:r>
              <a:rPr lang="fr-CA" dirty="0">
                <a:solidFill>
                  <a:schemeClr val="lt1"/>
                </a:solidFill>
                <a:latin typeface="Lato"/>
                <a:ea typeface="Lato"/>
                <a:cs typeface="Lato"/>
                <a:sym typeface="Lato"/>
              </a:rPr>
              <a:t>Exigences d’accessibilité pour décembre 2022</a:t>
            </a:r>
          </a:p>
        </p:txBody>
      </p:sp>
      <p:sp>
        <p:nvSpPr>
          <p:cNvPr id="56" name="Google Shape;56;p13"/>
          <p:cNvSpPr txBox="1">
            <a:spLocks noGrp="1"/>
          </p:cNvSpPr>
          <p:nvPr>
            <p:ph type="subTitle" idx="1"/>
          </p:nvPr>
        </p:nvSpPr>
        <p:spPr>
          <a:xfrm>
            <a:off x="311700" y="2834125"/>
            <a:ext cx="8520600" cy="792600"/>
          </a:xfrm>
          <a:prstGeom prst="rect">
            <a:avLst/>
          </a:prstGeom>
        </p:spPr>
        <p:txBody>
          <a:bodyPr spcFirstLastPara="1" wrap="square" lIns="91425" tIns="91425" rIns="91425" bIns="91425" anchor="t" anchorCtr="0">
            <a:normAutofit/>
          </a:bodyPr>
          <a:lstStyle/>
          <a:p>
            <a:pPr marL="0" lvl="0" indent="0" algn="l" rtl="0">
              <a:spcBef>
                <a:spcPts val="0"/>
              </a:spcBef>
              <a:spcAft>
                <a:spcPts val="0"/>
              </a:spcAft>
              <a:buNone/>
            </a:pPr>
            <a:r>
              <a:rPr lang="fr-CA" dirty="0">
                <a:solidFill>
                  <a:schemeClr val="lt1"/>
                </a:solidFill>
                <a:latin typeface="Open Sans"/>
                <a:ea typeface="Open Sans"/>
                <a:cs typeface="Open Sans"/>
                <a:sym typeface="Open Sans"/>
              </a:rPr>
              <a:t>Approche Canada.ca recommandée</a:t>
            </a:r>
          </a:p>
        </p:txBody>
      </p:sp>
      <p:sp>
        <p:nvSpPr>
          <p:cNvPr id="57" name="Google Shape;57;p13"/>
          <p:cNvSpPr/>
          <p:nvPr/>
        </p:nvSpPr>
        <p:spPr>
          <a:xfrm>
            <a:off x="416054" y="2686851"/>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58" name="Google Shape;58;p13"/>
          <p:cNvSpPr txBox="1">
            <a:spLocks noGrp="1"/>
          </p:cNvSpPr>
          <p:nvPr>
            <p:ph type="subTitle" idx="1"/>
          </p:nvPr>
        </p:nvSpPr>
        <p:spPr>
          <a:xfrm>
            <a:off x="311700" y="4071400"/>
            <a:ext cx="8520600" cy="792600"/>
          </a:xfrm>
          <a:prstGeom prst="rect">
            <a:avLst/>
          </a:prstGeom>
        </p:spPr>
        <p:txBody>
          <a:bodyPr spcFirstLastPara="1" wrap="square" lIns="91425" tIns="91425" rIns="91425" bIns="91425" anchor="t" anchorCtr="0">
            <a:normAutofit/>
          </a:bodyPr>
          <a:lstStyle/>
          <a:p>
            <a:pPr marL="0" lvl="0" indent="0" algn="l" rtl="0">
              <a:lnSpc>
                <a:spcPct val="100000"/>
              </a:lnSpc>
              <a:spcBef>
                <a:spcPts val="0"/>
              </a:spcBef>
              <a:spcAft>
                <a:spcPts val="0"/>
              </a:spcAft>
              <a:buSzPts val="935"/>
              <a:buNone/>
            </a:pPr>
            <a:r>
              <a:rPr lang="fr-CA" sz="1679">
                <a:solidFill>
                  <a:schemeClr val="lt1"/>
                </a:solidFill>
                <a:latin typeface="Open Sans"/>
                <a:ea typeface="Open Sans"/>
                <a:cs typeface="Open Sans"/>
                <a:sym typeface="Open Sans"/>
              </a:rPr>
              <a:t>Bureau de la transformation numérique • #CanadaPointCa • novembre 2022</a:t>
            </a:r>
          </a:p>
        </p:txBody>
      </p:sp>
      <p:pic>
        <p:nvPicPr>
          <p:cNvPr id="59" name="Google Shape;59;p13"/>
          <p:cNvPicPr preferRelativeResize="0"/>
          <p:nvPr/>
        </p:nvPicPr>
        <p:blipFill>
          <a:blip r:embed="rId3">
            <a:alphaModFix/>
          </a:blip>
          <a:stretch>
            <a:fillRect/>
          </a:stretch>
        </p:blipFill>
        <p:spPr>
          <a:xfrm>
            <a:off x="7634867" y="267817"/>
            <a:ext cx="1060908" cy="252256"/>
          </a:xfrm>
          <a:prstGeom prst="rect">
            <a:avLst/>
          </a:prstGeom>
          <a:noFill/>
          <a:ln>
            <a:noFill/>
          </a:ln>
        </p:spPr>
      </p:pic>
      <p:pic>
        <p:nvPicPr>
          <p:cNvPr id="60" name="Google Shape;60;p13"/>
          <p:cNvPicPr preferRelativeResize="0"/>
          <p:nvPr/>
        </p:nvPicPr>
        <p:blipFill>
          <a:blip r:embed="rId4">
            <a:alphaModFix/>
          </a:blip>
          <a:stretch>
            <a:fillRect/>
          </a:stretch>
        </p:blipFill>
        <p:spPr>
          <a:xfrm>
            <a:off x="411883" y="267825"/>
            <a:ext cx="2718376" cy="252250"/>
          </a:xfrm>
          <a:prstGeom prst="rect">
            <a:avLst/>
          </a:prstGeom>
          <a:noFill/>
          <a:ln>
            <a:noFill/>
          </a:ln>
        </p:spPr>
      </p:pic>
    </p:spTree>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Shape 143"/>
        <p:cNvGrpSpPr/>
        <p:nvPr/>
      </p:nvGrpSpPr>
      <p:grpSpPr>
        <a:xfrm>
          <a:off x="0" y="0"/>
          <a:ext cx="0" cy="0"/>
          <a:chOff x="0" y="0"/>
          <a:chExt cx="0" cy="0"/>
        </a:xfrm>
      </p:grpSpPr>
      <p:sp>
        <p:nvSpPr>
          <p:cNvPr id="144" name="Google Shape;144;p22"/>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45" name="Google Shape;145;p22"/>
          <p:cNvSpPr txBox="1">
            <a:spLocks noGrp="1"/>
          </p:cNvSpPr>
          <p:nvPr>
            <p:ph type="title"/>
          </p:nvPr>
        </p:nvSpPr>
        <p:spPr>
          <a:xfrm>
            <a:off x="311700" y="224825"/>
            <a:ext cx="84672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Fil d’Ariane pour les produits d’accessibilité</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146" name="Google Shape;146;p22"/>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47" name="Google Shape;147;p22"/>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Option recommandée</a:t>
            </a:r>
          </a:p>
          <a:p>
            <a:pPr marL="0" lvl="0" indent="0" algn="l" rtl="0">
              <a:spcBef>
                <a:spcPts val="0"/>
              </a:spcBef>
              <a:spcAft>
                <a:spcPts val="1200"/>
              </a:spcAft>
              <a:buSzPts val="1018"/>
              <a:buNone/>
            </a:pPr>
            <a:endParaRPr sz="1765">
              <a:solidFill>
                <a:schemeClr val="lt1"/>
              </a:solidFill>
              <a:latin typeface="Open Sans"/>
              <a:ea typeface="Open Sans"/>
              <a:cs typeface="Open Sans"/>
              <a:sym typeface="Open Sans"/>
            </a:endParaRPr>
          </a:p>
        </p:txBody>
      </p:sp>
      <p:pic>
        <p:nvPicPr>
          <p:cNvPr id="148" name="Google Shape;148;p22"/>
          <p:cNvPicPr preferRelativeResize="0"/>
          <p:nvPr/>
        </p:nvPicPr>
        <p:blipFill rotWithShape="1">
          <a:blip r:embed="rId3">
            <a:alphaModFix/>
          </a:blip>
          <a:srcRect l="-70" r="69"/>
          <a:stretch/>
        </p:blipFill>
        <p:spPr>
          <a:xfrm>
            <a:off x="689374" y="2223275"/>
            <a:ext cx="8218726" cy="2648775"/>
          </a:xfrm>
          <a:prstGeom prst="rect">
            <a:avLst/>
          </a:prstGeom>
          <a:noFill/>
          <a:ln>
            <a:noFill/>
          </a:ln>
          <a:effectLst>
            <a:outerShdw blurRad="57150" dist="19050" dir="5400000" algn="bl" rotWithShape="0">
              <a:srgbClr val="000000">
                <a:alpha val="50000"/>
              </a:srgbClr>
            </a:outerShdw>
          </a:effectLst>
        </p:spPr>
      </p:pic>
      <p:sp>
        <p:nvSpPr>
          <p:cNvPr id="149" name="Google Shape;149;p22"/>
          <p:cNvSpPr/>
          <p:nvPr/>
        </p:nvSpPr>
        <p:spPr>
          <a:xfrm>
            <a:off x="791875" y="3425525"/>
            <a:ext cx="4085100" cy="268800"/>
          </a:xfrm>
          <a:prstGeom prst="roundRect">
            <a:avLst>
              <a:gd name="adj" fmla="val 16667"/>
            </a:avLst>
          </a:prstGeom>
          <a:noFill/>
          <a:ln w="28575" cap="flat" cmpd="sng">
            <a:solidFill>
              <a:srgbClr val="980000"/>
            </a:solidFill>
            <a:prstDash val="solid"/>
            <a:round/>
            <a:headEnd type="none" w="sm" len="sm"/>
            <a:tailEnd type="none" w="sm" len="sm"/>
          </a:ln>
          <a:effectLst>
            <a:outerShdw blurRad="57150" dist="19050" dir="5400000" algn="bl" rotWithShape="0">
              <a:srgbClr val="000000">
                <a:alpha val="50000"/>
              </a:srgbClr>
            </a:outerShdw>
          </a:effectLst>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50" name="Google Shape;150;p22"/>
          <p:cNvSpPr/>
          <p:nvPr/>
        </p:nvSpPr>
        <p:spPr>
          <a:xfrm>
            <a:off x="57575" y="3425525"/>
            <a:ext cx="678000" cy="268800"/>
          </a:xfrm>
          <a:prstGeom prst="rightArrow">
            <a:avLst>
              <a:gd name="adj1" fmla="val 50000"/>
              <a:gd name="adj2" fmla="val 50000"/>
            </a:avLst>
          </a:prstGeom>
          <a:solidFill>
            <a:schemeClr val="lt2"/>
          </a:solidFill>
          <a:ln w="9525" cap="flat" cmpd="sng">
            <a:solidFill>
              <a:srgbClr val="980000"/>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Tree>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Shape 154"/>
        <p:cNvGrpSpPr/>
        <p:nvPr/>
      </p:nvGrpSpPr>
      <p:grpSpPr>
        <a:xfrm>
          <a:off x="0" y="0"/>
          <a:ext cx="0" cy="0"/>
          <a:chOff x="0" y="0"/>
          <a:chExt cx="0" cy="0"/>
        </a:xfrm>
      </p:grpSpPr>
      <p:sp>
        <p:nvSpPr>
          <p:cNvPr id="155" name="Google Shape;155;p23"/>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a:bodyPr>
          <a:lstStyle/>
          <a:p>
            <a:pPr marL="457200" lvl="0"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Bien que le BTN recommande de créer un nœud d’accessibilité dans l’AI de votre institution, il peut également être judicieux de créer des liens croisés à partir d’autres endroits sur vos sites, tels que :</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Lien vers le plan sur l’accessibilité à partir d’une section « Rapports et plans ».</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Lien vers le formulaire de rétroaction sur l’accessibilité à partir de vos pages « Contactez-nous »</a:t>
            </a:r>
          </a:p>
        </p:txBody>
      </p:sp>
      <p:sp>
        <p:nvSpPr>
          <p:cNvPr id="156" name="Google Shape;156;p23"/>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57" name="Google Shape;157;p23"/>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158" name="Google Shape;158;p23"/>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59" name="Google Shape;159;p23"/>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Structure de l’AI</a:t>
            </a:r>
          </a:p>
        </p:txBody>
      </p:sp>
    </p:spTree>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Shape 163"/>
        <p:cNvGrpSpPr/>
        <p:nvPr/>
      </p:nvGrpSpPr>
      <p:grpSpPr>
        <a:xfrm>
          <a:off x="0" y="0"/>
          <a:ext cx="0" cy="0"/>
          <a:chOff x="0" y="0"/>
          <a:chExt cx="0" cy="0"/>
        </a:xfrm>
      </p:grpSpPr>
      <p:sp>
        <p:nvSpPr>
          <p:cNvPr id="164" name="Google Shape;164;p24"/>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65" name="Google Shape;165;p24"/>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400" b="1" dirty="0">
                <a:solidFill>
                  <a:schemeClr val="lt1"/>
                </a:solidFill>
                <a:latin typeface="Lato"/>
                <a:ea typeface="Lato"/>
                <a:cs typeface="Lato"/>
                <a:sym typeface="Lato"/>
              </a:rPr>
              <a:t>Page d’accessibilité </a:t>
            </a:r>
          </a:p>
          <a:p>
            <a:pPr marL="0" lvl="0" indent="0" algn="l" rtl="0">
              <a:spcBef>
                <a:spcPts val="0"/>
              </a:spcBef>
              <a:spcAft>
                <a:spcPts val="0"/>
              </a:spcAft>
              <a:buNone/>
            </a:pPr>
            <a:endParaRPr sz="2400" b="1" dirty="0">
              <a:solidFill>
                <a:schemeClr val="lt1"/>
              </a:solidFill>
              <a:latin typeface="Lato"/>
              <a:ea typeface="Lato"/>
              <a:cs typeface="Lato"/>
              <a:sym typeface="Lato"/>
            </a:endParaRPr>
          </a:p>
        </p:txBody>
      </p:sp>
      <p:sp>
        <p:nvSpPr>
          <p:cNvPr id="166" name="Google Shape;166;p24"/>
          <p:cNvSpPr/>
          <p:nvPr/>
        </p:nvSpPr>
        <p:spPr>
          <a:xfrm>
            <a:off x="456976" y="15080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67" name="Google Shape;167;p24"/>
          <p:cNvSpPr txBox="1">
            <a:spLocks noGrp="1"/>
          </p:cNvSpPr>
          <p:nvPr>
            <p:ph type="subTitle" idx="4294967295"/>
          </p:nvPr>
        </p:nvSpPr>
        <p:spPr>
          <a:xfrm>
            <a:off x="311700" y="1909575"/>
            <a:ext cx="2264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1600" dirty="0">
                <a:solidFill>
                  <a:schemeClr val="lt1"/>
                </a:solidFill>
                <a:latin typeface="Open Sans"/>
                <a:ea typeface="Open Sans"/>
                <a:cs typeface="Open Sans"/>
                <a:sym typeface="Open Sans"/>
              </a:rPr>
              <a:t>Page d’accessibilité de l’institution recommandée</a:t>
            </a:r>
          </a:p>
          <a:p>
            <a:pPr marL="0" lvl="0" indent="0" algn="l" rtl="0">
              <a:spcBef>
                <a:spcPts val="0"/>
              </a:spcBef>
              <a:spcAft>
                <a:spcPts val="1200"/>
              </a:spcAft>
              <a:buSzPts val="1018"/>
              <a:buNone/>
            </a:pPr>
            <a:endParaRPr sz="1400" dirty="0">
              <a:solidFill>
                <a:schemeClr val="lt1"/>
              </a:solidFill>
              <a:latin typeface="Open Sans"/>
              <a:ea typeface="Open Sans"/>
              <a:cs typeface="Open Sans"/>
              <a:sym typeface="Open Sans"/>
            </a:endParaRPr>
          </a:p>
        </p:txBody>
      </p:sp>
      <p:pic>
        <p:nvPicPr>
          <p:cNvPr id="168" name="Google Shape;168;p24"/>
          <p:cNvPicPr preferRelativeResize="0"/>
          <p:nvPr/>
        </p:nvPicPr>
        <p:blipFill rotWithShape="1">
          <a:blip r:embed="rId3">
            <a:alphaModFix/>
          </a:blip>
          <a:srcRect b="5687"/>
          <a:stretch/>
        </p:blipFill>
        <p:spPr>
          <a:xfrm>
            <a:off x="2728800" y="1048900"/>
            <a:ext cx="6202552" cy="3898774"/>
          </a:xfrm>
          <a:prstGeom prst="rect">
            <a:avLst/>
          </a:prstGeom>
          <a:noFill/>
          <a:ln>
            <a:noFill/>
          </a:ln>
          <a:effectLst>
            <a:outerShdw blurRad="57150" dist="19050" dir="5400000" algn="bl" rotWithShape="0">
              <a:srgbClr val="000000">
                <a:alpha val="50000"/>
              </a:srgbClr>
            </a:outerShdw>
          </a:effectLst>
        </p:spPr>
      </p:pic>
      <p:sp>
        <p:nvSpPr>
          <p:cNvPr id="169" name="Google Shape;169;p24"/>
          <p:cNvSpPr txBox="1"/>
          <p:nvPr/>
        </p:nvSpPr>
        <p:spPr>
          <a:xfrm>
            <a:off x="5479250" y="648700"/>
            <a:ext cx="3452100" cy="400200"/>
          </a:xfrm>
          <a:prstGeom prst="rect">
            <a:avLst/>
          </a:prstGeom>
          <a:no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u="sng">
                <a:solidFill>
                  <a:schemeClr val="hlink"/>
                </a:solidFill>
                <a:hlinkClick r:id="rId4"/>
              </a:rPr>
              <a:t>Lien vers des exemples</a:t>
            </a:r>
          </a:p>
        </p:txBody>
      </p:sp>
    </p:spTree>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Shape 173"/>
        <p:cNvGrpSpPr/>
        <p:nvPr/>
      </p:nvGrpSpPr>
      <p:grpSpPr>
        <a:xfrm>
          <a:off x="0" y="0"/>
          <a:ext cx="0" cy="0"/>
          <a:chOff x="0" y="0"/>
          <a:chExt cx="0" cy="0"/>
        </a:xfrm>
      </p:grpSpPr>
      <p:sp>
        <p:nvSpPr>
          <p:cNvPr id="174" name="Google Shape;174;p25"/>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La tâche principale sera probablement de fournir une rétroaction, donc la page utilise le bouton Super-tâche. </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Il est possible de mettre en place d’autres pages d’accueil au besoin.</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D’autres modèles peuvent également être utilisés sur cette page (p. ex., la bande la plus demandée, les fonctionnalités contextuelles).</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La conception évoluera probablement à mesure que les exigences futures seront mises en ligne, p. ex., déclarations d’accessibilité requises en vertu de la </a:t>
            </a:r>
            <a:r>
              <a:rPr lang="fr-CA" u="sng" dirty="0">
                <a:solidFill>
                  <a:schemeClr val="hlink"/>
                </a:solidFill>
                <a:latin typeface="Open Sans"/>
                <a:ea typeface="Open Sans"/>
                <a:cs typeface="Open Sans"/>
                <a:sym typeface="Open Sans"/>
                <a:hlinkClick r:id="rId3"/>
              </a:rPr>
              <a:t>norme d’accessibilité des TIC proposée</a:t>
            </a:r>
            <a:r>
              <a:rPr lang="fr-CA" dirty="0">
                <a:latin typeface="Open Sans"/>
                <a:ea typeface="Open Sans"/>
                <a:cs typeface="Open Sans"/>
                <a:sym typeface="Open Sans"/>
              </a:rPr>
              <a:t>. </a:t>
            </a:r>
          </a:p>
        </p:txBody>
      </p:sp>
      <p:sp>
        <p:nvSpPr>
          <p:cNvPr id="175" name="Google Shape;175;p25"/>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76" name="Google Shape;176;p25"/>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dirty="0">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dirty="0">
              <a:solidFill>
                <a:schemeClr val="lt1"/>
              </a:solidFill>
              <a:latin typeface="Lato"/>
              <a:ea typeface="Lato"/>
              <a:cs typeface="Lato"/>
              <a:sym typeface="Lato"/>
            </a:endParaRPr>
          </a:p>
        </p:txBody>
      </p:sp>
      <p:sp>
        <p:nvSpPr>
          <p:cNvPr id="177" name="Google Shape;177;p25"/>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78" name="Google Shape;178;p25"/>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Page d’accessibilité</a:t>
            </a:r>
          </a:p>
        </p:txBody>
      </p:sp>
    </p:spTree>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Shape 182"/>
        <p:cNvGrpSpPr/>
        <p:nvPr/>
      </p:nvGrpSpPr>
      <p:grpSpPr>
        <a:xfrm>
          <a:off x="0" y="0"/>
          <a:ext cx="0" cy="0"/>
          <a:chOff x="0" y="0"/>
          <a:chExt cx="0" cy="0"/>
        </a:xfrm>
      </p:grpSpPr>
      <p:sp>
        <p:nvSpPr>
          <p:cNvPr id="183" name="Google Shape;183;p26"/>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84" name="Google Shape;184;p26"/>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dirty="0">
                <a:solidFill>
                  <a:schemeClr val="lt1"/>
                </a:solidFill>
                <a:latin typeface="Lato"/>
                <a:ea typeface="Lato"/>
                <a:cs typeface="Lato"/>
                <a:sym typeface="Lato"/>
              </a:rPr>
              <a:t>Plan sur l’accessibilité </a:t>
            </a:r>
          </a:p>
          <a:p>
            <a:pPr marL="0" lvl="0" indent="0" algn="l" rtl="0">
              <a:spcBef>
                <a:spcPts val="0"/>
              </a:spcBef>
              <a:spcAft>
                <a:spcPts val="0"/>
              </a:spcAft>
              <a:buNone/>
            </a:pPr>
            <a:endParaRPr sz="3400" b="1" dirty="0">
              <a:solidFill>
                <a:schemeClr val="lt1"/>
              </a:solidFill>
              <a:latin typeface="Lato"/>
              <a:ea typeface="Lato"/>
              <a:cs typeface="Lato"/>
              <a:sym typeface="Lato"/>
            </a:endParaRPr>
          </a:p>
        </p:txBody>
      </p:sp>
      <p:sp>
        <p:nvSpPr>
          <p:cNvPr id="185" name="Google Shape;185;p26"/>
          <p:cNvSpPr/>
          <p:nvPr/>
        </p:nvSpPr>
        <p:spPr>
          <a:xfrm>
            <a:off x="456976" y="15080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86" name="Google Shape;186;p26"/>
          <p:cNvSpPr txBox="1">
            <a:spLocks noGrp="1"/>
          </p:cNvSpPr>
          <p:nvPr>
            <p:ph type="subTitle" idx="4294967295"/>
          </p:nvPr>
        </p:nvSpPr>
        <p:spPr>
          <a:xfrm>
            <a:off x="311700" y="1909575"/>
            <a:ext cx="2264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dirty="0">
                <a:solidFill>
                  <a:schemeClr val="lt1"/>
                </a:solidFill>
                <a:latin typeface="Open Sans"/>
                <a:ea typeface="Open Sans"/>
                <a:cs typeface="Open Sans"/>
                <a:sym typeface="Open Sans"/>
              </a:rPr>
              <a:t>Approche recommandée</a:t>
            </a:r>
          </a:p>
        </p:txBody>
      </p:sp>
      <p:pic>
        <p:nvPicPr>
          <p:cNvPr id="187" name="Google Shape;187;p26"/>
          <p:cNvPicPr preferRelativeResize="0"/>
          <p:nvPr/>
        </p:nvPicPr>
        <p:blipFill rotWithShape="1">
          <a:blip r:embed="rId3">
            <a:alphaModFix/>
          </a:blip>
          <a:srcRect b="33453"/>
          <a:stretch/>
        </p:blipFill>
        <p:spPr>
          <a:xfrm>
            <a:off x="2728800" y="1810900"/>
            <a:ext cx="6202552" cy="2751076"/>
          </a:xfrm>
          <a:prstGeom prst="rect">
            <a:avLst/>
          </a:prstGeom>
          <a:noFill/>
          <a:ln>
            <a:noFill/>
          </a:ln>
          <a:effectLst>
            <a:outerShdw blurRad="57150" dist="19050" dir="5400000" algn="bl" rotWithShape="0">
              <a:srgbClr val="000000">
                <a:alpha val="50000"/>
              </a:srgbClr>
            </a:outerShdw>
          </a:effectLst>
        </p:spPr>
      </p:pic>
      <p:sp>
        <p:nvSpPr>
          <p:cNvPr id="188" name="Google Shape;188;p26"/>
          <p:cNvSpPr txBox="1"/>
          <p:nvPr/>
        </p:nvSpPr>
        <p:spPr>
          <a:xfrm>
            <a:off x="5479250" y="1410700"/>
            <a:ext cx="3452100" cy="400200"/>
          </a:xfrm>
          <a:prstGeom prst="rect">
            <a:avLst/>
          </a:prstGeom>
          <a:no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u="sng">
                <a:solidFill>
                  <a:schemeClr val="hlink"/>
                </a:solidFill>
                <a:hlinkClick r:id="rId4"/>
              </a:rPr>
              <a:t>Lien vers des exemples</a:t>
            </a:r>
          </a:p>
        </p:txBody>
      </p:sp>
    </p:spTree>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Shape 192"/>
        <p:cNvGrpSpPr/>
        <p:nvPr/>
      </p:nvGrpSpPr>
      <p:grpSpPr>
        <a:xfrm>
          <a:off x="0" y="0"/>
          <a:ext cx="0" cy="0"/>
          <a:chOff x="0" y="0"/>
          <a:chExt cx="0" cy="0"/>
        </a:xfrm>
      </p:grpSpPr>
      <p:sp>
        <p:nvSpPr>
          <p:cNvPr id="193" name="Google Shape;193;p27"/>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a:bodyPr>
          <a:lstStyle/>
          <a:p>
            <a:pPr marL="457200" lvl="0"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Assurez-vous que le plan répond aux exigences décrites dans</a:t>
            </a:r>
            <a:br>
              <a:rPr lang="fr-CA" sz="2100" dirty="0">
                <a:latin typeface="Open Sans"/>
                <a:ea typeface="Open Sans"/>
                <a:cs typeface="Open Sans"/>
                <a:sym typeface="Open Sans"/>
              </a:rPr>
            </a:br>
            <a:r>
              <a:rPr lang="fr-CA" sz="2100" u="sng" dirty="0">
                <a:solidFill>
                  <a:schemeClr val="accent5"/>
                </a:solidFill>
                <a:latin typeface="Open Sans"/>
                <a:ea typeface="Open Sans"/>
                <a:cs typeface="Open Sans"/>
                <a:sym typeface="Open Sans"/>
                <a:hlinkClick r:id="rId3"/>
                <a:extLst>
                  <a:ext uri="{A12FA001-AC4F-418D-AE19-62706E023703}">
                    <ahyp:hlinkClr xmlns="" xmlns:ahyp="http://schemas.microsoft.com/office/drawing/2018/hyperlinkcolor" val="tx"/>
                  </a:ext>
                </a:extLst>
              </a:rPr>
              <a:t>Directives associées aux plans sur l’accessibilité</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Ces directives comprennent un modèle de contenu pour le plan lui-même.</a:t>
            </a:r>
          </a:p>
          <a:p>
            <a:pPr marL="457200" lvl="0"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Les gens sont encouragés à fournir une rétroaction au sujet des plans sur l’accessibilité – assurez-vous qu’il y a un lien vers le processus de rétroaction et/ou le formulaire de rétroaction à partir du plan lui-même.</a:t>
            </a:r>
          </a:p>
        </p:txBody>
      </p:sp>
      <p:sp>
        <p:nvSpPr>
          <p:cNvPr id="194" name="Google Shape;194;p27"/>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95" name="Google Shape;195;p27"/>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196" name="Google Shape;196;p27"/>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97" name="Google Shape;197;p27"/>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Plans sur l’accessibilité 1/3</a:t>
            </a:r>
          </a:p>
        </p:txBody>
      </p:sp>
    </p:spTree>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Shape 201"/>
        <p:cNvGrpSpPr/>
        <p:nvPr/>
      </p:nvGrpSpPr>
      <p:grpSpPr>
        <a:xfrm>
          <a:off x="0" y="0"/>
          <a:ext cx="0" cy="0"/>
          <a:chOff x="0" y="0"/>
          <a:chExt cx="0" cy="0"/>
        </a:xfrm>
      </p:grpSpPr>
      <p:sp>
        <p:nvSpPr>
          <p:cNvPr id="202" name="Google Shape;202;p28"/>
          <p:cNvSpPr txBox="1">
            <a:spLocks noGrp="1"/>
          </p:cNvSpPr>
          <p:nvPr>
            <p:ph type="body" idx="1"/>
          </p:nvPr>
        </p:nvSpPr>
        <p:spPr>
          <a:xfrm>
            <a:off x="350425" y="1942225"/>
            <a:ext cx="8398500" cy="30450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lnSpcReduction="10000"/>
          </a:bodyPr>
          <a:lstStyle/>
          <a:p>
            <a:pPr marL="457200" lvl="0"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Pour faciliter la recherche, le SCT crée un index central des plans sur l’accessibilité sur le </a:t>
            </a:r>
            <a:r>
              <a:rPr lang="fr-CA" sz="2100" u="sng" dirty="0">
                <a:solidFill>
                  <a:schemeClr val="hlink"/>
                </a:solidFill>
                <a:latin typeface="Open Sans"/>
                <a:ea typeface="Open Sans"/>
                <a:cs typeface="Open Sans"/>
                <a:sym typeface="Open Sans"/>
                <a:hlinkClick r:id="rId3"/>
              </a:rPr>
              <a:t>site du gouvernement ouvert</a:t>
            </a:r>
            <a:r>
              <a:rPr lang="fr-CA" sz="2100" dirty="0">
                <a:latin typeface="Open Sans"/>
                <a:ea typeface="Open Sans"/>
                <a:cs typeface="Open Sans"/>
                <a:sym typeface="Open Sans"/>
              </a:rPr>
              <a:t> :</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Inclure un lien de votre plan vers l’index central.</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Soumettre un dossier des métadonnées pour votre plan.</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Voir l’annexe pour les instructions.</a:t>
            </a:r>
          </a:p>
          <a:p>
            <a:pPr marL="457200" lvl="0"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Selon les </a:t>
            </a:r>
            <a:r>
              <a:rPr lang="fr-CA" sz="2100" u="sng" dirty="0">
                <a:solidFill>
                  <a:schemeClr val="accent5"/>
                </a:solidFill>
                <a:latin typeface="Open Sans"/>
                <a:ea typeface="Open Sans"/>
                <a:cs typeface="Open Sans"/>
                <a:sym typeface="Open Sans"/>
                <a:hlinkClick r:id="rId4"/>
                <a:extLst>
                  <a:ext uri="{A12FA001-AC4F-418D-AE19-62706E023703}">
                    <ahyp:hlinkClr xmlns="" xmlns:ahyp="http://schemas.microsoft.com/office/drawing/2018/hyperlinkcolor" val="tx"/>
                  </a:ext>
                </a:extLst>
              </a:rPr>
              <a:t>Procédures sur l’édition</a:t>
            </a:r>
            <a:r>
              <a:rPr lang="fr-CA" sz="2100" dirty="0">
                <a:latin typeface="Open Sans"/>
                <a:ea typeface="Open Sans"/>
                <a:cs typeface="Open Sans"/>
                <a:sym typeface="Open Sans"/>
              </a:rPr>
              <a:t>, les plans sur l’accessibilité sont estimés comme des publications :</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Demander un ISSN et soumettre une copie à publications.gc.ca</a:t>
            </a:r>
          </a:p>
          <a:p>
            <a:pPr marL="914400" lvl="1" indent="-361950" algn="l" rtl="0">
              <a:lnSpc>
                <a:spcPct val="100000"/>
              </a:lnSpc>
              <a:spcBef>
                <a:spcPts val="0"/>
              </a:spcBef>
              <a:spcAft>
                <a:spcPts val="0"/>
              </a:spcAft>
              <a:buSzPts val="2100"/>
              <a:buFont typeface="Open Sans"/>
              <a:buChar char="-"/>
            </a:pPr>
            <a:r>
              <a:rPr lang="fr-CA" sz="2100" dirty="0">
                <a:latin typeface="Open Sans"/>
                <a:ea typeface="Open Sans"/>
                <a:cs typeface="Open Sans"/>
                <a:sym typeface="Open Sans"/>
              </a:rPr>
              <a:t>Voir l’annexe pour les instructions.</a:t>
            </a:r>
          </a:p>
        </p:txBody>
      </p:sp>
      <p:sp>
        <p:nvSpPr>
          <p:cNvPr id="203" name="Google Shape;203;p28"/>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04" name="Google Shape;204;p28"/>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05" name="Google Shape;205;p28"/>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06" name="Google Shape;206;p28"/>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Plans sur l’accessibilité 2/3</a:t>
            </a:r>
          </a:p>
        </p:txBody>
      </p:sp>
    </p:spTree>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Shape 210"/>
        <p:cNvGrpSpPr/>
        <p:nvPr/>
      </p:nvGrpSpPr>
      <p:grpSpPr>
        <a:xfrm>
          <a:off x="0" y="0"/>
          <a:ext cx="0" cy="0"/>
          <a:chOff x="0" y="0"/>
          <a:chExt cx="0" cy="0"/>
        </a:xfrm>
      </p:grpSpPr>
      <p:sp>
        <p:nvSpPr>
          <p:cNvPr id="211" name="Google Shape;211;p29"/>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Les institutions doivent aviser le commissaire à l’accessibilité de la Commission canadienne des droits de la personne dans les 48 heures suivant la publication de leurs plans sur l’accessibilité :</a:t>
            </a:r>
          </a:p>
          <a:p>
            <a:pPr marL="914400" lvl="1"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Envoyez un courriel à </a:t>
            </a:r>
            <a:r>
              <a:rPr lang="fr-CA" sz="2000" u="sng" dirty="0">
                <a:solidFill>
                  <a:schemeClr val="hlink"/>
                </a:solidFill>
                <a:latin typeface="Open Sans"/>
                <a:ea typeface="Open Sans"/>
                <a:cs typeface="Open Sans"/>
                <a:sym typeface="Open Sans"/>
                <a:hlinkClick r:id="rId3"/>
              </a:rPr>
              <a:t>Info.Com@chrc-ccdp.gc.ca</a:t>
            </a:r>
            <a:r>
              <a:rPr lang="fr-CA" sz="2000" dirty="0">
                <a:latin typeface="Open Sans"/>
                <a:ea typeface="Open Sans"/>
                <a:cs typeface="Open Sans"/>
                <a:sym typeface="Open Sans"/>
              </a:rPr>
              <a:t> ou utilisez le service « </a:t>
            </a:r>
            <a:r>
              <a:rPr lang="fr-CA" sz="2000" u="sng" dirty="0">
                <a:solidFill>
                  <a:schemeClr val="hlink"/>
                </a:solidFill>
                <a:latin typeface="Open Sans"/>
                <a:ea typeface="Open Sans"/>
                <a:cs typeface="Open Sans"/>
                <a:sym typeface="Open Sans"/>
                <a:hlinkClick r:id="rId4"/>
              </a:rPr>
              <a:t>Mon portail sur l’accessibilité</a:t>
            </a:r>
            <a:r>
              <a:rPr lang="fr-CA" sz="2000" dirty="0">
                <a:latin typeface="Open Sans"/>
                <a:ea typeface="Open Sans"/>
                <a:cs typeface="Open Sans"/>
                <a:sym typeface="Open Sans"/>
              </a:rPr>
              <a:t> » de la CCDP.</a:t>
            </a:r>
          </a:p>
          <a:p>
            <a:pPr marL="914400" lvl="1"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Inclure un lien ou une URL pour le plan dans le courriel que vous envoyez.</a:t>
            </a:r>
            <a:br>
              <a:rPr lang="fr-CA" sz="2000" dirty="0">
                <a:latin typeface="Open Sans"/>
                <a:ea typeface="Open Sans"/>
                <a:cs typeface="Open Sans"/>
                <a:sym typeface="Open Sans"/>
              </a:rPr>
            </a:br>
            <a:endParaRPr lang="fr-CA" sz="2000" dirty="0">
              <a:latin typeface="Open Sans"/>
              <a:ea typeface="Open Sans"/>
              <a:cs typeface="Open Sans"/>
              <a:sym typeface="Open Sans"/>
            </a:endParaRPr>
          </a:p>
        </p:txBody>
      </p:sp>
      <p:sp>
        <p:nvSpPr>
          <p:cNvPr id="212" name="Google Shape;212;p29"/>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13" name="Google Shape;213;p29"/>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14" name="Google Shape;214;p29"/>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15" name="Google Shape;215;p29"/>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Plans sur l’accessibilité 3/3</a:t>
            </a:r>
          </a:p>
        </p:txBody>
      </p:sp>
    </p:spTree>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Shape 219"/>
        <p:cNvGrpSpPr/>
        <p:nvPr/>
      </p:nvGrpSpPr>
      <p:grpSpPr>
        <a:xfrm>
          <a:off x="0" y="0"/>
          <a:ext cx="0" cy="0"/>
          <a:chOff x="0" y="0"/>
          <a:chExt cx="0" cy="0"/>
        </a:xfrm>
      </p:grpSpPr>
      <p:sp>
        <p:nvSpPr>
          <p:cNvPr id="220" name="Google Shape;220;p30"/>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21" name="Google Shape;221;p30"/>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400" b="1" dirty="0">
                <a:solidFill>
                  <a:schemeClr val="lt1"/>
                </a:solidFill>
                <a:latin typeface="Lato"/>
                <a:ea typeface="Lato"/>
                <a:cs typeface="Lato"/>
                <a:sym typeface="Lato"/>
              </a:rPr>
              <a:t>Formulaire de rétroaction sur l’accessibilité </a:t>
            </a:r>
          </a:p>
          <a:p>
            <a:pPr marL="0" lvl="0" indent="0" algn="l" rtl="0">
              <a:spcBef>
                <a:spcPts val="0"/>
              </a:spcBef>
              <a:spcAft>
                <a:spcPts val="0"/>
              </a:spcAft>
              <a:buNone/>
            </a:pPr>
            <a:endParaRPr sz="2400" b="1" dirty="0">
              <a:solidFill>
                <a:schemeClr val="lt1"/>
              </a:solidFill>
              <a:latin typeface="Lato"/>
              <a:ea typeface="Lato"/>
              <a:cs typeface="Lato"/>
              <a:sym typeface="Lato"/>
            </a:endParaRPr>
          </a:p>
        </p:txBody>
      </p:sp>
      <p:sp>
        <p:nvSpPr>
          <p:cNvPr id="222" name="Google Shape;222;p30"/>
          <p:cNvSpPr/>
          <p:nvPr/>
        </p:nvSpPr>
        <p:spPr>
          <a:xfrm>
            <a:off x="456976" y="15080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23" name="Google Shape;223;p30"/>
          <p:cNvSpPr txBox="1">
            <a:spLocks noGrp="1"/>
          </p:cNvSpPr>
          <p:nvPr>
            <p:ph type="subTitle" idx="4294967295"/>
          </p:nvPr>
        </p:nvSpPr>
        <p:spPr>
          <a:xfrm>
            <a:off x="311700" y="1909575"/>
            <a:ext cx="2264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dirty="0">
                <a:solidFill>
                  <a:schemeClr val="lt1"/>
                </a:solidFill>
                <a:latin typeface="Open Sans"/>
                <a:ea typeface="Open Sans"/>
                <a:cs typeface="Open Sans"/>
                <a:sym typeface="Open Sans"/>
              </a:rPr>
              <a:t>Formulaire de rétroaction recommandé</a:t>
            </a:r>
          </a:p>
        </p:txBody>
      </p:sp>
      <p:pic>
        <p:nvPicPr>
          <p:cNvPr id="224" name="Google Shape;224;p30"/>
          <p:cNvPicPr preferRelativeResize="0"/>
          <p:nvPr/>
        </p:nvPicPr>
        <p:blipFill rotWithShape="1">
          <a:blip r:embed="rId3">
            <a:alphaModFix/>
          </a:blip>
          <a:srcRect b="22148"/>
          <a:stretch/>
        </p:blipFill>
        <p:spPr>
          <a:xfrm>
            <a:off x="2728750" y="1663375"/>
            <a:ext cx="6202552" cy="3218626"/>
          </a:xfrm>
          <a:prstGeom prst="rect">
            <a:avLst/>
          </a:prstGeom>
          <a:noFill/>
          <a:ln>
            <a:noFill/>
          </a:ln>
          <a:effectLst>
            <a:outerShdw blurRad="57150" dist="19050" dir="5400000" algn="bl" rotWithShape="0">
              <a:srgbClr val="000000">
                <a:alpha val="50000"/>
              </a:srgbClr>
            </a:outerShdw>
          </a:effectLst>
        </p:spPr>
      </p:pic>
      <p:sp>
        <p:nvSpPr>
          <p:cNvPr id="225" name="Google Shape;225;p30"/>
          <p:cNvSpPr txBox="1"/>
          <p:nvPr/>
        </p:nvSpPr>
        <p:spPr>
          <a:xfrm>
            <a:off x="5479200" y="1263175"/>
            <a:ext cx="3452100" cy="400200"/>
          </a:xfrm>
          <a:prstGeom prst="rect">
            <a:avLst/>
          </a:prstGeom>
          <a:no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u="sng">
                <a:solidFill>
                  <a:schemeClr val="hlink"/>
                </a:solidFill>
                <a:hlinkClick r:id="rId4"/>
              </a:rPr>
              <a:t>Lien vers des exemples</a:t>
            </a:r>
          </a:p>
        </p:txBody>
      </p:sp>
    </p:spTree>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Shape 229"/>
        <p:cNvGrpSpPr/>
        <p:nvPr/>
      </p:nvGrpSpPr>
      <p:grpSpPr>
        <a:xfrm>
          <a:off x="0" y="0"/>
          <a:ext cx="0" cy="0"/>
          <a:chOff x="0" y="0"/>
          <a:chExt cx="0" cy="0"/>
        </a:xfrm>
      </p:grpSpPr>
      <p:sp>
        <p:nvSpPr>
          <p:cNvPr id="230" name="Google Shape;230;p31"/>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31" name="Google Shape;231;p31"/>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400" b="1" dirty="0">
                <a:solidFill>
                  <a:schemeClr val="lt1"/>
                </a:solidFill>
                <a:latin typeface="Lato"/>
                <a:ea typeface="Lato"/>
                <a:cs typeface="Lato"/>
                <a:sym typeface="Lato"/>
              </a:rPr>
              <a:t>Formulaire de rétroaction sur l’accessibilité </a:t>
            </a:r>
          </a:p>
          <a:p>
            <a:pPr marL="0" lvl="0" indent="0" algn="l" rtl="0">
              <a:spcBef>
                <a:spcPts val="0"/>
              </a:spcBef>
              <a:spcAft>
                <a:spcPts val="0"/>
              </a:spcAft>
              <a:buNone/>
            </a:pPr>
            <a:endParaRPr sz="2400" b="1" dirty="0">
              <a:solidFill>
                <a:schemeClr val="lt1"/>
              </a:solidFill>
              <a:latin typeface="Lato"/>
              <a:ea typeface="Lato"/>
              <a:cs typeface="Lato"/>
              <a:sym typeface="Lato"/>
            </a:endParaRPr>
          </a:p>
        </p:txBody>
      </p:sp>
      <p:sp>
        <p:nvSpPr>
          <p:cNvPr id="232" name="Google Shape;232;p31"/>
          <p:cNvSpPr/>
          <p:nvPr/>
        </p:nvSpPr>
        <p:spPr>
          <a:xfrm>
            <a:off x="456976" y="15080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33" name="Google Shape;233;p31"/>
          <p:cNvSpPr txBox="1">
            <a:spLocks noGrp="1"/>
          </p:cNvSpPr>
          <p:nvPr>
            <p:ph type="subTitle" idx="4294967295"/>
          </p:nvPr>
        </p:nvSpPr>
        <p:spPr>
          <a:xfrm>
            <a:off x="311700" y="1909575"/>
            <a:ext cx="2426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dirty="0">
                <a:solidFill>
                  <a:schemeClr val="lt1"/>
                </a:solidFill>
                <a:latin typeface="Open Sans"/>
                <a:ea typeface="Open Sans"/>
                <a:cs typeface="Open Sans"/>
                <a:sym typeface="Open Sans"/>
              </a:rPr>
              <a:t>Page d’accusé de réception recommandée</a:t>
            </a:r>
          </a:p>
        </p:txBody>
      </p:sp>
      <p:pic>
        <p:nvPicPr>
          <p:cNvPr id="234" name="Google Shape;234;p31"/>
          <p:cNvPicPr preferRelativeResize="0"/>
          <p:nvPr/>
        </p:nvPicPr>
        <p:blipFill rotWithShape="1">
          <a:blip r:embed="rId3">
            <a:alphaModFix/>
          </a:blip>
          <a:srcRect b="12095"/>
          <a:stretch/>
        </p:blipFill>
        <p:spPr>
          <a:xfrm>
            <a:off x="2804950" y="1308825"/>
            <a:ext cx="6202552" cy="3634026"/>
          </a:xfrm>
          <a:prstGeom prst="rect">
            <a:avLst/>
          </a:prstGeom>
          <a:noFill/>
          <a:ln>
            <a:noFill/>
          </a:ln>
          <a:effectLst>
            <a:outerShdw blurRad="57150" dist="19050" dir="5400000" algn="bl" rotWithShape="0">
              <a:srgbClr val="000000">
                <a:alpha val="50000"/>
              </a:srgbClr>
            </a:outerShdw>
          </a:effectLst>
        </p:spPr>
      </p:pic>
      <p:sp>
        <p:nvSpPr>
          <p:cNvPr id="235" name="Google Shape;235;p31"/>
          <p:cNvSpPr txBox="1"/>
          <p:nvPr/>
        </p:nvSpPr>
        <p:spPr>
          <a:xfrm>
            <a:off x="5555400" y="882850"/>
            <a:ext cx="3452100" cy="400200"/>
          </a:xfrm>
          <a:prstGeom prst="rect">
            <a:avLst/>
          </a:prstGeom>
          <a:no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u="sng">
                <a:solidFill>
                  <a:schemeClr val="hlink"/>
                </a:solidFill>
                <a:hlinkClick r:id="rId4"/>
              </a:rPr>
              <a:t>Lien vers des exemples</a:t>
            </a:r>
          </a:p>
        </p:txBody>
      </p:sp>
    </p:spTree>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Shape 64"/>
        <p:cNvGrpSpPr/>
        <p:nvPr/>
      </p:nvGrpSpPr>
      <p:grpSpPr>
        <a:xfrm>
          <a:off x="0" y="0"/>
          <a:ext cx="0" cy="0"/>
          <a:chOff x="0" y="0"/>
          <a:chExt cx="0" cy="0"/>
        </a:xfrm>
      </p:grpSpPr>
      <p:sp>
        <p:nvSpPr>
          <p:cNvPr id="65" name="Google Shape;65;p14"/>
          <p:cNvSpPr txBox="1">
            <a:spLocks noGrp="1"/>
          </p:cNvSpPr>
          <p:nvPr>
            <p:ph type="body" idx="1"/>
          </p:nvPr>
        </p:nvSpPr>
        <p:spPr>
          <a:xfrm>
            <a:off x="350425" y="1531875"/>
            <a:ext cx="8398500" cy="33894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0" lvl="0" indent="0" algn="l" rtl="0">
              <a:lnSpc>
                <a:spcPct val="100000"/>
              </a:lnSpc>
              <a:spcBef>
                <a:spcPts val="0"/>
              </a:spcBef>
              <a:spcAft>
                <a:spcPts val="0"/>
              </a:spcAft>
              <a:buNone/>
            </a:pPr>
            <a:r>
              <a:rPr lang="fr-CA" sz="2000" dirty="0">
                <a:latin typeface="Open Sans"/>
                <a:ea typeface="Open Sans"/>
                <a:cs typeface="Open Sans"/>
                <a:sym typeface="Open Sans"/>
              </a:rPr>
              <a:t>Trois modèles qui ont une incidence sur les institutions sur Canada.ca :</a:t>
            </a:r>
          </a:p>
          <a:p>
            <a:pPr marL="457200" lvl="0" indent="-361950" algn="l" rtl="0">
              <a:lnSpc>
                <a:spcPct val="100000"/>
              </a:lnSpc>
              <a:spcBef>
                <a:spcPts val="1000"/>
              </a:spcBef>
              <a:spcAft>
                <a:spcPts val="0"/>
              </a:spcAft>
              <a:buSzPts val="2100"/>
              <a:buFont typeface="Open Sans"/>
              <a:buChar char="-"/>
            </a:pPr>
            <a:r>
              <a:rPr lang="fr-CA" sz="2000" dirty="0">
                <a:latin typeface="Open Sans"/>
                <a:ea typeface="Open Sans"/>
                <a:cs typeface="Open Sans"/>
                <a:sym typeface="Open Sans"/>
              </a:rPr>
              <a:t>Plan sur l’accessibilité de l’institution</a:t>
            </a:r>
          </a:p>
          <a:p>
            <a:pPr marL="457200" lvl="0"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Description du processus de rétroaction sur l’accessibilité de l’institution</a:t>
            </a:r>
          </a:p>
          <a:p>
            <a:pPr marL="457200" lvl="0"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Mécanisme de rétroaction sur l’accessibilité de l’institution</a:t>
            </a:r>
          </a:p>
          <a:p>
            <a:pPr marL="0" lvl="0" indent="0" algn="l" rtl="0">
              <a:lnSpc>
                <a:spcPct val="100000"/>
              </a:lnSpc>
              <a:spcBef>
                <a:spcPts val="1000"/>
              </a:spcBef>
              <a:spcAft>
                <a:spcPts val="0"/>
              </a:spcAft>
              <a:buNone/>
            </a:pPr>
            <a:r>
              <a:rPr lang="fr-CA" sz="2000" dirty="0">
                <a:latin typeface="Open Sans"/>
                <a:ea typeface="Open Sans"/>
                <a:cs typeface="Open Sans"/>
                <a:sym typeface="Open Sans"/>
              </a:rPr>
              <a:t>Ceux-ci découlent des exigences de la </a:t>
            </a:r>
            <a:r>
              <a:rPr lang="fr-CA" sz="2000" i="1" dirty="0">
                <a:latin typeface="Open Sans"/>
                <a:ea typeface="Open Sans"/>
                <a:cs typeface="Open Sans"/>
                <a:sym typeface="Open Sans"/>
              </a:rPr>
              <a:t>Loi canadienne sur l’accessibilité</a:t>
            </a:r>
            <a:r>
              <a:rPr lang="fr-CA" sz="2000" dirty="0">
                <a:latin typeface="Open Sans"/>
                <a:ea typeface="Open Sans"/>
                <a:cs typeface="Open Sans"/>
                <a:sym typeface="Open Sans"/>
              </a:rPr>
              <a:t> et de son </a:t>
            </a:r>
            <a:r>
              <a:rPr lang="fr-CA" sz="2000" i="1" dirty="0">
                <a:latin typeface="Open Sans"/>
                <a:ea typeface="Open Sans"/>
                <a:cs typeface="Open Sans"/>
                <a:sym typeface="Open Sans"/>
              </a:rPr>
              <a:t>Règlement</a:t>
            </a:r>
            <a:r>
              <a:rPr lang="fr-CA" sz="2000" dirty="0">
                <a:latin typeface="Open Sans"/>
                <a:ea typeface="Open Sans"/>
                <a:cs typeface="Open Sans"/>
                <a:sym typeface="Open Sans"/>
              </a:rPr>
              <a:t> d’application. </a:t>
            </a:r>
            <a:r>
              <a:rPr lang="fr-CA" sz="2000" u="sng" dirty="0">
                <a:solidFill>
                  <a:schemeClr val="hlink"/>
                </a:solidFill>
                <a:latin typeface="Open Sans"/>
                <a:ea typeface="Open Sans"/>
                <a:cs typeface="Open Sans"/>
                <a:sym typeface="Open Sans"/>
                <a:hlinkClick r:id="rId3"/>
              </a:rPr>
              <a:t>Aperçu des orientations existantes</a:t>
            </a:r>
          </a:p>
          <a:p>
            <a:pPr marL="0" lvl="0" indent="0" algn="l" rtl="0">
              <a:lnSpc>
                <a:spcPct val="100000"/>
              </a:lnSpc>
              <a:spcBef>
                <a:spcPts val="1000"/>
              </a:spcBef>
              <a:spcAft>
                <a:spcPts val="1000"/>
              </a:spcAft>
              <a:buNone/>
            </a:pPr>
            <a:r>
              <a:rPr lang="fr-CA" sz="2000" dirty="0">
                <a:latin typeface="Open Sans"/>
                <a:ea typeface="Open Sans"/>
                <a:cs typeface="Open Sans"/>
                <a:sym typeface="Open Sans"/>
              </a:rPr>
              <a:t>Date limite de publication : 31 décembre 2022</a:t>
            </a:r>
          </a:p>
        </p:txBody>
      </p:sp>
      <p:sp>
        <p:nvSpPr>
          <p:cNvPr id="66" name="Google Shape;66;p14"/>
          <p:cNvSpPr/>
          <p:nvPr/>
        </p:nvSpPr>
        <p:spPr>
          <a:xfrm>
            <a:off x="-43100" y="-12575"/>
            <a:ext cx="9187200" cy="1322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67" name="Google Shape;67;p14"/>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a:bodyPr>
          <a:lstStyle/>
          <a:p>
            <a:pPr marL="0" lvl="0" indent="0" algn="l" rtl="0">
              <a:spcBef>
                <a:spcPts val="0"/>
              </a:spcBef>
              <a:spcAft>
                <a:spcPts val="0"/>
              </a:spcAft>
              <a:buNone/>
            </a:pPr>
            <a:r>
              <a:rPr lang="fr-CA" sz="3400" b="1" dirty="0">
                <a:solidFill>
                  <a:schemeClr val="lt1"/>
                </a:solidFill>
                <a:latin typeface="Lato"/>
                <a:ea typeface="Lato"/>
                <a:cs typeface="Lato"/>
                <a:sym typeface="Lato"/>
              </a:rPr>
              <a:t>Trois modèles clés</a:t>
            </a:r>
          </a:p>
        </p:txBody>
      </p:sp>
      <p:sp>
        <p:nvSpPr>
          <p:cNvPr id="68" name="Google Shape;68;p14"/>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Tree>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Shape 239"/>
        <p:cNvGrpSpPr/>
        <p:nvPr/>
      </p:nvGrpSpPr>
      <p:grpSpPr>
        <a:xfrm>
          <a:off x="0" y="0"/>
          <a:ext cx="0" cy="0"/>
          <a:chOff x="0" y="0"/>
          <a:chExt cx="0" cy="0"/>
        </a:xfrm>
      </p:grpSpPr>
      <p:sp>
        <p:nvSpPr>
          <p:cNvPr id="240" name="Google Shape;240;p32"/>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Vous devrez rattacher le formulaire de rétroaction à quelque chose – un courriel générique, un système de billetterie, etc. (n’oubliez pas de conserver les rétroactions reçues pendant sept ans!). </a:t>
            </a:r>
          </a:p>
          <a:p>
            <a:pPr marL="914400" lvl="1" indent="-361950" algn="l" rtl="0">
              <a:lnSpc>
                <a:spcPct val="100000"/>
              </a:lnSpc>
              <a:spcBef>
                <a:spcPts val="0"/>
              </a:spcBef>
              <a:spcAft>
                <a:spcPts val="0"/>
              </a:spcAft>
              <a:buSzPts val="2100"/>
              <a:buFont typeface="Open Sans"/>
              <a:buChar char="-"/>
            </a:pPr>
            <a:r>
              <a:rPr lang="fr-CA" sz="1800" dirty="0">
                <a:latin typeface="Open Sans"/>
                <a:ea typeface="Open Sans"/>
                <a:cs typeface="Open Sans"/>
                <a:sym typeface="Open Sans"/>
              </a:rPr>
              <a:t>Utilisateurs d’Adobe </a:t>
            </a:r>
            <a:r>
              <a:rPr lang="fr-CA" sz="1800" dirty="0" err="1">
                <a:latin typeface="Open Sans"/>
                <a:ea typeface="Open Sans"/>
                <a:cs typeface="Open Sans"/>
                <a:sym typeface="Open Sans"/>
              </a:rPr>
              <a:t>Experience</a:t>
            </a:r>
            <a:r>
              <a:rPr lang="fr-CA" sz="1800" dirty="0">
                <a:latin typeface="Open Sans"/>
                <a:ea typeface="Open Sans"/>
                <a:cs typeface="Open Sans"/>
                <a:sym typeface="Open Sans"/>
              </a:rPr>
              <a:t> Manager (AEM) – </a:t>
            </a:r>
            <a:r>
              <a:rPr lang="fr-CA" sz="1800" u="sng" dirty="0">
                <a:solidFill>
                  <a:schemeClr val="hlink"/>
                </a:solidFill>
                <a:latin typeface="Open Sans"/>
                <a:ea typeface="Open Sans"/>
                <a:cs typeface="Open Sans"/>
                <a:sym typeface="Open Sans"/>
                <a:hlinkClick r:id="rId3"/>
              </a:rPr>
              <a:t>envoyez un billet à l’éditeur principal</a:t>
            </a:r>
            <a:r>
              <a:rPr lang="fr-CA" sz="1800" dirty="0">
                <a:latin typeface="Open Sans"/>
                <a:ea typeface="Open Sans"/>
                <a:cs typeface="Open Sans"/>
                <a:sym typeface="Open Sans"/>
              </a:rPr>
              <a:t> pour tirer parti de la solution « archiver et oublier » pour rattacher les formulaires à une adresse de courriel.</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Les personnes soumettant une rétroaction ont la possibilité de demander une réponse – la conception du formulaire comprend des informations sur les délais d’exécution dans le cadre de ce scénario.</a:t>
            </a:r>
          </a:p>
        </p:txBody>
      </p:sp>
      <p:sp>
        <p:nvSpPr>
          <p:cNvPr id="241" name="Google Shape;241;p32"/>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42" name="Google Shape;242;p32"/>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43" name="Google Shape;243;p32"/>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44" name="Google Shape;244;p32"/>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Formulaire de rétroaction 1/2</a:t>
            </a:r>
          </a:p>
        </p:txBody>
      </p:sp>
    </p:spTree>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Shape 248"/>
        <p:cNvGrpSpPr/>
        <p:nvPr/>
      </p:nvGrpSpPr>
      <p:grpSpPr>
        <a:xfrm>
          <a:off x="0" y="0"/>
          <a:ext cx="0" cy="0"/>
          <a:chOff x="0" y="0"/>
          <a:chExt cx="0" cy="0"/>
        </a:xfrm>
      </p:grpSpPr>
      <p:sp>
        <p:nvSpPr>
          <p:cNvPr id="249" name="Google Shape;249;p33"/>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Le formulaire a été conçu pour minimiser la collecte de renseignements d’identification personnelle (RIP) :</a:t>
            </a:r>
          </a:p>
          <a:p>
            <a:pPr marL="914400" lvl="1" indent="-361950" algn="l" rtl="0">
              <a:lnSpc>
                <a:spcPct val="100000"/>
              </a:lnSpc>
              <a:spcBef>
                <a:spcPts val="0"/>
              </a:spcBef>
              <a:spcAft>
                <a:spcPts val="0"/>
              </a:spcAft>
              <a:buSzPts val="2100"/>
              <a:buFont typeface="Open Sans"/>
              <a:buChar char="-"/>
            </a:pPr>
            <a:r>
              <a:rPr lang="fr-CA" sz="1800" dirty="0">
                <a:latin typeface="Open Sans"/>
                <a:ea typeface="Open Sans"/>
                <a:cs typeface="Open Sans"/>
                <a:sym typeface="Open Sans"/>
              </a:rPr>
              <a:t>Lorsque l’utilisateur demande spécifiquement une réponse, il ne demande qu’une adresse courriel.</a:t>
            </a:r>
          </a:p>
          <a:p>
            <a:pPr marL="914400" lvl="1" indent="-361950" algn="l" rtl="0">
              <a:lnSpc>
                <a:spcPct val="100000"/>
              </a:lnSpc>
              <a:spcBef>
                <a:spcPts val="0"/>
              </a:spcBef>
              <a:spcAft>
                <a:spcPts val="0"/>
              </a:spcAft>
              <a:buSzPts val="2100"/>
              <a:buFont typeface="Open Sans"/>
              <a:buChar char="-"/>
            </a:pPr>
            <a:r>
              <a:rPr lang="fr-CA" sz="1800" dirty="0">
                <a:latin typeface="Open Sans"/>
                <a:ea typeface="Open Sans"/>
                <a:cs typeface="Open Sans"/>
                <a:sym typeface="Open Sans"/>
              </a:rPr>
              <a:t>Comprend des instructions pour que les utilisateurs n’indiquent pas des renseignements personnels dans la zone de commentaires.</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Lors de la création de votre propre mise en œuvre, consultez le coordonnateur de l’AIPRP de votre organisation. </a:t>
            </a:r>
          </a:p>
        </p:txBody>
      </p:sp>
      <p:sp>
        <p:nvSpPr>
          <p:cNvPr id="250" name="Google Shape;250;p33"/>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51" name="Google Shape;251;p33"/>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52" name="Google Shape;252;p33"/>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53" name="Google Shape;253;p33"/>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Formulaire de rétroaction 2/2</a:t>
            </a:r>
          </a:p>
        </p:txBody>
      </p:sp>
    </p:spTree>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Shape 257"/>
        <p:cNvGrpSpPr/>
        <p:nvPr/>
      </p:nvGrpSpPr>
      <p:grpSpPr>
        <a:xfrm>
          <a:off x="0" y="0"/>
          <a:ext cx="0" cy="0"/>
          <a:chOff x="0" y="0"/>
          <a:chExt cx="0" cy="0"/>
        </a:xfrm>
      </p:grpSpPr>
      <p:sp>
        <p:nvSpPr>
          <p:cNvPr id="258" name="Google Shape;258;p34"/>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59" name="Google Shape;259;p34"/>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000" b="1" dirty="0">
                <a:solidFill>
                  <a:schemeClr val="lt1"/>
                </a:solidFill>
                <a:latin typeface="Lato"/>
                <a:ea typeface="Lato"/>
                <a:cs typeface="Lato"/>
                <a:sym typeface="Lato"/>
              </a:rPr>
              <a:t>Description du processus de rétroaction sur l’accessibilité </a:t>
            </a:r>
          </a:p>
          <a:p>
            <a:pPr marL="0" lvl="0" indent="0" algn="l" rtl="0">
              <a:spcBef>
                <a:spcPts val="0"/>
              </a:spcBef>
              <a:spcAft>
                <a:spcPts val="0"/>
              </a:spcAft>
              <a:buNone/>
            </a:pPr>
            <a:endParaRPr sz="2000" b="1" dirty="0">
              <a:solidFill>
                <a:schemeClr val="lt1"/>
              </a:solidFill>
              <a:latin typeface="Lato"/>
              <a:ea typeface="Lato"/>
              <a:cs typeface="Lato"/>
              <a:sym typeface="Lato"/>
            </a:endParaRPr>
          </a:p>
        </p:txBody>
      </p:sp>
      <p:sp>
        <p:nvSpPr>
          <p:cNvPr id="260" name="Google Shape;260;p34"/>
          <p:cNvSpPr/>
          <p:nvPr/>
        </p:nvSpPr>
        <p:spPr>
          <a:xfrm>
            <a:off x="456976" y="23462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61" name="Google Shape;261;p34"/>
          <p:cNvSpPr txBox="1">
            <a:spLocks noGrp="1"/>
          </p:cNvSpPr>
          <p:nvPr>
            <p:ph type="subTitle" idx="4294967295"/>
          </p:nvPr>
        </p:nvSpPr>
        <p:spPr>
          <a:xfrm>
            <a:off x="311700" y="2747775"/>
            <a:ext cx="2264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Approche recommandée</a:t>
            </a:r>
          </a:p>
        </p:txBody>
      </p:sp>
      <p:pic>
        <p:nvPicPr>
          <p:cNvPr id="262" name="Google Shape;262;p34"/>
          <p:cNvPicPr preferRelativeResize="0"/>
          <p:nvPr/>
        </p:nvPicPr>
        <p:blipFill rotWithShape="1">
          <a:blip r:embed="rId3">
            <a:alphaModFix/>
          </a:blip>
          <a:srcRect b="7749"/>
          <a:stretch/>
        </p:blipFill>
        <p:spPr>
          <a:xfrm>
            <a:off x="2728750" y="1097250"/>
            <a:ext cx="6202552" cy="3813824"/>
          </a:xfrm>
          <a:prstGeom prst="rect">
            <a:avLst/>
          </a:prstGeom>
          <a:noFill/>
          <a:ln>
            <a:noFill/>
          </a:ln>
          <a:effectLst>
            <a:outerShdw blurRad="57150" dist="19050" dir="5400000" algn="bl" rotWithShape="0">
              <a:srgbClr val="000000">
                <a:alpha val="50000"/>
              </a:srgbClr>
            </a:outerShdw>
          </a:effectLst>
        </p:spPr>
      </p:pic>
      <p:sp>
        <p:nvSpPr>
          <p:cNvPr id="263" name="Google Shape;263;p34"/>
          <p:cNvSpPr txBox="1"/>
          <p:nvPr/>
        </p:nvSpPr>
        <p:spPr>
          <a:xfrm>
            <a:off x="5479250" y="648700"/>
            <a:ext cx="3452100" cy="400200"/>
          </a:xfrm>
          <a:prstGeom prst="rect">
            <a:avLst/>
          </a:prstGeom>
          <a:no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u="sng">
                <a:solidFill>
                  <a:schemeClr val="hlink"/>
                </a:solidFill>
                <a:hlinkClick r:id="rId4"/>
              </a:rPr>
              <a:t>Lien vers des exemples</a:t>
            </a:r>
          </a:p>
        </p:txBody>
      </p:sp>
    </p:spTree>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Shape 267"/>
        <p:cNvGrpSpPr/>
        <p:nvPr/>
      </p:nvGrpSpPr>
      <p:grpSpPr>
        <a:xfrm>
          <a:off x="0" y="0"/>
          <a:ext cx="0" cy="0"/>
          <a:chOff x="0" y="0"/>
          <a:chExt cx="0" cy="0"/>
        </a:xfrm>
      </p:grpSpPr>
      <p:sp>
        <p:nvSpPr>
          <p:cNvPr id="268" name="Google Shape;268;p35"/>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sz="1600" dirty="0">
                <a:latin typeface="Open Sans"/>
                <a:ea typeface="Open Sans"/>
                <a:cs typeface="Open Sans"/>
                <a:sym typeface="Open Sans"/>
              </a:rPr>
              <a:t>Conçu pour se concentrer sur les besoins prioritaires des utilisateurs, plutôt que de fournir une description exhaustive des procédures de l’arrière-guichet.</a:t>
            </a:r>
          </a:p>
          <a:p>
            <a:pPr marL="457200" lvl="0" indent="-361950" algn="l" rtl="0">
              <a:lnSpc>
                <a:spcPct val="100000"/>
              </a:lnSpc>
              <a:spcBef>
                <a:spcPts val="0"/>
              </a:spcBef>
              <a:spcAft>
                <a:spcPts val="0"/>
              </a:spcAft>
              <a:buSzPts val="2100"/>
              <a:buFont typeface="Open Sans"/>
              <a:buChar char="-"/>
            </a:pPr>
            <a:r>
              <a:rPr lang="fr-CA" sz="1600" dirty="0">
                <a:latin typeface="Open Sans"/>
                <a:ea typeface="Open Sans"/>
                <a:cs typeface="Open Sans"/>
                <a:sym typeface="Open Sans"/>
              </a:rPr>
              <a:t>Assurez-vous que le processus sous-jacent répond aux exigences décrites dans la </a:t>
            </a:r>
            <a:r>
              <a:rPr lang="fr-CA" sz="1600" u="sng" dirty="0">
                <a:solidFill>
                  <a:schemeClr val="hlink"/>
                </a:solidFill>
                <a:latin typeface="Open Sans"/>
                <a:ea typeface="Open Sans"/>
                <a:cs typeface="Open Sans"/>
                <a:sym typeface="Open Sans"/>
                <a:hlinkClick r:id="rId3"/>
              </a:rPr>
              <a:t>Description du processus de rétroaction</a:t>
            </a:r>
            <a:r>
              <a:rPr lang="fr-CA" sz="1600" dirty="0">
                <a:latin typeface="Open Sans"/>
                <a:ea typeface="Open Sans"/>
                <a:cs typeface="Open Sans"/>
                <a:sym typeface="Open Sans"/>
              </a:rPr>
              <a:t>.</a:t>
            </a:r>
          </a:p>
          <a:p>
            <a:pPr marL="914400" lvl="1" indent="-361950" algn="l" rtl="0">
              <a:lnSpc>
                <a:spcPct val="100000"/>
              </a:lnSpc>
              <a:spcBef>
                <a:spcPts val="0"/>
              </a:spcBef>
              <a:spcAft>
                <a:spcPts val="0"/>
              </a:spcAft>
              <a:buSzPts val="2100"/>
              <a:buFont typeface="Open Sans"/>
              <a:buChar char="-"/>
            </a:pPr>
            <a:r>
              <a:rPr lang="fr-CA" sz="1600" dirty="0">
                <a:latin typeface="Open Sans"/>
                <a:ea typeface="Open Sans"/>
                <a:cs typeface="Open Sans"/>
                <a:sym typeface="Open Sans"/>
              </a:rPr>
              <a:t>Les personnes doivent être en mesure de fournir une rétroaction par divers moyens, y compris le courrier électronique, le téléphone, le courrier postal.</a:t>
            </a:r>
          </a:p>
          <a:p>
            <a:pPr marL="914400" lvl="1" indent="-361950" algn="l" rtl="0">
              <a:lnSpc>
                <a:spcPct val="100000"/>
              </a:lnSpc>
              <a:spcBef>
                <a:spcPts val="0"/>
              </a:spcBef>
              <a:spcAft>
                <a:spcPts val="0"/>
              </a:spcAft>
              <a:buSzPts val="2100"/>
              <a:buFont typeface="Open Sans"/>
              <a:buChar char="-"/>
            </a:pPr>
            <a:r>
              <a:rPr lang="fr-CA" sz="1600" dirty="0">
                <a:latin typeface="Open Sans"/>
                <a:ea typeface="Open Sans"/>
                <a:cs typeface="Open Sans"/>
                <a:sym typeface="Open Sans"/>
              </a:rPr>
              <a:t>La rétroaction doit être analysée et faire l’objet de rapports à l’avenir.</a:t>
            </a:r>
          </a:p>
        </p:txBody>
      </p:sp>
      <p:sp>
        <p:nvSpPr>
          <p:cNvPr id="269" name="Google Shape;269;p35"/>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70" name="Google Shape;270;p35"/>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71" name="Google Shape;271;p35"/>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72" name="Google Shape;272;p35"/>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Description du processus de rétroaction 1/2</a:t>
            </a:r>
          </a:p>
        </p:txBody>
      </p:sp>
    </p:spTree>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Shape 276"/>
        <p:cNvGrpSpPr/>
        <p:nvPr/>
      </p:nvGrpSpPr>
      <p:grpSpPr>
        <a:xfrm>
          <a:off x="0" y="0"/>
          <a:ext cx="0" cy="0"/>
          <a:chOff x="0" y="0"/>
          <a:chExt cx="0" cy="0"/>
        </a:xfrm>
      </p:grpSpPr>
      <p:sp>
        <p:nvSpPr>
          <p:cNvPr id="277" name="Google Shape;277;p36"/>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Comme pour les plans sur l’accessibilité, les institutions doivent aviser le commissaire à l’accessibilité de la Commission canadienne des droits de la personne dans les 48 heures suivant la publication de leur description de processus.</a:t>
            </a:r>
          </a:p>
          <a:p>
            <a:pPr marL="914400" lvl="1"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Envoyez un courriel à </a:t>
            </a:r>
            <a:r>
              <a:rPr lang="fr-CA" sz="2000" u="sng" dirty="0">
                <a:solidFill>
                  <a:schemeClr val="accent5"/>
                </a:solidFill>
                <a:latin typeface="Open Sans"/>
                <a:ea typeface="Open Sans"/>
                <a:cs typeface="Open Sans"/>
                <a:sym typeface="Open Sans"/>
                <a:hlinkClick r:id="rId3"/>
                <a:extLst>
                  <a:ext uri="{A12FA001-AC4F-418D-AE19-62706E023703}">
                    <ahyp:hlinkClr xmlns="" xmlns:ahyp="http://schemas.microsoft.com/office/drawing/2018/hyperlinkcolor" val="tx"/>
                  </a:ext>
                </a:extLst>
              </a:rPr>
              <a:t>Info.Com@chrc-ccdp.gc.ca</a:t>
            </a:r>
            <a:r>
              <a:rPr lang="fr-CA" sz="2000" dirty="0">
                <a:latin typeface="Open Sans"/>
                <a:ea typeface="Open Sans"/>
                <a:cs typeface="Open Sans"/>
                <a:sym typeface="Open Sans"/>
              </a:rPr>
              <a:t> ou utilisez le service « </a:t>
            </a:r>
            <a:r>
              <a:rPr lang="fr-CA" sz="2000" u="sng" dirty="0">
                <a:solidFill>
                  <a:schemeClr val="accent5"/>
                </a:solidFill>
                <a:latin typeface="Open Sans"/>
                <a:ea typeface="Open Sans"/>
                <a:cs typeface="Open Sans"/>
                <a:sym typeface="Open Sans"/>
                <a:hlinkClick r:id="rId4"/>
                <a:extLst>
                  <a:ext uri="{A12FA001-AC4F-418D-AE19-62706E023703}">
                    <ahyp:hlinkClr xmlns="" xmlns:ahyp="http://schemas.microsoft.com/office/drawing/2018/hyperlinkcolor" val="tx"/>
                  </a:ext>
                </a:extLst>
              </a:rPr>
              <a:t>Mon portail sur l’accessibilité</a:t>
            </a:r>
            <a:r>
              <a:rPr lang="fr-CA" sz="2000" dirty="0">
                <a:latin typeface="Open Sans"/>
                <a:ea typeface="Open Sans"/>
                <a:cs typeface="Open Sans"/>
                <a:sym typeface="Open Sans"/>
              </a:rPr>
              <a:t> » de la CCDP.</a:t>
            </a:r>
          </a:p>
          <a:p>
            <a:pPr marL="914400" lvl="1" indent="-361950" algn="l" rtl="0">
              <a:lnSpc>
                <a:spcPct val="100000"/>
              </a:lnSpc>
              <a:spcBef>
                <a:spcPts val="0"/>
              </a:spcBef>
              <a:spcAft>
                <a:spcPts val="0"/>
              </a:spcAft>
              <a:buSzPts val="2100"/>
              <a:buFont typeface="Open Sans"/>
              <a:buChar char="-"/>
            </a:pPr>
            <a:r>
              <a:rPr lang="fr-CA" sz="2000" dirty="0">
                <a:latin typeface="Open Sans"/>
                <a:ea typeface="Open Sans"/>
                <a:cs typeface="Open Sans"/>
                <a:sym typeface="Open Sans"/>
              </a:rPr>
              <a:t>Inclure un lien ou une URL pour la description du processus dans le courriel que vous envoyez.</a:t>
            </a:r>
          </a:p>
        </p:txBody>
      </p:sp>
      <p:sp>
        <p:nvSpPr>
          <p:cNvPr id="278" name="Google Shape;278;p36"/>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79" name="Google Shape;279;p36"/>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280" name="Google Shape;280;p36"/>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81" name="Google Shape;281;p36"/>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Description du processus de rétroaction 2/2</a:t>
            </a:r>
          </a:p>
        </p:txBody>
      </p:sp>
    </p:spTree>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Shape 285"/>
        <p:cNvGrpSpPr/>
        <p:nvPr/>
      </p:nvGrpSpPr>
      <p:grpSpPr>
        <a:xfrm>
          <a:off x="0" y="0"/>
          <a:ext cx="0" cy="0"/>
          <a:chOff x="0" y="0"/>
          <a:chExt cx="0" cy="0"/>
        </a:xfrm>
      </p:grpSpPr>
      <p:sp>
        <p:nvSpPr>
          <p:cNvPr id="286" name="Google Shape;286;p37"/>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87" name="Google Shape;287;p37"/>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b="1" dirty="0">
                <a:solidFill>
                  <a:schemeClr val="lt1"/>
                </a:solidFill>
                <a:latin typeface="Lato"/>
                <a:ea typeface="Lato"/>
                <a:cs typeface="Lato"/>
                <a:sym typeface="Lato"/>
              </a:rPr>
              <a:t>Prochaines étapes</a:t>
            </a:r>
          </a:p>
          <a:p>
            <a:pPr marL="0" lvl="0" indent="0" algn="l" rtl="0">
              <a:spcBef>
                <a:spcPts val="0"/>
              </a:spcBef>
              <a:spcAft>
                <a:spcPts val="0"/>
              </a:spcAft>
              <a:buNone/>
            </a:pPr>
            <a:endParaRPr b="1" dirty="0">
              <a:solidFill>
                <a:schemeClr val="lt1"/>
              </a:solidFill>
              <a:latin typeface="Lato"/>
              <a:ea typeface="Lato"/>
              <a:cs typeface="Lato"/>
              <a:sym typeface="Lato"/>
            </a:endParaRPr>
          </a:p>
        </p:txBody>
      </p:sp>
      <p:sp>
        <p:nvSpPr>
          <p:cNvPr id="288" name="Google Shape;288;p37"/>
          <p:cNvSpPr/>
          <p:nvPr/>
        </p:nvSpPr>
        <p:spPr>
          <a:xfrm>
            <a:off x="456976" y="974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89" name="Google Shape;289;p37"/>
          <p:cNvSpPr txBox="1">
            <a:spLocks noGrp="1"/>
          </p:cNvSpPr>
          <p:nvPr>
            <p:ph type="subTitle" idx="4294967295"/>
          </p:nvPr>
        </p:nvSpPr>
        <p:spPr>
          <a:xfrm>
            <a:off x="311700" y="1376175"/>
            <a:ext cx="23769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Clr>
                <a:schemeClr val="dk1"/>
              </a:buClr>
              <a:buSzPts val="1100"/>
              <a:buFont typeface="Arial"/>
              <a:buNone/>
            </a:pPr>
            <a:r>
              <a:rPr lang="fr-CA" sz="2000">
                <a:solidFill>
                  <a:schemeClr val="lt1"/>
                </a:solidFill>
                <a:latin typeface="Open Sans"/>
                <a:ea typeface="Open Sans"/>
                <a:cs typeface="Open Sans"/>
                <a:sym typeface="Open Sans"/>
              </a:rPr>
              <a:t>Mise en œuvre et perfectionnement des exemples</a:t>
            </a:r>
          </a:p>
          <a:p>
            <a:pPr marL="0" lvl="0" indent="0" algn="l" rtl="0">
              <a:lnSpc>
                <a:spcPct val="100000"/>
              </a:lnSpc>
              <a:spcBef>
                <a:spcPts val="0"/>
              </a:spcBef>
              <a:spcAft>
                <a:spcPts val="0"/>
              </a:spcAft>
              <a:buSzPts val="1100"/>
              <a:buNone/>
            </a:pPr>
            <a:endParaRPr sz="2000">
              <a:solidFill>
                <a:schemeClr val="lt1"/>
              </a:solidFill>
              <a:latin typeface="Open Sans"/>
              <a:ea typeface="Open Sans"/>
              <a:cs typeface="Open Sans"/>
              <a:sym typeface="Open Sans"/>
            </a:endParaRPr>
          </a:p>
        </p:txBody>
      </p:sp>
      <p:sp>
        <p:nvSpPr>
          <p:cNvPr id="290" name="Google Shape;290;p37"/>
          <p:cNvSpPr txBox="1"/>
          <p:nvPr/>
        </p:nvSpPr>
        <p:spPr>
          <a:xfrm>
            <a:off x="4138175" y="514350"/>
            <a:ext cx="4524000" cy="4621748"/>
          </a:xfrm>
          <a:prstGeom prst="rect">
            <a:avLst/>
          </a:prstGeom>
          <a:noFill/>
          <a:ln>
            <a:noFill/>
          </a:ln>
        </p:spPr>
        <p:txBody>
          <a:bodyPr spcFirstLastPara="1" wrap="square" lIns="91425" tIns="91425" rIns="91425" bIns="91425" anchor="t" anchorCtr="0">
            <a:spAutoFit/>
          </a:bodyPr>
          <a:lstStyle/>
          <a:p>
            <a:pPr marL="0" lvl="0" indent="0" algn="l" rtl="0">
              <a:spcBef>
                <a:spcPts val="0"/>
              </a:spcBef>
              <a:spcAft>
                <a:spcPts val="0"/>
              </a:spcAft>
              <a:buClr>
                <a:schemeClr val="dk1"/>
              </a:buClr>
              <a:buSzPts val="1100"/>
              <a:buFont typeface="Arial"/>
              <a:buNone/>
            </a:pPr>
            <a:r>
              <a:rPr lang="fr-CA" sz="2000" dirty="0">
                <a:solidFill>
                  <a:schemeClr val="dk2"/>
                </a:solidFill>
                <a:latin typeface="Open Sans"/>
                <a:ea typeface="Open Sans"/>
                <a:cs typeface="Open Sans"/>
                <a:sym typeface="Open Sans"/>
              </a:rPr>
              <a:t>Ces exemples sont une première étape :</a:t>
            </a:r>
          </a:p>
          <a:p>
            <a:pPr marL="457200" lvl="0" indent="-361950" algn="l" rtl="0">
              <a:spcBef>
                <a:spcPts val="1000"/>
              </a:spcBef>
              <a:spcAft>
                <a:spcPts val="0"/>
              </a:spcAft>
              <a:buClr>
                <a:schemeClr val="dk2"/>
              </a:buClr>
              <a:buSzPts val="2100"/>
              <a:buFont typeface="Open Sans"/>
              <a:buChar char="-"/>
            </a:pPr>
            <a:r>
              <a:rPr lang="fr-CA" sz="2000" dirty="0">
                <a:solidFill>
                  <a:schemeClr val="dk2"/>
                </a:solidFill>
                <a:latin typeface="Open Sans"/>
                <a:ea typeface="Open Sans"/>
                <a:cs typeface="Open Sans"/>
                <a:sym typeface="Open Sans"/>
              </a:rPr>
              <a:t>Assurer le suivi et effectuer des itérations, sur la base de données probantes.</a:t>
            </a:r>
          </a:p>
          <a:p>
            <a:pPr marL="914400" lvl="1" indent="-361950" algn="l" rtl="0">
              <a:spcBef>
                <a:spcPts val="0"/>
              </a:spcBef>
              <a:spcAft>
                <a:spcPts val="0"/>
              </a:spcAft>
              <a:buClr>
                <a:schemeClr val="dk2"/>
              </a:buClr>
              <a:buSzPts val="2100"/>
              <a:buFont typeface="Open Sans"/>
              <a:buChar char="-"/>
            </a:pPr>
            <a:r>
              <a:rPr lang="fr-CA" sz="2000" dirty="0">
                <a:solidFill>
                  <a:schemeClr val="dk2"/>
                </a:solidFill>
                <a:latin typeface="Open Sans"/>
                <a:ea typeface="Open Sans"/>
                <a:cs typeface="Open Sans"/>
                <a:sym typeface="Open Sans"/>
              </a:rPr>
              <a:t>Au fur et à mesure de la mise en œuvre par les ministères et agences, fournir des commentaires et une rétroaction à </a:t>
            </a:r>
            <a:r>
              <a:rPr lang="fr-CA" sz="2000" u="sng" dirty="0">
                <a:solidFill>
                  <a:schemeClr val="accent5"/>
                </a:solidFill>
                <a:latin typeface="Open Sans"/>
                <a:ea typeface="Open Sans"/>
                <a:cs typeface="Open Sans"/>
                <a:sym typeface="Open Sans"/>
                <a:hlinkClick r:id="rId3"/>
                <a:extLst>
                  <a:ext uri="{A12FA001-AC4F-418D-AE19-62706E023703}">
                    <ahyp:hlinkClr xmlns="" xmlns:ahyp="http://schemas.microsoft.com/office/drawing/2018/hyperlinkcolor" val="tx"/>
                  </a:ext>
                </a:extLst>
              </a:rPr>
              <a:t>dto.btn@tbs-sct.gc.ca</a:t>
            </a:r>
          </a:p>
          <a:p>
            <a:pPr marL="457200" lvl="0" indent="-361950" algn="l" rtl="0">
              <a:spcBef>
                <a:spcPts val="0"/>
              </a:spcBef>
              <a:spcAft>
                <a:spcPts val="0"/>
              </a:spcAft>
              <a:buClr>
                <a:schemeClr val="dk2"/>
              </a:buClr>
              <a:buSzPts val="2100"/>
              <a:buFont typeface="Open Sans"/>
              <a:buChar char="-"/>
            </a:pPr>
            <a:r>
              <a:rPr lang="fr-CA" sz="2000" dirty="0">
                <a:solidFill>
                  <a:schemeClr val="dk2"/>
                </a:solidFill>
                <a:latin typeface="Open Sans"/>
                <a:ea typeface="Open Sans"/>
                <a:cs typeface="Open Sans"/>
                <a:sym typeface="Open Sans"/>
              </a:rPr>
              <a:t>Ils s’intégreront à la bibliothèque de modèles et de configurations sur </a:t>
            </a:r>
            <a:r>
              <a:rPr lang="fr-CA" sz="2000" u="sng" dirty="0">
                <a:solidFill>
                  <a:schemeClr val="hlink"/>
                </a:solidFill>
                <a:latin typeface="Open Sans"/>
                <a:ea typeface="Open Sans"/>
                <a:cs typeface="Open Sans"/>
                <a:sym typeface="Open Sans"/>
                <a:hlinkClick r:id="rId4"/>
              </a:rPr>
              <a:t>conception.canada.ca</a:t>
            </a:r>
          </a:p>
        </p:txBody>
      </p:sp>
    </p:spTree>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Shape 294"/>
        <p:cNvGrpSpPr/>
        <p:nvPr/>
      </p:nvGrpSpPr>
      <p:grpSpPr>
        <a:xfrm>
          <a:off x="0" y="0"/>
          <a:ext cx="0" cy="0"/>
          <a:chOff x="0" y="0"/>
          <a:chExt cx="0" cy="0"/>
        </a:xfrm>
      </p:grpSpPr>
      <p:sp>
        <p:nvSpPr>
          <p:cNvPr id="295" name="Google Shape;295;p38"/>
          <p:cNvSpPr/>
          <p:nvPr/>
        </p:nvSpPr>
        <p:spPr>
          <a:xfrm>
            <a:off x="-43100" y="-12575"/>
            <a:ext cx="9187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296" name="Google Shape;296;p38"/>
          <p:cNvSpPr txBox="1">
            <a:spLocks noGrp="1"/>
          </p:cNvSpPr>
          <p:nvPr>
            <p:ph type="subTitle" idx="1"/>
          </p:nvPr>
        </p:nvSpPr>
        <p:spPr>
          <a:xfrm>
            <a:off x="889800" y="1685700"/>
            <a:ext cx="7364400" cy="1772100"/>
          </a:xfrm>
          <a:prstGeom prst="rect">
            <a:avLst/>
          </a:prstGeom>
        </p:spPr>
        <p:txBody>
          <a:bodyPr spcFirstLastPara="1" wrap="square" lIns="91425" tIns="91425" rIns="91425" bIns="91425" anchor="t" anchorCtr="0">
            <a:noAutofit/>
          </a:bodyPr>
          <a:lstStyle/>
          <a:p>
            <a:pPr marL="0" lvl="0" indent="0" algn="ctr" rtl="0">
              <a:lnSpc>
                <a:spcPct val="150000"/>
              </a:lnSpc>
              <a:spcBef>
                <a:spcPts val="0"/>
              </a:spcBef>
              <a:spcAft>
                <a:spcPts val="0"/>
              </a:spcAft>
              <a:buSzPts val="1100"/>
              <a:buNone/>
            </a:pPr>
            <a:r>
              <a:rPr lang="fr-CA" sz="9600" b="1">
                <a:solidFill>
                  <a:schemeClr val="lt1"/>
                </a:solidFill>
                <a:latin typeface="Open Sans"/>
                <a:ea typeface="Open Sans"/>
                <a:cs typeface="Open Sans"/>
                <a:sym typeface="Open Sans"/>
              </a:rPr>
              <a:t>Annexe</a:t>
            </a:r>
          </a:p>
        </p:txBody>
      </p:sp>
    </p:spTree>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Shape 300"/>
        <p:cNvGrpSpPr/>
        <p:nvPr/>
      </p:nvGrpSpPr>
      <p:grpSpPr>
        <a:xfrm>
          <a:off x="0" y="0"/>
          <a:ext cx="0" cy="0"/>
          <a:chOff x="0" y="0"/>
          <a:chExt cx="0" cy="0"/>
        </a:xfrm>
      </p:grpSpPr>
      <p:sp>
        <p:nvSpPr>
          <p:cNvPr id="301" name="Google Shape;301;p39"/>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02" name="Google Shape;302;p39"/>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303" name="Google Shape;303;p39"/>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04" name="Google Shape;304;p39"/>
          <p:cNvSpPr txBox="1">
            <a:spLocks noGrp="1"/>
          </p:cNvSpPr>
          <p:nvPr>
            <p:ph type="subTitle" idx="4294967295"/>
          </p:nvPr>
        </p:nvSpPr>
        <p:spPr>
          <a:xfrm>
            <a:off x="311700" y="1641779"/>
            <a:ext cx="2264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Procédures de publication en vertu de la </a:t>
            </a:r>
            <a:r>
              <a:rPr lang="fr-CA" sz="2000" i="1">
                <a:solidFill>
                  <a:schemeClr val="lt1"/>
                </a:solidFill>
                <a:latin typeface="Open Sans"/>
                <a:ea typeface="Open Sans"/>
                <a:cs typeface="Open Sans"/>
                <a:sym typeface="Open Sans"/>
              </a:rPr>
              <a:t>Politique sur les communications et l’image de marque</a:t>
            </a:r>
          </a:p>
        </p:txBody>
      </p:sp>
      <p:sp>
        <p:nvSpPr>
          <p:cNvPr id="305" name="Google Shape;305;p39"/>
          <p:cNvSpPr txBox="1"/>
          <p:nvPr/>
        </p:nvSpPr>
        <p:spPr>
          <a:xfrm>
            <a:off x="3848375" y="192425"/>
            <a:ext cx="5158200" cy="4262675"/>
          </a:xfrm>
          <a:prstGeom prst="rect">
            <a:avLst/>
          </a:prstGeom>
          <a:noFill/>
          <a:ln>
            <a:noFill/>
          </a:ln>
        </p:spPr>
        <p:txBody>
          <a:bodyPr spcFirstLastPara="1" wrap="square" lIns="91425" tIns="91425" rIns="91425" bIns="91425" anchor="t" anchorCtr="0">
            <a:spAutoFit/>
          </a:bodyPr>
          <a:lstStyle/>
          <a:p>
            <a:pPr marL="0" lvl="0" indent="0" algn="l" rtl="0">
              <a:spcBef>
                <a:spcPts val="0"/>
              </a:spcBef>
              <a:spcAft>
                <a:spcPts val="0"/>
              </a:spcAft>
              <a:buNone/>
            </a:pPr>
            <a:r>
              <a:rPr lang="fr-CA" sz="1200" dirty="0"/>
              <a:t>Étant donné que les plans sur l’accessibilité des institutions sont estimés comme des publications officielles du gouvernement du Canada, une version PDF du plan sur l’accessibilité doit être incluse dans le catalogue à </a:t>
            </a:r>
            <a:r>
              <a:rPr lang="fr-CA" sz="1200" u="sng" dirty="0">
                <a:solidFill>
                  <a:schemeClr val="hlink"/>
                </a:solidFill>
                <a:hlinkClick r:id="rId3"/>
              </a:rPr>
              <a:t>publications.gc.ca</a:t>
            </a:r>
            <a:r>
              <a:rPr lang="fr-CA" sz="1200" dirty="0"/>
              <a:t>. </a:t>
            </a:r>
          </a:p>
          <a:p>
            <a:pPr marL="0" lvl="0" indent="0" algn="l" rtl="0">
              <a:spcBef>
                <a:spcPts val="0"/>
              </a:spcBef>
              <a:spcAft>
                <a:spcPts val="0"/>
              </a:spcAft>
              <a:buNone/>
            </a:pPr>
            <a:endParaRPr sz="1200" dirty="0"/>
          </a:p>
          <a:p>
            <a:pPr marL="0" lvl="0" indent="0" algn="l" rtl="0">
              <a:spcBef>
                <a:spcPts val="0"/>
              </a:spcBef>
              <a:spcAft>
                <a:spcPts val="0"/>
              </a:spcAft>
              <a:buNone/>
            </a:pPr>
            <a:r>
              <a:rPr lang="fr-CA" sz="1200" dirty="0"/>
              <a:t>Suivez ces étapes :</a:t>
            </a:r>
          </a:p>
          <a:p>
            <a:pPr marL="0" lvl="0" indent="0" algn="l" rtl="0">
              <a:spcBef>
                <a:spcPts val="0"/>
              </a:spcBef>
              <a:spcAft>
                <a:spcPts val="0"/>
              </a:spcAft>
              <a:buNone/>
            </a:pPr>
            <a:endParaRPr sz="1200" dirty="0"/>
          </a:p>
          <a:p>
            <a:pPr marL="457200" lvl="0" indent="-317500" algn="l" rtl="0">
              <a:spcBef>
                <a:spcPts val="0"/>
              </a:spcBef>
              <a:spcAft>
                <a:spcPts val="0"/>
              </a:spcAft>
              <a:buSzPts val="1400"/>
              <a:buAutoNum type="arabicPeriod"/>
            </a:pPr>
            <a:r>
              <a:rPr lang="fr-CA" sz="1200" dirty="0"/>
              <a:t>Obtenir un ISSN auprès de Bibliothèque et Archives Canada :</a:t>
            </a:r>
            <a:br>
              <a:rPr lang="fr-CA" sz="1200" dirty="0"/>
            </a:br>
            <a:r>
              <a:rPr lang="fr-CA" sz="1050" u="sng" dirty="0">
                <a:solidFill>
                  <a:schemeClr val="hlink"/>
                </a:solidFill>
                <a:hlinkClick r:id="rId4"/>
              </a:rPr>
              <a:t>Numéro international normalisé des publications en série (ISSN)</a:t>
            </a:r>
          </a:p>
          <a:p>
            <a:pPr marL="457200" lvl="0" indent="-317500" algn="l" rtl="0">
              <a:spcBef>
                <a:spcPts val="0"/>
              </a:spcBef>
              <a:spcAft>
                <a:spcPts val="0"/>
              </a:spcAft>
              <a:buSzPts val="1400"/>
              <a:buAutoNum type="arabicPeriod"/>
            </a:pPr>
            <a:r>
              <a:rPr lang="fr-CA" sz="1200" dirty="0"/>
              <a:t>Obtenir un numéro de catalogue du GC auprès de SPAC :</a:t>
            </a:r>
            <a:br>
              <a:rPr lang="fr-CA" sz="1200" dirty="0"/>
            </a:br>
            <a:r>
              <a:rPr lang="fr-CA" sz="1050" u="sng" dirty="0">
                <a:solidFill>
                  <a:schemeClr val="hlink"/>
                </a:solidFill>
                <a:hlinkClick r:id="rId5"/>
              </a:rPr>
              <a:t>Numéros de catalogue – Publications du gouvernement du Canada</a:t>
            </a:r>
          </a:p>
          <a:p>
            <a:pPr marL="457200" lvl="0" indent="-317500" algn="l" rtl="0">
              <a:spcBef>
                <a:spcPts val="0"/>
              </a:spcBef>
              <a:spcAft>
                <a:spcPts val="0"/>
              </a:spcAft>
              <a:buSzPts val="1400"/>
              <a:buAutoNum type="arabicPeriod"/>
            </a:pPr>
            <a:r>
              <a:rPr lang="fr-CA" sz="1200" dirty="0"/>
              <a:t>Mettez les deux numéros dans vos plans sur l’accessibilité, conformément aux directives de SPAC sur les pages sur le droit d’auteur :</a:t>
            </a:r>
            <a:br>
              <a:rPr lang="fr-CA" sz="1200" dirty="0"/>
            </a:br>
            <a:r>
              <a:rPr lang="fr-CA" sz="1050" u="sng" dirty="0">
                <a:solidFill>
                  <a:schemeClr val="hlink"/>
                </a:solidFill>
                <a:hlinkClick r:id="rId6"/>
              </a:rPr>
              <a:t>Mise en forme de la page sur le droit d’auteur</a:t>
            </a:r>
            <a:r>
              <a:rPr lang="fr-CA" sz="1200" dirty="0"/>
              <a:t> </a:t>
            </a:r>
          </a:p>
          <a:p>
            <a:pPr marL="457200" lvl="0" indent="-317500" algn="l" rtl="0">
              <a:spcBef>
                <a:spcPts val="0"/>
              </a:spcBef>
              <a:spcAft>
                <a:spcPts val="0"/>
              </a:spcAft>
              <a:buSzPts val="1400"/>
              <a:buAutoNum type="arabicPeriod"/>
            </a:pPr>
            <a:r>
              <a:rPr lang="fr-CA" sz="1200" dirty="0"/>
              <a:t>Soumettre à SPAC pour affichage sur publications.gc.ca par courriel :</a:t>
            </a:r>
            <a:br>
              <a:rPr lang="fr-CA" sz="1200" dirty="0"/>
            </a:br>
            <a:r>
              <a:rPr lang="fr-CA" sz="1050" u="sng" dirty="0">
                <a:solidFill>
                  <a:schemeClr val="hlink"/>
                </a:solidFill>
                <a:hlinkClick r:id="rId7"/>
              </a:rPr>
              <a:t>publications.acquisitions@pwgsc.gc.ca</a:t>
            </a:r>
            <a:r>
              <a:rPr lang="fr-CA" sz="1050" u="sng" dirty="0">
                <a:solidFill>
                  <a:schemeClr val="hlink"/>
                </a:solidFill>
              </a:rPr>
              <a:t> </a:t>
            </a:r>
          </a:p>
          <a:p>
            <a:pPr marL="0" lvl="0" indent="0" algn="l" rtl="0">
              <a:spcBef>
                <a:spcPts val="0"/>
              </a:spcBef>
              <a:spcAft>
                <a:spcPts val="0"/>
              </a:spcAft>
              <a:buNone/>
            </a:pPr>
            <a:endParaRPr sz="1050" u="sng" dirty="0">
              <a:solidFill>
                <a:schemeClr val="hlink"/>
              </a:solidFill>
            </a:endParaRPr>
          </a:p>
          <a:p>
            <a:pPr marL="0" marR="0" lvl="0" indent="0" algn="l" rtl="0">
              <a:lnSpc>
                <a:spcPct val="100000"/>
              </a:lnSpc>
              <a:spcBef>
                <a:spcPts val="0"/>
              </a:spcBef>
              <a:spcAft>
                <a:spcPts val="0"/>
              </a:spcAft>
              <a:buNone/>
            </a:pPr>
            <a:endParaRPr sz="1200" dirty="0"/>
          </a:p>
          <a:p>
            <a:pPr marL="0" marR="0" lvl="0" indent="0" algn="l" rtl="0">
              <a:lnSpc>
                <a:spcPct val="100000"/>
              </a:lnSpc>
              <a:spcBef>
                <a:spcPts val="0"/>
              </a:spcBef>
              <a:spcAft>
                <a:spcPts val="0"/>
              </a:spcAft>
              <a:buNone/>
            </a:pPr>
            <a:r>
              <a:rPr lang="fr-CA" sz="1200" b="1" dirty="0"/>
              <a:t>Conseil</a:t>
            </a:r>
            <a:r>
              <a:rPr lang="fr-CA" sz="1200" dirty="0"/>
              <a:t> : étant donné le thème du plan sur l’accessibilité, préparez un </a:t>
            </a:r>
            <a:r>
              <a:rPr lang="fr-CA" sz="1200" u="sng" dirty="0">
                <a:solidFill>
                  <a:schemeClr val="hlink"/>
                </a:solidFill>
                <a:hlinkClick r:id="rId8"/>
              </a:rPr>
              <a:t>PDF accessible</a:t>
            </a:r>
            <a:r>
              <a:rPr lang="fr-CA" sz="1200" dirty="0"/>
              <a:t>.</a:t>
            </a:r>
          </a:p>
        </p:txBody>
      </p:sp>
    </p:spTree>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Shape 309"/>
        <p:cNvGrpSpPr/>
        <p:nvPr/>
      </p:nvGrpSpPr>
      <p:grpSpPr>
        <a:xfrm>
          <a:off x="0" y="0"/>
          <a:ext cx="0" cy="0"/>
          <a:chOff x="0" y="0"/>
          <a:chExt cx="0" cy="0"/>
        </a:xfrm>
      </p:grpSpPr>
      <p:sp>
        <p:nvSpPr>
          <p:cNvPr id="310" name="Google Shape;310;p40"/>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11" name="Google Shape;311;p40"/>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312" name="Google Shape;312;p40"/>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13" name="Google Shape;313;p40"/>
          <p:cNvSpPr txBox="1">
            <a:spLocks noGrp="1"/>
          </p:cNvSpPr>
          <p:nvPr>
            <p:ph type="subTitle" idx="4294967295"/>
          </p:nvPr>
        </p:nvSpPr>
        <p:spPr>
          <a:xfrm>
            <a:off x="311700" y="1641775"/>
            <a:ext cx="2879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Créez un dossier des métadonnées sur </a:t>
            </a:r>
            <a:r>
              <a:rPr lang="fr-CA" sz="2000" b="1">
                <a:solidFill>
                  <a:schemeClr val="lt1"/>
                </a:solidFill>
                <a:latin typeface="Open Sans"/>
                <a:ea typeface="Open Sans"/>
                <a:cs typeface="Open Sans"/>
                <a:sym typeface="Open Sans"/>
              </a:rPr>
              <a:t>open.canada.ca</a:t>
            </a:r>
          </a:p>
        </p:txBody>
      </p:sp>
      <p:sp>
        <p:nvSpPr>
          <p:cNvPr id="314" name="Google Shape;314;p40"/>
          <p:cNvSpPr txBox="1"/>
          <p:nvPr/>
        </p:nvSpPr>
        <p:spPr>
          <a:xfrm>
            <a:off x="3848375" y="192425"/>
            <a:ext cx="5158200" cy="3887188"/>
          </a:xfrm>
          <a:prstGeom prst="rect">
            <a:avLst/>
          </a:prstGeom>
          <a:noFill/>
          <a:ln>
            <a:noFill/>
          </a:ln>
        </p:spPr>
        <p:txBody>
          <a:bodyPr spcFirstLastPara="1" wrap="square" lIns="91425" tIns="91425" rIns="91425" bIns="91425" anchor="t" anchorCtr="0">
            <a:spAutoFit/>
          </a:bodyPr>
          <a:lstStyle/>
          <a:p>
            <a:pPr marL="0" marR="0" lvl="0" indent="0" algn="l" rtl="0">
              <a:lnSpc>
                <a:spcPct val="100000"/>
              </a:lnSpc>
              <a:spcBef>
                <a:spcPts val="0"/>
              </a:spcBef>
              <a:spcAft>
                <a:spcPts val="0"/>
              </a:spcAft>
              <a:buNone/>
            </a:pPr>
            <a:r>
              <a:rPr lang="fr-CA" sz="1200" dirty="0"/>
              <a:t>Pour vous assurer que votre plan sur l’accessibilité de l’institution est inclus dans l’index central sur ouvert.canada.ca, vous devez soumettre un dossier des métadonnées :</a:t>
            </a:r>
          </a:p>
          <a:p>
            <a:pPr marL="0" marR="0" lvl="0" indent="0" algn="l" rtl="0">
              <a:lnSpc>
                <a:spcPct val="100000"/>
              </a:lnSpc>
              <a:spcBef>
                <a:spcPts val="0"/>
              </a:spcBef>
              <a:spcAft>
                <a:spcPts val="0"/>
              </a:spcAft>
              <a:buNone/>
            </a:pPr>
            <a:endParaRPr sz="1200" dirty="0"/>
          </a:p>
          <a:p>
            <a:pPr marL="457200" marR="0" lvl="0" indent="-317500" algn="l" rtl="0">
              <a:lnSpc>
                <a:spcPct val="100000"/>
              </a:lnSpc>
              <a:spcBef>
                <a:spcPts val="0"/>
              </a:spcBef>
              <a:spcAft>
                <a:spcPts val="0"/>
              </a:spcAft>
              <a:buSzPts val="1400"/>
              <a:buAutoNum type="arabicPeriod"/>
            </a:pPr>
            <a:r>
              <a:rPr lang="fr-CA" sz="1200" dirty="0"/>
              <a:t>Créez un compte du Registre : </a:t>
            </a:r>
            <a:r>
              <a:rPr lang="fr-CA" sz="1200" dirty="0">
                <a:solidFill>
                  <a:schemeClr val="dk1"/>
                </a:solidFill>
              </a:rPr>
              <a:t>visitez</a:t>
            </a:r>
            <a:r>
              <a:rPr lang="fr-CA" sz="1200" u="sng" dirty="0">
                <a:solidFill>
                  <a:schemeClr val="hlink"/>
                </a:solidFill>
                <a:hlinkClick r:id="rId3"/>
              </a:rPr>
              <a:t>http://registry.open.canada.ca/fr/</a:t>
            </a:r>
            <a:r>
              <a:rPr lang="fr-CA" sz="1200" dirty="0">
                <a:solidFill>
                  <a:schemeClr val="dk1"/>
                </a:solidFill>
              </a:rPr>
              <a:t> et sélectionnez « Demander un compte ».  L’activation du compte peut prendre jusqu’à 24 heures.</a:t>
            </a:r>
          </a:p>
          <a:p>
            <a:pPr marL="457200" lvl="0" indent="-317500" algn="l" rtl="0">
              <a:lnSpc>
                <a:spcPct val="115000"/>
              </a:lnSpc>
              <a:spcBef>
                <a:spcPts val="0"/>
              </a:spcBef>
              <a:spcAft>
                <a:spcPts val="0"/>
              </a:spcAft>
              <a:buClr>
                <a:schemeClr val="dk1"/>
              </a:buClr>
              <a:buSzPts val="1400"/>
              <a:buAutoNum type="arabicPeriod"/>
            </a:pPr>
            <a:r>
              <a:rPr lang="fr-CA" sz="1200" dirty="0">
                <a:solidFill>
                  <a:schemeClr val="dk1"/>
                </a:solidFill>
              </a:rPr>
              <a:t>Une fois votre compte créé, vous pourrez créer votre fiche en renseignant les métadonnées requises.  </a:t>
            </a:r>
            <a:r>
              <a:rPr lang="fr-CA" sz="1200" b="1" dirty="0">
                <a:solidFill>
                  <a:schemeClr val="dk1"/>
                </a:solidFill>
              </a:rPr>
              <a:t>Veuillez noter</a:t>
            </a:r>
            <a:r>
              <a:rPr lang="fr-CA" sz="1200" dirty="0">
                <a:solidFill>
                  <a:schemeClr val="dk1"/>
                </a:solidFill>
              </a:rPr>
              <a:t> : vous aurez besoin de l’approbation des CSGI de votre institution pour publier un document.  Une fois l’approbation donnée, vous n’aurez pas besoin d’une approbation supplémentaire pour les futures mises à jour.  Nous ne vous demandons pas de nous fournir l’approbation.  </a:t>
            </a:r>
          </a:p>
          <a:p>
            <a:pPr marL="457200" marR="0" lvl="0" indent="-317500" algn="l" rtl="0">
              <a:lnSpc>
                <a:spcPct val="100000"/>
              </a:lnSpc>
              <a:spcBef>
                <a:spcPts val="0"/>
              </a:spcBef>
              <a:spcAft>
                <a:spcPts val="0"/>
              </a:spcAft>
              <a:buClr>
                <a:schemeClr val="dk1"/>
              </a:buClr>
              <a:buSzPts val="1400"/>
              <a:buAutoNum type="arabicPeriod"/>
            </a:pPr>
            <a:r>
              <a:rPr lang="fr-CA" sz="1200" dirty="0">
                <a:solidFill>
                  <a:schemeClr val="dk1"/>
                </a:solidFill>
              </a:rPr>
              <a:t>Sélectionnez l’actif </a:t>
            </a:r>
            <a:r>
              <a:rPr lang="fr-CA" sz="1200" i="1" dirty="0">
                <a:solidFill>
                  <a:schemeClr val="dk1"/>
                </a:solidFill>
              </a:rPr>
              <a:t>Créer un plan sur l’accessibilité de l’institution</a:t>
            </a:r>
            <a:r>
              <a:rPr lang="fr-CA" sz="1200" dirty="0">
                <a:solidFill>
                  <a:schemeClr val="dk1"/>
                </a:solidFill>
              </a:rPr>
              <a:t> sur la page d’accueil du Registre (remarque : cette option n’est actuellement pas disponible, mais sera ajoutée à la page d’accueil du Registre du gouvernement ouvert).  </a:t>
            </a:r>
          </a:p>
        </p:txBody>
      </p:sp>
    </p:spTree>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Shape 318"/>
        <p:cNvGrpSpPr/>
        <p:nvPr/>
      </p:nvGrpSpPr>
      <p:grpSpPr>
        <a:xfrm>
          <a:off x="0" y="0"/>
          <a:ext cx="0" cy="0"/>
          <a:chOff x="0" y="0"/>
          <a:chExt cx="0" cy="0"/>
        </a:xfrm>
      </p:grpSpPr>
      <p:sp>
        <p:nvSpPr>
          <p:cNvPr id="319" name="Google Shape;319;p41"/>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20" name="Google Shape;320;p41"/>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321" name="Google Shape;321;p41"/>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22" name="Google Shape;322;p41"/>
          <p:cNvSpPr txBox="1">
            <a:spLocks noGrp="1"/>
          </p:cNvSpPr>
          <p:nvPr>
            <p:ph type="subTitle" idx="4294967295"/>
          </p:nvPr>
        </p:nvSpPr>
        <p:spPr>
          <a:xfrm>
            <a:off x="311700" y="1641775"/>
            <a:ext cx="2879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Créez un dossier des métadonnées sur </a:t>
            </a:r>
            <a:r>
              <a:rPr lang="fr-CA" sz="2000" b="1">
                <a:solidFill>
                  <a:schemeClr val="lt1"/>
                </a:solidFill>
                <a:latin typeface="Open Sans"/>
                <a:ea typeface="Open Sans"/>
                <a:cs typeface="Open Sans"/>
                <a:sym typeface="Open Sans"/>
              </a:rPr>
              <a:t>open.canada.ca</a:t>
            </a:r>
          </a:p>
        </p:txBody>
      </p:sp>
      <p:sp>
        <p:nvSpPr>
          <p:cNvPr id="323" name="Google Shape;323;p41"/>
          <p:cNvSpPr txBox="1"/>
          <p:nvPr/>
        </p:nvSpPr>
        <p:spPr>
          <a:xfrm>
            <a:off x="3848375" y="192425"/>
            <a:ext cx="5158200" cy="1046700"/>
          </a:xfrm>
          <a:prstGeom prst="rect">
            <a:avLst/>
          </a:prstGeom>
          <a:noFill/>
          <a:ln>
            <a:noFill/>
          </a:ln>
        </p:spPr>
        <p:txBody>
          <a:bodyPr spcFirstLastPara="1" wrap="square" lIns="91425" tIns="91425" rIns="91425" bIns="91425" anchor="t" anchorCtr="0">
            <a:spAutoFit/>
          </a:bodyPr>
          <a:lstStyle/>
          <a:p>
            <a:pPr marL="0" marR="0" lvl="0" indent="0" algn="l" rtl="0">
              <a:lnSpc>
                <a:spcPct val="100000"/>
              </a:lnSpc>
              <a:spcBef>
                <a:spcPts val="0"/>
              </a:spcBef>
              <a:spcAft>
                <a:spcPts val="0"/>
              </a:spcAft>
              <a:buNone/>
            </a:pPr>
            <a:endParaRPr/>
          </a:p>
          <a:p>
            <a:pPr marL="0" marR="0" lvl="0" indent="0" algn="l" rtl="0">
              <a:lnSpc>
                <a:spcPct val="100000"/>
              </a:lnSpc>
              <a:spcBef>
                <a:spcPts val="0"/>
              </a:spcBef>
              <a:spcAft>
                <a:spcPts val="0"/>
              </a:spcAft>
              <a:buNone/>
            </a:pPr>
            <a:endParaRPr/>
          </a:p>
          <a:p>
            <a:pPr marL="0" marR="0" lvl="0" indent="0" algn="l" rtl="0">
              <a:lnSpc>
                <a:spcPct val="100000"/>
              </a:lnSpc>
              <a:spcBef>
                <a:spcPts val="0"/>
              </a:spcBef>
              <a:spcAft>
                <a:spcPts val="0"/>
              </a:spcAft>
              <a:buNone/>
            </a:pPr>
            <a:endParaRPr/>
          </a:p>
          <a:p>
            <a:pPr marL="0" marR="0" lvl="0" indent="0" algn="l" rtl="0">
              <a:lnSpc>
                <a:spcPct val="100000"/>
              </a:lnSpc>
              <a:spcBef>
                <a:spcPts val="0"/>
              </a:spcBef>
              <a:spcAft>
                <a:spcPts val="0"/>
              </a:spcAft>
              <a:buNone/>
            </a:pPr>
            <a:endParaRPr/>
          </a:p>
        </p:txBody>
      </p:sp>
      <p:pic>
        <p:nvPicPr>
          <p:cNvPr id="324" name="Google Shape;324;p41"/>
          <p:cNvPicPr preferRelativeResize="0"/>
          <p:nvPr/>
        </p:nvPicPr>
        <p:blipFill>
          <a:blip r:embed="rId3">
            <a:alphaModFix/>
          </a:blip>
          <a:stretch>
            <a:fillRect/>
          </a:stretch>
        </p:blipFill>
        <p:spPr>
          <a:xfrm>
            <a:off x="3815500" y="398984"/>
            <a:ext cx="5191075" cy="4592116"/>
          </a:xfrm>
          <a:prstGeom prst="rect">
            <a:avLst/>
          </a:prstGeom>
          <a:noFill/>
          <a:ln>
            <a:noFill/>
          </a:ln>
        </p:spPr>
      </p:pic>
    </p:spTree>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Shape 72"/>
        <p:cNvGrpSpPr/>
        <p:nvPr/>
      </p:nvGrpSpPr>
      <p:grpSpPr>
        <a:xfrm>
          <a:off x="0" y="0"/>
          <a:ext cx="0" cy="0"/>
          <a:chOff x="0" y="0"/>
          <a:chExt cx="0" cy="0"/>
        </a:xfrm>
      </p:grpSpPr>
      <p:sp>
        <p:nvSpPr>
          <p:cNvPr id="73" name="Google Shape;73;p15"/>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a:bodyPr>
          <a:lstStyle/>
          <a:p>
            <a:pPr marL="0" marR="0" lvl="0" indent="0" algn="l" rtl="0">
              <a:lnSpc>
                <a:spcPct val="100000"/>
              </a:lnSpc>
              <a:spcBef>
                <a:spcPts val="0"/>
              </a:spcBef>
              <a:spcAft>
                <a:spcPts val="0"/>
              </a:spcAft>
              <a:buNone/>
            </a:pPr>
            <a:r>
              <a:rPr lang="fr-CA" sz="2100" dirty="0">
                <a:latin typeface="Open Sans"/>
                <a:ea typeface="Open Sans"/>
                <a:cs typeface="Open Sans"/>
                <a:sym typeface="Open Sans"/>
              </a:rPr>
              <a:t>Un document qui décrit le plan d’une institution concernant l’accessibilité de tous ses programmes, produits et services. Offre une vue d’ensemble de l’accessibilité, de ce qui se trouve en ligne à « la vraie vie », à la fois publique et interne.</a:t>
            </a:r>
          </a:p>
          <a:p>
            <a:pPr marL="457200" marR="0" lvl="0" indent="-361950" algn="l" rtl="0">
              <a:lnSpc>
                <a:spcPct val="100000"/>
              </a:lnSpc>
              <a:spcBef>
                <a:spcPts val="1000"/>
              </a:spcBef>
              <a:spcAft>
                <a:spcPts val="0"/>
              </a:spcAft>
              <a:buSzPts val="2100"/>
              <a:buFont typeface="Open Sans"/>
              <a:buChar char="-"/>
            </a:pPr>
            <a:r>
              <a:rPr lang="fr-CA" sz="2100" dirty="0">
                <a:latin typeface="Open Sans"/>
                <a:ea typeface="Open Sans"/>
                <a:cs typeface="Open Sans"/>
                <a:sym typeface="Open Sans"/>
              </a:rPr>
              <a:t>Le plan sur l’accessibilité est le premier livrable d’un cycle de planification et de rapport de trois ans (rapports d’étape annuels à venir).</a:t>
            </a:r>
          </a:p>
        </p:txBody>
      </p:sp>
      <p:sp>
        <p:nvSpPr>
          <p:cNvPr id="74" name="Google Shape;74;p15"/>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75" name="Google Shape;75;p15"/>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76" name="Google Shape;76;p15"/>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77" name="Google Shape;77;p15"/>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De quoi est-il question?</a:t>
            </a:r>
          </a:p>
          <a:p>
            <a:pPr marL="0" lvl="0" indent="0" algn="l" rtl="0">
              <a:spcBef>
                <a:spcPts val="0"/>
              </a:spcBef>
              <a:spcAft>
                <a:spcPts val="1200"/>
              </a:spcAft>
              <a:buSzPts val="1018"/>
              <a:buNone/>
            </a:pPr>
            <a:endParaRPr sz="1765">
              <a:solidFill>
                <a:schemeClr val="lt1"/>
              </a:solidFill>
              <a:latin typeface="Open Sans"/>
              <a:ea typeface="Open Sans"/>
              <a:cs typeface="Open Sans"/>
              <a:sym typeface="Open Sans"/>
            </a:endParaRPr>
          </a:p>
        </p:txBody>
      </p:sp>
    </p:spTree>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Shape 328"/>
        <p:cNvGrpSpPr/>
        <p:nvPr/>
      </p:nvGrpSpPr>
      <p:grpSpPr>
        <a:xfrm>
          <a:off x="0" y="0"/>
          <a:ext cx="0" cy="0"/>
          <a:chOff x="0" y="0"/>
          <a:chExt cx="0" cy="0"/>
        </a:xfrm>
      </p:grpSpPr>
      <p:sp>
        <p:nvSpPr>
          <p:cNvPr id="329" name="Google Shape;329;p42"/>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30" name="Google Shape;330;p42"/>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331" name="Google Shape;331;p42"/>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32" name="Google Shape;332;p42"/>
          <p:cNvSpPr txBox="1">
            <a:spLocks noGrp="1"/>
          </p:cNvSpPr>
          <p:nvPr>
            <p:ph type="subTitle" idx="4294967295"/>
          </p:nvPr>
        </p:nvSpPr>
        <p:spPr>
          <a:xfrm>
            <a:off x="311700" y="1641775"/>
            <a:ext cx="2879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Créez un dossier des métadonnées sur </a:t>
            </a:r>
            <a:r>
              <a:rPr lang="fr-CA" sz="2000" b="1">
                <a:solidFill>
                  <a:schemeClr val="lt1"/>
                </a:solidFill>
                <a:latin typeface="Open Sans"/>
                <a:ea typeface="Open Sans"/>
                <a:cs typeface="Open Sans"/>
                <a:sym typeface="Open Sans"/>
              </a:rPr>
              <a:t>open.canada.ca</a:t>
            </a:r>
          </a:p>
        </p:txBody>
      </p:sp>
      <p:sp>
        <p:nvSpPr>
          <p:cNvPr id="333" name="Google Shape;333;p42"/>
          <p:cNvSpPr txBox="1"/>
          <p:nvPr/>
        </p:nvSpPr>
        <p:spPr>
          <a:xfrm>
            <a:off x="3848375" y="192425"/>
            <a:ext cx="5158200" cy="1501919"/>
          </a:xfrm>
          <a:prstGeom prst="rect">
            <a:avLst/>
          </a:prstGeom>
          <a:noFill/>
          <a:ln>
            <a:noFill/>
          </a:ln>
        </p:spPr>
        <p:txBody>
          <a:bodyPr spcFirstLastPara="1" wrap="square" lIns="91425" tIns="91425" rIns="91425" bIns="91425" anchor="t" anchorCtr="0">
            <a:spAutoFit/>
          </a:bodyPr>
          <a:lstStyle/>
          <a:p>
            <a:pPr marL="0" lvl="0" indent="0" algn="l" rtl="0">
              <a:spcBef>
                <a:spcPts val="0"/>
              </a:spcBef>
              <a:spcAft>
                <a:spcPts val="0"/>
              </a:spcAft>
              <a:buNone/>
            </a:pPr>
            <a:r>
              <a:rPr lang="fr-CA" sz="1200" dirty="0">
                <a:solidFill>
                  <a:schemeClr val="dk1"/>
                </a:solidFill>
              </a:rPr>
              <a:t>4.   Votre plan sur l’accessibilité sera téléchargé en tant que ressource sur la page suivante une fois les champs remplis. </a:t>
            </a:r>
          </a:p>
          <a:p>
            <a:pPr marL="457200" lvl="0" indent="-317500" algn="l" rtl="0">
              <a:lnSpc>
                <a:spcPct val="115000"/>
              </a:lnSpc>
              <a:spcBef>
                <a:spcPts val="1200"/>
              </a:spcBef>
              <a:spcAft>
                <a:spcPts val="0"/>
              </a:spcAft>
              <a:buClr>
                <a:schemeClr val="dk1"/>
              </a:buClr>
              <a:buSzPts val="1400"/>
              <a:buChar char="●"/>
            </a:pPr>
            <a:r>
              <a:rPr lang="fr-CA" sz="1200" dirty="0">
                <a:solidFill>
                  <a:schemeClr val="dk1"/>
                </a:solidFill>
              </a:rPr>
              <a:t>Le formulaire vous permet de décrire chaque ressource affectée à un jeu de données ou à un actif. </a:t>
            </a:r>
          </a:p>
          <a:p>
            <a:pPr marL="457200" lvl="0" indent="-317500" algn="l" rtl="0">
              <a:spcBef>
                <a:spcPts val="0"/>
              </a:spcBef>
              <a:spcAft>
                <a:spcPts val="0"/>
              </a:spcAft>
              <a:buClr>
                <a:schemeClr val="dk1"/>
              </a:buClr>
              <a:buSzPts val="1400"/>
              <a:buChar char="●"/>
            </a:pPr>
            <a:r>
              <a:rPr lang="fr-CA" sz="1200" dirty="0">
                <a:solidFill>
                  <a:schemeClr val="dk1"/>
                </a:solidFill>
              </a:rPr>
              <a:t>Une ressource représente des fichiers ou des services individuels dans un ensemble de données ou une entrée d’actif. </a:t>
            </a:r>
          </a:p>
        </p:txBody>
      </p:sp>
      <p:pic>
        <p:nvPicPr>
          <p:cNvPr id="334" name="Google Shape;334;p42"/>
          <p:cNvPicPr preferRelativeResize="0"/>
          <p:nvPr/>
        </p:nvPicPr>
        <p:blipFill rotWithShape="1">
          <a:blip r:embed="rId3">
            <a:alphaModFix/>
          </a:blip>
          <a:srcRect l="6410" t="6749" b="29393"/>
          <a:stretch/>
        </p:blipFill>
        <p:spPr>
          <a:xfrm>
            <a:off x="4143650" y="1904700"/>
            <a:ext cx="4567651" cy="3043600"/>
          </a:xfrm>
          <a:prstGeom prst="rect">
            <a:avLst/>
          </a:prstGeom>
          <a:noFill/>
          <a:ln>
            <a:noFill/>
          </a:ln>
        </p:spPr>
      </p:pic>
    </p:spTree>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Shape 338"/>
        <p:cNvGrpSpPr/>
        <p:nvPr/>
      </p:nvGrpSpPr>
      <p:grpSpPr>
        <a:xfrm>
          <a:off x="0" y="0"/>
          <a:ext cx="0" cy="0"/>
          <a:chOff x="0" y="0"/>
          <a:chExt cx="0" cy="0"/>
        </a:xfrm>
      </p:grpSpPr>
      <p:sp>
        <p:nvSpPr>
          <p:cNvPr id="339" name="Google Shape;339;p43"/>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40" name="Google Shape;340;p43"/>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341" name="Google Shape;341;p43"/>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42" name="Google Shape;342;p43"/>
          <p:cNvSpPr txBox="1">
            <a:spLocks noGrp="1"/>
          </p:cNvSpPr>
          <p:nvPr>
            <p:ph type="subTitle" idx="4294967295"/>
          </p:nvPr>
        </p:nvSpPr>
        <p:spPr>
          <a:xfrm>
            <a:off x="311700" y="1641775"/>
            <a:ext cx="2879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dirty="0">
                <a:solidFill>
                  <a:schemeClr val="lt1"/>
                </a:solidFill>
                <a:latin typeface="Open Sans"/>
                <a:ea typeface="Open Sans"/>
                <a:cs typeface="Open Sans"/>
                <a:sym typeface="Open Sans"/>
              </a:rPr>
              <a:t>Créez un dossier des métadonnées sur </a:t>
            </a:r>
            <a:r>
              <a:rPr lang="fr-CA" sz="2000" b="1" dirty="0">
                <a:solidFill>
                  <a:schemeClr val="lt1"/>
                </a:solidFill>
                <a:latin typeface="Open Sans"/>
                <a:ea typeface="Open Sans"/>
                <a:cs typeface="Open Sans"/>
                <a:sym typeface="Open Sans"/>
              </a:rPr>
              <a:t>open.canada.ca</a:t>
            </a:r>
          </a:p>
        </p:txBody>
      </p:sp>
      <p:sp>
        <p:nvSpPr>
          <p:cNvPr id="343" name="Google Shape;343;p43"/>
          <p:cNvSpPr txBox="1"/>
          <p:nvPr/>
        </p:nvSpPr>
        <p:spPr>
          <a:xfrm>
            <a:off x="3848375" y="192425"/>
            <a:ext cx="5158200" cy="400200"/>
          </a:xfrm>
          <a:prstGeom prst="rect">
            <a:avLst/>
          </a:prstGeom>
          <a:noFill/>
          <a:ln>
            <a:noFill/>
          </a:ln>
        </p:spPr>
        <p:txBody>
          <a:bodyPr spcFirstLastPara="1" wrap="square" lIns="91425" tIns="91425" rIns="91425" bIns="91425" anchor="t" anchorCtr="0">
            <a:spAutoFit/>
          </a:bodyPr>
          <a:lstStyle/>
          <a:p>
            <a:pPr marL="0" lvl="0" indent="0" algn="l" rtl="0">
              <a:spcBef>
                <a:spcPts val="0"/>
              </a:spcBef>
              <a:spcAft>
                <a:spcPts val="0"/>
              </a:spcAft>
              <a:buNone/>
            </a:pPr>
            <a:endParaRPr>
              <a:solidFill>
                <a:schemeClr val="dk1"/>
              </a:solidFill>
            </a:endParaRPr>
          </a:p>
        </p:txBody>
      </p:sp>
      <p:pic>
        <p:nvPicPr>
          <p:cNvPr id="344" name="Google Shape;344;p43"/>
          <p:cNvPicPr preferRelativeResize="0"/>
          <p:nvPr/>
        </p:nvPicPr>
        <p:blipFill>
          <a:blip r:embed="rId3">
            <a:alphaModFix/>
          </a:blip>
          <a:stretch>
            <a:fillRect/>
          </a:stretch>
        </p:blipFill>
        <p:spPr>
          <a:xfrm>
            <a:off x="3815500" y="516425"/>
            <a:ext cx="5176100" cy="4023091"/>
          </a:xfrm>
          <a:prstGeom prst="rect">
            <a:avLst/>
          </a:prstGeom>
          <a:noFill/>
          <a:ln>
            <a:noFill/>
          </a:ln>
        </p:spPr>
      </p:pic>
    </p:spTree>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Shape 348"/>
        <p:cNvGrpSpPr/>
        <p:nvPr/>
      </p:nvGrpSpPr>
      <p:grpSpPr>
        <a:xfrm>
          <a:off x="0" y="0"/>
          <a:ext cx="0" cy="0"/>
          <a:chOff x="0" y="0"/>
          <a:chExt cx="0" cy="0"/>
        </a:xfrm>
      </p:grpSpPr>
      <p:sp>
        <p:nvSpPr>
          <p:cNvPr id="349" name="Google Shape;349;p44"/>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50" name="Google Shape;350;p44"/>
          <p:cNvSpPr txBox="1">
            <a:spLocks noGrp="1"/>
          </p:cNvSpPr>
          <p:nvPr>
            <p:ph type="title"/>
          </p:nvPr>
        </p:nvSpPr>
        <p:spPr>
          <a:xfrm>
            <a:off x="311700" y="224825"/>
            <a:ext cx="31398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dirty="0">
                <a:solidFill>
                  <a:schemeClr val="lt1"/>
                </a:solidFill>
                <a:latin typeface="Lato"/>
                <a:ea typeface="Lato"/>
                <a:cs typeface="Lato"/>
                <a:sym typeface="Lato"/>
              </a:rPr>
              <a:t>Plans sur l’accessibilité </a:t>
            </a:r>
          </a:p>
          <a:p>
            <a:pPr marL="0" lvl="0" indent="0" algn="l" rtl="0">
              <a:spcBef>
                <a:spcPts val="0"/>
              </a:spcBef>
              <a:spcAft>
                <a:spcPts val="0"/>
              </a:spcAft>
              <a:buNone/>
            </a:pPr>
            <a:endParaRPr sz="3400" b="1" dirty="0">
              <a:solidFill>
                <a:schemeClr val="lt1"/>
              </a:solidFill>
              <a:latin typeface="Lato"/>
              <a:ea typeface="Lato"/>
              <a:cs typeface="Lato"/>
              <a:sym typeface="Lato"/>
            </a:endParaRPr>
          </a:p>
        </p:txBody>
      </p:sp>
      <p:sp>
        <p:nvSpPr>
          <p:cNvPr id="351" name="Google Shape;351;p44"/>
          <p:cNvSpPr/>
          <p:nvPr/>
        </p:nvSpPr>
        <p:spPr>
          <a:xfrm>
            <a:off x="456976" y="13556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352" name="Google Shape;352;p44"/>
          <p:cNvSpPr txBox="1">
            <a:spLocks noGrp="1"/>
          </p:cNvSpPr>
          <p:nvPr>
            <p:ph type="subTitle" idx="4294967295"/>
          </p:nvPr>
        </p:nvSpPr>
        <p:spPr>
          <a:xfrm>
            <a:off x="311700" y="1641775"/>
            <a:ext cx="2879700" cy="1319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Créez un dossier des métadonnées sur </a:t>
            </a:r>
            <a:r>
              <a:rPr lang="fr-CA" sz="2000" b="1">
                <a:solidFill>
                  <a:schemeClr val="lt1"/>
                </a:solidFill>
                <a:latin typeface="Open Sans"/>
                <a:ea typeface="Open Sans"/>
                <a:cs typeface="Open Sans"/>
                <a:sym typeface="Open Sans"/>
              </a:rPr>
              <a:t>open.canada.ca</a:t>
            </a:r>
          </a:p>
        </p:txBody>
      </p:sp>
      <p:sp>
        <p:nvSpPr>
          <p:cNvPr id="353" name="Google Shape;353;p44"/>
          <p:cNvSpPr txBox="1"/>
          <p:nvPr/>
        </p:nvSpPr>
        <p:spPr>
          <a:xfrm>
            <a:off x="3848375" y="192425"/>
            <a:ext cx="5158200" cy="1669658"/>
          </a:xfrm>
          <a:prstGeom prst="rect">
            <a:avLst/>
          </a:prstGeom>
          <a:noFill/>
          <a:ln>
            <a:noFill/>
          </a:ln>
        </p:spPr>
        <p:txBody>
          <a:bodyPr spcFirstLastPara="1" wrap="square" lIns="91425" tIns="91425" rIns="91425" bIns="91425" anchor="t" anchorCtr="0">
            <a:spAutoFit/>
          </a:bodyPr>
          <a:lstStyle/>
          <a:p>
            <a:pPr marL="0" lvl="0" indent="0" algn="l" rtl="0">
              <a:lnSpc>
                <a:spcPct val="115000"/>
              </a:lnSpc>
              <a:spcBef>
                <a:spcPts val="1100"/>
              </a:spcBef>
              <a:spcAft>
                <a:spcPts val="0"/>
              </a:spcAft>
              <a:buClr>
                <a:schemeClr val="dk1"/>
              </a:buClr>
              <a:buSzPts val="1100"/>
              <a:buFont typeface="Arial"/>
              <a:buNone/>
            </a:pPr>
            <a:r>
              <a:rPr lang="fr-CA" sz="1200" dirty="0">
                <a:solidFill>
                  <a:schemeClr val="dk1"/>
                </a:solidFill>
              </a:rPr>
              <a:t>Une fois terminé, votre dossier sera placé dans la file d’attente de l’équipe du Registre du gouvernement ouvert pour examen et publication dans les 24 heures.</a:t>
            </a:r>
          </a:p>
          <a:p>
            <a:pPr marL="0" lvl="0" indent="0" algn="l" rtl="0">
              <a:lnSpc>
                <a:spcPct val="115000"/>
              </a:lnSpc>
              <a:spcBef>
                <a:spcPts val="1100"/>
              </a:spcBef>
              <a:spcAft>
                <a:spcPts val="1100"/>
              </a:spcAft>
              <a:buClr>
                <a:schemeClr val="dk1"/>
              </a:buClr>
              <a:buSzPts val="1100"/>
              <a:buFont typeface="Arial"/>
              <a:buNone/>
            </a:pPr>
            <a:r>
              <a:rPr lang="fr-CA" sz="1200" dirty="0">
                <a:solidFill>
                  <a:schemeClr val="dk1"/>
                </a:solidFill>
                <a:highlight>
                  <a:srgbClr val="FFFFFF"/>
                </a:highlight>
              </a:rPr>
              <a:t>Veuillez communiquer avec le représentant du gouvernement ouvert de votre institution si vous avez des questions supplémentaires. </a:t>
            </a:r>
          </a:p>
        </p:txBody>
      </p:sp>
    </p:spTree>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Shape 81"/>
        <p:cNvGrpSpPr/>
        <p:nvPr/>
      </p:nvGrpSpPr>
      <p:grpSpPr>
        <a:xfrm>
          <a:off x="0" y="0"/>
          <a:ext cx="0" cy="0"/>
          <a:chOff x="0" y="0"/>
          <a:chExt cx="0" cy="0"/>
        </a:xfrm>
      </p:grpSpPr>
      <p:sp>
        <p:nvSpPr>
          <p:cNvPr id="82" name="Google Shape;82;p16"/>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a:bodyPr>
          <a:lstStyle/>
          <a:p>
            <a:pPr marL="0" lvl="0" indent="0" algn="l" rtl="0">
              <a:lnSpc>
                <a:spcPct val="100000"/>
              </a:lnSpc>
              <a:spcBef>
                <a:spcPts val="0"/>
              </a:spcBef>
              <a:spcAft>
                <a:spcPts val="1000"/>
              </a:spcAft>
              <a:buNone/>
            </a:pPr>
            <a:r>
              <a:rPr lang="fr-CA" sz="2100">
                <a:latin typeface="Open Sans"/>
                <a:ea typeface="Open Sans"/>
                <a:cs typeface="Open Sans"/>
                <a:sym typeface="Open Sans"/>
              </a:rPr>
              <a:t>Une description publiée du fonctionnement de votre processus de rétroaction de votre institution. Il doit être publié avec votre plan sur l’accessibilité. </a:t>
            </a:r>
          </a:p>
        </p:txBody>
      </p:sp>
      <p:sp>
        <p:nvSpPr>
          <p:cNvPr id="83" name="Google Shape;83;p16"/>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84" name="Google Shape;84;p16"/>
          <p:cNvSpPr txBox="1">
            <a:spLocks noGrp="1"/>
          </p:cNvSpPr>
          <p:nvPr>
            <p:ph type="title"/>
          </p:nvPr>
        </p:nvSpPr>
        <p:spPr>
          <a:xfrm>
            <a:off x="311700" y="224825"/>
            <a:ext cx="87615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400" b="1" dirty="0">
                <a:solidFill>
                  <a:schemeClr val="lt1"/>
                </a:solidFill>
                <a:latin typeface="Lato"/>
                <a:ea typeface="Lato"/>
                <a:cs typeface="Lato"/>
                <a:sym typeface="Lato"/>
              </a:rPr>
              <a:t>Description du processus de rétroaction sur l’accessibilité</a:t>
            </a:r>
          </a:p>
          <a:p>
            <a:pPr marL="0" lvl="0" indent="0" algn="l" rtl="0">
              <a:spcBef>
                <a:spcPts val="0"/>
              </a:spcBef>
              <a:spcAft>
                <a:spcPts val="0"/>
              </a:spcAft>
              <a:buNone/>
            </a:pPr>
            <a:endParaRPr sz="2400" b="1" dirty="0">
              <a:solidFill>
                <a:schemeClr val="lt1"/>
              </a:solidFill>
              <a:latin typeface="Lato"/>
              <a:ea typeface="Lato"/>
              <a:cs typeface="Lato"/>
              <a:sym typeface="Lato"/>
            </a:endParaRPr>
          </a:p>
        </p:txBody>
      </p:sp>
      <p:sp>
        <p:nvSpPr>
          <p:cNvPr id="85" name="Google Shape;85;p16"/>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86" name="Google Shape;86;p16"/>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Qu’est-ce que c’est?</a:t>
            </a:r>
          </a:p>
          <a:p>
            <a:pPr marL="0" lvl="0" indent="0" algn="l" rtl="0">
              <a:spcBef>
                <a:spcPts val="0"/>
              </a:spcBef>
              <a:spcAft>
                <a:spcPts val="1200"/>
              </a:spcAft>
              <a:buSzPts val="1018"/>
              <a:buNone/>
            </a:pPr>
            <a:endParaRPr sz="1765">
              <a:solidFill>
                <a:schemeClr val="lt1"/>
              </a:solidFill>
              <a:latin typeface="Open Sans"/>
              <a:ea typeface="Open Sans"/>
              <a:cs typeface="Open Sans"/>
              <a:sym typeface="Open Sans"/>
            </a:endParaRPr>
          </a:p>
        </p:txBody>
      </p:sp>
    </p:spTree>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Shape 90"/>
        <p:cNvGrpSpPr/>
        <p:nvPr/>
      </p:nvGrpSpPr>
      <p:grpSpPr>
        <a:xfrm>
          <a:off x="0" y="0"/>
          <a:ext cx="0" cy="0"/>
          <a:chOff x="0" y="0"/>
          <a:chExt cx="0" cy="0"/>
        </a:xfrm>
      </p:grpSpPr>
      <p:sp>
        <p:nvSpPr>
          <p:cNvPr id="91" name="Google Shape;91;p17"/>
          <p:cNvSpPr txBox="1">
            <a:spLocks noGrp="1"/>
          </p:cNvSpPr>
          <p:nvPr>
            <p:ph type="body" idx="1"/>
          </p:nvPr>
        </p:nvSpPr>
        <p:spPr>
          <a:xfrm>
            <a:off x="350425" y="2216225"/>
            <a:ext cx="8398500" cy="27168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rmAutofit/>
          </a:bodyPr>
          <a:lstStyle/>
          <a:p>
            <a:pPr marL="0" lvl="0" indent="0" algn="l" rtl="0">
              <a:lnSpc>
                <a:spcPct val="100000"/>
              </a:lnSpc>
              <a:spcBef>
                <a:spcPts val="0"/>
              </a:spcBef>
              <a:spcAft>
                <a:spcPts val="0"/>
              </a:spcAft>
              <a:buNone/>
            </a:pPr>
            <a:r>
              <a:rPr lang="fr-CA" sz="2100" dirty="0">
                <a:latin typeface="Open Sans"/>
                <a:ea typeface="Open Sans"/>
                <a:cs typeface="Open Sans"/>
                <a:sym typeface="Open Sans"/>
              </a:rPr>
              <a:t>Un moyen pour les utilisateurs des programmes et services d’un établissement de fournir une rétroaction sur tout aspect de l’accessibilité de ses programmes et services. Le mécanisme de rétroaction doit être toujours disponible, car les processus de rétroaction sont censés être continus.</a:t>
            </a:r>
          </a:p>
          <a:p>
            <a:pPr marL="457200" lvl="0" indent="-361950" algn="l" rtl="0">
              <a:lnSpc>
                <a:spcPct val="100000"/>
              </a:lnSpc>
              <a:spcBef>
                <a:spcPts val="1000"/>
              </a:spcBef>
              <a:spcAft>
                <a:spcPts val="0"/>
              </a:spcAft>
              <a:buSzPts val="2100"/>
              <a:buFont typeface="Open Sans"/>
              <a:buChar char="-"/>
            </a:pPr>
            <a:r>
              <a:rPr lang="fr-CA" sz="2100" dirty="0">
                <a:latin typeface="Open Sans"/>
                <a:ea typeface="Open Sans"/>
                <a:cs typeface="Open Sans"/>
                <a:sym typeface="Open Sans"/>
              </a:rPr>
              <a:t>Un formulaire en ligne n’est qu’un aspect du mécanisme de rétroaction, car les personnes doivent pouvoir donner leur avis par divers moyens.</a:t>
            </a:r>
          </a:p>
        </p:txBody>
      </p:sp>
      <p:sp>
        <p:nvSpPr>
          <p:cNvPr id="92" name="Google Shape;92;p17"/>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93" name="Google Shape;93;p17"/>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None/>
            </a:pPr>
            <a:r>
              <a:rPr lang="fr-CA" sz="2400" b="1" dirty="0">
                <a:solidFill>
                  <a:schemeClr val="lt1"/>
                </a:solidFill>
                <a:latin typeface="Lato"/>
                <a:ea typeface="Lato"/>
                <a:cs typeface="Lato"/>
                <a:sym typeface="Lato"/>
              </a:rPr>
              <a:t>Mécanisme de rétroaction sur l’accessibilité</a:t>
            </a:r>
          </a:p>
          <a:p>
            <a:pPr marL="0" lvl="0" indent="0" algn="l" rtl="0">
              <a:spcBef>
                <a:spcPts val="0"/>
              </a:spcBef>
              <a:spcAft>
                <a:spcPts val="0"/>
              </a:spcAft>
              <a:buNone/>
            </a:pPr>
            <a:endParaRPr sz="2400" b="1" dirty="0">
              <a:solidFill>
                <a:schemeClr val="lt1"/>
              </a:solidFill>
              <a:latin typeface="Lato"/>
              <a:ea typeface="Lato"/>
              <a:cs typeface="Lato"/>
              <a:sym typeface="Lato"/>
            </a:endParaRPr>
          </a:p>
        </p:txBody>
      </p:sp>
      <p:sp>
        <p:nvSpPr>
          <p:cNvPr id="94" name="Google Shape;94;p17"/>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95" name="Google Shape;95;p17"/>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Qu’est-ce que c’est?</a:t>
            </a:r>
          </a:p>
          <a:p>
            <a:pPr marL="0" lvl="0" indent="0" algn="l" rtl="0">
              <a:spcBef>
                <a:spcPts val="0"/>
              </a:spcBef>
              <a:spcAft>
                <a:spcPts val="1200"/>
              </a:spcAft>
              <a:buSzPts val="1018"/>
              <a:buNone/>
            </a:pPr>
            <a:endParaRPr sz="1765">
              <a:solidFill>
                <a:schemeClr val="lt1"/>
              </a:solidFill>
              <a:latin typeface="Open Sans"/>
              <a:ea typeface="Open Sans"/>
              <a:cs typeface="Open Sans"/>
              <a:sym typeface="Open Sans"/>
            </a:endParaRPr>
          </a:p>
        </p:txBody>
      </p:sp>
    </p:spTree>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Shape 99"/>
        <p:cNvGrpSpPr/>
        <p:nvPr/>
      </p:nvGrpSpPr>
      <p:grpSpPr>
        <a:xfrm>
          <a:off x="0" y="0"/>
          <a:ext cx="0" cy="0"/>
          <a:chOff x="0" y="0"/>
          <a:chExt cx="0" cy="0"/>
        </a:xfrm>
      </p:grpSpPr>
      <p:sp>
        <p:nvSpPr>
          <p:cNvPr id="100" name="Google Shape;100;p18"/>
          <p:cNvSpPr/>
          <p:nvPr/>
        </p:nvSpPr>
        <p:spPr>
          <a:xfrm>
            <a:off x="-43100" y="-12575"/>
            <a:ext cx="9187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01" name="Google Shape;101;p18"/>
          <p:cNvSpPr txBox="1">
            <a:spLocks noGrp="1"/>
          </p:cNvSpPr>
          <p:nvPr>
            <p:ph type="subTitle" idx="1"/>
          </p:nvPr>
        </p:nvSpPr>
        <p:spPr>
          <a:xfrm>
            <a:off x="889800" y="1685700"/>
            <a:ext cx="7364400" cy="1772100"/>
          </a:xfrm>
          <a:prstGeom prst="rect">
            <a:avLst/>
          </a:prstGeom>
        </p:spPr>
        <p:txBody>
          <a:bodyPr spcFirstLastPara="1" wrap="square" lIns="91425" tIns="91425" rIns="91425" bIns="91425" anchor="t" anchorCtr="0">
            <a:noAutofit/>
          </a:bodyPr>
          <a:lstStyle/>
          <a:p>
            <a:pPr marL="0" lvl="0" indent="0" algn="ctr" rtl="0">
              <a:lnSpc>
                <a:spcPct val="150000"/>
              </a:lnSpc>
              <a:spcBef>
                <a:spcPts val="0"/>
              </a:spcBef>
              <a:spcAft>
                <a:spcPts val="0"/>
              </a:spcAft>
              <a:buSzPts val="1100"/>
              <a:buNone/>
            </a:pPr>
            <a:r>
              <a:rPr lang="fr-CA" sz="4800" b="1">
                <a:solidFill>
                  <a:schemeClr val="lt1"/>
                </a:solidFill>
                <a:latin typeface="Open Sans"/>
                <a:ea typeface="Open Sans"/>
                <a:cs typeface="Open Sans"/>
                <a:sym typeface="Open Sans"/>
              </a:rPr>
              <a:t>Approche recommandée</a:t>
            </a:r>
          </a:p>
        </p:txBody>
      </p:sp>
    </p:spTree>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Shape 105"/>
        <p:cNvGrpSpPr/>
        <p:nvPr/>
      </p:nvGrpSpPr>
      <p:grpSpPr>
        <a:xfrm>
          <a:off x="0" y="0"/>
          <a:ext cx="0" cy="0"/>
          <a:chOff x="0" y="0"/>
          <a:chExt cx="0" cy="0"/>
        </a:xfrm>
      </p:grpSpPr>
      <p:sp>
        <p:nvSpPr>
          <p:cNvPr id="106" name="Google Shape;106;p19"/>
          <p:cNvSpPr txBox="1">
            <a:spLocks noGrp="1"/>
          </p:cNvSpPr>
          <p:nvPr>
            <p:ph type="body" idx="1"/>
          </p:nvPr>
        </p:nvSpPr>
        <p:spPr>
          <a:xfrm>
            <a:off x="350425" y="2216225"/>
            <a:ext cx="8398500" cy="2567700"/>
          </a:xfrm>
          <a:prstGeom prst="rect">
            <a:avLst/>
          </a:prstGeom>
          <a:ln w="9525" cap="flat" cmpd="sng">
            <a:solidFill>
              <a:schemeClr val="lt1"/>
            </a:solidFill>
            <a:prstDash val="solid"/>
            <a:round/>
            <a:headEnd type="none" w="sm" len="sm"/>
            <a:tailEnd type="none" w="sm" len="sm"/>
          </a:ln>
        </p:spPr>
        <p:txBody>
          <a:bodyPr spcFirstLastPara="1" wrap="square" lIns="91425" tIns="91425" rIns="91425" bIns="91425" anchor="t" anchorCtr="0">
            <a:noAutofit/>
          </a:bodyPr>
          <a:lstStyle/>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Les exemples suivants représentent l’approche recommandée – ce ne sont pas des modèles obligatoires.</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Point de départ – ajustez au besoin pour votre situation particulière.</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Conçu pour la simplicité et axé sur les principales tâches de l’utilisateur, telles que fournir une rétroaction, examiner le plan et comprendre le processus.</a:t>
            </a:r>
          </a:p>
          <a:p>
            <a:pPr marL="457200" lvl="0" indent="-361950" algn="l" rtl="0">
              <a:lnSpc>
                <a:spcPct val="100000"/>
              </a:lnSpc>
              <a:spcBef>
                <a:spcPts val="0"/>
              </a:spcBef>
              <a:spcAft>
                <a:spcPts val="0"/>
              </a:spcAft>
              <a:buSzPts val="2100"/>
              <a:buFont typeface="Open Sans"/>
              <a:buChar char="-"/>
            </a:pPr>
            <a:r>
              <a:rPr lang="fr-CA" dirty="0">
                <a:latin typeface="Open Sans"/>
                <a:ea typeface="Open Sans"/>
                <a:cs typeface="Open Sans"/>
                <a:sym typeface="Open Sans"/>
              </a:rPr>
              <a:t>Élaboré avec des éléments de code de la Boîte à outils de l’expérience Web (BOEW) normalisés afin de maximiser la conformité à WCAG. </a:t>
            </a:r>
          </a:p>
        </p:txBody>
      </p:sp>
      <p:sp>
        <p:nvSpPr>
          <p:cNvPr id="107" name="Google Shape;107;p19"/>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08" name="Google Shape;108;p19"/>
          <p:cNvSpPr txBox="1">
            <a:spLocks noGrp="1"/>
          </p:cNvSpPr>
          <p:nvPr>
            <p:ph type="title"/>
          </p:nvPr>
        </p:nvSpPr>
        <p:spPr>
          <a:xfrm>
            <a:off x="311700" y="224825"/>
            <a:ext cx="70134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None/>
            </a:pPr>
            <a:r>
              <a:rPr lang="fr-CA" sz="3400" b="1">
                <a:solidFill>
                  <a:schemeClr val="lt1"/>
                </a:solidFill>
                <a:latin typeface="Lato"/>
                <a:ea typeface="Lato"/>
                <a:cs typeface="Lato"/>
                <a:sym typeface="Lato"/>
              </a:rPr>
              <a:t>Facteurs de conception</a:t>
            </a:r>
          </a:p>
          <a:p>
            <a:pPr marL="0" lvl="0" indent="0" algn="l" rtl="0">
              <a:spcBef>
                <a:spcPts val="0"/>
              </a:spcBef>
              <a:spcAft>
                <a:spcPts val="0"/>
              </a:spcAft>
              <a:buNone/>
            </a:pPr>
            <a:endParaRPr sz="3400" b="1">
              <a:solidFill>
                <a:schemeClr val="lt1"/>
              </a:solidFill>
              <a:latin typeface="Lato"/>
              <a:ea typeface="Lato"/>
              <a:cs typeface="Lato"/>
              <a:sym typeface="Lato"/>
            </a:endParaRPr>
          </a:p>
        </p:txBody>
      </p:sp>
      <p:sp>
        <p:nvSpPr>
          <p:cNvPr id="109" name="Google Shape;109;p19"/>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10" name="Google Shape;110;p19"/>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Généralités</a:t>
            </a:r>
          </a:p>
        </p:txBody>
      </p:sp>
    </p:spTree>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Shape 114"/>
        <p:cNvGrpSpPr/>
        <p:nvPr/>
      </p:nvGrpSpPr>
      <p:grpSpPr>
        <a:xfrm>
          <a:off x="0" y="0"/>
          <a:ext cx="0" cy="0"/>
          <a:chOff x="0" y="0"/>
          <a:chExt cx="0" cy="0"/>
        </a:xfrm>
      </p:grpSpPr>
      <p:sp>
        <p:nvSpPr>
          <p:cNvPr id="115" name="Google Shape;115;p20"/>
          <p:cNvSpPr/>
          <p:nvPr/>
        </p:nvSpPr>
        <p:spPr>
          <a:xfrm>
            <a:off x="-43100" y="-12575"/>
            <a:ext cx="3706200" cy="51435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16" name="Google Shape;116;p20"/>
          <p:cNvSpPr txBox="1">
            <a:spLocks noGrp="1"/>
          </p:cNvSpPr>
          <p:nvPr>
            <p:ph type="title"/>
          </p:nvPr>
        </p:nvSpPr>
        <p:spPr>
          <a:xfrm>
            <a:off x="311700" y="445025"/>
            <a:ext cx="3071700" cy="1432200"/>
          </a:xfrm>
          <a:prstGeom prst="rect">
            <a:avLst/>
          </a:prstGeom>
        </p:spPr>
        <p:txBody>
          <a:bodyPr spcFirstLastPara="1" wrap="square" lIns="91425" tIns="91425" rIns="91425" bIns="91425" anchor="t" anchorCtr="0">
            <a:noAutofit/>
          </a:bodyPr>
          <a:lstStyle/>
          <a:p>
            <a:pPr marL="0" lvl="0" indent="0" algn="l" rtl="0">
              <a:spcBef>
                <a:spcPts val="0"/>
              </a:spcBef>
              <a:spcAft>
                <a:spcPts val="0"/>
              </a:spcAft>
              <a:buClr>
                <a:schemeClr val="dk1"/>
              </a:buClr>
              <a:buSzPct val="32352"/>
              <a:buFont typeface="Arial"/>
              <a:buNone/>
            </a:pPr>
            <a:r>
              <a:rPr lang="fr-CA" b="1" dirty="0">
                <a:solidFill>
                  <a:schemeClr val="lt1"/>
                </a:solidFill>
                <a:latin typeface="Lato"/>
                <a:ea typeface="Lato"/>
                <a:cs typeface="Lato"/>
                <a:sym typeface="Lato"/>
              </a:rPr>
              <a:t>Répondre aux exigences d’accessibilité sur les sites Web de l’institution</a:t>
            </a:r>
          </a:p>
        </p:txBody>
      </p:sp>
      <p:sp>
        <p:nvSpPr>
          <p:cNvPr id="117" name="Google Shape;117;p20"/>
          <p:cNvSpPr txBox="1">
            <a:spLocks noGrp="1"/>
          </p:cNvSpPr>
          <p:nvPr>
            <p:ph type="body" idx="1"/>
          </p:nvPr>
        </p:nvSpPr>
        <p:spPr>
          <a:xfrm>
            <a:off x="311700" y="3470550"/>
            <a:ext cx="3114000" cy="1432200"/>
          </a:xfrm>
          <a:prstGeom prst="rect">
            <a:avLst/>
          </a:prstGeom>
          <a:noFill/>
          <a:ln>
            <a:noFill/>
          </a:ln>
        </p:spPr>
        <p:txBody>
          <a:bodyPr spcFirstLastPara="1" wrap="square" lIns="91425" tIns="91425" rIns="91425" bIns="91425" anchor="t" anchorCtr="0">
            <a:normAutofit/>
          </a:bodyPr>
          <a:lstStyle/>
          <a:p>
            <a:pPr marL="0" lvl="0" indent="0" algn="l" rtl="0">
              <a:spcBef>
                <a:spcPts val="0"/>
              </a:spcBef>
              <a:spcAft>
                <a:spcPts val="0"/>
              </a:spcAft>
              <a:buClr>
                <a:schemeClr val="dk1"/>
              </a:buClr>
              <a:buSzPts val="1100"/>
              <a:buFont typeface="Arial"/>
              <a:buNone/>
            </a:pPr>
            <a:r>
              <a:rPr lang="fr-CA" sz="2100">
                <a:solidFill>
                  <a:schemeClr val="lt1"/>
                </a:solidFill>
                <a:latin typeface="Open Sans"/>
                <a:ea typeface="Open Sans"/>
                <a:cs typeface="Open Sans"/>
                <a:sym typeface="Open Sans"/>
              </a:rPr>
              <a:t>Structure recommandée</a:t>
            </a:r>
          </a:p>
        </p:txBody>
      </p:sp>
      <p:sp>
        <p:nvSpPr>
          <p:cNvPr id="118" name="Google Shape;118;p20"/>
          <p:cNvSpPr/>
          <p:nvPr/>
        </p:nvSpPr>
        <p:spPr>
          <a:xfrm>
            <a:off x="456976" y="3016100"/>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19" name="Google Shape;119;p20"/>
          <p:cNvSpPr/>
          <p:nvPr/>
        </p:nvSpPr>
        <p:spPr>
          <a:xfrm>
            <a:off x="5707943" y="1374650"/>
            <a:ext cx="1538100" cy="442500"/>
          </a:xfrm>
          <a:prstGeom prst="roundRect">
            <a:avLst>
              <a:gd name="adj" fmla="val 50000"/>
            </a:avLst>
          </a:prstGeom>
          <a:solidFill>
            <a:srgbClr val="0944A1"/>
          </a:solidFill>
          <a:ln>
            <a:noFill/>
          </a:ln>
        </p:spPr>
        <p:txBody>
          <a:bodyPr spcFirstLastPara="1" wrap="square" lIns="91425" tIns="91425" rIns="91425" bIns="91425" anchor="ctr" anchorCtr="0">
            <a:noAutofit/>
          </a:bodyPr>
          <a:lstStyle/>
          <a:p>
            <a:pPr marL="0" lvl="0" indent="0" algn="ctr" rtl="0">
              <a:spcBef>
                <a:spcPts val="0"/>
              </a:spcBef>
              <a:spcAft>
                <a:spcPts val="0"/>
              </a:spcAft>
              <a:buNone/>
            </a:pPr>
            <a:r>
              <a:rPr lang="fr-CA" sz="1000">
                <a:solidFill>
                  <a:srgbClr val="FFFFFF"/>
                </a:solidFill>
                <a:latin typeface="Roboto"/>
                <a:ea typeface="Roboto"/>
                <a:cs typeface="Roboto"/>
                <a:sym typeface="Roboto"/>
              </a:rPr>
              <a:t>Page d’accueil de l’institution (PAI)</a:t>
            </a:r>
          </a:p>
        </p:txBody>
      </p:sp>
      <p:sp>
        <p:nvSpPr>
          <p:cNvPr id="120" name="Google Shape;120;p20"/>
          <p:cNvSpPr/>
          <p:nvPr/>
        </p:nvSpPr>
        <p:spPr>
          <a:xfrm>
            <a:off x="5701936" y="2274351"/>
            <a:ext cx="1538100" cy="442500"/>
          </a:xfrm>
          <a:prstGeom prst="roundRect">
            <a:avLst>
              <a:gd name="adj" fmla="val 50000"/>
            </a:avLst>
          </a:prstGeom>
          <a:solidFill>
            <a:srgbClr val="0D5DDF"/>
          </a:solidFill>
          <a:ln>
            <a:noFill/>
          </a:ln>
        </p:spPr>
        <p:txBody>
          <a:bodyPr spcFirstLastPara="1" wrap="square" lIns="91425" tIns="91425" rIns="91425" bIns="91425" anchor="ctr" anchorCtr="0">
            <a:noAutofit/>
          </a:bodyPr>
          <a:lstStyle/>
          <a:p>
            <a:pPr marL="0" lvl="0" indent="0" algn="ctr" rtl="0">
              <a:spcBef>
                <a:spcPts val="0"/>
              </a:spcBef>
              <a:spcAft>
                <a:spcPts val="0"/>
              </a:spcAft>
              <a:buNone/>
            </a:pPr>
            <a:r>
              <a:rPr lang="fr-CA" sz="1000">
                <a:solidFill>
                  <a:srgbClr val="FFFFFF"/>
                </a:solidFill>
                <a:latin typeface="Roboto"/>
                <a:ea typeface="Roboto"/>
                <a:cs typeface="Roboto"/>
                <a:sym typeface="Roboto"/>
              </a:rPr>
              <a:t>Page d’accessibilité</a:t>
            </a:r>
          </a:p>
        </p:txBody>
      </p:sp>
      <p:sp>
        <p:nvSpPr>
          <p:cNvPr id="121" name="Google Shape;121;p20"/>
          <p:cNvSpPr/>
          <p:nvPr/>
        </p:nvSpPr>
        <p:spPr>
          <a:xfrm>
            <a:off x="3866090" y="3174053"/>
            <a:ext cx="1538100" cy="442500"/>
          </a:xfrm>
          <a:prstGeom prst="roundRect">
            <a:avLst>
              <a:gd name="adj" fmla="val 50000"/>
            </a:avLst>
          </a:prstGeom>
          <a:solidFill>
            <a:srgbClr val="307BF3"/>
          </a:solidFill>
          <a:ln>
            <a:noFill/>
          </a:ln>
        </p:spPr>
        <p:txBody>
          <a:bodyPr spcFirstLastPara="1" wrap="square" lIns="91425" tIns="91425" rIns="91425" bIns="91425" anchor="ctr" anchorCtr="0">
            <a:noAutofit/>
          </a:bodyPr>
          <a:lstStyle/>
          <a:p>
            <a:pPr marL="0" lvl="0" indent="0" algn="ctr" rtl="0">
              <a:spcBef>
                <a:spcPts val="0"/>
              </a:spcBef>
              <a:spcAft>
                <a:spcPts val="0"/>
              </a:spcAft>
              <a:buNone/>
            </a:pPr>
            <a:r>
              <a:rPr lang="fr-CA" sz="1000">
                <a:solidFill>
                  <a:srgbClr val="FFFFFF"/>
                </a:solidFill>
                <a:latin typeface="Roboto"/>
                <a:ea typeface="Roboto"/>
                <a:cs typeface="Roboto"/>
                <a:sym typeface="Roboto"/>
              </a:rPr>
              <a:t>Plan sur l’accessibilité</a:t>
            </a:r>
          </a:p>
        </p:txBody>
      </p:sp>
      <p:sp>
        <p:nvSpPr>
          <p:cNvPr id="122" name="Google Shape;122;p20"/>
          <p:cNvSpPr/>
          <p:nvPr/>
        </p:nvSpPr>
        <p:spPr>
          <a:xfrm>
            <a:off x="5697293" y="3174053"/>
            <a:ext cx="1538100" cy="442500"/>
          </a:xfrm>
          <a:prstGeom prst="roundRect">
            <a:avLst>
              <a:gd name="adj" fmla="val 50000"/>
            </a:avLst>
          </a:prstGeom>
          <a:solidFill>
            <a:srgbClr val="307BF3"/>
          </a:solidFill>
          <a:ln>
            <a:noFill/>
          </a:ln>
        </p:spPr>
        <p:txBody>
          <a:bodyPr spcFirstLastPara="1" wrap="square" lIns="91425" tIns="91425" rIns="91425" bIns="91425" anchor="ctr" anchorCtr="0">
            <a:noAutofit/>
          </a:bodyPr>
          <a:lstStyle/>
          <a:p>
            <a:pPr marL="0" lvl="0" indent="0" algn="ctr" rtl="0">
              <a:spcBef>
                <a:spcPts val="0"/>
              </a:spcBef>
              <a:spcAft>
                <a:spcPts val="0"/>
              </a:spcAft>
              <a:buNone/>
            </a:pPr>
            <a:r>
              <a:rPr lang="fr-CA" sz="1000">
                <a:solidFill>
                  <a:srgbClr val="FFFFFF"/>
                </a:solidFill>
                <a:latin typeface="Roboto"/>
                <a:ea typeface="Roboto"/>
                <a:cs typeface="Roboto"/>
                <a:sym typeface="Roboto"/>
              </a:rPr>
              <a:t>Mécanisme de rétroaction</a:t>
            </a:r>
          </a:p>
        </p:txBody>
      </p:sp>
      <p:cxnSp>
        <p:nvCxnSpPr>
          <p:cNvPr id="123" name="Google Shape;123;p20"/>
          <p:cNvCxnSpPr>
            <a:stCxn id="120" idx="0"/>
            <a:endCxn id="119" idx="2"/>
          </p:cNvCxnSpPr>
          <p:nvPr/>
        </p:nvCxnSpPr>
        <p:spPr>
          <a:xfrm rot="-5400000">
            <a:off x="6245386" y="2042751"/>
            <a:ext cx="457200" cy="6000"/>
          </a:xfrm>
          <a:prstGeom prst="bentConnector3">
            <a:avLst>
              <a:gd name="adj1" fmla="val 50000"/>
            </a:avLst>
          </a:prstGeom>
          <a:noFill/>
          <a:ln w="9525" cap="flat" cmpd="sng">
            <a:solidFill>
              <a:srgbClr val="C2C2C2"/>
            </a:solidFill>
            <a:prstDash val="solid"/>
            <a:round/>
            <a:headEnd type="none" w="sm" len="sm"/>
            <a:tailEnd type="none" w="sm" len="sm"/>
          </a:ln>
        </p:spPr>
      </p:cxnSp>
      <p:cxnSp>
        <p:nvCxnSpPr>
          <p:cNvPr id="124" name="Google Shape;124;p20"/>
          <p:cNvCxnSpPr>
            <a:stCxn id="120" idx="2"/>
            <a:endCxn id="122" idx="0"/>
          </p:cNvCxnSpPr>
          <p:nvPr/>
        </p:nvCxnSpPr>
        <p:spPr>
          <a:xfrm rot="5400000">
            <a:off x="6240136" y="2943201"/>
            <a:ext cx="457200" cy="4500"/>
          </a:xfrm>
          <a:prstGeom prst="bentConnector3">
            <a:avLst>
              <a:gd name="adj1" fmla="val 50000"/>
            </a:avLst>
          </a:prstGeom>
          <a:noFill/>
          <a:ln w="9525" cap="flat" cmpd="sng">
            <a:solidFill>
              <a:srgbClr val="C2C2C2"/>
            </a:solidFill>
            <a:prstDash val="solid"/>
            <a:round/>
            <a:headEnd type="none" w="sm" len="sm"/>
            <a:tailEnd type="none" w="sm" len="sm"/>
          </a:ln>
        </p:spPr>
      </p:cxnSp>
      <p:cxnSp>
        <p:nvCxnSpPr>
          <p:cNvPr id="125" name="Google Shape;125;p20"/>
          <p:cNvCxnSpPr>
            <a:stCxn id="121" idx="0"/>
            <a:endCxn id="120" idx="2"/>
          </p:cNvCxnSpPr>
          <p:nvPr/>
        </p:nvCxnSpPr>
        <p:spPr>
          <a:xfrm rot="-5400000">
            <a:off x="5324390" y="2027603"/>
            <a:ext cx="457200" cy="1835700"/>
          </a:xfrm>
          <a:prstGeom prst="bentConnector3">
            <a:avLst>
              <a:gd name="adj1" fmla="val 50000"/>
            </a:avLst>
          </a:prstGeom>
          <a:noFill/>
          <a:ln w="9525" cap="flat" cmpd="sng">
            <a:solidFill>
              <a:srgbClr val="C2C2C2"/>
            </a:solidFill>
            <a:prstDash val="solid"/>
            <a:round/>
            <a:headEnd type="none" w="sm" len="sm"/>
            <a:tailEnd type="none" w="sm" len="sm"/>
          </a:ln>
        </p:spPr>
      </p:cxnSp>
      <p:sp>
        <p:nvSpPr>
          <p:cNvPr id="126" name="Google Shape;126;p20"/>
          <p:cNvSpPr/>
          <p:nvPr/>
        </p:nvSpPr>
        <p:spPr>
          <a:xfrm>
            <a:off x="7528508" y="3174053"/>
            <a:ext cx="1538100" cy="442500"/>
          </a:xfrm>
          <a:prstGeom prst="roundRect">
            <a:avLst>
              <a:gd name="adj" fmla="val 50000"/>
            </a:avLst>
          </a:prstGeom>
          <a:solidFill>
            <a:srgbClr val="307BF3"/>
          </a:solidFill>
          <a:ln>
            <a:noFill/>
          </a:ln>
        </p:spPr>
        <p:txBody>
          <a:bodyPr spcFirstLastPara="1" wrap="square" lIns="91425" tIns="91425" rIns="91425" bIns="91425" anchor="ctr" anchorCtr="0">
            <a:noAutofit/>
          </a:bodyPr>
          <a:lstStyle/>
          <a:p>
            <a:pPr marL="0" lvl="0" indent="0" algn="ctr" rtl="0">
              <a:spcBef>
                <a:spcPts val="0"/>
              </a:spcBef>
              <a:spcAft>
                <a:spcPts val="0"/>
              </a:spcAft>
              <a:buNone/>
            </a:pPr>
            <a:r>
              <a:rPr lang="fr-CA" sz="1000">
                <a:solidFill>
                  <a:srgbClr val="FFFFFF"/>
                </a:solidFill>
                <a:latin typeface="Roboto"/>
                <a:ea typeface="Roboto"/>
                <a:cs typeface="Roboto"/>
                <a:sym typeface="Roboto"/>
              </a:rPr>
              <a:t>Description du processus de rétroaction</a:t>
            </a:r>
          </a:p>
        </p:txBody>
      </p:sp>
      <p:cxnSp>
        <p:nvCxnSpPr>
          <p:cNvPr id="127" name="Google Shape;127;p20"/>
          <p:cNvCxnSpPr>
            <a:stCxn id="120" idx="2"/>
            <a:endCxn id="126" idx="0"/>
          </p:cNvCxnSpPr>
          <p:nvPr/>
        </p:nvCxnSpPr>
        <p:spPr>
          <a:xfrm rot="-5400000" flipH="1">
            <a:off x="7155736" y="2032101"/>
            <a:ext cx="457200" cy="1826700"/>
          </a:xfrm>
          <a:prstGeom prst="bentConnector3">
            <a:avLst>
              <a:gd name="adj1" fmla="val 50000"/>
            </a:avLst>
          </a:prstGeom>
          <a:noFill/>
          <a:ln w="9525" cap="flat" cmpd="sng">
            <a:solidFill>
              <a:srgbClr val="C2C2C2"/>
            </a:solidFill>
            <a:prstDash val="solid"/>
            <a:round/>
            <a:headEnd type="none" w="sm" len="sm"/>
            <a:tailEnd type="none" w="sm" len="sm"/>
          </a:ln>
        </p:spPr>
      </p:cxnSp>
    </p:spTree>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Shape 131"/>
        <p:cNvGrpSpPr/>
        <p:nvPr/>
      </p:nvGrpSpPr>
      <p:grpSpPr>
        <a:xfrm>
          <a:off x="0" y="0"/>
          <a:ext cx="0" cy="0"/>
          <a:chOff x="0" y="0"/>
          <a:chExt cx="0" cy="0"/>
        </a:xfrm>
      </p:grpSpPr>
      <p:sp>
        <p:nvSpPr>
          <p:cNvPr id="132" name="Google Shape;132;p21"/>
          <p:cNvSpPr/>
          <p:nvPr/>
        </p:nvSpPr>
        <p:spPr>
          <a:xfrm>
            <a:off x="-43100" y="-12575"/>
            <a:ext cx="9187200" cy="1805400"/>
          </a:xfrm>
          <a:prstGeom prst="rect">
            <a:avLst/>
          </a:prstGeom>
          <a:solidFill>
            <a:srgbClr val="26374A"/>
          </a:solidFill>
          <a:ln w="9525" cap="flat" cmpd="sng">
            <a:solidFill>
              <a:schemeClr val="dk2"/>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33" name="Google Shape;133;p21"/>
          <p:cNvSpPr txBox="1">
            <a:spLocks noGrp="1"/>
          </p:cNvSpPr>
          <p:nvPr>
            <p:ph type="title"/>
          </p:nvPr>
        </p:nvSpPr>
        <p:spPr>
          <a:xfrm>
            <a:off x="311700" y="224825"/>
            <a:ext cx="8397300" cy="957600"/>
          </a:xfrm>
          <a:prstGeom prst="rect">
            <a:avLst/>
          </a:prstGeom>
        </p:spPr>
        <p:txBody>
          <a:bodyPr spcFirstLastPara="1" wrap="square" lIns="91425" tIns="91425" rIns="91425" bIns="91425" anchor="t" anchorCtr="0">
            <a:normAutofit fontScale="90000"/>
          </a:bodyPr>
          <a:lstStyle/>
          <a:p>
            <a:pPr marL="0" lvl="0" indent="0" algn="l" rtl="0">
              <a:spcBef>
                <a:spcPts val="0"/>
              </a:spcBef>
              <a:spcAft>
                <a:spcPts val="0"/>
              </a:spcAft>
              <a:buClr>
                <a:schemeClr val="dk1"/>
              </a:buClr>
              <a:buSzPct val="32352"/>
              <a:buFont typeface="Arial"/>
              <a:buNone/>
            </a:pPr>
            <a:r>
              <a:rPr lang="fr-CA" sz="3400" b="1" dirty="0">
                <a:solidFill>
                  <a:schemeClr val="lt1"/>
                </a:solidFill>
                <a:latin typeface="Lato"/>
                <a:ea typeface="Lato"/>
                <a:cs typeface="Lato"/>
                <a:sym typeface="Lato"/>
              </a:rPr>
              <a:t>Lien vers l’accessibilité à partir de la PAI</a:t>
            </a:r>
          </a:p>
          <a:p>
            <a:pPr marL="0" lvl="0" indent="0" algn="l" rtl="0">
              <a:spcBef>
                <a:spcPts val="0"/>
              </a:spcBef>
              <a:spcAft>
                <a:spcPts val="0"/>
              </a:spcAft>
              <a:buNone/>
            </a:pPr>
            <a:endParaRPr sz="3400" b="1" dirty="0">
              <a:solidFill>
                <a:schemeClr val="lt1"/>
              </a:solidFill>
              <a:latin typeface="Lato"/>
              <a:ea typeface="Lato"/>
              <a:cs typeface="Lato"/>
              <a:sym typeface="Lato"/>
            </a:endParaRPr>
          </a:p>
          <a:p>
            <a:pPr marL="0" lvl="0" indent="0" algn="l" rtl="0">
              <a:spcBef>
                <a:spcPts val="0"/>
              </a:spcBef>
              <a:spcAft>
                <a:spcPts val="0"/>
              </a:spcAft>
              <a:buNone/>
            </a:pPr>
            <a:endParaRPr sz="3400" b="1" dirty="0">
              <a:solidFill>
                <a:schemeClr val="lt1"/>
              </a:solidFill>
              <a:latin typeface="Lato"/>
              <a:ea typeface="Lato"/>
              <a:cs typeface="Lato"/>
              <a:sym typeface="Lato"/>
            </a:endParaRPr>
          </a:p>
        </p:txBody>
      </p:sp>
      <p:sp>
        <p:nvSpPr>
          <p:cNvPr id="134" name="Google Shape;134;p21"/>
          <p:cNvSpPr/>
          <p:nvPr/>
        </p:nvSpPr>
        <p:spPr>
          <a:xfrm>
            <a:off x="456976" y="898479"/>
            <a:ext cx="940800" cy="84900"/>
          </a:xfrm>
          <a:prstGeom prst="rect">
            <a:avLst/>
          </a:prstGeom>
          <a:solidFill>
            <a:srgbClr val="AF3C43"/>
          </a:solidFill>
          <a:ln>
            <a:noFill/>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35" name="Google Shape;135;p21"/>
          <p:cNvSpPr txBox="1">
            <a:spLocks noGrp="1"/>
          </p:cNvSpPr>
          <p:nvPr>
            <p:ph type="subTitle" idx="4294967295"/>
          </p:nvPr>
        </p:nvSpPr>
        <p:spPr>
          <a:xfrm>
            <a:off x="311700" y="1071365"/>
            <a:ext cx="7051200" cy="458100"/>
          </a:xfrm>
          <a:prstGeom prst="rect">
            <a:avLst/>
          </a:prstGeom>
        </p:spPr>
        <p:txBody>
          <a:bodyPr spcFirstLastPara="1" wrap="square" lIns="91425" tIns="91425" rIns="91425" bIns="91425" anchor="t" anchorCtr="0">
            <a:noAutofit/>
          </a:bodyPr>
          <a:lstStyle/>
          <a:p>
            <a:pPr marL="0" lvl="0" indent="0" algn="l" rtl="0">
              <a:lnSpc>
                <a:spcPct val="100000"/>
              </a:lnSpc>
              <a:spcBef>
                <a:spcPts val="0"/>
              </a:spcBef>
              <a:spcAft>
                <a:spcPts val="0"/>
              </a:spcAft>
              <a:buSzPts val="1100"/>
              <a:buNone/>
            </a:pPr>
            <a:r>
              <a:rPr lang="fr-CA" sz="2000">
                <a:solidFill>
                  <a:schemeClr val="lt1"/>
                </a:solidFill>
                <a:latin typeface="Open Sans"/>
                <a:ea typeface="Open Sans"/>
                <a:cs typeface="Open Sans"/>
                <a:sym typeface="Open Sans"/>
              </a:rPr>
              <a:t>Le libellé de lien recommandé est « Accessibilité »</a:t>
            </a:r>
          </a:p>
          <a:p>
            <a:pPr marL="0" lvl="0" indent="0" algn="l" rtl="0">
              <a:spcBef>
                <a:spcPts val="0"/>
              </a:spcBef>
              <a:spcAft>
                <a:spcPts val="1200"/>
              </a:spcAft>
              <a:buSzPts val="1018"/>
              <a:buNone/>
            </a:pPr>
            <a:endParaRPr sz="1765">
              <a:solidFill>
                <a:schemeClr val="lt1"/>
              </a:solidFill>
              <a:latin typeface="Open Sans"/>
              <a:ea typeface="Open Sans"/>
              <a:cs typeface="Open Sans"/>
              <a:sym typeface="Open Sans"/>
            </a:endParaRPr>
          </a:p>
        </p:txBody>
      </p:sp>
      <p:pic>
        <p:nvPicPr>
          <p:cNvPr id="136" name="Google Shape;136;p21"/>
          <p:cNvPicPr preferRelativeResize="0"/>
          <p:nvPr/>
        </p:nvPicPr>
        <p:blipFill rotWithShape="1">
          <a:blip r:embed="rId3">
            <a:alphaModFix/>
          </a:blip>
          <a:srcRect t="11153" b="24743"/>
          <a:stretch/>
        </p:blipFill>
        <p:spPr>
          <a:xfrm>
            <a:off x="1166525" y="1807626"/>
            <a:ext cx="6767949" cy="2891824"/>
          </a:xfrm>
          <a:prstGeom prst="rect">
            <a:avLst/>
          </a:prstGeom>
          <a:noFill/>
          <a:ln>
            <a:noFill/>
          </a:ln>
          <a:effectLst>
            <a:outerShdw blurRad="57150" dist="19050" dir="5400000" algn="bl" rotWithShape="0">
              <a:srgbClr val="000000">
                <a:alpha val="50000"/>
              </a:srgbClr>
            </a:outerShdw>
          </a:effectLst>
        </p:spPr>
      </p:pic>
      <p:sp>
        <p:nvSpPr>
          <p:cNvPr id="137" name="Google Shape;137;p21"/>
          <p:cNvSpPr/>
          <p:nvPr/>
        </p:nvSpPr>
        <p:spPr>
          <a:xfrm>
            <a:off x="1250800" y="3273125"/>
            <a:ext cx="1040400" cy="268800"/>
          </a:xfrm>
          <a:prstGeom prst="roundRect">
            <a:avLst>
              <a:gd name="adj" fmla="val 16667"/>
            </a:avLst>
          </a:prstGeom>
          <a:noFill/>
          <a:ln w="28575" cap="flat" cmpd="sng">
            <a:solidFill>
              <a:srgbClr val="980000"/>
            </a:solidFill>
            <a:prstDash val="solid"/>
            <a:round/>
            <a:headEnd type="none" w="sm" len="sm"/>
            <a:tailEnd type="none" w="sm" len="sm"/>
          </a:ln>
          <a:effectLst>
            <a:outerShdw blurRad="57150" dist="19050" dir="5400000" algn="bl" rotWithShape="0">
              <a:srgbClr val="000000">
                <a:alpha val="50000"/>
              </a:srgbClr>
            </a:outerShdw>
          </a:effectLst>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38" name="Google Shape;138;p21"/>
          <p:cNvSpPr/>
          <p:nvPr/>
        </p:nvSpPr>
        <p:spPr>
          <a:xfrm>
            <a:off x="362375" y="3273125"/>
            <a:ext cx="678000" cy="268800"/>
          </a:xfrm>
          <a:prstGeom prst="rightArrow">
            <a:avLst>
              <a:gd name="adj1" fmla="val 50000"/>
              <a:gd name="adj2" fmla="val 50000"/>
            </a:avLst>
          </a:prstGeom>
          <a:solidFill>
            <a:schemeClr val="lt2"/>
          </a:solidFill>
          <a:ln w="9525" cap="flat" cmpd="sng">
            <a:solidFill>
              <a:srgbClr val="980000"/>
            </a:solidFill>
            <a:prstDash val="solid"/>
            <a:round/>
            <a:headEnd type="none" w="sm" len="sm"/>
            <a:tailEnd type="none" w="sm" len="sm"/>
          </a:ln>
        </p:spPr>
        <p:txBody>
          <a:bodyPr spcFirstLastPara="1" wrap="square" lIns="91425" tIns="91425" rIns="91425" bIns="91425" anchor="ctr" anchorCtr="0">
            <a:noAutofit/>
          </a:bodyPr>
          <a:lstStyle/>
          <a:p>
            <a:pPr marL="0" lvl="0" indent="0" algn="l" rtl="0">
              <a:spcBef>
                <a:spcPts val="0"/>
              </a:spcBef>
              <a:spcAft>
                <a:spcPts val="0"/>
              </a:spcAft>
              <a:buNone/>
            </a:pPr>
            <a:endParaRPr/>
          </a:p>
        </p:txBody>
      </p:sp>
      <p:sp>
        <p:nvSpPr>
          <p:cNvPr id="139" name="Google Shape;139;p21"/>
          <p:cNvSpPr txBox="1"/>
          <p:nvPr/>
        </p:nvSpPr>
        <p:spPr>
          <a:xfrm>
            <a:off x="3804975" y="4771274"/>
            <a:ext cx="4129500" cy="523190"/>
          </a:xfrm>
          <a:prstGeom prst="rect">
            <a:avLst/>
          </a:prstGeom>
          <a:solidFill>
            <a:schemeClr val="lt1"/>
          </a:solidFill>
          <a:ln>
            <a:noFill/>
          </a:ln>
        </p:spPr>
        <p:txBody>
          <a:bodyPr spcFirstLastPara="1" wrap="square" lIns="91425" tIns="91425" rIns="91425" bIns="91425" anchor="t" anchorCtr="0">
            <a:spAutoFit/>
          </a:bodyPr>
          <a:lstStyle/>
          <a:p>
            <a:pPr marL="0" lvl="0" indent="0" algn="r" rtl="0">
              <a:spcBef>
                <a:spcPts val="0"/>
              </a:spcBef>
              <a:spcAft>
                <a:spcPts val="0"/>
              </a:spcAft>
              <a:buNone/>
            </a:pPr>
            <a:r>
              <a:rPr lang="fr-CA" sz="1100" dirty="0"/>
              <a:t>Exemple tiré de la </a:t>
            </a:r>
            <a:r>
              <a:rPr lang="fr-CA" sz="1100" u="sng" dirty="0">
                <a:solidFill>
                  <a:schemeClr val="hlink"/>
                </a:solidFill>
                <a:hlinkClick r:id="rId4"/>
              </a:rPr>
              <a:t>page d’accueil institutionnelle d’Agriculture et Agroalimentaire Canada (AAC)</a:t>
            </a:r>
          </a:p>
        </p:txBody>
      </p:sp>
    </p:spTree>
  </p:cSld>
  <p:clrMapOvr>
    <a:masterClrMapping/>
  </p:clrMapOvr>
</p:sld>
</file>

<file path=ppt/tags/tag1.xml><?xml version="1.0" encoding="utf-8"?>
<p:tagLst xmlns:a="http://schemas.openxmlformats.org/drawingml/2006/main" xmlns:r="http://schemas.openxmlformats.org/officeDocument/2006/relationships" xmlns:p="http://schemas.openxmlformats.org/presentationml/2006/main">
  <p:tag name="ENGAGE" val="{&quot;SavedSwatch&quot;:&quot;-16756366|-13593164|-13155766|-3334100|-3351552|Treasury Board&quot;,&quot;Id&quot;:&quot;63974ec2383342116011e7e5&quot;,&quot;SmartGridHorizontal&quot;:0,&quot;LinkedExcelSources&quot;:{},&quot;LinkedProjectSources&quot;:{},&quot;FlowConfig&quot;:{&quot;Canvas&quot;:{&quot;Slide&quot;:-1,&quot;Width&quot;:0,&quot;Height&quot;:0},&quot;Timeline&quot;:{&quot;Actions&quot;:[]}},&quot;LinkedSlideMergeSources&quot;:{},&quot;LinkedSharePointSlideMergeSources&quot;:{}}"/>
</p:tagLst>
</file>

<file path=ppt/theme/theme1.xml><?xml version="1.0" encoding="utf-8"?>
<a:theme xmlns:a="http://schemas.openxmlformats.org/drawingml/2006/main" name="Simple Light">
  <a:themeElements>
    <a:clrScheme name="Simple Light">
      <a:dk1>
        <a:srgbClr val="000000"/>
      </a:dk1>
      <a:lt1>
        <a:srgbClr val="FFFFFF"/>
      </a:lt1>
      <a:dk2>
        <a:srgbClr val="595959"/>
      </a:dk2>
      <a:lt2>
        <a:srgbClr val="EEEEEE"/>
      </a:lt2>
      <a:accent1>
        <a:srgbClr val="4285F4"/>
      </a:accent1>
      <a:accent2>
        <a:srgbClr val="212121"/>
      </a:accent2>
      <a:accent3>
        <a:srgbClr val="78909C"/>
      </a:accent3>
      <a:accent4>
        <a:srgbClr val="FFAB40"/>
      </a:accent4>
      <a:accent5>
        <a:srgbClr val="0097A7"/>
      </a:accent5>
      <a:accent6>
        <a:srgbClr val="EEFF41"/>
      </a:accent6>
      <a:hlink>
        <a:srgbClr val="0097A7"/>
      </a:hlink>
      <a:folHlink>
        <a:srgbClr val="0097A7"/>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a:themeElements>
    <a:clrScheme name="Default">
      <a:dk1>
        <a:srgbClr val="000000"/>
      </a:dk1>
      <a:lt1>
        <a:srgbClr val="FFFFFF"/>
      </a:lt1>
      <a:dk2>
        <a:srgbClr val="158158"/>
      </a:dk2>
      <a:lt2>
        <a:srgbClr val="F3F3F3"/>
      </a:lt2>
      <a:accent1>
        <a:srgbClr val="058DC7"/>
      </a:accent1>
      <a:accent2>
        <a:srgbClr val="50B432"/>
      </a:accent2>
      <a:accent3>
        <a:srgbClr val="ED561B"/>
      </a:accent3>
      <a:accent4>
        <a:srgbClr val="EDEF00"/>
      </a:accent4>
      <a:accent5>
        <a:srgbClr val="24CBE5"/>
      </a:accent5>
      <a:accent6>
        <a:srgbClr val="64E572"/>
      </a:accent6>
      <a:hlink>
        <a:srgbClr val="2200CC"/>
      </a:hlink>
      <a:folHlink>
        <a:srgbClr val="551A8B"/>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4</TotalTime>
  <Words>1953</Words>
  <Application>Microsoft Office PowerPoint</Application>
  <PresentationFormat>On-screen Show (16:9)</PresentationFormat>
  <Paragraphs>165</Paragraphs>
  <Slides>32</Slides>
  <Notes>32</Notes>
  <HiddenSlides>0</HiddenSlides>
  <MMClips>0</MMClips>
  <ScaleCrop>false</ScaleCrop>
  <HeadingPairs>
    <vt:vector size="6" baseType="variant">
      <vt:variant>
        <vt:lpstr>Fonts Used</vt:lpstr>
      </vt:variant>
      <vt:variant>
        <vt:i4>4</vt:i4>
      </vt:variant>
      <vt:variant>
        <vt:lpstr>Theme</vt:lpstr>
      </vt:variant>
      <vt:variant>
        <vt:i4>1</vt:i4>
      </vt:variant>
      <vt:variant>
        <vt:lpstr>Slide Titles</vt:lpstr>
      </vt:variant>
      <vt:variant>
        <vt:i4>32</vt:i4>
      </vt:variant>
    </vt:vector>
  </HeadingPairs>
  <TitlesOfParts>
    <vt:vector size="37" baseType="lpstr">
      <vt:lpstr>Roboto</vt:lpstr>
      <vt:lpstr>Lato</vt:lpstr>
      <vt:lpstr>Open Sans</vt:lpstr>
      <vt:lpstr>Arial</vt:lpstr>
      <vt:lpstr>Simple Light</vt:lpstr>
      <vt:lpstr>Exigences d’accessibilité pour décembre 2022</vt:lpstr>
      <vt:lpstr>Trois modèles clés</vt:lpstr>
      <vt:lpstr>Plans sur l’accessibilité </vt:lpstr>
      <vt:lpstr>Description du processus de rétroaction sur l’accessibilité </vt:lpstr>
      <vt:lpstr>Mécanisme de rétroaction sur l’accessibilité </vt:lpstr>
      <vt:lpstr>PowerPoint Presentation</vt:lpstr>
      <vt:lpstr>Facteurs de conception </vt:lpstr>
      <vt:lpstr>Répondre aux exigences d’accessibilité sur les sites Web de l’institution</vt:lpstr>
      <vt:lpstr>Lien vers l’accessibilité à partir de la PAI  </vt:lpstr>
      <vt:lpstr>Fil d’Ariane pour les produits d’accessibilité </vt:lpstr>
      <vt:lpstr>Facteurs de conception </vt:lpstr>
      <vt:lpstr>Page d’accessibilité  </vt:lpstr>
      <vt:lpstr>Facteurs de conception </vt:lpstr>
      <vt:lpstr>Plan sur l’accessibilité  </vt:lpstr>
      <vt:lpstr>Facteurs de conception </vt:lpstr>
      <vt:lpstr>Facteurs de conception </vt:lpstr>
      <vt:lpstr>Facteurs de conception </vt:lpstr>
      <vt:lpstr>Formulaire de rétroaction sur l’accessibilité  </vt:lpstr>
      <vt:lpstr>Formulaire de rétroaction sur l’accessibilité  </vt:lpstr>
      <vt:lpstr>Facteurs de conception </vt:lpstr>
      <vt:lpstr>Facteurs de conception </vt:lpstr>
      <vt:lpstr>Description du processus de rétroaction sur l’accessibilité  </vt:lpstr>
      <vt:lpstr>Facteurs de conception </vt:lpstr>
      <vt:lpstr>Facteurs de conception </vt:lpstr>
      <vt:lpstr>Prochaines étapes </vt:lpstr>
      <vt:lpstr>PowerPoint Presentation</vt:lpstr>
      <vt:lpstr>Plans sur l’accessibilité  </vt:lpstr>
      <vt:lpstr>Plans sur l’accessibilité  </vt:lpstr>
      <vt:lpstr>Plans sur l’accessibilité  </vt:lpstr>
      <vt:lpstr>Plans sur l’accessibilité  </vt:lpstr>
      <vt:lpstr>Plans sur l’accessibilité  </vt:lpstr>
      <vt:lpstr>Plans sur l’accessibilité  </vt:lpstr>
    </vt:vector>
  </TitlesOfParts>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Exigences d’accessibilité pour décembre 2022</dc:title>
  <cp:lastModifiedBy>Donohue, Chelsey</cp:lastModifiedBy>
  <cp:revision>4</cp:revision>
  <dcterms:modified xsi:type="dcterms:W3CDTF">2022-12-12T15:54:42Z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0ca00b-3f0e-465a-aac7-1a6a22fcea40_Enabled">
    <vt:lpwstr>true</vt:lpwstr>
  </property>
  <property fmtid="{D5CDD505-2E9C-101B-9397-08002B2CF9AE}" pid="3" name="MSIP_Label_3d0ca00b-3f0e-465a-aac7-1a6a22fcea40_SetDate">
    <vt:lpwstr>2022-12-12T15:54:42Z</vt:lpwstr>
  </property>
  <property fmtid="{D5CDD505-2E9C-101B-9397-08002B2CF9AE}" pid="4" name="MSIP_Label_3d0ca00b-3f0e-465a-aac7-1a6a22fcea40_Method">
    <vt:lpwstr>Privileged</vt:lpwstr>
  </property>
  <property fmtid="{D5CDD505-2E9C-101B-9397-08002B2CF9AE}" pid="5" name="MSIP_Label_3d0ca00b-3f0e-465a-aac7-1a6a22fcea40_Name">
    <vt:lpwstr>3d0ca00b-3f0e-465a-aac7-1a6a22fcea40</vt:lpwstr>
  </property>
  <property fmtid="{D5CDD505-2E9C-101B-9397-08002B2CF9AE}" pid="6" name="MSIP_Label_3d0ca00b-3f0e-465a-aac7-1a6a22fcea40_SiteId">
    <vt:lpwstr>6397df10-4595-4047-9c4f-03311282152b</vt:lpwstr>
  </property>
  <property fmtid="{D5CDD505-2E9C-101B-9397-08002B2CF9AE}" pid="7" name="MSIP_Label_3d0ca00b-3f0e-465a-aac7-1a6a22fcea40_ActionId">
    <vt:lpwstr>dc5c5d7d-f12c-4180-9fc5-358a0a2221ae</vt:lpwstr>
  </property>
  <property fmtid="{D5CDD505-2E9C-101B-9397-08002B2CF9AE}" pid="8" name="MSIP_Label_3d0ca00b-3f0e-465a-aac7-1a6a22fcea40_ContentBits">
    <vt:lpwstr>1</vt:lpwstr>
  </property>
</Properties>
</file>