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CAA77" w14:textId="45B9C9A3" w:rsidR="000A0632" w:rsidRPr="009A7B80" w:rsidRDefault="00DF23F6">
      <w:r>
        <w:rPr>
          <w:noProof/>
        </w:rPr>
        <w:drawing>
          <wp:anchor distT="0" distB="0" distL="114300" distR="114300" simplePos="0" relativeHeight="251662342" behindDoc="1" locked="0" layoutInCell="1" allowOverlap="1" wp14:anchorId="331C2AAE" wp14:editId="5AE3547F">
            <wp:simplePos x="0" y="0"/>
            <wp:positionH relativeFrom="margin">
              <wp:posOffset>-914400</wp:posOffset>
            </wp:positionH>
            <wp:positionV relativeFrom="margin">
              <wp:posOffset>-952500</wp:posOffset>
            </wp:positionV>
            <wp:extent cx="7758430" cy="10040321"/>
            <wp:effectExtent l="0" t="0" r="127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013_12_19 - Centre for regulatory innovation_WORD_EN.jpg"/>
                    <pic:cNvPicPr/>
                  </pic:nvPicPr>
                  <pic:blipFill>
                    <a:blip r:embed="rId11">
                      <a:extLst>
                        <a:ext uri="{28A0092B-C50C-407E-A947-70E740481C1C}">
                          <a14:useLocalDpi xmlns:a14="http://schemas.microsoft.com/office/drawing/2010/main" val="0"/>
                        </a:ext>
                      </a:extLst>
                    </a:blip>
                    <a:stretch>
                      <a:fillRect/>
                    </a:stretch>
                  </pic:blipFill>
                  <pic:spPr>
                    <a:xfrm>
                      <a:off x="0" y="0"/>
                      <a:ext cx="7758430" cy="10040321"/>
                    </a:xfrm>
                    <a:prstGeom prst="rect">
                      <a:avLst/>
                    </a:prstGeom>
                  </pic:spPr>
                </pic:pic>
              </a:graphicData>
            </a:graphic>
            <wp14:sizeRelH relativeFrom="margin">
              <wp14:pctWidth>0</wp14:pctWidth>
            </wp14:sizeRelH>
            <wp14:sizeRelV relativeFrom="margin">
              <wp14:pctHeight>0</wp14:pctHeight>
            </wp14:sizeRelV>
          </wp:anchor>
        </w:drawing>
      </w:r>
    </w:p>
    <w:p w14:paraId="27FF0974" w14:textId="26A84ECF" w:rsidR="000A0632" w:rsidRPr="009A7B80" w:rsidRDefault="0091528B">
      <w:r>
        <w:rPr>
          <w:noProof/>
        </w:rPr>
        <mc:AlternateContent>
          <mc:Choice Requires="wps">
            <w:drawing>
              <wp:anchor distT="0" distB="0" distL="114300" distR="114300" simplePos="0" relativeHeight="251665414" behindDoc="0" locked="0" layoutInCell="1" allowOverlap="1" wp14:anchorId="21E41F76" wp14:editId="050B6103">
                <wp:simplePos x="0" y="0"/>
                <wp:positionH relativeFrom="column">
                  <wp:posOffset>2040797</wp:posOffset>
                </wp:positionH>
                <wp:positionV relativeFrom="paragraph">
                  <wp:posOffset>7080455</wp:posOffset>
                </wp:positionV>
                <wp:extent cx="1577448" cy="216683"/>
                <wp:effectExtent l="0" t="0" r="0" b="0"/>
                <wp:wrapNone/>
                <wp:docPr id="3" name="Text Box 3"/>
                <wp:cNvGraphicFramePr/>
                <a:graphic xmlns:a="http://schemas.openxmlformats.org/drawingml/2006/main">
                  <a:graphicData uri="http://schemas.microsoft.com/office/word/2010/wordprocessingShape">
                    <wps:wsp>
                      <wps:cNvSpPr txBox="1"/>
                      <wps:spPr>
                        <a:xfrm>
                          <a:off x="0" y="0"/>
                          <a:ext cx="1577448" cy="216683"/>
                        </a:xfrm>
                        <a:prstGeom prst="rect">
                          <a:avLst/>
                        </a:prstGeom>
                        <a:noFill/>
                        <a:ln w="6350">
                          <a:noFill/>
                        </a:ln>
                      </wps:spPr>
                      <wps:txbx>
                        <w:txbxContent>
                          <w:p w14:paraId="19FB6B68" w14:textId="7FB347FE" w:rsidR="0091528B" w:rsidRPr="005A623F" w:rsidRDefault="0091528B" w:rsidP="0091528B">
                            <w:pPr>
                              <w:spacing w:after="0" w:line="240" w:lineRule="auto"/>
                              <w:rPr>
                                <w:rFonts w:eastAsia="Arial" w:cstheme="minorHAnsi"/>
                                <w:i/>
                                <w:sz w:val="18"/>
                                <w:szCs w:val="14"/>
                              </w:rPr>
                            </w:pPr>
                            <w:proofErr w:type="gramStart"/>
                            <w:r>
                              <w:rPr>
                                <w:bCs/>
                                <w:i/>
                                <w:iCs/>
                                <w:sz w:val="18"/>
                                <w:szCs w:val="14"/>
                              </w:rPr>
                              <w:t>novembre</w:t>
                            </w:r>
                            <w:proofErr w:type="gramEnd"/>
                            <w:r>
                              <w:rPr>
                                <w:bCs/>
                                <w:i/>
                                <w:iCs/>
                                <w:sz w:val="18"/>
                                <w:szCs w:val="14"/>
                              </w:rPr>
                              <w:t> 2022 – version 3.0</w:t>
                            </w:r>
                          </w:p>
                          <w:p w14:paraId="5D542243" w14:textId="77777777" w:rsidR="0091528B" w:rsidRPr="00AF4316" w:rsidRDefault="0091528B" w:rsidP="0091528B">
                            <w:pPr>
                              <w:jc w:val="both"/>
                            </w:pPr>
                          </w:p>
                          <w:p w14:paraId="4275DA66" w14:textId="77777777" w:rsidR="0091528B" w:rsidRDefault="009152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E41F76" id="_x0000_t202" coordsize="21600,21600" o:spt="202" path="m,l,21600r21600,l21600,xe">
                <v:stroke joinstyle="miter"/>
                <v:path gradientshapeok="t" o:connecttype="rect"/>
              </v:shapetype>
              <v:shape id="Text Box 3" o:spid="_x0000_s1026" type="#_x0000_t202" style="position:absolute;margin-left:160.7pt;margin-top:557.5pt;width:124.2pt;height:17.05pt;z-index:2516654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" filled="f" stroked="f" strokeweight=".5pt">
                <v:textbox>
                  <w:txbxContent>
                    <w:p w14:paraId="19FB6B68" w14:textId="7FB347FE" w:rsidR="0091528B" w:rsidRPr="005A623F" w:rsidRDefault="0091528B" w:rsidP="0091528B">
                      <w:pPr>
                        <w:spacing w:after="0" w:line="240" w:lineRule="auto"/>
                        <w:rPr>
                          <w:rFonts w:eastAsia="Arial" w:cstheme="minorHAnsi"/>
                          <w:i/>
                          <w:sz w:val="18"/>
                          <w:szCs w:val="14"/>
                        </w:rPr>
                      </w:pPr>
                      <w:proofErr w:type="gramStart"/>
                      <w:r>
                        <w:rPr>
                          <w:bCs/>
                          <w:i/>
                          <w:iCs/>
                          <w:sz w:val="18"/>
                          <w:szCs w:val="14"/>
                        </w:rPr>
                        <w:t>novembre</w:t>
                      </w:r>
                      <w:proofErr w:type="gramEnd"/>
                      <w:r>
                        <w:rPr>
                          <w:bCs/>
                          <w:i/>
                          <w:iCs/>
                          <w:sz w:val="18"/>
                          <w:szCs w:val="14"/>
                        </w:rPr>
                        <w:t> 2022 – version 3.0</w:t>
                      </w:r>
                    </w:p>
                    <w:p w14:paraId="5D542243" w14:textId="77777777" w:rsidR="0091528B" w:rsidRPr="00AF4316" w:rsidRDefault="0091528B" w:rsidP="0091528B">
                      <w:pPr>
                        <w:jc w:val="both"/>
                      </w:pPr>
                    </w:p>
                    <w:p w14:paraId="4275DA66" w14:textId="77777777" w:rsidR="0091528B" w:rsidRDefault="0091528B"/>
                  </w:txbxContent>
                </v:textbox>
              </v:shape>
            </w:pict>
          </mc:Fallback>
        </mc:AlternateContent>
      </w:r>
      <w:r>
        <w:rPr>
          <w:noProof/>
        </w:rPr>
        <mc:AlternateContent>
          <mc:Choice Requires="wps">
            <w:drawing>
              <wp:anchor distT="45720" distB="45720" distL="114300" distR="114300" simplePos="0" relativeHeight="251660294" behindDoc="0" locked="0" layoutInCell="1" allowOverlap="1" wp14:anchorId="737E213C" wp14:editId="4E7287CF">
                <wp:simplePos x="0" y="0"/>
                <wp:positionH relativeFrom="column">
                  <wp:posOffset>-342900</wp:posOffset>
                </wp:positionH>
                <wp:positionV relativeFrom="paragraph">
                  <wp:posOffset>6461125</wp:posOffset>
                </wp:positionV>
                <wp:extent cx="3928745" cy="619125"/>
                <wp:effectExtent l="0" t="0" r="0" b="952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8745" cy="619125"/>
                        </a:xfrm>
                        <a:prstGeom prst="rect">
                          <a:avLst/>
                        </a:prstGeom>
                        <a:solidFill>
                          <a:srgbClr val="FFFFFF"/>
                        </a:solidFill>
                        <a:ln w="9525">
                          <a:noFill/>
                          <a:miter lim="800000"/>
                          <a:headEnd/>
                          <a:tailEnd/>
                        </a:ln>
                      </wps:spPr>
                      <wps:txbx>
                        <w:txbxContent>
                          <w:p w14:paraId="79E4A54D" w14:textId="3A6C7F8A" w:rsidR="0099727D" w:rsidRPr="005A623F" w:rsidRDefault="0099727D" w:rsidP="0091528B">
                            <w:pPr>
                              <w:spacing w:after="0" w:line="240" w:lineRule="auto"/>
                              <w:rPr>
                                <w:rFonts w:eastAsia="Arial" w:cstheme="minorHAnsi"/>
                                <w:i/>
                                <w:sz w:val="18"/>
                                <w:szCs w:val="14"/>
                              </w:rPr>
                            </w:pPr>
                            <w:r>
                              <w:rPr>
                                <w:b/>
                                <w:sz w:val="32"/>
                                <w:szCs w:val="24"/>
                              </w:rPr>
                              <w:t>Guide du Fonds pour les dépenses d</w:t>
                            </w:r>
                            <w:r w:rsidR="003C06B1">
                              <w:rPr>
                                <w:b/>
                                <w:sz w:val="32"/>
                                <w:szCs w:val="24"/>
                              </w:rPr>
                              <w:t>’</w:t>
                            </w:r>
                            <w:r>
                              <w:rPr>
                                <w:b/>
                                <w:sz w:val="32"/>
                                <w:szCs w:val="24"/>
                              </w:rPr>
                              <w:t>expérimentation réglementaire</w:t>
                            </w:r>
                            <w:r>
                              <w:rPr>
                                <w:bCs/>
                                <w:i/>
                                <w:iCs/>
                                <w:sz w:val="18"/>
                                <w:szCs w:val="14"/>
                              </w:rPr>
                              <w:t xml:space="preserve"> </w:t>
                            </w:r>
                          </w:p>
                          <w:p w14:paraId="53A66B37" w14:textId="77777777" w:rsidR="0099727D" w:rsidRPr="00AF4316" w:rsidRDefault="0099727D" w:rsidP="0099727D">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7E213C" id="Zone de texte 2" o:spid="_x0000_s1027" type="#_x0000_t202" style="position:absolute;margin-left:-27pt;margin-top:508.75pt;width:309.35pt;height:48.75pt;z-index:25166029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" stroked="f">
                <v:textbox>
                  <w:txbxContent>
                    <w:p w14:paraId="79E4A54D" w14:textId="3A6C7F8A" w:rsidR="0099727D" w:rsidRPr="005A623F" w:rsidRDefault="0099727D" w:rsidP="0091528B">
                      <w:pPr>
                        <w:spacing w:after="0" w:line="240" w:lineRule="auto"/>
                        <w:rPr>
                          <w:rFonts w:eastAsia="Arial" w:cstheme="minorHAnsi"/>
                          <w:i/>
                          <w:sz w:val="18"/>
                          <w:szCs w:val="14"/>
                        </w:rPr>
                      </w:pPr>
                      <w:r>
                        <w:rPr>
                          <w:b/>
                          <w:sz w:val="32"/>
                          <w:szCs w:val="24"/>
                        </w:rPr>
                        <w:t>Guide du Fonds pour les dépenses d</w:t>
                      </w:r>
                      <w:r w:rsidR="003C06B1">
                        <w:rPr>
                          <w:b/>
                          <w:sz w:val="32"/>
                          <w:szCs w:val="24"/>
                        </w:rPr>
                        <w:t>’</w:t>
                      </w:r>
                      <w:r>
                        <w:rPr>
                          <w:b/>
                          <w:sz w:val="32"/>
                          <w:szCs w:val="24"/>
                        </w:rPr>
                        <w:t>expérimentation réglementaire</w:t>
                      </w:r>
                      <w:r>
                        <w:rPr>
                          <w:bCs/>
                          <w:i/>
                          <w:iCs/>
                          <w:sz w:val="18"/>
                          <w:szCs w:val="14"/>
                        </w:rPr>
                        <w:t xml:space="preserve"> </w:t>
                      </w:r>
                    </w:p>
                    <w:p w14:paraId="53A66B37" w14:textId="77777777" w:rsidR="0099727D" w:rsidRPr="00AF4316" w:rsidRDefault="0099727D" w:rsidP="0099727D">
                      <w:pPr>
                        <w:jc w:val="both"/>
                      </w:pPr>
                    </w:p>
                  </w:txbxContent>
                </v:textbox>
                <w10:wrap type="square"/>
              </v:shape>
            </w:pict>
          </mc:Fallback>
        </mc:AlternateContent>
      </w:r>
      <w:r w:rsidR="00DF23F6">
        <w:rPr>
          <w:noProof/>
        </w:rPr>
        <w:drawing>
          <wp:anchor distT="0" distB="0" distL="114300" distR="114300" simplePos="0" relativeHeight="251664390" behindDoc="0" locked="0" layoutInCell="1" allowOverlap="1" wp14:anchorId="300B4EDC" wp14:editId="18725086">
            <wp:simplePos x="0" y="0"/>
            <wp:positionH relativeFrom="column">
              <wp:posOffset>-666750</wp:posOffset>
            </wp:positionH>
            <wp:positionV relativeFrom="paragraph">
              <wp:posOffset>4965700</wp:posOffset>
            </wp:positionV>
            <wp:extent cx="3983355" cy="1353185"/>
            <wp:effectExtent l="0" t="0" r="0" b="0"/>
            <wp:wrapThrough wrapText="bothSides">
              <wp:wrapPolygon edited="0">
                <wp:start x="2548" y="3244"/>
                <wp:lineTo x="2135" y="4257"/>
                <wp:lineTo x="1859" y="5473"/>
                <wp:lineTo x="1859" y="6893"/>
                <wp:lineTo x="2135" y="10136"/>
                <wp:lineTo x="1859" y="11352"/>
                <wp:lineTo x="2066" y="13177"/>
                <wp:lineTo x="10812" y="13380"/>
                <wp:lineTo x="2961" y="15204"/>
                <wp:lineTo x="1859" y="15610"/>
                <wp:lineTo x="1859" y="17637"/>
                <wp:lineTo x="6405" y="18448"/>
                <wp:lineTo x="11019" y="18853"/>
                <wp:lineTo x="11501" y="18853"/>
                <wp:lineTo x="14875" y="18448"/>
                <wp:lineTo x="18043" y="17637"/>
                <wp:lineTo x="18043" y="15407"/>
                <wp:lineTo x="16253" y="14596"/>
                <wp:lineTo x="10812" y="13380"/>
                <wp:lineTo x="12809" y="13177"/>
                <wp:lineTo x="12603" y="10136"/>
                <wp:lineTo x="7093" y="10136"/>
                <wp:lineTo x="5303" y="6893"/>
                <wp:lineTo x="5578" y="5473"/>
                <wp:lineTo x="5509" y="3852"/>
                <wp:lineTo x="5027" y="3244"/>
                <wp:lineTo x="2548" y="3244"/>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983355" cy="1353185"/>
                    </a:xfrm>
                    <a:prstGeom prst="rect">
                      <a:avLst/>
                    </a:prstGeom>
                    <a:noFill/>
                    <a:ln>
                      <a:noFill/>
                    </a:ln>
                  </pic:spPr>
                </pic:pic>
              </a:graphicData>
            </a:graphic>
            <wp14:sizeRelV relativeFrom="margin">
              <wp14:pctHeight>0</wp14:pctHeight>
            </wp14:sizeRelV>
          </wp:anchor>
        </w:drawing>
      </w:r>
      <w:r w:rsidR="000A0632">
        <w:br w:type="page"/>
      </w:r>
    </w:p>
    <w:sdt>
      <w:sdtPr>
        <w:rPr>
          <w:rFonts w:asciiTheme="minorHAnsi" w:eastAsiaTheme="minorHAnsi" w:hAnsiTheme="minorHAnsi" w:cstheme="minorBidi"/>
          <w:color w:val="auto"/>
          <w:sz w:val="22"/>
          <w:szCs w:val="22"/>
        </w:rPr>
        <w:id w:val="-349964520"/>
        <w:docPartObj>
          <w:docPartGallery w:val="Table of Contents"/>
          <w:docPartUnique/>
        </w:docPartObj>
      </w:sdtPr>
      <w:sdtEndPr>
        <w:rPr>
          <w:b/>
          <w:bCs/>
          <w:noProof/>
        </w:rPr>
      </w:sdtEndPr>
      <w:sdtContent>
        <w:p w14:paraId="390F6F63" w14:textId="3BA9A0FE" w:rsidR="00BB6AA2" w:rsidRPr="009A7B80" w:rsidRDefault="00BB6AA2">
          <w:pPr>
            <w:pStyle w:val="TOCHeading"/>
          </w:pPr>
          <w:r>
            <w:t>Table des matières</w:t>
          </w:r>
        </w:p>
        <w:p w14:paraId="7D221FE1" w14:textId="78ECA7BC" w:rsidR="00DF23F6" w:rsidRDefault="00BB6AA2">
          <w:pPr>
            <w:pStyle w:val="TOC1"/>
            <w:tabs>
              <w:tab w:val="left" w:pos="440"/>
              <w:tab w:val="right" w:leader="dot" w:pos="9350"/>
            </w:tabs>
            <w:rPr>
              <w:rFonts w:eastAsiaTheme="minorEastAsia"/>
              <w:noProof/>
              <w:lang w:val="en-US"/>
            </w:rPr>
          </w:pPr>
          <w:r w:rsidRPr="009A7B80">
            <w:fldChar w:fldCharType="begin"/>
          </w:r>
          <w:r w:rsidRPr="009A7B80">
            <w:instrText xml:space="preserve"> TOC \o "1-3" \h \z \u </w:instrText>
          </w:r>
          <w:r w:rsidRPr="009A7B80">
            <w:fldChar w:fldCharType="separate"/>
          </w:r>
          <w:hyperlink w:anchor="_Toc119934109" w:history="1">
            <w:r w:rsidR="00DF23F6" w:rsidRPr="000F1409">
              <w:rPr>
                <w:rStyle w:val="Hyperlink"/>
                <w:bCs/>
                <w:noProof/>
              </w:rPr>
              <w:t>1.</w:t>
            </w:r>
            <w:r w:rsidR="00DF23F6">
              <w:rPr>
                <w:rFonts w:eastAsiaTheme="minorEastAsia"/>
                <w:noProof/>
                <w:lang w:val="en-US"/>
              </w:rPr>
              <w:tab/>
            </w:r>
            <w:r w:rsidR="00DF23F6" w:rsidRPr="000F1409">
              <w:rPr>
                <w:rStyle w:val="Hyperlink"/>
                <w:noProof/>
              </w:rPr>
              <w:t>But</w:t>
            </w:r>
            <w:r w:rsidR="00DF23F6">
              <w:rPr>
                <w:noProof/>
                <w:webHidden/>
              </w:rPr>
              <w:tab/>
            </w:r>
            <w:r w:rsidR="00DF23F6">
              <w:rPr>
                <w:noProof/>
                <w:webHidden/>
              </w:rPr>
              <w:fldChar w:fldCharType="begin"/>
            </w:r>
            <w:r w:rsidR="00DF23F6">
              <w:rPr>
                <w:noProof/>
                <w:webHidden/>
              </w:rPr>
              <w:instrText xml:space="preserve"> PAGEREF _Toc119934109 \h </w:instrText>
            </w:r>
            <w:r w:rsidR="00DF23F6">
              <w:rPr>
                <w:noProof/>
                <w:webHidden/>
              </w:rPr>
            </w:r>
            <w:r w:rsidR="00DF23F6">
              <w:rPr>
                <w:noProof/>
                <w:webHidden/>
              </w:rPr>
              <w:fldChar w:fldCharType="separate"/>
            </w:r>
            <w:r w:rsidR="00DF23F6">
              <w:rPr>
                <w:noProof/>
                <w:webHidden/>
              </w:rPr>
              <w:t>3</w:t>
            </w:r>
            <w:r w:rsidR="00DF23F6">
              <w:rPr>
                <w:noProof/>
                <w:webHidden/>
              </w:rPr>
              <w:fldChar w:fldCharType="end"/>
            </w:r>
          </w:hyperlink>
        </w:p>
        <w:p w14:paraId="212E0210" w14:textId="3B7E9E1D" w:rsidR="00DF23F6" w:rsidRDefault="00000000">
          <w:pPr>
            <w:pStyle w:val="TOC1"/>
            <w:tabs>
              <w:tab w:val="left" w:pos="440"/>
              <w:tab w:val="right" w:leader="dot" w:pos="9350"/>
            </w:tabs>
            <w:rPr>
              <w:rFonts w:eastAsiaTheme="minorEastAsia"/>
              <w:noProof/>
              <w:lang w:val="en-US"/>
            </w:rPr>
          </w:pPr>
          <w:hyperlink w:anchor="_Toc119934110" w:history="1">
            <w:r w:rsidR="00DF23F6" w:rsidRPr="000F1409">
              <w:rPr>
                <w:rStyle w:val="Hyperlink"/>
                <w:bCs/>
                <w:noProof/>
              </w:rPr>
              <w:t>2.</w:t>
            </w:r>
            <w:r w:rsidR="00DF23F6">
              <w:rPr>
                <w:rFonts w:eastAsiaTheme="minorEastAsia"/>
                <w:noProof/>
                <w:lang w:val="en-US"/>
              </w:rPr>
              <w:tab/>
            </w:r>
            <w:r w:rsidR="00DF23F6" w:rsidRPr="000F1409">
              <w:rPr>
                <w:rStyle w:val="Hyperlink"/>
                <w:noProof/>
              </w:rPr>
              <w:t>Objectif du FDER</w:t>
            </w:r>
            <w:r w:rsidR="00DF23F6">
              <w:rPr>
                <w:noProof/>
                <w:webHidden/>
              </w:rPr>
              <w:tab/>
            </w:r>
            <w:r w:rsidR="00DF23F6">
              <w:rPr>
                <w:noProof/>
                <w:webHidden/>
              </w:rPr>
              <w:fldChar w:fldCharType="begin"/>
            </w:r>
            <w:r w:rsidR="00DF23F6">
              <w:rPr>
                <w:noProof/>
                <w:webHidden/>
              </w:rPr>
              <w:instrText xml:space="preserve"> PAGEREF _Toc119934110 \h </w:instrText>
            </w:r>
            <w:r w:rsidR="00DF23F6">
              <w:rPr>
                <w:noProof/>
                <w:webHidden/>
              </w:rPr>
            </w:r>
            <w:r w:rsidR="00DF23F6">
              <w:rPr>
                <w:noProof/>
                <w:webHidden/>
              </w:rPr>
              <w:fldChar w:fldCharType="separate"/>
            </w:r>
            <w:r w:rsidR="00DF23F6">
              <w:rPr>
                <w:noProof/>
                <w:webHidden/>
              </w:rPr>
              <w:t>3</w:t>
            </w:r>
            <w:r w:rsidR="00DF23F6">
              <w:rPr>
                <w:noProof/>
                <w:webHidden/>
              </w:rPr>
              <w:fldChar w:fldCharType="end"/>
            </w:r>
          </w:hyperlink>
        </w:p>
        <w:p w14:paraId="7D11D515" w14:textId="508AE778" w:rsidR="00DF23F6" w:rsidRDefault="00000000">
          <w:pPr>
            <w:pStyle w:val="TOC1"/>
            <w:tabs>
              <w:tab w:val="left" w:pos="440"/>
              <w:tab w:val="right" w:leader="dot" w:pos="9350"/>
            </w:tabs>
            <w:rPr>
              <w:rFonts w:eastAsiaTheme="minorEastAsia"/>
              <w:noProof/>
              <w:lang w:val="en-US"/>
            </w:rPr>
          </w:pPr>
          <w:hyperlink w:anchor="_Toc119934111" w:history="1">
            <w:r w:rsidR="00DF23F6" w:rsidRPr="000F1409">
              <w:rPr>
                <w:rStyle w:val="Hyperlink"/>
                <w:bCs/>
                <w:noProof/>
              </w:rPr>
              <w:t>3.</w:t>
            </w:r>
            <w:r w:rsidR="00DF23F6">
              <w:rPr>
                <w:rFonts w:eastAsiaTheme="minorEastAsia"/>
                <w:noProof/>
                <w:lang w:val="en-US"/>
              </w:rPr>
              <w:tab/>
            </w:r>
            <w:r w:rsidR="00DF23F6" w:rsidRPr="000F1409">
              <w:rPr>
                <w:rStyle w:val="Hyperlink"/>
                <w:noProof/>
              </w:rPr>
              <w:t>Portée</w:t>
            </w:r>
            <w:r w:rsidR="00DF23F6">
              <w:rPr>
                <w:noProof/>
                <w:webHidden/>
              </w:rPr>
              <w:tab/>
            </w:r>
            <w:r w:rsidR="00DF23F6">
              <w:rPr>
                <w:noProof/>
                <w:webHidden/>
              </w:rPr>
              <w:fldChar w:fldCharType="begin"/>
            </w:r>
            <w:r w:rsidR="00DF23F6">
              <w:rPr>
                <w:noProof/>
                <w:webHidden/>
              </w:rPr>
              <w:instrText xml:space="preserve"> PAGEREF _Toc119934111 \h </w:instrText>
            </w:r>
            <w:r w:rsidR="00DF23F6">
              <w:rPr>
                <w:noProof/>
                <w:webHidden/>
              </w:rPr>
            </w:r>
            <w:r w:rsidR="00DF23F6">
              <w:rPr>
                <w:noProof/>
                <w:webHidden/>
              </w:rPr>
              <w:fldChar w:fldCharType="separate"/>
            </w:r>
            <w:r w:rsidR="00DF23F6">
              <w:rPr>
                <w:noProof/>
                <w:webHidden/>
              </w:rPr>
              <w:t>3</w:t>
            </w:r>
            <w:r w:rsidR="00DF23F6">
              <w:rPr>
                <w:noProof/>
                <w:webHidden/>
              </w:rPr>
              <w:fldChar w:fldCharType="end"/>
            </w:r>
          </w:hyperlink>
        </w:p>
        <w:p w14:paraId="30288C74" w14:textId="4DDC98A0" w:rsidR="00DF23F6" w:rsidRDefault="00000000">
          <w:pPr>
            <w:pStyle w:val="TOC1"/>
            <w:tabs>
              <w:tab w:val="left" w:pos="660"/>
              <w:tab w:val="right" w:leader="dot" w:pos="9350"/>
            </w:tabs>
            <w:rPr>
              <w:rFonts w:eastAsiaTheme="minorEastAsia"/>
              <w:noProof/>
              <w:lang w:val="en-US"/>
            </w:rPr>
          </w:pPr>
          <w:hyperlink w:anchor="_Toc119934112" w:history="1">
            <w:r w:rsidR="00DF23F6" w:rsidRPr="000F1409">
              <w:rPr>
                <w:rStyle w:val="Hyperlink"/>
                <w:rFonts w:eastAsia="Times New Roman" w:cstheme="minorHAnsi"/>
                <w:bCs/>
                <w:noProof/>
              </w:rPr>
              <w:t>3.1</w:t>
            </w:r>
            <w:r w:rsidR="00DF23F6">
              <w:rPr>
                <w:rFonts w:eastAsiaTheme="minorEastAsia"/>
                <w:noProof/>
                <w:lang w:val="en-US"/>
              </w:rPr>
              <w:tab/>
            </w:r>
            <w:r w:rsidR="00DF23F6" w:rsidRPr="000F1409">
              <w:rPr>
                <w:rStyle w:val="Hyperlink"/>
                <w:noProof/>
              </w:rPr>
              <w:t>Demande</w:t>
            </w:r>
            <w:r w:rsidR="00DF23F6">
              <w:rPr>
                <w:noProof/>
                <w:webHidden/>
              </w:rPr>
              <w:tab/>
            </w:r>
            <w:r w:rsidR="00DF23F6">
              <w:rPr>
                <w:noProof/>
                <w:webHidden/>
              </w:rPr>
              <w:fldChar w:fldCharType="begin"/>
            </w:r>
            <w:r w:rsidR="00DF23F6">
              <w:rPr>
                <w:noProof/>
                <w:webHidden/>
              </w:rPr>
              <w:instrText xml:space="preserve"> PAGEREF _Toc119934112 \h </w:instrText>
            </w:r>
            <w:r w:rsidR="00DF23F6">
              <w:rPr>
                <w:noProof/>
                <w:webHidden/>
              </w:rPr>
            </w:r>
            <w:r w:rsidR="00DF23F6">
              <w:rPr>
                <w:noProof/>
                <w:webHidden/>
              </w:rPr>
              <w:fldChar w:fldCharType="separate"/>
            </w:r>
            <w:r w:rsidR="00DF23F6">
              <w:rPr>
                <w:noProof/>
                <w:webHidden/>
              </w:rPr>
              <w:t>3</w:t>
            </w:r>
            <w:r w:rsidR="00DF23F6">
              <w:rPr>
                <w:noProof/>
                <w:webHidden/>
              </w:rPr>
              <w:fldChar w:fldCharType="end"/>
            </w:r>
          </w:hyperlink>
        </w:p>
        <w:p w14:paraId="1EA10181" w14:textId="04726F7B" w:rsidR="00DF23F6" w:rsidRDefault="00000000">
          <w:pPr>
            <w:pStyle w:val="TOC1"/>
            <w:tabs>
              <w:tab w:val="left" w:pos="660"/>
              <w:tab w:val="right" w:leader="dot" w:pos="9350"/>
            </w:tabs>
            <w:rPr>
              <w:rFonts w:eastAsiaTheme="minorEastAsia"/>
              <w:noProof/>
              <w:lang w:val="en-US"/>
            </w:rPr>
          </w:pPr>
          <w:hyperlink w:anchor="_Toc119934113" w:history="1">
            <w:r w:rsidR="00DF23F6" w:rsidRPr="000F1409">
              <w:rPr>
                <w:rStyle w:val="Hyperlink"/>
                <w:bCs/>
                <w:noProof/>
              </w:rPr>
              <w:t>3.2</w:t>
            </w:r>
            <w:r w:rsidR="00DF23F6">
              <w:rPr>
                <w:rFonts w:eastAsiaTheme="minorEastAsia"/>
                <w:noProof/>
                <w:lang w:val="en-US"/>
              </w:rPr>
              <w:tab/>
            </w:r>
            <w:r w:rsidR="00DF23F6" w:rsidRPr="000F1409">
              <w:rPr>
                <w:rStyle w:val="Hyperlink"/>
                <w:noProof/>
              </w:rPr>
              <w:t>Dépenses admissibles</w:t>
            </w:r>
            <w:r w:rsidR="00DF23F6">
              <w:rPr>
                <w:noProof/>
                <w:webHidden/>
              </w:rPr>
              <w:tab/>
            </w:r>
            <w:r w:rsidR="00DF23F6">
              <w:rPr>
                <w:noProof/>
                <w:webHidden/>
              </w:rPr>
              <w:fldChar w:fldCharType="begin"/>
            </w:r>
            <w:r w:rsidR="00DF23F6">
              <w:rPr>
                <w:noProof/>
                <w:webHidden/>
              </w:rPr>
              <w:instrText xml:space="preserve"> PAGEREF _Toc119934113 \h </w:instrText>
            </w:r>
            <w:r w:rsidR="00DF23F6">
              <w:rPr>
                <w:noProof/>
                <w:webHidden/>
              </w:rPr>
            </w:r>
            <w:r w:rsidR="00DF23F6">
              <w:rPr>
                <w:noProof/>
                <w:webHidden/>
              </w:rPr>
              <w:fldChar w:fldCharType="separate"/>
            </w:r>
            <w:r w:rsidR="00DF23F6">
              <w:rPr>
                <w:noProof/>
                <w:webHidden/>
              </w:rPr>
              <w:t>3</w:t>
            </w:r>
            <w:r w:rsidR="00DF23F6">
              <w:rPr>
                <w:noProof/>
                <w:webHidden/>
              </w:rPr>
              <w:fldChar w:fldCharType="end"/>
            </w:r>
          </w:hyperlink>
        </w:p>
        <w:p w14:paraId="21C370A8" w14:textId="49185FBB" w:rsidR="00DF23F6" w:rsidRDefault="00000000">
          <w:pPr>
            <w:pStyle w:val="TOC1"/>
            <w:tabs>
              <w:tab w:val="left" w:pos="440"/>
              <w:tab w:val="right" w:leader="dot" w:pos="9350"/>
            </w:tabs>
            <w:rPr>
              <w:rFonts w:eastAsiaTheme="minorEastAsia"/>
              <w:noProof/>
              <w:lang w:val="en-US"/>
            </w:rPr>
          </w:pPr>
          <w:hyperlink w:anchor="_Toc119934114" w:history="1">
            <w:r w:rsidR="00DF23F6" w:rsidRPr="000F1409">
              <w:rPr>
                <w:rStyle w:val="Hyperlink"/>
                <w:rFonts w:eastAsia="Times New Roman"/>
                <w:bCs/>
                <w:noProof/>
              </w:rPr>
              <w:t>4.</w:t>
            </w:r>
            <w:r w:rsidR="00DF23F6">
              <w:rPr>
                <w:rFonts w:eastAsiaTheme="minorEastAsia"/>
                <w:noProof/>
                <w:lang w:val="en-US"/>
              </w:rPr>
              <w:tab/>
            </w:r>
            <w:r w:rsidR="00DF23F6" w:rsidRPr="000F1409">
              <w:rPr>
                <w:rStyle w:val="Hyperlink"/>
                <w:noProof/>
              </w:rPr>
              <w:t>Admissibilité et critères d’évaluation</w:t>
            </w:r>
            <w:r w:rsidR="00DF23F6">
              <w:rPr>
                <w:noProof/>
                <w:webHidden/>
              </w:rPr>
              <w:tab/>
            </w:r>
            <w:r w:rsidR="00DF23F6">
              <w:rPr>
                <w:noProof/>
                <w:webHidden/>
              </w:rPr>
              <w:fldChar w:fldCharType="begin"/>
            </w:r>
            <w:r w:rsidR="00DF23F6">
              <w:rPr>
                <w:noProof/>
                <w:webHidden/>
              </w:rPr>
              <w:instrText xml:space="preserve"> PAGEREF _Toc119934114 \h </w:instrText>
            </w:r>
            <w:r w:rsidR="00DF23F6">
              <w:rPr>
                <w:noProof/>
                <w:webHidden/>
              </w:rPr>
            </w:r>
            <w:r w:rsidR="00DF23F6">
              <w:rPr>
                <w:noProof/>
                <w:webHidden/>
              </w:rPr>
              <w:fldChar w:fldCharType="separate"/>
            </w:r>
            <w:r w:rsidR="00DF23F6">
              <w:rPr>
                <w:noProof/>
                <w:webHidden/>
              </w:rPr>
              <w:t>4</w:t>
            </w:r>
            <w:r w:rsidR="00DF23F6">
              <w:rPr>
                <w:noProof/>
                <w:webHidden/>
              </w:rPr>
              <w:fldChar w:fldCharType="end"/>
            </w:r>
          </w:hyperlink>
        </w:p>
        <w:p w14:paraId="61C598BF" w14:textId="22CC1EF6" w:rsidR="00DF23F6" w:rsidRDefault="00000000">
          <w:pPr>
            <w:pStyle w:val="TOC1"/>
            <w:tabs>
              <w:tab w:val="left" w:pos="660"/>
              <w:tab w:val="right" w:leader="dot" w:pos="9350"/>
            </w:tabs>
            <w:rPr>
              <w:rFonts w:eastAsiaTheme="minorEastAsia"/>
              <w:noProof/>
              <w:lang w:val="en-US"/>
            </w:rPr>
          </w:pPr>
          <w:hyperlink w:anchor="_Toc119934115" w:history="1">
            <w:r w:rsidR="00DF23F6" w:rsidRPr="000F1409">
              <w:rPr>
                <w:rStyle w:val="Hyperlink"/>
                <w:rFonts w:eastAsia="Times New Roman"/>
                <w:bCs/>
                <w:noProof/>
              </w:rPr>
              <w:t>4.1</w:t>
            </w:r>
            <w:r w:rsidR="00DF23F6">
              <w:rPr>
                <w:rFonts w:eastAsiaTheme="minorEastAsia"/>
                <w:noProof/>
                <w:lang w:val="en-US"/>
              </w:rPr>
              <w:tab/>
            </w:r>
            <w:r w:rsidR="00DF23F6" w:rsidRPr="000F1409">
              <w:rPr>
                <w:rStyle w:val="Hyperlink"/>
                <w:noProof/>
              </w:rPr>
              <w:t>Critères d’admissibilité</w:t>
            </w:r>
            <w:r w:rsidR="00DF23F6">
              <w:rPr>
                <w:noProof/>
                <w:webHidden/>
              </w:rPr>
              <w:tab/>
            </w:r>
            <w:r w:rsidR="00DF23F6">
              <w:rPr>
                <w:noProof/>
                <w:webHidden/>
              </w:rPr>
              <w:fldChar w:fldCharType="begin"/>
            </w:r>
            <w:r w:rsidR="00DF23F6">
              <w:rPr>
                <w:noProof/>
                <w:webHidden/>
              </w:rPr>
              <w:instrText xml:space="preserve"> PAGEREF _Toc119934115 \h </w:instrText>
            </w:r>
            <w:r w:rsidR="00DF23F6">
              <w:rPr>
                <w:noProof/>
                <w:webHidden/>
              </w:rPr>
            </w:r>
            <w:r w:rsidR="00DF23F6">
              <w:rPr>
                <w:noProof/>
                <w:webHidden/>
              </w:rPr>
              <w:fldChar w:fldCharType="separate"/>
            </w:r>
            <w:r w:rsidR="00DF23F6">
              <w:rPr>
                <w:noProof/>
                <w:webHidden/>
              </w:rPr>
              <w:t>4</w:t>
            </w:r>
            <w:r w:rsidR="00DF23F6">
              <w:rPr>
                <w:noProof/>
                <w:webHidden/>
              </w:rPr>
              <w:fldChar w:fldCharType="end"/>
            </w:r>
          </w:hyperlink>
        </w:p>
        <w:p w14:paraId="7481CEAB" w14:textId="7E3155B6" w:rsidR="00DF23F6" w:rsidRDefault="00000000">
          <w:pPr>
            <w:pStyle w:val="TOC1"/>
            <w:tabs>
              <w:tab w:val="left" w:pos="880"/>
              <w:tab w:val="right" w:leader="dot" w:pos="9350"/>
            </w:tabs>
            <w:rPr>
              <w:rFonts w:eastAsiaTheme="minorEastAsia"/>
              <w:noProof/>
              <w:lang w:val="en-US"/>
            </w:rPr>
          </w:pPr>
          <w:hyperlink w:anchor="_Toc119934116" w:history="1">
            <w:r w:rsidR="00DF23F6" w:rsidRPr="000F1409">
              <w:rPr>
                <w:rStyle w:val="Hyperlink"/>
                <w:rFonts w:eastAsia="Times New Roman"/>
                <w:bCs/>
                <w:noProof/>
              </w:rPr>
              <w:t>4.1.1</w:t>
            </w:r>
            <w:r w:rsidR="00DF23F6">
              <w:rPr>
                <w:rFonts w:eastAsiaTheme="minorEastAsia"/>
                <w:noProof/>
                <w:lang w:val="en-US"/>
              </w:rPr>
              <w:tab/>
            </w:r>
            <w:r w:rsidR="00DF23F6" w:rsidRPr="000F1409">
              <w:rPr>
                <w:rStyle w:val="Hyperlink"/>
                <w:noProof/>
              </w:rPr>
              <w:t>Expérimentation réglementaire</w:t>
            </w:r>
            <w:r w:rsidR="00DF23F6">
              <w:rPr>
                <w:noProof/>
                <w:webHidden/>
              </w:rPr>
              <w:tab/>
            </w:r>
            <w:r w:rsidR="00DF23F6">
              <w:rPr>
                <w:noProof/>
                <w:webHidden/>
              </w:rPr>
              <w:fldChar w:fldCharType="begin"/>
            </w:r>
            <w:r w:rsidR="00DF23F6">
              <w:rPr>
                <w:noProof/>
                <w:webHidden/>
              </w:rPr>
              <w:instrText xml:space="preserve"> PAGEREF _Toc119934116 \h </w:instrText>
            </w:r>
            <w:r w:rsidR="00DF23F6">
              <w:rPr>
                <w:noProof/>
                <w:webHidden/>
              </w:rPr>
            </w:r>
            <w:r w:rsidR="00DF23F6">
              <w:rPr>
                <w:noProof/>
                <w:webHidden/>
              </w:rPr>
              <w:fldChar w:fldCharType="separate"/>
            </w:r>
            <w:r w:rsidR="00DF23F6">
              <w:rPr>
                <w:noProof/>
                <w:webHidden/>
              </w:rPr>
              <w:t>4</w:t>
            </w:r>
            <w:r w:rsidR="00DF23F6">
              <w:rPr>
                <w:noProof/>
                <w:webHidden/>
              </w:rPr>
              <w:fldChar w:fldCharType="end"/>
            </w:r>
          </w:hyperlink>
        </w:p>
        <w:p w14:paraId="32E27CEB" w14:textId="317DD414" w:rsidR="00DF23F6" w:rsidRDefault="00000000">
          <w:pPr>
            <w:pStyle w:val="TOC1"/>
            <w:tabs>
              <w:tab w:val="left" w:pos="880"/>
              <w:tab w:val="right" w:leader="dot" w:pos="9350"/>
            </w:tabs>
            <w:rPr>
              <w:rFonts w:eastAsiaTheme="minorEastAsia"/>
              <w:noProof/>
              <w:lang w:val="en-US"/>
            </w:rPr>
          </w:pPr>
          <w:hyperlink w:anchor="_Toc119934117" w:history="1">
            <w:r w:rsidR="00DF23F6" w:rsidRPr="000F1409">
              <w:rPr>
                <w:rStyle w:val="Hyperlink"/>
                <w:noProof/>
              </w:rPr>
              <w:t>4.1.2</w:t>
            </w:r>
            <w:r w:rsidR="00DF23F6">
              <w:rPr>
                <w:rFonts w:eastAsiaTheme="minorEastAsia"/>
                <w:noProof/>
                <w:lang w:val="en-US"/>
              </w:rPr>
              <w:tab/>
            </w:r>
            <w:r w:rsidR="00DF23F6" w:rsidRPr="000F1409">
              <w:rPr>
                <w:rStyle w:val="Hyperlink"/>
                <w:noProof/>
              </w:rPr>
              <w:t>Types de problèmes ou de possibilités</w:t>
            </w:r>
            <w:r w:rsidR="00DF23F6">
              <w:rPr>
                <w:noProof/>
                <w:webHidden/>
              </w:rPr>
              <w:tab/>
            </w:r>
            <w:r w:rsidR="00DF23F6">
              <w:rPr>
                <w:noProof/>
                <w:webHidden/>
              </w:rPr>
              <w:fldChar w:fldCharType="begin"/>
            </w:r>
            <w:r w:rsidR="00DF23F6">
              <w:rPr>
                <w:noProof/>
                <w:webHidden/>
              </w:rPr>
              <w:instrText xml:space="preserve"> PAGEREF _Toc119934117 \h </w:instrText>
            </w:r>
            <w:r w:rsidR="00DF23F6">
              <w:rPr>
                <w:noProof/>
                <w:webHidden/>
              </w:rPr>
            </w:r>
            <w:r w:rsidR="00DF23F6">
              <w:rPr>
                <w:noProof/>
                <w:webHidden/>
              </w:rPr>
              <w:fldChar w:fldCharType="separate"/>
            </w:r>
            <w:r w:rsidR="00DF23F6">
              <w:rPr>
                <w:noProof/>
                <w:webHidden/>
              </w:rPr>
              <w:t>5</w:t>
            </w:r>
            <w:r w:rsidR="00DF23F6">
              <w:rPr>
                <w:noProof/>
                <w:webHidden/>
              </w:rPr>
              <w:fldChar w:fldCharType="end"/>
            </w:r>
          </w:hyperlink>
        </w:p>
        <w:p w14:paraId="35DF1485" w14:textId="734F8AF6" w:rsidR="00DF23F6" w:rsidRDefault="00000000" w:rsidP="00C0732D">
          <w:pPr>
            <w:pStyle w:val="TOC1"/>
            <w:tabs>
              <w:tab w:val="right" w:leader="dot" w:pos="9350"/>
            </w:tabs>
            <w:ind w:left="1560"/>
            <w:rPr>
              <w:rFonts w:eastAsiaTheme="minorEastAsia"/>
              <w:noProof/>
              <w:lang w:val="en-US"/>
            </w:rPr>
          </w:pPr>
          <w:hyperlink w:anchor="_Toc119934118" w:history="1">
            <w:r w:rsidR="00DF23F6" w:rsidRPr="000F1409">
              <w:rPr>
                <w:rStyle w:val="Hyperlink"/>
                <w:noProof/>
              </w:rPr>
              <w:t xml:space="preserve">Besoin </w:t>
            </w:r>
            <w:r w:rsidR="00C0732D">
              <w:rPr>
                <w:rStyle w:val="Hyperlink"/>
                <w:noProof/>
              </w:rPr>
              <w:t>de l’industrue</w:t>
            </w:r>
            <w:r w:rsidR="00DF23F6">
              <w:rPr>
                <w:noProof/>
                <w:webHidden/>
              </w:rPr>
              <w:tab/>
            </w:r>
            <w:r w:rsidR="00DF23F6">
              <w:rPr>
                <w:noProof/>
                <w:webHidden/>
              </w:rPr>
              <w:fldChar w:fldCharType="begin"/>
            </w:r>
            <w:r w:rsidR="00DF23F6">
              <w:rPr>
                <w:noProof/>
                <w:webHidden/>
              </w:rPr>
              <w:instrText xml:space="preserve"> PAGEREF _Toc119934118 \h </w:instrText>
            </w:r>
            <w:r w:rsidR="00DF23F6">
              <w:rPr>
                <w:noProof/>
                <w:webHidden/>
              </w:rPr>
            </w:r>
            <w:r w:rsidR="00DF23F6">
              <w:rPr>
                <w:noProof/>
                <w:webHidden/>
              </w:rPr>
              <w:fldChar w:fldCharType="separate"/>
            </w:r>
            <w:r w:rsidR="00DF23F6">
              <w:rPr>
                <w:noProof/>
                <w:webHidden/>
              </w:rPr>
              <w:t>5</w:t>
            </w:r>
            <w:r w:rsidR="00DF23F6">
              <w:rPr>
                <w:noProof/>
                <w:webHidden/>
              </w:rPr>
              <w:fldChar w:fldCharType="end"/>
            </w:r>
          </w:hyperlink>
        </w:p>
        <w:p w14:paraId="4A23014A" w14:textId="474D68FA" w:rsidR="00DF23F6" w:rsidRDefault="00000000" w:rsidP="00C0732D">
          <w:pPr>
            <w:pStyle w:val="TOC1"/>
            <w:tabs>
              <w:tab w:val="right" w:leader="dot" w:pos="9350"/>
            </w:tabs>
            <w:ind w:left="1560"/>
            <w:rPr>
              <w:rFonts w:eastAsiaTheme="minorEastAsia"/>
              <w:noProof/>
              <w:lang w:val="en-US"/>
            </w:rPr>
          </w:pPr>
          <w:hyperlink w:anchor="_Toc119934119" w:history="1">
            <w:r w:rsidR="00DF23F6" w:rsidRPr="000F1409">
              <w:rPr>
                <w:rStyle w:val="Hyperlink"/>
                <w:noProof/>
              </w:rPr>
              <w:t>Défi technologique</w:t>
            </w:r>
            <w:r w:rsidR="00DF23F6">
              <w:rPr>
                <w:noProof/>
                <w:webHidden/>
              </w:rPr>
              <w:tab/>
            </w:r>
            <w:r w:rsidR="00DF23F6">
              <w:rPr>
                <w:noProof/>
                <w:webHidden/>
              </w:rPr>
              <w:fldChar w:fldCharType="begin"/>
            </w:r>
            <w:r w:rsidR="00DF23F6">
              <w:rPr>
                <w:noProof/>
                <w:webHidden/>
              </w:rPr>
              <w:instrText xml:space="preserve"> PAGEREF _Toc119934119 \h </w:instrText>
            </w:r>
            <w:r w:rsidR="00DF23F6">
              <w:rPr>
                <w:noProof/>
                <w:webHidden/>
              </w:rPr>
            </w:r>
            <w:r w:rsidR="00DF23F6">
              <w:rPr>
                <w:noProof/>
                <w:webHidden/>
              </w:rPr>
              <w:fldChar w:fldCharType="separate"/>
            </w:r>
            <w:r w:rsidR="00DF23F6">
              <w:rPr>
                <w:noProof/>
                <w:webHidden/>
              </w:rPr>
              <w:t>5</w:t>
            </w:r>
            <w:r w:rsidR="00DF23F6">
              <w:rPr>
                <w:noProof/>
                <w:webHidden/>
              </w:rPr>
              <w:fldChar w:fldCharType="end"/>
            </w:r>
          </w:hyperlink>
        </w:p>
        <w:p w14:paraId="3BF55EF5" w14:textId="5ED5B0E2" w:rsidR="00DF23F6" w:rsidRDefault="00000000" w:rsidP="00C0732D">
          <w:pPr>
            <w:pStyle w:val="TOC1"/>
            <w:tabs>
              <w:tab w:val="right" w:leader="dot" w:pos="9350"/>
            </w:tabs>
            <w:ind w:left="1560"/>
            <w:rPr>
              <w:rFonts w:eastAsiaTheme="minorEastAsia"/>
              <w:noProof/>
              <w:lang w:val="en-US"/>
            </w:rPr>
          </w:pPr>
          <w:hyperlink w:anchor="_Toc119934120" w:history="1">
            <w:r w:rsidR="00DF23F6" w:rsidRPr="000F1409">
              <w:rPr>
                <w:rStyle w:val="Hyperlink"/>
                <w:noProof/>
              </w:rPr>
              <w:t>Possibilité sur le marché</w:t>
            </w:r>
            <w:r w:rsidR="00DF23F6">
              <w:rPr>
                <w:noProof/>
                <w:webHidden/>
              </w:rPr>
              <w:tab/>
            </w:r>
            <w:r w:rsidR="00DF23F6">
              <w:rPr>
                <w:noProof/>
                <w:webHidden/>
              </w:rPr>
              <w:fldChar w:fldCharType="begin"/>
            </w:r>
            <w:r w:rsidR="00DF23F6">
              <w:rPr>
                <w:noProof/>
                <w:webHidden/>
              </w:rPr>
              <w:instrText xml:space="preserve"> PAGEREF _Toc119934120 \h </w:instrText>
            </w:r>
            <w:r w:rsidR="00DF23F6">
              <w:rPr>
                <w:noProof/>
                <w:webHidden/>
              </w:rPr>
            </w:r>
            <w:r w:rsidR="00DF23F6">
              <w:rPr>
                <w:noProof/>
                <w:webHidden/>
              </w:rPr>
              <w:fldChar w:fldCharType="separate"/>
            </w:r>
            <w:r w:rsidR="00DF23F6">
              <w:rPr>
                <w:noProof/>
                <w:webHidden/>
              </w:rPr>
              <w:t>5</w:t>
            </w:r>
            <w:r w:rsidR="00DF23F6">
              <w:rPr>
                <w:noProof/>
                <w:webHidden/>
              </w:rPr>
              <w:fldChar w:fldCharType="end"/>
            </w:r>
          </w:hyperlink>
        </w:p>
        <w:p w14:paraId="4F48A622" w14:textId="59E39CEE" w:rsidR="00DF23F6" w:rsidRDefault="00000000">
          <w:pPr>
            <w:pStyle w:val="TOC1"/>
            <w:tabs>
              <w:tab w:val="left" w:pos="880"/>
              <w:tab w:val="right" w:leader="dot" w:pos="9350"/>
            </w:tabs>
            <w:rPr>
              <w:rFonts w:eastAsiaTheme="minorEastAsia"/>
              <w:noProof/>
              <w:lang w:val="en-US"/>
            </w:rPr>
          </w:pPr>
          <w:hyperlink w:anchor="_Toc119934121" w:history="1">
            <w:r w:rsidR="00DF23F6" w:rsidRPr="000F1409">
              <w:rPr>
                <w:rStyle w:val="Hyperlink"/>
                <w:rFonts w:eastAsia="Times New Roman"/>
                <w:bCs/>
                <w:noProof/>
              </w:rPr>
              <w:t>4.1.3</w:t>
            </w:r>
            <w:r w:rsidR="00DF23F6">
              <w:rPr>
                <w:rFonts w:eastAsiaTheme="minorEastAsia"/>
                <w:noProof/>
                <w:lang w:val="en-US"/>
              </w:rPr>
              <w:tab/>
            </w:r>
            <w:r w:rsidR="00DF23F6" w:rsidRPr="000F1409">
              <w:rPr>
                <w:rStyle w:val="Hyperlink"/>
                <w:noProof/>
              </w:rPr>
              <w:t>Innovation</w:t>
            </w:r>
            <w:r w:rsidR="00DF23F6">
              <w:rPr>
                <w:noProof/>
                <w:webHidden/>
              </w:rPr>
              <w:tab/>
            </w:r>
            <w:r w:rsidR="00DF23F6">
              <w:rPr>
                <w:noProof/>
                <w:webHidden/>
              </w:rPr>
              <w:fldChar w:fldCharType="begin"/>
            </w:r>
            <w:r w:rsidR="00DF23F6">
              <w:rPr>
                <w:noProof/>
                <w:webHidden/>
              </w:rPr>
              <w:instrText xml:space="preserve"> PAGEREF _Toc119934121 \h </w:instrText>
            </w:r>
            <w:r w:rsidR="00DF23F6">
              <w:rPr>
                <w:noProof/>
                <w:webHidden/>
              </w:rPr>
            </w:r>
            <w:r w:rsidR="00DF23F6">
              <w:rPr>
                <w:noProof/>
                <w:webHidden/>
              </w:rPr>
              <w:fldChar w:fldCharType="separate"/>
            </w:r>
            <w:r w:rsidR="00DF23F6">
              <w:rPr>
                <w:noProof/>
                <w:webHidden/>
              </w:rPr>
              <w:t>5</w:t>
            </w:r>
            <w:r w:rsidR="00DF23F6">
              <w:rPr>
                <w:noProof/>
                <w:webHidden/>
              </w:rPr>
              <w:fldChar w:fldCharType="end"/>
            </w:r>
          </w:hyperlink>
        </w:p>
        <w:p w14:paraId="311A4AFB" w14:textId="508BBDC8" w:rsidR="00DF23F6" w:rsidRDefault="00000000">
          <w:pPr>
            <w:pStyle w:val="TOC1"/>
            <w:tabs>
              <w:tab w:val="left" w:pos="660"/>
              <w:tab w:val="right" w:leader="dot" w:pos="9350"/>
            </w:tabs>
            <w:rPr>
              <w:rFonts w:eastAsiaTheme="minorEastAsia"/>
              <w:noProof/>
              <w:lang w:val="en-US"/>
            </w:rPr>
          </w:pPr>
          <w:hyperlink w:anchor="_Toc119934122" w:history="1">
            <w:r w:rsidR="00DF23F6" w:rsidRPr="000F1409">
              <w:rPr>
                <w:rStyle w:val="Hyperlink"/>
                <w:rFonts w:eastAsia="Times New Roman"/>
                <w:bCs/>
                <w:noProof/>
              </w:rPr>
              <w:t>4.2</w:t>
            </w:r>
            <w:r w:rsidR="00DF23F6">
              <w:rPr>
                <w:rFonts w:eastAsiaTheme="minorEastAsia"/>
                <w:noProof/>
                <w:lang w:val="en-US"/>
              </w:rPr>
              <w:tab/>
            </w:r>
            <w:r w:rsidR="00DF23F6" w:rsidRPr="000F1409">
              <w:rPr>
                <w:rStyle w:val="Hyperlink"/>
                <w:noProof/>
              </w:rPr>
              <w:t>Critères d’évaluation</w:t>
            </w:r>
            <w:r w:rsidR="00DF23F6">
              <w:rPr>
                <w:noProof/>
                <w:webHidden/>
              </w:rPr>
              <w:tab/>
            </w:r>
            <w:r w:rsidR="00DF23F6">
              <w:rPr>
                <w:noProof/>
                <w:webHidden/>
              </w:rPr>
              <w:fldChar w:fldCharType="begin"/>
            </w:r>
            <w:r w:rsidR="00DF23F6">
              <w:rPr>
                <w:noProof/>
                <w:webHidden/>
              </w:rPr>
              <w:instrText xml:space="preserve"> PAGEREF _Toc119934122 \h </w:instrText>
            </w:r>
            <w:r w:rsidR="00DF23F6">
              <w:rPr>
                <w:noProof/>
                <w:webHidden/>
              </w:rPr>
            </w:r>
            <w:r w:rsidR="00DF23F6">
              <w:rPr>
                <w:noProof/>
                <w:webHidden/>
              </w:rPr>
              <w:fldChar w:fldCharType="separate"/>
            </w:r>
            <w:r w:rsidR="00DF23F6">
              <w:rPr>
                <w:noProof/>
                <w:webHidden/>
              </w:rPr>
              <w:t>5</w:t>
            </w:r>
            <w:r w:rsidR="00DF23F6">
              <w:rPr>
                <w:noProof/>
                <w:webHidden/>
              </w:rPr>
              <w:fldChar w:fldCharType="end"/>
            </w:r>
          </w:hyperlink>
        </w:p>
        <w:p w14:paraId="58BB56D9" w14:textId="52FF0EFE" w:rsidR="00DF23F6" w:rsidRDefault="00000000">
          <w:pPr>
            <w:pStyle w:val="TOC1"/>
            <w:tabs>
              <w:tab w:val="left" w:pos="880"/>
              <w:tab w:val="right" w:leader="dot" w:pos="9350"/>
            </w:tabs>
            <w:rPr>
              <w:rFonts w:eastAsiaTheme="minorEastAsia"/>
              <w:noProof/>
              <w:lang w:val="en-US"/>
            </w:rPr>
          </w:pPr>
          <w:hyperlink w:anchor="_Toc119934123" w:history="1">
            <w:r w:rsidR="00DF23F6" w:rsidRPr="000F1409">
              <w:rPr>
                <w:rStyle w:val="Hyperlink"/>
                <w:rFonts w:eastAsia="Times New Roman" w:cstheme="minorHAnsi"/>
                <w:bCs/>
                <w:noProof/>
              </w:rPr>
              <w:t>4.2.1</w:t>
            </w:r>
            <w:r w:rsidR="00DF23F6">
              <w:rPr>
                <w:rFonts w:eastAsiaTheme="minorEastAsia"/>
                <w:noProof/>
                <w:lang w:val="en-US"/>
              </w:rPr>
              <w:tab/>
            </w:r>
            <w:r w:rsidR="00DF23F6" w:rsidRPr="000F1409">
              <w:rPr>
                <w:rStyle w:val="Hyperlink"/>
                <w:noProof/>
              </w:rPr>
              <w:t>Avantages pour le public :</w:t>
            </w:r>
            <w:r w:rsidR="00DF23F6">
              <w:rPr>
                <w:noProof/>
                <w:webHidden/>
              </w:rPr>
              <w:tab/>
            </w:r>
            <w:r w:rsidR="00DF23F6">
              <w:rPr>
                <w:noProof/>
                <w:webHidden/>
              </w:rPr>
              <w:fldChar w:fldCharType="begin"/>
            </w:r>
            <w:r w:rsidR="00DF23F6">
              <w:rPr>
                <w:noProof/>
                <w:webHidden/>
              </w:rPr>
              <w:instrText xml:space="preserve"> PAGEREF _Toc119934123 \h </w:instrText>
            </w:r>
            <w:r w:rsidR="00DF23F6">
              <w:rPr>
                <w:noProof/>
                <w:webHidden/>
              </w:rPr>
            </w:r>
            <w:r w:rsidR="00DF23F6">
              <w:rPr>
                <w:noProof/>
                <w:webHidden/>
              </w:rPr>
              <w:fldChar w:fldCharType="separate"/>
            </w:r>
            <w:r w:rsidR="00DF23F6">
              <w:rPr>
                <w:noProof/>
                <w:webHidden/>
              </w:rPr>
              <w:t>6</w:t>
            </w:r>
            <w:r w:rsidR="00DF23F6">
              <w:rPr>
                <w:noProof/>
                <w:webHidden/>
              </w:rPr>
              <w:fldChar w:fldCharType="end"/>
            </w:r>
          </w:hyperlink>
        </w:p>
        <w:p w14:paraId="25FFB09B" w14:textId="63127CD2" w:rsidR="00DF23F6" w:rsidRDefault="00000000">
          <w:pPr>
            <w:pStyle w:val="TOC1"/>
            <w:tabs>
              <w:tab w:val="left" w:pos="880"/>
              <w:tab w:val="right" w:leader="dot" w:pos="9350"/>
            </w:tabs>
            <w:rPr>
              <w:rFonts w:eastAsiaTheme="minorEastAsia"/>
              <w:noProof/>
              <w:lang w:val="en-US"/>
            </w:rPr>
          </w:pPr>
          <w:hyperlink w:anchor="_Toc119934124" w:history="1">
            <w:r w:rsidR="00DF23F6" w:rsidRPr="000F1409">
              <w:rPr>
                <w:rStyle w:val="Hyperlink"/>
                <w:rFonts w:eastAsia="Times New Roman" w:cstheme="minorHAnsi"/>
                <w:bCs/>
                <w:noProof/>
              </w:rPr>
              <w:t>4.2.2</w:t>
            </w:r>
            <w:r w:rsidR="00DF23F6">
              <w:rPr>
                <w:rFonts w:eastAsiaTheme="minorEastAsia"/>
                <w:noProof/>
                <w:lang w:val="en-US"/>
              </w:rPr>
              <w:tab/>
            </w:r>
            <w:r w:rsidR="00DF23F6" w:rsidRPr="000F1409">
              <w:rPr>
                <w:rStyle w:val="Hyperlink"/>
                <w:noProof/>
              </w:rPr>
              <w:t>Viabilité :</w:t>
            </w:r>
            <w:r w:rsidR="00DF23F6">
              <w:rPr>
                <w:noProof/>
                <w:webHidden/>
              </w:rPr>
              <w:tab/>
            </w:r>
            <w:r w:rsidR="00DF23F6">
              <w:rPr>
                <w:noProof/>
                <w:webHidden/>
              </w:rPr>
              <w:fldChar w:fldCharType="begin"/>
            </w:r>
            <w:r w:rsidR="00DF23F6">
              <w:rPr>
                <w:noProof/>
                <w:webHidden/>
              </w:rPr>
              <w:instrText xml:space="preserve"> PAGEREF _Toc119934124 \h </w:instrText>
            </w:r>
            <w:r w:rsidR="00DF23F6">
              <w:rPr>
                <w:noProof/>
                <w:webHidden/>
              </w:rPr>
            </w:r>
            <w:r w:rsidR="00DF23F6">
              <w:rPr>
                <w:noProof/>
                <w:webHidden/>
              </w:rPr>
              <w:fldChar w:fldCharType="separate"/>
            </w:r>
            <w:r w:rsidR="00DF23F6">
              <w:rPr>
                <w:noProof/>
                <w:webHidden/>
              </w:rPr>
              <w:t>6</w:t>
            </w:r>
            <w:r w:rsidR="00DF23F6">
              <w:rPr>
                <w:noProof/>
                <w:webHidden/>
              </w:rPr>
              <w:fldChar w:fldCharType="end"/>
            </w:r>
          </w:hyperlink>
        </w:p>
        <w:p w14:paraId="5D26E1C1" w14:textId="6FC5962A" w:rsidR="00DF23F6" w:rsidRDefault="00000000">
          <w:pPr>
            <w:pStyle w:val="TOC1"/>
            <w:tabs>
              <w:tab w:val="left" w:pos="440"/>
              <w:tab w:val="right" w:leader="dot" w:pos="9350"/>
            </w:tabs>
            <w:rPr>
              <w:rFonts w:eastAsiaTheme="minorEastAsia"/>
              <w:noProof/>
              <w:lang w:val="en-US"/>
            </w:rPr>
          </w:pPr>
          <w:hyperlink w:anchor="_Toc119934125" w:history="1">
            <w:r w:rsidR="00DF23F6" w:rsidRPr="000F1409">
              <w:rPr>
                <w:rStyle w:val="Hyperlink"/>
                <w:rFonts w:eastAsia="Times New Roman"/>
                <w:bCs/>
                <w:noProof/>
              </w:rPr>
              <w:t>5.</w:t>
            </w:r>
            <w:r w:rsidR="00DF23F6">
              <w:rPr>
                <w:rFonts w:eastAsiaTheme="minorEastAsia"/>
                <w:noProof/>
                <w:lang w:val="en-US"/>
              </w:rPr>
              <w:tab/>
            </w:r>
            <w:r w:rsidR="00DF23F6" w:rsidRPr="000F1409">
              <w:rPr>
                <w:rStyle w:val="Hyperlink"/>
                <w:noProof/>
              </w:rPr>
              <w:t>Processus de demande</w:t>
            </w:r>
            <w:r w:rsidR="00DF23F6">
              <w:rPr>
                <w:noProof/>
                <w:webHidden/>
              </w:rPr>
              <w:tab/>
            </w:r>
            <w:r w:rsidR="00DF23F6">
              <w:rPr>
                <w:noProof/>
                <w:webHidden/>
              </w:rPr>
              <w:fldChar w:fldCharType="begin"/>
            </w:r>
            <w:r w:rsidR="00DF23F6">
              <w:rPr>
                <w:noProof/>
                <w:webHidden/>
              </w:rPr>
              <w:instrText xml:space="preserve"> PAGEREF _Toc119934125 \h </w:instrText>
            </w:r>
            <w:r w:rsidR="00DF23F6">
              <w:rPr>
                <w:noProof/>
                <w:webHidden/>
              </w:rPr>
            </w:r>
            <w:r w:rsidR="00DF23F6">
              <w:rPr>
                <w:noProof/>
                <w:webHidden/>
              </w:rPr>
              <w:fldChar w:fldCharType="separate"/>
            </w:r>
            <w:r w:rsidR="00DF23F6">
              <w:rPr>
                <w:noProof/>
                <w:webHidden/>
              </w:rPr>
              <w:t>7</w:t>
            </w:r>
            <w:r w:rsidR="00DF23F6">
              <w:rPr>
                <w:noProof/>
                <w:webHidden/>
              </w:rPr>
              <w:fldChar w:fldCharType="end"/>
            </w:r>
          </w:hyperlink>
        </w:p>
        <w:p w14:paraId="37AF92D7" w14:textId="26F051BF" w:rsidR="00DF23F6" w:rsidRDefault="00000000">
          <w:pPr>
            <w:pStyle w:val="TOC1"/>
            <w:tabs>
              <w:tab w:val="left" w:pos="660"/>
              <w:tab w:val="right" w:leader="dot" w:pos="9350"/>
            </w:tabs>
            <w:rPr>
              <w:rFonts w:eastAsiaTheme="minorEastAsia"/>
              <w:noProof/>
              <w:lang w:val="en-US"/>
            </w:rPr>
          </w:pPr>
          <w:hyperlink w:anchor="_Toc119934126" w:history="1">
            <w:r w:rsidR="00DF23F6" w:rsidRPr="000F1409">
              <w:rPr>
                <w:rStyle w:val="Hyperlink"/>
                <w:rFonts w:eastAsia="Times New Roman"/>
                <w:bCs/>
                <w:noProof/>
              </w:rPr>
              <w:t>5.1</w:t>
            </w:r>
            <w:r w:rsidR="00DF23F6">
              <w:rPr>
                <w:rFonts w:eastAsiaTheme="minorEastAsia"/>
                <w:noProof/>
                <w:lang w:val="en-US"/>
              </w:rPr>
              <w:tab/>
            </w:r>
            <w:r w:rsidR="00DF23F6" w:rsidRPr="000F1409">
              <w:rPr>
                <w:rStyle w:val="Hyperlink"/>
                <w:noProof/>
              </w:rPr>
              <w:t>Déclaration d’intérêt</w:t>
            </w:r>
            <w:r w:rsidR="00DF23F6">
              <w:rPr>
                <w:noProof/>
                <w:webHidden/>
              </w:rPr>
              <w:tab/>
            </w:r>
            <w:r w:rsidR="00DF23F6">
              <w:rPr>
                <w:noProof/>
                <w:webHidden/>
              </w:rPr>
              <w:fldChar w:fldCharType="begin"/>
            </w:r>
            <w:r w:rsidR="00DF23F6">
              <w:rPr>
                <w:noProof/>
                <w:webHidden/>
              </w:rPr>
              <w:instrText xml:space="preserve"> PAGEREF _Toc119934126 \h </w:instrText>
            </w:r>
            <w:r w:rsidR="00DF23F6">
              <w:rPr>
                <w:noProof/>
                <w:webHidden/>
              </w:rPr>
            </w:r>
            <w:r w:rsidR="00DF23F6">
              <w:rPr>
                <w:noProof/>
                <w:webHidden/>
              </w:rPr>
              <w:fldChar w:fldCharType="separate"/>
            </w:r>
            <w:r w:rsidR="00DF23F6">
              <w:rPr>
                <w:noProof/>
                <w:webHidden/>
              </w:rPr>
              <w:t>7</w:t>
            </w:r>
            <w:r w:rsidR="00DF23F6">
              <w:rPr>
                <w:noProof/>
                <w:webHidden/>
              </w:rPr>
              <w:fldChar w:fldCharType="end"/>
            </w:r>
          </w:hyperlink>
        </w:p>
        <w:p w14:paraId="65A100E5" w14:textId="518B90FE" w:rsidR="00DF23F6" w:rsidRDefault="00000000">
          <w:pPr>
            <w:pStyle w:val="TOC1"/>
            <w:tabs>
              <w:tab w:val="left" w:pos="660"/>
              <w:tab w:val="right" w:leader="dot" w:pos="9350"/>
            </w:tabs>
            <w:rPr>
              <w:rFonts w:eastAsiaTheme="minorEastAsia"/>
              <w:noProof/>
              <w:lang w:val="en-US"/>
            </w:rPr>
          </w:pPr>
          <w:hyperlink w:anchor="_Toc119934127" w:history="1">
            <w:r w:rsidR="00DF23F6" w:rsidRPr="000F1409">
              <w:rPr>
                <w:rStyle w:val="Hyperlink"/>
                <w:rFonts w:eastAsia="Times New Roman" w:cstheme="minorHAnsi"/>
                <w:bCs/>
                <w:noProof/>
              </w:rPr>
              <w:t>5.2</w:t>
            </w:r>
            <w:r w:rsidR="00DF23F6">
              <w:rPr>
                <w:rFonts w:eastAsiaTheme="minorEastAsia"/>
                <w:noProof/>
                <w:lang w:val="en-US"/>
              </w:rPr>
              <w:tab/>
            </w:r>
            <w:r w:rsidR="00DF23F6" w:rsidRPr="000F1409">
              <w:rPr>
                <w:rStyle w:val="Hyperlink"/>
                <w:noProof/>
              </w:rPr>
              <w:t>Proposition</w:t>
            </w:r>
            <w:r w:rsidR="00DF23F6">
              <w:rPr>
                <w:noProof/>
                <w:webHidden/>
              </w:rPr>
              <w:tab/>
            </w:r>
            <w:r w:rsidR="00DF23F6">
              <w:rPr>
                <w:noProof/>
                <w:webHidden/>
              </w:rPr>
              <w:fldChar w:fldCharType="begin"/>
            </w:r>
            <w:r w:rsidR="00DF23F6">
              <w:rPr>
                <w:noProof/>
                <w:webHidden/>
              </w:rPr>
              <w:instrText xml:space="preserve"> PAGEREF _Toc119934127 \h </w:instrText>
            </w:r>
            <w:r w:rsidR="00DF23F6">
              <w:rPr>
                <w:noProof/>
                <w:webHidden/>
              </w:rPr>
            </w:r>
            <w:r w:rsidR="00DF23F6">
              <w:rPr>
                <w:noProof/>
                <w:webHidden/>
              </w:rPr>
              <w:fldChar w:fldCharType="separate"/>
            </w:r>
            <w:r w:rsidR="00DF23F6">
              <w:rPr>
                <w:noProof/>
                <w:webHidden/>
              </w:rPr>
              <w:t>7</w:t>
            </w:r>
            <w:r w:rsidR="00DF23F6">
              <w:rPr>
                <w:noProof/>
                <w:webHidden/>
              </w:rPr>
              <w:fldChar w:fldCharType="end"/>
            </w:r>
          </w:hyperlink>
        </w:p>
        <w:p w14:paraId="6CAC3345" w14:textId="61196795" w:rsidR="00DF23F6" w:rsidRDefault="00000000">
          <w:pPr>
            <w:pStyle w:val="TOC1"/>
            <w:tabs>
              <w:tab w:val="left" w:pos="660"/>
              <w:tab w:val="right" w:leader="dot" w:pos="9350"/>
            </w:tabs>
            <w:rPr>
              <w:rFonts w:eastAsiaTheme="minorEastAsia"/>
              <w:noProof/>
              <w:lang w:val="en-US"/>
            </w:rPr>
          </w:pPr>
          <w:hyperlink w:anchor="_Toc119934128" w:history="1">
            <w:r w:rsidR="00DF23F6" w:rsidRPr="000F1409">
              <w:rPr>
                <w:rStyle w:val="Hyperlink"/>
                <w:rFonts w:cstheme="minorHAnsi"/>
                <w:bCs/>
                <w:noProof/>
              </w:rPr>
              <w:t>5.3</w:t>
            </w:r>
            <w:r w:rsidR="00DF23F6">
              <w:rPr>
                <w:rFonts w:eastAsiaTheme="minorEastAsia"/>
                <w:noProof/>
                <w:lang w:val="en-US"/>
              </w:rPr>
              <w:tab/>
            </w:r>
            <w:r w:rsidR="00DF23F6" w:rsidRPr="000F1409">
              <w:rPr>
                <w:rStyle w:val="Hyperlink"/>
                <w:noProof/>
              </w:rPr>
              <w:t>Décisions de financement</w:t>
            </w:r>
            <w:r w:rsidR="00DF23F6">
              <w:rPr>
                <w:noProof/>
                <w:webHidden/>
              </w:rPr>
              <w:tab/>
            </w:r>
            <w:r w:rsidR="00DF23F6">
              <w:rPr>
                <w:noProof/>
                <w:webHidden/>
              </w:rPr>
              <w:fldChar w:fldCharType="begin"/>
            </w:r>
            <w:r w:rsidR="00DF23F6">
              <w:rPr>
                <w:noProof/>
                <w:webHidden/>
              </w:rPr>
              <w:instrText xml:space="preserve"> PAGEREF _Toc119934128 \h </w:instrText>
            </w:r>
            <w:r w:rsidR="00DF23F6">
              <w:rPr>
                <w:noProof/>
                <w:webHidden/>
              </w:rPr>
            </w:r>
            <w:r w:rsidR="00DF23F6">
              <w:rPr>
                <w:noProof/>
                <w:webHidden/>
              </w:rPr>
              <w:fldChar w:fldCharType="separate"/>
            </w:r>
            <w:r w:rsidR="00DF23F6">
              <w:rPr>
                <w:noProof/>
                <w:webHidden/>
              </w:rPr>
              <w:t>8</w:t>
            </w:r>
            <w:r w:rsidR="00DF23F6">
              <w:rPr>
                <w:noProof/>
                <w:webHidden/>
              </w:rPr>
              <w:fldChar w:fldCharType="end"/>
            </w:r>
          </w:hyperlink>
        </w:p>
        <w:p w14:paraId="2537D55B" w14:textId="44B2CA0A" w:rsidR="00DF23F6" w:rsidRDefault="00000000">
          <w:pPr>
            <w:pStyle w:val="TOC1"/>
            <w:tabs>
              <w:tab w:val="left" w:pos="660"/>
              <w:tab w:val="right" w:leader="dot" w:pos="9350"/>
            </w:tabs>
            <w:rPr>
              <w:rFonts w:eastAsiaTheme="minorEastAsia"/>
              <w:noProof/>
              <w:lang w:val="en-US"/>
            </w:rPr>
          </w:pPr>
          <w:hyperlink w:anchor="_Toc119934129" w:history="1">
            <w:r w:rsidR="00DF23F6" w:rsidRPr="000F1409">
              <w:rPr>
                <w:rStyle w:val="Hyperlink"/>
                <w:rFonts w:cstheme="minorHAnsi"/>
                <w:bCs/>
                <w:noProof/>
              </w:rPr>
              <w:t>5.4</w:t>
            </w:r>
            <w:r w:rsidR="00DF23F6">
              <w:rPr>
                <w:rFonts w:eastAsiaTheme="minorEastAsia"/>
                <w:noProof/>
                <w:lang w:val="en-US"/>
              </w:rPr>
              <w:tab/>
            </w:r>
            <w:r w:rsidR="00DF23F6" w:rsidRPr="000F1409">
              <w:rPr>
                <w:rStyle w:val="Hyperlink"/>
                <w:noProof/>
              </w:rPr>
              <w:t>Protocole d’entente</w:t>
            </w:r>
            <w:r w:rsidR="00DF23F6">
              <w:rPr>
                <w:noProof/>
                <w:webHidden/>
              </w:rPr>
              <w:tab/>
            </w:r>
            <w:r w:rsidR="00DF23F6">
              <w:rPr>
                <w:noProof/>
                <w:webHidden/>
              </w:rPr>
              <w:fldChar w:fldCharType="begin"/>
            </w:r>
            <w:r w:rsidR="00DF23F6">
              <w:rPr>
                <w:noProof/>
                <w:webHidden/>
              </w:rPr>
              <w:instrText xml:space="preserve"> PAGEREF _Toc119934129 \h </w:instrText>
            </w:r>
            <w:r w:rsidR="00DF23F6">
              <w:rPr>
                <w:noProof/>
                <w:webHidden/>
              </w:rPr>
            </w:r>
            <w:r w:rsidR="00DF23F6">
              <w:rPr>
                <w:noProof/>
                <w:webHidden/>
              </w:rPr>
              <w:fldChar w:fldCharType="separate"/>
            </w:r>
            <w:r w:rsidR="00DF23F6">
              <w:rPr>
                <w:noProof/>
                <w:webHidden/>
              </w:rPr>
              <w:t>8</w:t>
            </w:r>
            <w:r w:rsidR="00DF23F6">
              <w:rPr>
                <w:noProof/>
                <w:webHidden/>
              </w:rPr>
              <w:fldChar w:fldCharType="end"/>
            </w:r>
          </w:hyperlink>
        </w:p>
        <w:p w14:paraId="6A00BE20" w14:textId="7E775803" w:rsidR="00DF23F6" w:rsidRDefault="00000000">
          <w:pPr>
            <w:pStyle w:val="TOC1"/>
            <w:tabs>
              <w:tab w:val="left" w:pos="440"/>
              <w:tab w:val="right" w:leader="dot" w:pos="9350"/>
            </w:tabs>
            <w:rPr>
              <w:rFonts w:eastAsiaTheme="minorEastAsia"/>
              <w:noProof/>
              <w:lang w:val="en-US"/>
            </w:rPr>
          </w:pPr>
          <w:hyperlink w:anchor="_Toc119934130" w:history="1">
            <w:r w:rsidR="00DF23F6" w:rsidRPr="000F1409">
              <w:rPr>
                <w:rStyle w:val="Hyperlink"/>
                <w:rFonts w:eastAsia="Times New Roman"/>
                <w:bCs/>
                <w:noProof/>
              </w:rPr>
              <w:t>6.</w:t>
            </w:r>
            <w:r w:rsidR="00DF23F6">
              <w:rPr>
                <w:rFonts w:eastAsiaTheme="minorEastAsia"/>
                <w:noProof/>
                <w:lang w:val="en-US"/>
              </w:rPr>
              <w:tab/>
            </w:r>
            <w:r w:rsidR="00DF23F6" w:rsidRPr="000F1409">
              <w:rPr>
                <w:rStyle w:val="Hyperlink"/>
                <w:noProof/>
              </w:rPr>
              <w:t>Reddition de comptes</w:t>
            </w:r>
            <w:r w:rsidR="00DF23F6">
              <w:rPr>
                <w:noProof/>
                <w:webHidden/>
              </w:rPr>
              <w:tab/>
            </w:r>
            <w:r w:rsidR="00DF23F6">
              <w:rPr>
                <w:noProof/>
                <w:webHidden/>
              </w:rPr>
              <w:fldChar w:fldCharType="begin"/>
            </w:r>
            <w:r w:rsidR="00DF23F6">
              <w:rPr>
                <w:noProof/>
                <w:webHidden/>
              </w:rPr>
              <w:instrText xml:space="preserve"> PAGEREF _Toc119934130 \h </w:instrText>
            </w:r>
            <w:r w:rsidR="00DF23F6">
              <w:rPr>
                <w:noProof/>
                <w:webHidden/>
              </w:rPr>
            </w:r>
            <w:r w:rsidR="00DF23F6">
              <w:rPr>
                <w:noProof/>
                <w:webHidden/>
              </w:rPr>
              <w:fldChar w:fldCharType="separate"/>
            </w:r>
            <w:r w:rsidR="00DF23F6">
              <w:rPr>
                <w:noProof/>
                <w:webHidden/>
              </w:rPr>
              <w:t>8</w:t>
            </w:r>
            <w:r w:rsidR="00DF23F6">
              <w:rPr>
                <w:noProof/>
                <w:webHidden/>
              </w:rPr>
              <w:fldChar w:fldCharType="end"/>
            </w:r>
          </w:hyperlink>
        </w:p>
        <w:p w14:paraId="398AC910" w14:textId="0F36B536" w:rsidR="00DF23F6" w:rsidRDefault="00000000">
          <w:pPr>
            <w:pStyle w:val="TOC1"/>
            <w:tabs>
              <w:tab w:val="left" w:pos="440"/>
              <w:tab w:val="right" w:leader="dot" w:pos="9350"/>
            </w:tabs>
            <w:rPr>
              <w:rFonts w:eastAsiaTheme="minorEastAsia"/>
              <w:noProof/>
              <w:lang w:val="en-US"/>
            </w:rPr>
          </w:pPr>
          <w:hyperlink w:anchor="_Toc119934131" w:history="1">
            <w:r w:rsidR="00DF23F6" w:rsidRPr="000F1409">
              <w:rPr>
                <w:rStyle w:val="Hyperlink"/>
                <w:bCs/>
                <w:noProof/>
              </w:rPr>
              <w:t>7.</w:t>
            </w:r>
            <w:r w:rsidR="00DF23F6">
              <w:rPr>
                <w:rFonts w:eastAsiaTheme="minorEastAsia"/>
                <w:noProof/>
                <w:lang w:val="en-US"/>
              </w:rPr>
              <w:tab/>
            </w:r>
            <w:r w:rsidR="00DF23F6" w:rsidRPr="000F1409">
              <w:rPr>
                <w:rStyle w:val="Hyperlink"/>
                <w:noProof/>
              </w:rPr>
              <w:t>Leçons apprises</w:t>
            </w:r>
            <w:r w:rsidR="00DF23F6">
              <w:rPr>
                <w:noProof/>
                <w:webHidden/>
              </w:rPr>
              <w:tab/>
            </w:r>
            <w:r w:rsidR="00DF23F6">
              <w:rPr>
                <w:noProof/>
                <w:webHidden/>
              </w:rPr>
              <w:fldChar w:fldCharType="begin"/>
            </w:r>
            <w:r w:rsidR="00DF23F6">
              <w:rPr>
                <w:noProof/>
                <w:webHidden/>
              </w:rPr>
              <w:instrText xml:space="preserve"> PAGEREF _Toc119934131 \h </w:instrText>
            </w:r>
            <w:r w:rsidR="00DF23F6">
              <w:rPr>
                <w:noProof/>
                <w:webHidden/>
              </w:rPr>
            </w:r>
            <w:r w:rsidR="00DF23F6">
              <w:rPr>
                <w:noProof/>
                <w:webHidden/>
              </w:rPr>
              <w:fldChar w:fldCharType="separate"/>
            </w:r>
            <w:r w:rsidR="00DF23F6">
              <w:rPr>
                <w:noProof/>
                <w:webHidden/>
              </w:rPr>
              <w:t>8</w:t>
            </w:r>
            <w:r w:rsidR="00DF23F6">
              <w:rPr>
                <w:noProof/>
                <w:webHidden/>
              </w:rPr>
              <w:fldChar w:fldCharType="end"/>
            </w:r>
          </w:hyperlink>
        </w:p>
        <w:p w14:paraId="1C5032D2" w14:textId="60D39869" w:rsidR="00DF23F6" w:rsidRDefault="00000000">
          <w:pPr>
            <w:pStyle w:val="TOC1"/>
            <w:tabs>
              <w:tab w:val="left" w:pos="440"/>
              <w:tab w:val="right" w:leader="dot" w:pos="9350"/>
            </w:tabs>
            <w:rPr>
              <w:rFonts w:eastAsiaTheme="minorEastAsia"/>
              <w:noProof/>
              <w:lang w:val="en-US"/>
            </w:rPr>
          </w:pPr>
          <w:hyperlink w:anchor="_Toc119934132" w:history="1">
            <w:r w:rsidR="00DF23F6" w:rsidRPr="000F1409">
              <w:rPr>
                <w:rStyle w:val="Hyperlink"/>
                <w:rFonts w:eastAsia="Times New Roman"/>
                <w:bCs/>
                <w:noProof/>
              </w:rPr>
              <w:t>8.</w:t>
            </w:r>
            <w:r w:rsidR="00DF23F6">
              <w:rPr>
                <w:rFonts w:eastAsiaTheme="minorEastAsia"/>
                <w:noProof/>
                <w:lang w:val="en-US"/>
              </w:rPr>
              <w:tab/>
            </w:r>
            <w:r w:rsidR="00DF23F6" w:rsidRPr="000F1409">
              <w:rPr>
                <w:rStyle w:val="Hyperlink"/>
                <w:noProof/>
              </w:rPr>
              <w:t>Personne-ressource</w:t>
            </w:r>
            <w:r w:rsidR="00DF23F6">
              <w:rPr>
                <w:noProof/>
                <w:webHidden/>
              </w:rPr>
              <w:tab/>
            </w:r>
            <w:r w:rsidR="00DF23F6">
              <w:rPr>
                <w:noProof/>
                <w:webHidden/>
              </w:rPr>
              <w:fldChar w:fldCharType="begin"/>
            </w:r>
            <w:r w:rsidR="00DF23F6">
              <w:rPr>
                <w:noProof/>
                <w:webHidden/>
              </w:rPr>
              <w:instrText xml:space="preserve"> PAGEREF _Toc119934132 \h </w:instrText>
            </w:r>
            <w:r w:rsidR="00DF23F6">
              <w:rPr>
                <w:noProof/>
                <w:webHidden/>
              </w:rPr>
            </w:r>
            <w:r w:rsidR="00DF23F6">
              <w:rPr>
                <w:noProof/>
                <w:webHidden/>
              </w:rPr>
              <w:fldChar w:fldCharType="separate"/>
            </w:r>
            <w:r w:rsidR="00DF23F6">
              <w:rPr>
                <w:noProof/>
                <w:webHidden/>
              </w:rPr>
              <w:t>9</w:t>
            </w:r>
            <w:r w:rsidR="00DF23F6">
              <w:rPr>
                <w:noProof/>
                <w:webHidden/>
              </w:rPr>
              <w:fldChar w:fldCharType="end"/>
            </w:r>
          </w:hyperlink>
        </w:p>
        <w:p w14:paraId="20310BDF" w14:textId="4BBA6B1E" w:rsidR="00BB6AA2" w:rsidRPr="009A7B80" w:rsidRDefault="00BB6AA2">
          <w:r w:rsidRPr="009A7B80">
            <w:rPr>
              <w:b/>
              <w:bCs/>
            </w:rPr>
            <w:fldChar w:fldCharType="end"/>
          </w:r>
        </w:p>
      </w:sdtContent>
    </w:sdt>
    <w:p w14:paraId="3A6B1AA9" w14:textId="6FBED0C5" w:rsidR="00BB6AA2" w:rsidRPr="009A7B80" w:rsidRDefault="00BB6AA2">
      <w:pPr>
        <w:rPr>
          <w:rFonts w:asciiTheme="majorHAnsi" w:eastAsiaTheme="majorEastAsia" w:hAnsiTheme="majorHAnsi" w:cstheme="majorBidi"/>
          <w:b/>
          <w:sz w:val="24"/>
          <w:szCs w:val="32"/>
        </w:rPr>
      </w:pPr>
      <w:r>
        <w:br w:type="page"/>
      </w:r>
    </w:p>
    <w:p w14:paraId="620DDFF5" w14:textId="21511DC6" w:rsidR="00D30B5B" w:rsidRPr="009A7B80" w:rsidRDefault="00D30B5B" w:rsidP="00D30B5B">
      <w:pPr>
        <w:pStyle w:val="Heading1"/>
        <w:numPr>
          <w:ilvl w:val="0"/>
          <w:numId w:val="15"/>
        </w:numPr>
        <w:ind w:left="0" w:hanging="284"/>
        <w:rPr>
          <w:sz w:val="28"/>
          <w:szCs w:val="36"/>
        </w:rPr>
      </w:pPr>
      <w:bookmarkStart w:id="0" w:name="_Toc119934109"/>
      <w:r>
        <w:rPr>
          <w:sz w:val="28"/>
          <w:szCs w:val="36"/>
        </w:rPr>
        <w:lastRenderedPageBreak/>
        <w:t>But</w:t>
      </w:r>
      <w:bookmarkEnd w:id="0"/>
      <w:r>
        <w:rPr>
          <w:sz w:val="28"/>
          <w:szCs w:val="36"/>
        </w:rPr>
        <w:t xml:space="preserve"> </w:t>
      </w:r>
    </w:p>
    <w:p w14:paraId="727F6004" w14:textId="4B802591" w:rsidR="00C04B5C" w:rsidRPr="009A7B80" w:rsidRDefault="00D30B5B">
      <w:pPr>
        <w:shd w:val="clear" w:color="auto" w:fill="FFFFFF"/>
        <w:spacing w:after="0" w:line="240" w:lineRule="auto"/>
        <w:rPr>
          <w:rFonts w:eastAsia="Times New Roman" w:cstheme="minorHAnsi"/>
        </w:rPr>
      </w:pPr>
      <w:r>
        <w:t>L</w:t>
      </w:r>
      <w:r w:rsidR="003C06B1">
        <w:t>’</w:t>
      </w:r>
      <w:r>
        <w:t>objectif du présent guide consiste à décrire :</w:t>
      </w:r>
    </w:p>
    <w:p w14:paraId="766870DB" w14:textId="14DE9E6A" w:rsidR="00D30B5B" w:rsidRPr="009A7B80" w:rsidRDefault="00D30B5B" w:rsidP="00C04B5C">
      <w:pPr>
        <w:pStyle w:val="ListParagraph"/>
        <w:numPr>
          <w:ilvl w:val="0"/>
          <w:numId w:val="1"/>
        </w:numPr>
        <w:shd w:val="clear" w:color="auto" w:fill="FFFFFF"/>
        <w:spacing w:after="0" w:line="240" w:lineRule="auto"/>
        <w:ind w:left="709"/>
        <w:rPr>
          <w:rFonts w:eastAsia="Times New Roman" w:cstheme="minorHAnsi"/>
        </w:rPr>
      </w:pPr>
      <w:proofErr w:type="gramStart"/>
      <w:r>
        <w:t>le</w:t>
      </w:r>
      <w:proofErr w:type="gramEnd"/>
      <w:r>
        <w:t xml:space="preserve"> Fonds pour les dépenses d</w:t>
      </w:r>
      <w:r w:rsidR="003C06B1">
        <w:t>’</w:t>
      </w:r>
      <w:r>
        <w:t>expérimentation réglementaire (FDER);</w:t>
      </w:r>
    </w:p>
    <w:p w14:paraId="3F343714" w14:textId="5629DA4F" w:rsidR="00E9553E" w:rsidRPr="009A7B80" w:rsidRDefault="00E9553E" w:rsidP="00C04B5C">
      <w:pPr>
        <w:pStyle w:val="ListParagraph"/>
        <w:numPr>
          <w:ilvl w:val="0"/>
          <w:numId w:val="1"/>
        </w:numPr>
        <w:shd w:val="clear" w:color="auto" w:fill="FFFFFF"/>
        <w:spacing w:after="0" w:line="240" w:lineRule="auto"/>
        <w:ind w:left="709"/>
      </w:pPr>
      <w:proofErr w:type="gramStart"/>
      <w:r>
        <w:t>la</w:t>
      </w:r>
      <w:proofErr w:type="gramEnd"/>
      <w:r>
        <w:t xml:space="preserve"> façon de présenter une demande au FDER;</w:t>
      </w:r>
    </w:p>
    <w:p w14:paraId="3EA9CF23" w14:textId="54928827" w:rsidR="00D30B5B" w:rsidRPr="009A7B80" w:rsidRDefault="000C5982" w:rsidP="00D30B5B">
      <w:pPr>
        <w:pStyle w:val="ListParagraph"/>
        <w:numPr>
          <w:ilvl w:val="0"/>
          <w:numId w:val="1"/>
        </w:numPr>
        <w:shd w:val="clear" w:color="auto" w:fill="FFFFFF"/>
        <w:spacing w:after="0" w:line="240" w:lineRule="auto"/>
        <w:ind w:left="709"/>
      </w:pPr>
      <w:proofErr w:type="gramStart"/>
      <w:r>
        <w:t>le</w:t>
      </w:r>
      <w:proofErr w:type="gramEnd"/>
      <w:r>
        <w:t xml:space="preserve"> processus d</w:t>
      </w:r>
      <w:r w:rsidR="003C06B1">
        <w:t>’</w:t>
      </w:r>
      <w:r>
        <w:t>évaluation et de sélection.</w:t>
      </w:r>
    </w:p>
    <w:p w14:paraId="6C991422" w14:textId="77777777" w:rsidR="00885F88" w:rsidRPr="009A7B80" w:rsidRDefault="00885F88" w:rsidP="00D83194">
      <w:pPr>
        <w:pStyle w:val="ListParagraph"/>
        <w:shd w:val="clear" w:color="auto" w:fill="FFFFFF"/>
        <w:spacing w:after="0" w:line="240" w:lineRule="auto"/>
        <w:ind w:left="709"/>
        <w:rPr>
          <w:lang w:eastAsia="en-CA"/>
        </w:rPr>
      </w:pPr>
    </w:p>
    <w:p w14:paraId="45CEE021" w14:textId="77777777" w:rsidR="00885F88" w:rsidRPr="009A7B80" w:rsidRDefault="00885F88" w:rsidP="00885F88">
      <w:pPr>
        <w:pStyle w:val="Heading1"/>
        <w:numPr>
          <w:ilvl w:val="0"/>
          <w:numId w:val="15"/>
        </w:numPr>
        <w:ind w:left="0" w:hanging="284"/>
        <w:rPr>
          <w:sz w:val="28"/>
          <w:szCs w:val="36"/>
        </w:rPr>
      </w:pPr>
      <w:bookmarkStart w:id="1" w:name="_Toc119934110"/>
      <w:r>
        <w:rPr>
          <w:sz w:val="28"/>
          <w:szCs w:val="36"/>
        </w:rPr>
        <w:t>Objectif du FDER</w:t>
      </w:r>
      <w:bookmarkEnd w:id="1"/>
    </w:p>
    <w:p w14:paraId="4FBABD9F" w14:textId="66C9897C" w:rsidR="00885F88" w:rsidRPr="009A7B80" w:rsidRDefault="00885F88" w:rsidP="004F19A9">
      <w:pPr>
        <w:shd w:val="clear" w:color="auto" w:fill="FFFFFF"/>
        <w:spacing w:after="0" w:line="240" w:lineRule="auto"/>
      </w:pPr>
      <w:r>
        <w:t>Le Centre d</w:t>
      </w:r>
      <w:r w:rsidR="003C06B1">
        <w:t>’</w:t>
      </w:r>
      <w:r>
        <w:t>innovation en matière de réglementation (CIR) administre le FDER dans le cadre de son mandat consistant à appuyer une approche pangouvernementale de l</w:t>
      </w:r>
      <w:r w:rsidR="003C06B1">
        <w:t>’</w:t>
      </w:r>
      <w:r>
        <w:t>expérimentation réglementaire. Il s</w:t>
      </w:r>
      <w:r w:rsidR="003C06B1">
        <w:t>’</w:t>
      </w:r>
      <w:r>
        <w:t>agit notamment de créer des occasions d</w:t>
      </w:r>
      <w:r w:rsidR="003C06B1">
        <w:t>’</w:t>
      </w:r>
      <w:r>
        <w:t>expérimentation réglementaire et d</w:t>
      </w:r>
      <w:r w:rsidR="003C06B1">
        <w:t>’</w:t>
      </w:r>
      <w:r>
        <w:t>aider les organismes de réglementation fédéraux à intégrer les leçons tirées de l</w:t>
      </w:r>
      <w:r w:rsidR="003C06B1">
        <w:t>’</w:t>
      </w:r>
      <w:r>
        <w:t>expérimentation dans la conception et l</w:t>
      </w:r>
      <w:r w:rsidR="003C06B1">
        <w:t>’</w:t>
      </w:r>
      <w:r>
        <w:t xml:space="preserve">administration de leurs règlements. </w:t>
      </w:r>
    </w:p>
    <w:p w14:paraId="38C7EB7C" w14:textId="77777777" w:rsidR="00885F88" w:rsidRPr="00AF4316" w:rsidRDefault="00885F88" w:rsidP="004F19A9">
      <w:pPr>
        <w:shd w:val="clear" w:color="auto" w:fill="FFFFFF"/>
        <w:spacing w:after="0" w:line="240" w:lineRule="auto"/>
      </w:pPr>
    </w:p>
    <w:p w14:paraId="260BEB1D" w14:textId="5B65FD9D" w:rsidR="00885F88" w:rsidRPr="009A7B80" w:rsidRDefault="00885F88" w:rsidP="004F19A9">
      <w:pPr>
        <w:shd w:val="clear" w:color="auto" w:fill="FFFFFF"/>
        <w:spacing w:after="0" w:line="240" w:lineRule="auto"/>
      </w:pPr>
      <w:r>
        <w:t>À cette fin, le FDER cherche à aider les ministères à :</w:t>
      </w:r>
    </w:p>
    <w:p w14:paraId="5548E9F4" w14:textId="06E5023B" w:rsidR="001B23CA" w:rsidRPr="009A7B80" w:rsidRDefault="001B23CA" w:rsidP="001B23CA">
      <w:pPr>
        <w:pStyle w:val="ListParagraph"/>
        <w:numPr>
          <w:ilvl w:val="0"/>
          <w:numId w:val="22"/>
        </w:numPr>
        <w:shd w:val="clear" w:color="auto" w:fill="FFFFFF"/>
        <w:spacing w:after="0" w:line="240" w:lineRule="auto"/>
      </w:pPr>
      <w:proofErr w:type="gramStart"/>
      <w:r>
        <w:t>concevoir</w:t>
      </w:r>
      <w:proofErr w:type="gramEnd"/>
      <w:r>
        <w:t xml:space="preserve"> une expérience réglementaire; </w:t>
      </w:r>
    </w:p>
    <w:p w14:paraId="45F668DB" w14:textId="275CD3E7" w:rsidR="001852A1" w:rsidRPr="009A7B80" w:rsidRDefault="001852A1" w:rsidP="001852A1">
      <w:pPr>
        <w:pStyle w:val="ListParagraph"/>
        <w:numPr>
          <w:ilvl w:val="0"/>
          <w:numId w:val="22"/>
        </w:numPr>
        <w:shd w:val="clear" w:color="auto" w:fill="FFFFFF"/>
        <w:spacing w:after="0" w:line="240" w:lineRule="auto"/>
      </w:pPr>
      <w:proofErr w:type="gramStart"/>
      <w:r>
        <w:t>déterminer</w:t>
      </w:r>
      <w:proofErr w:type="gramEnd"/>
      <w:r>
        <w:t xml:space="preserve"> si expéri</w:t>
      </w:r>
      <w:r w:rsidR="00C0732D">
        <w:t>menter</w:t>
      </w:r>
      <w:r>
        <w:t xml:space="preserve"> pourrait contribuer à solutionner un problème particulier;</w:t>
      </w:r>
    </w:p>
    <w:p w14:paraId="78A58376" w14:textId="4821CE07" w:rsidR="001852A1" w:rsidRPr="009A7B80" w:rsidRDefault="001852A1" w:rsidP="008951FE">
      <w:pPr>
        <w:pStyle w:val="ListParagraph"/>
        <w:numPr>
          <w:ilvl w:val="0"/>
          <w:numId w:val="22"/>
        </w:numPr>
        <w:shd w:val="clear" w:color="auto" w:fill="FFFFFF"/>
        <w:spacing w:after="0" w:line="240" w:lineRule="auto"/>
      </w:pPr>
      <w:proofErr w:type="gramStart"/>
      <w:r>
        <w:t>mener</w:t>
      </w:r>
      <w:proofErr w:type="gramEnd"/>
      <w:r>
        <w:t xml:space="preserve"> des expériences réglementaires.</w:t>
      </w:r>
    </w:p>
    <w:p w14:paraId="53E9CBF7" w14:textId="2627A883" w:rsidR="005049AD" w:rsidRPr="009A7B80" w:rsidRDefault="005049AD" w:rsidP="005049AD">
      <w:pPr>
        <w:shd w:val="clear" w:color="auto" w:fill="FFFFFF"/>
        <w:spacing w:after="0" w:line="240" w:lineRule="auto"/>
      </w:pPr>
    </w:p>
    <w:p w14:paraId="5A787B09" w14:textId="0FBF8FB2" w:rsidR="000844BF" w:rsidRPr="009A7B80" w:rsidRDefault="000844BF" w:rsidP="009E0728">
      <w:pPr>
        <w:shd w:val="clear" w:color="auto" w:fill="FFFFFF"/>
        <w:spacing w:after="0" w:line="240" w:lineRule="auto"/>
      </w:pPr>
      <w:r>
        <w:t>Les ministères recevant un financement du FDER pourront également compter sur l</w:t>
      </w:r>
      <w:r w:rsidR="003C06B1">
        <w:t>’</w:t>
      </w:r>
      <w:r>
        <w:t>expertise, le soutien et les conseils du CIR afin de concevoir et de mettre en œuvre leur projet, sur demande, dans l</w:t>
      </w:r>
      <w:r w:rsidR="003C06B1">
        <w:t>’</w:t>
      </w:r>
      <w:r>
        <w:t>objectif d</w:t>
      </w:r>
      <w:r w:rsidR="003C06B1">
        <w:t>’</w:t>
      </w:r>
      <w:r>
        <w:t>atteindre les résultats souhaités de l</w:t>
      </w:r>
      <w:r w:rsidR="003C06B1">
        <w:t>’</w:t>
      </w:r>
      <w:r>
        <w:t>expérience ou du projet préalable à l</w:t>
      </w:r>
      <w:r w:rsidR="003C06B1">
        <w:t>’</w:t>
      </w:r>
      <w:r>
        <w:t>expérimentation.</w:t>
      </w:r>
    </w:p>
    <w:p w14:paraId="3CA1AB27" w14:textId="7E65DC1A" w:rsidR="004F19A9" w:rsidRPr="009A7B80" w:rsidRDefault="004F19A9" w:rsidP="00576C1F">
      <w:pPr>
        <w:pStyle w:val="Heading1"/>
        <w:numPr>
          <w:ilvl w:val="0"/>
          <w:numId w:val="15"/>
        </w:numPr>
        <w:ind w:left="0" w:hanging="284"/>
        <w:rPr>
          <w:sz w:val="28"/>
          <w:szCs w:val="36"/>
        </w:rPr>
      </w:pPr>
      <w:bookmarkStart w:id="2" w:name="_Toc119934111"/>
      <w:r>
        <w:rPr>
          <w:sz w:val="28"/>
          <w:szCs w:val="36"/>
        </w:rPr>
        <w:t>Portée</w:t>
      </w:r>
      <w:bookmarkEnd w:id="2"/>
      <w:r>
        <w:rPr>
          <w:sz w:val="28"/>
          <w:szCs w:val="36"/>
        </w:rPr>
        <w:t xml:space="preserve"> </w:t>
      </w:r>
    </w:p>
    <w:p w14:paraId="39B35731" w14:textId="6144E845" w:rsidR="00365826" w:rsidRPr="009A7B80" w:rsidRDefault="00365826" w:rsidP="00365826">
      <w:pPr>
        <w:pStyle w:val="Heading1"/>
        <w:numPr>
          <w:ilvl w:val="1"/>
          <w:numId w:val="15"/>
        </w:numPr>
        <w:ind w:left="0" w:hanging="426"/>
        <w:rPr>
          <w:rFonts w:eastAsia="Times New Roman" w:cstheme="minorHAnsi"/>
        </w:rPr>
      </w:pPr>
      <w:bookmarkStart w:id="3" w:name="_Toc119934112"/>
      <w:r>
        <w:t>Demande</w:t>
      </w:r>
      <w:bookmarkEnd w:id="3"/>
    </w:p>
    <w:p w14:paraId="1B55BEBC" w14:textId="336553FB" w:rsidR="00D30B5B" w:rsidRPr="009A7B80" w:rsidRDefault="00376EAF" w:rsidP="00A4377A">
      <w:pPr>
        <w:rPr>
          <w:rFonts w:eastAsia="Times New Roman" w:cstheme="minorHAnsi"/>
        </w:rPr>
      </w:pPr>
      <w:r>
        <w:t>Les demandes peuvent être soumises au FDER par des organismes de réglementation fédéraux, notamment les ministères, les organismes et les organisations. Les projets d</w:t>
      </w:r>
      <w:r w:rsidR="003C06B1">
        <w:t>’</w:t>
      </w:r>
      <w:r>
        <w:t>expérimentation peuvent inclure la participation d</w:t>
      </w:r>
      <w:r w:rsidR="003C06B1">
        <w:t>’</w:t>
      </w:r>
      <w:r>
        <w:t>entreprises, d</w:t>
      </w:r>
      <w:r w:rsidR="003C06B1">
        <w:t>’</w:t>
      </w:r>
      <w:r>
        <w:t>autres administrations comme les provinces et territoires ou les municipalités, ou d</w:t>
      </w:r>
      <w:r w:rsidR="003C06B1">
        <w:t>’</w:t>
      </w:r>
      <w:r>
        <w:t xml:space="preserve">autres intervenants externes. Cependant, toutes les demandes doivent être soumises par une entité du gouvernement du Canada. </w:t>
      </w:r>
    </w:p>
    <w:p w14:paraId="667A8B70" w14:textId="722FD303" w:rsidR="00D30B5B" w:rsidRPr="009A7B80" w:rsidRDefault="00D30B5B" w:rsidP="00F6618E">
      <w:pPr>
        <w:pStyle w:val="Heading1"/>
        <w:numPr>
          <w:ilvl w:val="1"/>
          <w:numId w:val="15"/>
        </w:numPr>
        <w:ind w:left="0" w:hanging="426"/>
      </w:pPr>
      <w:bookmarkStart w:id="4" w:name="_Toc119934113"/>
      <w:r>
        <w:t>Dépenses admissibles</w:t>
      </w:r>
      <w:bookmarkEnd w:id="4"/>
    </w:p>
    <w:p w14:paraId="5C664D10" w14:textId="2A7155CB" w:rsidR="00987E66" w:rsidRPr="009A7B80" w:rsidRDefault="00376EAF" w:rsidP="002028FC">
      <w:r>
        <w:t>Les demandeurs peuvent soumettre une demande de financement visant les dépenses jugées nécessaires pour soutenir l</w:t>
      </w:r>
      <w:r w:rsidR="003C06B1">
        <w:t>’</w:t>
      </w:r>
      <w:r>
        <w:t>objectif de l</w:t>
      </w:r>
      <w:r w:rsidR="003C06B1">
        <w:t>’</w:t>
      </w:r>
      <w:r>
        <w:t>expérience ou du projet préalable à l</w:t>
      </w:r>
      <w:r w:rsidR="003C06B1">
        <w:t>’</w:t>
      </w:r>
      <w:r>
        <w:t>expérimentation proposé, et sont engagés après la signature d</w:t>
      </w:r>
      <w:r w:rsidR="003C06B1">
        <w:t>’</w:t>
      </w:r>
      <w:r>
        <w:t>un protocole d</w:t>
      </w:r>
      <w:r w:rsidR="003C06B1">
        <w:t>’</w:t>
      </w:r>
      <w:r>
        <w:t>entente. Le financement est transféré sous forme de financement de biens et services. S</w:t>
      </w:r>
      <w:r w:rsidR="003C06B1">
        <w:t>’</w:t>
      </w:r>
      <w:r>
        <w:t xml:space="preserve">ils le souhaitent, les ministères peuvent généralement convertir les fonds en salaires par le biais de mécanismes internes. </w:t>
      </w:r>
    </w:p>
    <w:p w14:paraId="31792155" w14:textId="7D5B15D1" w:rsidR="00017C43" w:rsidRPr="009A7B80" w:rsidRDefault="00981BB5" w:rsidP="00376EAF">
      <w:r>
        <w:t>Le Secrétariat du Conseil du Trésor du Canada se réserve le droit de prendre la décision finale d</w:t>
      </w:r>
      <w:r w:rsidR="003C06B1">
        <w:t>’</w:t>
      </w:r>
      <w:r>
        <w:t xml:space="preserve">exclure toutes dépenses jugées inadmissibles, inutiles ou hors de la portée du projet. La section </w:t>
      </w:r>
      <w:hyperlink w:anchor="_Funding_decisions_1" w:history="1">
        <w:r>
          <w:rPr>
            <w:rStyle w:val="Hyperlink"/>
          </w:rPr>
          <w:t>5.3 – Décisions de financement</w:t>
        </w:r>
      </w:hyperlink>
      <w:r>
        <w:t xml:space="preserve"> fournit plus d</w:t>
      </w:r>
      <w:r w:rsidR="003C06B1">
        <w:t>’</w:t>
      </w:r>
      <w:r>
        <w:t>information sur les décisions de financement.</w:t>
      </w:r>
    </w:p>
    <w:p w14:paraId="6A101CE3" w14:textId="63DD906C" w:rsidR="00D30B5B" w:rsidRPr="009A7B80" w:rsidRDefault="00982C19" w:rsidP="00FC33A3">
      <w:pPr>
        <w:pStyle w:val="Heading1"/>
        <w:numPr>
          <w:ilvl w:val="0"/>
          <w:numId w:val="15"/>
        </w:numPr>
        <w:ind w:left="0" w:hanging="284"/>
        <w:rPr>
          <w:rFonts w:eastAsia="Times New Roman"/>
          <w:sz w:val="28"/>
          <w:szCs w:val="36"/>
        </w:rPr>
      </w:pPr>
      <w:bookmarkStart w:id="5" w:name="_Toc119934114"/>
      <w:r>
        <w:rPr>
          <w:sz w:val="28"/>
          <w:szCs w:val="36"/>
        </w:rPr>
        <w:lastRenderedPageBreak/>
        <w:t>Admissibilité et critères d</w:t>
      </w:r>
      <w:r w:rsidR="003C06B1">
        <w:rPr>
          <w:sz w:val="28"/>
          <w:szCs w:val="36"/>
        </w:rPr>
        <w:t>’</w:t>
      </w:r>
      <w:r>
        <w:rPr>
          <w:sz w:val="28"/>
          <w:szCs w:val="36"/>
        </w:rPr>
        <w:t>évaluation</w:t>
      </w:r>
      <w:bookmarkEnd w:id="5"/>
    </w:p>
    <w:p w14:paraId="1369EC7E" w14:textId="67E55FBE" w:rsidR="008758AC" w:rsidRPr="009A7B80" w:rsidRDefault="008758AC" w:rsidP="003E72C2">
      <w:pPr>
        <w:rPr>
          <w:rFonts w:cstheme="minorHAnsi"/>
        </w:rPr>
      </w:pPr>
      <w:r>
        <w:t>Les décisions de financement sont prises par le comité directeur du CIR (composé de représentants au niveau des directeurs généraux de plusieurs ministères de réglementation et organismes d</w:t>
      </w:r>
      <w:r w:rsidR="003C06B1">
        <w:t>’</w:t>
      </w:r>
      <w:r>
        <w:t>innovation) en fonction de deux ensembles de critères distincts : l</w:t>
      </w:r>
      <w:r w:rsidR="003C06B1">
        <w:t>’</w:t>
      </w:r>
      <w:r>
        <w:t>admissibilité et l</w:t>
      </w:r>
      <w:r w:rsidR="003C06B1">
        <w:t>’</w:t>
      </w:r>
      <w:r>
        <w:t>évaluation. Les critères d</w:t>
      </w:r>
      <w:r w:rsidR="003C06B1">
        <w:t>’</w:t>
      </w:r>
      <w:r>
        <w:t>admissibilité sont utilisés pour déterminer si un projet proposé est admissible à un financement, tandis que les critères d</w:t>
      </w:r>
      <w:r w:rsidR="003C06B1">
        <w:t>’</w:t>
      </w:r>
      <w:r>
        <w:t>évaluation sont utilisés pour évaluer la valeur du projet proposé et classer les demandes si nécessaire. D</w:t>
      </w:r>
      <w:r w:rsidR="003C06B1">
        <w:t>’</w:t>
      </w:r>
      <w:r>
        <w:t>autres critères peuvent être pris en compte à la discrétion du comité directeur, comme le besoin de s</w:t>
      </w:r>
      <w:r w:rsidR="003C06B1">
        <w:t>’</w:t>
      </w:r>
      <w:r>
        <w:t>assurer qu</w:t>
      </w:r>
      <w:r w:rsidR="003C06B1">
        <w:t>’</w:t>
      </w:r>
      <w:r>
        <w:t>un éventail d</w:t>
      </w:r>
      <w:r w:rsidR="003C06B1">
        <w:t>’</w:t>
      </w:r>
      <w:r>
        <w:t>organismes sont soutenus ou de soutenir un domaine d</w:t>
      </w:r>
      <w:r w:rsidR="003C06B1">
        <w:t>’</w:t>
      </w:r>
      <w:r>
        <w:t xml:space="preserve">intérêt précis. </w:t>
      </w:r>
    </w:p>
    <w:p w14:paraId="6B364C3D" w14:textId="68941A10" w:rsidR="0055713B" w:rsidRPr="009A7B80" w:rsidRDefault="0055713B" w:rsidP="00AB33AD">
      <w:pPr>
        <w:pStyle w:val="Heading1"/>
        <w:numPr>
          <w:ilvl w:val="1"/>
          <w:numId w:val="15"/>
        </w:numPr>
        <w:ind w:left="0" w:hanging="426"/>
        <w:rPr>
          <w:rFonts w:eastAsia="Times New Roman"/>
        </w:rPr>
      </w:pPr>
      <w:bookmarkStart w:id="6" w:name="_Eligibility_Criteria_1"/>
      <w:bookmarkStart w:id="7" w:name="_Toc119934115"/>
      <w:bookmarkEnd w:id="6"/>
      <w:r>
        <w:t>Critères d</w:t>
      </w:r>
      <w:r w:rsidR="003C06B1">
        <w:t>’</w:t>
      </w:r>
      <w:r>
        <w:t>admissibilité</w:t>
      </w:r>
      <w:bookmarkEnd w:id="7"/>
    </w:p>
    <w:p w14:paraId="1D17B760" w14:textId="5560B7B9" w:rsidR="0055713B" w:rsidRPr="009A7B80" w:rsidRDefault="0055713B" w:rsidP="0055713B">
      <w:pPr>
        <w:shd w:val="clear" w:color="auto" w:fill="FFFFFF"/>
        <w:spacing w:after="0" w:line="240" w:lineRule="auto"/>
        <w:rPr>
          <w:rFonts w:eastAsia="Times New Roman" w:cstheme="minorHAnsi"/>
        </w:rPr>
      </w:pPr>
      <w:r>
        <w:t>Pour être admissibles au FDER, les demandeurs doivent décrire la façon dont les projets proposés répondent aux trois critères suivants, décrits plus en détail ci-dessous :</w:t>
      </w:r>
    </w:p>
    <w:p w14:paraId="31E2910D" w14:textId="77777777" w:rsidR="0055713B" w:rsidRPr="00AF4316" w:rsidRDefault="0055713B" w:rsidP="0055713B">
      <w:pPr>
        <w:shd w:val="clear" w:color="auto" w:fill="FFFFFF"/>
        <w:spacing w:after="0" w:line="240" w:lineRule="auto"/>
        <w:ind w:left="426"/>
        <w:rPr>
          <w:rFonts w:eastAsia="Times New Roman" w:cstheme="minorHAnsi"/>
          <w:lang w:eastAsia="en-CA"/>
        </w:rPr>
      </w:pPr>
    </w:p>
    <w:p w14:paraId="5EF4660A" w14:textId="5B37868A" w:rsidR="00885F88" w:rsidRPr="009A7B80" w:rsidRDefault="0055713B" w:rsidP="22868CC6">
      <w:pPr>
        <w:pStyle w:val="ListParagraph"/>
        <w:numPr>
          <w:ilvl w:val="0"/>
          <w:numId w:val="11"/>
        </w:numPr>
        <w:shd w:val="clear" w:color="auto" w:fill="FFFFFF" w:themeFill="background1"/>
        <w:spacing w:after="120" w:line="240" w:lineRule="auto"/>
        <w:rPr>
          <w:rFonts w:eastAsia="Times New Roman"/>
        </w:rPr>
      </w:pPr>
      <w:r>
        <w:t>Le projet doit porter sur l</w:t>
      </w:r>
      <w:r w:rsidR="003C06B1">
        <w:t>’</w:t>
      </w:r>
      <w:r>
        <w:t>expérimentation réglementaire. L</w:t>
      </w:r>
      <w:r w:rsidR="003C06B1">
        <w:t>’</w:t>
      </w:r>
      <w:r>
        <w:t>objectif du projet doit être l</w:t>
      </w:r>
      <w:r w:rsidR="003C06B1">
        <w:t>’</w:t>
      </w:r>
      <w:r>
        <w:t>un des suivants :</w:t>
      </w:r>
    </w:p>
    <w:p w14:paraId="15450503" w14:textId="14638356" w:rsidR="006C0B0D" w:rsidRPr="009A7B80" w:rsidRDefault="006C0B0D" w:rsidP="00365225">
      <w:pPr>
        <w:pStyle w:val="paragraph"/>
        <w:numPr>
          <w:ilvl w:val="0"/>
          <w:numId w:val="25"/>
        </w:numPr>
        <w:shd w:val="clear" w:color="auto" w:fill="FFFFFF"/>
        <w:tabs>
          <w:tab w:val="clear" w:pos="720"/>
          <w:tab w:val="num" w:pos="1843"/>
        </w:tabs>
        <w:spacing w:before="0" w:beforeAutospacing="0" w:after="0" w:afterAutospacing="0"/>
        <w:ind w:left="1134" w:hanging="425"/>
        <w:textAlignment w:val="baseline"/>
        <w:rPr>
          <w:rFonts w:ascii="Calibri" w:hAnsi="Calibri" w:cs="Calibri"/>
          <w:sz w:val="22"/>
          <w:szCs w:val="22"/>
        </w:rPr>
      </w:pPr>
      <w:proofErr w:type="gramStart"/>
      <w:r>
        <w:rPr>
          <w:rStyle w:val="normaltextrun"/>
          <w:rFonts w:ascii="Calibri" w:hAnsi="Calibri"/>
          <w:sz w:val="22"/>
          <w:szCs w:val="22"/>
        </w:rPr>
        <w:t>mener</w:t>
      </w:r>
      <w:proofErr w:type="gramEnd"/>
      <w:r>
        <w:rPr>
          <w:rStyle w:val="normaltextrun"/>
          <w:rFonts w:ascii="Calibri" w:hAnsi="Calibri"/>
          <w:sz w:val="22"/>
          <w:szCs w:val="22"/>
        </w:rPr>
        <w:t xml:space="preserve"> une expérimentation réglementaire;</w:t>
      </w:r>
    </w:p>
    <w:p w14:paraId="13DDFF23" w14:textId="0B48D115" w:rsidR="006C0B0D" w:rsidRPr="009A7B80" w:rsidRDefault="006C0B0D" w:rsidP="00365225">
      <w:pPr>
        <w:pStyle w:val="paragraph"/>
        <w:numPr>
          <w:ilvl w:val="0"/>
          <w:numId w:val="26"/>
        </w:numPr>
        <w:shd w:val="clear" w:color="auto" w:fill="FFFFFF"/>
        <w:spacing w:before="0" w:beforeAutospacing="0" w:after="0" w:afterAutospacing="0"/>
        <w:ind w:left="1134" w:hanging="425"/>
        <w:textAlignment w:val="baseline"/>
        <w:rPr>
          <w:rStyle w:val="normaltextrun"/>
          <w:rFonts w:ascii="Calibri" w:hAnsi="Calibri" w:cs="Calibri"/>
          <w:sz w:val="22"/>
          <w:szCs w:val="22"/>
        </w:rPr>
      </w:pPr>
      <w:proofErr w:type="gramStart"/>
      <w:r>
        <w:rPr>
          <w:rStyle w:val="normaltextrun"/>
          <w:rFonts w:ascii="Calibri" w:hAnsi="Calibri"/>
          <w:sz w:val="22"/>
          <w:szCs w:val="22"/>
        </w:rPr>
        <w:t>soutenir</w:t>
      </w:r>
      <w:proofErr w:type="gramEnd"/>
      <w:r>
        <w:rPr>
          <w:rStyle w:val="normaltextrun"/>
          <w:rFonts w:ascii="Calibri" w:hAnsi="Calibri"/>
          <w:sz w:val="22"/>
          <w:szCs w:val="22"/>
        </w:rPr>
        <w:t xml:space="preserve"> des activités préalables à l</w:t>
      </w:r>
      <w:r w:rsidR="003C06B1">
        <w:rPr>
          <w:rStyle w:val="normaltextrun"/>
          <w:rFonts w:ascii="Calibri" w:hAnsi="Calibri"/>
          <w:sz w:val="22"/>
          <w:szCs w:val="22"/>
        </w:rPr>
        <w:t>’</w:t>
      </w:r>
      <w:r>
        <w:rPr>
          <w:rStyle w:val="normaltextrun"/>
          <w:rFonts w:ascii="Calibri" w:hAnsi="Calibri"/>
          <w:sz w:val="22"/>
          <w:szCs w:val="22"/>
        </w:rPr>
        <w:t>expérimentation telles que :</w:t>
      </w:r>
    </w:p>
    <w:p w14:paraId="46919A49" w14:textId="25510B5A" w:rsidR="006C0B0D" w:rsidRPr="009A7B80" w:rsidRDefault="006C0B0D" w:rsidP="00365225">
      <w:pPr>
        <w:pStyle w:val="paragraph"/>
        <w:numPr>
          <w:ilvl w:val="0"/>
          <w:numId w:val="27"/>
        </w:numPr>
        <w:shd w:val="clear" w:color="auto" w:fill="FFFFFF"/>
        <w:spacing w:before="0" w:beforeAutospacing="0" w:after="0" w:afterAutospacing="0"/>
        <w:ind w:left="1701"/>
        <w:textAlignment w:val="baseline"/>
        <w:rPr>
          <w:rFonts w:ascii="Calibri" w:hAnsi="Calibri" w:cs="Calibri"/>
          <w:sz w:val="22"/>
          <w:szCs w:val="22"/>
        </w:rPr>
      </w:pPr>
      <w:proofErr w:type="gramStart"/>
      <w:r>
        <w:rPr>
          <w:rStyle w:val="normaltextrun"/>
          <w:rFonts w:ascii="Calibri" w:hAnsi="Calibri"/>
          <w:sz w:val="22"/>
          <w:szCs w:val="22"/>
        </w:rPr>
        <w:t>développer</w:t>
      </w:r>
      <w:proofErr w:type="gramEnd"/>
      <w:r>
        <w:rPr>
          <w:rStyle w:val="normaltextrun"/>
          <w:rFonts w:ascii="Calibri" w:hAnsi="Calibri"/>
          <w:sz w:val="22"/>
          <w:szCs w:val="22"/>
        </w:rPr>
        <w:t xml:space="preserve"> une expérimentation réglementaire;</w:t>
      </w:r>
      <w:r>
        <w:rPr>
          <w:rStyle w:val="eop"/>
          <w:rFonts w:ascii="Calibri" w:hAnsi="Calibri"/>
          <w:sz w:val="22"/>
          <w:szCs w:val="22"/>
        </w:rPr>
        <w:t> </w:t>
      </w:r>
    </w:p>
    <w:p w14:paraId="5AD8C1AD" w14:textId="77777777" w:rsidR="006C0B0D" w:rsidRPr="009A7B80" w:rsidRDefault="006C0B0D" w:rsidP="00365225">
      <w:pPr>
        <w:pStyle w:val="paragraph"/>
        <w:numPr>
          <w:ilvl w:val="0"/>
          <w:numId w:val="27"/>
        </w:numPr>
        <w:shd w:val="clear" w:color="auto" w:fill="FFFFFF"/>
        <w:spacing w:before="0" w:beforeAutospacing="0" w:after="0" w:afterAutospacing="0"/>
        <w:ind w:left="1701"/>
        <w:textAlignment w:val="baseline"/>
        <w:rPr>
          <w:rFonts w:ascii="Calibri" w:hAnsi="Calibri" w:cs="Calibri"/>
          <w:sz w:val="22"/>
          <w:szCs w:val="22"/>
        </w:rPr>
      </w:pPr>
      <w:proofErr w:type="gramStart"/>
      <w:r>
        <w:rPr>
          <w:rStyle w:val="normaltextrun"/>
          <w:rFonts w:ascii="Calibri" w:hAnsi="Calibri"/>
          <w:sz w:val="22"/>
          <w:szCs w:val="22"/>
        </w:rPr>
        <w:t>déterminer</w:t>
      </w:r>
      <w:proofErr w:type="gramEnd"/>
      <w:r>
        <w:rPr>
          <w:rStyle w:val="normaltextrun"/>
          <w:rFonts w:ascii="Calibri" w:hAnsi="Calibri"/>
          <w:sz w:val="22"/>
          <w:szCs w:val="22"/>
        </w:rPr>
        <w:t xml:space="preserve"> si une expérimentation réglementaire devrait être utilisée pour résoudre un problème.</w:t>
      </w:r>
      <w:r>
        <w:rPr>
          <w:rStyle w:val="eop"/>
          <w:rFonts w:ascii="Calibri" w:hAnsi="Calibri"/>
          <w:sz w:val="22"/>
          <w:szCs w:val="22"/>
        </w:rPr>
        <w:t> </w:t>
      </w:r>
    </w:p>
    <w:p w14:paraId="411476FA" w14:textId="1E7F9F9C" w:rsidR="0055713B" w:rsidRPr="009A7B80" w:rsidRDefault="0055713B" w:rsidP="00F84925">
      <w:pPr>
        <w:pStyle w:val="ListParagraph"/>
        <w:numPr>
          <w:ilvl w:val="0"/>
          <w:numId w:val="11"/>
        </w:numPr>
        <w:shd w:val="clear" w:color="auto" w:fill="FFFFFF"/>
        <w:spacing w:before="120" w:after="0" w:line="240" w:lineRule="auto"/>
        <w:rPr>
          <w:rFonts w:eastAsia="Times New Roman" w:cstheme="minorHAnsi"/>
        </w:rPr>
      </w:pPr>
      <w:r>
        <w:t xml:space="preserve">Le projet doit porter sur </w:t>
      </w:r>
      <w:r>
        <w:rPr>
          <w:u w:val="single"/>
        </w:rPr>
        <w:t>au moins un</w:t>
      </w:r>
      <w:r>
        <w:t xml:space="preserve"> des types de problèmes ou de possibilités suivants :</w:t>
      </w:r>
    </w:p>
    <w:p w14:paraId="4925218C" w14:textId="43E33A90" w:rsidR="0055713B" w:rsidRPr="009A7B80" w:rsidRDefault="007A6188" w:rsidP="0055713B">
      <w:pPr>
        <w:numPr>
          <w:ilvl w:val="0"/>
          <w:numId w:val="2"/>
        </w:numPr>
        <w:shd w:val="clear" w:color="auto" w:fill="FFFFFF"/>
        <w:tabs>
          <w:tab w:val="clear" w:pos="720"/>
        </w:tabs>
        <w:spacing w:after="0" w:line="240" w:lineRule="auto"/>
        <w:ind w:left="1134" w:hanging="283"/>
        <w:rPr>
          <w:rFonts w:eastAsia="Times New Roman" w:cstheme="minorHAnsi"/>
        </w:rPr>
      </w:pPr>
      <w:proofErr w:type="gramStart"/>
      <w:r>
        <w:t>un</w:t>
      </w:r>
      <w:proofErr w:type="gramEnd"/>
      <w:r>
        <w:t xml:space="preserve"> </w:t>
      </w:r>
      <w:hyperlink w:anchor="_Defined_business_need_1" w:history="1">
        <w:r>
          <w:rPr>
            <w:rStyle w:val="Hyperlink"/>
          </w:rPr>
          <w:t>besoin opérationnel défini</w:t>
        </w:r>
      </w:hyperlink>
      <w:r>
        <w:t>;</w:t>
      </w:r>
    </w:p>
    <w:p w14:paraId="3084D1B3" w14:textId="7F4A7476" w:rsidR="0055713B" w:rsidRPr="009A7B80" w:rsidRDefault="007A6188" w:rsidP="0055713B">
      <w:pPr>
        <w:numPr>
          <w:ilvl w:val="0"/>
          <w:numId w:val="2"/>
        </w:numPr>
        <w:shd w:val="clear" w:color="auto" w:fill="FFFFFF"/>
        <w:tabs>
          <w:tab w:val="clear" w:pos="720"/>
        </w:tabs>
        <w:spacing w:after="0" w:line="240" w:lineRule="auto"/>
        <w:ind w:left="1134" w:hanging="283"/>
        <w:rPr>
          <w:rFonts w:eastAsia="Times New Roman" w:cstheme="minorHAnsi"/>
        </w:rPr>
      </w:pPr>
      <w:proofErr w:type="gramStart"/>
      <w:r>
        <w:t>un</w:t>
      </w:r>
      <w:proofErr w:type="gramEnd"/>
      <w:r>
        <w:t xml:space="preserve"> </w:t>
      </w:r>
      <w:hyperlink w:anchor="_Technological_challenge_1" w:history="1">
        <w:r>
          <w:rPr>
            <w:rStyle w:val="Hyperlink"/>
          </w:rPr>
          <w:t>défi technologique</w:t>
        </w:r>
      </w:hyperlink>
      <w:r>
        <w:t>;</w:t>
      </w:r>
    </w:p>
    <w:p w14:paraId="726D91B2" w14:textId="6662BE03" w:rsidR="0055713B" w:rsidRPr="009A7B80" w:rsidRDefault="007A6188" w:rsidP="0055713B">
      <w:pPr>
        <w:numPr>
          <w:ilvl w:val="0"/>
          <w:numId w:val="2"/>
        </w:numPr>
        <w:shd w:val="clear" w:color="auto" w:fill="FFFFFF"/>
        <w:tabs>
          <w:tab w:val="clear" w:pos="720"/>
        </w:tabs>
        <w:spacing w:after="0" w:line="240" w:lineRule="auto"/>
        <w:ind w:left="1134" w:hanging="283"/>
        <w:rPr>
          <w:rFonts w:eastAsia="Times New Roman" w:cstheme="minorHAnsi"/>
        </w:rPr>
      </w:pPr>
      <w:proofErr w:type="gramStart"/>
      <w:r>
        <w:t>une</w:t>
      </w:r>
      <w:proofErr w:type="gramEnd"/>
      <w:r>
        <w:t xml:space="preserve"> </w:t>
      </w:r>
      <w:hyperlink w:anchor="_Market_opportunity_1" w:history="1">
        <w:r>
          <w:rPr>
            <w:rStyle w:val="Hyperlink"/>
          </w:rPr>
          <w:t>possibilité sur le marché</w:t>
        </w:r>
      </w:hyperlink>
      <w:r>
        <w:t>.</w:t>
      </w:r>
    </w:p>
    <w:p w14:paraId="707B596A" w14:textId="59E8EFCE" w:rsidR="0055713B" w:rsidRPr="009A7B80" w:rsidRDefault="0055713B" w:rsidP="0055713B">
      <w:pPr>
        <w:pStyle w:val="ListParagraph"/>
        <w:numPr>
          <w:ilvl w:val="0"/>
          <w:numId w:val="11"/>
        </w:numPr>
        <w:shd w:val="clear" w:color="auto" w:fill="FFFFFF"/>
        <w:spacing w:before="120" w:after="0" w:line="240" w:lineRule="auto"/>
        <w:rPr>
          <w:rFonts w:eastAsia="Times New Roman" w:cstheme="minorHAnsi"/>
        </w:rPr>
      </w:pPr>
      <w:r>
        <w:t xml:space="preserve">Le projet doit soutenir </w:t>
      </w:r>
      <w:hyperlink w:anchor="_Innovation_1" w:history="1">
        <w:r>
          <w:rPr>
            <w:rStyle w:val="Hyperlink"/>
          </w:rPr>
          <w:t>l</w:t>
        </w:r>
        <w:r w:rsidR="003C06B1">
          <w:rPr>
            <w:rStyle w:val="Hyperlink"/>
          </w:rPr>
          <w:t>’</w:t>
        </w:r>
        <w:r>
          <w:rPr>
            <w:rStyle w:val="Hyperlink"/>
          </w:rPr>
          <w:t>innovation</w:t>
        </w:r>
      </w:hyperlink>
      <w:r>
        <w:t>.</w:t>
      </w:r>
      <w:r>
        <w:rPr>
          <w:rStyle w:val="Hyperlink"/>
        </w:rPr>
        <w:t xml:space="preserve"> </w:t>
      </w:r>
    </w:p>
    <w:p w14:paraId="47222C2C" w14:textId="77777777" w:rsidR="0055713B" w:rsidRPr="00AF4316" w:rsidRDefault="0055713B" w:rsidP="0055713B">
      <w:pPr>
        <w:shd w:val="clear" w:color="auto" w:fill="FFFFFF"/>
        <w:spacing w:after="120" w:line="240" w:lineRule="auto"/>
        <w:rPr>
          <w:rStyle w:val="Hyperlink"/>
          <w:rFonts w:eastAsia="Times New Roman" w:cstheme="minorHAnsi"/>
          <w:lang w:eastAsia="en-CA"/>
        </w:rPr>
      </w:pPr>
    </w:p>
    <w:p w14:paraId="050566C9" w14:textId="4DE834DE" w:rsidR="0055713B" w:rsidRPr="009A7B80" w:rsidRDefault="0055713B" w:rsidP="00AB33AD">
      <w:pPr>
        <w:pStyle w:val="Heading1"/>
        <w:numPr>
          <w:ilvl w:val="2"/>
          <w:numId w:val="15"/>
        </w:numPr>
        <w:ind w:left="284"/>
        <w:rPr>
          <w:rFonts w:eastAsia="Times New Roman"/>
          <w:bCs/>
        </w:rPr>
      </w:pPr>
      <w:bookmarkStart w:id="8" w:name="_Toc119934116"/>
      <w:r>
        <w:t>Expérimentation réglementaire</w:t>
      </w:r>
      <w:bookmarkEnd w:id="8"/>
    </w:p>
    <w:p w14:paraId="5FF8C5A9" w14:textId="47FA502A" w:rsidR="0055713B" w:rsidRPr="009A7B80" w:rsidRDefault="007A6188" w:rsidP="0055713B">
      <w:pPr>
        <w:shd w:val="clear" w:color="auto" w:fill="FFFFFF"/>
        <w:spacing w:after="0" w:line="240" w:lineRule="auto"/>
        <w:rPr>
          <w:rFonts w:eastAsia="Times New Roman" w:cstheme="minorHAnsi"/>
        </w:rPr>
      </w:pPr>
      <w:r>
        <w:t>Pour le CIR, une expérience réglementaire consiste à mettre à l</w:t>
      </w:r>
      <w:r w:rsidR="003C06B1">
        <w:t>’</w:t>
      </w:r>
      <w:r>
        <w:t>essai un nouveau produit, service, approche ou processus conçu pour produire des données probantes ou des renseignements qui peuvent éclairer la conception ou l</w:t>
      </w:r>
      <w:r w:rsidR="003C06B1">
        <w:t>’</w:t>
      </w:r>
      <w:r>
        <w:t>administration d</w:t>
      </w:r>
      <w:r w:rsidR="003C06B1">
        <w:t>’</w:t>
      </w:r>
      <w:r>
        <w:t>un régime réglementaire. Cela signifie que pour être admissible :</w:t>
      </w:r>
    </w:p>
    <w:p w14:paraId="65C3C846" w14:textId="4A2A0599" w:rsidR="0055713B" w:rsidRPr="009A7B80" w:rsidRDefault="0055713B" w:rsidP="28ABA184">
      <w:pPr>
        <w:pStyle w:val="ListParagraph"/>
        <w:numPr>
          <w:ilvl w:val="0"/>
          <w:numId w:val="16"/>
        </w:numPr>
        <w:shd w:val="clear" w:color="auto" w:fill="FFFFFF"/>
        <w:spacing w:after="120" w:line="240" w:lineRule="auto"/>
        <w:rPr>
          <w:rFonts w:eastAsia="Times New Roman"/>
        </w:rPr>
      </w:pPr>
      <w:proofErr w:type="gramStart"/>
      <w:r>
        <w:t>le</w:t>
      </w:r>
      <w:proofErr w:type="gramEnd"/>
      <w:r>
        <w:t xml:space="preserve"> projet doit comprendre un essai effectué dans les limites d</w:t>
      </w:r>
      <w:r w:rsidR="003C06B1">
        <w:t>’</w:t>
      </w:r>
      <w:r>
        <w:t>une certaine période avec un début et une fin bien définis;</w:t>
      </w:r>
    </w:p>
    <w:p w14:paraId="1396A356" w14:textId="6022BE3A" w:rsidR="0055713B" w:rsidRPr="009A7B80" w:rsidRDefault="0055713B" w:rsidP="22868CC6">
      <w:pPr>
        <w:pStyle w:val="ListParagraph"/>
        <w:numPr>
          <w:ilvl w:val="0"/>
          <w:numId w:val="16"/>
        </w:numPr>
        <w:shd w:val="clear" w:color="auto" w:fill="FFFFFF" w:themeFill="background1"/>
        <w:spacing w:after="120" w:line="240" w:lineRule="auto"/>
        <w:rPr>
          <w:rFonts w:eastAsia="Times New Roman"/>
        </w:rPr>
      </w:pPr>
      <w:proofErr w:type="gramStart"/>
      <w:r>
        <w:t>l</w:t>
      </w:r>
      <w:r w:rsidR="003C06B1">
        <w:t>’</w:t>
      </w:r>
      <w:r>
        <w:t>objectif</w:t>
      </w:r>
      <w:proofErr w:type="gramEnd"/>
      <w:r>
        <w:t xml:space="preserve"> principal de l</w:t>
      </w:r>
      <w:r w:rsidR="003C06B1">
        <w:t>’</w:t>
      </w:r>
      <w:r>
        <w:t>expérimentation est d</w:t>
      </w:r>
      <w:r w:rsidR="003C06B1">
        <w:t>’</w:t>
      </w:r>
      <w:r>
        <w:t>apprendre quelque chose;</w:t>
      </w:r>
    </w:p>
    <w:p w14:paraId="08EB0E6A" w14:textId="2C4AA0DF" w:rsidR="00963D13" w:rsidRPr="009A7B80" w:rsidRDefault="0055713B" w:rsidP="0055713B">
      <w:pPr>
        <w:pStyle w:val="ListParagraph"/>
        <w:numPr>
          <w:ilvl w:val="0"/>
          <w:numId w:val="16"/>
        </w:numPr>
        <w:shd w:val="clear" w:color="auto" w:fill="FFFFFF"/>
        <w:spacing w:after="120" w:line="240" w:lineRule="auto"/>
        <w:rPr>
          <w:rStyle w:val="Hyperlink"/>
          <w:color w:val="auto"/>
          <w:u w:val="none"/>
        </w:rPr>
      </w:pPr>
      <w:proofErr w:type="gramStart"/>
      <w:r>
        <w:t>le</w:t>
      </w:r>
      <w:proofErr w:type="gramEnd"/>
      <w:r>
        <w:t xml:space="preserve"> but de chercher à apprendre est d</w:t>
      </w:r>
      <w:r w:rsidR="003C06B1">
        <w:t>’</w:t>
      </w:r>
      <w:r>
        <w:t>utiliser l</w:t>
      </w:r>
      <w:r w:rsidR="003C06B1">
        <w:t>’</w:t>
      </w:r>
      <w:r>
        <w:t>apprentissage pour prendre une décision sur la pertinence et la façon d</w:t>
      </w:r>
      <w:r w:rsidR="003C06B1">
        <w:t>’</w:t>
      </w:r>
      <w:r>
        <w:t>améliorer le système ou le régime de réglementation</w:t>
      </w:r>
      <w:r w:rsidR="00C51895">
        <w:t xml:space="preserve">. </w:t>
      </w:r>
      <w:r>
        <w:t>Cela comprend de l</w:t>
      </w:r>
      <w:r w:rsidR="003C06B1">
        <w:t>’</w:t>
      </w:r>
      <w:r>
        <w:t>information</w:t>
      </w:r>
      <w:r>
        <w:rPr>
          <w:rStyle w:val="Hyperlink"/>
          <w:color w:val="auto"/>
          <w:u w:val="none"/>
        </w:rPr>
        <w:t xml:space="preserve"> quant à la pertinence de changer ou de créer/adopter : </w:t>
      </w:r>
    </w:p>
    <w:p w14:paraId="1504CDF2" w14:textId="2CDD0F00" w:rsidR="0055713B" w:rsidRPr="009A7B80" w:rsidRDefault="00D35CA0" w:rsidP="000B2E54">
      <w:pPr>
        <w:numPr>
          <w:ilvl w:val="0"/>
          <w:numId w:val="2"/>
        </w:numPr>
        <w:shd w:val="clear" w:color="auto" w:fill="FFFFFF"/>
        <w:tabs>
          <w:tab w:val="clear" w:pos="720"/>
        </w:tabs>
        <w:spacing w:after="0" w:line="240" w:lineRule="auto"/>
        <w:ind w:left="1134" w:hanging="283"/>
        <w:rPr>
          <w:rStyle w:val="Hyperlink"/>
          <w:color w:val="auto"/>
          <w:u w:val="none"/>
        </w:rPr>
      </w:pPr>
      <w:proofErr w:type="gramStart"/>
      <w:r>
        <w:rPr>
          <w:rStyle w:val="Hyperlink"/>
          <w:color w:val="auto"/>
          <w:u w:val="none"/>
        </w:rPr>
        <w:t>de</w:t>
      </w:r>
      <w:proofErr w:type="gramEnd"/>
      <w:r>
        <w:rPr>
          <w:rStyle w:val="Hyperlink"/>
          <w:color w:val="auto"/>
          <w:u w:val="none"/>
        </w:rPr>
        <w:t xml:space="preserve"> nouvelles approches à l</w:t>
      </w:r>
      <w:r w:rsidR="003C06B1">
        <w:rPr>
          <w:rStyle w:val="Hyperlink"/>
          <w:color w:val="auto"/>
          <w:u w:val="none"/>
        </w:rPr>
        <w:t>’</w:t>
      </w:r>
      <w:r>
        <w:rPr>
          <w:rStyle w:val="Hyperlink"/>
          <w:color w:val="auto"/>
          <w:u w:val="none"/>
        </w:rPr>
        <w:t>une ou à l</w:t>
      </w:r>
      <w:r w:rsidR="003C06B1">
        <w:rPr>
          <w:rStyle w:val="Hyperlink"/>
          <w:color w:val="auto"/>
          <w:u w:val="none"/>
        </w:rPr>
        <w:t>’</w:t>
      </w:r>
      <w:r>
        <w:rPr>
          <w:rStyle w:val="Hyperlink"/>
          <w:color w:val="auto"/>
          <w:u w:val="none"/>
        </w:rPr>
        <w:t>ensemble des étapes du cycle réglementaire (définition des enjeux et choix des instruments, élaboration de règlements, conformité/application et examen/évaluation);</w:t>
      </w:r>
    </w:p>
    <w:p w14:paraId="0FFAF9B7" w14:textId="65B99C85" w:rsidR="00F9606C" w:rsidRPr="009A7B80" w:rsidRDefault="00F9606C" w:rsidP="00F9606C">
      <w:pPr>
        <w:numPr>
          <w:ilvl w:val="0"/>
          <w:numId w:val="2"/>
        </w:numPr>
        <w:shd w:val="clear" w:color="auto" w:fill="FFFFFF"/>
        <w:tabs>
          <w:tab w:val="clear" w:pos="720"/>
        </w:tabs>
        <w:spacing w:after="0" w:line="240" w:lineRule="auto"/>
        <w:ind w:left="1134" w:hanging="283"/>
        <w:rPr>
          <w:rStyle w:val="Hyperlink"/>
          <w:rFonts w:eastAsia="Times New Roman" w:cstheme="minorHAnsi"/>
          <w:color w:val="auto"/>
          <w:u w:val="none"/>
        </w:rPr>
      </w:pPr>
      <w:proofErr w:type="gramStart"/>
      <w:r>
        <w:rPr>
          <w:rStyle w:val="Hyperlink"/>
          <w:color w:val="auto"/>
          <w:u w:val="none"/>
        </w:rPr>
        <w:t>de</w:t>
      </w:r>
      <w:proofErr w:type="gramEnd"/>
      <w:r>
        <w:rPr>
          <w:rStyle w:val="Hyperlink"/>
          <w:color w:val="auto"/>
          <w:u w:val="none"/>
        </w:rPr>
        <w:t xml:space="preserve"> nouvelles lois ou de nouveaux règlements;</w:t>
      </w:r>
    </w:p>
    <w:p w14:paraId="53E9C223" w14:textId="1CB67595" w:rsidR="00ED0A0F" w:rsidRPr="009A7B80" w:rsidRDefault="006B1CB7" w:rsidP="000B2E54">
      <w:pPr>
        <w:numPr>
          <w:ilvl w:val="0"/>
          <w:numId w:val="2"/>
        </w:numPr>
        <w:shd w:val="clear" w:color="auto" w:fill="FFFFFF"/>
        <w:tabs>
          <w:tab w:val="clear" w:pos="720"/>
        </w:tabs>
        <w:spacing w:after="0" w:line="240" w:lineRule="auto"/>
        <w:ind w:left="1134" w:hanging="283"/>
        <w:rPr>
          <w:rStyle w:val="Hyperlink"/>
          <w:color w:val="auto"/>
          <w:u w:val="none"/>
        </w:rPr>
      </w:pPr>
      <w:proofErr w:type="gramStart"/>
      <w:r>
        <w:rPr>
          <w:rStyle w:val="Hyperlink"/>
          <w:color w:val="auto"/>
          <w:u w:val="none"/>
        </w:rPr>
        <w:t>de</w:t>
      </w:r>
      <w:proofErr w:type="gramEnd"/>
      <w:r>
        <w:rPr>
          <w:rStyle w:val="Hyperlink"/>
          <w:color w:val="auto"/>
          <w:u w:val="none"/>
        </w:rPr>
        <w:t xml:space="preserve"> nouveaux processus ou outils réglementaires.</w:t>
      </w:r>
    </w:p>
    <w:p w14:paraId="47B30069" w14:textId="6C3F577D" w:rsidR="00AB33AD" w:rsidRPr="009A7B80" w:rsidRDefault="00AB33AD" w:rsidP="00AB33AD">
      <w:pPr>
        <w:pStyle w:val="Heading1"/>
        <w:numPr>
          <w:ilvl w:val="2"/>
          <w:numId w:val="15"/>
        </w:numPr>
        <w:ind w:left="284"/>
      </w:pPr>
      <w:bookmarkStart w:id="9" w:name="_Defined_business_need_1"/>
      <w:bookmarkStart w:id="10" w:name="_Toc119934117"/>
      <w:bookmarkEnd w:id="9"/>
      <w:r>
        <w:lastRenderedPageBreak/>
        <w:t>Types de problèmes ou de possibilités</w:t>
      </w:r>
      <w:bookmarkEnd w:id="10"/>
    </w:p>
    <w:p w14:paraId="1EE7D007" w14:textId="5A9834E3" w:rsidR="0055713B" w:rsidRPr="009A7B80" w:rsidRDefault="0055713B" w:rsidP="00AB33AD">
      <w:pPr>
        <w:pStyle w:val="Heading1"/>
        <w:rPr>
          <w:b w:val="0"/>
          <w:u w:val="single"/>
        </w:rPr>
      </w:pPr>
      <w:bookmarkStart w:id="11" w:name="_Toc119934118"/>
      <w:r>
        <w:rPr>
          <w:b w:val="0"/>
          <w:u w:val="single"/>
        </w:rPr>
        <w:t xml:space="preserve">Besoin </w:t>
      </w:r>
      <w:bookmarkEnd w:id="11"/>
      <w:r w:rsidR="00C0732D">
        <w:rPr>
          <w:b w:val="0"/>
          <w:u w:val="single"/>
        </w:rPr>
        <w:t>de l’industrie</w:t>
      </w:r>
    </w:p>
    <w:p w14:paraId="3E245111" w14:textId="077D61D5" w:rsidR="0055713B" w:rsidRPr="009A7B80" w:rsidRDefault="0055713B" w:rsidP="0055713B">
      <w:pPr>
        <w:shd w:val="clear" w:color="auto" w:fill="FFFFFF"/>
        <w:spacing w:after="0" w:line="240" w:lineRule="auto"/>
        <w:rPr>
          <w:rFonts w:eastAsia="Times New Roman" w:cstheme="minorHAnsi"/>
        </w:rPr>
      </w:pPr>
      <w:r>
        <w:t xml:space="preserve">Un besoin </w:t>
      </w:r>
      <w:r w:rsidR="00C0732D">
        <w:t xml:space="preserve">de l’industrie </w:t>
      </w:r>
      <w:r>
        <w:t xml:space="preserve">est une exigence définie par une entreprise pour lui permettre de fonctionner de manière efficace et durable. Pour répondre à ce critère, le demandeur doit définir le besoin </w:t>
      </w:r>
      <w:r w:rsidR="00C0732D">
        <w:t>de l’industrie</w:t>
      </w:r>
      <w:r>
        <w:t xml:space="preserve"> auquel il essaie de répondre, ce qui peut inclure la suppression d</w:t>
      </w:r>
      <w:r w:rsidR="003C06B1">
        <w:t>’</w:t>
      </w:r>
      <w:r>
        <w:t>obstacles à la concurrence, la réduction du fardeau administratif ou lié à la conformité, ou la suppression d</w:t>
      </w:r>
      <w:r w:rsidR="003C06B1">
        <w:t>’</w:t>
      </w:r>
      <w:r>
        <w:t>obstacles réglementaires au commerce. Le demandeur doit également indiquer si le besoin a été défini par l</w:t>
      </w:r>
      <w:r w:rsidR="003C06B1">
        <w:t>’</w:t>
      </w:r>
      <w:r>
        <w:t>industrie ou s</w:t>
      </w:r>
      <w:r w:rsidR="003C06B1">
        <w:t>’</w:t>
      </w:r>
      <w:r>
        <w:t>il anticipe de manière proactive les besoins de ses entités réglementées ou d</w:t>
      </w:r>
      <w:r w:rsidR="003C06B1">
        <w:t>’</w:t>
      </w:r>
      <w:r>
        <w:t xml:space="preserve">autres intervenants. </w:t>
      </w:r>
    </w:p>
    <w:p w14:paraId="1246DFAE" w14:textId="77777777" w:rsidR="0055713B" w:rsidRPr="00AF4316" w:rsidRDefault="0055713B" w:rsidP="0055713B">
      <w:pPr>
        <w:rPr>
          <w:lang w:eastAsia="en-CA"/>
        </w:rPr>
      </w:pPr>
    </w:p>
    <w:p w14:paraId="43FFDC45" w14:textId="77777777" w:rsidR="0055713B" w:rsidRPr="009A7B80" w:rsidRDefault="0055713B" w:rsidP="00AB33AD">
      <w:pPr>
        <w:pStyle w:val="Heading1"/>
        <w:rPr>
          <w:b w:val="0"/>
          <w:u w:val="single"/>
        </w:rPr>
      </w:pPr>
      <w:bookmarkStart w:id="12" w:name="_Technological_challenge_1"/>
      <w:bookmarkStart w:id="13" w:name="_Toc119934119"/>
      <w:bookmarkEnd w:id="12"/>
      <w:r>
        <w:rPr>
          <w:b w:val="0"/>
          <w:u w:val="single"/>
        </w:rPr>
        <w:t>Défi technologique</w:t>
      </w:r>
      <w:bookmarkEnd w:id="13"/>
    </w:p>
    <w:p w14:paraId="49B21689" w14:textId="1CE9B9A3" w:rsidR="0055713B" w:rsidRPr="009A7B80" w:rsidRDefault="0055713B" w:rsidP="0055713B">
      <w:r>
        <w:t>Un défi technologique survient lorsque l</w:t>
      </w:r>
      <w:r w:rsidR="003C06B1">
        <w:t>’</w:t>
      </w:r>
      <w:r>
        <w:t>élaboration ou l</w:t>
      </w:r>
      <w:r w:rsidR="003C06B1">
        <w:t>’</w:t>
      </w:r>
      <w:r>
        <w:t>application de lois ou de règlements est confrontée à une nouvelle technologie ou à l</w:t>
      </w:r>
      <w:r w:rsidR="003C06B1">
        <w:t>’</w:t>
      </w:r>
      <w:r>
        <w:t>évolution d</w:t>
      </w:r>
      <w:r w:rsidR="003C06B1">
        <w:t>’</w:t>
      </w:r>
      <w:r>
        <w:t>une technologie, ou lorsque l</w:t>
      </w:r>
      <w:r w:rsidR="003C06B1">
        <w:t>’</w:t>
      </w:r>
      <w:r>
        <w:t>application de lois ou de règlements à une nouvelle technologie n</w:t>
      </w:r>
      <w:r w:rsidR="003C06B1">
        <w:t>’</w:t>
      </w:r>
      <w:r>
        <w:t>est pas optimale. Voici quelques exemples :</w:t>
      </w:r>
    </w:p>
    <w:p w14:paraId="50176CF2" w14:textId="425E7A44" w:rsidR="0055713B" w:rsidRPr="009A7B80" w:rsidRDefault="0055713B" w:rsidP="0055713B">
      <w:pPr>
        <w:pStyle w:val="ListParagraph"/>
        <w:numPr>
          <w:ilvl w:val="0"/>
          <w:numId w:val="1"/>
        </w:numPr>
        <w:shd w:val="clear" w:color="auto" w:fill="FFFFFF"/>
        <w:spacing w:after="0" w:line="240" w:lineRule="auto"/>
        <w:ind w:left="770"/>
      </w:pPr>
      <w:proofErr w:type="gramStart"/>
      <w:r>
        <w:t>lorsqu</w:t>
      </w:r>
      <w:r w:rsidR="003C06B1">
        <w:t>’</w:t>
      </w:r>
      <w:r>
        <w:t>il</w:t>
      </w:r>
      <w:proofErr w:type="gramEnd"/>
      <w:r>
        <w:t xml:space="preserve"> est difficile de savoir si une nouvelle technologie peut respecter les règlements actuels ou si les règlements actuels conviennent pour réglementer un nouveau produit;</w:t>
      </w:r>
    </w:p>
    <w:p w14:paraId="2DBB5E53" w14:textId="40980E08" w:rsidR="0055713B" w:rsidRPr="009A7B80" w:rsidRDefault="007743CA" w:rsidP="0055713B">
      <w:pPr>
        <w:pStyle w:val="ListParagraph"/>
        <w:numPr>
          <w:ilvl w:val="0"/>
          <w:numId w:val="1"/>
        </w:numPr>
        <w:shd w:val="clear" w:color="auto" w:fill="FFFFFF"/>
        <w:spacing w:after="0" w:line="240" w:lineRule="auto"/>
        <w:ind w:left="770"/>
      </w:pPr>
      <w:proofErr w:type="gramStart"/>
      <w:r>
        <w:t>lorsqu</w:t>
      </w:r>
      <w:r w:rsidR="003C06B1">
        <w:t>’</w:t>
      </w:r>
      <w:r>
        <w:t>une</w:t>
      </w:r>
      <w:proofErr w:type="gramEnd"/>
      <w:r>
        <w:t xml:space="preserve"> nouvelle technologie donne la possibilité aux organismes réglementés de passer outre les règlements, ce qui crée des lacunes dans la réglementation;</w:t>
      </w:r>
    </w:p>
    <w:p w14:paraId="081E6AE6" w14:textId="652E9A7F" w:rsidR="0055713B" w:rsidRPr="009A7B80" w:rsidRDefault="007743CA" w:rsidP="0055713B">
      <w:pPr>
        <w:pStyle w:val="ListParagraph"/>
        <w:numPr>
          <w:ilvl w:val="0"/>
          <w:numId w:val="5"/>
        </w:numPr>
      </w:pPr>
      <w:proofErr w:type="gramStart"/>
      <w:r>
        <w:t>lorsque</w:t>
      </w:r>
      <w:proofErr w:type="gramEnd"/>
      <w:r>
        <w:t xml:space="preserve"> des technologies soutiennent des façons plus efficaces de faire des affaires, mais sont interdites par un cadre réglementaire en vigueur;</w:t>
      </w:r>
    </w:p>
    <w:p w14:paraId="11F7BDBE" w14:textId="2BBACB1F" w:rsidR="0055713B" w:rsidRPr="009A7B80" w:rsidRDefault="007743CA" w:rsidP="0055713B">
      <w:pPr>
        <w:pStyle w:val="ListParagraph"/>
        <w:numPr>
          <w:ilvl w:val="0"/>
          <w:numId w:val="5"/>
        </w:numPr>
      </w:pPr>
      <w:proofErr w:type="gramStart"/>
      <w:r>
        <w:t>lorsque</w:t>
      </w:r>
      <w:proofErr w:type="gramEnd"/>
      <w:r>
        <w:t xml:space="preserve"> des technologies pourraient offrir des avantages publics potentiels ou réels, mais que les dommages potentiels sont incertains ou sont connus et doivent être atténués.</w:t>
      </w:r>
    </w:p>
    <w:p w14:paraId="6836E0BC" w14:textId="77777777" w:rsidR="0055713B" w:rsidRPr="009A7B80" w:rsidRDefault="0055713B" w:rsidP="0055713B">
      <w:pPr>
        <w:pStyle w:val="ListParagraph"/>
        <w:shd w:val="clear" w:color="auto" w:fill="FFFFFF"/>
        <w:spacing w:after="0" w:line="240" w:lineRule="auto"/>
        <w:ind w:left="360"/>
        <w:rPr>
          <w:rFonts w:eastAsia="Times New Roman" w:cstheme="minorHAnsi"/>
          <w:lang w:eastAsia="en-CA"/>
        </w:rPr>
      </w:pPr>
    </w:p>
    <w:p w14:paraId="1C588DC7" w14:textId="77777777" w:rsidR="0055713B" w:rsidRPr="009A7B80" w:rsidRDefault="0055713B" w:rsidP="00D5111C">
      <w:pPr>
        <w:pStyle w:val="Heading1"/>
        <w:rPr>
          <w:b w:val="0"/>
          <w:u w:val="single"/>
        </w:rPr>
      </w:pPr>
      <w:bookmarkStart w:id="14" w:name="_Market_opportunity_1"/>
      <w:bookmarkStart w:id="15" w:name="_Toc119934120"/>
      <w:bookmarkEnd w:id="14"/>
      <w:r>
        <w:rPr>
          <w:b w:val="0"/>
          <w:u w:val="single"/>
        </w:rPr>
        <w:t>Possibilité sur le marché</w:t>
      </w:r>
      <w:bookmarkEnd w:id="15"/>
    </w:p>
    <w:p w14:paraId="0C43B9FA" w14:textId="000B12C6" w:rsidR="0055713B" w:rsidRPr="009A7B80" w:rsidRDefault="0055713B" w:rsidP="0055713B">
      <w:pPr>
        <w:rPr>
          <w:rFonts w:eastAsia="Times New Roman" w:cstheme="minorHAnsi"/>
        </w:rPr>
      </w:pPr>
      <w:r>
        <w:t>Une possibilité sur le marché existe lorsqu</w:t>
      </w:r>
      <w:r w:rsidR="003C06B1">
        <w:t>’</w:t>
      </w:r>
      <w:r>
        <w:t>une entreprise a conçu un nouveau produit ou service ayant un potentiel commercial. Pour répondre à ce critère, le demandeur doit décrire le produit ou le service, et expliquer en quoi l</w:t>
      </w:r>
      <w:r w:rsidR="003C06B1">
        <w:t>’</w:t>
      </w:r>
      <w:r>
        <w:t>expérience appuierait ou accélérerait la mise en marché du produit ou du service au Canada.</w:t>
      </w:r>
    </w:p>
    <w:p w14:paraId="173D4D8D" w14:textId="77777777" w:rsidR="0055713B" w:rsidRPr="009A7B80" w:rsidRDefault="0055713B" w:rsidP="00D5111C">
      <w:pPr>
        <w:pStyle w:val="Heading1"/>
        <w:numPr>
          <w:ilvl w:val="2"/>
          <w:numId w:val="15"/>
        </w:numPr>
        <w:ind w:left="284"/>
        <w:rPr>
          <w:rFonts w:eastAsia="Times New Roman"/>
          <w:bCs/>
        </w:rPr>
      </w:pPr>
      <w:bookmarkStart w:id="16" w:name="_Innovation_1"/>
      <w:bookmarkStart w:id="17" w:name="_Toc119934121"/>
      <w:bookmarkEnd w:id="16"/>
      <w:r>
        <w:t>Innovation</w:t>
      </w:r>
      <w:bookmarkEnd w:id="17"/>
    </w:p>
    <w:p w14:paraId="25D4D079" w14:textId="662BB13D" w:rsidR="0055713B" w:rsidRPr="009A7B80" w:rsidRDefault="0055713B" w:rsidP="0055713B">
      <w:r>
        <w:t>Pour répondre à ce critère, le demandeur doit décrire en quoi la résolution de son problème appuierait l</w:t>
      </w:r>
      <w:r w:rsidR="003C06B1">
        <w:t>’</w:t>
      </w:r>
      <w:r>
        <w:t>innovation, par exemple :</w:t>
      </w:r>
    </w:p>
    <w:p w14:paraId="704E78E9" w14:textId="4370FDC1" w:rsidR="0055713B" w:rsidRPr="009A7B80" w:rsidRDefault="0055713B" w:rsidP="0055713B">
      <w:pPr>
        <w:pStyle w:val="ListParagraph"/>
        <w:numPr>
          <w:ilvl w:val="0"/>
          <w:numId w:val="5"/>
        </w:numPr>
        <w:rPr>
          <w:rFonts w:eastAsia="Times New Roman" w:cstheme="minorHAnsi"/>
        </w:rPr>
      </w:pPr>
      <w:proofErr w:type="gramStart"/>
      <w:r>
        <w:t>l</w:t>
      </w:r>
      <w:r w:rsidR="003C06B1">
        <w:t>’</w:t>
      </w:r>
      <w:r>
        <w:t>accélération</w:t>
      </w:r>
      <w:proofErr w:type="gramEnd"/>
      <w:r>
        <w:t xml:space="preserve"> de l</w:t>
      </w:r>
      <w:r w:rsidR="003C06B1">
        <w:t>’</w:t>
      </w:r>
      <w:r>
        <w:t>introduction de produits, de services, de modèles d</w:t>
      </w:r>
      <w:r w:rsidR="003C06B1">
        <w:t>’</w:t>
      </w:r>
      <w:r>
        <w:t>affaires et de processus novateurs sur le marché canadien;</w:t>
      </w:r>
    </w:p>
    <w:p w14:paraId="0D818360" w14:textId="2A013111" w:rsidR="0055713B" w:rsidRPr="009A7B80" w:rsidRDefault="0055713B" w:rsidP="0055713B">
      <w:pPr>
        <w:pStyle w:val="ListParagraph"/>
        <w:numPr>
          <w:ilvl w:val="0"/>
          <w:numId w:val="5"/>
        </w:numPr>
      </w:pPr>
      <w:proofErr w:type="gramStart"/>
      <w:r>
        <w:t>des</w:t>
      </w:r>
      <w:proofErr w:type="gramEnd"/>
      <w:r>
        <w:t xml:space="preserve"> approches novatrices à l</w:t>
      </w:r>
      <w:r w:rsidR="003C06B1">
        <w:t>’</w:t>
      </w:r>
      <w:r>
        <w:t>une ou l</w:t>
      </w:r>
      <w:r w:rsidR="003C06B1">
        <w:t>’</w:t>
      </w:r>
      <w:r>
        <w:t>autre ou à l</w:t>
      </w:r>
      <w:r w:rsidR="003C06B1">
        <w:t>’</w:t>
      </w:r>
      <w:r>
        <w:t>ensemble des étapes du cycle réglementaire (définition des enjeux et choix des instruments, élaboration de la réglementation, administration, conformité/application et examen/évaluation).</w:t>
      </w:r>
    </w:p>
    <w:p w14:paraId="6EF8233A" w14:textId="227602AE" w:rsidR="0055713B" w:rsidRPr="009A7B80" w:rsidRDefault="0055713B" w:rsidP="00A44880">
      <w:pPr>
        <w:pStyle w:val="Heading1"/>
        <w:numPr>
          <w:ilvl w:val="1"/>
          <w:numId w:val="15"/>
        </w:numPr>
        <w:ind w:left="0" w:hanging="426"/>
        <w:rPr>
          <w:rFonts w:eastAsia="Times New Roman"/>
        </w:rPr>
      </w:pPr>
      <w:bookmarkStart w:id="18" w:name="_Assessment"/>
      <w:bookmarkStart w:id="19" w:name="_Toc119934122"/>
      <w:bookmarkEnd w:id="18"/>
      <w:r>
        <w:t>Critères d</w:t>
      </w:r>
      <w:r w:rsidR="003C06B1">
        <w:t>’</w:t>
      </w:r>
      <w:r>
        <w:t>évaluation</w:t>
      </w:r>
      <w:bookmarkEnd w:id="19"/>
    </w:p>
    <w:p w14:paraId="3A487713" w14:textId="65F02293" w:rsidR="005F2983" w:rsidRPr="009A7B80" w:rsidRDefault="0055713B" w:rsidP="00EC698C">
      <w:r>
        <w:t xml:space="preserve">Les demandes admissibles seront évaluées et classées par le comité directeur du CIR en fonction de </w:t>
      </w:r>
      <w:bookmarkStart w:id="20" w:name="_7.1_Public_Benefit:"/>
      <w:bookmarkEnd w:id="20"/>
      <w:r>
        <w:rPr>
          <w:b/>
          <w:bCs/>
        </w:rPr>
        <w:t>leurs avantages pour le public</w:t>
      </w:r>
      <w:r>
        <w:t>, de</w:t>
      </w:r>
      <w:r>
        <w:rPr>
          <w:b/>
          <w:bCs/>
        </w:rPr>
        <w:t xml:space="preserve"> leur viabilité</w:t>
      </w:r>
      <w:r>
        <w:t xml:space="preserve"> et de</w:t>
      </w:r>
      <w:r>
        <w:rPr>
          <w:b/>
          <w:bCs/>
        </w:rPr>
        <w:t xml:space="preserve"> leur harmonisation avec l</w:t>
      </w:r>
      <w:r w:rsidR="003C06B1">
        <w:rPr>
          <w:b/>
          <w:bCs/>
        </w:rPr>
        <w:t>’</w:t>
      </w:r>
      <w:r>
        <w:rPr>
          <w:b/>
          <w:bCs/>
        </w:rPr>
        <w:t>objectif du fonds</w:t>
      </w:r>
      <w:r>
        <w:t>.</w:t>
      </w:r>
    </w:p>
    <w:p w14:paraId="3EA0A0D9" w14:textId="499736E9" w:rsidR="0055713B" w:rsidRPr="009A7B80" w:rsidRDefault="0055713B" w:rsidP="00A44880">
      <w:pPr>
        <w:pStyle w:val="Heading1"/>
        <w:numPr>
          <w:ilvl w:val="2"/>
          <w:numId w:val="15"/>
        </w:numPr>
        <w:ind w:left="284"/>
        <w:rPr>
          <w:rFonts w:eastAsia="Times New Roman" w:cstheme="minorHAnsi"/>
          <w:bCs/>
        </w:rPr>
      </w:pPr>
      <w:bookmarkStart w:id="21" w:name="_Toc119934123"/>
      <w:r>
        <w:lastRenderedPageBreak/>
        <w:t>Avantages pour le public :</w:t>
      </w:r>
      <w:bookmarkEnd w:id="21"/>
    </w:p>
    <w:p w14:paraId="33477635" w14:textId="62FC5A65" w:rsidR="0055713B" w:rsidRPr="009A7B80" w:rsidRDefault="006B37D1" w:rsidP="0055713B">
      <w:pPr>
        <w:rPr>
          <w:rFonts w:eastAsia="Times New Roman" w:cstheme="minorHAnsi"/>
        </w:rPr>
      </w:pPr>
      <w:r>
        <w:t>Toutes les propositions seront évaluées en fonction de leurs avantages pour le public. L</w:t>
      </w:r>
      <w:r w:rsidR="003C06B1">
        <w:t>’</w:t>
      </w:r>
      <w:r>
        <w:t>avantage pour le public est la mesure dans laquelle les Canadiens tireront ou pourraient tirer avantage des apprentissages que l</w:t>
      </w:r>
      <w:r w:rsidR="003C06B1">
        <w:t>’</w:t>
      </w:r>
      <w:r>
        <w:t>expérimentation cherche à générer. Pour les projets préalables à l</w:t>
      </w:r>
      <w:r w:rsidR="003C06B1">
        <w:t>’</w:t>
      </w:r>
      <w:r>
        <w:t>expérimentation, l</w:t>
      </w:r>
      <w:r w:rsidR="003C06B1">
        <w:t>’</w:t>
      </w:r>
      <w:r>
        <w:t>avantage pour le public peut être mesuré en fonction des avantages escomptés de l</w:t>
      </w:r>
      <w:r w:rsidR="003C06B1">
        <w:t>’</w:t>
      </w:r>
      <w:r>
        <w:t>expérience proposée. Pour démontrer la mesure dans laquelle ils répondent à ce critère, les demandeurs sont encouragés à décrire en quoi l</w:t>
      </w:r>
      <w:r w:rsidR="003C06B1">
        <w:t>’</w:t>
      </w:r>
      <w:r>
        <w:t>expérience appuierait les éléments décrits ci-dessous, le cas échéant. D</w:t>
      </w:r>
      <w:r w:rsidR="003C06B1">
        <w:t>’</w:t>
      </w:r>
      <w:r>
        <w:t>autres éléments peuvent être acceptables.</w:t>
      </w:r>
    </w:p>
    <w:p w14:paraId="578E8CC5" w14:textId="49F4B5CF" w:rsidR="0055713B" w:rsidRPr="009A7B80" w:rsidRDefault="0055713B" w:rsidP="0055713B">
      <w:pPr>
        <w:pStyle w:val="ListParagraph"/>
        <w:numPr>
          <w:ilvl w:val="0"/>
          <w:numId w:val="5"/>
        </w:numPr>
        <w:rPr>
          <w:rStyle w:val="Hyperlink"/>
          <w:color w:val="auto"/>
          <w:u w:val="none"/>
        </w:rPr>
      </w:pPr>
      <w:proofErr w:type="gramStart"/>
      <w:r>
        <w:rPr>
          <w:rStyle w:val="Hyperlink"/>
          <w:color w:val="auto"/>
          <w:u w:val="none"/>
        </w:rPr>
        <w:t>l</w:t>
      </w:r>
      <w:r w:rsidR="003C06B1">
        <w:rPr>
          <w:rStyle w:val="Hyperlink"/>
          <w:color w:val="auto"/>
          <w:u w:val="none"/>
        </w:rPr>
        <w:t>’</w:t>
      </w:r>
      <w:r>
        <w:rPr>
          <w:rStyle w:val="Hyperlink"/>
          <w:color w:val="auto"/>
          <w:u w:val="none"/>
        </w:rPr>
        <w:t>économie</w:t>
      </w:r>
      <w:proofErr w:type="gramEnd"/>
      <w:r>
        <w:rPr>
          <w:rStyle w:val="Hyperlink"/>
          <w:color w:val="auto"/>
          <w:u w:val="none"/>
        </w:rPr>
        <w:t xml:space="preserve"> canadienne;</w:t>
      </w:r>
    </w:p>
    <w:p w14:paraId="12BB4047" w14:textId="5E6D17F6" w:rsidR="0055713B" w:rsidRPr="009A7B80" w:rsidRDefault="0055713B" w:rsidP="0055713B">
      <w:pPr>
        <w:pStyle w:val="ListParagraph"/>
        <w:numPr>
          <w:ilvl w:val="0"/>
          <w:numId w:val="5"/>
        </w:numPr>
        <w:rPr>
          <w:rStyle w:val="Hyperlink"/>
          <w:color w:val="auto"/>
          <w:u w:val="none"/>
        </w:rPr>
      </w:pPr>
      <w:proofErr w:type="gramStart"/>
      <w:r>
        <w:rPr>
          <w:rStyle w:val="Hyperlink"/>
          <w:color w:val="auto"/>
          <w:u w:val="none"/>
        </w:rPr>
        <w:t>la</w:t>
      </w:r>
      <w:proofErr w:type="gramEnd"/>
      <w:r>
        <w:rPr>
          <w:rStyle w:val="Hyperlink"/>
          <w:color w:val="auto"/>
          <w:u w:val="none"/>
        </w:rPr>
        <w:t xml:space="preserve"> compétitivité réglementaire du Canada;</w:t>
      </w:r>
    </w:p>
    <w:p w14:paraId="349DAE0C" w14:textId="3A0E01AE" w:rsidR="0055713B" w:rsidRPr="009A7B80" w:rsidRDefault="0055713B" w:rsidP="0055713B">
      <w:pPr>
        <w:pStyle w:val="ListParagraph"/>
        <w:numPr>
          <w:ilvl w:val="0"/>
          <w:numId w:val="5"/>
        </w:numPr>
        <w:rPr>
          <w:rStyle w:val="Hyperlink"/>
          <w:color w:val="auto"/>
          <w:u w:val="none"/>
        </w:rPr>
      </w:pPr>
      <w:proofErr w:type="gramStart"/>
      <w:r>
        <w:rPr>
          <w:rStyle w:val="Hyperlink"/>
          <w:color w:val="auto"/>
          <w:u w:val="none"/>
        </w:rPr>
        <w:t>la</w:t>
      </w:r>
      <w:proofErr w:type="gramEnd"/>
      <w:r>
        <w:rPr>
          <w:rStyle w:val="Hyperlink"/>
          <w:color w:val="auto"/>
          <w:u w:val="none"/>
        </w:rPr>
        <w:t xml:space="preserve"> santé et la sécurité des Canadiens;</w:t>
      </w:r>
    </w:p>
    <w:p w14:paraId="202ADC6D" w14:textId="42C19278" w:rsidR="0055713B" w:rsidRPr="009A7B80" w:rsidRDefault="0055713B" w:rsidP="0055713B">
      <w:pPr>
        <w:pStyle w:val="ListParagraph"/>
        <w:numPr>
          <w:ilvl w:val="0"/>
          <w:numId w:val="5"/>
        </w:numPr>
        <w:rPr>
          <w:rStyle w:val="Hyperlink"/>
          <w:color w:val="auto"/>
          <w:u w:val="none"/>
        </w:rPr>
      </w:pPr>
      <w:proofErr w:type="gramStart"/>
      <w:r>
        <w:rPr>
          <w:rStyle w:val="Hyperlink"/>
          <w:color w:val="auto"/>
          <w:u w:val="none"/>
        </w:rPr>
        <w:t>l</w:t>
      </w:r>
      <w:r w:rsidR="003C06B1">
        <w:rPr>
          <w:rStyle w:val="Hyperlink"/>
          <w:color w:val="auto"/>
          <w:u w:val="none"/>
        </w:rPr>
        <w:t>’</w:t>
      </w:r>
      <w:r>
        <w:rPr>
          <w:rStyle w:val="Hyperlink"/>
          <w:color w:val="auto"/>
          <w:u w:val="none"/>
        </w:rPr>
        <w:t>environnement</w:t>
      </w:r>
      <w:proofErr w:type="gramEnd"/>
      <w:r>
        <w:rPr>
          <w:rStyle w:val="Hyperlink"/>
          <w:color w:val="auto"/>
          <w:u w:val="none"/>
        </w:rPr>
        <w:t>;</w:t>
      </w:r>
    </w:p>
    <w:p w14:paraId="275701D0" w14:textId="70371C95" w:rsidR="0055713B" w:rsidRPr="009A7B80" w:rsidRDefault="0055713B" w:rsidP="0055713B">
      <w:pPr>
        <w:pStyle w:val="ListParagraph"/>
        <w:numPr>
          <w:ilvl w:val="0"/>
          <w:numId w:val="5"/>
        </w:numPr>
        <w:rPr>
          <w:rStyle w:val="Hyperlink"/>
          <w:color w:val="auto"/>
          <w:u w:val="none"/>
        </w:rPr>
      </w:pPr>
      <w:proofErr w:type="gramStart"/>
      <w:r>
        <w:rPr>
          <w:rStyle w:val="Hyperlink"/>
          <w:color w:val="auto"/>
          <w:u w:val="none"/>
        </w:rPr>
        <w:t>les</w:t>
      </w:r>
      <w:proofErr w:type="gramEnd"/>
      <w:r>
        <w:rPr>
          <w:rStyle w:val="Hyperlink"/>
          <w:color w:val="auto"/>
          <w:u w:val="none"/>
        </w:rPr>
        <w:t xml:space="preserve"> priorités ou les investissements du gouvernement du Canada.</w:t>
      </w:r>
    </w:p>
    <w:p w14:paraId="5EF95134" w14:textId="43D2A030" w:rsidR="0055713B" w:rsidRPr="009A7B80" w:rsidRDefault="0055713B" w:rsidP="00A44880">
      <w:pPr>
        <w:pStyle w:val="Heading1"/>
        <w:numPr>
          <w:ilvl w:val="2"/>
          <w:numId w:val="15"/>
        </w:numPr>
        <w:ind w:left="284"/>
        <w:rPr>
          <w:rFonts w:eastAsia="Times New Roman" w:cstheme="minorHAnsi"/>
          <w:bCs/>
        </w:rPr>
      </w:pPr>
      <w:bookmarkStart w:id="22" w:name="_Toc119934124"/>
      <w:r>
        <w:t>Viabilité :</w:t>
      </w:r>
      <w:bookmarkEnd w:id="22"/>
      <w:r>
        <w:t xml:space="preserve"> </w:t>
      </w:r>
    </w:p>
    <w:p w14:paraId="24E2A03F" w14:textId="68EE1C1A" w:rsidR="007904A8" w:rsidRPr="009A7B80" w:rsidRDefault="0032422F" w:rsidP="0055713B">
      <w:pPr>
        <w:rPr>
          <w:rFonts w:eastAsia="Times New Roman" w:cstheme="minorHAnsi"/>
        </w:rPr>
      </w:pPr>
      <w:r>
        <w:t>La viabilité est évaluée différemment pour les propositions de projet préalable à l</w:t>
      </w:r>
      <w:r w:rsidR="003C06B1">
        <w:t>’</w:t>
      </w:r>
      <w:r>
        <w:t>expérimentation et les propositions de réalisation d</w:t>
      </w:r>
      <w:r w:rsidR="003C06B1">
        <w:t>’</w:t>
      </w:r>
      <w:r>
        <w:t xml:space="preserve">une expérience réglementaire. </w:t>
      </w:r>
    </w:p>
    <w:p w14:paraId="332C01B9" w14:textId="68593948" w:rsidR="00E5645A" w:rsidRPr="009A7B80" w:rsidRDefault="00905B16" w:rsidP="0032422F">
      <w:pPr>
        <w:rPr>
          <w:rFonts w:eastAsia="Times New Roman" w:cstheme="minorHAnsi"/>
        </w:rPr>
      </w:pPr>
      <w:r>
        <w:t>Pour les propositions de projet préalable à l</w:t>
      </w:r>
      <w:r w:rsidR="003C06B1">
        <w:t>’</w:t>
      </w:r>
      <w:r>
        <w:t>expérimentation, l</w:t>
      </w:r>
      <w:r w:rsidR="003C06B1">
        <w:t>’</w:t>
      </w:r>
      <w:r>
        <w:t>évaluation de la viabilité prendra en compte ce qui suit :</w:t>
      </w:r>
    </w:p>
    <w:p w14:paraId="0419CADD" w14:textId="4A996F3D" w:rsidR="00E5645A" w:rsidRPr="009A7B80" w:rsidRDefault="00EE5070" w:rsidP="00CB1891">
      <w:pPr>
        <w:pStyle w:val="ListParagraph"/>
        <w:numPr>
          <w:ilvl w:val="0"/>
          <w:numId w:val="23"/>
        </w:numPr>
        <w:rPr>
          <w:rFonts w:eastAsia="Times New Roman" w:cstheme="minorHAnsi"/>
        </w:rPr>
      </w:pPr>
      <w:proofErr w:type="gramStart"/>
      <w:r>
        <w:t>la</w:t>
      </w:r>
      <w:proofErr w:type="gramEnd"/>
      <w:r>
        <w:t xml:space="preserve"> détermination et l</w:t>
      </w:r>
      <w:r w:rsidR="003C06B1">
        <w:t>’</w:t>
      </w:r>
      <w:r>
        <w:t>atténuation des risques;</w:t>
      </w:r>
    </w:p>
    <w:p w14:paraId="54D1BADA" w14:textId="1A654363" w:rsidR="00435EC4" w:rsidRPr="009A7B80" w:rsidRDefault="00564B49" w:rsidP="00CB1891">
      <w:pPr>
        <w:pStyle w:val="ListParagraph"/>
        <w:numPr>
          <w:ilvl w:val="0"/>
          <w:numId w:val="23"/>
        </w:numPr>
        <w:rPr>
          <w:rFonts w:eastAsia="Times New Roman" w:cstheme="minorHAnsi"/>
        </w:rPr>
      </w:pPr>
      <w:proofErr w:type="gramStart"/>
      <w:r>
        <w:t>la</w:t>
      </w:r>
      <w:proofErr w:type="gramEnd"/>
      <w:r>
        <w:t xml:space="preserve"> planification de projet; </w:t>
      </w:r>
    </w:p>
    <w:p w14:paraId="39C886BA" w14:textId="311AA1D9" w:rsidR="00905B16" w:rsidRPr="009A7B80" w:rsidRDefault="00A63095" w:rsidP="00CB1891">
      <w:pPr>
        <w:pStyle w:val="ListParagraph"/>
        <w:numPr>
          <w:ilvl w:val="0"/>
          <w:numId w:val="23"/>
        </w:numPr>
        <w:rPr>
          <w:rFonts w:eastAsia="Times New Roman" w:cstheme="minorHAnsi"/>
        </w:rPr>
      </w:pPr>
      <w:proofErr w:type="gramStart"/>
      <w:r>
        <w:t>la</w:t>
      </w:r>
      <w:proofErr w:type="gramEnd"/>
      <w:r>
        <w:t xml:space="preserve"> faisabilité des échéanciers et des livrables proposés.</w:t>
      </w:r>
    </w:p>
    <w:p w14:paraId="1DAD1F72" w14:textId="224C14EB" w:rsidR="0055713B" w:rsidRPr="009A7B80" w:rsidRDefault="00974C09" w:rsidP="0055713B">
      <w:pPr>
        <w:rPr>
          <w:rFonts w:eastAsia="Times New Roman" w:cstheme="minorHAnsi"/>
        </w:rPr>
      </w:pPr>
      <w:r>
        <w:t>Pour les propositions d</w:t>
      </w:r>
      <w:r w:rsidR="003C06B1">
        <w:t>’</w:t>
      </w:r>
      <w:r>
        <w:t>expériences réglementaires, la viabilité est une mesure de la probabilité que l</w:t>
      </w:r>
      <w:r w:rsidR="003C06B1">
        <w:t>’</w:t>
      </w:r>
      <w:r>
        <w:t>expérience produise les apprentissages recherchés. Cela inclut une évaluation du lien entre les apprentissages recherchés et le problème que l</w:t>
      </w:r>
      <w:r w:rsidR="003C06B1">
        <w:t>’</w:t>
      </w:r>
      <w:r>
        <w:t>expérience vise à résoudre. Pour démontrer la viabilité de leur expérience, les demandeurs doivent fournir ce qui suit :</w:t>
      </w:r>
    </w:p>
    <w:p w14:paraId="3A1634C3" w14:textId="167F0287" w:rsidR="0097640D" w:rsidRPr="009A7B80" w:rsidRDefault="00921C79" w:rsidP="0097640D">
      <w:pPr>
        <w:pStyle w:val="ListParagraph"/>
        <w:numPr>
          <w:ilvl w:val="0"/>
          <w:numId w:val="7"/>
        </w:numPr>
        <w:rPr>
          <w:rFonts w:eastAsia="Times New Roman" w:cstheme="minorHAnsi"/>
        </w:rPr>
      </w:pPr>
      <w:proofErr w:type="gramStart"/>
      <w:r>
        <w:t>une</w:t>
      </w:r>
      <w:proofErr w:type="gramEnd"/>
      <w:r>
        <w:t xml:space="preserve"> description des progrès actuels et des plans pour résoudre le problème, y compris la recherche ou les analyses pertinentes, l</w:t>
      </w:r>
      <w:r w:rsidR="003C06B1">
        <w:t>’</w:t>
      </w:r>
      <w:r>
        <w:t>exercice de prospective, l</w:t>
      </w:r>
      <w:r w:rsidR="003C06B1">
        <w:t>’</w:t>
      </w:r>
      <w:r>
        <w:t>analyse du système ou de la conception, la recherche comportementale, etc.</w:t>
      </w:r>
      <w:r w:rsidR="006071E4">
        <w:t>;</w:t>
      </w:r>
      <w:r>
        <w:t xml:space="preserve"> </w:t>
      </w:r>
    </w:p>
    <w:p w14:paraId="06C5F142" w14:textId="686903C8" w:rsidR="00196A76" w:rsidRPr="009A7B80" w:rsidRDefault="00196A76" w:rsidP="0055713B">
      <w:pPr>
        <w:pStyle w:val="ListParagraph"/>
        <w:numPr>
          <w:ilvl w:val="0"/>
          <w:numId w:val="7"/>
        </w:numPr>
        <w:rPr>
          <w:rFonts w:eastAsia="Times New Roman" w:cstheme="minorHAnsi"/>
        </w:rPr>
      </w:pPr>
      <w:proofErr w:type="gramStart"/>
      <w:r>
        <w:t>les</w:t>
      </w:r>
      <w:proofErr w:type="gramEnd"/>
      <w:r>
        <w:t xml:space="preserve"> raisons pour lesquelles une expérience est proposée pour obtenir les renseignements ou les données probantes recherchées;</w:t>
      </w:r>
    </w:p>
    <w:p w14:paraId="1EA939B1" w14:textId="25B4C6EB" w:rsidR="0055713B" w:rsidRPr="009A7B80" w:rsidRDefault="0055713B" w:rsidP="0055713B">
      <w:pPr>
        <w:pStyle w:val="ListParagraph"/>
        <w:numPr>
          <w:ilvl w:val="0"/>
          <w:numId w:val="7"/>
        </w:numPr>
        <w:rPr>
          <w:rFonts w:eastAsia="Times New Roman" w:cstheme="minorHAnsi"/>
        </w:rPr>
      </w:pPr>
      <w:proofErr w:type="gramStart"/>
      <w:r>
        <w:t>un</w:t>
      </w:r>
      <w:proofErr w:type="gramEnd"/>
      <w:r>
        <w:t xml:space="preserve"> plan pour utiliser les apprentissages tirés de l</w:t>
      </w:r>
      <w:r w:rsidR="003C06B1">
        <w:t>’</w:t>
      </w:r>
      <w:r>
        <w:t>expérience pour résoudre le problème de réglementation;</w:t>
      </w:r>
    </w:p>
    <w:p w14:paraId="38CE8701" w14:textId="68769490" w:rsidR="0055713B" w:rsidRPr="009A7B80" w:rsidRDefault="000912F9" w:rsidP="0055713B">
      <w:pPr>
        <w:pStyle w:val="ListParagraph"/>
        <w:numPr>
          <w:ilvl w:val="0"/>
          <w:numId w:val="7"/>
        </w:numPr>
        <w:rPr>
          <w:rFonts w:eastAsia="Times New Roman" w:cstheme="minorHAnsi"/>
        </w:rPr>
      </w:pPr>
      <w:proofErr w:type="gramStart"/>
      <w:r>
        <w:t>une</w:t>
      </w:r>
      <w:proofErr w:type="gramEnd"/>
      <w:r>
        <w:t xml:space="preserve"> évaluation des risques et des renseignements sur l</w:t>
      </w:r>
      <w:r w:rsidR="003C06B1">
        <w:t>’</w:t>
      </w:r>
      <w:r>
        <w:t>atténuation des risques;</w:t>
      </w:r>
    </w:p>
    <w:p w14:paraId="661E0FC5" w14:textId="143D5AAE" w:rsidR="0055713B" w:rsidRPr="009A7B80" w:rsidRDefault="00AD1C96" w:rsidP="0055713B">
      <w:pPr>
        <w:pStyle w:val="ListParagraph"/>
        <w:numPr>
          <w:ilvl w:val="0"/>
          <w:numId w:val="7"/>
        </w:numPr>
        <w:rPr>
          <w:rFonts w:eastAsia="Times New Roman" w:cstheme="minorHAnsi"/>
        </w:rPr>
      </w:pPr>
      <w:proofErr w:type="gramStart"/>
      <w:r>
        <w:t>un</w:t>
      </w:r>
      <w:proofErr w:type="gramEnd"/>
      <w:r>
        <w:t xml:space="preserve"> plan d</w:t>
      </w:r>
      <w:r w:rsidR="003C06B1">
        <w:t>’</w:t>
      </w:r>
      <w:r>
        <w:t>expérimentation comprenant une description de la méthode expérimentale et des mesures.</w:t>
      </w:r>
    </w:p>
    <w:p w14:paraId="00C52998" w14:textId="7B068BC1" w:rsidR="00A25613" w:rsidRPr="009A7B80" w:rsidRDefault="00E74802" w:rsidP="000D2B25">
      <w:pPr>
        <w:rPr>
          <w:rFonts w:eastAsia="Times New Roman" w:cstheme="minorHAnsi"/>
        </w:rPr>
      </w:pPr>
      <w:r>
        <w:t>Pour tous les projets, l</w:t>
      </w:r>
      <w:r w:rsidR="003C06B1">
        <w:t>’</w:t>
      </w:r>
      <w:r>
        <w:t>évaluation de la viabilité comprendra également une évaluation du rapport qualité-prix. Les demandeurs devront soumettre les coûts totaux prévus de l</w:t>
      </w:r>
      <w:r w:rsidR="003C06B1">
        <w:t>’</w:t>
      </w:r>
      <w:r>
        <w:t xml:space="preserve">expérience, y compris le montant du financement demandé au CIR et les ressources internes qui seront consacrées au projet. </w:t>
      </w:r>
    </w:p>
    <w:p w14:paraId="770BDADE" w14:textId="1D21C646" w:rsidR="00982C19" w:rsidRPr="009A7B80" w:rsidRDefault="008758AC" w:rsidP="008758AC">
      <w:pPr>
        <w:pStyle w:val="Heading1"/>
        <w:numPr>
          <w:ilvl w:val="0"/>
          <w:numId w:val="15"/>
        </w:numPr>
        <w:ind w:left="0" w:hanging="284"/>
        <w:rPr>
          <w:rFonts w:eastAsia="Times New Roman"/>
        </w:rPr>
      </w:pPr>
      <w:bookmarkStart w:id="23" w:name="_Toc119934125"/>
      <w:r>
        <w:lastRenderedPageBreak/>
        <w:t>Processus de demande</w:t>
      </w:r>
      <w:bookmarkEnd w:id="23"/>
    </w:p>
    <w:p w14:paraId="1C9E1941" w14:textId="06266DBF" w:rsidR="008758AC" w:rsidRPr="009A7B80" w:rsidRDefault="008758AC" w:rsidP="00063798">
      <w:r>
        <w:t>Le CIR lancera un appel à présenter des demandes au FDER au moins une fois par an. Cependant, les demandeurs peuvent présenter une demande au fonds tout au long de l</w:t>
      </w:r>
      <w:r w:rsidR="003C06B1">
        <w:t>’</w:t>
      </w:r>
      <w:r>
        <w:t>année en dehors du cycle d</w:t>
      </w:r>
      <w:r w:rsidR="003C06B1">
        <w:t>’</w:t>
      </w:r>
      <w:r>
        <w:t xml:space="preserve">appel. </w:t>
      </w:r>
    </w:p>
    <w:p w14:paraId="783B8F3A" w14:textId="4016DFFA" w:rsidR="008758AC" w:rsidRPr="009A7B80" w:rsidRDefault="00A8128A" w:rsidP="008758AC">
      <w:r>
        <w:t>Pour limiter le fardeau lié à la rédaction de propositions complètes, le CIR utilise un processus en deux étapes pour prendre des décisions de financement. Le demandeur soumet d</w:t>
      </w:r>
      <w:r w:rsidR="003C06B1">
        <w:t>’</w:t>
      </w:r>
      <w:r>
        <w:t>abord une déclaration d</w:t>
      </w:r>
      <w:r w:rsidR="003C06B1">
        <w:t>’</w:t>
      </w:r>
      <w:r>
        <w:t xml:space="preserve">intérêt de haut niveau qui sera examinée par le CIR en fonction des </w:t>
      </w:r>
      <w:hyperlink w:anchor="_Eligibility_Criteria_1" w:history="1">
        <w:r>
          <w:rPr>
            <w:rStyle w:val="Hyperlink"/>
          </w:rPr>
          <w:t>critères d</w:t>
        </w:r>
        <w:r w:rsidR="003C06B1">
          <w:rPr>
            <w:rStyle w:val="Hyperlink"/>
          </w:rPr>
          <w:t>’</w:t>
        </w:r>
        <w:r>
          <w:rPr>
            <w:rStyle w:val="Hyperlink"/>
          </w:rPr>
          <w:t>admissibilité</w:t>
        </w:r>
      </w:hyperlink>
      <w:r>
        <w:t xml:space="preserve">. </w:t>
      </w:r>
    </w:p>
    <w:p w14:paraId="1FF2A240" w14:textId="18B6F064" w:rsidR="008758AC" w:rsidRPr="009A7B80" w:rsidRDefault="007F7882" w:rsidP="00D670CF">
      <w:r>
        <w:t>Si le CIR estime que l</w:t>
      </w:r>
      <w:r w:rsidR="003C06B1">
        <w:t>’</w:t>
      </w:r>
      <w:r>
        <w:t xml:space="preserve">idée de projet est conforme aux critères, le demandeur sera invité à soumettre une proposition de projet complète. La proposition exige la soumission de renseignements plus détaillés nécessaires pour prendre les décisions finales de financement. Les propositions doivent inclure des renseignements plus détaillés liés aux </w:t>
      </w:r>
      <w:hyperlink w:anchor="_Assessment" w:history="1">
        <w:r>
          <w:rPr>
            <w:rStyle w:val="Hyperlink"/>
          </w:rPr>
          <w:t>critères d</w:t>
        </w:r>
        <w:r w:rsidR="003C06B1">
          <w:rPr>
            <w:rStyle w:val="Hyperlink"/>
          </w:rPr>
          <w:t>’</w:t>
        </w:r>
        <w:r>
          <w:rPr>
            <w:rStyle w:val="Hyperlink"/>
          </w:rPr>
          <w:t>évaluation</w:t>
        </w:r>
      </w:hyperlink>
      <w:r>
        <w:t xml:space="preserve"> pour permettre au comité directeur du CIR de classer les demandes en fonction de leur mérite et de prendre les décisions finales de financement. </w:t>
      </w:r>
    </w:p>
    <w:p w14:paraId="1318DAA8" w14:textId="1A902AC6" w:rsidR="00D30B5B" w:rsidRPr="009A7B80" w:rsidRDefault="00D30B5B" w:rsidP="008758AC">
      <w:pPr>
        <w:pStyle w:val="Heading1"/>
        <w:numPr>
          <w:ilvl w:val="1"/>
          <w:numId w:val="15"/>
        </w:numPr>
        <w:ind w:left="0" w:hanging="426"/>
        <w:rPr>
          <w:rFonts w:eastAsia="Times New Roman"/>
        </w:rPr>
      </w:pPr>
      <w:bookmarkStart w:id="24" w:name="_Toc119934126"/>
      <w:r>
        <w:t>Déclaration d</w:t>
      </w:r>
      <w:r w:rsidR="003C06B1">
        <w:t>’</w:t>
      </w:r>
      <w:r>
        <w:t>intérêt</w:t>
      </w:r>
      <w:bookmarkEnd w:id="24"/>
      <w:r>
        <w:t xml:space="preserve"> </w:t>
      </w:r>
    </w:p>
    <w:p w14:paraId="3B892338" w14:textId="28E414D0" w:rsidR="00D30B5B" w:rsidRPr="009A7B80" w:rsidRDefault="00D30B5B" w:rsidP="00D30B5B">
      <w:pPr>
        <w:rPr>
          <w:rFonts w:eastAsia="Times New Roman" w:cstheme="minorHAnsi"/>
        </w:rPr>
      </w:pPr>
      <w:r>
        <w:t>L</w:t>
      </w:r>
      <w:r w:rsidR="003C06B1">
        <w:t>’</w:t>
      </w:r>
      <w:r>
        <w:t>objectif de la déclaration d</w:t>
      </w:r>
      <w:r w:rsidR="003C06B1">
        <w:t>’</w:t>
      </w:r>
      <w:r>
        <w:t>intérêt est de donner l</w:t>
      </w:r>
      <w:r w:rsidR="003C06B1">
        <w:t>’</w:t>
      </w:r>
      <w:r>
        <w:t>occasion aux ministères et organismes de manifester leur intérêt pour le FDER sans devoir décrire une expérience ou un projet en détail. Les demandeurs doivent remplir le gabarit de déclaration d</w:t>
      </w:r>
      <w:r w:rsidR="003C06B1">
        <w:t>’</w:t>
      </w:r>
      <w:r>
        <w:t>intérêt, qui est conçu pour renfermer assez de renseignements pour permettre au CIR :</w:t>
      </w:r>
    </w:p>
    <w:p w14:paraId="1718E590" w14:textId="6B59B57A" w:rsidR="00D30B5B" w:rsidRPr="009A7B80" w:rsidRDefault="00D30B5B" w:rsidP="00D30B5B">
      <w:pPr>
        <w:pStyle w:val="ListParagraph"/>
        <w:numPr>
          <w:ilvl w:val="0"/>
          <w:numId w:val="9"/>
        </w:numPr>
        <w:rPr>
          <w:rFonts w:eastAsia="Times New Roman" w:cstheme="minorHAnsi"/>
        </w:rPr>
      </w:pPr>
      <w:proofErr w:type="gramStart"/>
      <w:r>
        <w:t>de</w:t>
      </w:r>
      <w:proofErr w:type="gramEnd"/>
      <w:r>
        <w:t xml:space="preserve"> recenser les demandes qui répondent aux </w:t>
      </w:r>
      <w:hyperlink w:anchor="Eligibility" w:history="1">
        <w:r>
          <w:rPr>
            <w:rStyle w:val="Hyperlink"/>
          </w:rPr>
          <w:t>critères d</w:t>
        </w:r>
        <w:r w:rsidR="003C06B1">
          <w:rPr>
            <w:rStyle w:val="Hyperlink"/>
          </w:rPr>
          <w:t>’</w:t>
        </w:r>
        <w:r>
          <w:rPr>
            <w:rStyle w:val="Hyperlink"/>
          </w:rPr>
          <w:t>admissibilité</w:t>
        </w:r>
      </w:hyperlink>
      <w:r>
        <w:t xml:space="preserve">; </w:t>
      </w:r>
    </w:p>
    <w:p w14:paraId="312B88C0" w14:textId="13A32726" w:rsidR="00D30B5B" w:rsidRPr="009A7B80" w:rsidRDefault="00D30B5B" w:rsidP="00D30B5B">
      <w:pPr>
        <w:pStyle w:val="ListParagraph"/>
        <w:numPr>
          <w:ilvl w:val="0"/>
          <w:numId w:val="9"/>
        </w:numPr>
        <w:rPr>
          <w:rFonts w:eastAsia="Times New Roman" w:cstheme="minorHAnsi"/>
        </w:rPr>
      </w:pPr>
      <w:proofErr w:type="gramStart"/>
      <w:r>
        <w:t>d</w:t>
      </w:r>
      <w:r w:rsidR="003C06B1">
        <w:t>’</w:t>
      </w:r>
      <w:r>
        <w:t>avoir</w:t>
      </w:r>
      <w:proofErr w:type="gramEnd"/>
      <w:r>
        <w:t xml:space="preserve"> une idée générale de l</w:t>
      </w:r>
      <w:r w:rsidR="003C06B1">
        <w:t>’</w:t>
      </w:r>
      <w:r>
        <w:t xml:space="preserve">expérience ou du projet proposé; </w:t>
      </w:r>
    </w:p>
    <w:p w14:paraId="076122E3" w14:textId="255258B1" w:rsidR="00D30B5B" w:rsidRPr="009A7B80" w:rsidRDefault="00D30B5B" w:rsidP="009D09E6">
      <w:pPr>
        <w:pStyle w:val="ListParagraph"/>
        <w:numPr>
          <w:ilvl w:val="0"/>
          <w:numId w:val="9"/>
        </w:numPr>
        <w:rPr>
          <w:rFonts w:eastAsia="Times New Roman" w:cstheme="minorHAnsi"/>
        </w:rPr>
      </w:pPr>
      <w:proofErr w:type="gramStart"/>
      <w:r>
        <w:t>de</w:t>
      </w:r>
      <w:proofErr w:type="gramEnd"/>
      <w:r>
        <w:t xml:space="preserve"> veiller à ce que l</w:t>
      </w:r>
      <w:r w:rsidR="003C06B1">
        <w:t>’</w:t>
      </w:r>
      <w:r>
        <w:t>expérience atteigne un seuil minimal de viabilité.</w:t>
      </w:r>
    </w:p>
    <w:p w14:paraId="7FC057BF" w14:textId="10EEEAD8" w:rsidR="00F824D4" w:rsidRPr="009A7B80" w:rsidRDefault="00577B48" w:rsidP="001F2D4A">
      <w:pPr>
        <w:pStyle w:val="ListParagraph"/>
        <w:ind w:left="767"/>
      </w:pPr>
      <w:r>
        <w:rPr>
          <w:noProof/>
        </w:rPr>
        <mc:AlternateContent>
          <mc:Choice Requires="wps">
            <w:drawing>
              <wp:anchor distT="0" distB="0" distL="114300" distR="114300" simplePos="0" relativeHeight="251658243" behindDoc="0" locked="0" layoutInCell="1" allowOverlap="1" wp14:anchorId="5196FC1A" wp14:editId="16715963">
                <wp:simplePos x="0" y="0"/>
                <wp:positionH relativeFrom="column">
                  <wp:posOffset>593090</wp:posOffset>
                </wp:positionH>
                <wp:positionV relativeFrom="paragraph">
                  <wp:posOffset>67499</wp:posOffset>
                </wp:positionV>
                <wp:extent cx="5283835" cy="812042"/>
                <wp:effectExtent l="0" t="0" r="0" b="7620"/>
                <wp:wrapNone/>
                <wp:docPr id="6" name="Rectangle 6"/>
                <wp:cNvGraphicFramePr/>
                <a:graphic xmlns:a="http://schemas.openxmlformats.org/drawingml/2006/main">
                  <a:graphicData uri="http://schemas.microsoft.com/office/word/2010/wordprocessingShape">
                    <wps:wsp>
                      <wps:cNvSpPr/>
                      <wps:spPr>
                        <a:xfrm>
                          <a:off x="0" y="0"/>
                          <a:ext cx="5283835" cy="812042"/>
                        </a:xfrm>
                        <a:prstGeom prst="rect">
                          <a:avLst/>
                        </a:prstGeom>
                        <a:solidFill>
                          <a:schemeClr val="accent6">
                            <a:lumMod val="20000"/>
                            <a:lumOff val="80000"/>
                            <a:alpha val="8549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24FC72" w14:textId="62A551BC" w:rsidR="000700B2" w:rsidRPr="000700B2" w:rsidRDefault="000700B2" w:rsidP="000700B2">
                            <w:pPr>
                              <w:rPr>
                                <w:color w:val="000000" w:themeColor="text1"/>
                              </w:rPr>
                            </w:pPr>
                            <w:r>
                              <w:rPr>
                                <w:color w:val="000000" w:themeColor="text1"/>
                              </w:rPr>
                              <w:t xml:space="preserve">Avant de présenter une demande, nous vous recommandons de communiquer avec le CIR à </w:t>
                            </w:r>
                            <w:hyperlink r:id="rId13" w:history="1">
                              <w:r>
                                <w:rPr>
                                  <w:rStyle w:val="Hyperlink"/>
                                </w:rPr>
                                <w:t>CRI-CIR@tbs-sct.gc.ca</w:t>
                              </w:r>
                            </w:hyperlink>
                            <w:r>
                              <w:rPr>
                                <w:color w:val="000000" w:themeColor="text1"/>
                              </w:rPr>
                              <w:t xml:space="preserve"> pour discuter de votre idée et clarifier toutes questions que vous pourriez avoir. Le CIR travaillera avec vous pour positionner au mieux votre projet afin qu</w:t>
                            </w:r>
                            <w:r w:rsidR="003C06B1">
                              <w:rPr>
                                <w:color w:val="000000" w:themeColor="text1"/>
                              </w:rPr>
                              <w:t>’</w:t>
                            </w:r>
                            <w:r>
                              <w:rPr>
                                <w:color w:val="000000" w:themeColor="text1"/>
                              </w:rPr>
                              <w:t xml:space="preserve">il ait </w:t>
                            </w:r>
                            <w:proofErr w:type="gramStart"/>
                            <w:r>
                              <w:rPr>
                                <w:color w:val="000000" w:themeColor="text1"/>
                              </w:rPr>
                              <w:t>les meilleures chances possible</w:t>
                            </w:r>
                            <w:proofErr w:type="gramEnd"/>
                            <w:r>
                              <w:rPr>
                                <w:color w:val="000000" w:themeColor="text1"/>
                              </w:rPr>
                              <w:t xml:space="preserve"> d</w:t>
                            </w:r>
                            <w:r w:rsidR="003C06B1">
                              <w:rPr>
                                <w:color w:val="000000" w:themeColor="text1"/>
                              </w:rPr>
                              <w:t>’</w:t>
                            </w:r>
                            <w:r>
                              <w:rPr>
                                <w:color w:val="000000" w:themeColor="text1"/>
                              </w:rPr>
                              <w:t>obtenir du soutien.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96FC1A" id="Rectangle 6" o:spid="_x0000_s1027" style="position:absolute;left:0;text-align:left;margin-left:46.7pt;margin-top:5.3pt;width:416.05pt;height:63.9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" fillcolor="#e2efd9 [665]" stroked="f" strokeweight="1pt">
                <v:fill opacity="56026f"/>
                <v:textbox>
                  <w:txbxContent>
                    <w:p w14:paraId="3D24FC72" w14:textId="62A551BC" w:rsidR="000700B2" w:rsidRPr="000700B2" w:rsidRDefault="000700B2" w:rsidP="000700B2">
                      <w:pPr>
                        <w:rPr>
                          <w:color w:val="000000" w:themeColor="text1"/>
                        </w:rPr>
                      </w:pPr>
                      <w:r>
                        <w:rPr>
                          <w:color w:val="000000" w:themeColor="text1"/>
                        </w:rPr>
                        <w:t xml:space="preserve">Avant de présenter une demande, nous vous recommandons de communiquer avec le CIR à </w:t>
                      </w:r>
                      <w:hyperlink r:id="rId14" w:history="1">
                        <w:r>
                          <w:rPr>
                            <w:rStyle w:val="Hyperlink"/>
                          </w:rPr>
                          <w:t>CRI-CIR@tbs-sct.gc.ca</w:t>
                        </w:r>
                      </w:hyperlink>
                      <w:r>
                        <w:rPr>
                          <w:color w:val="000000" w:themeColor="text1"/>
                        </w:rPr>
                        <w:t xml:space="preserve"> pour discuter de votre idée et clarifier toutes questions que vous pourriez avoir. Le CIR travaillera avec vous pour positionner au mieux votre projet afin qu</w:t>
                      </w:r>
                      <w:r w:rsidR="003C06B1">
                        <w:rPr>
                          <w:color w:val="000000" w:themeColor="text1"/>
                        </w:rPr>
                        <w:t>’</w:t>
                      </w:r>
                      <w:r>
                        <w:rPr>
                          <w:color w:val="000000" w:themeColor="text1"/>
                        </w:rPr>
                        <w:t xml:space="preserve">il ait </w:t>
                      </w:r>
                      <w:proofErr w:type="gramStart"/>
                      <w:r>
                        <w:rPr>
                          <w:color w:val="000000" w:themeColor="text1"/>
                        </w:rPr>
                        <w:t>les meilleures chances possible</w:t>
                      </w:r>
                      <w:proofErr w:type="gramEnd"/>
                      <w:r>
                        <w:rPr>
                          <w:color w:val="000000" w:themeColor="text1"/>
                        </w:rPr>
                        <w:t xml:space="preserve"> d</w:t>
                      </w:r>
                      <w:r w:rsidR="003C06B1">
                        <w:rPr>
                          <w:color w:val="000000" w:themeColor="text1"/>
                        </w:rPr>
                        <w:t>’</w:t>
                      </w:r>
                      <w:r>
                        <w:rPr>
                          <w:color w:val="000000" w:themeColor="text1"/>
                        </w:rPr>
                        <w:t>obtenir du soutien.</w:t>
                      </w:r>
                    </w:p>
                  </w:txbxContent>
                </v:textbox>
              </v:rect>
            </w:pict>
          </mc:Fallback>
        </mc:AlternateContent>
      </w:r>
      <w:r>
        <w:rPr>
          <w:noProof/>
        </w:rPr>
        <w:drawing>
          <wp:anchor distT="0" distB="0" distL="114300" distR="114300" simplePos="0" relativeHeight="251658244" behindDoc="0" locked="0" layoutInCell="1" allowOverlap="1" wp14:anchorId="55A46D48" wp14:editId="4C2EB4EA">
            <wp:simplePos x="0" y="0"/>
            <wp:positionH relativeFrom="margin">
              <wp:align>left</wp:align>
            </wp:positionH>
            <wp:positionV relativeFrom="paragraph">
              <wp:posOffset>157273</wp:posOffset>
            </wp:positionV>
            <wp:extent cx="510493" cy="510493"/>
            <wp:effectExtent l="0" t="0" r="4445" b="4445"/>
            <wp:wrapNone/>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510493" cy="510493"/>
                    </a:xfrm>
                    <a:prstGeom prst="rect">
                      <a:avLst/>
                    </a:prstGeom>
                  </pic:spPr>
                </pic:pic>
              </a:graphicData>
            </a:graphic>
            <wp14:sizeRelH relativeFrom="margin">
              <wp14:pctWidth>0</wp14:pctWidth>
            </wp14:sizeRelH>
            <wp14:sizeRelV relativeFrom="margin">
              <wp14:pctHeight>0</wp14:pctHeight>
            </wp14:sizeRelV>
          </wp:anchor>
        </w:drawing>
      </w:r>
    </w:p>
    <w:p w14:paraId="5A1223EE" w14:textId="24D7445A" w:rsidR="00934539" w:rsidRPr="00AF4316" w:rsidRDefault="00934539" w:rsidP="002C264D">
      <w:pPr>
        <w:rPr>
          <w:lang w:eastAsia="en-CA"/>
        </w:rPr>
      </w:pPr>
    </w:p>
    <w:p w14:paraId="1950640D" w14:textId="77777777" w:rsidR="001F2D4A" w:rsidRPr="00AF4316" w:rsidRDefault="001F2D4A" w:rsidP="007E00BA">
      <w:pPr>
        <w:ind w:left="407"/>
        <w:rPr>
          <w:lang w:eastAsia="en-CA"/>
        </w:rPr>
      </w:pPr>
    </w:p>
    <w:p w14:paraId="348422F3" w14:textId="17C192D0" w:rsidR="00D30B5B" w:rsidRPr="009A7B80" w:rsidRDefault="00D30B5B" w:rsidP="00D30B5B">
      <w:pPr>
        <w:pStyle w:val="Heading1"/>
        <w:numPr>
          <w:ilvl w:val="1"/>
          <w:numId w:val="15"/>
        </w:numPr>
        <w:ind w:left="0" w:hanging="426"/>
        <w:rPr>
          <w:rFonts w:eastAsia="Times New Roman" w:cstheme="minorHAnsi"/>
        </w:rPr>
      </w:pPr>
      <w:bookmarkStart w:id="25" w:name="_Funding_decisions"/>
      <w:bookmarkStart w:id="26" w:name="_Eligibility_Criteria"/>
      <w:bookmarkStart w:id="27" w:name="_Regulatory_Experiment"/>
      <w:bookmarkStart w:id="28" w:name="_Defined_business_need"/>
      <w:bookmarkStart w:id="29" w:name="_Technological_challenge"/>
      <w:bookmarkStart w:id="30" w:name="_Market_opportunity"/>
      <w:bookmarkStart w:id="31" w:name="_Innovation"/>
      <w:bookmarkStart w:id="32" w:name="_Assessment_criteria"/>
      <w:bookmarkStart w:id="33" w:name="_Public_Benefit:"/>
      <w:bookmarkStart w:id="34" w:name="_Viability:"/>
      <w:bookmarkStart w:id="35" w:name="_Application_process_overview"/>
      <w:bookmarkStart w:id="36" w:name="_Toc119934127"/>
      <w:bookmarkEnd w:id="25"/>
      <w:bookmarkEnd w:id="26"/>
      <w:bookmarkEnd w:id="27"/>
      <w:bookmarkEnd w:id="28"/>
      <w:bookmarkEnd w:id="29"/>
      <w:bookmarkEnd w:id="30"/>
      <w:bookmarkEnd w:id="31"/>
      <w:bookmarkEnd w:id="32"/>
      <w:bookmarkEnd w:id="33"/>
      <w:bookmarkEnd w:id="34"/>
      <w:bookmarkEnd w:id="35"/>
      <w:r>
        <w:t>Proposition</w:t>
      </w:r>
      <w:bookmarkEnd w:id="36"/>
      <w:r>
        <w:t xml:space="preserve"> </w:t>
      </w:r>
    </w:p>
    <w:p w14:paraId="4C3D9EDD" w14:textId="176CF523" w:rsidR="00D30B5B" w:rsidRPr="009A7B80" w:rsidRDefault="001D7AEF" w:rsidP="00D30B5B">
      <w:pPr>
        <w:rPr>
          <w:rFonts w:eastAsia="Times New Roman" w:cstheme="minorHAnsi"/>
        </w:rPr>
      </w:pPr>
      <w:r>
        <w:t>Une fois que le CIR aura examiné la déclaration d</w:t>
      </w:r>
      <w:r w:rsidR="003C06B1">
        <w:t>’</w:t>
      </w:r>
      <w:r>
        <w:t>intérêt et déterminé que l</w:t>
      </w:r>
      <w:r w:rsidR="003C06B1">
        <w:t>’</w:t>
      </w:r>
      <w:r>
        <w:t>expérience ou le projet répond aux critères d</w:t>
      </w:r>
      <w:r w:rsidR="003C06B1">
        <w:t>’</w:t>
      </w:r>
      <w:r>
        <w:t>admissibilité, le demandeur sera invité à soumettre une proposition. La proposition vise à présenter l</w:t>
      </w:r>
      <w:r w:rsidR="003C06B1">
        <w:t>’</w:t>
      </w:r>
      <w:r>
        <w:t>expérience ou le projet préalable à l</w:t>
      </w:r>
      <w:r w:rsidR="003C06B1">
        <w:t>’</w:t>
      </w:r>
      <w:r>
        <w:t>expérimentation au comité directeur du CIR aux fins de décision de financement. À cette fin, la proposition doit comprendre suffisamment de renseignements sur l</w:t>
      </w:r>
      <w:r w:rsidR="003C06B1">
        <w:t>’</w:t>
      </w:r>
      <w:r>
        <w:t>expérience ou le projet préalable à l</w:t>
      </w:r>
      <w:r w:rsidR="003C06B1">
        <w:t>’</w:t>
      </w:r>
      <w:r>
        <w:t>expérimentation pour permettre au comité directeur du CIR de confirmer l</w:t>
      </w:r>
      <w:r w:rsidR="003C06B1">
        <w:t>’</w:t>
      </w:r>
      <w:r>
        <w:t>admissibilité de la proposition et d</w:t>
      </w:r>
      <w:r w:rsidR="003C06B1">
        <w:t>’</w:t>
      </w:r>
      <w:r>
        <w:t xml:space="preserve">évaluer et de classer les propositions en fonction des </w:t>
      </w:r>
      <w:hyperlink w:anchor="_Assessment" w:history="1">
        <w:r>
          <w:rPr>
            <w:rStyle w:val="Hyperlink"/>
          </w:rPr>
          <w:t>critères d</w:t>
        </w:r>
        <w:r w:rsidR="003C06B1">
          <w:rPr>
            <w:rStyle w:val="Hyperlink"/>
          </w:rPr>
          <w:t>’</w:t>
        </w:r>
        <w:r>
          <w:rPr>
            <w:rStyle w:val="Hyperlink"/>
          </w:rPr>
          <w:t>évaluation</w:t>
        </w:r>
      </w:hyperlink>
      <w:r w:rsidR="00C51895">
        <w:t xml:space="preserve">. </w:t>
      </w:r>
    </w:p>
    <w:p w14:paraId="47083BB4" w14:textId="51392CED" w:rsidR="00D52AA7" w:rsidRPr="009A7B80" w:rsidRDefault="00546CCA" w:rsidP="00D52AA7">
      <w:pPr>
        <w:rPr>
          <w:rFonts w:eastAsia="Times New Roman"/>
        </w:rPr>
      </w:pPr>
      <w:r>
        <w:t>Avant de commencer à élaborer la proposition, le demandeur doit demander l</w:t>
      </w:r>
      <w:r w:rsidR="003C06B1">
        <w:t>’</w:t>
      </w:r>
      <w:r>
        <w:t>autorisation de son directeur général (ou supérieur). Le CIR accompagne les demandeurs et les guide au fil de chaque étape de l</w:t>
      </w:r>
      <w:r w:rsidR="003C06B1">
        <w:t>’</w:t>
      </w:r>
      <w:r>
        <w:t xml:space="preserve">élaboration de leur proposition. Le demandeur demeure responsable de la réalisation et de la soumission de la proposition finale, approuvée par le directeur général. </w:t>
      </w:r>
    </w:p>
    <w:p w14:paraId="4799A571" w14:textId="71044DAF" w:rsidR="00B152B2" w:rsidRPr="009A7B80" w:rsidRDefault="00AF4316" w:rsidP="0001401C">
      <w:pPr>
        <w:rPr>
          <w:rFonts w:eastAsia="Times New Roman" w:cstheme="minorHAnsi"/>
        </w:rPr>
      </w:pPr>
      <w:r>
        <w:rPr>
          <w:noProof/>
        </w:rPr>
        <mc:AlternateContent>
          <mc:Choice Requires="wps">
            <w:drawing>
              <wp:anchor distT="0" distB="0" distL="114300" distR="114300" simplePos="0" relativeHeight="251658245" behindDoc="0" locked="0" layoutInCell="1" allowOverlap="1" wp14:anchorId="57F08E7C" wp14:editId="40F87883">
                <wp:simplePos x="0" y="0"/>
                <wp:positionH relativeFrom="margin">
                  <wp:align>right</wp:align>
                </wp:positionH>
                <wp:positionV relativeFrom="paragraph">
                  <wp:posOffset>60722</wp:posOffset>
                </wp:positionV>
                <wp:extent cx="5283835" cy="1044053"/>
                <wp:effectExtent l="0" t="0" r="0" b="3810"/>
                <wp:wrapNone/>
                <wp:docPr id="9" name="Rectangle 9"/>
                <wp:cNvGraphicFramePr/>
                <a:graphic xmlns:a="http://schemas.openxmlformats.org/drawingml/2006/main">
                  <a:graphicData uri="http://schemas.microsoft.com/office/word/2010/wordprocessingShape">
                    <wps:wsp>
                      <wps:cNvSpPr/>
                      <wps:spPr>
                        <a:xfrm>
                          <a:off x="0" y="0"/>
                          <a:ext cx="5283835" cy="1044053"/>
                        </a:xfrm>
                        <a:prstGeom prst="rect">
                          <a:avLst/>
                        </a:prstGeom>
                        <a:solidFill>
                          <a:schemeClr val="accent6">
                            <a:lumMod val="20000"/>
                            <a:lumOff val="80000"/>
                            <a:alpha val="8549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42591F" w14:textId="0A8C3634" w:rsidR="00036046" w:rsidRPr="00AF4316" w:rsidRDefault="004E53AD" w:rsidP="00036046">
                            <w:pPr>
                              <w:rPr>
                                <w:rFonts w:eastAsia="Times New Roman" w:cstheme="minorHAnsi"/>
                                <w:color w:val="000000" w:themeColor="text1"/>
                                <w:sz w:val="20"/>
                                <w:szCs w:val="20"/>
                              </w:rPr>
                            </w:pPr>
                            <w:r w:rsidRPr="00AF4316">
                              <w:rPr>
                                <w:color w:val="000000" w:themeColor="text1"/>
                                <w:sz w:val="20"/>
                                <w:szCs w:val="20"/>
                              </w:rPr>
                              <w:t xml:space="preserve">Pour les aider à élaborer une proposition, nous recommandons aux organismes de réglementation de consulter la </w:t>
                            </w:r>
                            <w:hyperlink r:id="rId16" w:history="1">
                              <w:r w:rsidRPr="00AF4316">
                                <w:rPr>
                                  <w:rStyle w:val="Hyperlink"/>
                                  <w:sz w:val="20"/>
                                  <w:szCs w:val="20"/>
                                </w:rPr>
                                <w:t>Trousse d</w:t>
                              </w:r>
                              <w:r w:rsidR="003C06B1" w:rsidRPr="00AF4316">
                                <w:rPr>
                                  <w:rStyle w:val="Hyperlink"/>
                                  <w:sz w:val="20"/>
                                  <w:szCs w:val="20"/>
                                </w:rPr>
                                <w:t>’</w:t>
                              </w:r>
                              <w:r w:rsidRPr="00AF4316">
                                <w:rPr>
                                  <w:rStyle w:val="Hyperlink"/>
                                  <w:sz w:val="20"/>
                                  <w:szCs w:val="20"/>
                                </w:rPr>
                                <w:t>outils d</w:t>
                              </w:r>
                              <w:r w:rsidR="003C06B1" w:rsidRPr="00AF4316">
                                <w:rPr>
                                  <w:rStyle w:val="Hyperlink"/>
                                  <w:sz w:val="20"/>
                                  <w:szCs w:val="20"/>
                                </w:rPr>
                                <w:t>’</w:t>
                              </w:r>
                              <w:r w:rsidRPr="00AF4316">
                                <w:rPr>
                                  <w:rStyle w:val="Hyperlink"/>
                                  <w:sz w:val="20"/>
                                  <w:szCs w:val="20"/>
                                </w:rPr>
                                <w:t>expérimentation pour les organismes de réglementation</w:t>
                              </w:r>
                            </w:hyperlink>
                            <w:r w:rsidRPr="00AF4316">
                              <w:rPr>
                                <w:color w:val="000000" w:themeColor="text1"/>
                                <w:sz w:val="20"/>
                                <w:szCs w:val="20"/>
                              </w:rPr>
                              <w:t xml:space="preserve">. </w:t>
                            </w:r>
                          </w:p>
                          <w:p w14:paraId="3B2C013B" w14:textId="7B3525ED" w:rsidR="00883EEF" w:rsidRPr="00AF4316" w:rsidRDefault="00036046" w:rsidP="00A40F36">
                            <w:pPr>
                              <w:rPr>
                                <w:color w:val="000000" w:themeColor="text1"/>
                                <w:sz w:val="20"/>
                                <w:szCs w:val="20"/>
                              </w:rPr>
                            </w:pPr>
                            <w:r w:rsidRPr="00AF4316">
                              <w:rPr>
                                <w:color w:val="000000" w:themeColor="text1"/>
                                <w:sz w:val="20"/>
                                <w:szCs w:val="20"/>
                              </w:rPr>
                              <w:t>Conçue par le CIR et Nesta, cette trousse d</w:t>
                            </w:r>
                            <w:r w:rsidR="003C06B1" w:rsidRPr="00AF4316">
                              <w:rPr>
                                <w:color w:val="000000" w:themeColor="text1"/>
                                <w:sz w:val="20"/>
                                <w:szCs w:val="20"/>
                              </w:rPr>
                              <w:t>’</w:t>
                            </w:r>
                            <w:r w:rsidRPr="00AF4316">
                              <w:rPr>
                                <w:color w:val="000000" w:themeColor="text1"/>
                                <w:sz w:val="20"/>
                                <w:szCs w:val="20"/>
                              </w:rPr>
                              <w:t>outils fournit aux organismes de réglementation un guide pratique les aidant à déterminer, concevoir et réaliser des expériences et des bacs à sable réglementaires.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F08E7C" id="Rectangle 9" o:spid="_x0000_s1028" style="position:absolute;margin-left:364.85pt;margin-top:4.8pt;width:416.05pt;height:82.2pt;z-index:25165824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" fillcolor="#e2efd9 [665]" stroked="f" strokeweight="1pt">
                <v:fill opacity="56026f"/>
                <v:textbox>
                  <w:txbxContent>
                    <w:p w14:paraId="7942591F" w14:textId="0A8C3634" w:rsidR="00036046" w:rsidRPr="00AF4316" w:rsidRDefault="004E53AD" w:rsidP="00036046">
                      <w:pPr>
                        <w:rPr>
                          <w:rFonts w:eastAsia="Times New Roman" w:cstheme="minorHAnsi"/>
                          <w:color w:val="000000" w:themeColor="text1"/>
                          <w:sz w:val="20"/>
                          <w:szCs w:val="20"/>
                        </w:rPr>
                      </w:pPr>
                      <w:r w:rsidRPr="00AF4316">
                        <w:rPr>
                          <w:color w:val="000000" w:themeColor="text1"/>
                          <w:sz w:val="20"/>
                          <w:szCs w:val="20"/>
                        </w:rPr>
                        <w:t xml:space="preserve">Pour les aider à élaborer une proposition, nous recommandons aux organismes de réglementation de consulter la </w:t>
                      </w:r>
                      <w:hyperlink r:id="rId17" w:history="1">
                        <w:r w:rsidRPr="00AF4316">
                          <w:rPr>
                            <w:rStyle w:val="Hyperlink"/>
                            <w:sz w:val="20"/>
                            <w:szCs w:val="20"/>
                          </w:rPr>
                          <w:t>Trousse d</w:t>
                        </w:r>
                        <w:r w:rsidR="003C06B1" w:rsidRPr="00AF4316">
                          <w:rPr>
                            <w:rStyle w:val="Hyperlink"/>
                            <w:sz w:val="20"/>
                            <w:szCs w:val="20"/>
                          </w:rPr>
                          <w:t>’</w:t>
                        </w:r>
                        <w:r w:rsidRPr="00AF4316">
                          <w:rPr>
                            <w:rStyle w:val="Hyperlink"/>
                            <w:sz w:val="20"/>
                            <w:szCs w:val="20"/>
                          </w:rPr>
                          <w:t>outils d</w:t>
                        </w:r>
                        <w:r w:rsidR="003C06B1" w:rsidRPr="00AF4316">
                          <w:rPr>
                            <w:rStyle w:val="Hyperlink"/>
                            <w:sz w:val="20"/>
                            <w:szCs w:val="20"/>
                          </w:rPr>
                          <w:t>’</w:t>
                        </w:r>
                        <w:r w:rsidRPr="00AF4316">
                          <w:rPr>
                            <w:rStyle w:val="Hyperlink"/>
                            <w:sz w:val="20"/>
                            <w:szCs w:val="20"/>
                          </w:rPr>
                          <w:t>expérimentation pour les organismes de réglementation</w:t>
                        </w:r>
                      </w:hyperlink>
                      <w:r w:rsidRPr="00AF4316">
                        <w:rPr>
                          <w:color w:val="000000" w:themeColor="text1"/>
                          <w:sz w:val="20"/>
                          <w:szCs w:val="20"/>
                        </w:rPr>
                        <w:t xml:space="preserve">. </w:t>
                      </w:r>
                    </w:p>
                    <w:p w14:paraId="3B2C013B" w14:textId="7B3525ED" w:rsidR="00883EEF" w:rsidRPr="00AF4316" w:rsidRDefault="00036046" w:rsidP="00A40F36">
                      <w:pPr>
                        <w:rPr>
                          <w:color w:val="000000" w:themeColor="text1"/>
                          <w:sz w:val="20"/>
                          <w:szCs w:val="20"/>
                        </w:rPr>
                      </w:pPr>
                      <w:r w:rsidRPr="00AF4316">
                        <w:rPr>
                          <w:color w:val="000000" w:themeColor="text1"/>
                          <w:sz w:val="20"/>
                          <w:szCs w:val="20"/>
                        </w:rPr>
                        <w:t>Conçue par le CIR et Nesta, cette trousse d</w:t>
                      </w:r>
                      <w:r w:rsidR="003C06B1" w:rsidRPr="00AF4316">
                        <w:rPr>
                          <w:color w:val="000000" w:themeColor="text1"/>
                          <w:sz w:val="20"/>
                          <w:szCs w:val="20"/>
                        </w:rPr>
                        <w:t>’</w:t>
                      </w:r>
                      <w:r w:rsidRPr="00AF4316">
                        <w:rPr>
                          <w:color w:val="000000" w:themeColor="text1"/>
                          <w:sz w:val="20"/>
                          <w:szCs w:val="20"/>
                        </w:rPr>
                        <w:t>outils fournit aux organismes de réglementation un guide pratique les aidant à déterminer, concevoir et réaliser des expériences et des bacs à sable réglementaires.</w:t>
                      </w:r>
                    </w:p>
                  </w:txbxContent>
                </v:textbox>
                <w10:wrap anchorx="margin"/>
              </v:rect>
            </w:pict>
          </mc:Fallback>
        </mc:AlternateContent>
      </w:r>
      <w:r w:rsidR="00036046">
        <w:rPr>
          <w:noProof/>
        </w:rPr>
        <w:drawing>
          <wp:anchor distT="0" distB="0" distL="114300" distR="114300" simplePos="0" relativeHeight="251658246" behindDoc="0" locked="0" layoutInCell="1" allowOverlap="1" wp14:anchorId="737801A8" wp14:editId="02F99ABF">
            <wp:simplePos x="0" y="0"/>
            <wp:positionH relativeFrom="margin">
              <wp:align>left</wp:align>
            </wp:positionH>
            <wp:positionV relativeFrom="paragraph">
              <wp:posOffset>263845</wp:posOffset>
            </wp:positionV>
            <wp:extent cx="583421" cy="522466"/>
            <wp:effectExtent l="0" t="0" r="7620" b="0"/>
            <wp:wrapNone/>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583421" cy="522466"/>
                    </a:xfrm>
                    <a:prstGeom prst="rect">
                      <a:avLst/>
                    </a:prstGeom>
                  </pic:spPr>
                </pic:pic>
              </a:graphicData>
            </a:graphic>
            <wp14:sizeRelH relativeFrom="page">
              <wp14:pctWidth>0</wp14:pctWidth>
            </wp14:sizeRelH>
            <wp14:sizeRelV relativeFrom="page">
              <wp14:pctHeight>0</wp14:pctHeight>
            </wp14:sizeRelV>
          </wp:anchor>
        </w:drawing>
      </w:r>
    </w:p>
    <w:p w14:paraId="51DDFC5B" w14:textId="78A88EC6" w:rsidR="00B152B2" w:rsidRPr="00AF4316" w:rsidRDefault="00B152B2" w:rsidP="0001401C">
      <w:pPr>
        <w:rPr>
          <w:rFonts w:eastAsia="Times New Roman" w:cstheme="minorHAnsi"/>
          <w:lang w:eastAsia="en-CA"/>
        </w:rPr>
      </w:pPr>
    </w:p>
    <w:p w14:paraId="60248026" w14:textId="77777777" w:rsidR="001715C4" w:rsidRPr="00AF4316" w:rsidRDefault="001715C4" w:rsidP="00D81218">
      <w:pPr>
        <w:rPr>
          <w:sz w:val="28"/>
          <w:szCs w:val="28"/>
          <w:highlight w:val="yellow"/>
        </w:rPr>
      </w:pPr>
    </w:p>
    <w:p w14:paraId="2F713DC0" w14:textId="75A65181" w:rsidR="00D81218" w:rsidRPr="00AF4316" w:rsidRDefault="00D81218" w:rsidP="0001401C">
      <w:pPr>
        <w:rPr>
          <w:rFonts w:eastAsia="Times New Roman" w:cstheme="minorHAnsi"/>
          <w:lang w:eastAsia="en-CA"/>
        </w:rPr>
      </w:pPr>
    </w:p>
    <w:p w14:paraId="0A173A1E" w14:textId="77777777" w:rsidR="003B72A7" w:rsidRPr="009A7B80" w:rsidRDefault="003B72A7" w:rsidP="003B72A7">
      <w:pPr>
        <w:pStyle w:val="Heading1"/>
        <w:numPr>
          <w:ilvl w:val="1"/>
          <w:numId w:val="15"/>
        </w:numPr>
        <w:ind w:left="0" w:hanging="426"/>
        <w:rPr>
          <w:rFonts w:cstheme="minorHAnsi"/>
          <w:b w:val="0"/>
          <w:sz w:val="28"/>
          <w:szCs w:val="36"/>
        </w:rPr>
      </w:pPr>
      <w:bookmarkStart w:id="37" w:name="_Funding_decisions_1"/>
      <w:bookmarkStart w:id="38" w:name="_Toc119934128"/>
      <w:bookmarkEnd w:id="37"/>
      <w:r>
        <w:t>Décisions de financement</w:t>
      </w:r>
      <w:bookmarkEnd w:id="38"/>
      <w:r>
        <w:t xml:space="preserve"> </w:t>
      </w:r>
    </w:p>
    <w:p w14:paraId="1A3A8311" w14:textId="2BA2F329" w:rsidR="003B72A7" w:rsidRPr="009A7B80" w:rsidRDefault="003B72A7" w:rsidP="003B72A7">
      <w:pPr>
        <w:rPr>
          <w:rFonts w:cstheme="minorHAnsi"/>
        </w:rPr>
      </w:pPr>
      <w:r>
        <w:t>Les décisions de financement seront fondées sur les fonds disponibles et les résultats d</w:t>
      </w:r>
      <w:r w:rsidR="003C06B1">
        <w:t>’</w:t>
      </w:r>
      <w:r>
        <w:t>une évaluation concurrentielle des propositions réalisée par le comité directeur du CIR. D</w:t>
      </w:r>
      <w:r w:rsidR="003C06B1">
        <w:t>’</w:t>
      </w:r>
      <w:r>
        <w:t>autres critères peuvent également être pris en compte à la discrétion du comité directeur du CIR, tels que le besoin de veiller à ce qu</w:t>
      </w:r>
      <w:r w:rsidR="003C06B1">
        <w:t>’</w:t>
      </w:r>
      <w:r>
        <w:t>un éventail d</w:t>
      </w:r>
      <w:r w:rsidR="003C06B1">
        <w:t>’</w:t>
      </w:r>
      <w:r>
        <w:t>organismes soient soutenus, d</w:t>
      </w:r>
      <w:r w:rsidR="003C06B1">
        <w:t>’</w:t>
      </w:r>
      <w:r>
        <w:t>appuyer un domaine d</w:t>
      </w:r>
      <w:r w:rsidR="003C06B1">
        <w:t>’</w:t>
      </w:r>
      <w:r>
        <w:t>intérêt précis, ou de donner la priorité aux expériences par rapport aux projets préalables à l</w:t>
      </w:r>
      <w:r w:rsidR="003C06B1">
        <w:t>’</w:t>
      </w:r>
      <w:r>
        <w:t xml:space="preserve">expérimentation ou vice versa. </w:t>
      </w:r>
    </w:p>
    <w:p w14:paraId="2B5D3615" w14:textId="3E032D2B" w:rsidR="0052714E" w:rsidRPr="009A7B80" w:rsidRDefault="0052714E" w:rsidP="0052714E">
      <w:pPr>
        <w:rPr>
          <w:rFonts w:eastAsia="Times New Roman" w:cstheme="minorHAnsi"/>
        </w:rPr>
      </w:pPr>
      <w:r>
        <w:t>Les décisions de financement seront prises au cours d</w:t>
      </w:r>
      <w:r w:rsidR="003C06B1">
        <w:t>’</w:t>
      </w:r>
      <w:r>
        <w:t>une réunion du comité directeur du CIR, au cours de laquelle les demandeurs auront l</w:t>
      </w:r>
      <w:r w:rsidR="003C06B1">
        <w:t>’</w:t>
      </w:r>
      <w:r>
        <w:t>occasion de lui présenter leur proposition et de répondre directement à ses questions</w:t>
      </w:r>
      <w:r w:rsidR="00C51895">
        <w:t xml:space="preserve">. </w:t>
      </w:r>
      <w:r>
        <w:t>Ensuite, les membres du comité discuteront des propositions, et auront l</w:t>
      </w:r>
      <w:r w:rsidR="003C06B1">
        <w:t>’</w:t>
      </w:r>
      <w:r>
        <w:t>occasion de s</w:t>
      </w:r>
      <w:r w:rsidR="003C06B1">
        <w:t>’</w:t>
      </w:r>
      <w:r>
        <w:t xml:space="preserve">entendre sur un classement. Les demandeurs seront informés de la décision finale. </w:t>
      </w:r>
    </w:p>
    <w:p w14:paraId="1FFF4D21" w14:textId="1AF96CDE" w:rsidR="00FF0172" w:rsidRPr="009A7B80" w:rsidRDefault="00550C66" w:rsidP="00FF0172">
      <w:pPr>
        <w:rPr>
          <w:rFonts w:cstheme="minorHAnsi"/>
        </w:rPr>
      </w:pPr>
      <w:r>
        <w:t>Il n</w:t>
      </w:r>
      <w:r w:rsidR="003C06B1">
        <w:t>’</w:t>
      </w:r>
      <w:r>
        <w:t>y a aucune garantie que toutes les demandes admissibles recevront un financement du FDER. Les demandeurs qui ne recevront pas de financement par l</w:t>
      </w:r>
      <w:r w:rsidR="003C06B1">
        <w:t>’</w:t>
      </w:r>
      <w:r>
        <w:t>intermédiaire du FDER pourraient se voir offrir un soutien de rechange, comme la mise à profit de l</w:t>
      </w:r>
      <w:r w:rsidR="003C06B1">
        <w:t>’</w:t>
      </w:r>
      <w:r>
        <w:t>expertise du CIR afin de mener à bien leur expérience.</w:t>
      </w:r>
    </w:p>
    <w:p w14:paraId="0B019374" w14:textId="358251A6" w:rsidR="00605285" w:rsidRPr="009A7B80" w:rsidRDefault="00605285" w:rsidP="00605285">
      <w:pPr>
        <w:pStyle w:val="Heading1"/>
        <w:numPr>
          <w:ilvl w:val="1"/>
          <w:numId w:val="15"/>
        </w:numPr>
        <w:ind w:left="0" w:hanging="426"/>
        <w:rPr>
          <w:rFonts w:cstheme="minorHAnsi"/>
          <w:b w:val="0"/>
          <w:sz w:val="28"/>
          <w:szCs w:val="36"/>
        </w:rPr>
      </w:pPr>
      <w:bookmarkStart w:id="39" w:name="_Toc119934129"/>
      <w:r>
        <w:t>Protocole d</w:t>
      </w:r>
      <w:r w:rsidR="003C06B1">
        <w:t>’</w:t>
      </w:r>
      <w:r>
        <w:t>entente</w:t>
      </w:r>
      <w:bookmarkEnd w:id="39"/>
    </w:p>
    <w:p w14:paraId="381D371D" w14:textId="37BFFE37" w:rsidR="003B72A7" w:rsidRPr="009A7B80" w:rsidRDefault="003B72A7" w:rsidP="003B72A7">
      <w:pPr>
        <w:rPr>
          <w:rFonts w:cstheme="minorHAnsi"/>
        </w:rPr>
      </w:pPr>
      <w:r>
        <w:t>À l</w:t>
      </w:r>
      <w:r w:rsidR="003C06B1">
        <w:t>’</w:t>
      </w:r>
      <w:r>
        <w:t xml:space="preserve">approbation du projet, le CIR travaillera avec le demandeur retenu </w:t>
      </w:r>
      <w:bookmarkStart w:id="40" w:name="_Hlk54701430"/>
      <w:r>
        <w:t>pour élaborer et mettre au point un protocole d</w:t>
      </w:r>
      <w:r w:rsidR="003C06B1">
        <w:t>’</w:t>
      </w:r>
      <w:r>
        <w:t xml:space="preserve">entente (PE) visant à décrire les conditions du financement et les exigences de reddition de comptes. </w:t>
      </w:r>
    </w:p>
    <w:p w14:paraId="31728739" w14:textId="65C1B291" w:rsidR="00D277CB" w:rsidRPr="009A7B80" w:rsidRDefault="009C0321" w:rsidP="003B72A7">
      <w:pPr>
        <w:rPr>
          <w:rFonts w:cstheme="minorHAnsi"/>
        </w:rPr>
      </w:pPr>
      <w:r>
        <w:t>Le protocole d</w:t>
      </w:r>
      <w:r w:rsidR="003C06B1">
        <w:t>’</w:t>
      </w:r>
      <w:r>
        <w:t>entente décrira, entre autres, l</w:t>
      </w:r>
      <w:r w:rsidR="003C06B1">
        <w:t>’</w:t>
      </w:r>
      <w:r>
        <w:t>engagement de l</w:t>
      </w:r>
      <w:r w:rsidR="003C06B1">
        <w:t>’</w:t>
      </w:r>
      <w:r>
        <w:t>organisme de réglementation à utiliser le FDER pour réaliser l</w:t>
      </w:r>
      <w:r w:rsidR="003C06B1">
        <w:t>’</w:t>
      </w:r>
      <w:r>
        <w:t>expérience réglementaire ou le projet préalable à l</w:t>
      </w:r>
      <w:r w:rsidR="003C06B1">
        <w:t>’</w:t>
      </w:r>
      <w:r>
        <w:t>expérimentation, l</w:t>
      </w:r>
      <w:r w:rsidR="003C06B1">
        <w:t>’</w:t>
      </w:r>
      <w:r>
        <w:t>engagement du CIR à fournir un soutien consultatif, le montant d</w:t>
      </w:r>
      <w:r w:rsidR="003C06B1">
        <w:t>’</w:t>
      </w:r>
      <w:r>
        <w:t>argent que le CIR s</w:t>
      </w:r>
      <w:r w:rsidR="003C06B1">
        <w:t>’</w:t>
      </w:r>
      <w:r>
        <w:t xml:space="preserve">engage à mettre à disposition pour le projet, et une description générale des activités et des livrables pour lesquels les fonds peuvent être utilisés. </w:t>
      </w:r>
    </w:p>
    <w:p w14:paraId="5F871D95" w14:textId="6808CAE9" w:rsidR="003B72A7" w:rsidRPr="009A7B80" w:rsidRDefault="00D277CB" w:rsidP="003B72A7">
      <w:pPr>
        <w:rPr>
          <w:noProof/>
        </w:rPr>
      </w:pPr>
      <w:r>
        <w:t>Le protocole d</w:t>
      </w:r>
      <w:r w:rsidR="003C06B1">
        <w:t>’</w:t>
      </w:r>
      <w:r>
        <w:t>entente signé permettra au CIR de transférer des fonds au ministère responsable du projet en tant que financement de biens et services (B et S) sur la base du recouvrement des coûts. Les fonds peuvent être utilisés pour couvrir tous les coûts directs de l</w:t>
      </w:r>
      <w:r w:rsidR="003C06B1">
        <w:t>’</w:t>
      </w:r>
      <w:r>
        <w:t>expérience, tels que décrits dans le protocole d</w:t>
      </w:r>
      <w:r w:rsidR="003C06B1">
        <w:t>’</w:t>
      </w:r>
      <w:r>
        <w:t>entente, y compris les salaires et les programmes d</w:t>
      </w:r>
      <w:r w:rsidR="003C06B1">
        <w:t>’</w:t>
      </w:r>
      <w:r>
        <w:t>avantages sociaux associés</w:t>
      </w:r>
      <w:bookmarkEnd w:id="40"/>
      <w:r w:rsidR="00C51895">
        <w:t xml:space="preserve">. </w:t>
      </w:r>
    </w:p>
    <w:p w14:paraId="5AC3DA48" w14:textId="77777777" w:rsidR="003B72A7" w:rsidRPr="009A7B80" w:rsidRDefault="003B72A7" w:rsidP="00ED02A8">
      <w:pPr>
        <w:pStyle w:val="Heading1"/>
        <w:numPr>
          <w:ilvl w:val="0"/>
          <w:numId w:val="15"/>
        </w:numPr>
        <w:ind w:left="0"/>
        <w:rPr>
          <w:rFonts w:eastAsia="Times New Roman"/>
          <w:bCs/>
        </w:rPr>
      </w:pPr>
      <w:bookmarkStart w:id="41" w:name="_Toc119934130"/>
      <w:r>
        <w:t>Reddition de comptes</w:t>
      </w:r>
      <w:bookmarkEnd w:id="41"/>
    </w:p>
    <w:p w14:paraId="2699D9E5" w14:textId="329AAFC2" w:rsidR="003B72A7" w:rsidRPr="009A7B80" w:rsidRDefault="00965C1F" w:rsidP="003B72A7">
      <w:bookmarkStart w:id="42" w:name="_Hlk54701518"/>
      <w:r>
        <w:t>Les ministères liés aux projets devront faire rapport au CIR selon un calendrier défini dans le protocole d</w:t>
      </w:r>
      <w:r w:rsidR="003C06B1">
        <w:t>’</w:t>
      </w:r>
      <w:r>
        <w:t>entente. Les rapports comprendront des rapports d</w:t>
      </w:r>
      <w:r w:rsidR="003C06B1">
        <w:t>’</w:t>
      </w:r>
      <w:r>
        <w:t xml:space="preserve">étape provisoires et un rapport final contenant les résultats, les constatations et les leçons tirées. Des prévisions financières et </w:t>
      </w:r>
      <w:proofErr w:type="gramStart"/>
      <w:r>
        <w:t>une planification judicieuses</w:t>
      </w:r>
      <w:proofErr w:type="gramEnd"/>
      <w:r>
        <w:t xml:space="preserve"> constituent une partie importante de toute proposition et de tout protocole d</w:t>
      </w:r>
      <w:r w:rsidR="003C06B1">
        <w:t>’</w:t>
      </w:r>
      <w:r>
        <w:t>entente.</w:t>
      </w:r>
    </w:p>
    <w:p w14:paraId="7748E295" w14:textId="77777777" w:rsidR="003B72A7" w:rsidRPr="009A7B80" w:rsidRDefault="003B72A7" w:rsidP="00ED02A8">
      <w:pPr>
        <w:pStyle w:val="Heading1"/>
        <w:numPr>
          <w:ilvl w:val="0"/>
          <w:numId w:val="15"/>
        </w:numPr>
        <w:ind w:left="0"/>
        <w:rPr>
          <w:bCs/>
        </w:rPr>
      </w:pPr>
      <w:bookmarkStart w:id="43" w:name="_Toc119934131"/>
      <w:bookmarkStart w:id="44" w:name="_Hlk54701555"/>
      <w:bookmarkEnd w:id="42"/>
      <w:r>
        <w:t>Leçons apprises</w:t>
      </w:r>
      <w:bookmarkEnd w:id="43"/>
    </w:p>
    <w:p w14:paraId="42295767" w14:textId="4F776B38" w:rsidR="003B72A7" w:rsidRPr="009A7B80" w:rsidRDefault="003B72A7" w:rsidP="003B72A7">
      <w:pPr>
        <w:rPr>
          <w:rFonts w:eastAsia="Times New Roman" w:cstheme="minorHAnsi"/>
        </w:rPr>
      </w:pPr>
      <w:bookmarkStart w:id="45" w:name="_Hlk54701547"/>
      <w:bookmarkEnd w:id="44"/>
      <w:r>
        <w:t>L</w:t>
      </w:r>
      <w:r w:rsidR="003C06B1">
        <w:t>’</w:t>
      </w:r>
      <w:r>
        <w:t>expérimentation réglementaire est une nouvelle activité au gouvernement fédéral. La diffusion des leçons apprises est un élément important du soutien d</w:t>
      </w:r>
      <w:r w:rsidR="003C06B1">
        <w:t>’</w:t>
      </w:r>
      <w:r>
        <w:t xml:space="preserve">une approche pangouvernementale de </w:t>
      </w:r>
      <w:r>
        <w:lastRenderedPageBreak/>
        <w:t>l</w:t>
      </w:r>
      <w:r w:rsidR="003C06B1">
        <w:t>’</w:t>
      </w:r>
      <w:r>
        <w:t>expérimentation réglementaire. Le responsable de tout projet financé sera invité à faire part de ce qu</w:t>
      </w:r>
      <w:r w:rsidR="003C06B1">
        <w:t>’</w:t>
      </w:r>
      <w:r>
        <w:t>il a appris au CIR par le biais d</w:t>
      </w:r>
      <w:r w:rsidR="003C06B1">
        <w:t>’</w:t>
      </w:r>
      <w:r>
        <w:t>un rapport final. Le CIR organisera également des occasions de communiquer les leçons apprises et d</w:t>
      </w:r>
      <w:r w:rsidR="003C06B1">
        <w:t>’</w:t>
      </w:r>
      <w:r>
        <w:t>en discuter avec les publics qui le souhaitent, et préparera et rendra public un rapport résumant les principales leçons tirées des expériences réglementaires.</w:t>
      </w:r>
      <w:bookmarkEnd w:id="45"/>
    </w:p>
    <w:p w14:paraId="17C39690" w14:textId="50F8C744" w:rsidR="004B549B" w:rsidRPr="009A7B80" w:rsidRDefault="004B549B" w:rsidP="004B549B">
      <w:pPr>
        <w:pStyle w:val="Heading1"/>
        <w:numPr>
          <w:ilvl w:val="0"/>
          <w:numId w:val="15"/>
        </w:numPr>
        <w:ind w:left="0"/>
        <w:rPr>
          <w:rFonts w:eastAsia="Times New Roman"/>
          <w:bCs/>
        </w:rPr>
      </w:pPr>
      <w:bookmarkStart w:id="46" w:name="Eligibility"/>
      <w:bookmarkStart w:id="47" w:name="_Toc119934132"/>
      <w:bookmarkEnd w:id="46"/>
      <w:r>
        <w:t>Personne-ressource</w:t>
      </w:r>
      <w:bookmarkEnd w:id="47"/>
    </w:p>
    <w:p w14:paraId="68C904FD" w14:textId="07166FA2" w:rsidR="005D0A3F" w:rsidRPr="009A7B80" w:rsidRDefault="004B549B" w:rsidP="00365225">
      <w:r>
        <w:t>Si vous avez des questions concernant le FDER ou le processus de demande ou si vous souhaitez discuter de la possibilité de mener une expérience réglementaire au sein de votre ministère, veuillez communiquer avec le CIR à l</w:t>
      </w:r>
      <w:r w:rsidR="003C06B1">
        <w:t>’</w:t>
      </w:r>
      <w:r>
        <w:t xml:space="preserve">adresse </w:t>
      </w:r>
      <w:hyperlink r:id="rId19" w:history="1">
        <w:r>
          <w:rPr>
            <w:rStyle w:val="Hyperlink"/>
          </w:rPr>
          <w:t>CRI-CIR@tbs-sct.gc.ca</w:t>
        </w:r>
      </w:hyperlink>
      <w:r>
        <w:t>.</w:t>
      </w:r>
    </w:p>
    <w:sectPr w:rsidR="005D0A3F" w:rsidRPr="009A7B80" w:rsidSect="00B97B52">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52648" w14:textId="77777777" w:rsidR="00B11A3A" w:rsidRDefault="00B11A3A" w:rsidP="00DB7E75">
      <w:pPr>
        <w:spacing w:after="0" w:line="240" w:lineRule="auto"/>
      </w:pPr>
      <w:r>
        <w:separator/>
      </w:r>
    </w:p>
  </w:endnote>
  <w:endnote w:type="continuationSeparator" w:id="0">
    <w:p w14:paraId="0160A882" w14:textId="77777777" w:rsidR="00B11A3A" w:rsidRDefault="00B11A3A" w:rsidP="00DB7E75">
      <w:pPr>
        <w:spacing w:after="0" w:line="240" w:lineRule="auto"/>
      </w:pPr>
      <w:r>
        <w:continuationSeparator/>
      </w:r>
    </w:p>
  </w:endnote>
  <w:endnote w:type="continuationNotice" w:id="1">
    <w:p w14:paraId="07A0B1A9" w14:textId="77777777" w:rsidR="00B11A3A" w:rsidRDefault="00B11A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A9C42" w14:textId="77777777" w:rsidR="00AF4316" w:rsidRDefault="00AF43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77536" w14:textId="77777777" w:rsidR="00766F54" w:rsidRPr="009A7B80" w:rsidRDefault="00766F54">
    <w:pPr>
      <w:tabs>
        <w:tab w:val="center" w:pos="4550"/>
        <w:tab w:val="left" w:pos="5818"/>
      </w:tabs>
      <w:ind w:right="260"/>
      <w:jc w:val="right"/>
      <w:rPr>
        <w:color w:val="222A35" w:themeColor="text2" w:themeShade="80"/>
        <w:sz w:val="24"/>
        <w:szCs w:val="24"/>
      </w:rPr>
    </w:pPr>
    <w:r>
      <w:rPr>
        <w:color w:val="8496B0" w:themeColor="text2" w:themeTint="99"/>
        <w:sz w:val="24"/>
        <w:szCs w:val="24"/>
      </w:rPr>
      <w:t xml:space="preserve">Page </w:t>
    </w:r>
    <w:r w:rsidRPr="009A7B80">
      <w:rPr>
        <w:color w:val="323E4F" w:themeColor="text2" w:themeShade="BF"/>
        <w:sz w:val="24"/>
        <w:szCs w:val="24"/>
      </w:rPr>
      <w:fldChar w:fldCharType="begin"/>
    </w:r>
    <w:r w:rsidRPr="009A7B80">
      <w:rPr>
        <w:color w:val="323E4F" w:themeColor="text2" w:themeShade="BF"/>
        <w:sz w:val="24"/>
        <w:szCs w:val="24"/>
      </w:rPr>
      <w:instrText xml:space="preserve"> PAGE   \* MERGEFORMAT </w:instrText>
    </w:r>
    <w:r w:rsidRPr="009A7B80">
      <w:rPr>
        <w:color w:val="323E4F" w:themeColor="text2" w:themeShade="BF"/>
        <w:sz w:val="24"/>
        <w:szCs w:val="24"/>
      </w:rPr>
      <w:fldChar w:fldCharType="separate"/>
    </w:r>
    <w:r w:rsidRPr="009A7B80">
      <w:rPr>
        <w:color w:val="323E4F" w:themeColor="text2" w:themeShade="BF"/>
        <w:sz w:val="24"/>
        <w:szCs w:val="24"/>
      </w:rPr>
      <w:t>1</w:t>
    </w:r>
    <w:r w:rsidRPr="009A7B80">
      <w:rPr>
        <w:color w:val="323E4F" w:themeColor="text2" w:themeShade="BF"/>
        <w:sz w:val="24"/>
        <w:szCs w:val="24"/>
      </w:rPr>
      <w:fldChar w:fldCharType="end"/>
    </w:r>
    <w:r>
      <w:rPr>
        <w:color w:val="323E4F" w:themeColor="text2" w:themeShade="BF"/>
        <w:sz w:val="24"/>
        <w:szCs w:val="24"/>
      </w:rPr>
      <w:t xml:space="preserve"> | </w:t>
    </w:r>
    <w:r w:rsidRPr="009A7B80">
      <w:rPr>
        <w:color w:val="323E4F" w:themeColor="text2" w:themeShade="BF"/>
        <w:sz w:val="24"/>
        <w:szCs w:val="24"/>
      </w:rPr>
      <w:fldChar w:fldCharType="begin"/>
    </w:r>
    <w:r w:rsidRPr="009A7B80">
      <w:rPr>
        <w:color w:val="323E4F" w:themeColor="text2" w:themeShade="BF"/>
        <w:sz w:val="24"/>
        <w:szCs w:val="24"/>
      </w:rPr>
      <w:instrText xml:space="preserve"> NUMPAGES  \* Arabic  \* MERGEFORMAT </w:instrText>
    </w:r>
    <w:r w:rsidRPr="009A7B80">
      <w:rPr>
        <w:color w:val="323E4F" w:themeColor="text2" w:themeShade="BF"/>
        <w:sz w:val="24"/>
        <w:szCs w:val="24"/>
      </w:rPr>
      <w:fldChar w:fldCharType="separate"/>
    </w:r>
    <w:r w:rsidRPr="009A7B80">
      <w:rPr>
        <w:color w:val="323E4F" w:themeColor="text2" w:themeShade="BF"/>
        <w:sz w:val="24"/>
        <w:szCs w:val="24"/>
      </w:rPr>
      <w:t>1</w:t>
    </w:r>
    <w:r w:rsidRPr="009A7B80">
      <w:rPr>
        <w:color w:val="323E4F" w:themeColor="text2" w:themeShade="BF"/>
        <w:sz w:val="24"/>
        <w:szCs w:val="24"/>
      </w:rPr>
      <w:fldChar w:fldCharType="end"/>
    </w:r>
  </w:p>
  <w:p w14:paraId="1FBC3F27" w14:textId="77777777" w:rsidR="00766F54" w:rsidRPr="009A7B80" w:rsidRDefault="00766F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D3B94" w14:textId="77777777" w:rsidR="00AF4316" w:rsidRDefault="00AF43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41DFA" w14:textId="77777777" w:rsidR="00B11A3A" w:rsidRDefault="00B11A3A" w:rsidP="00DB7E75">
      <w:pPr>
        <w:spacing w:after="0" w:line="240" w:lineRule="auto"/>
      </w:pPr>
      <w:r>
        <w:separator/>
      </w:r>
    </w:p>
  </w:footnote>
  <w:footnote w:type="continuationSeparator" w:id="0">
    <w:p w14:paraId="670E3F8D" w14:textId="77777777" w:rsidR="00B11A3A" w:rsidRDefault="00B11A3A" w:rsidP="00DB7E75">
      <w:pPr>
        <w:spacing w:after="0" w:line="240" w:lineRule="auto"/>
      </w:pPr>
      <w:r>
        <w:continuationSeparator/>
      </w:r>
    </w:p>
  </w:footnote>
  <w:footnote w:type="continuationNotice" w:id="1">
    <w:p w14:paraId="76EABD77" w14:textId="77777777" w:rsidR="00B11A3A" w:rsidRDefault="00B11A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F0D9C" w14:textId="77777777" w:rsidR="00AF4316" w:rsidRDefault="00AF43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B19D7" w14:textId="089768B6" w:rsidR="00766F54" w:rsidRDefault="00766F54">
    <w:pPr>
      <w:pStyle w:val="Header"/>
    </w:pPr>
    <w:r>
      <w:rPr>
        <w:noProof/>
      </w:rPr>
      <w:drawing>
        <wp:anchor distT="0" distB="0" distL="114300" distR="114300" simplePos="0" relativeHeight="251658240" behindDoc="1" locked="0" layoutInCell="1" allowOverlap="1" wp14:anchorId="607AFD67" wp14:editId="5407114D">
          <wp:simplePos x="0" y="0"/>
          <wp:positionH relativeFrom="margin">
            <wp:posOffset>-965835</wp:posOffset>
          </wp:positionH>
          <wp:positionV relativeFrom="margin">
            <wp:posOffset>2984500</wp:posOffset>
          </wp:positionV>
          <wp:extent cx="7889240" cy="616712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13_12_19 - Centre for regulatory innovation_FOOTER_WORD.png"/>
                  <pic:cNvPicPr/>
                </pic:nvPicPr>
                <pic:blipFill>
                  <a:blip r:embed="rId1">
                    <a:extLst>
                      <a:ext uri="{28A0092B-C50C-407E-A947-70E740481C1C}">
                        <a14:useLocalDpi xmlns:a14="http://schemas.microsoft.com/office/drawing/2010/main" val="0"/>
                      </a:ext>
                    </a:extLst>
                  </a:blip>
                  <a:stretch>
                    <a:fillRect/>
                  </a:stretch>
                </pic:blipFill>
                <pic:spPr>
                  <a:xfrm>
                    <a:off x="0" y="0"/>
                    <a:ext cx="7889240" cy="616712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F0433" w14:textId="77777777" w:rsidR="00AF4316" w:rsidRDefault="00AF43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F328B"/>
    <w:multiLevelType w:val="hybridMultilevel"/>
    <w:tmpl w:val="8ECCC5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0935CAE"/>
    <w:multiLevelType w:val="hybridMultilevel"/>
    <w:tmpl w:val="9BBAAE36"/>
    <w:lvl w:ilvl="0" w:tplc="34B8BF60">
      <w:start w:val="1"/>
      <w:numFmt w:val="decimal"/>
      <w:pStyle w:val="Heading3"/>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83648A8"/>
    <w:multiLevelType w:val="hybridMultilevel"/>
    <w:tmpl w:val="EC8EB034"/>
    <w:lvl w:ilvl="0" w:tplc="322AED4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1B51853"/>
    <w:multiLevelType w:val="hybridMultilevel"/>
    <w:tmpl w:val="9D146D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2120D09"/>
    <w:multiLevelType w:val="hybridMultilevel"/>
    <w:tmpl w:val="F094E008"/>
    <w:lvl w:ilvl="0" w:tplc="AA808934">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33E0565"/>
    <w:multiLevelType w:val="hybridMultilevel"/>
    <w:tmpl w:val="8DB85B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56761F0"/>
    <w:multiLevelType w:val="hybridMultilevel"/>
    <w:tmpl w:val="E3CCCF4E"/>
    <w:lvl w:ilvl="0" w:tplc="6560A1FC">
      <w:start w:val="1"/>
      <w:numFmt w:val="bullet"/>
      <w:lvlText w:val="•"/>
      <w:lvlJc w:val="left"/>
      <w:pPr>
        <w:tabs>
          <w:tab w:val="num" w:pos="720"/>
        </w:tabs>
        <w:ind w:left="720" w:hanging="360"/>
      </w:pPr>
      <w:rPr>
        <w:rFonts w:ascii="Arial" w:hAnsi="Arial" w:hint="default"/>
      </w:rPr>
    </w:lvl>
    <w:lvl w:ilvl="1" w:tplc="C02E3A6E" w:tentative="1">
      <w:start w:val="1"/>
      <w:numFmt w:val="bullet"/>
      <w:lvlText w:val="•"/>
      <w:lvlJc w:val="left"/>
      <w:pPr>
        <w:tabs>
          <w:tab w:val="num" w:pos="1440"/>
        </w:tabs>
        <w:ind w:left="1440" w:hanging="360"/>
      </w:pPr>
      <w:rPr>
        <w:rFonts w:ascii="Arial" w:hAnsi="Arial" w:hint="default"/>
      </w:rPr>
    </w:lvl>
    <w:lvl w:ilvl="2" w:tplc="1BD2A81E" w:tentative="1">
      <w:start w:val="1"/>
      <w:numFmt w:val="bullet"/>
      <w:lvlText w:val="•"/>
      <w:lvlJc w:val="left"/>
      <w:pPr>
        <w:tabs>
          <w:tab w:val="num" w:pos="2160"/>
        </w:tabs>
        <w:ind w:left="2160" w:hanging="360"/>
      </w:pPr>
      <w:rPr>
        <w:rFonts w:ascii="Arial" w:hAnsi="Arial" w:hint="default"/>
      </w:rPr>
    </w:lvl>
    <w:lvl w:ilvl="3" w:tplc="0D444362" w:tentative="1">
      <w:start w:val="1"/>
      <w:numFmt w:val="bullet"/>
      <w:lvlText w:val="•"/>
      <w:lvlJc w:val="left"/>
      <w:pPr>
        <w:tabs>
          <w:tab w:val="num" w:pos="2880"/>
        </w:tabs>
        <w:ind w:left="2880" w:hanging="360"/>
      </w:pPr>
      <w:rPr>
        <w:rFonts w:ascii="Arial" w:hAnsi="Arial" w:hint="default"/>
      </w:rPr>
    </w:lvl>
    <w:lvl w:ilvl="4" w:tplc="97BA5124" w:tentative="1">
      <w:start w:val="1"/>
      <w:numFmt w:val="bullet"/>
      <w:lvlText w:val="•"/>
      <w:lvlJc w:val="left"/>
      <w:pPr>
        <w:tabs>
          <w:tab w:val="num" w:pos="3600"/>
        </w:tabs>
        <w:ind w:left="3600" w:hanging="360"/>
      </w:pPr>
      <w:rPr>
        <w:rFonts w:ascii="Arial" w:hAnsi="Arial" w:hint="default"/>
      </w:rPr>
    </w:lvl>
    <w:lvl w:ilvl="5" w:tplc="4B046654" w:tentative="1">
      <w:start w:val="1"/>
      <w:numFmt w:val="bullet"/>
      <w:lvlText w:val="•"/>
      <w:lvlJc w:val="left"/>
      <w:pPr>
        <w:tabs>
          <w:tab w:val="num" w:pos="4320"/>
        </w:tabs>
        <w:ind w:left="4320" w:hanging="360"/>
      </w:pPr>
      <w:rPr>
        <w:rFonts w:ascii="Arial" w:hAnsi="Arial" w:hint="default"/>
      </w:rPr>
    </w:lvl>
    <w:lvl w:ilvl="6" w:tplc="00DA0D0E" w:tentative="1">
      <w:start w:val="1"/>
      <w:numFmt w:val="bullet"/>
      <w:lvlText w:val="•"/>
      <w:lvlJc w:val="left"/>
      <w:pPr>
        <w:tabs>
          <w:tab w:val="num" w:pos="5040"/>
        </w:tabs>
        <w:ind w:left="5040" w:hanging="360"/>
      </w:pPr>
      <w:rPr>
        <w:rFonts w:ascii="Arial" w:hAnsi="Arial" w:hint="default"/>
      </w:rPr>
    </w:lvl>
    <w:lvl w:ilvl="7" w:tplc="106E9570" w:tentative="1">
      <w:start w:val="1"/>
      <w:numFmt w:val="bullet"/>
      <w:lvlText w:val="•"/>
      <w:lvlJc w:val="left"/>
      <w:pPr>
        <w:tabs>
          <w:tab w:val="num" w:pos="5760"/>
        </w:tabs>
        <w:ind w:left="5760" w:hanging="360"/>
      </w:pPr>
      <w:rPr>
        <w:rFonts w:ascii="Arial" w:hAnsi="Arial" w:hint="default"/>
      </w:rPr>
    </w:lvl>
    <w:lvl w:ilvl="8" w:tplc="96723B4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5F96284"/>
    <w:multiLevelType w:val="hybridMultilevel"/>
    <w:tmpl w:val="0316E66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A1E6293"/>
    <w:multiLevelType w:val="hybridMultilevel"/>
    <w:tmpl w:val="E5267798"/>
    <w:lvl w:ilvl="0" w:tplc="10090001">
      <w:start w:val="1"/>
      <w:numFmt w:val="bullet"/>
      <w:lvlText w:val=""/>
      <w:lvlJc w:val="left"/>
      <w:pPr>
        <w:ind w:left="1337" w:hanging="360"/>
      </w:pPr>
      <w:rPr>
        <w:rFonts w:ascii="Symbol" w:hAnsi="Symbol" w:hint="default"/>
      </w:rPr>
    </w:lvl>
    <w:lvl w:ilvl="1" w:tplc="10090003" w:tentative="1">
      <w:start w:val="1"/>
      <w:numFmt w:val="bullet"/>
      <w:lvlText w:val="o"/>
      <w:lvlJc w:val="left"/>
      <w:pPr>
        <w:ind w:left="2057" w:hanging="360"/>
      </w:pPr>
      <w:rPr>
        <w:rFonts w:ascii="Courier New" w:hAnsi="Courier New" w:cs="Courier New" w:hint="default"/>
      </w:rPr>
    </w:lvl>
    <w:lvl w:ilvl="2" w:tplc="10090005" w:tentative="1">
      <w:start w:val="1"/>
      <w:numFmt w:val="bullet"/>
      <w:lvlText w:val=""/>
      <w:lvlJc w:val="left"/>
      <w:pPr>
        <w:ind w:left="2777" w:hanging="360"/>
      </w:pPr>
      <w:rPr>
        <w:rFonts w:ascii="Wingdings" w:hAnsi="Wingdings" w:hint="default"/>
      </w:rPr>
    </w:lvl>
    <w:lvl w:ilvl="3" w:tplc="10090001" w:tentative="1">
      <w:start w:val="1"/>
      <w:numFmt w:val="bullet"/>
      <w:lvlText w:val=""/>
      <w:lvlJc w:val="left"/>
      <w:pPr>
        <w:ind w:left="3497" w:hanging="360"/>
      </w:pPr>
      <w:rPr>
        <w:rFonts w:ascii="Symbol" w:hAnsi="Symbol" w:hint="default"/>
      </w:rPr>
    </w:lvl>
    <w:lvl w:ilvl="4" w:tplc="10090003" w:tentative="1">
      <w:start w:val="1"/>
      <w:numFmt w:val="bullet"/>
      <w:lvlText w:val="o"/>
      <w:lvlJc w:val="left"/>
      <w:pPr>
        <w:ind w:left="4217" w:hanging="360"/>
      </w:pPr>
      <w:rPr>
        <w:rFonts w:ascii="Courier New" w:hAnsi="Courier New" w:cs="Courier New" w:hint="default"/>
      </w:rPr>
    </w:lvl>
    <w:lvl w:ilvl="5" w:tplc="10090005" w:tentative="1">
      <w:start w:val="1"/>
      <w:numFmt w:val="bullet"/>
      <w:lvlText w:val=""/>
      <w:lvlJc w:val="left"/>
      <w:pPr>
        <w:ind w:left="4937" w:hanging="360"/>
      </w:pPr>
      <w:rPr>
        <w:rFonts w:ascii="Wingdings" w:hAnsi="Wingdings" w:hint="default"/>
      </w:rPr>
    </w:lvl>
    <w:lvl w:ilvl="6" w:tplc="10090001" w:tentative="1">
      <w:start w:val="1"/>
      <w:numFmt w:val="bullet"/>
      <w:lvlText w:val=""/>
      <w:lvlJc w:val="left"/>
      <w:pPr>
        <w:ind w:left="5657" w:hanging="360"/>
      </w:pPr>
      <w:rPr>
        <w:rFonts w:ascii="Symbol" w:hAnsi="Symbol" w:hint="default"/>
      </w:rPr>
    </w:lvl>
    <w:lvl w:ilvl="7" w:tplc="10090003" w:tentative="1">
      <w:start w:val="1"/>
      <w:numFmt w:val="bullet"/>
      <w:lvlText w:val="o"/>
      <w:lvlJc w:val="left"/>
      <w:pPr>
        <w:ind w:left="6377" w:hanging="360"/>
      </w:pPr>
      <w:rPr>
        <w:rFonts w:ascii="Courier New" w:hAnsi="Courier New" w:cs="Courier New" w:hint="default"/>
      </w:rPr>
    </w:lvl>
    <w:lvl w:ilvl="8" w:tplc="10090005" w:tentative="1">
      <w:start w:val="1"/>
      <w:numFmt w:val="bullet"/>
      <w:lvlText w:val=""/>
      <w:lvlJc w:val="left"/>
      <w:pPr>
        <w:ind w:left="7097" w:hanging="360"/>
      </w:pPr>
      <w:rPr>
        <w:rFonts w:ascii="Wingdings" w:hAnsi="Wingdings" w:hint="default"/>
      </w:rPr>
    </w:lvl>
  </w:abstractNum>
  <w:abstractNum w:abstractNumId="9" w15:restartNumberingAfterBreak="0">
    <w:nsid w:val="3C612545"/>
    <w:multiLevelType w:val="hybridMultilevel"/>
    <w:tmpl w:val="FC829122"/>
    <w:lvl w:ilvl="0" w:tplc="10090001">
      <w:start w:val="1"/>
      <w:numFmt w:val="bullet"/>
      <w:lvlText w:val=""/>
      <w:lvlJc w:val="left"/>
      <w:pPr>
        <w:ind w:left="767" w:hanging="360"/>
      </w:pPr>
      <w:rPr>
        <w:rFonts w:ascii="Symbol" w:hAnsi="Symbol" w:hint="default"/>
      </w:rPr>
    </w:lvl>
    <w:lvl w:ilvl="1" w:tplc="10090003" w:tentative="1">
      <w:start w:val="1"/>
      <w:numFmt w:val="bullet"/>
      <w:lvlText w:val="o"/>
      <w:lvlJc w:val="left"/>
      <w:pPr>
        <w:ind w:left="1487" w:hanging="360"/>
      </w:pPr>
      <w:rPr>
        <w:rFonts w:ascii="Courier New" w:hAnsi="Courier New" w:cs="Courier New" w:hint="default"/>
      </w:rPr>
    </w:lvl>
    <w:lvl w:ilvl="2" w:tplc="10090005" w:tentative="1">
      <w:start w:val="1"/>
      <w:numFmt w:val="bullet"/>
      <w:lvlText w:val=""/>
      <w:lvlJc w:val="left"/>
      <w:pPr>
        <w:ind w:left="2207" w:hanging="360"/>
      </w:pPr>
      <w:rPr>
        <w:rFonts w:ascii="Wingdings" w:hAnsi="Wingdings" w:hint="default"/>
      </w:rPr>
    </w:lvl>
    <w:lvl w:ilvl="3" w:tplc="10090001" w:tentative="1">
      <w:start w:val="1"/>
      <w:numFmt w:val="bullet"/>
      <w:lvlText w:val=""/>
      <w:lvlJc w:val="left"/>
      <w:pPr>
        <w:ind w:left="2927" w:hanging="360"/>
      </w:pPr>
      <w:rPr>
        <w:rFonts w:ascii="Symbol" w:hAnsi="Symbol" w:hint="default"/>
      </w:rPr>
    </w:lvl>
    <w:lvl w:ilvl="4" w:tplc="10090003" w:tentative="1">
      <w:start w:val="1"/>
      <w:numFmt w:val="bullet"/>
      <w:lvlText w:val="o"/>
      <w:lvlJc w:val="left"/>
      <w:pPr>
        <w:ind w:left="3647" w:hanging="360"/>
      </w:pPr>
      <w:rPr>
        <w:rFonts w:ascii="Courier New" w:hAnsi="Courier New" w:cs="Courier New" w:hint="default"/>
      </w:rPr>
    </w:lvl>
    <w:lvl w:ilvl="5" w:tplc="10090005" w:tentative="1">
      <w:start w:val="1"/>
      <w:numFmt w:val="bullet"/>
      <w:lvlText w:val=""/>
      <w:lvlJc w:val="left"/>
      <w:pPr>
        <w:ind w:left="4367" w:hanging="360"/>
      </w:pPr>
      <w:rPr>
        <w:rFonts w:ascii="Wingdings" w:hAnsi="Wingdings" w:hint="default"/>
      </w:rPr>
    </w:lvl>
    <w:lvl w:ilvl="6" w:tplc="10090001" w:tentative="1">
      <w:start w:val="1"/>
      <w:numFmt w:val="bullet"/>
      <w:lvlText w:val=""/>
      <w:lvlJc w:val="left"/>
      <w:pPr>
        <w:ind w:left="5087" w:hanging="360"/>
      </w:pPr>
      <w:rPr>
        <w:rFonts w:ascii="Symbol" w:hAnsi="Symbol" w:hint="default"/>
      </w:rPr>
    </w:lvl>
    <w:lvl w:ilvl="7" w:tplc="10090003" w:tentative="1">
      <w:start w:val="1"/>
      <w:numFmt w:val="bullet"/>
      <w:lvlText w:val="o"/>
      <w:lvlJc w:val="left"/>
      <w:pPr>
        <w:ind w:left="5807" w:hanging="360"/>
      </w:pPr>
      <w:rPr>
        <w:rFonts w:ascii="Courier New" w:hAnsi="Courier New" w:cs="Courier New" w:hint="default"/>
      </w:rPr>
    </w:lvl>
    <w:lvl w:ilvl="8" w:tplc="10090005" w:tentative="1">
      <w:start w:val="1"/>
      <w:numFmt w:val="bullet"/>
      <w:lvlText w:val=""/>
      <w:lvlJc w:val="left"/>
      <w:pPr>
        <w:ind w:left="6527" w:hanging="360"/>
      </w:pPr>
      <w:rPr>
        <w:rFonts w:ascii="Wingdings" w:hAnsi="Wingdings" w:hint="default"/>
      </w:rPr>
    </w:lvl>
  </w:abstractNum>
  <w:abstractNum w:abstractNumId="10" w15:restartNumberingAfterBreak="0">
    <w:nsid w:val="44EF5122"/>
    <w:multiLevelType w:val="multilevel"/>
    <w:tmpl w:val="98463C38"/>
    <w:lvl w:ilvl="0">
      <w:start w:val="1"/>
      <w:numFmt w:val="decimal"/>
      <w:lvlText w:val="%1."/>
      <w:lvlJc w:val="left"/>
      <w:pPr>
        <w:ind w:left="720" w:hanging="360"/>
      </w:pPr>
      <w:rPr>
        <w:rFonts w:hint="default"/>
        <w:b/>
        <w:bCs/>
        <w:sz w:val="28"/>
        <w:szCs w:val="28"/>
      </w:rPr>
    </w:lvl>
    <w:lvl w:ilvl="1">
      <w:start w:val="1"/>
      <w:numFmt w:val="decimal"/>
      <w:isLgl/>
      <w:lvlText w:val="%1.%2"/>
      <w:lvlJc w:val="left"/>
      <w:pPr>
        <w:ind w:left="720" w:hanging="360"/>
      </w:pPr>
      <w:rPr>
        <w:rFonts w:hint="default"/>
        <w:b/>
        <w:bCs/>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89B2B63"/>
    <w:multiLevelType w:val="multilevel"/>
    <w:tmpl w:val="D9F08E0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4A556E15"/>
    <w:multiLevelType w:val="hybridMultilevel"/>
    <w:tmpl w:val="EA5A3458"/>
    <w:lvl w:ilvl="0" w:tplc="10090001">
      <w:start w:val="1"/>
      <w:numFmt w:val="bullet"/>
      <w:lvlText w:val=""/>
      <w:lvlJc w:val="left"/>
      <w:pPr>
        <w:ind w:left="767" w:hanging="360"/>
      </w:pPr>
      <w:rPr>
        <w:rFonts w:ascii="Symbol" w:hAnsi="Symbol" w:hint="default"/>
      </w:rPr>
    </w:lvl>
    <w:lvl w:ilvl="1" w:tplc="10090003" w:tentative="1">
      <w:start w:val="1"/>
      <w:numFmt w:val="bullet"/>
      <w:lvlText w:val="o"/>
      <w:lvlJc w:val="left"/>
      <w:pPr>
        <w:ind w:left="1487" w:hanging="360"/>
      </w:pPr>
      <w:rPr>
        <w:rFonts w:ascii="Courier New" w:hAnsi="Courier New" w:cs="Courier New" w:hint="default"/>
      </w:rPr>
    </w:lvl>
    <w:lvl w:ilvl="2" w:tplc="10090005" w:tentative="1">
      <w:start w:val="1"/>
      <w:numFmt w:val="bullet"/>
      <w:lvlText w:val=""/>
      <w:lvlJc w:val="left"/>
      <w:pPr>
        <w:ind w:left="2207" w:hanging="360"/>
      </w:pPr>
      <w:rPr>
        <w:rFonts w:ascii="Wingdings" w:hAnsi="Wingdings" w:hint="default"/>
      </w:rPr>
    </w:lvl>
    <w:lvl w:ilvl="3" w:tplc="10090001" w:tentative="1">
      <w:start w:val="1"/>
      <w:numFmt w:val="bullet"/>
      <w:lvlText w:val=""/>
      <w:lvlJc w:val="left"/>
      <w:pPr>
        <w:ind w:left="2927" w:hanging="360"/>
      </w:pPr>
      <w:rPr>
        <w:rFonts w:ascii="Symbol" w:hAnsi="Symbol" w:hint="default"/>
      </w:rPr>
    </w:lvl>
    <w:lvl w:ilvl="4" w:tplc="10090003" w:tentative="1">
      <w:start w:val="1"/>
      <w:numFmt w:val="bullet"/>
      <w:lvlText w:val="o"/>
      <w:lvlJc w:val="left"/>
      <w:pPr>
        <w:ind w:left="3647" w:hanging="360"/>
      </w:pPr>
      <w:rPr>
        <w:rFonts w:ascii="Courier New" w:hAnsi="Courier New" w:cs="Courier New" w:hint="default"/>
      </w:rPr>
    </w:lvl>
    <w:lvl w:ilvl="5" w:tplc="10090005" w:tentative="1">
      <w:start w:val="1"/>
      <w:numFmt w:val="bullet"/>
      <w:lvlText w:val=""/>
      <w:lvlJc w:val="left"/>
      <w:pPr>
        <w:ind w:left="4367" w:hanging="360"/>
      </w:pPr>
      <w:rPr>
        <w:rFonts w:ascii="Wingdings" w:hAnsi="Wingdings" w:hint="default"/>
      </w:rPr>
    </w:lvl>
    <w:lvl w:ilvl="6" w:tplc="10090001" w:tentative="1">
      <w:start w:val="1"/>
      <w:numFmt w:val="bullet"/>
      <w:lvlText w:val=""/>
      <w:lvlJc w:val="left"/>
      <w:pPr>
        <w:ind w:left="5087" w:hanging="360"/>
      </w:pPr>
      <w:rPr>
        <w:rFonts w:ascii="Symbol" w:hAnsi="Symbol" w:hint="default"/>
      </w:rPr>
    </w:lvl>
    <w:lvl w:ilvl="7" w:tplc="10090003" w:tentative="1">
      <w:start w:val="1"/>
      <w:numFmt w:val="bullet"/>
      <w:lvlText w:val="o"/>
      <w:lvlJc w:val="left"/>
      <w:pPr>
        <w:ind w:left="5807" w:hanging="360"/>
      </w:pPr>
      <w:rPr>
        <w:rFonts w:ascii="Courier New" w:hAnsi="Courier New" w:cs="Courier New" w:hint="default"/>
      </w:rPr>
    </w:lvl>
    <w:lvl w:ilvl="8" w:tplc="10090005" w:tentative="1">
      <w:start w:val="1"/>
      <w:numFmt w:val="bullet"/>
      <w:lvlText w:val=""/>
      <w:lvlJc w:val="left"/>
      <w:pPr>
        <w:ind w:left="6527" w:hanging="360"/>
      </w:pPr>
      <w:rPr>
        <w:rFonts w:ascii="Wingdings" w:hAnsi="Wingdings" w:hint="default"/>
      </w:rPr>
    </w:lvl>
  </w:abstractNum>
  <w:abstractNum w:abstractNumId="13" w15:restartNumberingAfterBreak="0">
    <w:nsid w:val="51336803"/>
    <w:multiLevelType w:val="hybridMultilevel"/>
    <w:tmpl w:val="F2146DEA"/>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52140675"/>
    <w:multiLevelType w:val="multilevel"/>
    <w:tmpl w:val="E404F042"/>
    <w:lvl w:ilvl="0">
      <w:start w:val="6"/>
      <w:numFmt w:val="decimal"/>
      <w:lvlText w:val="%1."/>
      <w:lvlJc w:val="left"/>
      <w:pPr>
        <w:ind w:left="720" w:hanging="360"/>
      </w:pPr>
      <w:rPr>
        <w:rFonts w:hint="default"/>
      </w:rPr>
    </w:lvl>
    <w:lvl w:ilvl="1">
      <w:start w:val="2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4161FA1"/>
    <w:multiLevelType w:val="multilevel"/>
    <w:tmpl w:val="25848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85D34DD"/>
    <w:multiLevelType w:val="hybridMultilevel"/>
    <w:tmpl w:val="816EBB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AD20208"/>
    <w:multiLevelType w:val="multilevel"/>
    <w:tmpl w:val="1009001F"/>
    <w:lvl w:ilvl="0">
      <w:start w:val="1"/>
      <w:numFmt w:val="decimal"/>
      <w:lvlText w:val="%1."/>
      <w:lvlJc w:val="left"/>
      <w:pPr>
        <w:ind w:left="360" w:hanging="360"/>
      </w:pPr>
      <w:rPr>
        <w:rFonts w:hint="default"/>
        <w:b/>
        <w:bCs/>
        <w:sz w:val="24"/>
        <w:szCs w:val="3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B242B34"/>
    <w:multiLevelType w:val="multilevel"/>
    <w:tmpl w:val="631825E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BDC4028"/>
    <w:multiLevelType w:val="hybridMultilevel"/>
    <w:tmpl w:val="FA9A9F8A"/>
    <w:lvl w:ilvl="0" w:tplc="AF68B876">
      <w:start w:val="1"/>
      <w:numFmt w:val="upperLetter"/>
      <w:pStyle w:val="Heading2"/>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FEB782A"/>
    <w:multiLevelType w:val="multilevel"/>
    <w:tmpl w:val="D31A0204"/>
    <w:lvl w:ilvl="0">
      <w:start w:val="6"/>
      <w:numFmt w:val="decimal"/>
      <w:lvlText w:val="%1."/>
      <w:lvlJc w:val="left"/>
      <w:pPr>
        <w:ind w:left="720" w:hanging="360"/>
      </w:pPr>
      <w:rPr>
        <w:rFonts w:hint="default"/>
      </w:rPr>
    </w:lvl>
    <w:lvl w:ilvl="1">
      <w:start w:val="2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02953E3"/>
    <w:multiLevelType w:val="multilevel"/>
    <w:tmpl w:val="BBECDF72"/>
    <w:lvl w:ilvl="0">
      <w:start w:val="6"/>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C4E3861"/>
    <w:multiLevelType w:val="hybridMultilevel"/>
    <w:tmpl w:val="3C4ED504"/>
    <w:lvl w:ilvl="0" w:tplc="1009000F">
      <w:start w:val="1"/>
      <w:numFmt w:val="decimal"/>
      <w:lvlText w:val="%1."/>
      <w:lvlJc w:val="left"/>
      <w:pPr>
        <w:ind w:left="1860" w:hanging="360"/>
      </w:pPr>
    </w:lvl>
    <w:lvl w:ilvl="1" w:tplc="10090019" w:tentative="1">
      <w:start w:val="1"/>
      <w:numFmt w:val="lowerLetter"/>
      <w:lvlText w:val="%2."/>
      <w:lvlJc w:val="left"/>
      <w:pPr>
        <w:ind w:left="2580" w:hanging="360"/>
      </w:pPr>
    </w:lvl>
    <w:lvl w:ilvl="2" w:tplc="1009001B" w:tentative="1">
      <w:start w:val="1"/>
      <w:numFmt w:val="lowerRoman"/>
      <w:lvlText w:val="%3."/>
      <w:lvlJc w:val="right"/>
      <w:pPr>
        <w:ind w:left="3300" w:hanging="180"/>
      </w:pPr>
    </w:lvl>
    <w:lvl w:ilvl="3" w:tplc="1009000F" w:tentative="1">
      <w:start w:val="1"/>
      <w:numFmt w:val="decimal"/>
      <w:lvlText w:val="%4."/>
      <w:lvlJc w:val="left"/>
      <w:pPr>
        <w:ind w:left="4020" w:hanging="360"/>
      </w:pPr>
    </w:lvl>
    <w:lvl w:ilvl="4" w:tplc="10090019" w:tentative="1">
      <w:start w:val="1"/>
      <w:numFmt w:val="lowerLetter"/>
      <w:lvlText w:val="%5."/>
      <w:lvlJc w:val="left"/>
      <w:pPr>
        <w:ind w:left="4740" w:hanging="360"/>
      </w:pPr>
    </w:lvl>
    <w:lvl w:ilvl="5" w:tplc="1009001B" w:tentative="1">
      <w:start w:val="1"/>
      <w:numFmt w:val="lowerRoman"/>
      <w:lvlText w:val="%6."/>
      <w:lvlJc w:val="right"/>
      <w:pPr>
        <w:ind w:left="5460" w:hanging="180"/>
      </w:pPr>
    </w:lvl>
    <w:lvl w:ilvl="6" w:tplc="1009000F" w:tentative="1">
      <w:start w:val="1"/>
      <w:numFmt w:val="decimal"/>
      <w:lvlText w:val="%7."/>
      <w:lvlJc w:val="left"/>
      <w:pPr>
        <w:ind w:left="6180" w:hanging="360"/>
      </w:pPr>
    </w:lvl>
    <w:lvl w:ilvl="7" w:tplc="10090019" w:tentative="1">
      <w:start w:val="1"/>
      <w:numFmt w:val="lowerLetter"/>
      <w:lvlText w:val="%8."/>
      <w:lvlJc w:val="left"/>
      <w:pPr>
        <w:ind w:left="6900" w:hanging="360"/>
      </w:pPr>
    </w:lvl>
    <w:lvl w:ilvl="8" w:tplc="1009001B" w:tentative="1">
      <w:start w:val="1"/>
      <w:numFmt w:val="lowerRoman"/>
      <w:lvlText w:val="%9."/>
      <w:lvlJc w:val="right"/>
      <w:pPr>
        <w:ind w:left="7620" w:hanging="180"/>
      </w:pPr>
    </w:lvl>
  </w:abstractNum>
  <w:abstractNum w:abstractNumId="23" w15:restartNumberingAfterBreak="0">
    <w:nsid w:val="6C5E3371"/>
    <w:multiLevelType w:val="multilevel"/>
    <w:tmpl w:val="6D2473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75FB70DB"/>
    <w:multiLevelType w:val="multilevel"/>
    <w:tmpl w:val="B5505D9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79EF1BA0"/>
    <w:multiLevelType w:val="hybridMultilevel"/>
    <w:tmpl w:val="EC8EB034"/>
    <w:lvl w:ilvl="0" w:tplc="322AED44">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F914130"/>
    <w:multiLevelType w:val="hybridMultilevel"/>
    <w:tmpl w:val="37260934"/>
    <w:lvl w:ilvl="0" w:tplc="10090001">
      <w:start w:val="1"/>
      <w:numFmt w:val="bullet"/>
      <w:lvlText w:val=""/>
      <w:lvlJc w:val="left"/>
      <w:pPr>
        <w:ind w:left="1198" w:hanging="360"/>
      </w:pPr>
      <w:rPr>
        <w:rFonts w:ascii="Symbol" w:hAnsi="Symbol" w:hint="default"/>
      </w:rPr>
    </w:lvl>
    <w:lvl w:ilvl="1" w:tplc="10090003">
      <w:start w:val="1"/>
      <w:numFmt w:val="bullet"/>
      <w:lvlText w:val="o"/>
      <w:lvlJc w:val="left"/>
      <w:pPr>
        <w:ind w:left="1918" w:hanging="360"/>
      </w:pPr>
      <w:rPr>
        <w:rFonts w:ascii="Courier New" w:hAnsi="Courier New" w:cs="Courier New" w:hint="default"/>
      </w:rPr>
    </w:lvl>
    <w:lvl w:ilvl="2" w:tplc="10090005" w:tentative="1">
      <w:start w:val="1"/>
      <w:numFmt w:val="bullet"/>
      <w:lvlText w:val=""/>
      <w:lvlJc w:val="left"/>
      <w:pPr>
        <w:ind w:left="2638" w:hanging="360"/>
      </w:pPr>
      <w:rPr>
        <w:rFonts w:ascii="Wingdings" w:hAnsi="Wingdings" w:hint="default"/>
      </w:rPr>
    </w:lvl>
    <w:lvl w:ilvl="3" w:tplc="10090001" w:tentative="1">
      <w:start w:val="1"/>
      <w:numFmt w:val="bullet"/>
      <w:lvlText w:val=""/>
      <w:lvlJc w:val="left"/>
      <w:pPr>
        <w:ind w:left="3358" w:hanging="360"/>
      </w:pPr>
      <w:rPr>
        <w:rFonts w:ascii="Symbol" w:hAnsi="Symbol" w:hint="default"/>
      </w:rPr>
    </w:lvl>
    <w:lvl w:ilvl="4" w:tplc="10090003" w:tentative="1">
      <w:start w:val="1"/>
      <w:numFmt w:val="bullet"/>
      <w:lvlText w:val="o"/>
      <w:lvlJc w:val="left"/>
      <w:pPr>
        <w:ind w:left="4078" w:hanging="360"/>
      </w:pPr>
      <w:rPr>
        <w:rFonts w:ascii="Courier New" w:hAnsi="Courier New" w:cs="Courier New" w:hint="default"/>
      </w:rPr>
    </w:lvl>
    <w:lvl w:ilvl="5" w:tplc="10090005" w:tentative="1">
      <w:start w:val="1"/>
      <w:numFmt w:val="bullet"/>
      <w:lvlText w:val=""/>
      <w:lvlJc w:val="left"/>
      <w:pPr>
        <w:ind w:left="4798" w:hanging="360"/>
      </w:pPr>
      <w:rPr>
        <w:rFonts w:ascii="Wingdings" w:hAnsi="Wingdings" w:hint="default"/>
      </w:rPr>
    </w:lvl>
    <w:lvl w:ilvl="6" w:tplc="10090001" w:tentative="1">
      <w:start w:val="1"/>
      <w:numFmt w:val="bullet"/>
      <w:lvlText w:val=""/>
      <w:lvlJc w:val="left"/>
      <w:pPr>
        <w:ind w:left="5518" w:hanging="360"/>
      </w:pPr>
      <w:rPr>
        <w:rFonts w:ascii="Symbol" w:hAnsi="Symbol" w:hint="default"/>
      </w:rPr>
    </w:lvl>
    <w:lvl w:ilvl="7" w:tplc="10090003" w:tentative="1">
      <w:start w:val="1"/>
      <w:numFmt w:val="bullet"/>
      <w:lvlText w:val="o"/>
      <w:lvlJc w:val="left"/>
      <w:pPr>
        <w:ind w:left="6238" w:hanging="360"/>
      </w:pPr>
      <w:rPr>
        <w:rFonts w:ascii="Courier New" w:hAnsi="Courier New" w:cs="Courier New" w:hint="default"/>
      </w:rPr>
    </w:lvl>
    <w:lvl w:ilvl="8" w:tplc="10090005" w:tentative="1">
      <w:start w:val="1"/>
      <w:numFmt w:val="bullet"/>
      <w:lvlText w:val=""/>
      <w:lvlJc w:val="left"/>
      <w:pPr>
        <w:ind w:left="6958" w:hanging="360"/>
      </w:pPr>
      <w:rPr>
        <w:rFonts w:ascii="Wingdings" w:hAnsi="Wingdings" w:hint="default"/>
      </w:rPr>
    </w:lvl>
  </w:abstractNum>
  <w:num w:numId="1" w16cid:durableId="1355224519">
    <w:abstractNumId w:val="26"/>
  </w:num>
  <w:num w:numId="2" w16cid:durableId="1747455568">
    <w:abstractNumId w:val="6"/>
  </w:num>
  <w:num w:numId="3" w16cid:durableId="666909809">
    <w:abstractNumId w:val="19"/>
  </w:num>
  <w:num w:numId="4" w16cid:durableId="466509510">
    <w:abstractNumId w:val="1"/>
  </w:num>
  <w:num w:numId="5" w16cid:durableId="301228475">
    <w:abstractNumId w:val="9"/>
  </w:num>
  <w:num w:numId="6" w16cid:durableId="322319118">
    <w:abstractNumId w:val="8"/>
  </w:num>
  <w:num w:numId="7" w16cid:durableId="7028246">
    <w:abstractNumId w:val="3"/>
  </w:num>
  <w:num w:numId="8" w16cid:durableId="685792347">
    <w:abstractNumId w:val="22"/>
  </w:num>
  <w:num w:numId="9" w16cid:durableId="464936070">
    <w:abstractNumId w:val="12"/>
  </w:num>
  <w:num w:numId="10" w16cid:durableId="2036074864">
    <w:abstractNumId w:val="11"/>
  </w:num>
  <w:num w:numId="11" w16cid:durableId="1953585055">
    <w:abstractNumId w:val="25"/>
  </w:num>
  <w:num w:numId="12" w16cid:durableId="688139763">
    <w:abstractNumId w:val="7"/>
  </w:num>
  <w:num w:numId="13" w16cid:durableId="1479683765">
    <w:abstractNumId w:val="18"/>
  </w:num>
  <w:num w:numId="14" w16cid:durableId="1593858246">
    <w:abstractNumId w:val="4"/>
  </w:num>
  <w:num w:numId="15" w16cid:durableId="451244882">
    <w:abstractNumId w:val="10"/>
  </w:num>
  <w:num w:numId="16" w16cid:durableId="350033359">
    <w:abstractNumId w:val="2"/>
  </w:num>
  <w:num w:numId="17" w16cid:durableId="1041705903">
    <w:abstractNumId w:val="14"/>
  </w:num>
  <w:num w:numId="18" w16cid:durableId="1689521466">
    <w:abstractNumId w:val="20"/>
  </w:num>
  <w:num w:numId="19" w16cid:durableId="2093240601">
    <w:abstractNumId w:val="21"/>
  </w:num>
  <w:num w:numId="20" w16cid:durableId="464393092">
    <w:abstractNumId w:val="17"/>
  </w:num>
  <w:num w:numId="21" w16cid:durableId="161699025">
    <w:abstractNumId w:val="5"/>
  </w:num>
  <w:num w:numId="22" w16cid:durableId="768158819">
    <w:abstractNumId w:val="16"/>
  </w:num>
  <w:num w:numId="23" w16cid:durableId="1027411575">
    <w:abstractNumId w:val="0"/>
  </w:num>
  <w:num w:numId="24" w16cid:durableId="1157841870">
    <w:abstractNumId w:val="15"/>
  </w:num>
  <w:num w:numId="25" w16cid:durableId="1700816807">
    <w:abstractNumId w:val="23"/>
  </w:num>
  <w:num w:numId="26" w16cid:durableId="1842427929">
    <w:abstractNumId w:val="24"/>
  </w:num>
  <w:num w:numId="27" w16cid:durableId="13155733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E75"/>
    <w:rsid w:val="00003554"/>
    <w:rsid w:val="000117F7"/>
    <w:rsid w:val="0001401C"/>
    <w:rsid w:val="0001749C"/>
    <w:rsid w:val="00017C43"/>
    <w:rsid w:val="0003061D"/>
    <w:rsid w:val="00031711"/>
    <w:rsid w:val="00036046"/>
    <w:rsid w:val="00044809"/>
    <w:rsid w:val="00045C8B"/>
    <w:rsid w:val="00056E71"/>
    <w:rsid w:val="00057815"/>
    <w:rsid w:val="00063798"/>
    <w:rsid w:val="00063A04"/>
    <w:rsid w:val="00064DB4"/>
    <w:rsid w:val="00065C5F"/>
    <w:rsid w:val="000700B2"/>
    <w:rsid w:val="000705FD"/>
    <w:rsid w:val="000747BC"/>
    <w:rsid w:val="0008161A"/>
    <w:rsid w:val="000844BF"/>
    <w:rsid w:val="00086F2F"/>
    <w:rsid w:val="00087947"/>
    <w:rsid w:val="000912F9"/>
    <w:rsid w:val="0009315C"/>
    <w:rsid w:val="00096000"/>
    <w:rsid w:val="000A0632"/>
    <w:rsid w:val="000A1C36"/>
    <w:rsid w:val="000A3B2E"/>
    <w:rsid w:val="000A7541"/>
    <w:rsid w:val="000B1F49"/>
    <w:rsid w:val="000B2E54"/>
    <w:rsid w:val="000B5930"/>
    <w:rsid w:val="000B661D"/>
    <w:rsid w:val="000B7228"/>
    <w:rsid w:val="000C5982"/>
    <w:rsid w:val="000D2B25"/>
    <w:rsid w:val="000D329A"/>
    <w:rsid w:val="000D358A"/>
    <w:rsid w:val="000D7FC4"/>
    <w:rsid w:val="000E6FB5"/>
    <w:rsid w:val="000E76A4"/>
    <w:rsid w:val="000F69BF"/>
    <w:rsid w:val="00111D28"/>
    <w:rsid w:val="00112289"/>
    <w:rsid w:val="00113354"/>
    <w:rsid w:val="00114986"/>
    <w:rsid w:val="0013022D"/>
    <w:rsid w:val="0013109E"/>
    <w:rsid w:val="001332C2"/>
    <w:rsid w:val="00133F91"/>
    <w:rsid w:val="00146124"/>
    <w:rsid w:val="00152E93"/>
    <w:rsid w:val="00153020"/>
    <w:rsid w:val="001550C6"/>
    <w:rsid w:val="00157614"/>
    <w:rsid w:val="0015787A"/>
    <w:rsid w:val="00160FA7"/>
    <w:rsid w:val="001715C4"/>
    <w:rsid w:val="00177D38"/>
    <w:rsid w:val="00181261"/>
    <w:rsid w:val="00182A73"/>
    <w:rsid w:val="001846C3"/>
    <w:rsid w:val="001852A1"/>
    <w:rsid w:val="00187461"/>
    <w:rsid w:val="00187F95"/>
    <w:rsid w:val="00196A76"/>
    <w:rsid w:val="001A0906"/>
    <w:rsid w:val="001A4EC7"/>
    <w:rsid w:val="001B23CA"/>
    <w:rsid w:val="001B377A"/>
    <w:rsid w:val="001B4D28"/>
    <w:rsid w:val="001C64DD"/>
    <w:rsid w:val="001C70BA"/>
    <w:rsid w:val="001C77F1"/>
    <w:rsid w:val="001D3B9C"/>
    <w:rsid w:val="001D5C17"/>
    <w:rsid w:val="001D7AEF"/>
    <w:rsid w:val="001F065B"/>
    <w:rsid w:val="001F1214"/>
    <w:rsid w:val="001F2BD9"/>
    <w:rsid w:val="001F2D4A"/>
    <w:rsid w:val="001F3A65"/>
    <w:rsid w:val="001F6A02"/>
    <w:rsid w:val="002028FC"/>
    <w:rsid w:val="00205135"/>
    <w:rsid w:val="00206CD3"/>
    <w:rsid w:val="0021528F"/>
    <w:rsid w:val="00220D90"/>
    <w:rsid w:val="00221B96"/>
    <w:rsid w:val="00223C1E"/>
    <w:rsid w:val="0023074F"/>
    <w:rsid w:val="00235042"/>
    <w:rsid w:val="00235E76"/>
    <w:rsid w:val="0023732A"/>
    <w:rsid w:val="00240255"/>
    <w:rsid w:val="002409B2"/>
    <w:rsid w:val="00241622"/>
    <w:rsid w:val="00246969"/>
    <w:rsid w:val="00250B66"/>
    <w:rsid w:val="0026247A"/>
    <w:rsid w:val="00266F28"/>
    <w:rsid w:val="00280E91"/>
    <w:rsid w:val="00284D51"/>
    <w:rsid w:val="0028507B"/>
    <w:rsid w:val="00286149"/>
    <w:rsid w:val="00294D71"/>
    <w:rsid w:val="00295178"/>
    <w:rsid w:val="002A3A70"/>
    <w:rsid w:val="002A519E"/>
    <w:rsid w:val="002B1DBB"/>
    <w:rsid w:val="002B26B5"/>
    <w:rsid w:val="002B2C0F"/>
    <w:rsid w:val="002C0283"/>
    <w:rsid w:val="002C06C5"/>
    <w:rsid w:val="002C0FF8"/>
    <w:rsid w:val="002C264D"/>
    <w:rsid w:val="002C4B89"/>
    <w:rsid w:val="002C50DA"/>
    <w:rsid w:val="002D04F9"/>
    <w:rsid w:val="002F1E96"/>
    <w:rsid w:val="002F1FC9"/>
    <w:rsid w:val="002F3795"/>
    <w:rsid w:val="00300EC7"/>
    <w:rsid w:val="00303CA4"/>
    <w:rsid w:val="00306ED6"/>
    <w:rsid w:val="00312832"/>
    <w:rsid w:val="00314152"/>
    <w:rsid w:val="00315706"/>
    <w:rsid w:val="003164BF"/>
    <w:rsid w:val="003227FE"/>
    <w:rsid w:val="0032422F"/>
    <w:rsid w:val="0032469A"/>
    <w:rsid w:val="003247E1"/>
    <w:rsid w:val="00333AE7"/>
    <w:rsid w:val="00334336"/>
    <w:rsid w:val="003348D0"/>
    <w:rsid w:val="00335ADB"/>
    <w:rsid w:val="003435B3"/>
    <w:rsid w:val="00343A7E"/>
    <w:rsid w:val="003477B4"/>
    <w:rsid w:val="003571D7"/>
    <w:rsid w:val="00365225"/>
    <w:rsid w:val="00365826"/>
    <w:rsid w:val="0036582B"/>
    <w:rsid w:val="00373EDC"/>
    <w:rsid w:val="00374D7B"/>
    <w:rsid w:val="00376EAF"/>
    <w:rsid w:val="003805AA"/>
    <w:rsid w:val="00383AC6"/>
    <w:rsid w:val="0038746B"/>
    <w:rsid w:val="0039399A"/>
    <w:rsid w:val="003941E6"/>
    <w:rsid w:val="00396B58"/>
    <w:rsid w:val="003A0AD9"/>
    <w:rsid w:val="003A1656"/>
    <w:rsid w:val="003B0E99"/>
    <w:rsid w:val="003B72A7"/>
    <w:rsid w:val="003C06B1"/>
    <w:rsid w:val="003C15A4"/>
    <w:rsid w:val="003C3A42"/>
    <w:rsid w:val="003C7B85"/>
    <w:rsid w:val="003D1B92"/>
    <w:rsid w:val="003D1BE6"/>
    <w:rsid w:val="003E0ABF"/>
    <w:rsid w:val="003E1B06"/>
    <w:rsid w:val="003E5B9D"/>
    <w:rsid w:val="003E5BF2"/>
    <w:rsid w:val="003E72C2"/>
    <w:rsid w:val="003F79F4"/>
    <w:rsid w:val="00402786"/>
    <w:rsid w:val="00404592"/>
    <w:rsid w:val="00406A00"/>
    <w:rsid w:val="0040733F"/>
    <w:rsid w:val="004130E6"/>
    <w:rsid w:val="00414C1A"/>
    <w:rsid w:val="00414DF1"/>
    <w:rsid w:val="00417F39"/>
    <w:rsid w:val="0042696C"/>
    <w:rsid w:val="0042736E"/>
    <w:rsid w:val="00435EC4"/>
    <w:rsid w:val="004366A7"/>
    <w:rsid w:val="00445B96"/>
    <w:rsid w:val="00447285"/>
    <w:rsid w:val="00455216"/>
    <w:rsid w:val="004713BD"/>
    <w:rsid w:val="00476718"/>
    <w:rsid w:val="00481747"/>
    <w:rsid w:val="00481F7A"/>
    <w:rsid w:val="0048340B"/>
    <w:rsid w:val="00483E4F"/>
    <w:rsid w:val="004904C2"/>
    <w:rsid w:val="004912CD"/>
    <w:rsid w:val="00494CD4"/>
    <w:rsid w:val="004A33A8"/>
    <w:rsid w:val="004A33F7"/>
    <w:rsid w:val="004A34DF"/>
    <w:rsid w:val="004A504A"/>
    <w:rsid w:val="004A5077"/>
    <w:rsid w:val="004A6FE0"/>
    <w:rsid w:val="004B549B"/>
    <w:rsid w:val="004B68AA"/>
    <w:rsid w:val="004B69BA"/>
    <w:rsid w:val="004C0F64"/>
    <w:rsid w:val="004C350D"/>
    <w:rsid w:val="004C35A9"/>
    <w:rsid w:val="004C4DFE"/>
    <w:rsid w:val="004C78A4"/>
    <w:rsid w:val="004D2E1D"/>
    <w:rsid w:val="004D4E2D"/>
    <w:rsid w:val="004D6B63"/>
    <w:rsid w:val="004E072F"/>
    <w:rsid w:val="004E1ADB"/>
    <w:rsid w:val="004E4BDC"/>
    <w:rsid w:val="004E53AD"/>
    <w:rsid w:val="004E7753"/>
    <w:rsid w:val="004F19A9"/>
    <w:rsid w:val="004F1D93"/>
    <w:rsid w:val="004F7780"/>
    <w:rsid w:val="00503A79"/>
    <w:rsid w:val="00503C04"/>
    <w:rsid w:val="0050412B"/>
    <w:rsid w:val="005049AD"/>
    <w:rsid w:val="00515962"/>
    <w:rsid w:val="0052714E"/>
    <w:rsid w:val="0053053E"/>
    <w:rsid w:val="0053182D"/>
    <w:rsid w:val="00531AD0"/>
    <w:rsid w:val="00533ED4"/>
    <w:rsid w:val="005358F0"/>
    <w:rsid w:val="005413A0"/>
    <w:rsid w:val="00544133"/>
    <w:rsid w:val="00546CCA"/>
    <w:rsid w:val="00550C66"/>
    <w:rsid w:val="00550E64"/>
    <w:rsid w:val="00555ECC"/>
    <w:rsid w:val="0055713B"/>
    <w:rsid w:val="00563E85"/>
    <w:rsid w:val="00564B49"/>
    <w:rsid w:val="00565EE8"/>
    <w:rsid w:val="0057186F"/>
    <w:rsid w:val="00572CC1"/>
    <w:rsid w:val="005751B3"/>
    <w:rsid w:val="00575B84"/>
    <w:rsid w:val="00576C1F"/>
    <w:rsid w:val="00577B48"/>
    <w:rsid w:val="005808AF"/>
    <w:rsid w:val="005817B7"/>
    <w:rsid w:val="00583F56"/>
    <w:rsid w:val="005845A3"/>
    <w:rsid w:val="0059130E"/>
    <w:rsid w:val="00597E0A"/>
    <w:rsid w:val="005A623F"/>
    <w:rsid w:val="005B0453"/>
    <w:rsid w:val="005B3A9F"/>
    <w:rsid w:val="005B71FC"/>
    <w:rsid w:val="005C6CE7"/>
    <w:rsid w:val="005D0A3F"/>
    <w:rsid w:val="005D18B5"/>
    <w:rsid w:val="005D18CE"/>
    <w:rsid w:val="005D4527"/>
    <w:rsid w:val="005E123A"/>
    <w:rsid w:val="005E17D7"/>
    <w:rsid w:val="005E1D8E"/>
    <w:rsid w:val="005E66AF"/>
    <w:rsid w:val="005F2983"/>
    <w:rsid w:val="005F4148"/>
    <w:rsid w:val="005F75C5"/>
    <w:rsid w:val="00602267"/>
    <w:rsid w:val="00605285"/>
    <w:rsid w:val="006071E4"/>
    <w:rsid w:val="00612E8F"/>
    <w:rsid w:val="00620FBD"/>
    <w:rsid w:val="006255D2"/>
    <w:rsid w:val="00625B05"/>
    <w:rsid w:val="00626C98"/>
    <w:rsid w:val="00631489"/>
    <w:rsid w:val="00635BC0"/>
    <w:rsid w:val="006375FD"/>
    <w:rsid w:val="006410B3"/>
    <w:rsid w:val="006453CE"/>
    <w:rsid w:val="00645508"/>
    <w:rsid w:val="006501D7"/>
    <w:rsid w:val="0065037E"/>
    <w:rsid w:val="00655084"/>
    <w:rsid w:val="006603C1"/>
    <w:rsid w:val="00662ED1"/>
    <w:rsid w:val="006678CF"/>
    <w:rsid w:val="0067091F"/>
    <w:rsid w:val="00670A9D"/>
    <w:rsid w:val="0067139A"/>
    <w:rsid w:val="00672D43"/>
    <w:rsid w:val="00692BBE"/>
    <w:rsid w:val="006A26DC"/>
    <w:rsid w:val="006A4D51"/>
    <w:rsid w:val="006A5662"/>
    <w:rsid w:val="006B1A03"/>
    <w:rsid w:val="006B1CB7"/>
    <w:rsid w:val="006B37D1"/>
    <w:rsid w:val="006B4D30"/>
    <w:rsid w:val="006C0B0D"/>
    <w:rsid w:val="006C3DC0"/>
    <w:rsid w:val="006D0094"/>
    <w:rsid w:val="006D0615"/>
    <w:rsid w:val="006D3D3D"/>
    <w:rsid w:val="006D47F0"/>
    <w:rsid w:val="006D686E"/>
    <w:rsid w:val="006D722C"/>
    <w:rsid w:val="006D726D"/>
    <w:rsid w:val="006E4515"/>
    <w:rsid w:val="006E46F5"/>
    <w:rsid w:val="006E5BC0"/>
    <w:rsid w:val="006F1294"/>
    <w:rsid w:val="006F6F06"/>
    <w:rsid w:val="006F77A3"/>
    <w:rsid w:val="00707079"/>
    <w:rsid w:val="00710352"/>
    <w:rsid w:val="007104D9"/>
    <w:rsid w:val="007118F6"/>
    <w:rsid w:val="00712133"/>
    <w:rsid w:val="0071224E"/>
    <w:rsid w:val="00713EC7"/>
    <w:rsid w:val="00716270"/>
    <w:rsid w:val="007257FA"/>
    <w:rsid w:val="00733646"/>
    <w:rsid w:val="007410F6"/>
    <w:rsid w:val="00743C39"/>
    <w:rsid w:val="007567D9"/>
    <w:rsid w:val="00760147"/>
    <w:rsid w:val="00760A7A"/>
    <w:rsid w:val="00766F54"/>
    <w:rsid w:val="007743CA"/>
    <w:rsid w:val="00780235"/>
    <w:rsid w:val="00780F97"/>
    <w:rsid w:val="0078384C"/>
    <w:rsid w:val="007838DC"/>
    <w:rsid w:val="007904A8"/>
    <w:rsid w:val="00795987"/>
    <w:rsid w:val="0079746E"/>
    <w:rsid w:val="007977AA"/>
    <w:rsid w:val="007A6188"/>
    <w:rsid w:val="007A7051"/>
    <w:rsid w:val="007A7E08"/>
    <w:rsid w:val="007B2F85"/>
    <w:rsid w:val="007C4290"/>
    <w:rsid w:val="007C5E7B"/>
    <w:rsid w:val="007D20B9"/>
    <w:rsid w:val="007D3F50"/>
    <w:rsid w:val="007D5EA5"/>
    <w:rsid w:val="007D7DC2"/>
    <w:rsid w:val="007E00BA"/>
    <w:rsid w:val="007E1637"/>
    <w:rsid w:val="007E4528"/>
    <w:rsid w:val="007E6BEE"/>
    <w:rsid w:val="007E7192"/>
    <w:rsid w:val="007F1B5B"/>
    <w:rsid w:val="007F34C2"/>
    <w:rsid w:val="007F4FFC"/>
    <w:rsid w:val="007F7882"/>
    <w:rsid w:val="008031E8"/>
    <w:rsid w:val="00805C61"/>
    <w:rsid w:val="0080600A"/>
    <w:rsid w:val="00806456"/>
    <w:rsid w:val="00806852"/>
    <w:rsid w:val="008306B0"/>
    <w:rsid w:val="008333B5"/>
    <w:rsid w:val="00843026"/>
    <w:rsid w:val="008600E2"/>
    <w:rsid w:val="00861D3C"/>
    <w:rsid w:val="0086656C"/>
    <w:rsid w:val="008700C0"/>
    <w:rsid w:val="008708B1"/>
    <w:rsid w:val="0087200D"/>
    <w:rsid w:val="0087205D"/>
    <w:rsid w:val="00872456"/>
    <w:rsid w:val="008758AC"/>
    <w:rsid w:val="00883EEF"/>
    <w:rsid w:val="00885F88"/>
    <w:rsid w:val="008951FE"/>
    <w:rsid w:val="00895AB2"/>
    <w:rsid w:val="0089640B"/>
    <w:rsid w:val="00897D13"/>
    <w:rsid w:val="008A13F0"/>
    <w:rsid w:val="008A7851"/>
    <w:rsid w:val="008B1393"/>
    <w:rsid w:val="008B3F1B"/>
    <w:rsid w:val="008B6AA7"/>
    <w:rsid w:val="008C3E64"/>
    <w:rsid w:val="008C4AC8"/>
    <w:rsid w:val="008D4ABC"/>
    <w:rsid w:val="008E2401"/>
    <w:rsid w:val="008E6195"/>
    <w:rsid w:val="008E7F58"/>
    <w:rsid w:val="008F51BE"/>
    <w:rsid w:val="008F56A2"/>
    <w:rsid w:val="009048F2"/>
    <w:rsid w:val="00905B16"/>
    <w:rsid w:val="00907543"/>
    <w:rsid w:val="0091528B"/>
    <w:rsid w:val="00915EAF"/>
    <w:rsid w:val="00921C79"/>
    <w:rsid w:val="009226D2"/>
    <w:rsid w:val="00930832"/>
    <w:rsid w:val="00931CC7"/>
    <w:rsid w:val="00934539"/>
    <w:rsid w:val="0093657E"/>
    <w:rsid w:val="00941337"/>
    <w:rsid w:val="00942246"/>
    <w:rsid w:val="00942406"/>
    <w:rsid w:val="00951D99"/>
    <w:rsid w:val="00951EEC"/>
    <w:rsid w:val="00954783"/>
    <w:rsid w:val="0095614C"/>
    <w:rsid w:val="009604FD"/>
    <w:rsid w:val="00961C04"/>
    <w:rsid w:val="00963458"/>
    <w:rsid w:val="00963D13"/>
    <w:rsid w:val="00965C1F"/>
    <w:rsid w:val="00965F02"/>
    <w:rsid w:val="00971696"/>
    <w:rsid w:val="00974C09"/>
    <w:rsid w:val="0097640D"/>
    <w:rsid w:val="00981BB5"/>
    <w:rsid w:val="00982C19"/>
    <w:rsid w:val="009844D0"/>
    <w:rsid w:val="00987E66"/>
    <w:rsid w:val="00991676"/>
    <w:rsid w:val="0099727D"/>
    <w:rsid w:val="009A56AB"/>
    <w:rsid w:val="009A7B80"/>
    <w:rsid w:val="009B1F70"/>
    <w:rsid w:val="009B72D8"/>
    <w:rsid w:val="009B7803"/>
    <w:rsid w:val="009C006F"/>
    <w:rsid w:val="009C0321"/>
    <w:rsid w:val="009D09E6"/>
    <w:rsid w:val="009D0CE6"/>
    <w:rsid w:val="009D46E9"/>
    <w:rsid w:val="009D4CA8"/>
    <w:rsid w:val="009E0728"/>
    <w:rsid w:val="009E0FB1"/>
    <w:rsid w:val="009E1B17"/>
    <w:rsid w:val="009E413C"/>
    <w:rsid w:val="009E6041"/>
    <w:rsid w:val="009E6D25"/>
    <w:rsid w:val="009E7142"/>
    <w:rsid w:val="00A02B8A"/>
    <w:rsid w:val="00A059DC"/>
    <w:rsid w:val="00A14FE6"/>
    <w:rsid w:val="00A1510E"/>
    <w:rsid w:val="00A17599"/>
    <w:rsid w:val="00A24F99"/>
    <w:rsid w:val="00A25613"/>
    <w:rsid w:val="00A33F50"/>
    <w:rsid w:val="00A349EF"/>
    <w:rsid w:val="00A40F36"/>
    <w:rsid w:val="00A42EDE"/>
    <w:rsid w:val="00A4377A"/>
    <w:rsid w:val="00A44880"/>
    <w:rsid w:val="00A52289"/>
    <w:rsid w:val="00A54B2C"/>
    <w:rsid w:val="00A56982"/>
    <w:rsid w:val="00A57448"/>
    <w:rsid w:val="00A63095"/>
    <w:rsid w:val="00A63391"/>
    <w:rsid w:val="00A64348"/>
    <w:rsid w:val="00A65DB7"/>
    <w:rsid w:val="00A670BC"/>
    <w:rsid w:val="00A7235D"/>
    <w:rsid w:val="00A73167"/>
    <w:rsid w:val="00A77C5F"/>
    <w:rsid w:val="00A8128A"/>
    <w:rsid w:val="00A81A0D"/>
    <w:rsid w:val="00A83157"/>
    <w:rsid w:val="00A837B9"/>
    <w:rsid w:val="00A947A3"/>
    <w:rsid w:val="00A9520D"/>
    <w:rsid w:val="00AA722A"/>
    <w:rsid w:val="00AA7C4B"/>
    <w:rsid w:val="00AB0B5F"/>
    <w:rsid w:val="00AB33AD"/>
    <w:rsid w:val="00AB5D1E"/>
    <w:rsid w:val="00AB76CF"/>
    <w:rsid w:val="00AC6018"/>
    <w:rsid w:val="00AC6418"/>
    <w:rsid w:val="00AD1C96"/>
    <w:rsid w:val="00AD5FBD"/>
    <w:rsid w:val="00AE2246"/>
    <w:rsid w:val="00AF4316"/>
    <w:rsid w:val="00B00820"/>
    <w:rsid w:val="00B01442"/>
    <w:rsid w:val="00B03759"/>
    <w:rsid w:val="00B03CD4"/>
    <w:rsid w:val="00B043EA"/>
    <w:rsid w:val="00B10810"/>
    <w:rsid w:val="00B11A3A"/>
    <w:rsid w:val="00B152B2"/>
    <w:rsid w:val="00B15F9F"/>
    <w:rsid w:val="00B17F9C"/>
    <w:rsid w:val="00B30B90"/>
    <w:rsid w:val="00B331CF"/>
    <w:rsid w:val="00B33DBB"/>
    <w:rsid w:val="00B40663"/>
    <w:rsid w:val="00B42C16"/>
    <w:rsid w:val="00B46E02"/>
    <w:rsid w:val="00B60863"/>
    <w:rsid w:val="00B63314"/>
    <w:rsid w:val="00B67610"/>
    <w:rsid w:val="00B70652"/>
    <w:rsid w:val="00B7551C"/>
    <w:rsid w:val="00B82E72"/>
    <w:rsid w:val="00B850B0"/>
    <w:rsid w:val="00B97B52"/>
    <w:rsid w:val="00BB25C5"/>
    <w:rsid w:val="00BB53C4"/>
    <w:rsid w:val="00BB6AA2"/>
    <w:rsid w:val="00BB7B92"/>
    <w:rsid w:val="00BD0BC2"/>
    <w:rsid w:val="00BD6D5F"/>
    <w:rsid w:val="00BE5CC2"/>
    <w:rsid w:val="00BF0CB1"/>
    <w:rsid w:val="00BF35A6"/>
    <w:rsid w:val="00C04B5C"/>
    <w:rsid w:val="00C06E5C"/>
    <w:rsid w:val="00C0732D"/>
    <w:rsid w:val="00C10E1F"/>
    <w:rsid w:val="00C1164F"/>
    <w:rsid w:val="00C12225"/>
    <w:rsid w:val="00C1460A"/>
    <w:rsid w:val="00C17982"/>
    <w:rsid w:val="00C203FB"/>
    <w:rsid w:val="00C219E6"/>
    <w:rsid w:val="00C36C9A"/>
    <w:rsid w:val="00C44FC6"/>
    <w:rsid w:val="00C51895"/>
    <w:rsid w:val="00C62080"/>
    <w:rsid w:val="00C62AF8"/>
    <w:rsid w:val="00C65F84"/>
    <w:rsid w:val="00C663A3"/>
    <w:rsid w:val="00C71B49"/>
    <w:rsid w:val="00C748B0"/>
    <w:rsid w:val="00C80F89"/>
    <w:rsid w:val="00C952FC"/>
    <w:rsid w:val="00C96913"/>
    <w:rsid w:val="00CA00E5"/>
    <w:rsid w:val="00CA1741"/>
    <w:rsid w:val="00CA2824"/>
    <w:rsid w:val="00CA2897"/>
    <w:rsid w:val="00CB1891"/>
    <w:rsid w:val="00CB5686"/>
    <w:rsid w:val="00CC41C5"/>
    <w:rsid w:val="00CC5DC1"/>
    <w:rsid w:val="00CC6D5C"/>
    <w:rsid w:val="00CE1AD3"/>
    <w:rsid w:val="00CE2693"/>
    <w:rsid w:val="00CE37A4"/>
    <w:rsid w:val="00CE400E"/>
    <w:rsid w:val="00D0651C"/>
    <w:rsid w:val="00D13042"/>
    <w:rsid w:val="00D1461A"/>
    <w:rsid w:val="00D277CB"/>
    <w:rsid w:val="00D30B5B"/>
    <w:rsid w:val="00D34255"/>
    <w:rsid w:val="00D35CA0"/>
    <w:rsid w:val="00D503FF"/>
    <w:rsid w:val="00D5111C"/>
    <w:rsid w:val="00D52AA7"/>
    <w:rsid w:val="00D55BDB"/>
    <w:rsid w:val="00D670CF"/>
    <w:rsid w:val="00D67656"/>
    <w:rsid w:val="00D70D54"/>
    <w:rsid w:val="00D81218"/>
    <w:rsid w:val="00D83194"/>
    <w:rsid w:val="00D83886"/>
    <w:rsid w:val="00D8725E"/>
    <w:rsid w:val="00D90B6E"/>
    <w:rsid w:val="00DA2F68"/>
    <w:rsid w:val="00DA3F76"/>
    <w:rsid w:val="00DB3919"/>
    <w:rsid w:val="00DB6AB4"/>
    <w:rsid w:val="00DB7113"/>
    <w:rsid w:val="00DB7E75"/>
    <w:rsid w:val="00DC4359"/>
    <w:rsid w:val="00DC4C2F"/>
    <w:rsid w:val="00DC7ED1"/>
    <w:rsid w:val="00DD2607"/>
    <w:rsid w:val="00DE1033"/>
    <w:rsid w:val="00DE274C"/>
    <w:rsid w:val="00DF23F6"/>
    <w:rsid w:val="00DF410D"/>
    <w:rsid w:val="00DF7A51"/>
    <w:rsid w:val="00E12758"/>
    <w:rsid w:val="00E12D41"/>
    <w:rsid w:val="00E16F90"/>
    <w:rsid w:val="00E22F19"/>
    <w:rsid w:val="00E30918"/>
    <w:rsid w:val="00E354BE"/>
    <w:rsid w:val="00E35596"/>
    <w:rsid w:val="00E46835"/>
    <w:rsid w:val="00E46938"/>
    <w:rsid w:val="00E5645A"/>
    <w:rsid w:val="00E56A69"/>
    <w:rsid w:val="00E623F6"/>
    <w:rsid w:val="00E67B94"/>
    <w:rsid w:val="00E70B04"/>
    <w:rsid w:val="00E71D86"/>
    <w:rsid w:val="00E74802"/>
    <w:rsid w:val="00E76668"/>
    <w:rsid w:val="00E8062D"/>
    <w:rsid w:val="00E8775F"/>
    <w:rsid w:val="00E9539E"/>
    <w:rsid w:val="00E9553E"/>
    <w:rsid w:val="00EA22E4"/>
    <w:rsid w:val="00EA3BEC"/>
    <w:rsid w:val="00EA6726"/>
    <w:rsid w:val="00EB4232"/>
    <w:rsid w:val="00EB696E"/>
    <w:rsid w:val="00EC13CD"/>
    <w:rsid w:val="00EC698C"/>
    <w:rsid w:val="00ED0048"/>
    <w:rsid w:val="00ED02A8"/>
    <w:rsid w:val="00ED0A08"/>
    <w:rsid w:val="00ED0A0F"/>
    <w:rsid w:val="00ED1771"/>
    <w:rsid w:val="00ED4060"/>
    <w:rsid w:val="00ED69E3"/>
    <w:rsid w:val="00EE5070"/>
    <w:rsid w:val="00EE5873"/>
    <w:rsid w:val="00EE7720"/>
    <w:rsid w:val="00EF10B0"/>
    <w:rsid w:val="00EF4B0C"/>
    <w:rsid w:val="00EF5130"/>
    <w:rsid w:val="00F00C29"/>
    <w:rsid w:val="00F01DA3"/>
    <w:rsid w:val="00F113EC"/>
    <w:rsid w:val="00F15929"/>
    <w:rsid w:val="00F2391D"/>
    <w:rsid w:val="00F24477"/>
    <w:rsid w:val="00F378E9"/>
    <w:rsid w:val="00F40499"/>
    <w:rsid w:val="00F4166A"/>
    <w:rsid w:val="00F45671"/>
    <w:rsid w:val="00F53C2F"/>
    <w:rsid w:val="00F54113"/>
    <w:rsid w:val="00F542CE"/>
    <w:rsid w:val="00F56EC2"/>
    <w:rsid w:val="00F6618E"/>
    <w:rsid w:val="00F66D76"/>
    <w:rsid w:val="00F757FD"/>
    <w:rsid w:val="00F770BF"/>
    <w:rsid w:val="00F824D4"/>
    <w:rsid w:val="00F8332D"/>
    <w:rsid w:val="00F84925"/>
    <w:rsid w:val="00F90851"/>
    <w:rsid w:val="00F936C8"/>
    <w:rsid w:val="00F95F19"/>
    <w:rsid w:val="00F9606C"/>
    <w:rsid w:val="00FA18CA"/>
    <w:rsid w:val="00FA4C21"/>
    <w:rsid w:val="00FA6BB2"/>
    <w:rsid w:val="00FA6CA6"/>
    <w:rsid w:val="00FC33A3"/>
    <w:rsid w:val="00FC7685"/>
    <w:rsid w:val="00FE25C9"/>
    <w:rsid w:val="00FE2BE2"/>
    <w:rsid w:val="00FE3DFE"/>
    <w:rsid w:val="00FF0172"/>
    <w:rsid w:val="00FF17BA"/>
    <w:rsid w:val="00FF4027"/>
    <w:rsid w:val="00FF5DEA"/>
    <w:rsid w:val="00FF7BB0"/>
    <w:rsid w:val="13853FB5"/>
    <w:rsid w:val="1DB31BA3"/>
    <w:rsid w:val="20820A6D"/>
    <w:rsid w:val="20EABC65"/>
    <w:rsid w:val="22868CC6"/>
    <w:rsid w:val="28ABA184"/>
    <w:rsid w:val="2DF3DF0F"/>
    <w:rsid w:val="45E8007A"/>
    <w:rsid w:val="48299826"/>
    <w:rsid w:val="5A813CDA"/>
    <w:rsid w:val="64396B3C"/>
    <w:rsid w:val="66380F01"/>
    <w:rsid w:val="68F015C6"/>
    <w:rsid w:val="7885684F"/>
    <w:rsid w:val="7DE8BB9D"/>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D31578"/>
  <w15:chartTrackingRefBased/>
  <w15:docId w15:val="{2CB5FEC6-57CC-41AD-9BE0-C6BC1481C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0B5B"/>
    <w:pPr>
      <w:keepNext/>
      <w:keepLines/>
      <w:spacing w:before="240" w:after="0"/>
      <w:outlineLvl w:val="0"/>
    </w:pPr>
    <w:rPr>
      <w:rFonts w:asciiTheme="majorHAnsi" w:eastAsiaTheme="majorEastAsia" w:hAnsiTheme="majorHAnsi" w:cstheme="majorBidi"/>
      <w:b/>
      <w:sz w:val="24"/>
      <w:szCs w:val="32"/>
    </w:rPr>
  </w:style>
  <w:style w:type="paragraph" w:styleId="Heading2">
    <w:name w:val="heading 2"/>
    <w:basedOn w:val="Normal"/>
    <w:link w:val="Heading2Char"/>
    <w:uiPriority w:val="9"/>
    <w:qFormat/>
    <w:rsid w:val="00D30B5B"/>
    <w:pPr>
      <w:numPr>
        <w:numId w:val="3"/>
      </w:numPr>
      <w:spacing w:before="100" w:beforeAutospacing="1" w:after="100" w:afterAutospacing="1" w:line="240" w:lineRule="auto"/>
      <w:outlineLvl w:val="1"/>
    </w:pPr>
    <w:rPr>
      <w:rFonts w:asciiTheme="majorHAnsi" w:eastAsia="Times New Roman" w:hAnsiTheme="majorHAnsi" w:cs="Times New Roman"/>
      <w:b/>
      <w:bCs/>
      <w:color w:val="2F5496" w:themeColor="accent1" w:themeShade="BF"/>
      <w:sz w:val="28"/>
      <w:szCs w:val="36"/>
      <w:lang w:eastAsia="en-CA"/>
    </w:rPr>
  </w:style>
  <w:style w:type="paragraph" w:styleId="Heading3">
    <w:name w:val="heading 3"/>
    <w:basedOn w:val="Normal"/>
    <w:next w:val="Normal"/>
    <w:link w:val="Heading3Char"/>
    <w:uiPriority w:val="9"/>
    <w:unhideWhenUsed/>
    <w:qFormat/>
    <w:rsid w:val="00D30B5B"/>
    <w:pPr>
      <w:keepNext/>
      <w:keepLines/>
      <w:numPr>
        <w:numId w:val="4"/>
      </w:numPr>
      <w:spacing w:before="40"/>
      <w:outlineLvl w:val="2"/>
    </w:pPr>
    <w:rPr>
      <w:rFonts w:asciiTheme="majorHAnsi" w:eastAsiaTheme="majorEastAsia" w:hAnsiTheme="majorHAnsi" w:cstheme="majorBidi"/>
      <w:b/>
      <w:color w:val="1F3763" w:themeColor="accent1" w:themeShade="7F"/>
      <w:sz w:val="24"/>
      <w:szCs w:val="24"/>
    </w:rPr>
  </w:style>
  <w:style w:type="paragraph" w:styleId="Heading4">
    <w:name w:val="heading 4"/>
    <w:basedOn w:val="Normal"/>
    <w:next w:val="Normal"/>
    <w:link w:val="Heading4Char"/>
    <w:uiPriority w:val="9"/>
    <w:unhideWhenUsed/>
    <w:qFormat/>
    <w:rsid w:val="00D30B5B"/>
    <w:pPr>
      <w:keepNext/>
      <w:keepLines/>
      <w:spacing w:before="40" w:after="120"/>
      <w:ind w:left="567"/>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7E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E75"/>
  </w:style>
  <w:style w:type="paragraph" w:styleId="Footer">
    <w:name w:val="footer"/>
    <w:basedOn w:val="Normal"/>
    <w:link w:val="FooterChar"/>
    <w:uiPriority w:val="99"/>
    <w:unhideWhenUsed/>
    <w:rsid w:val="00DB7E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E75"/>
  </w:style>
  <w:style w:type="paragraph" w:styleId="Revision">
    <w:name w:val="Revision"/>
    <w:hidden/>
    <w:uiPriority w:val="99"/>
    <w:semiHidden/>
    <w:rsid w:val="000A0632"/>
    <w:pPr>
      <w:spacing w:after="0" w:line="240" w:lineRule="auto"/>
    </w:pPr>
  </w:style>
  <w:style w:type="paragraph" w:styleId="NoSpacing">
    <w:name w:val="No Spacing"/>
    <w:link w:val="NoSpacingChar"/>
    <w:uiPriority w:val="1"/>
    <w:qFormat/>
    <w:rsid w:val="000A0632"/>
    <w:pPr>
      <w:spacing w:after="0" w:line="240" w:lineRule="auto"/>
    </w:pPr>
    <w:rPr>
      <w:rFonts w:eastAsiaTheme="minorEastAsia"/>
      <w:lang w:eastAsia="zh-CN"/>
    </w:rPr>
  </w:style>
  <w:style w:type="character" w:customStyle="1" w:styleId="NoSpacingChar">
    <w:name w:val="No Spacing Char"/>
    <w:basedOn w:val="DefaultParagraphFont"/>
    <w:link w:val="NoSpacing"/>
    <w:uiPriority w:val="1"/>
    <w:rsid w:val="000A0632"/>
    <w:rPr>
      <w:rFonts w:eastAsiaTheme="minorEastAsia"/>
      <w:lang w:val="fr-CA" w:eastAsia="zh-CN"/>
    </w:rPr>
  </w:style>
  <w:style w:type="paragraph" w:styleId="BalloonText">
    <w:name w:val="Balloon Text"/>
    <w:basedOn w:val="Normal"/>
    <w:link w:val="BalloonTextChar"/>
    <w:uiPriority w:val="99"/>
    <w:semiHidden/>
    <w:unhideWhenUsed/>
    <w:rsid w:val="00D30B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B5B"/>
    <w:rPr>
      <w:rFonts w:ascii="Segoe UI" w:hAnsi="Segoe UI" w:cs="Segoe UI"/>
      <w:sz w:val="18"/>
      <w:szCs w:val="18"/>
    </w:rPr>
  </w:style>
  <w:style w:type="character" w:customStyle="1" w:styleId="Heading2Char">
    <w:name w:val="Heading 2 Char"/>
    <w:basedOn w:val="DefaultParagraphFont"/>
    <w:link w:val="Heading2"/>
    <w:uiPriority w:val="9"/>
    <w:rsid w:val="00D30B5B"/>
    <w:rPr>
      <w:rFonts w:asciiTheme="majorHAnsi" w:eastAsia="Times New Roman" w:hAnsiTheme="majorHAnsi" w:cs="Times New Roman"/>
      <w:b/>
      <w:bCs/>
      <w:color w:val="2F5496" w:themeColor="accent1" w:themeShade="BF"/>
      <w:sz w:val="28"/>
      <w:szCs w:val="36"/>
      <w:lang w:val="fr-CA" w:eastAsia="en-CA"/>
    </w:rPr>
  </w:style>
  <w:style w:type="character" w:customStyle="1" w:styleId="Heading3Char">
    <w:name w:val="Heading 3 Char"/>
    <w:basedOn w:val="DefaultParagraphFont"/>
    <w:link w:val="Heading3"/>
    <w:uiPriority w:val="9"/>
    <w:rsid w:val="00D30B5B"/>
    <w:rPr>
      <w:rFonts w:asciiTheme="majorHAnsi" w:eastAsiaTheme="majorEastAsia" w:hAnsiTheme="majorHAnsi" w:cstheme="majorBidi"/>
      <w:b/>
      <w:color w:val="1F3763" w:themeColor="accent1" w:themeShade="7F"/>
      <w:sz w:val="24"/>
      <w:szCs w:val="24"/>
      <w:lang w:val="fr-CA"/>
    </w:rPr>
  </w:style>
  <w:style w:type="character" w:customStyle="1" w:styleId="Heading4Char">
    <w:name w:val="Heading 4 Char"/>
    <w:basedOn w:val="DefaultParagraphFont"/>
    <w:link w:val="Heading4"/>
    <w:uiPriority w:val="9"/>
    <w:rsid w:val="00D30B5B"/>
    <w:rPr>
      <w:rFonts w:asciiTheme="majorHAnsi" w:eastAsiaTheme="majorEastAsia" w:hAnsiTheme="majorHAnsi" w:cstheme="majorBidi"/>
      <w:i/>
      <w:iCs/>
      <w:color w:val="2F5496" w:themeColor="accent1" w:themeShade="BF"/>
      <w:lang w:val="fr-CA"/>
    </w:rPr>
  </w:style>
  <w:style w:type="character" w:styleId="Hyperlink">
    <w:name w:val="Hyperlink"/>
    <w:basedOn w:val="DefaultParagraphFont"/>
    <w:uiPriority w:val="99"/>
    <w:unhideWhenUsed/>
    <w:rsid w:val="00D30B5B"/>
    <w:rPr>
      <w:color w:val="0000FF"/>
      <w:u w:val="single"/>
    </w:rPr>
  </w:style>
  <w:style w:type="paragraph" w:styleId="ListParagraph">
    <w:name w:val="List Paragraph"/>
    <w:basedOn w:val="Normal"/>
    <w:uiPriority w:val="34"/>
    <w:qFormat/>
    <w:rsid w:val="00D30B5B"/>
    <w:pPr>
      <w:ind w:left="720"/>
      <w:contextualSpacing/>
    </w:pPr>
  </w:style>
  <w:style w:type="character" w:styleId="CommentReference">
    <w:name w:val="annotation reference"/>
    <w:basedOn w:val="DefaultParagraphFont"/>
    <w:uiPriority w:val="99"/>
    <w:semiHidden/>
    <w:unhideWhenUsed/>
    <w:rsid w:val="00D30B5B"/>
    <w:rPr>
      <w:sz w:val="16"/>
      <w:szCs w:val="16"/>
    </w:rPr>
  </w:style>
  <w:style w:type="paragraph" w:styleId="CommentText">
    <w:name w:val="annotation text"/>
    <w:basedOn w:val="Normal"/>
    <w:link w:val="CommentTextChar"/>
    <w:uiPriority w:val="99"/>
    <w:unhideWhenUsed/>
    <w:rsid w:val="00D30B5B"/>
    <w:pPr>
      <w:spacing w:line="240" w:lineRule="auto"/>
    </w:pPr>
    <w:rPr>
      <w:sz w:val="20"/>
      <w:szCs w:val="20"/>
    </w:rPr>
  </w:style>
  <w:style w:type="character" w:customStyle="1" w:styleId="CommentTextChar">
    <w:name w:val="Comment Text Char"/>
    <w:basedOn w:val="DefaultParagraphFont"/>
    <w:link w:val="CommentText"/>
    <w:uiPriority w:val="99"/>
    <w:rsid w:val="00D30B5B"/>
    <w:rPr>
      <w:sz w:val="20"/>
      <w:szCs w:val="20"/>
      <w:lang w:val="fr-CA"/>
    </w:rPr>
  </w:style>
  <w:style w:type="character" w:styleId="FollowedHyperlink">
    <w:name w:val="FollowedHyperlink"/>
    <w:basedOn w:val="DefaultParagraphFont"/>
    <w:uiPriority w:val="99"/>
    <w:semiHidden/>
    <w:unhideWhenUsed/>
    <w:rsid w:val="00D30B5B"/>
    <w:rPr>
      <w:color w:val="954F72" w:themeColor="followedHyperlink"/>
      <w:u w:val="single"/>
    </w:rPr>
  </w:style>
  <w:style w:type="character" w:customStyle="1" w:styleId="Heading1Char">
    <w:name w:val="Heading 1 Char"/>
    <w:basedOn w:val="DefaultParagraphFont"/>
    <w:link w:val="Heading1"/>
    <w:uiPriority w:val="9"/>
    <w:rsid w:val="00D30B5B"/>
    <w:rPr>
      <w:rFonts w:asciiTheme="majorHAnsi" w:eastAsiaTheme="majorEastAsia" w:hAnsiTheme="majorHAnsi" w:cstheme="majorBidi"/>
      <w:b/>
      <w:sz w:val="24"/>
      <w:szCs w:val="32"/>
    </w:rPr>
  </w:style>
  <w:style w:type="character" w:styleId="UnresolvedMention">
    <w:name w:val="Unresolved Mention"/>
    <w:basedOn w:val="DefaultParagraphFont"/>
    <w:uiPriority w:val="99"/>
    <w:semiHidden/>
    <w:unhideWhenUsed/>
    <w:rsid w:val="00D30B5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7410F6"/>
    <w:rPr>
      <w:b/>
      <w:bCs/>
    </w:rPr>
  </w:style>
  <w:style w:type="character" w:customStyle="1" w:styleId="CommentSubjectChar">
    <w:name w:val="Comment Subject Char"/>
    <w:basedOn w:val="CommentTextChar"/>
    <w:link w:val="CommentSubject"/>
    <w:uiPriority w:val="99"/>
    <w:semiHidden/>
    <w:rsid w:val="007410F6"/>
    <w:rPr>
      <w:b/>
      <w:bCs/>
      <w:sz w:val="20"/>
      <w:szCs w:val="20"/>
      <w:lang w:val="fr-CA"/>
    </w:rPr>
  </w:style>
  <w:style w:type="paragraph" w:styleId="TOCHeading">
    <w:name w:val="TOC Heading"/>
    <w:basedOn w:val="Heading1"/>
    <w:next w:val="Normal"/>
    <w:uiPriority w:val="39"/>
    <w:unhideWhenUsed/>
    <w:qFormat/>
    <w:rsid w:val="00BB6AA2"/>
    <w:pPr>
      <w:outlineLvl w:val="9"/>
    </w:pPr>
    <w:rPr>
      <w:b w:val="0"/>
      <w:color w:val="2F5496" w:themeColor="accent1" w:themeShade="BF"/>
      <w:sz w:val="32"/>
    </w:rPr>
  </w:style>
  <w:style w:type="paragraph" w:styleId="TOC1">
    <w:name w:val="toc 1"/>
    <w:basedOn w:val="Normal"/>
    <w:next w:val="Normal"/>
    <w:autoRedefine/>
    <w:uiPriority w:val="39"/>
    <w:unhideWhenUsed/>
    <w:rsid w:val="00BB6AA2"/>
    <w:pPr>
      <w:spacing w:after="100"/>
    </w:pPr>
  </w:style>
  <w:style w:type="character" w:styleId="Mention">
    <w:name w:val="Mention"/>
    <w:basedOn w:val="DefaultParagraphFont"/>
    <w:uiPriority w:val="99"/>
    <w:unhideWhenUsed/>
    <w:rsid w:val="001F065B"/>
    <w:rPr>
      <w:color w:val="2B579A"/>
      <w:shd w:val="clear" w:color="auto" w:fill="E1DFDD"/>
    </w:rPr>
  </w:style>
  <w:style w:type="paragraph" w:customStyle="1" w:styleId="paragraph">
    <w:name w:val="paragraph"/>
    <w:basedOn w:val="Normal"/>
    <w:rsid w:val="009226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226D2"/>
  </w:style>
  <w:style w:type="character" w:customStyle="1" w:styleId="eop">
    <w:name w:val="eop"/>
    <w:basedOn w:val="DefaultParagraphFont"/>
    <w:rsid w:val="00922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020224">
      <w:bodyDiv w:val="1"/>
      <w:marLeft w:val="0"/>
      <w:marRight w:val="0"/>
      <w:marTop w:val="0"/>
      <w:marBottom w:val="0"/>
      <w:divBdr>
        <w:top w:val="none" w:sz="0" w:space="0" w:color="auto"/>
        <w:left w:val="none" w:sz="0" w:space="0" w:color="auto"/>
        <w:bottom w:val="none" w:sz="0" w:space="0" w:color="auto"/>
        <w:right w:val="none" w:sz="0" w:space="0" w:color="auto"/>
      </w:divBdr>
    </w:div>
    <w:div w:id="919169276">
      <w:bodyDiv w:val="1"/>
      <w:marLeft w:val="0"/>
      <w:marRight w:val="0"/>
      <w:marTop w:val="0"/>
      <w:marBottom w:val="0"/>
      <w:divBdr>
        <w:top w:val="none" w:sz="0" w:space="0" w:color="auto"/>
        <w:left w:val="none" w:sz="0" w:space="0" w:color="auto"/>
        <w:bottom w:val="none" w:sz="0" w:space="0" w:color="auto"/>
        <w:right w:val="none" w:sz="0" w:space="0" w:color="auto"/>
      </w:divBdr>
      <w:divsChild>
        <w:div w:id="546112991">
          <w:marLeft w:val="150"/>
          <w:marRight w:val="0"/>
          <w:marTop w:val="0"/>
          <w:marBottom w:val="345"/>
          <w:divBdr>
            <w:top w:val="single" w:sz="2" w:space="0" w:color="269ABC"/>
            <w:left w:val="single" w:sz="36" w:space="11" w:color="269ABC"/>
            <w:bottom w:val="single" w:sz="2" w:space="0" w:color="269ABC"/>
            <w:right w:val="single" w:sz="2" w:space="0" w:color="269ABC"/>
          </w:divBdr>
        </w:div>
        <w:div w:id="907115109">
          <w:marLeft w:val="150"/>
          <w:marRight w:val="0"/>
          <w:marTop w:val="0"/>
          <w:marBottom w:val="345"/>
          <w:divBdr>
            <w:top w:val="single" w:sz="2" w:space="0" w:color="EE7100"/>
            <w:left w:val="single" w:sz="36" w:space="11" w:color="EE7100"/>
            <w:bottom w:val="single" w:sz="2" w:space="0" w:color="EE7100"/>
            <w:right w:val="single" w:sz="2" w:space="0" w:color="EE710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RI-CIR@tbs-sct.gc.ca" TargetMode="Externa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iki.gccollab.ca/images/8/80/Trousse_d%E2%80%99outils_d%E2%80%99exp%C3%A9rimentation_pour_les_organismes_de_r%C3%A9glementation.pdf"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iki.gccollab.ca/images/8/80/Trousse_d%E2%80%99outils_d%E2%80%99exp%C3%A9rimentation_pour_les_organismes_de_r%C3%A9glementation.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CRI-CIR@tbs-sct.gc.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RI-CIR@tbs-sct.gc.ca"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5B2CC30E9AF144BD8836AA7E22C547" ma:contentTypeVersion="6" ma:contentTypeDescription="Create a new document." ma:contentTypeScope="" ma:versionID="03b21a34f2d51af1a291e1d526943413">
  <xsd:schema xmlns:xsd="http://www.w3.org/2001/XMLSchema" xmlns:xs="http://www.w3.org/2001/XMLSchema" xmlns:p="http://schemas.microsoft.com/office/2006/metadata/properties" xmlns:ns2="a3d47de9-47fc-49c1-b3b1-baad5882054b" xmlns:ns3="7d62c7d3-3999-40c8-b338-7d0913d42a57" targetNamespace="http://schemas.microsoft.com/office/2006/metadata/properties" ma:root="true" ma:fieldsID="89abb69e282585bef097af438e1ff4b1" ns2:_="" ns3:_="">
    <xsd:import namespace="a3d47de9-47fc-49c1-b3b1-baad5882054b"/>
    <xsd:import namespace="7d62c7d3-3999-40c8-b338-7d0913d42a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d47de9-47fc-49c1-b3b1-baad58820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62c7d3-3999-40c8-b338-7d0913d42a5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6974D9-04A9-4786-9EFD-71183BCC6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d47de9-47fc-49c1-b3b1-baad5882054b"/>
    <ds:schemaRef ds:uri="7d62c7d3-3999-40c8-b338-7d0913d42a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9F62F7-D37E-4A93-880E-1BE7D983CA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66C36F-1553-4A61-A4BE-3E5599D6BACB}">
  <ds:schemaRefs>
    <ds:schemaRef ds:uri="http://schemas.openxmlformats.org/officeDocument/2006/bibliography"/>
  </ds:schemaRefs>
</ds:datastoreItem>
</file>

<file path=customXml/itemProps4.xml><?xml version="1.0" encoding="utf-8"?>
<ds:datastoreItem xmlns:ds="http://schemas.openxmlformats.org/officeDocument/2006/customXml" ds:itemID="{7364B784-496E-4C2F-9C34-EF0DC53A0C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2869</Words>
  <Characters>16357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Lafontaine, Émilie</dc:creator>
  <cp:keywords/>
  <dc:description/>
  <cp:lastModifiedBy>Labelle, Marc-André</cp:lastModifiedBy>
  <cp:revision>2</cp:revision>
  <cp:lastPrinted>2020-11-04T14:12:00Z</cp:lastPrinted>
  <dcterms:created xsi:type="dcterms:W3CDTF">2022-11-22T19:34:00Z</dcterms:created>
  <dcterms:modified xsi:type="dcterms:W3CDTF">2022-11-22T19:34:00Z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4203d7-225b-41a9-8c54-a31e0ceca5df_Enabled">
    <vt:lpwstr>True</vt:lpwstr>
  </property>
  <property fmtid="{D5CDD505-2E9C-101B-9397-08002B2CF9AE}" pid="3" name="MSIP_Label_dd4203d7-225b-41a9-8c54-a31e0ceca5df_SiteId">
    <vt:lpwstr>6397df10-4595-4047-9c4f-03311282152b</vt:lpwstr>
  </property>
  <property fmtid="{D5CDD505-2E9C-101B-9397-08002B2CF9AE}" pid="4" name="MSIP_Label_dd4203d7-225b-41a9-8c54-a31e0ceca5df_Owner">
    <vt:lpwstr>ELAFONTA@tbs-sct.gc.ca</vt:lpwstr>
  </property>
  <property fmtid="{D5CDD505-2E9C-101B-9397-08002B2CF9AE}" pid="5" name="MSIP_Label_dd4203d7-225b-41a9-8c54-a31e0ceca5df_SetDate">
    <vt:lpwstr>2020-02-13T18:28:26.1043173Z</vt:lpwstr>
  </property>
  <property fmtid="{D5CDD505-2E9C-101B-9397-08002B2CF9AE}" pid="6" name="MSIP_Label_dd4203d7-225b-41a9-8c54-a31e0ceca5df_Name">
    <vt:lpwstr>NO MARKING VISIBLE</vt:lpwstr>
  </property>
  <property fmtid="{D5CDD505-2E9C-101B-9397-08002B2CF9AE}" pid="7" name="MSIP_Label_dd4203d7-225b-41a9-8c54-a31e0ceca5df_Application">
    <vt:lpwstr>Microsoft Azure Information Protection</vt:lpwstr>
  </property>
  <property fmtid="{D5CDD505-2E9C-101B-9397-08002B2CF9AE}" pid="8" name="MSIP_Label_dd4203d7-225b-41a9-8c54-a31e0ceca5df_ActionId">
    <vt:lpwstr>1ee7e302-0f9d-4c0a-a00f-bceb04c0dae7</vt:lpwstr>
  </property>
  <property fmtid="{D5CDD505-2E9C-101B-9397-08002B2CF9AE}" pid="9" name="MSIP_Label_dd4203d7-225b-41a9-8c54-a31e0ceca5df_Extended_MSFT_Method">
    <vt:lpwstr>Manual</vt:lpwstr>
  </property>
  <property fmtid="{D5CDD505-2E9C-101B-9397-08002B2CF9AE}" pid="10" name="MSIP_Label_3515d617-256d-4284-aedb-1064be1c4b48_Enabled">
    <vt:lpwstr>true</vt:lpwstr>
  </property>
  <property fmtid="{D5CDD505-2E9C-101B-9397-08002B2CF9AE}" pid="11" name="MSIP_Label_3515d617-256d-4284-aedb-1064be1c4b48_SetDate">
    <vt:lpwstr>2021-10-26T19:09:27Z</vt:lpwstr>
  </property>
  <property fmtid="{D5CDD505-2E9C-101B-9397-08002B2CF9AE}" pid="12" name="MSIP_Label_3515d617-256d-4284-aedb-1064be1c4b48_Method">
    <vt:lpwstr>Privileged</vt:lpwstr>
  </property>
  <property fmtid="{D5CDD505-2E9C-101B-9397-08002B2CF9AE}" pid="13" name="MSIP_Label_3515d617-256d-4284-aedb-1064be1c4b48_Name">
    <vt:lpwstr>3515d617-256d-4284-aedb-1064be1c4b48</vt:lpwstr>
  </property>
  <property fmtid="{D5CDD505-2E9C-101B-9397-08002B2CF9AE}" pid="14" name="MSIP_Label_3515d617-256d-4284-aedb-1064be1c4b48_SiteId">
    <vt:lpwstr>6397df10-4595-4047-9c4f-03311282152b</vt:lpwstr>
  </property>
  <property fmtid="{D5CDD505-2E9C-101B-9397-08002B2CF9AE}" pid="15" name="MSIP_Label_3515d617-256d-4284-aedb-1064be1c4b48_ActionId">
    <vt:lpwstr>1ee7e302-0f9d-4c0a-a00f-bceb04c0dae7</vt:lpwstr>
  </property>
  <property fmtid="{D5CDD505-2E9C-101B-9397-08002B2CF9AE}" pid="16" name="MSIP_Label_3515d617-256d-4284-aedb-1064be1c4b48_ContentBits">
    <vt:lpwstr>0</vt:lpwstr>
  </property>
  <property fmtid="{D5CDD505-2E9C-101B-9397-08002B2CF9AE}" pid="17" name="ContentTypeId">
    <vt:lpwstr>0x010100085B2CC30E9AF144BD8836AA7E22C547</vt:lpwstr>
  </property>
  <property fmtid="{D5CDD505-2E9C-101B-9397-08002B2CF9AE}" pid="18" name="RunPrepV5.1.6">
    <vt:lpwstr>11/17/2022 10:00:36 AM</vt:lpwstr>
  </property>
</Properties>
</file>