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A4A2" w14:textId="0C8EBEFA" w:rsidR="00C642B3" w:rsidRPr="0081722F" w:rsidRDefault="00DF49AA" w:rsidP="00DF49AA">
      <w:pPr>
        <w:jc w:val="center"/>
        <w:rPr>
          <w:rFonts w:ascii="Aptos" w:hAnsi="Aptos" w:cs="Arial"/>
          <w:b/>
          <w:bCs/>
          <w:lang w:val="en-US"/>
        </w:rPr>
      </w:pPr>
      <w:r w:rsidRPr="0081722F">
        <w:rPr>
          <w:rFonts w:ascii="Aptos" w:hAnsi="Aptos" w:cs="Arial"/>
          <w:b/>
          <w:bCs/>
          <w:lang w:val="en-US"/>
        </w:rPr>
        <w:t>Standard Operating Procedures for MAR proposals</w:t>
      </w:r>
    </w:p>
    <w:p w14:paraId="68E2DD0C" w14:textId="0D22B8C0" w:rsidR="00DF49AA" w:rsidRPr="001B1506" w:rsidRDefault="00DF49AA" w:rsidP="00DF49AA">
      <w:pPr>
        <w:rPr>
          <w:rFonts w:ascii="Aptos" w:hAnsi="Aptos" w:cs="Arial"/>
          <w:lang w:val="en-US"/>
        </w:rPr>
      </w:pPr>
      <w:r w:rsidRPr="0081722F">
        <w:rPr>
          <w:rFonts w:ascii="Aptos" w:hAnsi="Aptos" w:cs="Arial"/>
          <w:b/>
          <w:bCs/>
          <w:lang w:val="en-US"/>
        </w:rPr>
        <w:t>Purpose:</w:t>
      </w:r>
      <w:r w:rsidRPr="001B1506">
        <w:rPr>
          <w:rFonts w:ascii="Aptos" w:hAnsi="Aptos" w:cs="Arial"/>
          <w:b/>
          <w:bCs/>
          <w:lang w:val="en-US"/>
        </w:rPr>
        <w:t xml:space="preserve"> </w:t>
      </w:r>
      <w:r w:rsidRPr="001B1506">
        <w:rPr>
          <w:rFonts w:ascii="Aptos" w:hAnsi="Aptos" w:cs="Arial"/>
          <w:lang w:val="en-US"/>
        </w:rPr>
        <w:t xml:space="preserve">Outline </w:t>
      </w:r>
      <w:r w:rsidR="001B65A4" w:rsidRPr="001B1506">
        <w:rPr>
          <w:rFonts w:ascii="Aptos" w:hAnsi="Aptos" w:cs="Arial"/>
          <w:lang w:val="en-US"/>
        </w:rPr>
        <w:t xml:space="preserve">the </w:t>
      </w:r>
      <w:r w:rsidRPr="001B1506">
        <w:rPr>
          <w:rFonts w:ascii="Aptos" w:hAnsi="Aptos" w:cs="Arial"/>
          <w:lang w:val="en-US"/>
        </w:rPr>
        <w:t xml:space="preserve">process for federal regulators to use in determining whether regulatory changes are miscellaneous in nature. </w:t>
      </w:r>
    </w:p>
    <w:p w14:paraId="6B6CC799" w14:textId="6A0E21B0" w:rsidR="00DF49AA" w:rsidRPr="00FC3172" w:rsidRDefault="00DF49AA" w:rsidP="00DF49AA">
      <w:pPr>
        <w:pStyle w:val="NormalWeb"/>
        <w:shd w:val="clear" w:color="auto" w:fill="FFFFFF"/>
        <w:spacing w:after="173"/>
        <w:rPr>
          <w:rFonts w:ascii="Aptos" w:hAnsi="Aptos" w:cs="Arial"/>
          <w:b/>
          <w:bCs/>
          <w:sz w:val="22"/>
          <w:szCs w:val="22"/>
          <w:lang w:val="en-US"/>
        </w:rPr>
      </w:pPr>
      <w:r w:rsidRPr="00FC3172">
        <w:rPr>
          <w:rFonts w:ascii="Aptos" w:hAnsi="Aptos" w:cs="Arial"/>
          <w:b/>
          <w:bCs/>
          <w:sz w:val="22"/>
          <w:szCs w:val="22"/>
          <w:lang w:val="en-US"/>
        </w:rPr>
        <w:t>Background</w:t>
      </w:r>
    </w:p>
    <w:p w14:paraId="5A793F90" w14:textId="4F1622B5" w:rsidR="00DF49AA" w:rsidRPr="005A4AEA" w:rsidDel="00BE708D" w:rsidRDefault="00404948" w:rsidP="00404948">
      <w:pPr>
        <w:pStyle w:val="NormalWeb"/>
        <w:shd w:val="clear" w:color="auto" w:fill="FFFFFF"/>
        <w:spacing w:after="173"/>
        <w:rPr>
          <w:rFonts w:ascii="Aptos" w:eastAsia="Times New Roman" w:hAnsi="Aptos" w:cs="Arial"/>
          <w:sz w:val="22"/>
          <w:szCs w:val="22"/>
          <w:lang w:eastAsia="en-CA"/>
        </w:rPr>
      </w:pPr>
      <w:r>
        <w:rPr>
          <w:rFonts w:ascii="Aptos" w:hAnsi="Aptos" w:cs="Arial"/>
          <w:sz w:val="22"/>
          <w:szCs w:val="22"/>
          <w:lang w:val="en-US"/>
        </w:rPr>
        <w:t xml:space="preserve">According to the </w:t>
      </w:r>
      <w:r w:rsidRPr="00404948">
        <w:rPr>
          <w:rFonts w:ascii="Aptos" w:hAnsi="Aptos" w:cs="Arial"/>
          <w:i/>
          <w:iCs/>
          <w:sz w:val="22"/>
          <w:szCs w:val="22"/>
          <w:lang w:val="en-US"/>
        </w:rPr>
        <w:t>Policy</w:t>
      </w:r>
      <w:r w:rsidR="00DF49AA" w:rsidRPr="00404948">
        <w:rPr>
          <w:rFonts w:ascii="Aptos" w:hAnsi="Aptos" w:cs="Arial"/>
          <w:i/>
          <w:iCs/>
          <w:sz w:val="22"/>
          <w:szCs w:val="22"/>
          <w:lang w:val="en-US"/>
        </w:rPr>
        <w:t xml:space="preserve"> on</w:t>
      </w:r>
      <w:r w:rsidR="00DF49AA" w:rsidRPr="00FC3172">
        <w:rPr>
          <w:rFonts w:ascii="Aptos" w:hAnsi="Aptos" w:cs="Arial"/>
          <w:i/>
          <w:iCs/>
          <w:sz w:val="22"/>
          <w:szCs w:val="22"/>
          <w:lang w:val="en-US"/>
        </w:rPr>
        <w:t xml:space="preserve"> Regulatory Development</w:t>
      </w:r>
      <w:r>
        <w:rPr>
          <w:rFonts w:ascii="Aptos" w:hAnsi="Aptos" w:cs="Arial"/>
          <w:i/>
          <w:iCs/>
          <w:sz w:val="22"/>
          <w:szCs w:val="22"/>
          <w:lang w:val="en-US"/>
        </w:rPr>
        <w:t xml:space="preserve"> </w:t>
      </w:r>
      <w:r w:rsidRPr="00404948">
        <w:rPr>
          <w:rFonts w:ascii="Aptos" w:hAnsi="Aptos" w:cs="Arial"/>
          <w:sz w:val="22"/>
          <w:szCs w:val="22"/>
          <w:lang w:val="en-US"/>
        </w:rPr>
        <w:t>a</w:t>
      </w:r>
      <w:r w:rsidR="00CE6B6C" w:rsidRPr="001B1506">
        <w:rPr>
          <w:rFonts w:ascii="Aptos" w:eastAsia="Times New Roman" w:hAnsi="Aptos" w:cs="Arial"/>
          <w:sz w:val="22"/>
          <w:szCs w:val="22"/>
          <w:lang w:eastAsia="en-CA"/>
        </w:rPr>
        <w:t xml:space="preserve"> </w:t>
      </w:r>
      <w:r w:rsidR="001B1506" w:rsidRPr="001B1506">
        <w:rPr>
          <w:rFonts w:ascii="Aptos" w:eastAsia="Times New Roman" w:hAnsi="Aptos" w:cs="Arial"/>
          <w:sz w:val="22"/>
          <w:szCs w:val="22"/>
          <w:lang w:eastAsia="en-CA"/>
        </w:rPr>
        <w:t>m</w:t>
      </w:r>
      <w:r w:rsidR="00DF49AA" w:rsidRPr="001B1506">
        <w:rPr>
          <w:rFonts w:ascii="Aptos" w:eastAsia="Times New Roman" w:hAnsi="Aptos" w:cs="Arial"/>
          <w:sz w:val="22"/>
          <w:szCs w:val="22"/>
          <w:lang w:eastAsia="en-CA"/>
        </w:rPr>
        <w:t xml:space="preserve">iscellaneous </w:t>
      </w:r>
      <w:r w:rsidR="001B1506" w:rsidRPr="001B1506">
        <w:rPr>
          <w:rFonts w:ascii="Aptos" w:eastAsia="Times New Roman" w:hAnsi="Aptos" w:cs="Arial"/>
          <w:sz w:val="22"/>
          <w:szCs w:val="22"/>
          <w:lang w:eastAsia="en-CA"/>
        </w:rPr>
        <w:t>a</w:t>
      </w:r>
      <w:r w:rsidR="00DF49AA" w:rsidRPr="001B1506">
        <w:rPr>
          <w:rFonts w:ascii="Aptos" w:eastAsia="Times New Roman" w:hAnsi="Aptos" w:cs="Arial"/>
          <w:sz w:val="22"/>
          <w:szCs w:val="22"/>
          <w:lang w:eastAsia="en-CA"/>
        </w:rPr>
        <w:t xml:space="preserve">mendment </w:t>
      </w:r>
      <w:r w:rsidR="001B1506" w:rsidRPr="001B1506">
        <w:rPr>
          <w:rFonts w:ascii="Aptos" w:eastAsia="Times New Roman" w:hAnsi="Aptos" w:cs="Arial"/>
          <w:sz w:val="22"/>
          <w:szCs w:val="22"/>
          <w:lang w:eastAsia="en-CA"/>
        </w:rPr>
        <w:t>r</w:t>
      </w:r>
      <w:r w:rsidR="00DF49AA" w:rsidRPr="001B1506">
        <w:rPr>
          <w:rFonts w:ascii="Aptos" w:eastAsia="Times New Roman" w:hAnsi="Aptos" w:cs="Arial"/>
          <w:sz w:val="22"/>
          <w:szCs w:val="22"/>
          <w:lang w:eastAsia="en-CA"/>
        </w:rPr>
        <w:t xml:space="preserve">egulation (MAR) </w:t>
      </w:r>
      <w:r w:rsidR="00CE6B6C" w:rsidRPr="005A4AEA">
        <w:rPr>
          <w:rFonts w:ascii="Aptos" w:eastAsia="Times New Roman" w:hAnsi="Aptos" w:cs="Arial"/>
          <w:sz w:val="22"/>
          <w:szCs w:val="22"/>
          <w:lang w:eastAsia="en-CA"/>
        </w:rPr>
        <w:t>is a</w:t>
      </w:r>
      <w:r w:rsidR="00DF49AA" w:rsidRPr="005A4AEA">
        <w:rPr>
          <w:rFonts w:ascii="Aptos" w:eastAsia="Times New Roman" w:hAnsi="Aptos" w:cs="Arial"/>
          <w:sz w:val="22"/>
          <w:szCs w:val="22"/>
          <w:lang w:eastAsia="en-CA"/>
        </w:rPr>
        <w:t xml:space="preserve"> minor, non-substantive amendment to</w:t>
      </w:r>
      <w:r w:rsidR="6CAC211F" w:rsidRPr="005A4AEA">
        <w:rPr>
          <w:rFonts w:ascii="Aptos" w:eastAsia="Times New Roman" w:hAnsi="Aptos" w:cs="Arial"/>
          <w:sz w:val="22"/>
          <w:szCs w:val="22"/>
          <w:lang w:eastAsia="en-CA"/>
        </w:rPr>
        <w:t xml:space="preserve"> an</w:t>
      </w:r>
      <w:r w:rsidR="00DF49AA" w:rsidRPr="005A4AEA">
        <w:rPr>
          <w:rFonts w:ascii="Aptos" w:eastAsia="Times New Roman" w:hAnsi="Aptos" w:cs="Arial"/>
          <w:sz w:val="22"/>
          <w:szCs w:val="22"/>
          <w:lang w:eastAsia="en-CA"/>
        </w:rPr>
        <w:t xml:space="preserve"> existing regulation. </w:t>
      </w:r>
      <w:r w:rsidR="00282368" w:rsidRPr="005A4AEA">
        <w:rPr>
          <w:rFonts w:ascii="Aptos" w:eastAsia="Times New Roman" w:hAnsi="Aptos" w:cs="Arial"/>
          <w:sz w:val="22"/>
          <w:szCs w:val="22"/>
          <w:lang w:eastAsia="en-CA"/>
        </w:rPr>
        <w:t>The determination of what qualifies as a MAR is a policy decision made by Treasury Board</w:t>
      </w:r>
      <w:r w:rsidR="3DF853FD" w:rsidRPr="005A4AEA">
        <w:rPr>
          <w:rFonts w:ascii="Aptos" w:eastAsia="Times New Roman" w:hAnsi="Aptos" w:cs="Arial"/>
          <w:sz w:val="22"/>
          <w:szCs w:val="22"/>
          <w:lang w:eastAsia="en-CA"/>
        </w:rPr>
        <w:t xml:space="preserve"> </w:t>
      </w:r>
      <w:r w:rsidR="001B1506" w:rsidRPr="005A4AEA">
        <w:rPr>
          <w:rFonts w:ascii="Aptos" w:eastAsia="Times New Roman" w:hAnsi="Aptos" w:cs="Arial"/>
          <w:sz w:val="22"/>
          <w:szCs w:val="22"/>
          <w:lang w:eastAsia="en-CA"/>
        </w:rPr>
        <w:t>m</w:t>
      </w:r>
      <w:r w:rsidR="3DF853FD" w:rsidRPr="005A4AEA">
        <w:rPr>
          <w:rFonts w:ascii="Aptos" w:eastAsia="Times New Roman" w:hAnsi="Aptos" w:cs="Arial"/>
          <w:sz w:val="22"/>
          <w:szCs w:val="22"/>
          <w:lang w:eastAsia="en-CA"/>
        </w:rPr>
        <w:t>inisters</w:t>
      </w:r>
      <w:r w:rsidR="00282368" w:rsidRPr="005A4AEA">
        <w:rPr>
          <w:rFonts w:ascii="Aptos" w:eastAsia="Times New Roman" w:hAnsi="Aptos" w:cs="Arial"/>
          <w:sz w:val="22"/>
          <w:szCs w:val="22"/>
          <w:lang w:eastAsia="en-CA"/>
        </w:rPr>
        <w:t xml:space="preserve"> on the recommendation of TBS-RAS.</w:t>
      </w:r>
    </w:p>
    <w:p w14:paraId="51EE5798" w14:textId="1D770BDD" w:rsidR="00DF49AA" w:rsidRPr="005A4AEA" w:rsidRDefault="00DF49AA" w:rsidP="005F0C4E">
      <w:pPr>
        <w:pStyle w:val="NormalWeb"/>
        <w:shd w:val="clear" w:color="auto" w:fill="FFFFFF" w:themeFill="background1"/>
        <w:spacing w:after="173"/>
        <w:rPr>
          <w:rFonts w:ascii="Aptos" w:eastAsia="Times New Roman" w:hAnsi="Aptos" w:cs="Arial"/>
          <w:sz w:val="22"/>
          <w:szCs w:val="22"/>
          <w:lang w:eastAsia="en-CA"/>
        </w:rPr>
      </w:pPr>
      <w:r w:rsidRPr="005A4AEA">
        <w:rPr>
          <w:rFonts w:ascii="Aptos" w:eastAsia="Times New Roman" w:hAnsi="Aptos" w:cs="Arial"/>
          <w:sz w:val="22"/>
          <w:szCs w:val="22"/>
          <w:lang w:eastAsia="en-CA"/>
        </w:rPr>
        <w:t>The MAR process takes a “light</w:t>
      </w:r>
      <w:r w:rsidR="001B1506" w:rsidRPr="005A4AEA">
        <w:rPr>
          <w:rFonts w:ascii="Aptos" w:eastAsia="Times New Roman" w:hAnsi="Aptos" w:cs="Arial"/>
          <w:sz w:val="22"/>
          <w:szCs w:val="22"/>
          <w:lang w:eastAsia="en-CA"/>
        </w:rPr>
        <w:t xml:space="preserve"> </w:t>
      </w:r>
      <w:r w:rsidRPr="005A4AEA">
        <w:rPr>
          <w:rFonts w:ascii="Aptos" w:eastAsia="Times New Roman" w:hAnsi="Aptos" w:cs="Arial"/>
          <w:sz w:val="22"/>
          <w:szCs w:val="22"/>
          <w:lang w:eastAsia="en-CA"/>
        </w:rPr>
        <w:t>touch” approach, as the nature of the regulatory amendments have no real impact</w:t>
      </w:r>
      <w:r w:rsidR="320D7F30" w:rsidRPr="005A4AEA">
        <w:rPr>
          <w:rFonts w:ascii="Aptos" w:eastAsia="Times New Roman" w:hAnsi="Aptos" w:cs="Arial"/>
          <w:sz w:val="22"/>
          <w:szCs w:val="22"/>
          <w:lang w:eastAsia="en-CA"/>
        </w:rPr>
        <w:t xml:space="preserve">, exempting them from certain analytical requirements of the </w:t>
      </w:r>
      <w:r w:rsidR="320D7F30" w:rsidRPr="005F0C4E">
        <w:rPr>
          <w:rFonts w:ascii="Aptos" w:eastAsia="Times New Roman" w:hAnsi="Aptos" w:cs="Arial"/>
          <w:i/>
          <w:iCs/>
          <w:sz w:val="22"/>
          <w:szCs w:val="22"/>
          <w:lang w:eastAsia="en-CA"/>
        </w:rPr>
        <w:t>Cabinet Directive on Regulation</w:t>
      </w:r>
      <w:r w:rsidRPr="005A4AEA">
        <w:rPr>
          <w:rFonts w:ascii="Aptos" w:eastAsia="Times New Roman" w:hAnsi="Aptos" w:cs="Arial"/>
          <w:sz w:val="22"/>
          <w:szCs w:val="22"/>
          <w:lang w:eastAsia="en-CA"/>
        </w:rPr>
        <w:t>.</w:t>
      </w:r>
    </w:p>
    <w:p w14:paraId="3FA34E44" w14:textId="3767D043" w:rsidR="00DF49AA" w:rsidRPr="005A4AEA" w:rsidRDefault="00DF49AA" w:rsidP="52883FAC">
      <w:pPr>
        <w:shd w:val="clear" w:color="auto" w:fill="FFFFFF" w:themeFill="background1"/>
        <w:spacing w:after="173" w:line="240" w:lineRule="auto"/>
        <w:rPr>
          <w:rFonts w:ascii="Aptos" w:eastAsia="Times New Roman" w:hAnsi="Aptos" w:cs="Arial"/>
          <w:lang w:eastAsia="en-CA"/>
        </w:rPr>
      </w:pPr>
      <w:r w:rsidRPr="005A4AEA">
        <w:rPr>
          <w:rFonts w:ascii="Aptos" w:eastAsia="Times New Roman" w:hAnsi="Aptos" w:cs="Arial"/>
          <w:lang w:eastAsia="en-CA"/>
        </w:rPr>
        <w:t xml:space="preserve">Examples of items that may be considered </w:t>
      </w:r>
      <w:r w:rsidR="00CE6B6C" w:rsidRPr="005A4AEA">
        <w:rPr>
          <w:rFonts w:ascii="Aptos" w:eastAsia="Times New Roman" w:hAnsi="Aptos" w:cs="Arial"/>
          <w:lang w:eastAsia="en-CA"/>
        </w:rPr>
        <w:t>a</w:t>
      </w:r>
      <w:r w:rsidRPr="005A4AEA">
        <w:rPr>
          <w:rFonts w:ascii="Aptos" w:eastAsia="Times New Roman" w:hAnsi="Aptos" w:cs="Arial"/>
          <w:lang w:eastAsia="en-CA"/>
        </w:rPr>
        <w:t xml:space="preserve"> MAR amendment include, but are not limited to:</w:t>
      </w:r>
    </w:p>
    <w:p w14:paraId="76FE5DB1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repealing obsolete or spent provisions that have no current application</w:t>
      </w:r>
    </w:p>
    <w:p w14:paraId="175D4B16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eliminating unnecessary duplication of text</w:t>
      </w:r>
    </w:p>
    <w:p w14:paraId="7116412A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renumbering sections</w:t>
      </w:r>
    </w:p>
    <w:p w14:paraId="7DCECE9B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correcting cross-references</w:t>
      </w:r>
    </w:p>
    <w:p w14:paraId="01D9154F" w14:textId="79B0AEFB" w:rsidR="00DF49AA" w:rsidRPr="001B1506" w:rsidRDefault="00CE6B6C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correcting</w:t>
      </w:r>
      <w:r w:rsidR="00DF49AA" w:rsidRPr="001B1506">
        <w:rPr>
          <w:rFonts w:ascii="Aptos" w:eastAsia="Times New Roman" w:hAnsi="Aptos" w:cs="Arial"/>
          <w:lang w:eastAsia="en-CA"/>
        </w:rPr>
        <w:t xml:space="preserve"> discrepancies between English and French</w:t>
      </w:r>
    </w:p>
    <w:p w14:paraId="00133B10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improving consistency among provisions within regulations</w:t>
      </w:r>
    </w:p>
    <w:p w14:paraId="7CCD939A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harmonizing terms with those used in enabling statutes and related regulations</w:t>
      </w:r>
    </w:p>
    <w:p w14:paraId="75A47405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making non-substantive amendments to improve clarity</w:t>
      </w:r>
    </w:p>
    <w:p w14:paraId="4103E777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correcting grammatical or typographical errors</w:t>
      </w:r>
    </w:p>
    <w:p w14:paraId="4DD39F9D" w14:textId="77777777" w:rsidR="00DF49AA" w:rsidRPr="001B1506" w:rsidRDefault="00DF49AA" w:rsidP="00DF4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updating references to names of companies, locations, titles of office holders, and the like</w:t>
      </w:r>
    </w:p>
    <w:p w14:paraId="2AD5EFE7" w14:textId="18A832C9" w:rsidR="0456BB07" w:rsidRPr="001B1506" w:rsidRDefault="00DF49AA" w:rsidP="222F556D">
      <w:pPr>
        <w:numPr>
          <w:ilvl w:val="0"/>
          <w:numId w:val="2"/>
        </w:numPr>
        <w:shd w:val="clear" w:color="auto" w:fill="FFFFFF" w:themeFill="background1"/>
        <w:spacing w:beforeAutospacing="1" w:afterAutospacing="1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updating references to standards and other documents incorporated by reference (where the change is non-substantive)</w:t>
      </w:r>
    </w:p>
    <w:p w14:paraId="32D096B3" w14:textId="7EE4F5F5" w:rsidR="00DF49AA" w:rsidRPr="001B1506" w:rsidRDefault="00CE6B6C" w:rsidP="006C09B7">
      <w:pPr>
        <w:shd w:val="clear" w:color="auto" w:fill="FFFFFF"/>
        <w:spacing w:after="173" w:line="240" w:lineRule="auto"/>
        <w:rPr>
          <w:rFonts w:ascii="Aptos" w:eastAsia="Times New Roman" w:hAnsi="Aptos" w:cs="Arial"/>
          <w:lang w:eastAsia="en-CA"/>
        </w:rPr>
      </w:pPr>
      <w:r w:rsidRPr="001B1506">
        <w:rPr>
          <w:rFonts w:ascii="Aptos" w:eastAsia="Times New Roman" w:hAnsi="Aptos" w:cs="Arial"/>
          <w:lang w:eastAsia="en-CA"/>
        </w:rPr>
        <w:t>A</w:t>
      </w:r>
      <w:r w:rsidR="00DF49AA" w:rsidRPr="001B1506">
        <w:rPr>
          <w:rFonts w:ascii="Aptos" w:eastAsia="Times New Roman" w:hAnsi="Aptos" w:cs="Arial"/>
          <w:lang w:eastAsia="en-CA"/>
        </w:rPr>
        <w:t>mendments that may substantively alter regulations require consultation and may not proceed under the MAR process. Substantive amendments</w:t>
      </w:r>
      <w:r w:rsidRPr="001B1506">
        <w:rPr>
          <w:rFonts w:ascii="Aptos" w:eastAsia="Times New Roman" w:hAnsi="Aptos" w:cs="Arial"/>
          <w:lang w:eastAsia="en-CA"/>
        </w:rPr>
        <w:t xml:space="preserve"> would include those </w:t>
      </w:r>
      <w:r w:rsidR="00EF5F9D">
        <w:rPr>
          <w:rFonts w:ascii="Aptos" w:eastAsia="Times New Roman" w:hAnsi="Aptos" w:cs="Arial"/>
          <w:lang w:eastAsia="en-CA"/>
        </w:rPr>
        <w:t>that</w:t>
      </w:r>
      <w:r w:rsidR="006C09B7" w:rsidRPr="001B1506">
        <w:rPr>
          <w:rFonts w:ascii="Aptos" w:eastAsia="Times New Roman" w:hAnsi="Aptos" w:cs="Arial"/>
          <w:lang w:eastAsia="en-CA"/>
        </w:rPr>
        <w:t xml:space="preserve"> </w:t>
      </w:r>
      <w:r w:rsidR="00DF49AA" w:rsidRPr="001B1506">
        <w:rPr>
          <w:rFonts w:ascii="Aptos" w:eastAsia="Times New Roman" w:hAnsi="Aptos" w:cs="Arial"/>
          <w:lang w:eastAsia="en-CA"/>
        </w:rPr>
        <w:t>alter compliance or administrative costs</w:t>
      </w:r>
      <w:r w:rsidR="006C09B7" w:rsidRPr="001B1506">
        <w:rPr>
          <w:rFonts w:ascii="Aptos" w:eastAsia="Times New Roman" w:hAnsi="Aptos" w:cs="Arial"/>
          <w:lang w:eastAsia="en-CA"/>
        </w:rPr>
        <w:t xml:space="preserve"> and</w:t>
      </w:r>
      <w:r w:rsidR="00AA2940" w:rsidRPr="001B1506">
        <w:rPr>
          <w:rFonts w:ascii="Aptos" w:eastAsia="Times New Roman" w:hAnsi="Aptos" w:cs="Arial"/>
          <w:lang w:eastAsia="en-CA"/>
        </w:rPr>
        <w:t>/or</w:t>
      </w:r>
      <w:r w:rsidR="006C09B7" w:rsidRPr="001B1506">
        <w:rPr>
          <w:rFonts w:ascii="Aptos" w:eastAsia="Times New Roman" w:hAnsi="Aptos" w:cs="Arial"/>
          <w:lang w:eastAsia="en-CA"/>
        </w:rPr>
        <w:t xml:space="preserve"> </w:t>
      </w:r>
      <w:r w:rsidR="00DF49AA" w:rsidRPr="001B1506">
        <w:rPr>
          <w:rFonts w:ascii="Aptos" w:eastAsia="Times New Roman" w:hAnsi="Aptos" w:cs="Arial"/>
          <w:lang w:eastAsia="en-CA"/>
        </w:rPr>
        <w:t>create new regulatory requirements</w:t>
      </w:r>
      <w:r w:rsidR="006C09B7" w:rsidRPr="001B1506">
        <w:rPr>
          <w:rFonts w:ascii="Aptos" w:eastAsia="Times New Roman" w:hAnsi="Aptos" w:cs="Arial"/>
          <w:lang w:eastAsia="en-CA"/>
        </w:rPr>
        <w:t>.</w:t>
      </w:r>
    </w:p>
    <w:p w14:paraId="44BACBA4" w14:textId="767A73E0" w:rsidR="00DF49AA" w:rsidRPr="0081722F" w:rsidRDefault="00DF49AA" w:rsidP="00DF49AA">
      <w:pPr>
        <w:rPr>
          <w:rFonts w:ascii="Aptos" w:hAnsi="Aptos" w:cs="Arial"/>
          <w:b/>
          <w:bCs/>
          <w:lang w:val="en-US"/>
        </w:rPr>
      </w:pPr>
      <w:r w:rsidRPr="0081722F">
        <w:rPr>
          <w:rFonts w:ascii="Aptos" w:hAnsi="Aptos" w:cs="Arial"/>
          <w:b/>
          <w:bCs/>
          <w:lang w:val="en-US"/>
        </w:rPr>
        <w:t>Process</w:t>
      </w:r>
    </w:p>
    <w:p w14:paraId="17230D0E" w14:textId="78DD98BC" w:rsidR="001B65A4" w:rsidRPr="001B1506" w:rsidRDefault="001B65A4" w:rsidP="00DF49AA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Arial"/>
          <w:lang w:val="en-US"/>
        </w:rPr>
      </w:pPr>
      <w:r w:rsidRPr="001B1506">
        <w:rPr>
          <w:rFonts w:ascii="Aptos" w:hAnsi="Aptos" w:cs="Arial"/>
          <w:lang w:val="en-US"/>
        </w:rPr>
        <w:t>To the extent possible, federal regulators should seek to incorporate miscellaneous regulatory amendments into broader</w:t>
      </w:r>
      <w:r w:rsidR="006C09B7" w:rsidRPr="001B1506">
        <w:rPr>
          <w:rFonts w:ascii="Aptos" w:hAnsi="Aptos" w:cs="Arial"/>
          <w:lang w:val="en-US"/>
        </w:rPr>
        <w:t xml:space="preserve">, more significant </w:t>
      </w:r>
      <w:r w:rsidRPr="001B1506">
        <w:rPr>
          <w:rFonts w:ascii="Aptos" w:hAnsi="Aptos" w:cs="Arial"/>
          <w:lang w:val="en-US"/>
        </w:rPr>
        <w:t xml:space="preserve">regulatory projects versus </w:t>
      </w:r>
      <w:r w:rsidR="006C09B7" w:rsidRPr="001B1506">
        <w:rPr>
          <w:rFonts w:ascii="Aptos" w:hAnsi="Aptos" w:cs="Arial"/>
          <w:lang w:val="en-US"/>
        </w:rPr>
        <w:t xml:space="preserve">bringing </w:t>
      </w:r>
      <w:r w:rsidRPr="001B1506">
        <w:rPr>
          <w:rFonts w:ascii="Aptos" w:hAnsi="Aptos" w:cs="Arial"/>
          <w:lang w:val="en-US"/>
        </w:rPr>
        <w:t>them forward as stand</w:t>
      </w:r>
      <w:r w:rsidR="00EF5F9D">
        <w:rPr>
          <w:rFonts w:ascii="Aptos" w:hAnsi="Aptos" w:cs="Arial"/>
          <w:lang w:val="en-US"/>
        </w:rPr>
        <w:t>-</w:t>
      </w:r>
      <w:r w:rsidRPr="001B1506">
        <w:rPr>
          <w:rFonts w:ascii="Aptos" w:hAnsi="Aptos" w:cs="Arial"/>
          <w:lang w:val="en-US"/>
        </w:rPr>
        <w:t>alone regulatory amendments.</w:t>
      </w:r>
    </w:p>
    <w:p w14:paraId="582773C0" w14:textId="77777777" w:rsidR="001B65A4" w:rsidRPr="001B1506" w:rsidRDefault="001B65A4" w:rsidP="001B65A4">
      <w:pPr>
        <w:pStyle w:val="ListParagraph"/>
        <w:spacing w:after="0" w:line="240" w:lineRule="auto"/>
        <w:rPr>
          <w:rFonts w:ascii="Aptos" w:hAnsi="Aptos" w:cs="Arial"/>
          <w:lang w:val="en-US"/>
        </w:rPr>
      </w:pPr>
    </w:p>
    <w:p w14:paraId="2170BD86" w14:textId="32A5ADCD" w:rsidR="00DF49AA" w:rsidRPr="001B1506" w:rsidRDefault="001B65A4" w:rsidP="006C09B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Arial"/>
          <w:lang w:val="en-US"/>
        </w:rPr>
      </w:pPr>
      <w:r w:rsidRPr="001B1506">
        <w:rPr>
          <w:rFonts w:ascii="Aptos" w:hAnsi="Aptos" w:cs="Arial"/>
          <w:lang w:val="en-US"/>
        </w:rPr>
        <w:t xml:space="preserve">If it has been determined that a </w:t>
      </w:r>
      <w:r w:rsidR="00CE6B6C" w:rsidRPr="001B1506">
        <w:rPr>
          <w:rFonts w:ascii="Aptos" w:hAnsi="Aptos" w:cs="Arial"/>
          <w:lang w:val="en-US"/>
        </w:rPr>
        <w:t>MAR</w:t>
      </w:r>
      <w:r w:rsidRPr="001B1506">
        <w:rPr>
          <w:rFonts w:ascii="Aptos" w:hAnsi="Aptos" w:cs="Arial"/>
          <w:lang w:val="en-US"/>
        </w:rPr>
        <w:t xml:space="preserve"> amendment is the recommended path forward, r</w:t>
      </w:r>
      <w:r w:rsidR="00DF49AA" w:rsidRPr="001B1506">
        <w:rPr>
          <w:rFonts w:ascii="Aptos" w:hAnsi="Aptos" w:cs="Arial"/>
          <w:lang w:val="en-US"/>
        </w:rPr>
        <w:t>egulators</w:t>
      </w:r>
      <w:r w:rsidRPr="001B1506">
        <w:rPr>
          <w:rFonts w:ascii="Aptos" w:hAnsi="Aptos" w:cs="Arial"/>
          <w:lang w:val="en-US"/>
        </w:rPr>
        <w:t xml:space="preserve"> are</w:t>
      </w:r>
      <w:r w:rsidR="00DF49AA" w:rsidRPr="001B1506">
        <w:rPr>
          <w:rFonts w:ascii="Aptos" w:hAnsi="Aptos" w:cs="Arial"/>
          <w:lang w:val="en-US"/>
        </w:rPr>
        <w:t xml:space="preserve"> to fill out</w:t>
      </w:r>
      <w:r w:rsidR="006C09B7" w:rsidRPr="001B1506">
        <w:rPr>
          <w:rFonts w:ascii="Aptos" w:hAnsi="Aptos" w:cs="Arial"/>
          <w:lang w:val="en-US"/>
        </w:rPr>
        <w:t xml:space="preserve"> the</w:t>
      </w:r>
      <w:r w:rsidR="00DF49AA" w:rsidRPr="001B1506">
        <w:rPr>
          <w:rFonts w:ascii="Aptos" w:hAnsi="Aptos" w:cs="Arial"/>
          <w:lang w:val="en-US"/>
        </w:rPr>
        <w:t xml:space="preserve"> checklist in A</w:t>
      </w:r>
      <w:r w:rsidR="00EF5F9D">
        <w:rPr>
          <w:rFonts w:ascii="Aptos" w:hAnsi="Aptos" w:cs="Arial"/>
          <w:lang w:val="en-US"/>
        </w:rPr>
        <w:t>ppendix </w:t>
      </w:r>
      <w:r w:rsidR="00DF49AA" w:rsidRPr="001B1506">
        <w:rPr>
          <w:rFonts w:ascii="Aptos" w:hAnsi="Aptos" w:cs="Arial"/>
          <w:lang w:val="en-US"/>
        </w:rPr>
        <w:t xml:space="preserve">1. Similar to the Strategic Environmental Assessment or Small Business Lens checklists, the new “MAR Checklist” is for internal use, not for TBS review. </w:t>
      </w:r>
    </w:p>
    <w:p w14:paraId="248153C2" w14:textId="77777777" w:rsidR="00DF49AA" w:rsidRPr="001B1506" w:rsidRDefault="00DF49AA" w:rsidP="00DF49AA">
      <w:pPr>
        <w:spacing w:after="0" w:line="240" w:lineRule="auto"/>
        <w:rPr>
          <w:rFonts w:ascii="Aptos" w:hAnsi="Aptos" w:cs="Arial"/>
          <w:lang w:val="en-US"/>
        </w:rPr>
      </w:pPr>
    </w:p>
    <w:p w14:paraId="65025B9E" w14:textId="72FE826D" w:rsidR="00DF49AA" w:rsidRPr="001B1506" w:rsidRDefault="00DF49AA" w:rsidP="00DF49AA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Arial"/>
          <w:lang w:val="en-US"/>
        </w:rPr>
      </w:pPr>
      <w:r w:rsidRPr="001B1506">
        <w:rPr>
          <w:rFonts w:ascii="Aptos" w:hAnsi="Aptos" w:cs="Arial"/>
          <w:lang w:val="en-US"/>
        </w:rPr>
        <w:t xml:space="preserve">If </w:t>
      </w:r>
      <w:r w:rsidR="006C09B7" w:rsidRPr="001B1506">
        <w:rPr>
          <w:rFonts w:ascii="Aptos" w:hAnsi="Aptos" w:cs="Arial"/>
          <w:lang w:val="en-US"/>
        </w:rPr>
        <w:t>all five</w:t>
      </w:r>
      <w:r w:rsidRPr="001B1506">
        <w:rPr>
          <w:rFonts w:ascii="Aptos" w:hAnsi="Aptos" w:cs="Arial"/>
          <w:lang w:val="en-US"/>
        </w:rPr>
        <w:t xml:space="preserve"> criteria in the MAR Checklist are met</w:t>
      </w:r>
      <w:r w:rsidR="005B63A2" w:rsidRPr="001B1506">
        <w:rPr>
          <w:rFonts w:ascii="Aptos" w:hAnsi="Aptos" w:cs="Arial"/>
          <w:lang w:val="en-US"/>
        </w:rPr>
        <w:t xml:space="preserve"> (you answer “yes” to </w:t>
      </w:r>
      <w:r w:rsidR="1FF4897E" w:rsidRPr="001B1506">
        <w:rPr>
          <w:rFonts w:ascii="Aptos" w:hAnsi="Aptos" w:cs="Arial"/>
          <w:lang w:val="en-US"/>
        </w:rPr>
        <w:t>all</w:t>
      </w:r>
      <w:r w:rsidR="005B63A2" w:rsidRPr="001B1506">
        <w:rPr>
          <w:rFonts w:ascii="Aptos" w:hAnsi="Aptos" w:cs="Arial"/>
          <w:lang w:val="en-US"/>
        </w:rPr>
        <w:t xml:space="preserve"> criteria)</w:t>
      </w:r>
      <w:r w:rsidRPr="001B1506">
        <w:rPr>
          <w:rFonts w:ascii="Aptos" w:hAnsi="Aptos" w:cs="Arial"/>
          <w:lang w:val="en-US"/>
        </w:rPr>
        <w:t xml:space="preserve">, federal regulators can proceed </w:t>
      </w:r>
      <w:r w:rsidR="001B65A4" w:rsidRPr="001B1506">
        <w:rPr>
          <w:rFonts w:ascii="Aptos" w:hAnsi="Aptos" w:cs="Arial"/>
          <w:lang w:val="en-US"/>
        </w:rPr>
        <w:t xml:space="preserve">directly </w:t>
      </w:r>
      <w:r w:rsidRPr="001B1506">
        <w:rPr>
          <w:rFonts w:ascii="Aptos" w:hAnsi="Aptos" w:cs="Arial"/>
          <w:lang w:val="en-US"/>
        </w:rPr>
        <w:t>to drafting their RIAS (MAR template) without first filling out and sending a Triage to TBS for review.</w:t>
      </w:r>
    </w:p>
    <w:p w14:paraId="479F706E" w14:textId="77777777" w:rsidR="001B65A4" w:rsidRPr="001B1506" w:rsidRDefault="001B65A4" w:rsidP="001B65A4">
      <w:pPr>
        <w:pStyle w:val="ListParagraph"/>
        <w:rPr>
          <w:rFonts w:ascii="Aptos" w:hAnsi="Aptos" w:cs="Arial"/>
          <w:lang w:val="en-US"/>
        </w:rPr>
      </w:pPr>
    </w:p>
    <w:p w14:paraId="59EE736D" w14:textId="32B7BC37" w:rsidR="001B65A4" w:rsidRPr="001B1506" w:rsidRDefault="001B65A4" w:rsidP="006C09B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Arial"/>
          <w:lang w:val="en-US"/>
        </w:rPr>
      </w:pPr>
      <w:r w:rsidRPr="001B1506">
        <w:rPr>
          <w:rFonts w:ascii="Aptos" w:hAnsi="Aptos" w:cs="Arial"/>
          <w:lang w:val="en-US"/>
        </w:rPr>
        <w:t xml:space="preserve">If federal regulators are unsure whether the </w:t>
      </w:r>
      <w:proofErr w:type="gramStart"/>
      <w:r w:rsidR="006C09B7" w:rsidRPr="001B1506">
        <w:rPr>
          <w:rFonts w:ascii="Aptos" w:hAnsi="Aptos" w:cs="Arial"/>
          <w:lang w:val="en-US"/>
        </w:rPr>
        <w:t>project</w:t>
      </w:r>
      <w:proofErr w:type="gramEnd"/>
      <w:r w:rsidRPr="001B1506">
        <w:rPr>
          <w:rFonts w:ascii="Aptos" w:hAnsi="Aptos" w:cs="Arial"/>
          <w:lang w:val="en-US"/>
        </w:rPr>
        <w:t xml:space="preserve"> they are working</w:t>
      </w:r>
      <w:r w:rsidR="00CE6B6C" w:rsidRPr="001B1506">
        <w:rPr>
          <w:rFonts w:ascii="Aptos" w:hAnsi="Aptos" w:cs="Arial"/>
          <w:lang w:val="en-US"/>
        </w:rPr>
        <w:t xml:space="preserve"> on</w:t>
      </w:r>
      <w:r w:rsidRPr="001B1506">
        <w:rPr>
          <w:rFonts w:ascii="Aptos" w:hAnsi="Aptos" w:cs="Arial"/>
          <w:lang w:val="en-US"/>
        </w:rPr>
        <w:t xml:space="preserve"> qualifies for the MAR process, </w:t>
      </w:r>
      <w:r w:rsidR="2B7DC122" w:rsidRPr="001B1506">
        <w:rPr>
          <w:rFonts w:ascii="Aptos" w:hAnsi="Aptos" w:cs="Arial"/>
          <w:lang w:val="en-US"/>
        </w:rPr>
        <w:t>they may refer to</w:t>
      </w:r>
      <w:r w:rsidRPr="001B1506">
        <w:rPr>
          <w:rFonts w:ascii="Aptos" w:hAnsi="Aptos" w:cs="Arial"/>
          <w:lang w:val="en-US"/>
        </w:rPr>
        <w:t xml:space="preserve"> examples provided in A</w:t>
      </w:r>
      <w:r w:rsidR="00EF5F9D">
        <w:rPr>
          <w:rFonts w:ascii="Aptos" w:hAnsi="Aptos" w:cs="Arial"/>
          <w:lang w:val="en-US"/>
        </w:rPr>
        <w:t>ppendix </w:t>
      </w:r>
      <w:r w:rsidRPr="001B1506">
        <w:rPr>
          <w:rFonts w:ascii="Aptos" w:hAnsi="Aptos" w:cs="Arial"/>
          <w:lang w:val="en-US"/>
        </w:rPr>
        <w:t>2</w:t>
      </w:r>
      <w:r w:rsidR="006C09B7" w:rsidRPr="001B1506">
        <w:rPr>
          <w:rFonts w:ascii="Aptos" w:hAnsi="Aptos" w:cs="Arial"/>
          <w:lang w:val="en-US"/>
        </w:rPr>
        <w:t xml:space="preserve"> </w:t>
      </w:r>
      <w:r w:rsidRPr="001B1506">
        <w:rPr>
          <w:rFonts w:ascii="Aptos" w:hAnsi="Aptos" w:cs="Arial"/>
          <w:lang w:val="en-US"/>
        </w:rPr>
        <w:t xml:space="preserve">and/or contact </w:t>
      </w:r>
      <w:r w:rsidR="5FA99EBC" w:rsidRPr="001B1506">
        <w:rPr>
          <w:rFonts w:ascii="Aptos" w:hAnsi="Aptos" w:cs="Arial"/>
          <w:lang w:val="en-US"/>
        </w:rPr>
        <w:t>their</w:t>
      </w:r>
      <w:r w:rsidRPr="001B1506">
        <w:rPr>
          <w:rFonts w:ascii="Aptos" w:hAnsi="Aptos" w:cs="Arial"/>
          <w:lang w:val="en-US"/>
        </w:rPr>
        <w:t xml:space="preserve"> TBS-RAS analyst for clarification.</w:t>
      </w:r>
      <w:r w:rsidR="2D706D30" w:rsidRPr="001B1506">
        <w:rPr>
          <w:rFonts w:ascii="Aptos" w:hAnsi="Aptos" w:cs="Arial"/>
          <w:lang w:val="en-US"/>
        </w:rPr>
        <w:t xml:space="preserve"> </w:t>
      </w:r>
      <w:r w:rsidR="3E2D522C" w:rsidRPr="001B1506">
        <w:rPr>
          <w:rFonts w:ascii="Aptos" w:hAnsi="Aptos" w:cs="Arial"/>
          <w:lang w:val="en-US"/>
        </w:rPr>
        <w:t xml:space="preserve">Federal regulators </w:t>
      </w:r>
      <w:r w:rsidR="0EECC099" w:rsidRPr="001B1506">
        <w:rPr>
          <w:rFonts w:ascii="Aptos" w:hAnsi="Aptos" w:cs="Arial"/>
          <w:lang w:val="en-US"/>
        </w:rPr>
        <w:t>may also consult</w:t>
      </w:r>
      <w:r w:rsidR="603B136F" w:rsidRPr="001B1506">
        <w:rPr>
          <w:rFonts w:ascii="Aptos" w:hAnsi="Aptos" w:cs="Arial"/>
          <w:lang w:val="en-US"/>
        </w:rPr>
        <w:t xml:space="preserve"> t</w:t>
      </w:r>
      <w:r w:rsidR="5F9D953F" w:rsidRPr="001B1506">
        <w:rPr>
          <w:rFonts w:ascii="Aptos" w:hAnsi="Aptos" w:cs="Arial"/>
          <w:lang w:val="en-US"/>
        </w:rPr>
        <w:t xml:space="preserve">he appropriate Regulations Section of the Legislative Services Branch (Headquarters, Transport Canada or Health Canada Regulations Sections) </w:t>
      </w:r>
      <w:r w:rsidR="0EECC099" w:rsidRPr="001B1506">
        <w:rPr>
          <w:rFonts w:ascii="Aptos" w:hAnsi="Aptos" w:cs="Arial"/>
          <w:lang w:val="en-US"/>
        </w:rPr>
        <w:t xml:space="preserve">as they </w:t>
      </w:r>
      <w:r w:rsidR="7A882DD7" w:rsidRPr="001B1506">
        <w:rPr>
          <w:rFonts w:ascii="Aptos" w:hAnsi="Aptos" w:cs="Arial"/>
          <w:lang w:val="en-US"/>
        </w:rPr>
        <w:t>are responsible for drafting</w:t>
      </w:r>
      <w:r w:rsidR="497518EC" w:rsidRPr="001B1506">
        <w:rPr>
          <w:rFonts w:ascii="Aptos" w:hAnsi="Aptos" w:cs="Arial"/>
          <w:lang w:val="en-US"/>
        </w:rPr>
        <w:t xml:space="preserve"> r</w:t>
      </w:r>
      <w:r w:rsidR="7A882DD7" w:rsidRPr="001B1506">
        <w:rPr>
          <w:rFonts w:ascii="Aptos" w:hAnsi="Aptos" w:cs="Arial"/>
          <w:lang w:val="en-US"/>
        </w:rPr>
        <w:t>egulations and</w:t>
      </w:r>
      <w:r w:rsidR="4FDBAF50" w:rsidRPr="001B1506">
        <w:rPr>
          <w:rFonts w:ascii="Aptos" w:hAnsi="Aptos" w:cs="Arial"/>
          <w:lang w:val="en-US"/>
        </w:rPr>
        <w:t xml:space="preserve"> will</w:t>
      </w:r>
      <w:r w:rsidR="7A882DD7" w:rsidRPr="001B1506">
        <w:rPr>
          <w:rFonts w:ascii="Aptos" w:hAnsi="Aptos" w:cs="Arial"/>
          <w:lang w:val="en-US"/>
        </w:rPr>
        <w:t xml:space="preserve"> have a helpful perspective</w:t>
      </w:r>
      <w:r w:rsidR="00526853" w:rsidRPr="001B1506">
        <w:rPr>
          <w:rFonts w:ascii="Aptos" w:hAnsi="Aptos" w:cs="Arial"/>
          <w:lang w:val="en-US"/>
        </w:rPr>
        <w:t>.</w:t>
      </w:r>
      <w:r w:rsidR="2D706D30" w:rsidRPr="001B1506">
        <w:rPr>
          <w:rFonts w:ascii="Aptos" w:hAnsi="Aptos" w:cs="Arial"/>
          <w:lang w:val="en-US"/>
        </w:rPr>
        <w:t xml:space="preserve"> </w:t>
      </w:r>
    </w:p>
    <w:p w14:paraId="159453DF" w14:textId="77777777" w:rsidR="006C09B7" w:rsidRPr="001B1506" w:rsidRDefault="006C09B7" w:rsidP="006C09B7">
      <w:pPr>
        <w:spacing w:after="0" w:line="240" w:lineRule="auto"/>
        <w:rPr>
          <w:rFonts w:ascii="Aptos" w:hAnsi="Aptos" w:cs="Arial"/>
          <w:lang w:val="en-US"/>
        </w:rPr>
      </w:pPr>
    </w:p>
    <w:p w14:paraId="082DA3B8" w14:textId="34D68E2F" w:rsidR="001B65A4" w:rsidRPr="0081722F" w:rsidRDefault="001B65A4" w:rsidP="006C09B7">
      <w:pPr>
        <w:spacing w:after="0" w:line="240" w:lineRule="auto"/>
        <w:contextualSpacing/>
        <w:rPr>
          <w:rFonts w:ascii="Aptos" w:hAnsi="Aptos" w:cs="Arial"/>
          <w:b/>
          <w:bCs/>
          <w:lang w:val="en-US"/>
        </w:rPr>
      </w:pPr>
      <w:r w:rsidRPr="0081722F">
        <w:rPr>
          <w:rFonts w:ascii="Aptos" w:hAnsi="Aptos" w:cs="Arial"/>
          <w:b/>
          <w:bCs/>
          <w:lang w:val="en-US"/>
        </w:rPr>
        <w:t>A</w:t>
      </w:r>
      <w:r w:rsidR="00EF5F9D">
        <w:rPr>
          <w:rFonts w:ascii="Aptos" w:hAnsi="Aptos" w:cs="Arial"/>
          <w:b/>
          <w:bCs/>
          <w:lang w:val="en-US"/>
        </w:rPr>
        <w:t>ppendix </w:t>
      </w:r>
      <w:r w:rsidRPr="0081722F">
        <w:rPr>
          <w:rFonts w:ascii="Aptos" w:hAnsi="Aptos" w:cs="Arial"/>
          <w:b/>
          <w:bCs/>
          <w:lang w:val="en-US"/>
        </w:rPr>
        <w:t xml:space="preserve">1: MAR Checklist </w:t>
      </w:r>
    </w:p>
    <w:p w14:paraId="6E7FCE76" w14:textId="3820665A" w:rsidR="00DF49AA" w:rsidRPr="001B1506" w:rsidRDefault="00DF49AA" w:rsidP="006C09B7">
      <w:pPr>
        <w:spacing w:after="0" w:line="240" w:lineRule="auto"/>
        <w:contextualSpacing/>
        <w:rPr>
          <w:rFonts w:ascii="Aptos" w:hAnsi="Aptos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390"/>
        <w:gridCol w:w="1161"/>
        <w:gridCol w:w="1264"/>
      </w:tblGrid>
      <w:tr w:rsidR="006C09B7" w:rsidRPr="001B1506" w14:paraId="6EA11210" w14:textId="77777777" w:rsidTr="006C09B7">
        <w:tc>
          <w:tcPr>
            <w:tcW w:w="535" w:type="dxa"/>
          </w:tcPr>
          <w:p w14:paraId="45F609E3" w14:textId="7777777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  <w:tc>
          <w:tcPr>
            <w:tcW w:w="6390" w:type="dxa"/>
          </w:tcPr>
          <w:p w14:paraId="055AADA8" w14:textId="15F7293F" w:rsidR="006C09B7" w:rsidRPr="001B1506" w:rsidRDefault="006C09B7" w:rsidP="00DF49AA">
            <w:pPr>
              <w:rPr>
                <w:rFonts w:ascii="Aptos" w:hAnsi="Aptos" w:cs="Arial"/>
                <w:b/>
                <w:bCs/>
                <w:lang w:val="en-US"/>
              </w:rPr>
            </w:pPr>
            <w:r w:rsidRPr="001B1506">
              <w:rPr>
                <w:rFonts w:ascii="Aptos" w:hAnsi="Aptos" w:cs="Arial"/>
                <w:b/>
                <w:bCs/>
                <w:lang w:val="en-US"/>
              </w:rPr>
              <w:t>Criteria</w:t>
            </w:r>
          </w:p>
        </w:tc>
        <w:tc>
          <w:tcPr>
            <w:tcW w:w="1161" w:type="dxa"/>
          </w:tcPr>
          <w:p w14:paraId="02C4ABB9" w14:textId="4B058E11" w:rsidR="006C09B7" w:rsidRPr="001B1506" w:rsidRDefault="006C09B7" w:rsidP="001B65A4">
            <w:pPr>
              <w:jc w:val="center"/>
              <w:rPr>
                <w:rFonts w:ascii="Aptos" w:hAnsi="Aptos" w:cs="Arial"/>
                <w:b/>
                <w:bCs/>
                <w:lang w:val="en-US"/>
              </w:rPr>
            </w:pPr>
            <w:r w:rsidRPr="001B1506">
              <w:rPr>
                <w:rFonts w:ascii="Aptos" w:hAnsi="Aptos" w:cs="Arial"/>
                <w:b/>
                <w:bCs/>
                <w:lang w:val="en-US"/>
              </w:rPr>
              <w:t>Yes</w:t>
            </w:r>
          </w:p>
        </w:tc>
        <w:tc>
          <w:tcPr>
            <w:tcW w:w="1264" w:type="dxa"/>
          </w:tcPr>
          <w:p w14:paraId="4DFC99B2" w14:textId="3FA23AA0" w:rsidR="006C09B7" w:rsidRPr="001B1506" w:rsidRDefault="006C09B7" w:rsidP="001B65A4">
            <w:pPr>
              <w:jc w:val="center"/>
              <w:rPr>
                <w:rFonts w:ascii="Aptos" w:hAnsi="Aptos" w:cs="Arial"/>
                <w:b/>
                <w:bCs/>
                <w:lang w:val="en-US"/>
              </w:rPr>
            </w:pPr>
            <w:r w:rsidRPr="001B1506">
              <w:rPr>
                <w:rFonts w:ascii="Aptos" w:hAnsi="Aptos" w:cs="Arial"/>
                <w:b/>
                <w:bCs/>
                <w:lang w:val="en-US"/>
              </w:rPr>
              <w:t>No</w:t>
            </w:r>
          </w:p>
        </w:tc>
      </w:tr>
      <w:tr w:rsidR="006C09B7" w:rsidRPr="001B1506" w14:paraId="2C2D41AA" w14:textId="77777777" w:rsidTr="006C09B7">
        <w:tc>
          <w:tcPr>
            <w:tcW w:w="535" w:type="dxa"/>
            <w:vAlign w:val="center"/>
          </w:tcPr>
          <w:p w14:paraId="3A3B7521" w14:textId="055AE03C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1</w:t>
            </w:r>
          </w:p>
        </w:tc>
        <w:tc>
          <w:tcPr>
            <w:tcW w:w="6390" w:type="dxa"/>
          </w:tcPr>
          <w:p w14:paraId="343EDCD6" w14:textId="72CDD61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 xml:space="preserve">The changes made through the regulatory proposal fall into at least one of the categories of examples listed in the TBS </w:t>
            </w:r>
            <w:r w:rsidRPr="0081722F">
              <w:rPr>
                <w:rFonts w:ascii="Aptos" w:hAnsi="Aptos" w:cs="Arial"/>
                <w:i/>
                <w:iCs/>
                <w:lang w:val="en-US"/>
              </w:rPr>
              <w:t>Policy on Regulatory Development</w:t>
            </w:r>
            <w:r w:rsidRPr="001B1506">
              <w:rPr>
                <w:rFonts w:ascii="Aptos" w:hAnsi="Aptos" w:cs="Arial"/>
                <w:lang w:val="en-US"/>
              </w:rPr>
              <w:t xml:space="preserve"> (listed above) or equivalent.</w:t>
            </w:r>
          </w:p>
        </w:tc>
        <w:tc>
          <w:tcPr>
            <w:tcW w:w="1161" w:type="dxa"/>
            <w:vAlign w:val="center"/>
          </w:tcPr>
          <w:p w14:paraId="6AAABC4E" w14:textId="043956C4" w:rsidR="006C09B7" w:rsidRPr="001B1506" w:rsidRDefault="006C09B7" w:rsidP="005B63A2">
            <w:pPr>
              <w:jc w:val="center"/>
              <w:rPr>
                <w:rFonts w:ascii="Aptos" w:hAnsi="Aptos" w:cs="Arial"/>
                <w:lang w:val="en-US"/>
              </w:rPr>
            </w:pPr>
          </w:p>
        </w:tc>
        <w:tc>
          <w:tcPr>
            <w:tcW w:w="1264" w:type="dxa"/>
          </w:tcPr>
          <w:p w14:paraId="3306EFE0" w14:textId="7777777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</w:tr>
      <w:tr w:rsidR="006C09B7" w:rsidRPr="001B1506" w14:paraId="2092ED94" w14:textId="77777777" w:rsidTr="006C09B7">
        <w:tc>
          <w:tcPr>
            <w:tcW w:w="535" w:type="dxa"/>
            <w:vAlign w:val="center"/>
          </w:tcPr>
          <w:p w14:paraId="7C7C4234" w14:textId="0A5921E9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2</w:t>
            </w:r>
          </w:p>
        </w:tc>
        <w:tc>
          <w:tcPr>
            <w:tcW w:w="6390" w:type="dxa"/>
          </w:tcPr>
          <w:p w14:paraId="5F3CCFB4" w14:textId="160943D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The proposal would not introduce new costs.</w:t>
            </w:r>
          </w:p>
        </w:tc>
        <w:tc>
          <w:tcPr>
            <w:tcW w:w="1161" w:type="dxa"/>
          </w:tcPr>
          <w:p w14:paraId="3AF90807" w14:textId="76C5644E" w:rsidR="006C09B7" w:rsidRPr="001B1506" w:rsidRDefault="006C09B7" w:rsidP="005B63A2">
            <w:pPr>
              <w:jc w:val="center"/>
              <w:rPr>
                <w:rFonts w:ascii="Aptos" w:hAnsi="Aptos" w:cs="Arial"/>
                <w:lang w:val="en-US"/>
              </w:rPr>
            </w:pPr>
          </w:p>
        </w:tc>
        <w:tc>
          <w:tcPr>
            <w:tcW w:w="1264" w:type="dxa"/>
          </w:tcPr>
          <w:p w14:paraId="7EB5D400" w14:textId="7777777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</w:tr>
      <w:tr w:rsidR="006C09B7" w:rsidRPr="001B1506" w14:paraId="1119E7EC" w14:textId="77777777" w:rsidTr="006C09B7">
        <w:tc>
          <w:tcPr>
            <w:tcW w:w="535" w:type="dxa"/>
            <w:vAlign w:val="center"/>
          </w:tcPr>
          <w:p w14:paraId="3F57C37C" w14:textId="18769F65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3</w:t>
            </w:r>
          </w:p>
        </w:tc>
        <w:tc>
          <w:tcPr>
            <w:tcW w:w="6390" w:type="dxa"/>
          </w:tcPr>
          <w:p w14:paraId="3FB0F7B2" w14:textId="4604C073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The proposal would not be considered controversial or result in significant reaction from stakeholders, the media or the public.</w:t>
            </w:r>
          </w:p>
        </w:tc>
        <w:tc>
          <w:tcPr>
            <w:tcW w:w="1161" w:type="dxa"/>
          </w:tcPr>
          <w:p w14:paraId="031B3299" w14:textId="7EBB6959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  <w:tc>
          <w:tcPr>
            <w:tcW w:w="1264" w:type="dxa"/>
          </w:tcPr>
          <w:p w14:paraId="4570BD45" w14:textId="7777777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</w:tr>
      <w:tr w:rsidR="006C09B7" w:rsidRPr="001B1506" w14:paraId="3A1D0D5B" w14:textId="77777777" w:rsidTr="006C09B7">
        <w:tc>
          <w:tcPr>
            <w:tcW w:w="535" w:type="dxa"/>
            <w:vAlign w:val="center"/>
          </w:tcPr>
          <w:p w14:paraId="22D2D264" w14:textId="19CD9E91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4</w:t>
            </w:r>
          </w:p>
        </w:tc>
        <w:tc>
          <w:tcPr>
            <w:tcW w:w="6390" w:type="dxa"/>
          </w:tcPr>
          <w:p w14:paraId="29E309C6" w14:textId="24F33F5E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The proposal would not result in a policy change.</w:t>
            </w:r>
          </w:p>
        </w:tc>
        <w:tc>
          <w:tcPr>
            <w:tcW w:w="1161" w:type="dxa"/>
          </w:tcPr>
          <w:p w14:paraId="05FABDE3" w14:textId="7777777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  <w:tc>
          <w:tcPr>
            <w:tcW w:w="1264" w:type="dxa"/>
          </w:tcPr>
          <w:p w14:paraId="7F534F7B" w14:textId="7777777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</w:tr>
      <w:tr w:rsidR="006C09B7" w:rsidRPr="001B1506" w14:paraId="7B3CD7DF" w14:textId="77777777" w:rsidTr="006C09B7">
        <w:tc>
          <w:tcPr>
            <w:tcW w:w="535" w:type="dxa"/>
            <w:vAlign w:val="center"/>
          </w:tcPr>
          <w:p w14:paraId="3CB0AF65" w14:textId="0048CEFC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5</w:t>
            </w:r>
          </w:p>
        </w:tc>
        <w:tc>
          <w:tcPr>
            <w:tcW w:w="6390" w:type="dxa"/>
          </w:tcPr>
          <w:p w14:paraId="7A8C26BC" w14:textId="0CDE069F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  <w:r w:rsidRPr="001B1506">
              <w:rPr>
                <w:rFonts w:ascii="Aptos" w:hAnsi="Aptos" w:cs="Arial"/>
                <w:lang w:val="en-US"/>
              </w:rPr>
              <w:t>The proposal would not result in new legal risks.</w:t>
            </w:r>
          </w:p>
        </w:tc>
        <w:tc>
          <w:tcPr>
            <w:tcW w:w="1161" w:type="dxa"/>
          </w:tcPr>
          <w:p w14:paraId="6DB6EC69" w14:textId="7777777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  <w:tc>
          <w:tcPr>
            <w:tcW w:w="1264" w:type="dxa"/>
          </w:tcPr>
          <w:p w14:paraId="1D986A90" w14:textId="77777777" w:rsidR="006C09B7" w:rsidRPr="001B1506" w:rsidRDefault="006C09B7" w:rsidP="00DF49AA">
            <w:pPr>
              <w:rPr>
                <w:rFonts w:ascii="Aptos" w:hAnsi="Aptos" w:cs="Arial"/>
                <w:lang w:val="en-US"/>
              </w:rPr>
            </w:pPr>
          </w:p>
        </w:tc>
      </w:tr>
    </w:tbl>
    <w:p w14:paraId="4E034A4F" w14:textId="77777777" w:rsidR="00DF49AA" w:rsidRPr="001B1506" w:rsidRDefault="00DF49AA" w:rsidP="00DF49AA">
      <w:pPr>
        <w:rPr>
          <w:rFonts w:ascii="Aptos" w:hAnsi="Aptos" w:cs="Arial"/>
          <w:lang w:val="en-US"/>
        </w:rPr>
      </w:pPr>
    </w:p>
    <w:p w14:paraId="496251BE" w14:textId="5BE92115" w:rsidR="00DF49AA" w:rsidRPr="0081722F" w:rsidRDefault="005B63A2" w:rsidP="00DF49AA">
      <w:pPr>
        <w:rPr>
          <w:rFonts w:ascii="Aptos" w:hAnsi="Aptos" w:cs="Arial"/>
          <w:b/>
          <w:bCs/>
          <w:lang w:val="en-US"/>
        </w:rPr>
      </w:pPr>
      <w:r w:rsidRPr="0081722F">
        <w:rPr>
          <w:rFonts w:ascii="Aptos" w:hAnsi="Aptos" w:cs="Arial"/>
          <w:b/>
          <w:bCs/>
          <w:lang w:val="en-US"/>
        </w:rPr>
        <w:t>A</w:t>
      </w:r>
      <w:r w:rsidR="00EF5F9D">
        <w:rPr>
          <w:rFonts w:ascii="Aptos" w:hAnsi="Aptos" w:cs="Arial"/>
          <w:b/>
          <w:bCs/>
          <w:lang w:val="en-US"/>
        </w:rPr>
        <w:t>ppendix </w:t>
      </w:r>
      <w:r w:rsidRPr="0081722F">
        <w:rPr>
          <w:rFonts w:ascii="Aptos" w:hAnsi="Aptos" w:cs="Arial"/>
          <w:b/>
          <w:bCs/>
          <w:lang w:val="en-US"/>
        </w:rPr>
        <w:t>2: Examples of MAR amendments</w:t>
      </w:r>
    </w:p>
    <w:p w14:paraId="7F2ED0EC" w14:textId="5DB06BCB" w:rsidR="005B63A2" w:rsidRPr="001B1506" w:rsidRDefault="005B63A2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1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155, Number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14:</w:t>
        </w:r>
        <w:r w:rsidR="00EF5F9D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>Regulations Amending the Canadian Aviation Regulations (Miscellaneous Program, 2021-1)</w:t>
        </w:r>
      </w:hyperlink>
    </w:p>
    <w:p w14:paraId="7A2B5AA5" w14:textId="6A616CAC" w:rsidR="005B63A2" w:rsidRPr="001B1506" w:rsidRDefault="005B63A2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2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155, Number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14:</w:t>
        </w:r>
        <w:r w:rsidR="00EF5F9D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>Regulations Amending the Freezing Assets of Corrupt Foreign Officials (Ukraine) Regulations (Miscellaneous Program)</w:t>
        </w:r>
      </w:hyperlink>
    </w:p>
    <w:p w14:paraId="790344BF" w14:textId="3BD666B0" w:rsidR="005B63A2" w:rsidRPr="001B1506" w:rsidRDefault="005B63A2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3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155, Number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13:</w:t>
        </w:r>
        <w:r w:rsidR="00EF5F9D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>Regulations Amending the Canada Grain Regulations (Miscellaneous Program)</w:t>
        </w:r>
      </w:hyperlink>
    </w:p>
    <w:p w14:paraId="7847D90A" w14:textId="688AB57E" w:rsidR="00A2544C" w:rsidRPr="001B1506" w:rsidRDefault="00A2544C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4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155, Number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12:</w:t>
        </w:r>
        <w:r w:rsidR="00EF5F9D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 xml:space="preserve">Regulations Repealing Certain Regulations Made Under the </w:t>
        </w:r>
        <w:r w:rsidRPr="0081722F">
          <w:rPr>
            <w:rStyle w:val="Hyperlink"/>
            <w:rFonts w:ascii="Aptos" w:hAnsi="Aptos"/>
            <w:i/>
            <w:iCs/>
          </w:rPr>
          <w:t>Pilotage Act</w:t>
        </w:r>
        <w:r w:rsidRPr="001B1506">
          <w:rPr>
            <w:rStyle w:val="Hyperlink"/>
            <w:rFonts w:ascii="Aptos" w:hAnsi="Aptos"/>
          </w:rPr>
          <w:t xml:space="preserve"> (Tariff Regulations {|</w:t>
        </w:r>
        <w:proofErr w:type="spellStart"/>
        <w:r w:rsidRPr="001B1506">
          <w:rPr>
            <w:rStyle w:val="Hyperlink"/>
            <w:rFonts w:ascii="Aptos" w:hAnsi="Aptos"/>
          </w:rPr>
          <w:t>mdash</w:t>
        </w:r>
        <w:proofErr w:type="spellEnd"/>
        <w:r w:rsidRPr="001B1506">
          <w:rPr>
            <w:rStyle w:val="Hyperlink"/>
            <w:rFonts w:ascii="Aptos" w:hAnsi="Aptos"/>
          </w:rPr>
          <w:t>|} Miscellaneous Program)</w:t>
        </w:r>
      </w:hyperlink>
    </w:p>
    <w:p w14:paraId="74B90043" w14:textId="5E1C1DF6" w:rsidR="00A2544C" w:rsidRPr="001B1506" w:rsidRDefault="006C09B7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5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155, Number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12:</w:t>
        </w:r>
        <w:r w:rsidR="00EF5F9D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>Regulations Amending the Quebec Fishery Regulations, 1990 (Miscellaneous Program)</w:t>
        </w:r>
      </w:hyperlink>
    </w:p>
    <w:p w14:paraId="77327F25" w14:textId="546606AF" w:rsidR="006C09B7" w:rsidRPr="001B1506" w:rsidRDefault="006C09B7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6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155, Number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10:</w:t>
        </w:r>
        <w:r w:rsidR="00EF5F9D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 xml:space="preserve">Regulations Amending Certain Regulations Made Under the </w:t>
        </w:r>
        <w:r w:rsidRPr="0081722F">
          <w:rPr>
            <w:rStyle w:val="Hyperlink"/>
            <w:rFonts w:ascii="Aptos" w:hAnsi="Aptos"/>
            <w:i/>
            <w:iCs/>
          </w:rPr>
          <w:t>Canada Post Corporation Act</w:t>
        </w:r>
        <w:r w:rsidRPr="001B1506">
          <w:rPr>
            <w:rStyle w:val="Hyperlink"/>
            <w:rFonts w:ascii="Aptos" w:hAnsi="Aptos"/>
          </w:rPr>
          <w:t xml:space="preserve"> (Miscellaneous Program)</w:t>
        </w:r>
      </w:hyperlink>
    </w:p>
    <w:p w14:paraId="1D23B583" w14:textId="6E1BBFF7" w:rsidR="006C09B7" w:rsidRPr="001B1506" w:rsidRDefault="006C09B7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7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155, Number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7:</w:t>
        </w:r>
        <w:r w:rsidR="00EF5F9D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>Regulations Amending Certain Department of Health Regulations (Miscellaneous Program)</w:t>
        </w:r>
      </w:hyperlink>
    </w:p>
    <w:p w14:paraId="67DF7E0E" w14:textId="432F6A61" w:rsidR="006C09B7" w:rsidRPr="001B1506" w:rsidRDefault="006C09B7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8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155, Number</w:t>
        </w:r>
        <w:r w:rsidR="00EF5F9D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6:</w:t>
        </w:r>
        <w:r w:rsidR="00EF5F9D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>Regulations Amending the Assessable Activities, Exceptions and Executive Committee Projects Regulations (Miscellaneous Program)</w:t>
        </w:r>
      </w:hyperlink>
    </w:p>
    <w:p w14:paraId="4E3057B1" w14:textId="7E7C4FB6" w:rsidR="006C09B7" w:rsidRPr="001B1506" w:rsidRDefault="006C09B7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19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6534D9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6534D9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154, Number</w:t>
        </w:r>
        <w:r w:rsidR="006534D9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24:</w:t>
        </w:r>
        <w:r w:rsidR="006534D9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>Regulations Amending the Commercial Vehicle Drivers Hours of Service Regulations and a Related Amendment (Miscellaneous Program)</w:t>
        </w:r>
      </w:hyperlink>
    </w:p>
    <w:p w14:paraId="401A4716" w14:textId="68D79AD2" w:rsidR="006C09B7" w:rsidRPr="001B1506" w:rsidRDefault="006C09B7" w:rsidP="005B63A2">
      <w:pPr>
        <w:pStyle w:val="ListParagraph"/>
        <w:numPr>
          <w:ilvl w:val="0"/>
          <w:numId w:val="5"/>
        </w:numPr>
        <w:rPr>
          <w:rFonts w:ascii="Aptos" w:hAnsi="Aptos" w:cs="Arial"/>
          <w:u w:val="single"/>
          <w:lang w:val="en-US"/>
        </w:rPr>
      </w:pPr>
      <w:hyperlink r:id="rId20" w:history="1">
        <w:r w:rsidRPr="0081722F">
          <w:rPr>
            <w:rStyle w:val="Hyperlink"/>
            <w:rFonts w:ascii="Aptos" w:hAnsi="Aptos"/>
            <w:i/>
            <w:iCs/>
          </w:rPr>
          <w:t>Canada Gazette</w:t>
        </w:r>
        <w:r w:rsidRPr="001B1506">
          <w:rPr>
            <w:rStyle w:val="Hyperlink"/>
            <w:rFonts w:ascii="Aptos" w:hAnsi="Aptos"/>
          </w:rPr>
          <w:t>, Part</w:t>
        </w:r>
        <w:r w:rsidR="006534D9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2, Volume</w:t>
        </w:r>
        <w:r w:rsidR="006534D9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154, Number</w:t>
        </w:r>
        <w:r w:rsidR="006534D9">
          <w:rPr>
            <w:rStyle w:val="Hyperlink"/>
            <w:rFonts w:ascii="Aptos" w:hAnsi="Aptos"/>
          </w:rPr>
          <w:t> </w:t>
        </w:r>
        <w:r w:rsidRPr="001B1506">
          <w:rPr>
            <w:rStyle w:val="Hyperlink"/>
            <w:rFonts w:ascii="Aptos" w:hAnsi="Aptos"/>
          </w:rPr>
          <w:t>24:</w:t>
        </w:r>
        <w:r w:rsidR="006534D9">
          <w:rPr>
            <w:rStyle w:val="Hyperlink"/>
            <w:rFonts w:ascii="Aptos" w:hAnsi="Aptos"/>
          </w:rPr>
          <w:t xml:space="preserve"> </w:t>
        </w:r>
        <w:r w:rsidRPr="001B1506">
          <w:rPr>
            <w:rStyle w:val="Hyperlink"/>
            <w:rFonts w:ascii="Aptos" w:hAnsi="Aptos"/>
          </w:rPr>
          <w:t>Regulations Amending the Regulations Specifying Territories and Indicating International Registers (Miscellaneous Program)</w:t>
        </w:r>
      </w:hyperlink>
    </w:p>
    <w:sectPr w:rsidR="006C09B7" w:rsidRPr="001B15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9BDAE" w14:textId="77777777" w:rsidR="00C02C5F" w:rsidRDefault="00C02C5F" w:rsidP="005B63A2">
      <w:pPr>
        <w:spacing w:after="0" w:line="240" w:lineRule="auto"/>
      </w:pPr>
      <w:r>
        <w:separator/>
      </w:r>
    </w:p>
  </w:endnote>
  <w:endnote w:type="continuationSeparator" w:id="0">
    <w:p w14:paraId="03A69862" w14:textId="77777777" w:rsidR="00C02C5F" w:rsidRDefault="00C02C5F" w:rsidP="005B63A2">
      <w:pPr>
        <w:spacing w:after="0" w:line="240" w:lineRule="auto"/>
      </w:pPr>
      <w:r>
        <w:continuationSeparator/>
      </w:r>
    </w:p>
  </w:endnote>
  <w:endnote w:type="continuationNotice" w:id="1">
    <w:p w14:paraId="598823C8" w14:textId="77777777" w:rsidR="00EE5923" w:rsidRDefault="00EE5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ED26B" w14:textId="77777777" w:rsidR="00C02C5F" w:rsidRDefault="00C02C5F" w:rsidP="005B63A2">
      <w:pPr>
        <w:spacing w:after="0" w:line="240" w:lineRule="auto"/>
      </w:pPr>
      <w:r>
        <w:separator/>
      </w:r>
    </w:p>
  </w:footnote>
  <w:footnote w:type="continuationSeparator" w:id="0">
    <w:p w14:paraId="14ECC0DB" w14:textId="77777777" w:rsidR="00C02C5F" w:rsidRDefault="00C02C5F" w:rsidP="005B63A2">
      <w:pPr>
        <w:spacing w:after="0" w:line="240" w:lineRule="auto"/>
      </w:pPr>
      <w:r>
        <w:continuationSeparator/>
      </w:r>
    </w:p>
  </w:footnote>
  <w:footnote w:type="continuationNotice" w:id="1">
    <w:p w14:paraId="69E4EDDF" w14:textId="77777777" w:rsidR="00EE5923" w:rsidRDefault="00EE59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8775C"/>
    <w:multiLevelType w:val="hybridMultilevel"/>
    <w:tmpl w:val="BBB83A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506C"/>
    <w:multiLevelType w:val="multilevel"/>
    <w:tmpl w:val="EB3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A2F81"/>
    <w:multiLevelType w:val="multilevel"/>
    <w:tmpl w:val="4494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C240D"/>
    <w:multiLevelType w:val="hybridMultilevel"/>
    <w:tmpl w:val="F1945CC4"/>
    <w:lvl w:ilvl="0" w:tplc="2FAC4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2D9"/>
    <w:multiLevelType w:val="hybridMultilevel"/>
    <w:tmpl w:val="61BE0D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94959"/>
    <w:multiLevelType w:val="multilevel"/>
    <w:tmpl w:val="560C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01249">
    <w:abstractNumId w:val="2"/>
  </w:num>
  <w:num w:numId="2" w16cid:durableId="2007203383">
    <w:abstractNumId w:val="1"/>
  </w:num>
  <w:num w:numId="3" w16cid:durableId="991256722">
    <w:abstractNumId w:val="5"/>
  </w:num>
  <w:num w:numId="4" w16cid:durableId="532232752">
    <w:abstractNumId w:val="0"/>
  </w:num>
  <w:num w:numId="5" w16cid:durableId="196430946">
    <w:abstractNumId w:val="4"/>
  </w:num>
  <w:num w:numId="6" w16cid:durableId="1345667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AA"/>
    <w:rsid w:val="0006683A"/>
    <w:rsid w:val="000F1ACE"/>
    <w:rsid w:val="00163142"/>
    <w:rsid w:val="001B1506"/>
    <w:rsid w:val="001B4A82"/>
    <w:rsid w:val="001B65A4"/>
    <w:rsid w:val="001E58F2"/>
    <w:rsid w:val="001E5C7E"/>
    <w:rsid w:val="001E71FD"/>
    <w:rsid w:val="002478B4"/>
    <w:rsid w:val="00282368"/>
    <w:rsid w:val="002C57D9"/>
    <w:rsid w:val="002F0338"/>
    <w:rsid w:val="003664C1"/>
    <w:rsid w:val="00404948"/>
    <w:rsid w:val="004B223C"/>
    <w:rsid w:val="004C7145"/>
    <w:rsid w:val="004D1B7B"/>
    <w:rsid w:val="004E0BFB"/>
    <w:rsid w:val="005227B1"/>
    <w:rsid w:val="00526853"/>
    <w:rsid w:val="00540AB3"/>
    <w:rsid w:val="005A4AEA"/>
    <w:rsid w:val="005A76D4"/>
    <w:rsid w:val="005B63A2"/>
    <w:rsid w:val="005C7485"/>
    <w:rsid w:val="005F0C4E"/>
    <w:rsid w:val="005F77C0"/>
    <w:rsid w:val="006534D9"/>
    <w:rsid w:val="00677111"/>
    <w:rsid w:val="00680D5E"/>
    <w:rsid w:val="006C09B7"/>
    <w:rsid w:val="007F27F5"/>
    <w:rsid w:val="0081722F"/>
    <w:rsid w:val="00847036"/>
    <w:rsid w:val="00852DCA"/>
    <w:rsid w:val="0085400F"/>
    <w:rsid w:val="009F5D4D"/>
    <w:rsid w:val="00A2544C"/>
    <w:rsid w:val="00A26316"/>
    <w:rsid w:val="00A6623F"/>
    <w:rsid w:val="00A9403F"/>
    <w:rsid w:val="00AA2940"/>
    <w:rsid w:val="00AC26F7"/>
    <w:rsid w:val="00AD0174"/>
    <w:rsid w:val="00BA733F"/>
    <w:rsid w:val="00BE708D"/>
    <w:rsid w:val="00C02C5F"/>
    <w:rsid w:val="00C642B3"/>
    <w:rsid w:val="00CE6B6C"/>
    <w:rsid w:val="00DE44FD"/>
    <w:rsid w:val="00DF49AA"/>
    <w:rsid w:val="00DF5E6A"/>
    <w:rsid w:val="00E07107"/>
    <w:rsid w:val="00E54A13"/>
    <w:rsid w:val="00EA081A"/>
    <w:rsid w:val="00ED2B62"/>
    <w:rsid w:val="00EE5923"/>
    <w:rsid w:val="00EE668E"/>
    <w:rsid w:val="00EF5F9D"/>
    <w:rsid w:val="00F00171"/>
    <w:rsid w:val="00F5641D"/>
    <w:rsid w:val="00FB18DD"/>
    <w:rsid w:val="00FC3172"/>
    <w:rsid w:val="00FC4E7D"/>
    <w:rsid w:val="044DF56D"/>
    <w:rsid w:val="0456BB07"/>
    <w:rsid w:val="0EECC099"/>
    <w:rsid w:val="1A0DF5E1"/>
    <w:rsid w:val="1D7FC4C5"/>
    <w:rsid w:val="1FF4897E"/>
    <w:rsid w:val="222F556D"/>
    <w:rsid w:val="22BDF467"/>
    <w:rsid w:val="2B7DC122"/>
    <w:rsid w:val="2BB3F4FC"/>
    <w:rsid w:val="2D706D30"/>
    <w:rsid w:val="320D7F30"/>
    <w:rsid w:val="345B7594"/>
    <w:rsid w:val="3DF853FD"/>
    <w:rsid w:val="3E2D522C"/>
    <w:rsid w:val="4883D4B6"/>
    <w:rsid w:val="497518EC"/>
    <w:rsid w:val="4A1FA517"/>
    <w:rsid w:val="4CDDEDBD"/>
    <w:rsid w:val="4D4B44F6"/>
    <w:rsid w:val="4F244564"/>
    <w:rsid w:val="4FDBAF50"/>
    <w:rsid w:val="52883FAC"/>
    <w:rsid w:val="5350E436"/>
    <w:rsid w:val="5BD986C8"/>
    <w:rsid w:val="5DBF781C"/>
    <w:rsid w:val="5E1B29A8"/>
    <w:rsid w:val="5F9D953F"/>
    <w:rsid w:val="5FA99EBC"/>
    <w:rsid w:val="603B136F"/>
    <w:rsid w:val="60ACF7EB"/>
    <w:rsid w:val="65857460"/>
    <w:rsid w:val="68D96110"/>
    <w:rsid w:val="6CAC211F"/>
    <w:rsid w:val="71329BE0"/>
    <w:rsid w:val="71D02092"/>
    <w:rsid w:val="785718C2"/>
    <w:rsid w:val="7A8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EAB4F"/>
  <w15:chartTrackingRefBased/>
  <w15:docId w15:val="{BE1687A3-D25F-4EF6-846C-976EB051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9A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9AA"/>
    <w:pPr>
      <w:ind w:left="720"/>
      <w:contextualSpacing/>
    </w:pPr>
  </w:style>
  <w:style w:type="table" w:styleId="TableGrid">
    <w:name w:val="Table Grid"/>
    <w:basedOn w:val="TableNormal"/>
    <w:uiPriority w:val="39"/>
    <w:rsid w:val="001B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B63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6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4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01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E5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923"/>
  </w:style>
  <w:style w:type="paragraph" w:styleId="Footer">
    <w:name w:val="footer"/>
    <w:basedOn w:val="Normal"/>
    <w:link w:val="FooterChar"/>
    <w:uiPriority w:val="99"/>
    <w:semiHidden/>
    <w:unhideWhenUsed/>
    <w:rsid w:val="00EE5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azette.gc.ca/rp-pr/p2/2021/2021-06-23/html/sor-dors124-eng.html" TargetMode="External"/><Relationship Id="rId18" Type="http://schemas.openxmlformats.org/officeDocument/2006/relationships/hyperlink" Target="https://www.gazette.gc.ca/rp-pr/p2/2021/2021-03-17/html/sor-dors27-eng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azette.gc.ca/rp-pr/p2/2021/2021-07-07/html/sor-dors147-eng.html" TargetMode="External"/><Relationship Id="rId17" Type="http://schemas.openxmlformats.org/officeDocument/2006/relationships/hyperlink" Target="https://www.gazette.gc.ca/rp-pr/p2/2021/2021-03-31/html/sor-dors46-eng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azette.gc.ca/rp-pr/p2/2021/2021-05-12/html/sor-dors91-eng.html" TargetMode="External"/><Relationship Id="rId20" Type="http://schemas.openxmlformats.org/officeDocument/2006/relationships/hyperlink" Target="https://www.gazette.gc.ca/rp-pr/p2/2020/2020-11-25/html/sor-dors239-eng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zette.gc.ca/rp-pr/p2/2021/2021-07-07/html/sor-dors152-eng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azette.gc.ca/rp-pr/p2/2021/2021-06-09/html/sor-dors115-eng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azette.gc.ca/rp-pr/p2/2020/2020-11-25/html/sor-dors240-eng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azette.gc.ca/rp-pr/p2/2021/2021-06-09/html/sor-dors119-eng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1b81db-45b0-45c4-aed9-9f08306c2b68">
      <UserInfo>
        <DisplayName>RAS-OPS-CORE-CORE_SAR-OPS-CCR-CCR Members</DisplayName>
        <AccountId>584</AccountId>
        <AccountType/>
      </UserInfo>
      <UserInfo>
        <DisplayName>Kerluke, Tracy</DisplayName>
        <AccountId>27</AccountId>
        <AccountType/>
      </UserInfo>
      <UserInfo>
        <DisplayName>Hughes, Caitlin (she/her, elle)</DisplayName>
        <AccountId>23</AccountId>
        <AccountType/>
      </UserInfo>
    </SharedWithUsers>
    <_dlc_DocId xmlns="8a1b81db-45b0-45c4-aed9-9f08306c2b68">5DAVXESCR4HP-783753278-118</_dlc_DocId>
    <_dlc_DocIdUrl xmlns="8a1b81db-45b0-45c4-aed9-9f08306c2b68">
      <Url>https://056gc.sharepoint.com/sites/RAS-H_SAR-A/_layouts/15/DocIdRedir.aspx?ID=5DAVXESCR4HP-783753278-118</Url>
      <Description>5DAVXESCR4HP-783753278-118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4D82C3C22E74092EF16CD1967C082" ma:contentTypeVersion="7" ma:contentTypeDescription="Create a new document." ma:contentTypeScope="" ma:versionID="96495dcd119c29c188fa7ce092a381d1">
  <xsd:schema xmlns:xsd="http://www.w3.org/2001/XMLSchema" xmlns:xs="http://www.w3.org/2001/XMLSchema" xmlns:p="http://schemas.microsoft.com/office/2006/metadata/properties" xmlns:ns2="8a1b81db-45b0-45c4-aed9-9f08306c2b68" xmlns:ns3="1f9a98be-96d9-4821-84b5-440ae735ce25" targetNamespace="http://schemas.microsoft.com/office/2006/metadata/properties" ma:root="true" ma:fieldsID="d2f636ade4ef4f32f9f82da8d639bb75" ns2:_="" ns3:_="">
    <xsd:import namespace="8a1b81db-45b0-45c4-aed9-9f08306c2b68"/>
    <xsd:import namespace="1f9a98be-96d9-4821-84b5-440ae735ce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81db-45b0-45c4-aed9-9f08306c2b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a98be-96d9-4821-84b5-440ae735c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2423B-9B24-4F30-AA54-F77463AE4B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DE1BA4-E320-4601-981F-42F83893C502}">
  <ds:schemaRefs>
    <ds:schemaRef ds:uri="http://purl.org/dc/terms/"/>
    <ds:schemaRef ds:uri="http://purl.org/dc/dcmitype/"/>
    <ds:schemaRef ds:uri="8a1b81db-45b0-45c4-aed9-9f08306c2b6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9a98be-96d9-4821-84b5-440ae735ce25"/>
  </ds:schemaRefs>
</ds:datastoreItem>
</file>

<file path=customXml/itemProps3.xml><?xml version="1.0" encoding="utf-8"?>
<ds:datastoreItem xmlns:ds="http://schemas.openxmlformats.org/officeDocument/2006/customXml" ds:itemID="{F03151D3-1678-4260-9065-9BB6CF3DD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b81db-45b0-45c4-aed9-9f08306c2b68"/>
    <ds:schemaRef ds:uri="1f9a98be-96d9-4821-84b5-440ae735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3F034-DC61-40F4-B255-F687BE70D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Jansz, Kimberly</dc:creator>
  <cp:keywords/>
  <dc:description/>
  <cp:lastModifiedBy>Hughes, Caitlin (she/her, elle)</cp:lastModifiedBy>
  <cp:revision>2</cp:revision>
  <dcterms:created xsi:type="dcterms:W3CDTF">2025-01-22T19:22:00Z</dcterms:created>
  <dcterms:modified xsi:type="dcterms:W3CDTF">2025-01-22T19:22:00Z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2021-07-30T02:11:50Z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62528430-35c3-46a6-8da5-7cf2e216ec98</vt:lpwstr>
  </property>
  <property fmtid="{D5CDD505-2E9C-101B-9397-08002B2CF9AE}" pid="8" name="MSIP_Label_3515d617-256d-4284-aedb-1064be1c4b48_ContentBits">
    <vt:lpwstr>0</vt:lpwstr>
  </property>
  <property fmtid="{D5CDD505-2E9C-101B-9397-08002B2CF9AE}" pid="9" name="ContentTypeId">
    <vt:lpwstr>0x0101003DB4D82C3C22E74092EF16CD1967C082</vt:lpwstr>
  </property>
  <property fmtid="{D5CDD505-2E9C-101B-9397-08002B2CF9AE}" pid="10" name="Order">
    <vt:r8>157200</vt:r8>
  </property>
  <property fmtid="{D5CDD505-2E9C-101B-9397-08002B2CF9AE}" pid="11" name="ComplianceAssetId">
    <vt:lpwstr/>
  </property>
  <property fmtid="{D5CDD505-2E9C-101B-9397-08002B2CF9AE}" pid="12" name="_activity">
    <vt:lpwstr>{"FileActivityType":"9","FileActivityTimeStamp":"2024-01-16T17:12:13.513Z","FileActivityUsersOnPage":[{"DisplayName":"Hughes, Caitlin (she/her, elle)","Id":"chughes@tbs-sct.gc.ca"},{"DisplayName":"Kerluke, Tracy","Id":"tkerluke@tbs-sct.gc.ca"},{"DisplayName":"Hughes, Caitlin (she/her, elle)","Id":"chughes@tbs-sct.gc.ca"}],"FileActivityNavigationId":null}</vt:lpwstr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dlc_DocIdItemGuid">
    <vt:lpwstr>c67029a2-0aa2-4d22-8da8-ac62c0d89746</vt:lpwstr>
  </property>
</Properties>
</file>