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D4BC" w14:textId="77777777" w:rsidR="00993D1D" w:rsidRPr="00B55A34" w:rsidRDefault="00993D1D" w:rsidP="00993D1D">
      <w:pPr>
        <w:rPr>
          <w:rFonts w:ascii="Arial" w:hAnsi="Arial" w:cs="Arial"/>
          <w:b/>
          <w:sz w:val="20"/>
          <w:szCs w:val="20"/>
        </w:rPr>
      </w:pPr>
      <w:r w:rsidRPr="00B55A34">
        <w:rPr>
          <w:rFonts w:ascii="Arial" w:hAnsi="Arial" w:cs="Arial"/>
          <w:b/>
          <w:sz w:val="20"/>
          <w:szCs w:val="20"/>
        </w:rPr>
        <w:t>Avant de commencer</w:t>
      </w:r>
    </w:p>
    <w:p w14:paraId="165EEE44" w14:textId="77777777" w:rsidR="00993D1D" w:rsidRPr="00B55A34" w:rsidRDefault="00993D1D" w:rsidP="00993D1D">
      <w:pPr>
        <w:pStyle w:val="ListParagraph"/>
        <w:numPr>
          <w:ilvl w:val="0"/>
          <w:numId w:val="20"/>
        </w:numPr>
        <w:ind w:left="501"/>
        <w:rPr>
          <w:rFonts w:ascii="Arial" w:hAnsi="Arial" w:cs="Arial"/>
          <w:i/>
          <w:noProof/>
          <w:sz w:val="18"/>
          <w:szCs w:val="18"/>
          <w:lang w:val="fr-CA"/>
        </w:rPr>
      </w:pPr>
      <w:r w:rsidRPr="00B55A34">
        <w:rPr>
          <w:rFonts w:ascii="Arial" w:hAnsi="Arial" w:cs="Arial"/>
          <w:noProof/>
          <w:sz w:val="18"/>
          <w:szCs w:val="18"/>
          <w:lang w:val="fr-CA"/>
        </w:rPr>
        <w:t xml:space="preserve">L’ameublement fait partie des biens et services visés par les dispositions énoncées dans l’article </w:t>
      </w:r>
      <w:r w:rsidRPr="00B55A34">
        <w:rPr>
          <w:rStyle w:val="Hyperlink"/>
          <w:rFonts w:ascii="Arial" w:hAnsi="Arial" w:cs="Arial"/>
          <w:noProof/>
          <w:sz w:val="18"/>
          <w:szCs w:val="18"/>
          <w:lang w:val="fr-CA"/>
        </w:rPr>
        <w:t>3.5.1 Offres à commandes et arrangements en matière d’approvisionnement obligatoires</w:t>
      </w:r>
      <w:r w:rsidRPr="00B55A34">
        <w:rPr>
          <w:rFonts w:ascii="Arial" w:hAnsi="Arial" w:cs="Arial"/>
          <w:noProof/>
          <w:sz w:val="18"/>
          <w:szCs w:val="18"/>
          <w:lang w:val="fr-CA"/>
        </w:rPr>
        <w:t xml:space="preserve"> du Guide des approvisionnements sur </w:t>
      </w:r>
      <w:hyperlink r:id="rId7" w:history="1">
        <w:r>
          <w:rPr>
            <w:rStyle w:val="Hyperlink"/>
            <w:rFonts w:ascii="Arial" w:hAnsi="Arial" w:cs="Arial"/>
            <w:noProof/>
            <w:sz w:val="18"/>
            <w:szCs w:val="18"/>
            <w:lang w:val="fr-CA"/>
          </w:rPr>
          <w:t>achatsetventes.gc.ca</w:t>
        </w:r>
      </w:hyperlink>
    </w:p>
    <w:p w14:paraId="52E7627F" w14:textId="77777777" w:rsidR="00993D1D" w:rsidRPr="00BA3B6B" w:rsidRDefault="00993D1D" w:rsidP="00993D1D">
      <w:pPr>
        <w:pStyle w:val="ListParagraph"/>
        <w:numPr>
          <w:ilvl w:val="0"/>
          <w:numId w:val="20"/>
        </w:numPr>
        <w:ind w:left="516"/>
        <w:rPr>
          <w:rStyle w:val="Hyperlink"/>
          <w:rFonts w:ascii="Arial" w:hAnsi="Arial" w:cs="Arial"/>
          <w:noProof/>
          <w:color w:val="auto"/>
          <w:sz w:val="18"/>
          <w:szCs w:val="18"/>
          <w:lang w:val="fr-CA"/>
        </w:rPr>
      </w:pPr>
      <w:r w:rsidRPr="00B55A34">
        <w:rPr>
          <w:rFonts w:ascii="Arial" w:hAnsi="Arial" w:cs="Arial"/>
          <w:noProof/>
          <w:sz w:val="18"/>
          <w:szCs w:val="18"/>
          <w:lang w:val="fr-CA"/>
        </w:rPr>
        <w:t xml:space="preserve">Quels sont les produits disponibles visés par les arrangements en matière d’approvisionnement (AMA)? Veuillez consulter le Sommaire de produit par catégorie, qui s’affiche à côté de chaque outil de recherche du client (ORC) sur le </w:t>
      </w:r>
      <w:r w:rsidRPr="005274A2">
        <w:rPr>
          <w:rFonts w:ascii="Arial" w:hAnsi="Arial" w:cs="Arial"/>
          <w:b/>
          <w:noProof/>
          <w:sz w:val="18"/>
          <w:szCs w:val="18"/>
          <w:lang w:val="fr-CA"/>
        </w:rPr>
        <w:t xml:space="preserve">site Web de </w:t>
      </w:r>
      <w:r w:rsidRPr="00BA3B6B">
        <w:rPr>
          <w:rFonts w:ascii="Arial" w:hAnsi="Arial" w:cs="Arial"/>
          <w:b/>
          <w:noProof/>
          <w:sz w:val="18"/>
          <w:szCs w:val="18"/>
          <w:lang w:val="fr-CA"/>
        </w:rPr>
        <w:t>l’Ameublement</w:t>
      </w:r>
      <w:r w:rsidRPr="00BA3B6B">
        <w:rPr>
          <w:rFonts w:ascii="Arial" w:hAnsi="Arial" w:cs="Arial"/>
          <w:noProof/>
          <w:sz w:val="18"/>
          <w:szCs w:val="18"/>
          <w:lang w:val="fr-CA"/>
        </w:rPr>
        <w:t xml:space="preserve"> : </w:t>
      </w:r>
      <w:hyperlink r:id="rId8" w:history="1">
        <w:r w:rsidRPr="00BA3B6B">
          <w:rPr>
            <w:rStyle w:val="Hyperlink"/>
            <w:rFonts w:ascii="Arial" w:hAnsi="Arial" w:cs="Arial"/>
            <w:noProof/>
            <w:sz w:val="18"/>
            <w:szCs w:val="18"/>
            <w:lang w:val="fr-CA"/>
          </w:rPr>
          <w:t>http://www.gcpedia.gc.ca/wiki/Mobilier_de_bureau</w:t>
        </w:r>
      </w:hyperlink>
      <w:r w:rsidRPr="00BA3B6B">
        <w:rPr>
          <w:rFonts w:ascii="Arial" w:hAnsi="Arial" w:cs="Arial"/>
          <w:noProof/>
          <w:sz w:val="18"/>
          <w:szCs w:val="18"/>
          <w:lang w:val="fr-CA"/>
        </w:rPr>
        <w:t xml:space="preserve"> </w:t>
      </w:r>
    </w:p>
    <w:p w14:paraId="69FD0A63" w14:textId="22782D67" w:rsidR="00D525A3" w:rsidRPr="00993D1D" w:rsidRDefault="00993D1D" w:rsidP="00993D1D">
      <w:pPr>
        <w:pStyle w:val="ListParagraph"/>
        <w:numPr>
          <w:ilvl w:val="0"/>
          <w:numId w:val="20"/>
        </w:numPr>
        <w:ind w:left="516"/>
        <w:rPr>
          <w:rStyle w:val="Hyperlink"/>
          <w:rFonts w:ascii="Arial" w:hAnsi="Arial" w:cs="Arial"/>
          <w:color w:val="auto"/>
          <w:sz w:val="18"/>
          <w:szCs w:val="18"/>
          <w:lang w:val="fr-CA"/>
        </w:rPr>
      </w:pPr>
      <w:r w:rsidRPr="00B55A34">
        <w:rPr>
          <w:rFonts w:ascii="Arial" w:hAnsi="Arial" w:cs="Arial"/>
          <w:sz w:val="18"/>
          <w:szCs w:val="18"/>
          <w:lang w:val="fr-CA"/>
        </w:rPr>
        <w:t>Ce marché est-il réservé aux termes de la Stratégie des approvisionnements auprès des entreprises autochtones (SAEA)?</w:t>
      </w:r>
    </w:p>
    <w:p w14:paraId="02414A19" w14:textId="566EB2A3" w:rsidR="00016137" w:rsidRPr="00127F67" w:rsidRDefault="00D525A3" w:rsidP="00016137">
      <w:pPr>
        <w:rPr>
          <w:rFonts w:ascii="Arial" w:hAnsi="Arial" w:cs="Arial"/>
          <w:b/>
          <w:sz w:val="20"/>
          <w:szCs w:val="20"/>
        </w:rPr>
      </w:pPr>
      <w:r w:rsidRPr="00993D1D">
        <w:rPr>
          <w:rFonts w:ascii="Arial" w:hAnsi="Arial" w:cs="Arial"/>
          <w:b/>
          <w:sz w:val="20"/>
          <w:szCs w:val="20"/>
        </w:rPr>
        <w:t>Comment acheter du mobilier</w:t>
      </w:r>
      <w:r w:rsidR="00016137" w:rsidRPr="00993D1D">
        <w:rPr>
          <w:rFonts w:ascii="Arial" w:hAnsi="Arial" w:cs="Arial"/>
          <w:b/>
          <w:sz w:val="20"/>
          <w:szCs w:val="20"/>
        </w:rPr>
        <w:t>?</w:t>
      </w:r>
    </w:p>
    <w:tbl>
      <w:tblPr>
        <w:tblStyle w:val="TableGrid"/>
        <w:tblpPr w:leftFromText="180" w:rightFromText="180" w:vertAnchor="page" w:horzAnchor="page" w:tblpX="134" w:tblpY="3620"/>
        <w:tblW w:w="10768" w:type="dxa"/>
        <w:tblLook w:val="04A0" w:firstRow="1" w:lastRow="0" w:firstColumn="1" w:lastColumn="0" w:noHBand="0" w:noVBand="1"/>
      </w:tblPr>
      <w:tblGrid>
        <w:gridCol w:w="5244"/>
        <w:gridCol w:w="5524"/>
      </w:tblGrid>
      <w:tr w:rsidR="00993D1D" w:rsidRPr="00777FA2" w14:paraId="03075E23" w14:textId="77777777" w:rsidTr="00993D1D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AF8" w14:textId="77777777" w:rsidR="00993D1D" w:rsidRPr="00127F67" w:rsidRDefault="00993D1D" w:rsidP="00993D1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 xml:space="preserve">Définir le besoin et déterminer la valeur estimative </w:t>
            </w:r>
          </w:p>
        </w:tc>
      </w:tr>
      <w:tr w:rsidR="00993D1D" w:rsidRPr="00777FA2" w14:paraId="35495230" w14:textId="77777777" w:rsidTr="00993D1D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9E0" w14:textId="77777777" w:rsidR="00993D1D" w:rsidRPr="00127F67" w:rsidRDefault="00993D1D" w:rsidP="00993D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>Trouvez les produits visés par l’AMA :</w:t>
            </w:r>
          </w:p>
          <w:p w14:paraId="105A42F5" w14:textId="77777777" w:rsidR="00993D1D" w:rsidRPr="00127F67" w:rsidRDefault="00993D1D" w:rsidP="00993D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1C76D8B" w14:textId="77777777" w:rsidR="00993D1D" w:rsidRPr="00127F67" w:rsidRDefault="00993D1D" w:rsidP="00993D1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93D1D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>Outil de recherche du client (site Web de l’Ameublement) :</w:t>
            </w:r>
            <w:r w:rsidRPr="0028694A"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  <w:lang w:val="fr-CA"/>
              </w:rPr>
              <w:t xml:space="preserve"> </w:t>
            </w:r>
            <w:r w:rsidRPr="00127F67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  <w:t xml:space="preserve">– </w:t>
            </w: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 xml:space="preserve">Cet outil comprend un onglet avec des directives. Il fournit une estimation de la valeur d’un marché et permet de confirmer 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>si les produits sont sur l’</w:t>
            </w: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 xml:space="preserve">AMA. Il donne également le code générique du produit (CIUGDC). 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Ce code est utilisé pour </w:t>
            </w: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>soumissions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 des offres.</w:t>
            </w:r>
          </w:p>
          <w:p w14:paraId="0AC264B6" w14:textId="77777777" w:rsidR="00993D1D" w:rsidRPr="00127F67" w:rsidRDefault="00993D1D" w:rsidP="00993D1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b/>
                <w:sz w:val="18"/>
                <w:szCs w:val="18"/>
                <w:u w:val="single"/>
                <w:lang w:val="fr-CA"/>
              </w:rPr>
              <w:t>Produits qui ne figurent pas dans l’AMA</w:t>
            </w: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>- Les Produits qui ne figurent pas dans l’AMA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 peuvent être ajoutés aux invitations à soumissionner en vertu de l'AMA, reportez-vous à l’invitation</w:t>
            </w:r>
            <w:r w:rsidRPr="00127F67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  <w:t xml:space="preserve"> à soumissionner ordinaire 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et à la partie 6B.4, article 4.1 de l'AMA. Les utilisateurs peuvent contacter </w:t>
            </w: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 xml:space="preserve">notre </w:t>
            </w:r>
            <w:hyperlink r:id="rId9" w:history="1">
              <w:r w:rsidRPr="00127F67">
                <w:rPr>
                  <w:rStyle w:val="Hyperlink"/>
                  <w:rFonts w:ascii="Arial" w:hAnsi="Arial" w:cs="Arial"/>
                  <w:sz w:val="18"/>
                  <w:szCs w:val="18"/>
                  <w:lang w:val="fr-CA"/>
                </w:rPr>
                <w:t>boîte de messagerie générale</w:t>
              </w:r>
            </w:hyperlink>
            <w:r w:rsidRPr="00127F67">
              <w:rPr>
                <w:rStyle w:val="Hyperlink"/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>avec les informations sur le produit pour obtenir des conseils.</w:t>
            </w:r>
          </w:p>
          <w:p w14:paraId="5E9E4D4B" w14:textId="77777777" w:rsidR="00993D1D" w:rsidRPr="00127F67" w:rsidRDefault="00993D1D" w:rsidP="00993D1D">
            <w:pPr>
              <w:pStyle w:val="ListParagrap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7A081268" w14:textId="77777777" w:rsidR="00993D1D" w:rsidRPr="00127F67" w:rsidRDefault="00993D1D" w:rsidP="00993D1D">
            <w:pPr>
              <w:rPr>
                <w:rFonts w:ascii="Arial" w:hAnsi="Arial" w:cs="Arial"/>
                <w:i/>
                <w:color w:val="0000FF"/>
                <w:sz w:val="18"/>
                <w:szCs w:val="18"/>
                <w:u w:val="single"/>
                <w:lang w:val="fr-CA"/>
              </w:rPr>
            </w:pP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>Les utilisateurs peuvent consulter le tableau de renseignements des fournisseurs pour déterminer quels fournisseurs offrent les catégories en fonction de leurs besoins en utilisant ce qui suit :</w:t>
            </w:r>
          </w:p>
          <w:p w14:paraId="22B709A8" w14:textId="77777777" w:rsidR="00993D1D" w:rsidRPr="00993D1D" w:rsidRDefault="00993D1D" w:rsidP="00993D1D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</w:pPr>
            <w:r w:rsidRPr="00993D1D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 xml:space="preserve">Tableau de renseignements des fournisseurs (site Web de l’Ameublement) : </w:t>
            </w:r>
          </w:p>
          <w:p w14:paraId="62FA3ED5" w14:textId="5BDB6C50" w:rsidR="00993D1D" w:rsidRPr="000A1129" w:rsidRDefault="000A1129" w:rsidP="00993D1D">
            <w:pPr>
              <w:pStyle w:val="ListParagrap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129">
              <w:rPr>
                <w:rFonts w:ascii="Arial" w:hAnsi="Arial" w:cs="Arial"/>
                <w:sz w:val="18"/>
                <w:szCs w:val="18"/>
                <w:lang w:val="fr-CA"/>
              </w:rPr>
              <w:t xml:space="preserve">Ce tableau contient la liste complète des détenteurs d’un AMA incluant les coordonnées de chacun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et le lien vers leur site web. </w:t>
            </w:r>
            <w:r w:rsidRPr="000A1129">
              <w:rPr>
                <w:rFonts w:ascii="Arial" w:hAnsi="Arial" w:cs="Arial"/>
                <w:sz w:val="18"/>
                <w:szCs w:val="18"/>
                <w:lang w:val="fr-CA"/>
              </w:rPr>
              <w:t>Vous y trouverez également la liste des catégories offertes par fournisseur ainsi que le lien vers l’application OCAMA ou vous trouverez les prix et la liste de produits.</w:t>
            </w:r>
          </w:p>
        </w:tc>
      </w:tr>
      <w:tr w:rsidR="00993D1D" w:rsidRPr="00777FA2" w14:paraId="0F456BAD" w14:textId="77777777" w:rsidTr="00993D1D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8FD" w14:textId="3DFF235E" w:rsidR="00993D1D" w:rsidRPr="00127F67" w:rsidRDefault="00993D1D" w:rsidP="00993D1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>Suivre le processus par Palier</w:t>
            </w:r>
          </w:p>
        </w:tc>
      </w:tr>
      <w:tr w:rsidR="00993D1D" w:rsidRPr="00127F67" w14:paraId="2AAA0626" w14:textId="77777777" w:rsidTr="00993D1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68C" w14:textId="6D8BE360" w:rsidR="00993D1D" w:rsidRPr="00127F67" w:rsidRDefault="00993D1D" w:rsidP="00993D1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Valeur estimée entre </w:t>
            </w:r>
            <w:r w:rsidRPr="00127F67">
              <w:rPr>
                <w:rFonts w:ascii="Arial" w:hAnsi="Arial" w:cs="Arial"/>
                <w:b/>
                <w:color w:val="222222"/>
                <w:sz w:val="18"/>
                <w:szCs w:val="18"/>
                <w:lang w:val="fr-FR"/>
              </w:rPr>
              <w:t>25 000,00 $ - 399 999,99 $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CBC" w14:textId="77777777" w:rsidR="00993D1D" w:rsidRPr="00127F67" w:rsidRDefault="00993D1D" w:rsidP="00993D1D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27F67">
              <w:rPr>
                <w:rFonts w:ascii="Arial" w:hAnsi="Arial" w:cs="Arial"/>
                <w:color w:val="222222"/>
                <w:sz w:val="18"/>
                <w:szCs w:val="18"/>
                <w:lang w:val="fr-FR"/>
              </w:rPr>
              <w:t xml:space="preserve">Valeur estimée </w:t>
            </w:r>
            <w:r w:rsidRPr="00127F67">
              <w:rPr>
                <w:rFonts w:ascii="Arial" w:hAnsi="Arial" w:cs="Arial"/>
                <w:b/>
                <w:color w:val="222222"/>
                <w:sz w:val="18"/>
                <w:szCs w:val="18"/>
                <w:lang w:val="fr-FR"/>
              </w:rPr>
              <w:t>400 000,00 $ +</w:t>
            </w:r>
          </w:p>
        </w:tc>
      </w:tr>
    </w:tbl>
    <w:p w14:paraId="35961A43" w14:textId="3A7154D8" w:rsidR="00016137" w:rsidRPr="00A76E90" w:rsidRDefault="00993D1D" w:rsidP="00993D1D">
      <w:pPr>
        <w:pStyle w:val="ListParagraph"/>
        <w:rPr>
          <w:rFonts w:ascii="Arial" w:hAnsi="Arial" w:cs="Arial"/>
          <w:sz w:val="20"/>
          <w:szCs w:val="20"/>
          <w:highlight w:val="magenta"/>
          <w:lang w:val="fr-CA"/>
        </w:rPr>
      </w:pPr>
      <w:r w:rsidRPr="00127F67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53349" wp14:editId="6F0720F9">
                <wp:simplePos x="0" y="0"/>
                <wp:positionH relativeFrom="column">
                  <wp:posOffset>5180161</wp:posOffset>
                </wp:positionH>
                <wp:positionV relativeFrom="paragraph">
                  <wp:posOffset>2561317</wp:posOffset>
                </wp:positionV>
                <wp:extent cx="289560" cy="230505"/>
                <wp:effectExtent l="19050" t="0" r="15240" b="3619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30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76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407.9pt;margin-top:201.7pt;width:22.8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" adj="10800" fillcolor="#5b9bd5 [3204]" strokecolor="#1f4d78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9" w:tblpY="4152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11645E" w:rsidRPr="00777FA2" w14:paraId="0D69A097" w14:textId="77777777" w:rsidTr="00993D1D">
        <w:tc>
          <w:tcPr>
            <w:tcW w:w="5240" w:type="dxa"/>
          </w:tcPr>
          <w:p w14:paraId="1D1D9DD9" w14:textId="7F5BAA7A" w:rsidR="0011645E" w:rsidRPr="00274171" w:rsidRDefault="0011645E" w:rsidP="00993D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2a. </w:t>
            </w:r>
            <w:r w:rsidR="00274171" w:rsidRPr="00274171">
              <w:rPr>
                <w:rFonts w:ascii="Arial" w:hAnsi="Arial" w:cs="Arial"/>
                <w:sz w:val="18"/>
                <w:szCs w:val="18"/>
                <w:lang w:val="fr-CA"/>
              </w:rPr>
              <w:t>Préparer et publier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 les documents d’invitation à soumissionner</w:t>
            </w:r>
          </w:p>
        </w:tc>
        <w:tc>
          <w:tcPr>
            <w:tcW w:w="5528" w:type="dxa"/>
          </w:tcPr>
          <w:p w14:paraId="143D4415" w14:textId="5314A66A" w:rsidR="0011645E" w:rsidRPr="00274171" w:rsidRDefault="0011645E" w:rsidP="00993D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2b. Préparer et envoyer une demande avec preuve de fonds</w:t>
            </w:r>
          </w:p>
        </w:tc>
      </w:tr>
      <w:tr w:rsidR="0011645E" w:rsidRPr="00777FA2" w14:paraId="47239955" w14:textId="77777777" w:rsidTr="00993D1D">
        <w:trPr>
          <w:trHeight w:val="2750"/>
        </w:trPr>
        <w:tc>
          <w:tcPr>
            <w:tcW w:w="5240" w:type="dxa"/>
          </w:tcPr>
          <w:p w14:paraId="284274DC" w14:textId="4078E2BE" w:rsidR="0011645E" w:rsidRPr="00274171" w:rsidRDefault="0011645E" w:rsidP="00993D1D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Remplir une </w:t>
            </w:r>
            <w:r w:rsidR="00274171"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Invitation à soumissionner 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standard et un avis de projet de marché (APM) </w:t>
            </w:r>
            <w:r w:rsidR="007F7389" w:rsidRPr="00274171">
              <w:rPr>
                <w:rFonts w:ascii="Arial" w:hAnsi="Arial" w:cs="Arial"/>
                <w:sz w:val="18"/>
                <w:szCs w:val="18"/>
                <w:lang w:val="fr-CA"/>
              </w:rPr>
              <w:t>à partir de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 la section des modèles sur le site Web d</w:t>
            </w:r>
            <w:r w:rsidR="007F7389" w:rsidRPr="00274171">
              <w:rPr>
                <w:rFonts w:ascii="Arial" w:hAnsi="Arial" w:cs="Arial"/>
                <w:sz w:val="18"/>
                <w:szCs w:val="18"/>
                <w:lang w:val="fr-CA"/>
              </w:rPr>
              <w:t>e l’Ameublement</w:t>
            </w:r>
          </w:p>
          <w:p w14:paraId="1889D1A6" w14:textId="688F7FC2" w:rsidR="0011645E" w:rsidRPr="00274171" w:rsidRDefault="0011645E" w:rsidP="00993D1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</w:pPr>
            <w:r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  <w:t xml:space="preserve">Important : Indiquer les quantités et les codes CIUGdC pour les produits appartenant aux catégories 1b-6 dans l’Annexe A, et remplir l’Annexe C pour la catégorie 1a qui comprend les plans d’étage et </w:t>
            </w:r>
            <w:r w:rsidR="00274171"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  <w:t>les autres documents dans la L’IAS</w:t>
            </w:r>
            <w:r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fr-CA"/>
              </w:rPr>
              <w:t>.</w:t>
            </w:r>
          </w:p>
          <w:p w14:paraId="7A3C89D8" w14:textId="5FAB6737" w:rsidR="0011645E" w:rsidRPr="00274171" w:rsidRDefault="0011645E" w:rsidP="00993D1D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  <w:lang w:val="fr-CA"/>
              </w:rPr>
            </w:pPr>
          </w:p>
          <w:p w14:paraId="7F811AAD" w14:textId="1DE48EC5" w:rsidR="0011645E" w:rsidRPr="00274171" w:rsidRDefault="0011645E" w:rsidP="00993D1D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</w:pPr>
            <w:r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lang w:val="fr-CA"/>
              </w:rPr>
              <w:t>Aff</w:t>
            </w:r>
            <w:r w:rsidR="00274171"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lang w:val="fr-CA"/>
              </w:rPr>
              <w:t>icher l’APM et l’invitation (IAS</w:t>
            </w:r>
            <w:r w:rsidRPr="00274171">
              <w:rPr>
                <w:rStyle w:val="Hyperlink"/>
                <w:rFonts w:ascii="Arial" w:hAnsi="Arial" w:cs="Arial"/>
                <w:color w:val="auto"/>
                <w:sz w:val="18"/>
                <w:szCs w:val="18"/>
                <w:lang w:val="fr-CA"/>
              </w:rPr>
              <w:t xml:space="preserve">) sur achatsetventes.gc.ca </w:t>
            </w:r>
          </w:p>
          <w:p w14:paraId="11E4C7FD" w14:textId="16D513CB" w:rsidR="0011645E" w:rsidRPr="00274171" w:rsidRDefault="0011645E" w:rsidP="00993D1D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274171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 xml:space="preserve">La durée minimale de la période de l’invitation à </w:t>
            </w:r>
            <w:r w:rsidR="00275688" w:rsidRPr="00274171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>soumissionner</w:t>
            </w:r>
            <w:r w:rsidRPr="00274171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 xml:space="preserve"> est de 10 jours civils.</w:t>
            </w:r>
          </w:p>
        </w:tc>
        <w:tc>
          <w:tcPr>
            <w:tcW w:w="5528" w:type="dxa"/>
          </w:tcPr>
          <w:p w14:paraId="10D8FF64" w14:textId="60E088FA" w:rsidR="0011645E" w:rsidRPr="00274171" w:rsidRDefault="0011645E" w:rsidP="00993D1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Acheminer la demande avec preuve de fonds à Services publics et Approvisionnement Canada (SPAC) – Direction centrale d’attribution, avec les documents suivants : </w:t>
            </w:r>
          </w:p>
          <w:p w14:paraId="6FCA67EE" w14:textId="77777777" w:rsidR="0011645E" w:rsidRPr="00274171" w:rsidRDefault="0011645E" w:rsidP="00993D1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Marché réservé pour la SAEA ou approvisionnement d’ordre général?</w:t>
            </w:r>
          </w:p>
          <w:p w14:paraId="4302160A" w14:textId="6F26F1D4" w:rsidR="0011645E" w:rsidRPr="00274171" w:rsidRDefault="0011645E" w:rsidP="00993D1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Liste de tous les codes CIUGdC et quantités pour les catégories 1b-6</w:t>
            </w:r>
          </w:p>
          <w:p w14:paraId="42144BC9" w14:textId="7516EDDF" w:rsidR="0011645E" w:rsidRPr="00274171" w:rsidRDefault="0011645E" w:rsidP="00993D1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Plans d’étage et tous les autres renseignements nécessaires d’après l’Annexe C </w:t>
            </w:r>
            <w:r w:rsidR="00274171" w:rsidRPr="00274171">
              <w:rPr>
                <w:rFonts w:ascii="Arial" w:hAnsi="Arial" w:cs="Arial"/>
                <w:sz w:val="18"/>
                <w:szCs w:val="18"/>
                <w:lang w:val="fr-CA"/>
              </w:rPr>
              <w:t>de l’IAS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 pour la catégorie 1a.</w:t>
            </w:r>
          </w:p>
          <w:p w14:paraId="1FAC22CE" w14:textId="77777777" w:rsidR="0011645E" w:rsidRPr="00274171" w:rsidRDefault="0011645E" w:rsidP="00993D1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9C008F0" w14:textId="21937D9B" w:rsidR="0011645E" w:rsidRPr="00274171" w:rsidRDefault="0011645E" w:rsidP="00993D1D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i/>
                <w:sz w:val="18"/>
                <w:szCs w:val="18"/>
                <w:lang w:val="fr-CA"/>
              </w:rPr>
              <w:t>**SPAC AB/AP suit les étapes 2a et 3a**</w:t>
            </w:r>
          </w:p>
        </w:tc>
      </w:tr>
    </w:tbl>
    <w:p w14:paraId="5A7A53EE" w14:textId="4E07B2FA" w:rsidR="00016137" w:rsidRPr="00274171" w:rsidRDefault="00EB62FA" w:rsidP="00016137">
      <w:pPr>
        <w:rPr>
          <w:rFonts w:ascii="Arial" w:hAnsi="Arial" w:cs="Arial"/>
          <w:sz w:val="20"/>
          <w:szCs w:val="20"/>
          <w:lang w:val="fr-CA"/>
        </w:rPr>
      </w:pPr>
      <w:r w:rsidRPr="0027417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6C0B" wp14:editId="560F890E">
                <wp:simplePos x="0" y="0"/>
                <wp:positionH relativeFrom="column">
                  <wp:posOffset>652946</wp:posOffset>
                </wp:positionH>
                <wp:positionV relativeFrom="paragraph">
                  <wp:posOffset>4817275</wp:posOffset>
                </wp:positionV>
                <wp:extent cx="241161" cy="231112"/>
                <wp:effectExtent l="19050" t="0" r="26035" b="3619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1" cy="2311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7A31" id="Down Arrow 6" o:spid="_x0000_s1026" type="#_x0000_t67" style="position:absolute;margin-left:51.4pt;margin-top:379.3pt;width:1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" adj="10800" fillcolor="#5b9bd5 [3204]" strokecolor="#1f4d78 [1604]" strokeweight="1pt"/>
            </w:pict>
          </mc:Fallback>
        </mc:AlternateContent>
      </w:r>
    </w:p>
    <w:p w14:paraId="6E958FDA" w14:textId="2E9E6583" w:rsidR="005E32A1" w:rsidRPr="00274171" w:rsidRDefault="00832550" w:rsidP="005E32A1">
      <w:pPr>
        <w:rPr>
          <w:rFonts w:ascii="Arial" w:hAnsi="Arial" w:cs="Arial"/>
          <w:i/>
          <w:sz w:val="18"/>
          <w:szCs w:val="18"/>
          <w:lang w:val="fr-CA"/>
        </w:rPr>
      </w:pPr>
      <w:r w:rsidRPr="00274171">
        <w:rPr>
          <w:rFonts w:ascii="Arial" w:hAnsi="Arial" w:cs="Arial"/>
          <w:i/>
          <w:sz w:val="18"/>
          <w:szCs w:val="18"/>
          <w:lang w:val="fr-CA"/>
        </w:rPr>
        <w:t xml:space="preserve"> </w:t>
      </w:r>
    </w:p>
    <w:p w14:paraId="03D11758" w14:textId="5B81010A" w:rsidR="00F617CD" w:rsidRPr="00274171" w:rsidRDefault="007F7389" w:rsidP="00F617CD">
      <w:pPr>
        <w:rPr>
          <w:rFonts w:ascii="Arial" w:hAnsi="Arial" w:cs="Arial"/>
          <w:b/>
          <w:i/>
          <w:sz w:val="18"/>
          <w:szCs w:val="18"/>
          <w:lang w:val="fr-CA"/>
        </w:rPr>
      </w:pPr>
      <w:r w:rsidRPr="00274171">
        <w:rPr>
          <w:rFonts w:ascii="Arial" w:hAnsi="Arial" w:cs="Arial"/>
          <w:i/>
          <w:sz w:val="18"/>
          <w:szCs w:val="18"/>
          <w:lang w:val="fr-CA"/>
        </w:rPr>
        <w:t xml:space="preserve"> </w:t>
      </w:r>
    </w:p>
    <w:tbl>
      <w:tblPr>
        <w:tblStyle w:val="TableGrid"/>
        <w:tblpPr w:leftFromText="180" w:rightFromText="180" w:vertAnchor="page" w:horzAnchor="page" w:tblpX="212" w:tblpY="1215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74171" w:rsidRPr="00777FA2" w14:paraId="76447851" w14:textId="77777777" w:rsidTr="00274171">
        <w:trPr>
          <w:trHeight w:val="416"/>
        </w:trPr>
        <w:tc>
          <w:tcPr>
            <w:tcW w:w="10768" w:type="dxa"/>
          </w:tcPr>
          <w:p w14:paraId="54FFD969" w14:textId="77777777" w:rsidR="00274171" w:rsidRPr="00274171" w:rsidRDefault="00274171" w:rsidP="0027417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3a. Évaluation et attribution du contrat</w:t>
            </w:r>
          </w:p>
        </w:tc>
      </w:tr>
      <w:tr w:rsidR="00274171" w:rsidRPr="00777FA2" w14:paraId="23A695A6" w14:textId="77777777" w:rsidTr="00274171">
        <w:trPr>
          <w:trHeight w:val="60"/>
        </w:trPr>
        <w:tc>
          <w:tcPr>
            <w:tcW w:w="10768" w:type="dxa"/>
          </w:tcPr>
          <w:p w14:paraId="3BC8C033" w14:textId="77777777" w:rsidR="00274171" w:rsidRPr="00274171" w:rsidRDefault="00274171" w:rsidP="0027417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Réception des soumissions</w:t>
            </w:r>
          </w:p>
          <w:p w14:paraId="1F823946" w14:textId="77777777" w:rsidR="00274171" w:rsidRPr="00274171" w:rsidRDefault="00274171" w:rsidP="00274171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Évaluation des soumissions, d’après </w:t>
            </w:r>
            <w:r w:rsidRPr="00274171">
              <w:rPr>
                <w:rFonts w:ascii="Arial" w:hAnsi="Arial" w:cs="Arial"/>
                <w:i/>
                <w:sz w:val="18"/>
                <w:szCs w:val="18"/>
                <w:lang w:val="fr-CA"/>
              </w:rPr>
              <w:t>l’Annexe D, GMAPT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274171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sur le site Web de l’Ameublement, particulièrement les articles </w:t>
            </w:r>
            <w:r w:rsidRPr="00274171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  <w:lang w:val="fr-CA"/>
              </w:rPr>
              <w:t>9-12 pour connaître les procédures d’évaluation</w:t>
            </w:r>
            <w:r w:rsidRPr="00274171"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  <w:t xml:space="preserve">. </w:t>
            </w:r>
          </w:p>
          <w:p w14:paraId="61DBF69D" w14:textId="77777777" w:rsidR="00274171" w:rsidRPr="00274171" w:rsidRDefault="00274171" w:rsidP="0027417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2741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La soumission recevable dont le prix évalué est le plus bas sera recommandée pour l’attribution d’un contrat</w:t>
            </w:r>
            <w:r w:rsidRPr="00274171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14:paraId="4E90CA1D" w14:textId="77777777" w:rsidR="00274171" w:rsidRPr="00A76E90" w:rsidRDefault="00274171" w:rsidP="0027417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15CA0FE9" w14:textId="6A4065DE" w:rsidR="00274171" w:rsidRDefault="00274171" w:rsidP="005E32A1">
      <w:pPr>
        <w:rPr>
          <w:rFonts w:ascii="Arial" w:hAnsi="Arial" w:cs="Arial"/>
          <w:b/>
          <w:i/>
          <w:sz w:val="18"/>
          <w:szCs w:val="18"/>
          <w:lang w:val="fr-CA"/>
        </w:rPr>
      </w:pPr>
    </w:p>
    <w:p w14:paraId="0792BEDA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3FE7F99B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0A08FDE0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20F449F9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1A1B4384" w14:textId="78B44C56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661E8B37" w14:textId="37E16E70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  <w:r w:rsidRPr="00A76E90">
        <w:rPr>
          <w:rFonts w:ascii="Arial" w:hAnsi="Arial" w:cs="Arial"/>
          <w:noProof/>
          <w:sz w:val="18"/>
          <w:szCs w:val="18"/>
          <w:highlight w:val="magenta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DA6A" wp14:editId="43E7850B">
                <wp:simplePos x="0" y="0"/>
                <wp:positionH relativeFrom="margin">
                  <wp:posOffset>1056873</wp:posOffset>
                </wp:positionH>
                <wp:positionV relativeFrom="paragraph">
                  <wp:posOffset>146906</wp:posOffset>
                </wp:positionV>
                <wp:extent cx="289560" cy="213360"/>
                <wp:effectExtent l="38100" t="0" r="15240" b="3429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C504" id="Down Arrow 11" o:spid="_x0000_s1026" type="#_x0000_t67" style="position:absolute;margin-left:83.2pt;margin-top:11.55pt;width:22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06BC5B38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5049A3DC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4B3F520D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23230E76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65824BFD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5F9CECE5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7D544072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4340A6A1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586D1F3F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5F524FCD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7F11B340" w14:textId="77777777" w:rsid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65168E31" w14:textId="77777777" w:rsid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p w14:paraId="1548952C" w14:textId="0BB07036" w:rsidR="00274171" w:rsidRPr="00274171" w:rsidRDefault="00274171" w:rsidP="00274171">
      <w:pPr>
        <w:rPr>
          <w:rFonts w:ascii="Arial" w:hAnsi="Arial" w:cs="Arial"/>
          <w:b/>
          <w:sz w:val="18"/>
          <w:szCs w:val="18"/>
          <w:lang w:val="fr-CA"/>
        </w:rPr>
      </w:pPr>
      <w:r w:rsidRPr="00B55A34">
        <w:rPr>
          <w:rFonts w:ascii="Arial" w:hAnsi="Arial" w:cs="Arial"/>
          <w:sz w:val="18"/>
          <w:szCs w:val="18"/>
          <w:lang w:val="fr-CA"/>
        </w:rPr>
        <w:t xml:space="preserve">Il s’agit d’un sommaire de haut niveau visant à illustrer un marché de faible valeur. Pour des consignes plus détaillées sur l’une ou l’autre des étapes ci-après, veuillez consulter le site Web de l’Ameublement ou écrire à </w:t>
      </w:r>
      <w:r>
        <w:rPr>
          <w:rFonts w:ascii="Arial" w:hAnsi="Arial" w:cs="Arial"/>
          <w:sz w:val="18"/>
          <w:szCs w:val="18"/>
          <w:lang w:val="fr-CA"/>
        </w:rPr>
        <w:t xml:space="preserve">notre boite </w:t>
      </w:r>
      <w:hyperlink r:id="rId10" w:history="1">
        <w:r>
          <w:rPr>
            <w:rStyle w:val="Hyperlink"/>
            <w:rFonts w:ascii="Arial" w:hAnsi="Arial" w:cs="Arial"/>
            <w:i/>
            <w:sz w:val="18"/>
            <w:szCs w:val="18"/>
            <w:lang w:val="fr-CA"/>
          </w:rPr>
          <w:t xml:space="preserve">courriel générale. </w:t>
        </w:r>
      </w:hyperlink>
      <w:r w:rsidRPr="00B55A34">
        <w:rPr>
          <w:rFonts w:ascii="Arial" w:hAnsi="Arial" w:cs="Arial"/>
          <w:i/>
          <w:sz w:val="18"/>
          <w:szCs w:val="18"/>
          <w:lang w:val="fr-CA"/>
        </w:rPr>
        <w:t xml:space="preserve"> </w:t>
      </w:r>
    </w:p>
    <w:p w14:paraId="476B8394" w14:textId="77777777" w:rsidR="00274171" w:rsidRPr="00274171" w:rsidRDefault="00274171" w:rsidP="00274171">
      <w:pPr>
        <w:rPr>
          <w:rFonts w:ascii="Arial" w:hAnsi="Arial" w:cs="Arial"/>
          <w:sz w:val="18"/>
          <w:szCs w:val="18"/>
          <w:lang w:val="fr-CA"/>
        </w:rPr>
      </w:pPr>
    </w:p>
    <w:sectPr w:rsidR="00274171" w:rsidRPr="00274171" w:rsidSect="007D47A5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0A08E" w14:textId="77777777" w:rsidR="00BB4555" w:rsidRDefault="00BB4555" w:rsidP="001B278A">
      <w:pPr>
        <w:spacing w:after="0" w:line="240" w:lineRule="auto"/>
      </w:pPr>
      <w:r>
        <w:separator/>
      </w:r>
    </w:p>
  </w:endnote>
  <w:endnote w:type="continuationSeparator" w:id="0">
    <w:p w14:paraId="0AF6798E" w14:textId="77777777" w:rsidR="00BB4555" w:rsidRDefault="00BB4555" w:rsidP="001B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FFD6C" w14:textId="77777777" w:rsidR="00BB4555" w:rsidRDefault="00BB4555" w:rsidP="001B278A">
      <w:pPr>
        <w:spacing w:after="0" w:line="240" w:lineRule="auto"/>
      </w:pPr>
      <w:r>
        <w:separator/>
      </w:r>
    </w:p>
  </w:footnote>
  <w:footnote w:type="continuationSeparator" w:id="0">
    <w:p w14:paraId="6344B18B" w14:textId="77777777" w:rsidR="00BB4555" w:rsidRDefault="00BB4555" w:rsidP="001B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CA48" w14:textId="6465786D" w:rsidR="00E15ADC" w:rsidRPr="00124BAC" w:rsidRDefault="00124BAC" w:rsidP="00124BAC">
    <w:pPr>
      <w:jc w:val="center"/>
      <w:rPr>
        <w:rFonts w:ascii="Arial" w:hAnsi="Arial" w:cs="Arial"/>
        <w:b/>
        <w:sz w:val="20"/>
        <w:szCs w:val="20"/>
        <w:lang w:val="fr-CA"/>
      </w:rPr>
    </w:pPr>
    <w:r w:rsidRPr="00124BAC">
      <w:rPr>
        <w:rFonts w:ascii="Arial" w:hAnsi="Arial" w:cs="Arial"/>
        <w:b/>
        <w:color w:val="222222"/>
        <w:sz w:val="20"/>
        <w:szCs w:val="20"/>
        <w:lang w:val="fr-FR"/>
      </w:rPr>
      <w:t>Invitation</w:t>
    </w:r>
    <w:r w:rsidRPr="00124BAC">
      <w:rPr>
        <w:rStyle w:val="Hyperlink"/>
        <w:rFonts w:ascii="Arial" w:hAnsi="Arial" w:cs="Arial"/>
        <w:b/>
        <w:color w:val="auto"/>
        <w:sz w:val="20"/>
        <w:szCs w:val="20"/>
        <w:u w:val="none"/>
        <w:lang w:val="fr-CA"/>
      </w:rPr>
      <w:t xml:space="preserve"> à soumissionner ordinaire </w:t>
    </w:r>
    <w:r w:rsidR="00CA4BE8" w:rsidRPr="00124BAC">
      <w:rPr>
        <w:rFonts w:ascii="Arial" w:hAnsi="Arial" w:cs="Arial"/>
        <w:b/>
        <w:sz w:val="20"/>
        <w:szCs w:val="20"/>
        <w:lang w:val="fr-CA"/>
      </w:rPr>
      <w:t>–</w:t>
    </w:r>
    <w:r w:rsidRPr="00124BAC">
      <w:rPr>
        <w:rFonts w:ascii="Arial" w:hAnsi="Arial" w:cs="Arial"/>
        <w:b/>
        <w:sz w:val="20"/>
        <w:szCs w:val="20"/>
        <w:lang w:val="fr-CA"/>
      </w:rPr>
      <w:t xml:space="preserve"> Palier 2 et 3</w:t>
    </w:r>
    <w:r w:rsidR="00E15ADC" w:rsidRPr="00124BAC">
      <w:rPr>
        <w:rFonts w:ascii="Arial" w:hAnsi="Arial" w:cs="Arial"/>
        <w:b/>
        <w:sz w:val="20"/>
        <w:szCs w:val="20"/>
        <w:lang w:val="fr-CA"/>
      </w:rPr>
      <w:t xml:space="preserve"> </w:t>
    </w:r>
    <w:r w:rsidRPr="00124BAC">
      <w:rPr>
        <w:rFonts w:ascii="Arial" w:hAnsi="Arial" w:cs="Arial"/>
        <w:b/>
        <w:sz w:val="20"/>
        <w:szCs w:val="20"/>
        <w:lang w:val="fr-CA"/>
      </w:rPr>
      <w:t>p</w:t>
    </w:r>
    <w:r w:rsidR="00CA4BE8" w:rsidRPr="00124BAC">
      <w:rPr>
        <w:rFonts w:ascii="Arial" w:hAnsi="Arial" w:cs="Arial"/>
        <w:b/>
        <w:sz w:val="20"/>
        <w:szCs w:val="20"/>
        <w:lang w:val="fr-CA"/>
      </w:rPr>
      <w:t>rocessus pour arrangements en matière d’approvisionnement pour les espaces de travail</w:t>
    </w:r>
    <w:r w:rsidRPr="00124BAC">
      <w:rPr>
        <w:rFonts w:ascii="Arial" w:hAnsi="Arial" w:cs="Arial"/>
        <w:b/>
        <w:sz w:val="20"/>
        <w:szCs w:val="20"/>
        <w:lang w:val="fr-CA"/>
      </w:rPr>
      <w:t xml:space="preserve"> –</w:t>
    </w:r>
    <w:r>
      <w:rPr>
        <w:rFonts w:ascii="Arial" w:hAnsi="Arial" w:cs="Arial"/>
        <w:b/>
        <w:sz w:val="20"/>
        <w:szCs w:val="20"/>
        <w:lang w:val="fr-CA"/>
      </w:rPr>
      <w:t xml:space="preserve"> Besoin 25 000,</w:t>
    </w:r>
    <w:r w:rsidRPr="00124BAC">
      <w:rPr>
        <w:rFonts w:ascii="Arial" w:hAnsi="Arial" w:cs="Arial"/>
        <w:b/>
        <w:sz w:val="20"/>
        <w:szCs w:val="20"/>
        <w:lang w:val="fr-CA"/>
      </w:rPr>
      <w:t xml:space="preserve">00 </w:t>
    </w:r>
    <w:r>
      <w:rPr>
        <w:rFonts w:ascii="Arial" w:hAnsi="Arial" w:cs="Arial"/>
        <w:b/>
        <w:sz w:val="20"/>
        <w:szCs w:val="20"/>
        <w:lang w:val="fr-CA"/>
      </w:rPr>
      <w:t xml:space="preserve">$ </w:t>
    </w:r>
    <w:r w:rsidRPr="00124BAC">
      <w:rPr>
        <w:rFonts w:ascii="Arial" w:hAnsi="Arial" w:cs="Arial"/>
        <w:b/>
        <w:sz w:val="20"/>
        <w:szCs w:val="20"/>
        <w:lang w:val="fr-CA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BC1"/>
    <w:multiLevelType w:val="hybridMultilevel"/>
    <w:tmpl w:val="3ACAB5C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1873F7"/>
    <w:multiLevelType w:val="hybridMultilevel"/>
    <w:tmpl w:val="3BACA5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3D2"/>
    <w:multiLevelType w:val="hybridMultilevel"/>
    <w:tmpl w:val="170C70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032"/>
    <w:multiLevelType w:val="hybridMultilevel"/>
    <w:tmpl w:val="550AEC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66A97"/>
    <w:multiLevelType w:val="hybridMultilevel"/>
    <w:tmpl w:val="C88C4EA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22702"/>
    <w:multiLevelType w:val="hybridMultilevel"/>
    <w:tmpl w:val="890030A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4500D"/>
    <w:multiLevelType w:val="hybridMultilevel"/>
    <w:tmpl w:val="05944A5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B2A3C"/>
    <w:multiLevelType w:val="hybridMultilevel"/>
    <w:tmpl w:val="E1C0FF0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45FA7"/>
    <w:multiLevelType w:val="hybridMultilevel"/>
    <w:tmpl w:val="CA408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55707"/>
    <w:multiLevelType w:val="hybridMultilevel"/>
    <w:tmpl w:val="C4FC9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7BFA"/>
    <w:multiLevelType w:val="hybridMultilevel"/>
    <w:tmpl w:val="DC0EC7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334E3"/>
    <w:multiLevelType w:val="hybridMultilevel"/>
    <w:tmpl w:val="385C706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D3FBA"/>
    <w:multiLevelType w:val="hybridMultilevel"/>
    <w:tmpl w:val="068EE3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E2B57"/>
    <w:multiLevelType w:val="hybridMultilevel"/>
    <w:tmpl w:val="BDDACCE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179F2"/>
    <w:multiLevelType w:val="hybridMultilevel"/>
    <w:tmpl w:val="7BE21642"/>
    <w:lvl w:ilvl="0" w:tplc="20DC1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4081"/>
    <w:multiLevelType w:val="hybridMultilevel"/>
    <w:tmpl w:val="3BACA5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00EB"/>
    <w:multiLevelType w:val="hybridMultilevel"/>
    <w:tmpl w:val="ED6E321A"/>
    <w:lvl w:ilvl="0" w:tplc="468E1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38B0"/>
    <w:multiLevelType w:val="hybridMultilevel"/>
    <w:tmpl w:val="ED0EDAA4"/>
    <w:lvl w:ilvl="0" w:tplc="988E2F0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4894D2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D60D9"/>
    <w:multiLevelType w:val="hybridMultilevel"/>
    <w:tmpl w:val="21566476"/>
    <w:lvl w:ilvl="0" w:tplc="4650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2D5ABA"/>
    <w:multiLevelType w:val="hybridMultilevel"/>
    <w:tmpl w:val="87D0C87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67D5C"/>
    <w:multiLevelType w:val="hybridMultilevel"/>
    <w:tmpl w:val="07BAE72A"/>
    <w:lvl w:ilvl="0" w:tplc="468E190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16CA4"/>
    <w:multiLevelType w:val="hybridMultilevel"/>
    <w:tmpl w:val="C49A01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B60F59"/>
    <w:multiLevelType w:val="hybridMultilevel"/>
    <w:tmpl w:val="DFD234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B20C5E"/>
    <w:multiLevelType w:val="hybridMultilevel"/>
    <w:tmpl w:val="DF30AF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1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19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3"/>
  </w:num>
  <w:num w:numId="17">
    <w:abstractNumId w:val="14"/>
  </w:num>
  <w:num w:numId="18">
    <w:abstractNumId w:val="9"/>
  </w:num>
  <w:num w:numId="19">
    <w:abstractNumId w:val="0"/>
  </w:num>
  <w:num w:numId="20">
    <w:abstractNumId w:val="17"/>
  </w:num>
  <w:num w:numId="21">
    <w:abstractNumId w:val="20"/>
  </w:num>
  <w:num w:numId="22">
    <w:abstractNumId w:val="16"/>
  </w:num>
  <w:num w:numId="23">
    <w:abstractNumId w:val="2"/>
  </w:num>
  <w:num w:numId="24">
    <w:abstractNumId w:val="8"/>
  </w:num>
  <w:num w:numId="25">
    <w:abstractNumId w:val="1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8A"/>
    <w:rsid w:val="00016137"/>
    <w:rsid w:val="000474B5"/>
    <w:rsid w:val="00065E52"/>
    <w:rsid w:val="000707A7"/>
    <w:rsid w:val="000822A7"/>
    <w:rsid w:val="0008607E"/>
    <w:rsid w:val="000A0690"/>
    <w:rsid w:val="000A1129"/>
    <w:rsid w:val="000A53CF"/>
    <w:rsid w:val="000A6634"/>
    <w:rsid w:val="000B3AE0"/>
    <w:rsid w:val="000D589A"/>
    <w:rsid w:val="000E1C05"/>
    <w:rsid w:val="001157C7"/>
    <w:rsid w:val="0011645E"/>
    <w:rsid w:val="00116865"/>
    <w:rsid w:val="00124BAC"/>
    <w:rsid w:val="00127F67"/>
    <w:rsid w:val="00131AA1"/>
    <w:rsid w:val="001374EA"/>
    <w:rsid w:val="00140712"/>
    <w:rsid w:val="0014650A"/>
    <w:rsid w:val="00154628"/>
    <w:rsid w:val="001621D2"/>
    <w:rsid w:val="00164A26"/>
    <w:rsid w:val="00166F2C"/>
    <w:rsid w:val="00171607"/>
    <w:rsid w:val="00181FAB"/>
    <w:rsid w:val="00185D63"/>
    <w:rsid w:val="00192CED"/>
    <w:rsid w:val="00194E26"/>
    <w:rsid w:val="00195369"/>
    <w:rsid w:val="001955B5"/>
    <w:rsid w:val="00197668"/>
    <w:rsid w:val="001A4850"/>
    <w:rsid w:val="001B278A"/>
    <w:rsid w:val="001E2B29"/>
    <w:rsid w:val="00222DE5"/>
    <w:rsid w:val="002347E0"/>
    <w:rsid w:val="00250DCD"/>
    <w:rsid w:val="00265BF7"/>
    <w:rsid w:val="00274171"/>
    <w:rsid w:val="00275688"/>
    <w:rsid w:val="00296BCE"/>
    <w:rsid w:val="002B7A59"/>
    <w:rsid w:val="002C6660"/>
    <w:rsid w:val="002D07A4"/>
    <w:rsid w:val="00300785"/>
    <w:rsid w:val="003013BB"/>
    <w:rsid w:val="00301F05"/>
    <w:rsid w:val="00315A8B"/>
    <w:rsid w:val="0032213F"/>
    <w:rsid w:val="00335D33"/>
    <w:rsid w:val="00342F76"/>
    <w:rsid w:val="00380DED"/>
    <w:rsid w:val="00387586"/>
    <w:rsid w:val="003C4226"/>
    <w:rsid w:val="003D6728"/>
    <w:rsid w:val="003E44F0"/>
    <w:rsid w:val="003F3F0C"/>
    <w:rsid w:val="004014FB"/>
    <w:rsid w:val="00401C0A"/>
    <w:rsid w:val="00440666"/>
    <w:rsid w:val="00443EA5"/>
    <w:rsid w:val="00465C91"/>
    <w:rsid w:val="00487A88"/>
    <w:rsid w:val="00493F5A"/>
    <w:rsid w:val="004A45AA"/>
    <w:rsid w:val="004C6EB5"/>
    <w:rsid w:val="004C73D2"/>
    <w:rsid w:val="00534337"/>
    <w:rsid w:val="005345C2"/>
    <w:rsid w:val="00545C2B"/>
    <w:rsid w:val="00556050"/>
    <w:rsid w:val="00594B85"/>
    <w:rsid w:val="00596871"/>
    <w:rsid w:val="005A4B8E"/>
    <w:rsid w:val="005A6E09"/>
    <w:rsid w:val="005E32A1"/>
    <w:rsid w:val="005E3B1F"/>
    <w:rsid w:val="005F1FC7"/>
    <w:rsid w:val="005F5230"/>
    <w:rsid w:val="00601936"/>
    <w:rsid w:val="00616DA4"/>
    <w:rsid w:val="00633225"/>
    <w:rsid w:val="006378A4"/>
    <w:rsid w:val="00657BEC"/>
    <w:rsid w:val="00676560"/>
    <w:rsid w:val="00694FCB"/>
    <w:rsid w:val="006B2FA0"/>
    <w:rsid w:val="006C1D86"/>
    <w:rsid w:val="006D0058"/>
    <w:rsid w:val="007211F0"/>
    <w:rsid w:val="0072709F"/>
    <w:rsid w:val="007278D9"/>
    <w:rsid w:val="00752BDF"/>
    <w:rsid w:val="00761324"/>
    <w:rsid w:val="00774FDC"/>
    <w:rsid w:val="00777FA2"/>
    <w:rsid w:val="0078381D"/>
    <w:rsid w:val="00783C16"/>
    <w:rsid w:val="00797DB8"/>
    <w:rsid w:val="007D14DE"/>
    <w:rsid w:val="007D47A5"/>
    <w:rsid w:val="007F4A57"/>
    <w:rsid w:val="007F7389"/>
    <w:rsid w:val="008044EC"/>
    <w:rsid w:val="00804784"/>
    <w:rsid w:val="00832550"/>
    <w:rsid w:val="00833F63"/>
    <w:rsid w:val="00845FD1"/>
    <w:rsid w:val="00845FD8"/>
    <w:rsid w:val="008468A4"/>
    <w:rsid w:val="008635AE"/>
    <w:rsid w:val="00864544"/>
    <w:rsid w:val="008814DC"/>
    <w:rsid w:val="0088546C"/>
    <w:rsid w:val="00887279"/>
    <w:rsid w:val="008921F6"/>
    <w:rsid w:val="008A4DB4"/>
    <w:rsid w:val="008C10AB"/>
    <w:rsid w:val="008E44B4"/>
    <w:rsid w:val="0092213A"/>
    <w:rsid w:val="00932477"/>
    <w:rsid w:val="00940532"/>
    <w:rsid w:val="009422DA"/>
    <w:rsid w:val="009542C3"/>
    <w:rsid w:val="00956F49"/>
    <w:rsid w:val="00973B32"/>
    <w:rsid w:val="00973E66"/>
    <w:rsid w:val="00993D1D"/>
    <w:rsid w:val="009E1004"/>
    <w:rsid w:val="00A12655"/>
    <w:rsid w:val="00A33B9A"/>
    <w:rsid w:val="00A37873"/>
    <w:rsid w:val="00A61DEB"/>
    <w:rsid w:val="00A65ECA"/>
    <w:rsid w:val="00A67CB7"/>
    <w:rsid w:val="00A76E90"/>
    <w:rsid w:val="00A81E62"/>
    <w:rsid w:val="00AA1515"/>
    <w:rsid w:val="00AC4167"/>
    <w:rsid w:val="00AF08D8"/>
    <w:rsid w:val="00AF4212"/>
    <w:rsid w:val="00B21D2D"/>
    <w:rsid w:val="00B225A0"/>
    <w:rsid w:val="00B30983"/>
    <w:rsid w:val="00B33D14"/>
    <w:rsid w:val="00BA3B6B"/>
    <w:rsid w:val="00BB4555"/>
    <w:rsid w:val="00BB5475"/>
    <w:rsid w:val="00BB7F80"/>
    <w:rsid w:val="00BC0119"/>
    <w:rsid w:val="00BD09B9"/>
    <w:rsid w:val="00BE08CF"/>
    <w:rsid w:val="00BF2484"/>
    <w:rsid w:val="00C0702E"/>
    <w:rsid w:val="00C1530E"/>
    <w:rsid w:val="00C17900"/>
    <w:rsid w:val="00C365E1"/>
    <w:rsid w:val="00C44AA9"/>
    <w:rsid w:val="00C7571C"/>
    <w:rsid w:val="00CA4BE8"/>
    <w:rsid w:val="00CA4F56"/>
    <w:rsid w:val="00CE5908"/>
    <w:rsid w:val="00D02BA5"/>
    <w:rsid w:val="00D0465F"/>
    <w:rsid w:val="00D2119A"/>
    <w:rsid w:val="00D25A5A"/>
    <w:rsid w:val="00D504FA"/>
    <w:rsid w:val="00D525A3"/>
    <w:rsid w:val="00D55786"/>
    <w:rsid w:val="00D57672"/>
    <w:rsid w:val="00D64C69"/>
    <w:rsid w:val="00D66DBB"/>
    <w:rsid w:val="00DA02A8"/>
    <w:rsid w:val="00DC3091"/>
    <w:rsid w:val="00E01E80"/>
    <w:rsid w:val="00E10C92"/>
    <w:rsid w:val="00E11F85"/>
    <w:rsid w:val="00E144D7"/>
    <w:rsid w:val="00E15ADC"/>
    <w:rsid w:val="00E54B61"/>
    <w:rsid w:val="00E82B7C"/>
    <w:rsid w:val="00E94035"/>
    <w:rsid w:val="00EB002D"/>
    <w:rsid w:val="00EB62FA"/>
    <w:rsid w:val="00EB642C"/>
    <w:rsid w:val="00EC3845"/>
    <w:rsid w:val="00EC613E"/>
    <w:rsid w:val="00EE7327"/>
    <w:rsid w:val="00F021F2"/>
    <w:rsid w:val="00F10397"/>
    <w:rsid w:val="00F20DB0"/>
    <w:rsid w:val="00F224BC"/>
    <w:rsid w:val="00F452B4"/>
    <w:rsid w:val="00F54CBB"/>
    <w:rsid w:val="00F55703"/>
    <w:rsid w:val="00F617CD"/>
    <w:rsid w:val="00F8210A"/>
    <w:rsid w:val="00FA3844"/>
    <w:rsid w:val="00FB607E"/>
    <w:rsid w:val="00FC073F"/>
    <w:rsid w:val="00FC1D53"/>
    <w:rsid w:val="00FD10C1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3BB7"/>
  <w15:chartTrackingRefBased/>
  <w15:docId w15:val="{13E18470-348C-4E0C-982F-F058228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87A88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8A"/>
  </w:style>
  <w:style w:type="paragraph" w:styleId="Footer">
    <w:name w:val="footer"/>
    <w:basedOn w:val="Normal"/>
    <w:link w:val="FooterChar"/>
    <w:uiPriority w:val="99"/>
    <w:unhideWhenUsed/>
    <w:rsid w:val="001B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8A"/>
  </w:style>
  <w:style w:type="table" w:styleId="TableGrid">
    <w:name w:val="Table Grid"/>
    <w:basedOn w:val="Table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F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87A88"/>
    <w:rPr>
      <w:rFonts w:ascii="Arial" w:eastAsia="Times New Roman" w:hAnsi="Arial" w:cs="Arial"/>
      <w:b/>
      <w:bCs/>
      <w:sz w:val="24"/>
      <w:szCs w:val="20"/>
    </w:rPr>
  </w:style>
  <w:style w:type="paragraph" w:customStyle="1" w:styleId="DefaultText">
    <w:name w:val="Default Text"/>
    <w:basedOn w:val="Normal"/>
    <w:rsid w:val="00487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09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1F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pedia.gc.ca/wiki/Mobilier_de_bure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hatsetventes.gc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PSGC.PARCNAmeublement-APNCRFurniture.PWGSC@tpsgc-pwgsc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SGC.PARCNAmeublement-APNCRFurniture.PWGSC@tpsgc-pwgs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Canada/Gouvernement du Canada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Clouthier</dc:creator>
  <cp:keywords/>
  <dc:description/>
  <cp:lastModifiedBy>Paul Kavanagh (M)</cp:lastModifiedBy>
  <cp:revision>3</cp:revision>
  <cp:lastPrinted>2019-03-07T16:56:00Z</cp:lastPrinted>
  <dcterms:created xsi:type="dcterms:W3CDTF">2021-08-10T16:51:00Z</dcterms:created>
  <dcterms:modified xsi:type="dcterms:W3CDTF">2021-08-10T16:53:00Z</dcterms:modified>
</cp:coreProperties>
</file>