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362C" w14:textId="77777777" w:rsidR="008D5402" w:rsidRDefault="0093381B" w:rsidP="008D5402">
      <w:pPr>
        <w:pStyle w:val="NoSpacing"/>
        <w:jc w:val="center"/>
        <w:rPr>
          <w:b/>
          <w:sz w:val="28"/>
          <w:szCs w:val="28"/>
          <w:lang w:eastAsia="en-CA"/>
        </w:rPr>
      </w:pPr>
      <w:r>
        <w:rPr>
          <w:b/>
          <w:sz w:val="28"/>
          <w:szCs w:val="28"/>
          <w:lang w:eastAsia="en-CA"/>
        </w:rPr>
        <w:t xml:space="preserve">Draft </w:t>
      </w:r>
      <w:r w:rsidR="008172E1" w:rsidRPr="004E6275">
        <w:rPr>
          <w:b/>
          <w:sz w:val="28"/>
          <w:szCs w:val="28"/>
          <w:lang w:eastAsia="en-CA"/>
        </w:rPr>
        <w:t xml:space="preserve">Guidance on </w:t>
      </w:r>
      <w:r w:rsidR="00CB3DC5">
        <w:rPr>
          <w:b/>
          <w:sz w:val="28"/>
          <w:szCs w:val="28"/>
          <w:lang w:eastAsia="en-CA"/>
        </w:rPr>
        <w:t xml:space="preserve">Posting </w:t>
      </w:r>
      <w:r>
        <w:rPr>
          <w:b/>
          <w:sz w:val="28"/>
          <w:szCs w:val="28"/>
          <w:lang w:eastAsia="en-CA"/>
        </w:rPr>
        <w:t>S</w:t>
      </w:r>
      <w:r w:rsidR="00E92318" w:rsidRPr="004E6275">
        <w:rPr>
          <w:b/>
          <w:sz w:val="28"/>
          <w:szCs w:val="28"/>
          <w:lang w:eastAsia="en-CA"/>
        </w:rPr>
        <w:t xml:space="preserve">ervice </w:t>
      </w:r>
      <w:r>
        <w:rPr>
          <w:b/>
          <w:sz w:val="28"/>
          <w:szCs w:val="28"/>
          <w:lang w:eastAsia="en-CA"/>
        </w:rPr>
        <w:t>S</w:t>
      </w:r>
      <w:r w:rsidR="00E92318" w:rsidRPr="004E6275">
        <w:rPr>
          <w:b/>
          <w:sz w:val="28"/>
          <w:szCs w:val="28"/>
          <w:lang w:eastAsia="en-CA"/>
        </w:rPr>
        <w:t xml:space="preserve">tandards and </w:t>
      </w:r>
      <w:r>
        <w:rPr>
          <w:b/>
          <w:sz w:val="28"/>
          <w:szCs w:val="28"/>
          <w:lang w:eastAsia="en-CA"/>
        </w:rPr>
        <w:t>R</w:t>
      </w:r>
      <w:r w:rsidR="00E92318" w:rsidRPr="004E6275">
        <w:rPr>
          <w:b/>
          <w:sz w:val="28"/>
          <w:szCs w:val="28"/>
          <w:lang w:eastAsia="en-CA"/>
        </w:rPr>
        <w:t xml:space="preserve">elated </w:t>
      </w:r>
      <w:r>
        <w:rPr>
          <w:b/>
          <w:sz w:val="28"/>
          <w:szCs w:val="28"/>
          <w:lang w:eastAsia="en-CA"/>
        </w:rPr>
        <w:t>P</w:t>
      </w:r>
      <w:r w:rsidR="00E92318" w:rsidRPr="004E6275">
        <w:rPr>
          <w:b/>
          <w:sz w:val="28"/>
          <w:szCs w:val="28"/>
          <w:lang w:eastAsia="en-CA"/>
        </w:rPr>
        <w:t>erformance</w:t>
      </w:r>
    </w:p>
    <w:p w14:paraId="3E2023A4" w14:textId="77777777" w:rsidR="008D5402" w:rsidRDefault="008D5402" w:rsidP="008D5402">
      <w:pPr>
        <w:pStyle w:val="NoSpacing"/>
        <w:jc w:val="center"/>
        <w:rPr>
          <w:b/>
          <w:sz w:val="28"/>
          <w:szCs w:val="28"/>
          <w:lang w:eastAsia="en-CA"/>
        </w:rPr>
      </w:pPr>
    </w:p>
    <w:p w14:paraId="12F55D3B" w14:textId="735708E7" w:rsidR="008D5402" w:rsidRDefault="008D5402" w:rsidP="008D54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34BB5">
        <w:rPr>
          <w:b/>
          <w:sz w:val="28"/>
          <w:szCs w:val="28"/>
        </w:rPr>
        <w:t>Archi</w:t>
      </w:r>
      <w:r>
        <w:rPr>
          <w:b/>
          <w:sz w:val="28"/>
          <w:szCs w:val="28"/>
        </w:rPr>
        <w:t>ved</w:t>
      </w:r>
      <w:r w:rsidR="00857D50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</w:t>
      </w:r>
      <w:r w:rsidR="00857D50">
        <w:rPr>
          <w:b/>
          <w:sz w:val="28"/>
          <w:szCs w:val="28"/>
        </w:rPr>
        <w:t xml:space="preserve">April 14, </w:t>
      </w:r>
      <w:r w:rsidRPr="00321105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)</w:t>
      </w:r>
    </w:p>
    <w:p w14:paraId="076FFD48" w14:textId="6A066058" w:rsidR="00C724A5" w:rsidRPr="004E6275" w:rsidRDefault="00C724A5" w:rsidP="00886B84">
      <w:pPr>
        <w:pStyle w:val="NoSpacing"/>
        <w:jc w:val="center"/>
        <w:rPr>
          <w:b/>
          <w:sz w:val="28"/>
          <w:szCs w:val="28"/>
          <w:lang w:eastAsia="en-CA"/>
        </w:rPr>
      </w:pPr>
    </w:p>
    <w:p w14:paraId="311AB7D3" w14:textId="77777777" w:rsidR="00A10AC1" w:rsidRDefault="00A10AC1" w:rsidP="00A10AC1">
      <w:pPr>
        <w:pStyle w:val="NoSpacing"/>
        <w:rPr>
          <w:sz w:val="24"/>
          <w:szCs w:val="24"/>
          <w:lang w:eastAsia="en-CA"/>
        </w:rPr>
      </w:pPr>
      <w:bookmarkStart w:id="0" w:name="_____replyseparator"/>
      <w:bookmarkEnd w:id="0"/>
    </w:p>
    <w:p w14:paraId="1EB73BA3" w14:textId="77777777" w:rsidR="00461FF8" w:rsidRDefault="00461FF8" w:rsidP="00A10AC1">
      <w:pPr>
        <w:pStyle w:val="NoSpacing"/>
        <w:rPr>
          <w:b/>
          <w:sz w:val="24"/>
          <w:szCs w:val="24"/>
          <w:lang w:eastAsia="en-CA"/>
        </w:rPr>
      </w:pPr>
    </w:p>
    <w:p w14:paraId="0D47D7AF" w14:textId="1373CCEF" w:rsidR="00FB254C" w:rsidRDefault="00A10AC1" w:rsidP="00A10AC1">
      <w:pPr>
        <w:pStyle w:val="NoSpacing"/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t>About this document</w:t>
      </w:r>
    </w:p>
    <w:p w14:paraId="16F13C60" w14:textId="77777777" w:rsidR="00826619" w:rsidRDefault="00826619" w:rsidP="00A10AC1">
      <w:pPr>
        <w:pStyle w:val="NoSpacing"/>
      </w:pPr>
    </w:p>
    <w:p w14:paraId="03B6BCAF" w14:textId="0E1E7776" w:rsidR="00A10AC1" w:rsidRPr="004E6275" w:rsidRDefault="00A10AC1" w:rsidP="00A10AC1">
      <w:pPr>
        <w:pStyle w:val="NoSpacing"/>
        <w:rPr>
          <w:sz w:val="24"/>
          <w:szCs w:val="24"/>
          <w:lang w:eastAsia="en-CA"/>
        </w:rPr>
      </w:pPr>
      <w:r w:rsidRPr="004E6275">
        <w:rPr>
          <w:sz w:val="24"/>
          <w:szCs w:val="24"/>
          <w:lang w:eastAsia="en-CA"/>
        </w:rPr>
        <w:t xml:space="preserve">This document </w:t>
      </w:r>
      <w:r>
        <w:rPr>
          <w:sz w:val="24"/>
          <w:szCs w:val="24"/>
          <w:lang w:eastAsia="en-CA"/>
        </w:rPr>
        <w:t>contains</w:t>
      </w:r>
      <w:r w:rsidRPr="004E6275">
        <w:rPr>
          <w:sz w:val="24"/>
          <w:szCs w:val="24"/>
          <w:lang w:eastAsia="en-CA"/>
        </w:rPr>
        <w:t xml:space="preserve"> the following</w:t>
      </w:r>
      <w:r w:rsidR="00FB254C">
        <w:rPr>
          <w:sz w:val="24"/>
          <w:szCs w:val="24"/>
          <w:lang w:eastAsia="en-CA"/>
        </w:rPr>
        <w:t xml:space="preserve"> </w:t>
      </w:r>
      <w:r w:rsidRPr="004E6275">
        <w:rPr>
          <w:sz w:val="24"/>
          <w:szCs w:val="24"/>
          <w:lang w:eastAsia="en-CA"/>
        </w:rPr>
        <w:t>draft guidance:</w:t>
      </w:r>
    </w:p>
    <w:p w14:paraId="56CBD7B6" w14:textId="72885894" w:rsidR="00A10AC1" w:rsidRPr="004E6275" w:rsidRDefault="00A10AC1" w:rsidP="00A10AC1">
      <w:pPr>
        <w:pStyle w:val="NoSpacing"/>
        <w:numPr>
          <w:ilvl w:val="0"/>
          <w:numId w:val="25"/>
        </w:numPr>
        <w:ind w:left="720"/>
        <w:rPr>
          <w:sz w:val="24"/>
          <w:szCs w:val="24"/>
          <w:lang w:eastAsia="en-CA"/>
        </w:rPr>
      </w:pPr>
      <w:r w:rsidRPr="004E6275">
        <w:rPr>
          <w:sz w:val="24"/>
          <w:szCs w:val="24"/>
          <w:lang w:eastAsia="en-CA"/>
        </w:rPr>
        <w:t>a new subsection to guide departments and agencies on what information to include on Canada.ca</w:t>
      </w:r>
      <w:r w:rsidR="0091368B">
        <w:rPr>
          <w:sz w:val="24"/>
          <w:szCs w:val="24"/>
          <w:lang w:eastAsia="en-CA"/>
        </w:rPr>
        <w:t xml:space="preserve"> </w:t>
      </w:r>
      <w:r w:rsidR="0091368B" w:rsidRPr="004E6275">
        <w:rPr>
          <w:sz w:val="24"/>
          <w:szCs w:val="24"/>
          <w:lang w:eastAsia="en-CA"/>
        </w:rPr>
        <w:t>(</w:t>
      </w:r>
      <w:r w:rsidR="0091368B">
        <w:rPr>
          <w:sz w:val="24"/>
          <w:szCs w:val="24"/>
          <w:lang w:eastAsia="en-CA"/>
        </w:rPr>
        <w:t>Appendix </w:t>
      </w:r>
      <w:r w:rsidR="0091368B" w:rsidRPr="004E6275">
        <w:rPr>
          <w:sz w:val="24"/>
          <w:szCs w:val="24"/>
          <w:lang w:eastAsia="en-CA"/>
        </w:rPr>
        <w:t>A)</w:t>
      </w:r>
      <w:r w:rsidRPr="004E6275">
        <w:rPr>
          <w:sz w:val="24"/>
          <w:szCs w:val="24"/>
          <w:lang w:eastAsia="en-CA"/>
        </w:rPr>
        <w:t>, which will be incorporated in</w:t>
      </w:r>
      <w:r w:rsidR="0091368B">
        <w:rPr>
          <w:sz w:val="24"/>
          <w:szCs w:val="24"/>
          <w:lang w:eastAsia="en-CA"/>
        </w:rPr>
        <w:t>to</w:t>
      </w:r>
      <w:r w:rsidRPr="004E6275">
        <w:rPr>
          <w:sz w:val="24"/>
          <w:szCs w:val="24"/>
          <w:lang w:eastAsia="en-CA"/>
        </w:rPr>
        <w:t xml:space="preserve"> the </w:t>
      </w:r>
      <w:hyperlink r:id="rId8" w:history="1">
        <w:r w:rsidRPr="006726ED">
          <w:rPr>
            <w:rStyle w:val="Hyperlink"/>
            <w:sz w:val="24"/>
            <w:szCs w:val="24"/>
            <w:lang w:eastAsia="en-CA"/>
          </w:rPr>
          <w:t>Guideline on Service Management</w:t>
        </w:r>
      </w:hyperlink>
      <w:r w:rsidRPr="004E6275">
        <w:rPr>
          <w:sz w:val="24"/>
          <w:szCs w:val="24"/>
          <w:lang w:eastAsia="en-CA"/>
        </w:rPr>
        <w:t xml:space="preserve"> </w:t>
      </w:r>
      <w:r w:rsidR="0091368B">
        <w:rPr>
          <w:sz w:val="24"/>
          <w:szCs w:val="24"/>
          <w:lang w:eastAsia="en-CA"/>
        </w:rPr>
        <w:t>in a forthcoming update</w:t>
      </w:r>
      <w:r w:rsidR="0091368B" w:rsidRPr="004E6275">
        <w:rPr>
          <w:sz w:val="24"/>
          <w:szCs w:val="24"/>
          <w:lang w:eastAsia="en-CA"/>
        </w:rPr>
        <w:t xml:space="preserve"> </w:t>
      </w:r>
    </w:p>
    <w:p w14:paraId="651F51A8" w14:textId="6DEF3DB0" w:rsidR="00A10AC1" w:rsidRPr="004E6275" w:rsidRDefault="00A10AC1" w:rsidP="00A10AC1">
      <w:pPr>
        <w:pStyle w:val="NoSpacing"/>
        <w:numPr>
          <w:ilvl w:val="0"/>
          <w:numId w:val="25"/>
        </w:numPr>
        <w:ind w:left="720"/>
        <w:rPr>
          <w:sz w:val="24"/>
          <w:szCs w:val="24"/>
          <w:lang w:eastAsia="en-CA"/>
        </w:rPr>
      </w:pPr>
      <w:r w:rsidRPr="004E6275">
        <w:rPr>
          <w:sz w:val="24"/>
          <w:szCs w:val="24"/>
          <w:lang w:eastAsia="en-CA"/>
        </w:rPr>
        <w:t xml:space="preserve">a </w:t>
      </w:r>
      <w:r w:rsidR="0091368B">
        <w:rPr>
          <w:sz w:val="24"/>
          <w:szCs w:val="24"/>
          <w:lang w:eastAsia="en-CA"/>
        </w:rPr>
        <w:t>new</w:t>
      </w:r>
      <w:r w:rsidR="0091368B" w:rsidRPr="004E6275">
        <w:rPr>
          <w:sz w:val="24"/>
          <w:szCs w:val="24"/>
          <w:lang w:eastAsia="en-CA"/>
        </w:rPr>
        <w:t xml:space="preserve"> template </w:t>
      </w:r>
      <w:r w:rsidR="0091368B">
        <w:rPr>
          <w:sz w:val="24"/>
          <w:szCs w:val="24"/>
          <w:lang w:eastAsia="en-CA"/>
        </w:rPr>
        <w:t xml:space="preserve">for service standards and performance information to be posted on </w:t>
      </w:r>
      <w:r w:rsidRPr="004E6275">
        <w:rPr>
          <w:sz w:val="24"/>
          <w:szCs w:val="24"/>
          <w:lang w:eastAsia="en-CA"/>
        </w:rPr>
        <w:t>Canada.ca</w:t>
      </w:r>
      <w:r w:rsidR="0091368B">
        <w:rPr>
          <w:sz w:val="24"/>
          <w:szCs w:val="24"/>
          <w:lang w:eastAsia="en-CA"/>
        </w:rPr>
        <w:t xml:space="preserve"> </w:t>
      </w:r>
      <w:r w:rsidR="0091368B" w:rsidRPr="004E6275">
        <w:rPr>
          <w:sz w:val="24"/>
          <w:szCs w:val="24"/>
          <w:lang w:eastAsia="en-CA"/>
        </w:rPr>
        <w:t>(</w:t>
      </w:r>
      <w:r w:rsidR="0091368B">
        <w:rPr>
          <w:sz w:val="24"/>
          <w:szCs w:val="24"/>
          <w:lang w:eastAsia="en-CA"/>
        </w:rPr>
        <w:t>Appendix </w:t>
      </w:r>
      <w:r w:rsidR="0091368B" w:rsidRPr="004E6275">
        <w:rPr>
          <w:sz w:val="24"/>
          <w:szCs w:val="24"/>
          <w:lang w:eastAsia="en-CA"/>
        </w:rPr>
        <w:t>B)</w:t>
      </w:r>
      <w:r w:rsidRPr="004E6275">
        <w:rPr>
          <w:sz w:val="24"/>
          <w:szCs w:val="24"/>
          <w:lang w:eastAsia="en-CA"/>
        </w:rPr>
        <w:t xml:space="preserve">, which will </w:t>
      </w:r>
      <w:r w:rsidR="004A42B3">
        <w:rPr>
          <w:sz w:val="24"/>
          <w:szCs w:val="24"/>
          <w:lang w:eastAsia="en-CA"/>
        </w:rPr>
        <w:t xml:space="preserve">replace </w:t>
      </w:r>
      <w:r w:rsidRPr="004E6275">
        <w:rPr>
          <w:sz w:val="24"/>
          <w:szCs w:val="24"/>
          <w:lang w:eastAsia="en-CA"/>
        </w:rPr>
        <w:t xml:space="preserve">the </w:t>
      </w:r>
      <w:hyperlink r:id="rId9" w:history="1">
        <w:r w:rsidRPr="004E6275">
          <w:rPr>
            <w:rStyle w:val="Hyperlink"/>
            <w:sz w:val="24"/>
            <w:szCs w:val="24"/>
            <w:lang w:eastAsia="en-CA"/>
          </w:rPr>
          <w:t>Institutional service performance reporting page for Canada.ca</w:t>
        </w:r>
      </w:hyperlink>
      <w:r w:rsidRPr="004E6275">
        <w:rPr>
          <w:sz w:val="24"/>
          <w:szCs w:val="24"/>
          <w:lang w:eastAsia="en-CA"/>
        </w:rPr>
        <w:t>, as the Canada.ca Content and Information Architecture Specification</w:t>
      </w:r>
    </w:p>
    <w:p w14:paraId="3AA10FA0" w14:textId="77777777" w:rsidR="00844214" w:rsidRPr="004E6275" w:rsidRDefault="00844214" w:rsidP="005D5567">
      <w:pPr>
        <w:pStyle w:val="NoSpacing"/>
        <w:rPr>
          <w:sz w:val="24"/>
          <w:szCs w:val="24"/>
          <w:lang w:eastAsia="en-CA"/>
        </w:rPr>
      </w:pPr>
    </w:p>
    <w:p w14:paraId="5E5A008D" w14:textId="65A7A253" w:rsidR="00124049" w:rsidRDefault="0091368B" w:rsidP="0017362A">
      <w:pPr>
        <w:pStyle w:val="NoSpacing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It</w:t>
      </w:r>
      <w:r w:rsidR="001240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has been developed by staff in the following areas of the Treasury Board of Canada Secretariat:</w:t>
      </w:r>
    </w:p>
    <w:p w14:paraId="2691037F" w14:textId="2411B1D0" w:rsidR="00124049" w:rsidRDefault="00124049" w:rsidP="0091368B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4E627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Chief Information Officer Branch</w:t>
      </w:r>
    </w:p>
    <w:p w14:paraId="7EC571E6" w14:textId="77777777" w:rsidR="00FB254C" w:rsidRDefault="00124049" w:rsidP="00FB254C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4E627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Office of the Comptroller General of Canada</w:t>
      </w:r>
    </w:p>
    <w:p w14:paraId="20E90AAC" w14:textId="55DF47E9" w:rsidR="00124049" w:rsidRPr="00FB254C" w:rsidRDefault="00124049" w:rsidP="00FB254C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FB254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Regulatory Affairs Sector </w:t>
      </w:r>
    </w:p>
    <w:p w14:paraId="08B5FC85" w14:textId="71D69D31" w:rsidR="00124049" w:rsidRPr="00124049" w:rsidRDefault="00124049" w:rsidP="0091368B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1240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Strategic Communications and Ministerial Affairs (Digital Transformation Office)</w:t>
      </w:r>
    </w:p>
    <w:p w14:paraId="09CCA367" w14:textId="77777777" w:rsidR="00124049" w:rsidRDefault="00124049" w:rsidP="00F54879">
      <w:pPr>
        <w:pStyle w:val="NoSpacing"/>
        <w:rPr>
          <w:sz w:val="24"/>
          <w:szCs w:val="24"/>
          <w:lang w:eastAsia="en-CA"/>
        </w:rPr>
      </w:pPr>
    </w:p>
    <w:p w14:paraId="46360525" w14:textId="21702D37" w:rsidR="0093381B" w:rsidRPr="0017362A" w:rsidRDefault="0093381B" w:rsidP="00F54879">
      <w:pPr>
        <w:pStyle w:val="NoSpacing"/>
        <w:rPr>
          <w:b/>
          <w:sz w:val="24"/>
          <w:szCs w:val="24"/>
          <w:lang w:eastAsia="en-CA"/>
        </w:rPr>
      </w:pPr>
      <w:r w:rsidRPr="0017362A">
        <w:rPr>
          <w:b/>
          <w:sz w:val="24"/>
          <w:szCs w:val="24"/>
          <w:lang w:eastAsia="en-CA"/>
        </w:rPr>
        <w:t>Feedback</w:t>
      </w:r>
    </w:p>
    <w:p w14:paraId="7B81CE37" w14:textId="77777777" w:rsidR="0091368B" w:rsidRDefault="0091368B" w:rsidP="00F54879">
      <w:pPr>
        <w:pStyle w:val="NoSpacing"/>
        <w:rPr>
          <w:sz w:val="24"/>
          <w:szCs w:val="24"/>
          <w:lang w:eastAsia="en-CA"/>
        </w:rPr>
      </w:pPr>
    </w:p>
    <w:p w14:paraId="336DB613" w14:textId="190BFEE3" w:rsidR="0025230E" w:rsidRPr="004E6275" w:rsidRDefault="004E6275" w:rsidP="00F54879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Feedback from d</w:t>
      </w:r>
      <w:r w:rsidR="00AC6E9E" w:rsidRPr="004E6275">
        <w:rPr>
          <w:sz w:val="24"/>
          <w:szCs w:val="24"/>
          <w:lang w:eastAsia="en-CA"/>
        </w:rPr>
        <w:t>epartment</w:t>
      </w:r>
      <w:r>
        <w:rPr>
          <w:sz w:val="24"/>
          <w:szCs w:val="24"/>
          <w:lang w:eastAsia="en-CA"/>
        </w:rPr>
        <w:t>s</w:t>
      </w:r>
      <w:r w:rsidR="004749E7" w:rsidRPr="004E6275">
        <w:rPr>
          <w:sz w:val="24"/>
          <w:szCs w:val="24"/>
          <w:lang w:eastAsia="en-CA"/>
        </w:rPr>
        <w:t xml:space="preserve"> and agenc</w:t>
      </w:r>
      <w:r>
        <w:rPr>
          <w:sz w:val="24"/>
          <w:szCs w:val="24"/>
          <w:lang w:eastAsia="en-CA"/>
        </w:rPr>
        <w:t>ies</w:t>
      </w:r>
      <w:r w:rsidR="00AC6E9E" w:rsidRPr="004E6275">
        <w:rPr>
          <w:sz w:val="24"/>
          <w:szCs w:val="24"/>
          <w:lang w:eastAsia="en-CA"/>
        </w:rPr>
        <w:t xml:space="preserve"> on </w:t>
      </w:r>
      <w:r w:rsidR="006D6721" w:rsidRPr="004E6275">
        <w:rPr>
          <w:sz w:val="24"/>
          <w:szCs w:val="24"/>
          <w:lang w:eastAsia="en-CA"/>
        </w:rPr>
        <w:t>th</w:t>
      </w:r>
      <w:r>
        <w:rPr>
          <w:sz w:val="24"/>
          <w:szCs w:val="24"/>
          <w:lang w:eastAsia="en-CA"/>
        </w:rPr>
        <w:t>is</w:t>
      </w:r>
      <w:r w:rsidR="006D6721" w:rsidRPr="004E6275">
        <w:rPr>
          <w:sz w:val="24"/>
          <w:szCs w:val="24"/>
          <w:lang w:eastAsia="en-CA"/>
        </w:rPr>
        <w:t xml:space="preserve"> draft</w:t>
      </w:r>
      <w:r w:rsidR="00AC6E9E" w:rsidRPr="004E6275">
        <w:rPr>
          <w:sz w:val="24"/>
          <w:szCs w:val="24"/>
          <w:lang w:eastAsia="en-CA"/>
        </w:rPr>
        <w:t xml:space="preserve"> guidance is welcome</w:t>
      </w:r>
      <w:r w:rsidR="007201EC" w:rsidRPr="004E6275">
        <w:rPr>
          <w:sz w:val="24"/>
          <w:szCs w:val="24"/>
          <w:lang w:eastAsia="en-CA"/>
        </w:rPr>
        <w:t xml:space="preserve"> </w:t>
      </w:r>
      <w:r w:rsidR="006D6721" w:rsidRPr="004E6275">
        <w:rPr>
          <w:sz w:val="24"/>
          <w:szCs w:val="24"/>
          <w:lang w:eastAsia="en-CA"/>
        </w:rPr>
        <w:t>and may be submitted by</w:t>
      </w:r>
      <w:r w:rsidR="0025230E" w:rsidRPr="004E6275">
        <w:rPr>
          <w:sz w:val="24"/>
          <w:szCs w:val="24"/>
          <w:lang w:eastAsia="en-CA"/>
        </w:rPr>
        <w:t xml:space="preserve"> contacting:</w:t>
      </w:r>
    </w:p>
    <w:p w14:paraId="6A640D64" w14:textId="77777777" w:rsidR="0025230E" w:rsidRPr="004E6275" w:rsidRDefault="0025230E" w:rsidP="00F54879">
      <w:pPr>
        <w:pStyle w:val="NoSpacing"/>
        <w:rPr>
          <w:sz w:val="24"/>
          <w:szCs w:val="24"/>
          <w:lang w:eastAsia="en-CA"/>
        </w:rPr>
      </w:pPr>
    </w:p>
    <w:p w14:paraId="2FAAEFD4" w14:textId="77777777" w:rsidR="0025230E" w:rsidRPr="004E6275" w:rsidRDefault="007201EC" w:rsidP="0017362A">
      <w:pPr>
        <w:pStyle w:val="NoSpacing"/>
        <w:ind w:left="720"/>
        <w:rPr>
          <w:sz w:val="24"/>
          <w:szCs w:val="24"/>
          <w:lang w:eastAsia="en-CA"/>
        </w:rPr>
      </w:pPr>
      <w:r w:rsidRPr="004E6275">
        <w:rPr>
          <w:sz w:val="24"/>
          <w:szCs w:val="24"/>
          <w:lang w:eastAsia="en-CA"/>
        </w:rPr>
        <w:t>Angela Doyle</w:t>
      </w:r>
      <w:r w:rsidR="0025230E" w:rsidRPr="004E6275">
        <w:rPr>
          <w:sz w:val="24"/>
          <w:szCs w:val="24"/>
          <w:lang w:eastAsia="en-CA"/>
        </w:rPr>
        <w:t>, Regulatory Affairs Sector</w:t>
      </w:r>
    </w:p>
    <w:p w14:paraId="71AF8E40" w14:textId="5AA4A691" w:rsidR="0025230E" w:rsidRPr="004E6275" w:rsidRDefault="0025230E" w:rsidP="0017362A">
      <w:pPr>
        <w:pStyle w:val="NoSpacing"/>
        <w:ind w:left="720"/>
        <w:rPr>
          <w:sz w:val="24"/>
          <w:szCs w:val="24"/>
          <w:lang w:eastAsia="en-CA"/>
        </w:rPr>
      </w:pPr>
      <w:r w:rsidRPr="004E6275">
        <w:rPr>
          <w:sz w:val="24"/>
          <w:szCs w:val="24"/>
          <w:lang w:eastAsia="en-CA"/>
        </w:rPr>
        <w:t xml:space="preserve">Tel.: </w:t>
      </w:r>
      <w:r w:rsidR="000F416E" w:rsidRPr="004E6275">
        <w:rPr>
          <w:sz w:val="24"/>
          <w:szCs w:val="24"/>
          <w:lang w:eastAsia="en-CA"/>
        </w:rPr>
        <w:t>613</w:t>
      </w:r>
      <w:r w:rsidR="00AB03BD">
        <w:rPr>
          <w:sz w:val="24"/>
          <w:szCs w:val="24"/>
          <w:lang w:eastAsia="en-CA"/>
        </w:rPr>
        <w:noBreakHyphen/>
      </w:r>
      <w:r w:rsidR="000F416E" w:rsidRPr="004E6275">
        <w:rPr>
          <w:sz w:val="24"/>
          <w:szCs w:val="24"/>
          <w:lang w:eastAsia="en-CA"/>
        </w:rPr>
        <w:t>793</w:t>
      </w:r>
      <w:r w:rsidR="00AB03BD">
        <w:rPr>
          <w:sz w:val="24"/>
          <w:szCs w:val="24"/>
          <w:lang w:eastAsia="en-CA"/>
        </w:rPr>
        <w:noBreakHyphen/>
      </w:r>
      <w:r w:rsidR="000F416E" w:rsidRPr="004E6275">
        <w:rPr>
          <w:sz w:val="24"/>
          <w:szCs w:val="24"/>
          <w:lang w:eastAsia="en-CA"/>
        </w:rPr>
        <w:t>4925</w:t>
      </w:r>
    </w:p>
    <w:p w14:paraId="0FD186FD" w14:textId="5EF3A933" w:rsidR="0025230E" w:rsidRPr="004E6275" w:rsidRDefault="00565167" w:rsidP="0017362A">
      <w:pPr>
        <w:pStyle w:val="NoSpacing"/>
        <w:ind w:left="720"/>
        <w:rPr>
          <w:sz w:val="24"/>
          <w:szCs w:val="24"/>
          <w:lang w:eastAsia="en-CA"/>
        </w:rPr>
      </w:pPr>
      <w:hyperlink r:id="rId10" w:history="1">
        <w:r w:rsidR="0025230E" w:rsidRPr="004E6275">
          <w:rPr>
            <w:rStyle w:val="Hyperlink"/>
            <w:sz w:val="24"/>
            <w:szCs w:val="24"/>
            <w:lang w:eastAsia="en-CA"/>
          </w:rPr>
          <w:t>Angela.Doyle@tbs-sct.gc.ca</w:t>
        </w:r>
      </w:hyperlink>
    </w:p>
    <w:p w14:paraId="44AEE2FE" w14:textId="77777777" w:rsidR="0025230E" w:rsidRPr="004E6275" w:rsidRDefault="0025230E" w:rsidP="00F54879">
      <w:pPr>
        <w:pStyle w:val="NoSpacing"/>
        <w:rPr>
          <w:sz w:val="24"/>
          <w:szCs w:val="24"/>
          <w:lang w:eastAsia="en-CA"/>
        </w:rPr>
      </w:pPr>
    </w:p>
    <w:p w14:paraId="1A0CAE67" w14:textId="47D5584B" w:rsidR="004E6275" w:rsidRDefault="004E6275">
      <w:pPr>
        <w:spacing w:after="160" w:line="259" w:lineRule="auto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br w:type="page"/>
      </w:r>
    </w:p>
    <w:p w14:paraId="47996050" w14:textId="71926B22" w:rsidR="000561A3" w:rsidRDefault="006622A7" w:rsidP="003C79D5">
      <w:pPr>
        <w:pStyle w:val="NoSpacing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 w:rsidRPr="004E6275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lastRenderedPageBreak/>
        <w:t>A</w:t>
      </w:r>
      <w:r w:rsidR="008C1F6A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ppendix</w:t>
      </w:r>
      <w:r w:rsidRPr="004E6275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A: </w:t>
      </w:r>
      <w:r w:rsidR="00C15E25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New section on service standards information to include on Canada.ca</w:t>
      </w:r>
    </w:p>
    <w:p w14:paraId="2A249B56" w14:textId="77777777" w:rsidR="003E6CD0" w:rsidRPr="004E6275" w:rsidRDefault="003E6CD0" w:rsidP="003C79D5">
      <w:pPr>
        <w:pStyle w:val="NoSpacing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14:paraId="5C345FAE" w14:textId="738A7112" w:rsidR="0001387A" w:rsidRPr="004E6275" w:rsidRDefault="00CE1164" w:rsidP="000561A3">
      <w:pPr>
        <w:pStyle w:val="NoSpacing"/>
      </w:pPr>
      <w:r w:rsidRPr="004E6275">
        <w:t>Each fiscal year</w:t>
      </w:r>
      <w:r w:rsidR="0001387A" w:rsidRPr="004E6275">
        <w:t xml:space="preserve">, </w:t>
      </w:r>
      <w:r w:rsidR="003C79D5">
        <w:t xml:space="preserve">every </w:t>
      </w:r>
      <w:r w:rsidR="0001387A" w:rsidRPr="004E6275">
        <w:t>department</w:t>
      </w:r>
      <w:r w:rsidR="004749E7" w:rsidRPr="004E6275">
        <w:t xml:space="preserve"> </w:t>
      </w:r>
      <w:r w:rsidR="0001387A" w:rsidRPr="004E6275">
        <w:t>should include the following information on Canada.ca for service</w:t>
      </w:r>
      <w:r w:rsidR="00461FF8">
        <w:t>s</w:t>
      </w:r>
      <w:r w:rsidR="00D90874">
        <w:t xml:space="preserve"> they offer</w:t>
      </w:r>
      <w:r w:rsidR="00C83816">
        <w:t xml:space="preserve">. This </w:t>
      </w:r>
      <w:r w:rsidR="001C443E">
        <w:t xml:space="preserve">information should </w:t>
      </w:r>
      <w:r w:rsidR="00C83816">
        <w:t xml:space="preserve">be consistent with the information in </w:t>
      </w:r>
      <w:r w:rsidR="00352028" w:rsidRPr="004E6275">
        <w:t xml:space="preserve">their </w:t>
      </w:r>
      <w:r w:rsidR="004D0A69" w:rsidRPr="004E6275">
        <w:t>service inventor</w:t>
      </w:r>
      <w:r w:rsidR="00C83816">
        <w:t>y</w:t>
      </w:r>
      <w:r w:rsidR="009114AC">
        <w:t>.</w:t>
      </w:r>
    </w:p>
    <w:p w14:paraId="72E5F1EA" w14:textId="77777777" w:rsidR="000561A3" w:rsidRPr="004E6275" w:rsidRDefault="000561A3" w:rsidP="000561A3">
      <w:pPr>
        <w:pStyle w:val="NoSpacing"/>
      </w:pPr>
    </w:p>
    <w:p w14:paraId="2A157168" w14:textId="32B3450A" w:rsidR="00885D7B" w:rsidRPr="004E6275" w:rsidRDefault="0001387A" w:rsidP="0001387A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</w:rPr>
      </w:pPr>
      <w:r w:rsidRPr="004E6275">
        <w:rPr>
          <w:rFonts w:asciiTheme="minorHAnsi" w:hAnsiTheme="minorHAnsi"/>
          <w:b/>
          <w:bCs/>
        </w:rPr>
        <w:t xml:space="preserve">Service name: </w:t>
      </w:r>
      <w:r w:rsidRPr="004E6275">
        <w:rPr>
          <w:rFonts w:asciiTheme="minorHAnsi" w:hAnsiTheme="minorHAnsi"/>
        </w:rPr>
        <w:t>The official name of the service</w:t>
      </w:r>
      <w:r w:rsidR="00185C1C" w:rsidRPr="004E6275">
        <w:rPr>
          <w:rFonts w:asciiTheme="minorHAnsi" w:hAnsiTheme="minorHAnsi"/>
        </w:rPr>
        <w:t>.</w:t>
      </w:r>
    </w:p>
    <w:p w14:paraId="2FD63211" w14:textId="77777777" w:rsidR="0001387A" w:rsidRPr="004E6275" w:rsidRDefault="0001387A" w:rsidP="0001387A">
      <w:pPr>
        <w:ind w:left="1080"/>
        <w:contextualSpacing/>
        <w:rPr>
          <w:rFonts w:asciiTheme="minorHAnsi" w:hAnsiTheme="minorHAnsi"/>
        </w:rPr>
      </w:pPr>
    </w:p>
    <w:p w14:paraId="3390BDB8" w14:textId="0162C299" w:rsidR="006E731F" w:rsidRPr="004E6275" w:rsidRDefault="0001387A" w:rsidP="00271DD6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</w:rPr>
      </w:pPr>
      <w:r w:rsidRPr="004E6275">
        <w:rPr>
          <w:rFonts w:asciiTheme="minorHAnsi" w:hAnsiTheme="minorHAnsi"/>
          <w:b/>
          <w:bCs/>
        </w:rPr>
        <w:t xml:space="preserve">Service description: </w:t>
      </w:r>
      <w:r w:rsidRPr="004E6275">
        <w:rPr>
          <w:rFonts w:asciiTheme="minorHAnsi" w:hAnsiTheme="minorHAnsi"/>
        </w:rPr>
        <w:t>A brief description of the service and the need</w:t>
      </w:r>
      <w:r w:rsidR="000250F5" w:rsidRPr="004E6275">
        <w:rPr>
          <w:rFonts w:asciiTheme="minorHAnsi" w:hAnsiTheme="minorHAnsi"/>
        </w:rPr>
        <w:t>(</w:t>
      </w:r>
      <w:r w:rsidRPr="004E6275">
        <w:rPr>
          <w:rFonts w:asciiTheme="minorHAnsi" w:hAnsiTheme="minorHAnsi"/>
        </w:rPr>
        <w:t>s</w:t>
      </w:r>
      <w:r w:rsidR="000250F5" w:rsidRPr="004E6275">
        <w:rPr>
          <w:rFonts w:asciiTheme="minorHAnsi" w:hAnsiTheme="minorHAnsi"/>
        </w:rPr>
        <w:t>)</w:t>
      </w:r>
      <w:r w:rsidRPr="004E6275">
        <w:rPr>
          <w:rFonts w:asciiTheme="minorHAnsi" w:hAnsiTheme="minorHAnsi"/>
        </w:rPr>
        <w:t xml:space="preserve"> it meets. </w:t>
      </w:r>
      <w:r w:rsidR="00935ECA" w:rsidRPr="004E6275">
        <w:rPr>
          <w:rFonts w:asciiTheme="minorHAnsi" w:hAnsiTheme="minorHAnsi"/>
        </w:rPr>
        <w:t>Departments</w:t>
      </w:r>
      <w:r w:rsidR="004749E7" w:rsidRPr="004E6275">
        <w:rPr>
          <w:rFonts w:asciiTheme="minorHAnsi" w:hAnsiTheme="minorHAnsi"/>
        </w:rPr>
        <w:t xml:space="preserve"> </w:t>
      </w:r>
      <w:r w:rsidR="00935ECA" w:rsidRPr="004E6275">
        <w:rPr>
          <w:rFonts w:asciiTheme="minorHAnsi" w:hAnsiTheme="minorHAnsi"/>
        </w:rPr>
        <w:t>sh</w:t>
      </w:r>
      <w:r w:rsidRPr="004E6275">
        <w:rPr>
          <w:rFonts w:asciiTheme="minorHAnsi" w:hAnsiTheme="minorHAnsi"/>
        </w:rPr>
        <w:t xml:space="preserve">ould </w:t>
      </w:r>
      <w:r w:rsidR="0054136B" w:rsidRPr="004E6275">
        <w:rPr>
          <w:rFonts w:asciiTheme="minorHAnsi" w:hAnsiTheme="minorHAnsi"/>
        </w:rPr>
        <w:t xml:space="preserve">also </w:t>
      </w:r>
      <w:r w:rsidR="00725B15" w:rsidRPr="004E6275">
        <w:rPr>
          <w:rFonts w:asciiTheme="minorHAnsi" w:hAnsiTheme="minorHAnsi"/>
        </w:rPr>
        <w:t xml:space="preserve">include the </w:t>
      </w:r>
      <w:r w:rsidR="004E3F49" w:rsidRPr="004E6275">
        <w:rPr>
          <w:rFonts w:asciiTheme="minorHAnsi" w:hAnsiTheme="minorHAnsi"/>
        </w:rPr>
        <w:t>URL</w:t>
      </w:r>
      <w:r w:rsidR="00484A1C" w:rsidRPr="004E6275">
        <w:rPr>
          <w:rFonts w:asciiTheme="minorHAnsi" w:hAnsiTheme="minorHAnsi"/>
        </w:rPr>
        <w:t xml:space="preserve"> </w:t>
      </w:r>
      <w:r w:rsidR="0054136B" w:rsidRPr="004E6275">
        <w:rPr>
          <w:rFonts w:asciiTheme="minorHAnsi" w:hAnsiTheme="minorHAnsi"/>
        </w:rPr>
        <w:t>on the</w:t>
      </w:r>
      <w:r w:rsidR="004E3F49" w:rsidRPr="004E6275">
        <w:rPr>
          <w:rFonts w:asciiTheme="minorHAnsi" w:hAnsiTheme="minorHAnsi"/>
        </w:rPr>
        <w:t xml:space="preserve"> service being offered</w:t>
      </w:r>
      <w:r w:rsidRPr="004E6275">
        <w:rPr>
          <w:rFonts w:asciiTheme="minorHAnsi" w:hAnsiTheme="minorHAnsi"/>
        </w:rPr>
        <w:t>.</w:t>
      </w:r>
      <w:r w:rsidR="00271DD6" w:rsidRPr="004E6275">
        <w:rPr>
          <w:rFonts w:asciiTheme="minorHAnsi" w:hAnsiTheme="minorHAnsi"/>
        </w:rPr>
        <w:t xml:space="preserve"> </w:t>
      </w:r>
      <w:r w:rsidR="006E731F" w:rsidRPr="004E6275">
        <w:rPr>
          <w:rFonts w:asciiTheme="minorHAnsi" w:hAnsiTheme="minorHAnsi"/>
        </w:rPr>
        <w:t>In accordance with the Policy on Regulatory Transparency and Accountability, department</w:t>
      </w:r>
      <w:r w:rsidR="004749E7" w:rsidRPr="004E6275">
        <w:rPr>
          <w:rFonts w:asciiTheme="minorHAnsi" w:hAnsiTheme="minorHAnsi"/>
        </w:rPr>
        <w:t xml:space="preserve">s </w:t>
      </w:r>
      <w:r w:rsidR="006E731F" w:rsidRPr="004E6275">
        <w:rPr>
          <w:rFonts w:asciiTheme="minorHAnsi" w:hAnsiTheme="minorHAnsi"/>
        </w:rPr>
        <w:t>must indicate whether the service is a high</w:t>
      </w:r>
      <w:r w:rsidR="00AB03BD">
        <w:rPr>
          <w:rFonts w:asciiTheme="minorHAnsi" w:hAnsiTheme="minorHAnsi"/>
        </w:rPr>
        <w:noBreakHyphen/>
      </w:r>
      <w:r w:rsidR="006E731F" w:rsidRPr="004E6275">
        <w:rPr>
          <w:rFonts w:asciiTheme="minorHAnsi" w:hAnsiTheme="minorHAnsi"/>
        </w:rPr>
        <w:t>volume regulatory transaction</w:t>
      </w:r>
      <w:r w:rsidR="0054136B" w:rsidRPr="004E6275">
        <w:rPr>
          <w:rFonts w:asciiTheme="minorHAnsi" w:hAnsiTheme="minorHAnsi"/>
        </w:rPr>
        <w:t>.</w:t>
      </w:r>
    </w:p>
    <w:p w14:paraId="302B28F4" w14:textId="764758BF" w:rsidR="0001387A" w:rsidRPr="004E6275" w:rsidRDefault="00A0731C" w:rsidP="00D16DA2">
      <w:pPr>
        <w:pStyle w:val="ListParagraph"/>
        <w:numPr>
          <w:ilvl w:val="0"/>
          <w:numId w:val="1"/>
        </w:numPr>
        <w:spacing w:after="160" w:line="252" w:lineRule="auto"/>
        <w:ind w:left="1080"/>
        <w:rPr>
          <w:rFonts w:asciiTheme="minorHAnsi" w:hAnsiTheme="minorHAnsi"/>
        </w:rPr>
      </w:pPr>
      <w:r w:rsidRPr="004E6275">
        <w:rPr>
          <w:rFonts w:asciiTheme="minorHAnsi" w:hAnsiTheme="minorHAnsi"/>
          <w:b/>
          <w:bCs/>
        </w:rPr>
        <w:t>S</w:t>
      </w:r>
      <w:r w:rsidR="006C4A7B" w:rsidRPr="004E6275">
        <w:rPr>
          <w:rFonts w:asciiTheme="minorHAnsi" w:hAnsiTheme="minorHAnsi"/>
          <w:b/>
          <w:bCs/>
        </w:rPr>
        <w:t>ervice standard:</w:t>
      </w:r>
      <w:r w:rsidR="0035230C" w:rsidRPr="004E6275">
        <w:rPr>
          <w:rFonts w:asciiTheme="minorHAnsi" w:hAnsiTheme="minorHAnsi"/>
          <w:b/>
          <w:bCs/>
        </w:rPr>
        <w:t xml:space="preserve"> </w:t>
      </w:r>
      <w:r w:rsidR="00B90E11" w:rsidRPr="004E6275">
        <w:rPr>
          <w:rFonts w:asciiTheme="minorHAnsi" w:hAnsiTheme="minorHAnsi"/>
          <w:bCs/>
        </w:rPr>
        <w:t>A</w:t>
      </w:r>
      <w:r w:rsidR="0035230C" w:rsidRPr="004E6275">
        <w:rPr>
          <w:rFonts w:asciiTheme="minorHAnsi" w:hAnsiTheme="minorHAnsi"/>
          <w:bCs/>
        </w:rPr>
        <w:t xml:space="preserve"> concise statement identifying the service standard, </w:t>
      </w:r>
      <w:r w:rsidR="006C4A7B" w:rsidRPr="004E6275">
        <w:rPr>
          <w:rFonts w:asciiTheme="minorHAnsi" w:hAnsiTheme="minorHAnsi"/>
          <w:bCs/>
        </w:rPr>
        <w:t xml:space="preserve">such as </w:t>
      </w:r>
      <w:r w:rsidR="0001387A" w:rsidRPr="004E6275">
        <w:rPr>
          <w:rFonts w:asciiTheme="minorHAnsi" w:hAnsiTheme="minorHAnsi"/>
        </w:rPr>
        <w:t xml:space="preserve">how long </w:t>
      </w:r>
      <w:r w:rsidR="000250F5" w:rsidRPr="004E6275">
        <w:rPr>
          <w:rFonts w:asciiTheme="minorHAnsi" w:hAnsiTheme="minorHAnsi"/>
        </w:rPr>
        <w:t>it takes</w:t>
      </w:r>
      <w:r w:rsidR="00D07537" w:rsidRPr="004E6275">
        <w:rPr>
          <w:rFonts w:asciiTheme="minorHAnsi" w:hAnsiTheme="minorHAnsi"/>
        </w:rPr>
        <w:t xml:space="preserve"> </w:t>
      </w:r>
      <w:r w:rsidR="0001387A" w:rsidRPr="004E6275">
        <w:rPr>
          <w:rFonts w:asciiTheme="minorHAnsi" w:hAnsiTheme="minorHAnsi"/>
        </w:rPr>
        <w:t>to receive a decision from the government on an application. For example, the department</w:t>
      </w:r>
      <w:r w:rsidR="004749E7" w:rsidRPr="004E6275">
        <w:rPr>
          <w:rFonts w:asciiTheme="minorHAnsi" w:hAnsiTheme="minorHAnsi"/>
        </w:rPr>
        <w:t xml:space="preserve"> or agency</w:t>
      </w:r>
      <w:r w:rsidR="0001387A" w:rsidRPr="004E6275">
        <w:rPr>
          <w:rFonts w:asciiTheme="minorHAnsi" w:hAnsiTheme="minorHAnsi"/>
        </w:rPr>
        <w:t xml:space="preserve"> could state “Our standard is to </w:t>
      </w:r>
      <w:r w:rsidR="00CD7505" w:rsidRPr="004E6275">
        <w:rPr>
          <w:rFonts w:asciiTheme="minorHAnsi" w:hAnsiTheme="minorHAnsi"/>
        </w:rPr>
        <w:t xml:space="preserve">issue a final decision </w:t>
      </w:r>
      <w:r w:rsidR="0001387A" w:rsidRPr="004E6275">
        <w:rPr>
          <w:rFonts w:asciiTheme="minorHAnsi" w:hAnsiTheme="minorHAnsi"/>
        </w:rPr>
        <w:t>within 20</w:t>
      </w:r>
      <w:r w:rsidR="00AB03BD">
        <w:rPr>
          <w:rFonts w:asciiTheme="minorHAnsi" w:hAnsiTheme="minorHAnsi"/>
        </w:rPr>
        <w:t> </w:t>
      </w:r>
      <w:r w:rsidR="0001387A" w:rsidRPr="004E6275">
        <w:rPr>
          <w:rFonts w:asciiTheme="minorHAnsi" w:hAnsiTheme="minorHAnsi"/>
        </w:rPr>
        <w:t>business days.”</w:t>
      </w:r>
    </w:p>
    <w:p w14:paraId="2DFA8A18" w14:textId="7EB37FBB" w:rsidR="0001387A" w:rsidRPr="004E6275" w:rsidRDefault="0001387A" w:rsidP="00D16DA2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  <w:b/>
          <w:bCs/>
        </w:rPr>
      </w:pPr>
      <w:r w:rsidRPr="004E6275">
        <w:rPr>
          <w:rFonts w:asciiTheme="minorHAnsi" w:hAnsiTheme="minorHAnsi"/>
          <w:b/>
          <w:bCs/>
        </w:rPr>
        <w:t>Operational performance target</w:t>
      </w:r>
      <w:r w:rsidRPr="004E6275">
        <w:rPr>
          <w:rFonts w:asciiTheme="minorHAnsi" w:hAnsiTheme="minorHAnsi"/>
        </w:rPr>
        <w:t xml:space="preserve">: The frequency with which the department </w:t>
      </w:r>
      <w:r w:rsidR="004749E7" w:rsidRPr="004E6275">
        <w:rPr>
          <w:rFonts w:asciiTheme="minorHAnsi" w:hAnsiTheme="minorHAnsi"/>
        </w:rPr>
        <w:t xml:space="preserve">or agency </w:t>
      </w:r>
      <w:r w:rsidRPr="004E6275">
        <w:rPr>
          <w:rFonts w:asciiTheme="minorHAnsi" w:hAnsiTheme="minorHAnsi"/>
        </w:rPr>
        <w:t xml:space="preserve">expects to meet </w:t>
      </w:r>
      <w:r w:rsidR="000250F5" w:rsidRPr="004E6275">
        <w:rPr>
          <w:rFonts w:asciiTheme="minorHAnsi" w:hAnsiTheme="minorHAnsi"/>
        </w:rPr>
        <w:t xml:space="preserve">the </w:t>
      </w:r>
      <w:r w:rsidRPr="004E6275">
        <w:rPr>
          <w:rFonts w:asciiTheme="minorHAnsi" w:hAnsiTheme="minorHAnsi"/>
        </w:rPr>
        <w:t>service standard</w:t>
      </w:r>
      <w:r w:rsidR="00AB03BD">
        <w:rPr>
          <w:rFonts w:asciiTheme="minorHAnsi" w:hAnsiTheme="minorHAnsi"/>
        </w:rPr>
        <w:t>(s)</w:t>
      </w:r>
      <w:r w:rsidRPr="004E6275">
        <w:rPr>
          <w:rFonts w:asciiTheme="minorHAnsi" w:hAnsiTheme="minorHAnsi"/>
        </w:rPr>
        <w:t xml:space="preserve"> under normal circumstances, expressed in a simple sentence and described as a percentage. For example, “Our target is to meet our service standard for at least 90% of applications</w:t>
      </w:r>
      <w:r w:rsidR="00D97F3B" w:rsidRPr="004E6275">
        <w:rPr>
          <w:rFonts w:asciiTheme="minorHAnsi" w:hAnsiTheme="minorHAnsi"/>
        </w:rPr>
        <w:t xml:space="preserve"> </w:t>
      </w:r>
      <w:r w:rsidR="00461FF8">
        <w:rPr>
          <w:rFonts w:asciiTheme="minorHAnsi" w:hAnsiTheme="minorHAnsi"/>
        </w:rPr>
        <w:t xml:space="preserve">submitted to </w:t>
      </w:r>
      <w:r w:rsidR="004749E7" w:rsidRPr="004E6275">
        <w:rPr>
          <w:rFonts w:asciiTheme="minorHAnsi" w:hAnsiTheme="minorHAnsi"/>
        </w:rPr>
        <w:t>[</w:t>
      </w:r>
      <w:r w:rsidR="00AB03BD">
        <w:rPr>
          <w:rFonts w:asciiTheme="minorHAnsi" w:hAnsiTheme="minorHAnsi"/>
        </w:rPr>
        <w:t>institution name</w:t>
      </w:r>
      <w:r w:rsidR="004749E7" w:rsidRPr="004E6275">
        <w:rPr>
          <w:rFonts w:asciiTheme="minorHAnsi" w:hAnsiTheme="minorHAnsi"/>
        </w:rPr>
        <w:t>]</w:t>
      </w:r>
      <w:r w:rsidRPr="004E6275">
        <w:rPr>
          <w:rFonts w:asciiTheme="minorHAnsi" w:hAnsiTheme="minorHAnsi"/>
        </w:rPr>
        <w:t xml:space="preserve">.” </w:t>
      </w:r>
    </w:p>
    <w:p w14:paraId="0227E58C" w14:textId="77777777" w:rsidR="004B1A8A" w:rsidRPr="004E6275" w:rsidRDefault="004B1A8A" w:rsidP="004B1A8A">
      <w:pPr>
        <w:spacing w:after="160" w:line="252" w:lineRule="auto"/>
        <w:ind w:left="720"/>
        <w:contextualSpacing/>
        <w:rPr>
          <w:rFonts w:asciiTheme="minorHAnsi" w:hAnsiTheme="minorHAnsi"/>
          <w:b/>
          <w:bCs/>
        </w:rPr>
      </w:pPr>
    </w:p>
    <w:p w14:paraId="759ED790" w14:textId="1A1E1EEF" w:rsidR="003124CB" w:rsidRPr="004E6275" w:rsidRDefault="0001387A" w:rsidP="003124CB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</w:rPr>
      </w:pPr>
      <w:r w:rsidRPr="004E6275">
        <w:rPr>
          <w:rFonts w:asciiTheme="minorHAnsi" w:hAnsiTheme="minorHAnsi"/>
          <w:b/>
          <w:bCs/>
        </w:rPr>
        <w:t>Operational performance results</w:t>
      </w:r>
      <w:r w:rsidRPr="004E6275">
        <w:rPr>
          <w:rFonts w:asciiTheme="minorHAnsi" w:hAnsiTheme="minorHAnsi"/>
        </w:rPr>
        <w:t>: Service performance results f</w:t>
      </w:r>
      <w:r w:rsidR="009A380A" w:rsidRPr="004E6275">
        <w:rPr>
          <w:rFonts w:asciiTheme="minorHAnsi" w:hAnsiTheme="minorHAnsi"/>
        </w:rPr>
        <w:t>or the preceding fiscal year</w:t>
      </w:r>
      <w:r w:rsidRPr="004E6275">
        <w:rPr>
          <w:rFonts w:asciiTheme="minorHAnsi" w:hAnsiTheme="minorHAnsi"/>
        </w:rPr>
        <w:t>. Performance mu</w:t>
      </w:r>
      <w:r w:rsidR="00A33FDD" w:rsidRPr="004E6275">
        <w:rPr>
          <w:rFonts w:asciiTheme="minorHAnsi" w:hAnsiTheme="minorHAnsi"/>
        </w:rPr>
        <w:t xml:space="preserve">st be expressed as a percentage, </w:t>
      </w:r>
      <w:r w:rsidR="00AB03BD">
        <w:rPr>
          <w:rFonts w:asciiTheme="minorHAnsi" w:hAnsiTheme="minorHAnsi"/>
        </w:rPr>
        <w:t>for example</w:t>
      </w:r>
      <w:r w:rsidR="00BA1896" w:rsidRPr="004E6275">
        <w:rPr>
          <w:rFonts w:asciiTheme="minorHAnsi" w:hAnsiTheme="minorHAnsi"/>
        </w:rPr>
        <w:t xml:space="preserve">, </w:t>
      </w:r>
      <w:r w:rsidR="00C51635" w:rsidRPr="004E6275">
        <w:rPr>
          <w:rFonts w:asciiTheme="minorHAnsi" w:hAnsiTheme="minorHAnsi"/>
        </w:rPr>
        <w:t>“the standard</w:t>
      </w:r>
      <w:r w:rsidR="00A33FDD" w:rsidRPr="004E6275">
        <w:rPr>
          <w:rFonts w:asciiTheme="minorHAnsi" w:hAnsiTheme="minorHAnsi"/>
        </w:rPr>
        <w:t xml:space="preserve"> </w:t>
      </w:r>
      <w:r w:rsidR="005746F5" w:rsidRPr="004E6275">
        <w:rPr>
          <w:rFonts w:asciiTheme="minorHAnsi" w:hAnsiTheme="minorHAnsi"/>
        </w:rPr>
        <w:t xml:space="preserve">was </w:t>
      </w:r>
      <w:r w:rsidR="00C51635" w:rsidRPr="004E6275">
        <w:rPr>
          <w:rFonts w:asciiTheme="minorHAnsi" w:hAnsiTheme="minorHAnsi"/>
        </w:rPr>
        <w:t>met</w:t>
      </w:r>
      <w:r w:rsidR="00A33FDD" w:rsidRPr="004E6275">
        <w:rPr>
          <w:rFonts w:asciiTheme="minorHAnsi" w:hAnsiTheme="minorHAnsi"/>
        </w:rPr>
        <w:t xml:space="preserve"> </w:t>
      </w:r>
      <w:r w:rsidR="00C51635" w:rsidRPr="004E6275">
        <w:rPr>
          <w:rFonts w:asciiTheme="minorHAnsi" w:hAnsiTheme="minorHAnsi"/>
        </w:rPr>
        <w:t xml:space="preserve">79% of </w:t>
      </w:r>
      <w:r w:rsidR="003124CB" w:rsidRPr="004E6275">
        <w:rPr>
          <w:rFonts w:asciiTheme="minorHAnsi" w:hAnsiTheme="minorHAnsi"/>
        </w:rPr>
        <w:t>the time.</w:t>
      </w:r>
      <w:r w:rsidR="00BB0025" w:rsidRPr="004E6275">
        <w:rPr>
          <w:rFonts w:asciiTheme="minorHAnsi" w:hAnsiTheme="minorHAnsi"/>
        </w:rPr>
        <w:t>”</w:t>
      </w:r>
      <w:r w:rsidR="003124CB" w:rsidRPr="004E6275">
        <w:rPr>
          <w:rFonts w:asciiTheme="minorHAnsi" w:hAnsiTheme="minorHAnsi"/>
        </w:rPr>
        <w:t xml:space="preserve"> For priority services,</w:t>
      </w:r>
      <w:r w:rsidR="00F31222" w:rsidRPr="004E6275">
        <w:rPr>
          <w:rFonts w:asciiTheme="minorHAnsi" w:hAnsiTheme="minorHAnsi"/>
        </w:rPr>
        <w:t xml:space="preserve"> real-time performance </w:t>
      </w:r>
      <w:r w:rsidR="003124CB" w:rsidRPr="004E6275">
        <w:rPr>
          <w:rFonts w:asciiTheme="minorHAnsi" w:hAnsiTheme="minorHAnsi"/>
        </w:rPr>
        <w:t xml:space="preserve">information also </w:t>
      </w:r>
      <w:r w:rsidR="00F31222" w:rsidRPr="004E6275">
        <w:rPr>
          <w:rFonts w:asciiTheme="minorHAnsi" w:hAnsiTheme="minorHAnsi"/>
        </w:rPr>
        <w:t>needs to be provided</w:t>
      </w:r>
      <w:r w:rsidR="003124CB" w:rsidRPr="004E6275">
        <w:rPr>
          <w:rFonts w:asciiTheme="minorHAnsi" w:hAnsiTheme="minorHAnsi"/>
        </w:rPr>
        <w:t xml:space="preserve"> (see section</w:t>
      </w:r>
      <w:r w:rsidR="001F5FA1">
        <w:rPr>
          <w:rFonts w:asciiTheme="minorHAnsi" w:hAnsiTheme="minorHAnsi"/>
        </w:rPr>
        <w:t> </w:t>
      </w:r>
      <w:r w:rsidR="003124CB" w:rsidRPr="004E6275">
        <w:rPr>
          <w:rFonts w:asciiTheme="minorHAnsi" w:hAnsiTheme="minorHAnsi"/>
        </w:rPr>
        <w:t>2.7.4</w:t>
      </w:r>
      <w:r w:rsidR="00C760C6" w:rsidRPr="004E6275">
        <w:rPr>
          <w:rFonts w:asciiTheme="minorHAnsi" w:hAnsiTheme="minorHAnsi"/>
        </w:rPr>
        <w:t xml:space="preserve"> of the </w:t>
      </w:r>
      <w:hyperlink r:id="rId11" w:history="1">
        <w:r w:rsidR="00C760C6" w:rsidRPr="00BE52A8">
          <w:rPr>
            <w:rStyle w:val="Hyperlink"/>
            <w:rFonts w:asciiTheme="minorHAnsi" w:hAnsiTheme="minorHAnsi"/>
          </w:rPr>
          <w:t>Guideline on Service Management</w:t>
        </w:r>
      </w:hyperlink>
      <w:r w:rsidR="003124CB" w:rsidRPr="004E6275">
        <w:rPr>
          <w:rFonts w:asciiTheme="minorHAnsi" w:hAnsiTheme="minorHAnsi"/>
        </w:rPr>
        <w:t>).</w:t>
      </w:r>
    </w:p>
    <w:p w14:paraId="5343720F" w14:textId="77777777" w:rsidR="001C4088" w:rsidRPr="004E6275" w:rsidRDefault="001C4088" w:rsidP="0001387A">
      <w:pPr>
        <w:rPr>
          <w:rFonts w:asciiTheme="minorHAnsi" w:hAnsiTheme="minorHAnsi"/>
          <w:sz w:val="24"/>
          <w:szCs w:val="24"/>
        </w:rPr>
      </w:pPr>
    </w:p>
    <w:p w14:paraId="27F09518" w14:textId="2181AC59" w:rsidR="00C73E61" w:rsidRDefault="00812FB6" w:rsidP="0001387A">
      <w:pPr>
        <w:rPr>
          <w:rFonts w:asciiTheme="minorHAnsi" w:hAnsiTheme="minorHAnsi"/>
        </w:rPr>
      </w:pPr>
      <w:r w:rsidRPr="004E6275">
        <w:rPr>
          <w:rFonts w:asciiTheme="minorHAnsi" w:hAnsiTheme="minorHAnsi"/>
        </w:rPr>
        <w:t xml:space="preserve">As </w:t>
      </w:r>
      <w:r w:rsidR="00C73E61">
        <w:rPr>
          <w:rFonts w:asciiTheme="minorHAnsi" w:hAnsiTheme="minorHAnsi"/>
        </w:rPr>
        <w:t>stated</w:t>
      </w:r>
      <w:r w:rsidRPr="004E6275">
        <w:rPr>
          <w:rFonts w:asciiTheme="minorHAnsi" w:hAnsiTheme="minorHAnsi"/>
        </w:rPr>
        <w:t xml:space="preserve"> in the Treasury Board </w:t>
      </w:r>
      <w:hyperlink r:id="rId12" w:history="1">
        <w:r w:rsidRPr="00C73E61">
          <w:rPr>
            <w:rStyle w:val="Hyperlink"/>
            <w:rFonts w:asciiTheme="minorHAnsi" w:hAnsiTheme="minorHAnsi"/>
          </w:rPr>
          <w:t>Policy on Regulatory Transparency and Accountability</w:t>
        </w:r>
      </w:hyperlink>
      <w:r w:rsidRPr="004E6275">
        <w:rPr>
          <w:rFonts w:asciiTheme="minorHAnsi" w:hAnsiTheme="minorHAnsi"/>
        </w:rPr>
        <w:t>, i</w:t>
      </w:r>
      <w:r w:rsidR="007E2572" w:rsidRPr="004E6275">
        <w:rPr>
          <w:rFonts w:asciiTheme="minorHAnsi" w:hAnsiTheme="minorHAnsi"/>
        </w:rPr>
        <w:t>n some cases, there could be one or more timeliness service standards associated with a high-volume regulatory transaction</w:t>
      </w:r>
      <w:r w:rsidR="007F14AF" w:rsidRPr="004E6275">
        <w:rPr>
          <w:rFonts w:asciiTheme="minorHAnsi" w:hAnsiTheme="minorHAnsi"/>
        </w:rPr>
        <w:t xml:space="preserve">. </w:t>
      </w:r>
      <w:r w:rsidR="007E2572" w:rsidRPr="004E6275">
        <w:rPr>
          <w:rFonts w:asciiTheme="minorHAnsi" w:hAnsiTheme="minorHAnsi"/>
        </w:rPr>
        <w:t xml:space="preserve">Where there is more than one service standard </w:t>
      </w:r>
      <w:r w:rsidR="00C73E61">
        <w:rPr>
          <w:rFonts w:asciiTheme="minorHAnsi" w:hAnsiTheme="minorHAnsi"/>
        </w:rPr>
        <w:t>for</w:t>
      </w:r>
      <w:r w:rsidR="007E2572" w:rsidRPr="004E6275">
        <w:rPr>
          <w:rFonts w:asciiTheme="minorHAnsi" w:hAnsiTheme="minorHAnsi"/>
        </w:rPr>
        <w:t xml:space="preserve"> a high-volume regulatory transaction, departments</w:t>
      </w:r>
      <w:r w:rsidR="00C73E61">
        <w:rPr>
          <w:rFonts w:asciiTheme="minorHAnsi" w:hAnsiTheme="minorHAnsi"/>
        </w:rPr>
        <w:t>:</w:t>
      </w:r>
    </w:p>
    <w:p w14:paraId="066BC3EC" w14:textId="06BD9CF7" w:rsidR="00C73E61" w:rsidRPr="00912153" w:rsidRDefault="007E2572" w:rsidP="00912153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912153">
        <w:rPr>
          <w:rFonts w:asciiTheme="minorHAnsi" w:hAnsiTheme="minorHAnsi"/>
        </w:rPr>
        <w:t>may identify the service standards separately</w:t>
      </w:r>
    </w:p>
    <w:p w14:paraId="5D7B94F8" w14:textId="59A444CD" w:rsidR="007E2572" w:rsidRPr="00912153" w:rsidRDefault="007E2572" w:rsidP="00912153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912153">
        <w:rPr>
          <w:rFonts w:asciiTheme="minorHAnsi" w:hAnsiTheme="minorHAnsi"/>
        </w:rPr>
        <w:t>must clearly identify the regulatory authorization associated with the service standards</w:t>
      </w:r>
    </w:p>
    <w:p w14:paraId="690EE108" w14:textId="77777777" w:rsidR="007E2572" w:rsidRPr="004E6275" w:rsidRDefault="007E2572" w:rsidP="0001387A">
      <w:pPr>
        <w:rPr>
          <w:rFonts w:asciiTheme="minorHAnsi" w:hAnsiTheme="minorHAnsi"/>
        </w:rPr>
      </w:pPr>
    </w:p>
    <w:p w14:paraId="7ADBE22B" w14:textId="473827C9" w:rsidR="0001387A" w:rsidRPr="004E6275" w:rsidRDefault="0001387A" w:rsidP="0001387A">
      <w:pPr>
        <w:rPr>
          <w:rFonts w:asciiTheme="minorHAnsi" w:hAnsiTheme="minorHAnsi"/>
        </w:rPr>
      </w:pPr>
      <w:r w:rsidRPr="004E6275">
        <w:rPr>
          <w:rFonts w:asciiTheme="minorHAnsi" w:hAnsiTheme="minorHAnsi"/>
        </w:rPr>
        <w:t>All of the department’s</w:t>
      </w:r>
      <w:r w:rsidR="004749E7" w:rsidRPr="004E6275">
        <w:rPr>
          <w:rFonts w:asciiTheme="minorHAnsi" w:hAnsiTheme="minorHAnsi"/>
        </w:rPr>
        <w:t xml:space="preserve"> </w:t>
      </w:r>
      <w:r w:rsidRPr="004E6275">
        <w:rPr>
          <w:rFonts w:asciiTheme="minorHAnsi" w:hAnsiTheme="minorHAnsi"/>
        </w:rPr>
        <w:t xml:space="preserve">service standard information </w:t>
      </w:r>
      <w:r w:rsidR="00A17389">
        <w:rPr>
          <w:rFonts w:asciiTheme="minorHAnsi" w:hAnsiTheme="minorHAnsi"/>
        </w:rPr>
        <w:t xml:space="preserve">must </w:t>
      </w:r>
      <w:r w:rsidR="00E84F76" w:rsidRPr="004E6275">
        <w:rPr>
          <w:rFonts w:asciiTheme="minorHAnsi" w:hAnsiTheme="minorHAnsi"/>
        </w:rPr>
        <w:t>be retrievable</w:t>
      </w:r>
      <w:r w:rsidR="004B1A8A" w:rsidRPr="004E6275">
        <w:rPr>
          <w:rFonts w:asciiTheme="minorHAnsi" w:hAnsiTheme="minorHAnsi"/>
        </w:rPr>
        <w:t xml:space="preserve"> from</w:t>
      </w:r>
      <w:r w:rsidR="00E84F76" w:rsidRPr="004E6275">
        <w:rPr>
          <w:rFonts w:asciiTheme="minorHAnsi" w:hAnsiTheme="minorHAnsi"/>
        </w:rPr>
        <w:t xml:space="preserve"> </w:t>
      </w:r>
      <w:r w:rsidR="004B1A8A" w:rsidRPr="004E6275">
        <w:rPr>
          <w:rFonts w:asciiTheme="minorHAnsi" w:hAnsiTheme="minorHAnsi"/>
        </w:rPr>
        <w:t xml:space="preserve">(located on or linked to) </w:t>
      </w:r>
      <w:r w:rsidR="00E84F76" w:rsidRPr="004E6275">
        <w:rPr>
          <w:rFonts w:asciiTheme="minorHAnsi" w:hAnsiTheme="minorHAnsi"/>
        </w:rPr>
        <w:t xml:space="preserve">one </w:t>
      </w:r>
      <w:r w:rsidR="00B90E11" w:rsidRPr="004E6275">
        <w:rPr>
          <w:rFonts w:asciiTheme="minorHAnsi" w:hAnsiTheme="minorHAnsi"/>
        </w:rPr>
        <w:t>Canada.ca</w:t>
      </w:r>
      <w:r w:rsidR="0054136B" w:rsidRPr="004E6275">
        <w:rPr>
          <w:rFonts w:asciiTheme="minorHAnsi" w:hAnsiTheme="minorHAnsi"/>
        </w:rPr>
        <w:t xml:space="preserve"> location. </w:t>
      </w:r>
      <w:r w:rsidR="003F1A32">
        <w:rPr>
          <w:rFonts w:asciiTheme="minorHAnsi" w:hAnsiTheme="minorHAnsi"/>
        </w:rPr>
        <w:t xml:space="preserve">Publishing </w:t>
      </w:r>
      <w:r w:rsidR="009447F3" w:rsidRPr="004E6275">
        <w:rPr>
          <w:rFonts w:asciiTheme="minorHAnsi" w:hAnsiTheme="minorHAnsi"/>
        </w:rPr>
        <w:t>th</w:t>
      </w:r>
      <w:r w:rsidR="003F1A32">
        <w:rPr>
          <w:rFonts w:asciiTheme="minorHAnsi" w:hAnsiTheme="minorHAnsi"/>
        </w:rPr>
        <w:t>is</w:t>
      </w:r>
      <w:r w:rsidR="009447F3" w:rsidRPr="004E6275">
        <w:rPr>
          <w:rFonts w:asciiTheme="minorHAnsi" w:hAnsiTheme="minorHAnsi"/>
        </w:rPr>
        <w:t xml:space="preserve"> information </w:t>
      </w:r>
      <w:r w:rsidR="003F1A32">
        <w:rPr>
          <w:rFonts w:asciiTheme="minorHAnsi" w:hAnsiTheme="minorHAnsi"/>
        </w:rPr>
        <w:t>o</w:t>
      </w:r>
      <w:r w:rsidR="000C2FF4">
        <w:rPr>
          <w:rFonts w:asciiTheme="minorHAnsi" w:hAnsiTheme="minorHAnsi"/>
        </w:rPr>
        <w:t xml:space="preserve">n </w:t>
      </w:r>
      <w:r w:rsidR="00F5406C" w:rsidRPr="00EC272B">
        <w:rPr>
          <w:rFonts w:asciiTheme="minorHAnsi" w:hAnsiTheme="minorHAnsi"/>
        </w:rPr>
        <w:t>open.c</w:t>
      </w:r>
      <w:r w:rsidR="00B353EF" w:rsidRPr="00EC272B">
        <w:rPr>
          <w:rFonts w:asciiTheme="minorHAnsi" w:hAnsiTheme="minorHAnsi"/>
        </w:rPr>
        <w:t>anada.ca</w:t>
      </w:r>
      <w:r w:rsidR="00B353EF">
        <w:rPr>
          <w:rFonts w:asciiTheme="minorHAnsi" w:hAnsiTheme="minorHAnsi"/>
        </w:rPr>
        <w:t xml:space="preserve"> </w:t>
      </w:r>
      <w:r w:rsidR="00A34731">
        <w:rPr>
          <w:rFonts w:asciiTheme="minorHAnsi" w:hAnsiTheme="minorHAnsi"/>
        </w:rPr>
        <w:t xml:space="preserve">as part of the </w:t>
      </w:r>
      <w:hyperlink r:id="rId13" w:history="1">
        <w:r w:rsidR="00EC272B" w:rsidRPr="00EC272B">
          <w:rPr>
            <w:rStyle w:val="Hyperlink"/>
            <w:rFonts w:asciiTheme="minorHAnsi" w:hAnsiTheme="minorHAnsi"/>
          </w:rPr>
          <w:t>GC Service Inventory</w:t>
        </w:r>
      </w:hyperlink>
      <w:r w:rsidR="00EC272B">
        <w:rPr>
          <w:rFonts w:asciiTheme="minorHAnsi" w:hAnsiTheme="minorHAnsi"/>
        </w:rPr>
        <w:t xml:space="preserve"> </w:t>
      </w:r>
      <w:r w:rsidR="009447F3" w:rsidRPr="004E6275">
        <w:rPr>
          <w:rFonts w:asciiTheme="minorHAnsi" w:hAnsiTheme="minorHAnsi"/>
        </w:rPr>
        <w:t>and</w:t>
      </w:r>
      <w:r w:rsidR="00CE1164" w:rsidRPr="004E6275">
        <w:rPr>
          <w:rFonts w:asciiTheme="minorHAnsi" w:hAnsiTheme="minorHAnsi"/>
        </w:rPr>
        <w:t>/or</w:t>
      </w:r>
      <w:r w:rsidR="009447F3" w:rsidRPr="004E6275">
        <w:rPr>
          <w:rFonts w:asciiTheme="minorHAnsi" w:hAnsiTheme="minorHAnsi"/>
        </w:rPr>
        <w:t xml:space="preserve"> </w:t>
      </w:r>
      <w:r w:rsidR="003F1A32">
        <w:rPr>
          <w:rFonts w:asciiTheme="minorHAnsi" w:hAnsiTheme="minorHAnsi"/>
        </w:rPr>
        <w:t xml:space="preserve">in the </w:t>
      </w:r>
      <w:r w:rsidR="009447F3" w:rsidRPr="004E6275">
        <w:rPr>
          <w:rFonts w:asciiTheme="minorHAnsi" w:hAnsiTheme="minorHAnsi"/>
        </w:rPr>
        <w:t xml:space="preserve">annual report </w:t>
      </w:r>
      <w:r w:rsidR="007E2572" w:rsidRPr="004E6275">
        <w:rPr>
          <w:rFonts w:asciiTheme="minorHAnsi" w:hAnsiTheme="minorHAnsi"/>
        </w:rPr>
        <w:t xml:space="preserve">in accordance with the </w:t>
      </w:r>
      <w:hyperlink r:id="rId14" w:history="1">
        <w:r w:rsidR="007E2572" w:rsidRPr="00BE52A8">
          <w:rPr>
            <w:rStyle w:val="Hyperlink"/>
            <w:rFonts w:asciiTheme="minorHAnsi" w:hAnsiTheme="minorHAnsi"/>
            <w:i/>
          </w:rPr>
          <w:t>Service Fees Act</w:t>
        </w:r>
      </w:hyperlink>
      <w:r w:rsidR="007E2572" w:rsidRPr="004E6275">
        <w:rPr>
          <w:rFonts w:asciiTheme="minorHAnsi" w:hAnsiTheme="minorHAnsi"/>
        </w:rPr>
        <w:t xml:space="preserve"> </w:t>
      </w:r>
      <w:r w:rsidR="003F1A32">
        <w:rPr>
          <w:rFonts w:asciiTheme="minorHAnsi" w:hAnsiTheme="minorHAnsi"/>
        </w:rPr>
        <w:t>is</w:t>
      </w:r>
      <w:r w:rsidR="003F1A32" w:rsidRPr="004E6275">
        <w:rPr>
          <w:rFonts w:asciiTheme="minorHAnsi" w:hAnsiTheme="minorHAnsi"/>
        </w:rPr>
        <w:t xml:space="preserve"> </w:t>
      </w:r>
      <w:r w:rsidR="009447F3" w:rsidRPr="004E6275">
        <w:rPr>
          <w:rFonts w:asciiTheme="minorHAnsi" w:hAnsiTheme="minorHAnsi"/>
        </w:rPr>
        <w:t xml:space="preserve">not </w:t>
      </w:r>
      <w:r w:rsidR="003F1A32">
        <w:rPr>
          <w:rFonts w:asciiTheme="minorHAnsi" w:hAnsiTheme="minorHAnsi"/>
        </w:rPr>
        <w:t>a</w:t>
      </w:r>
      <w:r w:rsidR="003F1A32" w:rsidRPr="004E6275">
        <w:rPr>
          <w:rFonts w:asciiTheme="minorHAnsi" w:hAnsiTheme="minorHAnsi"/>
        </w:rPr>
        <w:t xml:space="preserve"> </w:t>
      </w:r>
      <w:r w:rsidR="009447F3" w:rsidRPr="004E6275">
        <w:rPr>
          <w:rFonts w:asciiTheme="minorHAnsi" w:hAnsiTheme="minorHAnsi"/>
        </w:rPr>
        <w:t>substitute for pu</w:t>
      </w:r>
      <w:r w:rsidR="00CE1164" w:rsidRPr="004E6275">
        <w:rPr>
          <w:rFonts w:asciiTheme="minorHAnsi" w:hAnsiTheme="minorHAnsi"/>
        </w:rPr>
        <w:t>bli</w:t>
      </w:r>
      <w:r w:rsidR="003F1A32">
        <w:rPr>
          <w:rFonts w:asciiTheme="minorHAnsi" w:hAnsiTheme="minorHAnsi"/>
        </w:rPr>
        <w:t xml:space="preserve">shing it </w:t>
      </w:r>
      <w:r w:rsidR="00CE1164" w:rsidRPr="004E6275">
        <w:rPr>
          <w:rFonts w:asciiTheme="minorHAnsi" w:hAnsiTheme="minorHAnsi"/>
        </w:rPr>
        <w:t>on Canada.ca</w:t>
      </w:r>
      <w:r w:rsidR="009447F3" w:rsidRPr="004E6275">
        <w:rPr>
          <w:rFonts w:asciiTheme="minorHAnsi" w:hAnsiTheme="minorHAnsi"/>
        </w:rPr>
        <w:t>.</w:t>
      </w:r>
    </w:p>
    <w:p w14:paraId="7A7E9D75" w14:textId="77777777" w:rsidR="000561A3" w:rsidRPr="004E6275" w:rsidRDefault="000561A3" w:rsidP="0054136B">
      <w:pPr>
        <w:rPr>
          <w:rFonts w:asciiTheme="minorHAnsi" w:hAnsiTheme="minorHAnsi"/>
        </w:rPr>
      </w:pPr>
    </w:p>
    <w:p w14:paraId="214E8957" w14:textId="505B37CA" w:rsidR="0054136B" w:rsidRDefault="003F1A32" w:rsidP="005413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</w:t>
      </w:r>
      <w:r w:rsidR="0054136B" w:rsidRPr="004E6275">
        <w:rPr>
          <w:rFonts w:asciiTheme="minorHAnsi" w:hAnsiTheme="minorHAnsi"/>
        </w:rPr>
        <w:t>publish</w:t>
      </w:r>
      <w:r>
        <w:rPr>
          <w:rFonts w:asciiTheme="minorHAnsi" w:hAnsiTheme="minorHAnsi"/>
        </w:rPr>
        <w:t>ing</w:t>
      </w:r>
      <w:r w:rsidR="0054136B" w:rsidRPr="004E6275">
        <w:rPr>
          <w:rFonts w:asciiTheme="minorHAnsi" w:hAnsiTheme="minorHAnsi"/>
        </w:rPr>
        <w:t xml:space="preserve"> their service standards and performance information</w:t>
      </w:r>
      <w:r>
        <w:rPr>
          <w:rFonts w:asciiTheme="minorHAnsi" w:hAnsiTheme="minorHAnsi"/>
        </w:rPr>
        <w:t>,</w:t>
      </w:r>
      <w:r w:rsidR="0054136B" w:rsidRPr="004E62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4E6275">
        <w:rPr>
          <w:rFonts w:asciiTheme="minorHAnsi" w:hAnsiTheme="minorHAnsi"/>
        </w:rPr>
        <w:t xml:space="preserve">epartments </w:t>
      </w:r>
      <w:r w:rsidR="0091163D">
        <w:rPr>
          <w:rFonts w:asciiTheme="minorHAnsi" w:hAnsiTheme="minorHAnsi"/>
        </w:rPr>
        <w:t xml:space="preserve">should </w:t>
      </w:r>
      <w:r>
        <w:rPr>
          <w:rFonts w:asciiTheme="minorHAnsi" w:hAnsiTheme="minorHAnsi"/>
        </w:rPr>
        <w:t xml:space="preserve">consider the points listed </w:t>
      </w:r>
      <w:r w:rsidR="0054136B" w:rsidRPr="004E6275">
        <w:rPr>
          <w:rFonts w:asciiTheme="minorHAnsi" w:hAnsiTheme="minorHAnsi"/>
        </w:rPr>
        <w:t>in section</w:t>
      </w:r>
      <w:r w:rsidR="001F5FA1">
        <w:rPr>
          <w:rFonts w:asciiTheme="minorHAnsi" w:hAnsiTheme="minorHAnsi"/>
        </w:rPr>
        <w:t> </w:t>
      </w:r>
      <w:r w:rsidR="0054136B" w:rsidRPr="004E6275">
        <w:rPr>
          <w:rFonts w:asciiTheme="minorHAnsi" w:hAnsiTheme="minorHAnsi"/>
        </w:rPr>
        <w:t xml:space="preserve">2.9.5 of </w:t>
      </w:r>
      <w:r w:rsidR="00C760C6" w:rsidRPr="004E6275">
        <w:rPr>
          <w:rFonts w:asciiTheme="minorHAnsi" w:hAnsiTheme="minorHAnsi"/>
        </w:rPr>
        <w:t xml:space="preserve">the </w:t>
      </w:r>
      <w:hyperlink r:id="rId15" w:history="1">
        <w:r w:rsidR="00E66C8B" w:rsidRPr="00BE52A8">
          <w:rPr>
            <w:rStyle w:val="Hyperlink"/>
            <w:rFonts w:asciiTheme="minorHAnsi" w:hAnsiTheme="minorHAnsi"/>
          </w:rPr>
          <w:t>Guideline on Service Management</w:t>
        </w:r>
      </w:hyperlink>
      <w:r w:rsidR="00C760C6" w:rsidRPr="004E6275">
        <w:rPr>
          <w:rFonts w:asciiTheme="minorHAnsi" w:hAnsiTheme="minorHAnsi"/>
        </w:rPr>
        <w:t>.</w:t>
      </w:r>
    </w:p>
    <w:p w14:paraId="56781E31" w14:textId="77777777" w:rsidR="00461FF8" w:rsidRPr="004E6275" w:rsidRDefault="00461FF8" w:rsidP="0054136B">
      <w:pPr>
        <w:rPr>
          <w:rFonts w:asciiTheme="minorHAnsi" w:hAnsiTheme="minorHAnsi"/>
        </w:rPr>
      </w:pPr>
    </w:p>
    <w:p w14:paraId="6210AA63" w14:textId="77777777" w:rsidR="000561A3" w:rsidRPr="004E6275" w:rsidRDefault="000561A3" w:rsidP="0054136B">
      <w:pPr>
        <w:rPr>
          <w:rFonts w:asciiTheme="minorHAnsi" w:hAnsiTheme="minorHAnsi"/>
        </w:rPr>
      </w:pPr>
    </w:p>
    <w:p w14:paraId="34658330" w14:textId="77777777" w:rsidR="000561A3" w:rsidRPr="004E6275" w:rsidRDefault="000561A3" w:rsidP="0054136B">
      <w:pPr>
        <w:rPr>
          <w:rFonts w:asciiTheme="minorHAnsi" w:hAnsiTheme="minorHAnsi"/>
        </w:rPr>
      </w:pPr>
    </w:p>
    <w:p w14:paraId="5E4A3FD2" w14:textId="06E69BD7" w:rsidR="007201A6" w:rsidRPr="004E6275" w:rsidRDefault="006622A7" w:rsidP="00D931B2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en-CA"/>
        </w:rPr>
      </w:pPr>
      <w:r w:rsidRPr="004E6275">
        <w:rPr>
          <w:rFonts w:ascii="Times New Roman" w:hAnsi="Times New Roman"/>
          <w:b/>
          <w:bCs/>
          <w:kern w:val="36"/>
          <w:sz w:val="28"/>
          <w:szCs w:val="28"/>
          <w:lang w:eastAsia="en-CA"/>
        </w:rPr>
        <w:lastRenderedPageBreak/>
        <w:t>A</w:t>
      </w:r>
      <w:r w:rsidR="0044475C">
        <w:rPr>
          <w:rFonts w:ascii="Times New Roman" w:hAnsi="Times New Roman"/>
          <w:b/>
          <w:bCs/>
          <w:kern w:val="36"/>
          <w:sz w:val="28"/>
          <w:szCs w:val="28"/>
          <w:lang w:eastAsia="en-CA"/>
        </w:rPr>
        <w:t>ppendix</w:t>
      </w:r>
      <w:r w:rsidR="003F1A32">
        <w:rPr>
          <w:rFonts w:ascii="Times New Roman" w:hAnsi="Times New Roman"/>
          <w:b/>
          <w:bCs/>
          <w:kern w:val="36"/>
          <w:sz w:val="28"/>
          <w:szCs w:val="28"/>
          <w:lang w:eastAsia="en-CA"/>
        </w:rPr>
        <w:t> </w:t>
      </w:r>
      <w:r w:rsidRPr="004E6275">
        <w:rPr>
          <w:rFonts w:ascii="Times New Roman" w:hAnsi="Times New Roman"/>
          <w:b/>
          <w:bCs/>
          <w:kern w:val="36"/>
          <w:sz w:val="28"/>
          <w:szCs w:val="28"/>
          <w:lang w:eastAsia="en-CA"/>
        </w:rPr>
        <w:t xml:space="preserve">B: </w:t>
      </w:r>
      <w:r w:rsidR="00D931B2" w:rsidRPr="004E6275">
        <w:rPr>
          <w:rFonts w:ascii="Times New Roman" w:hAnsi="Times New Roman"/>
          <w:b/>
          <w:bCs/>
          <w:kern w:val="36"/>
          <w:sz w:val="28"/>
          <w:szCs w:val="28"/>
          <w:lang w:eastAsia="en-CA"/>
        </w:rPr>
        <w:t>Example template</w:t>
      </w:r>
    </w:p>
    <w:p w14:paraId="26B5D2EC" w14:textId="77777777" w:rsidR="003E6CD0" w:rsidRDefault="00074FA1" w:rsidP="003E6CD0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sz w:val="24"/>
          <w:szCs w:val="24"/>
          <w:lang w:eastAsia="en-CA"/>
        </w:rPr>
      </w:pPr>
      <w:r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 xml:space="preserve">[Institution] </w:t>
      </w:r>
      <w:r w:rsidR="00142F38"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>S</w:t>
      </w:r>
      <w:r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 xml:space="preserve">ervice </w:t>
      </w:r>
      <w:r w:rsidR="00142F38"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 xml:space="preserve">standards and </w:t>
      </w:r>
      <w:r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 xml:space="preserve">performance </w:t>
      </w:r>
      <w:r w:rsidR="00142F38"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 xml:space="preserve">information </w:t>
      </w:r>
      <w:r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>for fiscal year 201</w:t>
      </w:r>
      <w:r w:rsidR="00142F38"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>8</w:t>
      </w:r>
      <w:r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 xml:space="preserve"> to 20</w:t>
      </w:r>
      <w:r w:rsidR="00142F38" w:rsidRPr="004E6275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>19</w:t>
      </w:r>
      <w:r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</w:t>
      </w:r>
    </w:p>
    <w:p w14:paraId="034FE3DB" w14:textId="28697F07" w:rsidR="00074FA1" w:rsidRPr="003E6CD0" w:rsidRDefault="00565167" w:rsidP="003E6CD0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</w:pPr>
      <w:hyperlink r:id="rId16" w:history="1">
        <w:r w:rsidR="00074FA1" w:rsidRPr="004E627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n-CA"/>
          </w:rPr>
          <w:t>[Institution name]</w:t>
        </w:r>
      </w:hyperlink>
    </w:p>
    <w:p w14:paraId="2AE50960" w14:textId="39D6036D" w:rsidR="00074FA1" w:rsidRPr="004E6275" w:rsidRDefault="00074FA1" w:rsidP="00074FA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 w:rsidRPr="004E6275">
        <w:rPr>
          <w:rFonts w:ascii="Times New Roman" w:hAnsi="Times New Roman"/>
          <w:sz w:val="24"/>
          <w:szCs w:val="24"/>
          <w:lang w:eastAsia="en-CA"/>
        </w:rPr>
        <w:t>This report covers the 201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>8</w:t>
      </w:r>
      <w:r w:rsidRPr="004E6275">
        <w:rPr>
          <w:rFonts w:ascii="Times New Roman" w:hAnsi="Times New Roman"/>
          <w:sz w:val="24"/>
          <w:szCs w:val="24"/>
          <w:lang w:eastAsia="en-CA"/>
        </w:rPr>
        <w:t xml:space="preserve"> to 201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>9</w:t>
      </w:r>
      <w:r w:rsidRPr="004E6275">
        <w:rPr>
          <w:rFonts w:ascii="Times New Roman" w:hAnsi="Times New Roman"/>
          <w:sz w:val="24"/>
          <w:szCs w:val="24"/>
          <w:lang w:eastAsia="en-CA"/>
        </w:rPr>
        <w:t xml:space="preserve"> fiscal year. A fiscal year runs from April</w:t>
      </w:r>
      <w:r w:rsidR="00D2326A">
        <w:rPr>
          <w:rFonts w:ascii="Times New Roman" w:hAnsi="Times New Roman"/>
          <w:sz w:val="24"/>
          <w:szCs w:val="24"/>
          <w:lang w:eastAsia="en-CA"/>
        </w:rPr>
        <w:t> </w:t>
      </w:r>
      <w:r w:rsidRPr="004E6275">
        <w:rPr>
          <w:rFonts w:ascii="Times New Roman" w:hAnsi="Times New Roman"/>
          <w:sz w:val="24"/>
          <w:szCs w:val="24"/>
          <w:lang w:eastAsia="en-CA"/>
        </w:rPr>
        <w:t>1 to March</w:t>
      </w:r>
      <w:r w:rsidR="00D2326A">
        <w:rPr>
          <w:rFonts w:ascii="Times New Roman" w:hAnsi="Times New Roman"/>
          <w:sz w:val="24"/>
          <w:szCs w:val="24"/>
          <w:lang w:eastAsia="en-CA"/>
        </w:rPr>
        <w:t> </w:t>
      </w:r>
      <w:r w:rsidRPr="004E6275">
        <w:rPr>
          <w:rFonts w:ascii="Times New Roman" w:hAnsi="Times New Roman"/>
          <w:sz w:val="24"/>
          <w:szCs w:val="24"/>
          <w:lang w:eastAsia="en-CA"/>
        </w:rPr>
        <w:t>31.</w:t>
      </w:r>
    </w:p>
    <w:p w14:paraId="2FA55FED" w14:textId="77777777" w:rsidR="00074FA1" w:rsidRPr="004E6275" w:rsidRDefault="00074FA1" w:rsidP="00074FA1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en-CA"/>
        </w:rPr>
      </w:pPr>
      <w:r w:rsidRPr="004E6275">
        <w:rPr>
          <w:rFonts w:ascii="Times New Roman" w:hAnsi="Times New Roman"/>
          <w:b/>
          <w:bCs/>
          <w:sz w:val="36"/>
          <w:szCs w:val="36"/>
          <w:lang w:eastAsia="en-CA"/>
        </w:rPr>
        <w:t>On this page</w:t>
      </w:r>
    </w:p>
    <w:p w14:paraId="765DCC7A" w14:textId="329C1369" w:rsidR="00074FA1" w:rsidRPr="004E6275" w:rsidRDefault="00565167" w:rsidP="00074FA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hyperlink r:id="rId17" w:anchor="toc1" w:history="1">
        <w:r w:rsidR="00074FA1" w:rsidRPr="004E6275">
          <w:rPr>
            <w:rFonts w:ascii="Times New Roman" w:hAnsi="Times New Roman"/>
            <w:color w:val="0000FF"/>
            <w:sz w:val="24"/>
            <w:szCs w:val="24"/>
            <w:u w:val="single"/>
            <w:lang w:eastAsia="en-CA"/>
          </w:rPr>
          <w:t xml:space="preserve">[Service name </w:t>
        </w:r>
        <w:r w:rsidR="004E6275">
          <w:rPr>
            <w:rFonts w:ascii="Times New Roman" w:hAnsi="Times New Roman"/>
            <w:color w:val="0000FF"/>
            <w:sz w:val="24"/>
            <w:szCs w:val="24"/>
            <w:u w:val="single"/>
            <w:lang w:eastAsia="en-CA"/>
          </w:rPr>
          <w:t>1</w:t>
        </w:r>
        <w:r w:rsidR="00074FA1" w:rsidRPr="004E6275">
          <w:rPr>
            <w:rFonts w:ascii="Times New Roman" w:hAnsi="Times New Roman"/>
            <w:color w:val="0000FF"/>
            <w:sz w:val="24"/>
            <w:szCs w:val="24"/>
            <w:u w:val="single"/>
            <w:lang w:eastAsia="en-CA"/>
          </w:rPr>
          <w:t>]</w:t>
        </w:r>
      </w:hyperlink>
    </w:p>
    <w:p w14:paraId="077A6C2B" w14:textId="546AE3D5" w:rsidR="00074FA1" w:rsidRPr="004E6275" w:rsidRDefault="00565167" w:rsidP="00074FA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hyperlink r:id="rId18" w:anchor="toc2" w:history="1">
        <w:r w:rsidR="00074FA1" w:rsidRPr="004E6275">
          <w:rPr>
            <w:rFonts w:ascii="Times New Roman" w:hAnsi="Times New Roman"/>
            <w:color w:val="0000FF"/>
            <w:sz w:val="24"/>
            <w:szCs w:val="24"/>
            <w:u w:val="single"/>
            <w:lang w:eastAsia="en-CA"/>
          </w:rPr>
          <w:t xml:space="preserve">[Service name </w:t>
        </w:r>
        <w:r w:rsidR="004E6275">
          <w:rPr>
            <w:rFonts w:ascii="Times New Roman" w:hAnsi="Times New Roman"/>
            <w:color w:val="0000FF"/>
            <w:sz w:val="24"/>
            <w:szCs w:val="24"/>
            <w:u w:val="single"/>
            <w:lang w:eastAsia="en-CA"/>
          </w:rPr>
          <w:t>2</w:t>
        </w:r>
        <w:r w:rsidR="00074FA1" w:rsidRPr="004E6275">
          <w:rPr>
            <w:rFonts w:ascii="Times New Roman" w:hAnsi="Times New Roman"/>
            <w:color w:val="0000FF"/>
            <w:sz w:val="24"/>
            <w:szCs w:val="24"/>
            <w:u w:val="single"/>
            <w:lang w:eastAsia="en-CA"/>
          </w:rPr>
          <w:t>]</w:t>
        </w:r>
      </w:hyperlink>
    </w:p>
    <w:p w14:paraId="1F2F78CE" w14:textId="1CBF9350" w:rsidR="00074FA1" w:rsidRPr="004E6275" w:rsidRDefault="00D2326A" w:rsidP="00074FA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 w:rsidRPr="004E6275">
        <w:rPr>
          <w:rFonts w:ascii="Times New Roman" w:hAnsi="Times New Roman"/>
          <w:sz w:val="24"/>
          <w:szCs w:val="24"/>
          <w:lang w:eastAsia="en-CA"/>
        </w:rPr>
        <w:t xml:space="preserve">As part of its ongoing commitment to </w:t>
      </w:r>
      <w:r>
        <w:rPr>
          <w:rFonts w:ascii="Times New Roman" w:hAnsi="Times New Roman"/>
          <w:sz w:val="24"/>
          <w:szCs w:val="24"/>
          <w:lang w:eastAsia="en-CA"/>
        </w:rPr>
        <w:t xml:space="preserve">provide </w:t>
      </w:r>
      <w:r w:rsidRPr="004E6275">
        <w:rPr>
          <w:rFonts w:ascii="Times New Roman" w:hAnsi="Times New Roman"/>
          <w:sz w:val="24"/>
          <w:szCs w:val="24"/>
          <w:lang w:eastAsia="en-CA"/>
        </w:rPr>
        <w:t xml:space="preserve">quality client service, </w:t>
      </w:r>
      <w:r w:rsidRPr="004E6275">
        <w:rPr>
          <w:rFonts w:ascii="Times New Roman" w:hAnsi="Times New Roman"/>
          <w:color w:val="0000FF"/>
          <w:sz w:val="24"/>
          <w:szCs w:val="24"/>
          <w:lang w:eastAsia="en-CA"/>
        </w:rPr>
        <w:t>[institution name]</w:t>
      </w:r>
      <w:r w:rsidRPr="004E6275">
        <w:rPr>
          <w:rFonts w:ascii="Times New Roman" w:hAnsi="Times New Roman"/>
          <w:sz w:val="24"/>
          <w:szCs w:val="24"/>
          <w:lang w:eastAsia="en-CA"/>
        </w:rPr>
        <w:t xml:space="preserve"> has developed </w:t>
      </w:r>
      <w:r>
        <w:rPr>
          <w:rFonts w:ascii="Times New Roman" w:hAnsi="Times New Roman"/>
          <w:sz w:val="24"/>
          <w:szCs w:val="24"/>
          <w:lang w:eastAsia="en-CA"/>
        </w:rPr>
        <w:t xml:space="preserve">service </w:t>
      </w:r>
      <w:r w:rsidRPr="004E6275">
        <w:rPr>
          <w:rFonts w:ascii="Times New Roman" w:hAnsi="Times New Roman"/>
          <w:sz w:val="24"/>
          <w:szCs w:val="24"/>
          <w:lang w:eastAsia="en-CA"/>
        </w:rPr>
        <w:t>standards.</w:t>
      </w:r>
      <w:r>
        <w:rPr>
          <w:rFonts w:ascii="Times New Roman" w:hAnsi="Times New Roman"/>
          <w:sz w:val="24"/>
          <w:szCs w:val="24"/>
          <w:lang w:eastAsia="en-CA"/>
        </w:rPr>
        <w:t xml:space="preserve"> </w:t>
      </w:r>
      <w:r w:rsidR="00074FA1" w:rsidRPr="004E6275">
        <w:rPr>
          <w:rFonts w:ascii="Times New Roman" w:hAnsi="Times New Roman"/>
          <w:sz w:val="24"/>
          <w:szCs w:val="24"/>
          <w:lang w:eastAsia="en-CA"/>
        </w:rPr>
        <w:t xml:space="preserve">Service standards state the level of performance that citizens can reasonably expect to </w:t>
      </w:r>
      <w:r>
        <w:rPr>
          <w:rFonts w:ascii="Times New Roman" w:hAnsi="Times New Roman"/>
          <w:sz w:val="24"/>
          <w:szCs w:val="24"/>
          <w:lang w:eastAsia="en-CA"/>
        </w:rPr>
        <w:t>receive</w:t>
      </w:r>
      <w:r w:rsidRPr="004E6275">
        <w:rPr>
          <w:rFonts w:ascii="Times New Roman" w:hAnsi="Times New Roman"/>
          <w:sz w:val="24"/>
          <w:szCs w:val="24"/>
          <w:lang w:eastAsia="en-CA"/>
        </w:rPr>
        <w:t xml:space="preserve"> </w:t>
      </w:r>
      <w:r w:rsidR="00074FA1" w:rsidRPr="004E6275">
        <w:rPr>
          <w:rFonts w:ascii="Times New Roman" w:hAnsi="Times New Roman"/>
          <w:sz w:val="24"/>
          <w:szCs w:val="24"/>
          <w:lang w:eastAsia="en-CA"/>
        </w:rPr>
        <w:t xml:space="preserve">under normal circumstances. </w:t>
      </w:r>
    </w:p>
    <w:p w14:paraId="7B3A40C9" w14:textId="0E513DB7" w:rsidR="00074FA1" w:rsidRPr="004E6275" w:rsidRDefault="00923463" w:rsidP="00074FA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 w:rsidRPr="004E6275">
        <w:rPr>
          <w:rFonts w:ascii="Times New Roman" w:hAnsi="Times New Roman"/>
          <w:sz w:val="24"/>
          <w:szCs w:val="24"/>
          <w:lang w:eastAsia="en-CA"/>
        </w:rPr>
        <w:t>[Institutions may insert additional information, such as “</w:t>
      </w:r>
      <w:r w:rsidR="00074FA1" w:rsidRPr="004E6275">
        <w:rPr>
          <w:rFonts w:ascii="Times New Roman" w:hAnsi="Times New Roman"/>
          <w:sz w:val="24"/>
          <w:szCs w:val="24"/>
          <w:lang w:eastAsia="en-CA"/>
        </w:rPr>
        <w:t>We have exceeded our performance targets in 89% of the services we offer. Our performance results are described in more detail below.</w:t>
      </w:r>
      <w:r w:rsidR="00D2326A">
        <w:rPr>
          <w:rFonts w:ascii="Times New Roman" w:hAnsi="Times New Roman"/>
          <w:sz w:val="24"/>
          <w:szCs w:val="24"/>
          <w:lang w:eastAsia="en-CA"/>
        </w:rPr>
        <w:t>”</w:t>
      </w:r>
      <w:r w:rsidRPr="004E6275">
        <w:rPr>
          <w:rFonts w:ascii="Times New Roman" w:hAnsi="Times New Roman"/>
          <w:sz w:val="24"/>
          <w:szCs w:val="24"/>
          <w:lang w:eastAsia="en-CA"/>
        </w:rPr>
        <w:t>]</w:t>
      </w:r>
    </w:p>
    <w:p w14:paraId="167BE5C8" w14:textId="6790462F" w:rsidR="00142F38" w:rsidRPr="004E6275" w:rsidRDefault="00142F38" w:rsidP="00142F3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en-CA"/>
        </w:rPr>
      </w:pPr>
      <w:r w:rsidRPr="004E6275">
        <w:rPr>
          <w:rFonts w:ascii="Times New Roman" w:hAnsi="Times New Roman"/>
          <w:b/>
          <w:bCs/>
          <w:sz w:val="36"/>
          <w:szCs w:val="36"/>
          <w:lang w:eastAsia="en-CA"/>
        </w:rPr>
        <w:t>[Service name</w:t>
      </w:r>
      <w:r w:rsidR="002F2371" w:rsidRPr="004E6275">
        <w:rPr>
          <w:rFonts w:ascii="Times New Roman" w:hAnsi="Times New Roman"/>
          <w:b/>
          <w:bCs/>
          <w:color w:val="FF0000"/>
          <w:sz w:val="36"/>
          <w:szCs w:val="36"/>
          <w:lang w:eastAsia="en-CA"/>
        </w:rPr>
        <w:t xml:space="preserve"> </w:t>
      </w:r>
      <w:r w:rsidR="004E6275">
        <w:rPr>
          <w:rFonts w:ascii="Times New Roman" w:hAnsi="Times New Roman"/>
          <w:b/>
          <w:bCs/>
          <w:sz w:val="36"/>
          <w:szCs w:val="36"/>
          <w:lang w:eastAsia="en-CA"/>
        </w:rPr>
        <w:t>1</w:t>
      </w:r>
      <w:r w:rsidRPr="004E6275">
        <w:rPr>
          <w:rFonts w:ascii="Times New Roman" w:hAnsi="Times New Roman"/>
          <w:b/>
          <w:bCs/>
          <w:sz w:val="36"/>
          <w:szCs w:val="36"/>
          <w:lang w:eastAsia="en-CA"/>
        </w:rPr>
        <w:t>]</w:t>
      </w:r>
    </w:p>
    <w:p w14:paraId="2A2AD5F1" w14:textId="77F0D63B" w:rsidR="00142F38" w:rsidRPr="004E6275" w:rsidRDefault="007D6935" w:rsidP="00142F38">
      <w:pPr>
        <w:spacing w:before="100" w:beforeAutospacing="1" w:after="100" w:afterAutospacing="1"/>
        <w:rPr>
          <w:rFonts w:ascii="Times New Roman" w:hAnsi="Times New Roman"/>
          <w:bCs/>
          <w:color w:val="FF0000"/>
          <w:sz w:val="24"/>
          <w:szCs w:val="24"/>
          <w:lang w:eastAsia="en-CA"/>
        </w:rPr>
      </w:pPr>
      <w:r w:rsidRPr="004E6275">
        <w:rPr>
          <w:rFonts w:ascii="Times New Roman" w:hAnsi="Times New Roman"/>
          <w:b/>
          <w:bCs/>
          <w:sz w:val="24"/>
          <w:szCs w:val="24"/>
          <w:lang w:eastAsia="en-CA"/>
        </w:rPr>
        <w:t>Service description</w:t>
      </w:r>
      <w:r w:rsidR="00142F38"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: </w:t>
      </w:r>
      <w:r w:rsidR="00142F38" w:rsidRPr="004E6275">
        <w:rPr>
          <w:rFonts w:ascii="Times New Roman" w:hAnsi="Times New Roman"/>
          <w:bCs/>
          <w:color w:val="0000FF"/>
          <w:sz w:val="24"/>
          <w:szCs w:val="24"/>
          <w:lang w:eastAsia="en-CA"/>
        </w:rPr>
        <w:t>[description of service]</w:t>
      </w:r>
      <w:r w:rsidR="00603159" w:rsidRPr="004E6275">
        <w:rPr>
          <w:rFonts w:ascii="Times New Roman" w:hAnsi="Times New Roman"/>
          <w:bCs/>
          <w:sz w:val="24"/>
          <w:szCs w:val="24"/>
          <w:lang w:eastAsia="en-CA"/>
        </w:rPr>
        <w:t xml:space="preserve"> </w:t>
      </w:r>
      <w:r w:rsidR="00142F38" w:rsidRPr="004E6275">
        <w:rPr>
          <w:rFonts w:ascii="Times New Roman" w:hAnsi="Times New Roman"/>
          <w:bCs/>
          <w:color w:val="FF0000"/>
          <w:sz w:val="24"/>
          <w:szCs w:val="24"/>
          <w:lang w:eastAsia="en-CA"/>
        </w:rPr>
        <w:t>(NEW)</w:t>
      </w:r>
    </w:p>
    <w:p w14:paraId="353AC208" w14:textId="52B88FAF" w:rsidR="00142F38" w:rsidRPr="004E6275" w:rsidRDefault="001F5FA1" w:rsidP="00142F3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S</w:t>
      </w:r>
      <w:r w:rsidR="00142F38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ervice standard: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 xml:space="preserve"> answer telephone calls within 10</w:t>
      </w:r>
      <w:r>
        <w:rPr>
          <w:rFonts w:ascii="Times New Roman" w:hAnsi="Times New Roman"/>
          <w:sz w:val="24"/>
          <w:szCs w:val="24"/>
          <w:lang w:eastAsia="en-CA"/>
        </w:rPr>
        <w:t> 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>minutes</w:t>
      </w:r>
    </w:p>
    <w:p w14:paraId="2A328E77" w14:textId="2CA14AE7" w:rsidR="00142F38" w:rsidRPr="004E6275" w:rsidRDefault="001F5FA1" w:rsidP="00142F3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P</w:t>
      </w:r>
      <w:r w:rsidR="00142F38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erformance target: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 xml:space="preserve"> meet the standard for at least 95% of calls received</w:t>
      </w:r>
    </w:p>
    <w:p w14:paraId="4EF70B69" w14:textId="0EE20043" w:rsidR="00920156" w:rsidRPr="004E6275" w:rsidRDefault="001F5FA1" w:rsidP="00920156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P</w:t>
      </w:r>
      <w:r w:rsidR="00142F38"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erformance result in </w:t>
      </w:r>
      <w:r w:rsidR="00D2326A">
        <w:rPr>
          <w:rFonts w:ascii="Times New Roman" w:hAnsi="Times New Roman"/>
          <w:b/>
          <w:bCs/>
          <w:sz w:val="24"/>
          <w:szCs w:val="24"/>
          <w:lang w:eastAsia="en-CA"/>
        </w:rPr>
        <w:t xml:space="preserve">fiscal year </w:t>
      </w:r>
      <w:r w:rsidR="00142F38" w:rsidRPr="004E6275">
        <w:rPr>
          <w:rFonts w:ascii="Times New Roman" w:hAnsi="Times New Roman"/>
          <w:b/>
          <w:bCs/>
          <w:sz w:val="24"/>
          <w:szCs w:val="24"/>
          <w:lang w:eastAsia="en-CA"/>
        </w:rPr>
        <w:t>2018</w:t>
      </w:r>
      <w:r w:rsidR="00D2326A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to </w:t>
      </w:r>
      <w:r w:rsidR="00142F38" w:rsidRPr="004E6275">
        <w:rPr>
          <w:rFonts w:ascii="Times New Roman" w:hAnsi="Times New Roman"/>
          <w:b/>
          <w:bCs/>
          <w:sz w:val="24"/>
          <w:szCs w:val="24"/>
          <w:lang w:eastAsia="en-CA"/>
        </w:rPr>
        <w:t>2019: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 xml:space="preserve"> </w:t>
      </w:r>
      <w:r>
        <w:rPr>
          <w:rFonts w:ascii="Times New Roman" w:hAnsi="Times New Roman"/>
          <w:sz w:val="24"/>
          <w:szCs w:val="24"/>
          <w:lang w:eastAsia="en-CA"/>
        </w:rPr>
        <w:t xml:space="preserve">We answered 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 xml:space="preserve">98% of </w:t>
      </w:r>
      <w:r w:rsidR="00BF5023" w:rsidRPr="004E6275">
        <w:rPr>
          <w:rFonts w:ascii="Times New Roman" w:hAnsi="Times New Roman"/>
          <w:sz w:val="24"/>
          <w:szCs w:val="24"/>
          <w:lang w:eastAsia="en-CA"/>
        </w:rPr>
        <w:t xml:space="preserve">telephone calls </w:t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>within the 10</w:t>
      </w:r>
      <w:r w:rsidR="00D2326A">
        <w:rPr>
          <w:rFonts w:ascii="Times New Roman" w:hAnsi="Times New Roman"/>
          <w:sz w:val="24"/>
          <w:szCs w:val="24"/>
          <w:lang w:eastAsia="en-CA"/>
        </w:rPr>
        <w:noBreakHyphen/>
      </w:r>
      <w:r w:rsidR="00142F38" w:rsidRPr="004E6275">
        <w:rPr>
          <w:rFonts w:ascii="Times New Roman" w:hAnsi="Times New Roman"/>
          <w:sz w:val="24"/>
          <w:szCs w:val="24"/>
          <w:lang w:eastAsia="en-CA"/>
        </w:rPr>
        <w:t>minute standard</w:t>
      </w:r>
      <w:r w:rsidR="001914BC">
        <w:rPr>
          <w:rFonts w:ascii="Times New Roman" w:hAnsi="Times New Roman"/>
          <w:sz w:val="24"/>
          <w:szCs w:val="24"/>
          <w:lang w:eastAsia="en-CA"/>
        </w:rPr>
        <w:t>.</w:t>
      </w:r>
    </w:p>
    <w:p w14:paraId="2780F301" w14:textId="0F30D0B3" w:rsidR="00920156" w:rsidRPr="004E6275" w:rsidRDefault="00920156" w:rsidP="00A6433C">
      <w:pPr>
        <w:keepNext/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en-CA"/>
        </w:rPr>
      </w:pPr>
      <w:r w:rsidRPr="004E6275">
        <w:rPr>
          <w:rFonts w:ascii="Times New Roman" w:hAnsi="Times New Roman"/>
          <w:b/>
          <w:bCs/>
          <w:sz w:val="36"/>
          <w:szCs w:val="36"/>
          <w:lang w:eastAsia="en-CA"/>
        </w:rPr>
        <w:t xml:space="preserve">[Service name </w:t>
      </w:r>
      <w:r w:rsidR="004E6275">
        <w:rPr>
          <w:rFonts w:ascii="Times New Roman" w:hAnsi="Times New Roman"/>
          <w:b/>
          <w:bCs/>
          <w:sz w:val="36"/>
          <w:szCs w:val="36"/>
          <w:lang w:eastAsia="en-CA"/>
        </w:rPr>
        <w:t>2</w:t>
      </w:r>
      <w:r w:rsidRPr="004E6275">
        <w:rPr>
          <w:rFonts w:ascii="Times New Roman" w:hAnsi="Times New Roman"/>
          <w:b/>
          <w:bCs/>
          <w:sz w:val="36"/>
          <w:szCs w:val="36"/>
          <w:lang w:eastAsia="en-CA"/>
        </w:rPr>
        <w:t>]</w:t>
      </w:r>
    </w:p>
    <w:p w14:paraId="18F733F3" w14:textId="64725E50" w:rsidR="00920156" w:rsidRPr="004E6275" w:rsidRDefault="004B5E47" w:rsidP="00A6433C">
      <w:pPr>
        <w:keepNext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en-CA"/>
        </w:rPr>
      </w:pPr>
      <w:r w:rsidRPr="004E6275">
        <w:rPr>
          <w:rFonts w:ascii="Times New Roman" w:hAnsi="Times New Roman"/>
          <w:b/>
          <w:bCs/>
          <w:sz w:val="24"/>
          <w:szCs w:val="24"/>
          <w:lang w:eastAsia="en-CA"/>
        </w:rPr>
        <w:t>S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ervice</w:t>
      </w:r>
      <w:r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description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: </w:t>
      </w:r>
      <w:r w:rsidR="0061561F" w:rsidRPr="00A6433C">
        <w:rPr>
          <w:rFonts w:ascii="Times New Roman" w:hAnsi="Times New Roman"/>
          <w:bCs/>
          <w:color w:val="0000FF"/>
          <w:sz w:val="24"/>
          <w:szCs w:val="24"/>
          <w:lang w:eastAsia="en-CA"/>
        </w:rPr>
        <w:t>[</w:t>
      </w:r>
      <w:r w:rsidR="00920156" w:rsidRPr="00A6433C">
        <w:rPr>
          <w:rFonts w:ascii="Times New Roman" w:hAnsi="Times New Roman"/>
          <w:bCs/>
          <w:color w:val="0000FF"/>
          <w:sz w:val="24"/>
          <w:szCs w:val="24"/>
          <w:lang w:eastAsia="en-CA"/>
        </w:rPr>
        <w:t>description of service</w:t>
      </w:r>
      <w:r w:rsidR="0061561F" w:rsidRPr="00A6433C">
        <w:rPr>
          <w:rFonts w:ascii="Times New Roman" w:hAnsi="Times New Roman"/>
          <w:bCs/>
          <w:color w:val="0000FF"/>
          <w:sz w:val="24"/>
          <w:szCs w:val="24"/>
          <w:lang w:eastAsia="en-CA"/>
        </w:rPr>
        <w:t>]</w:t>
      </w:r>
      <w:r w:rsidR="00603159" w:rsidRPr="004E6275">
        <w:rPr>
          <w:rFonts w:ascii="Times New Roman" w:hAnsi="Times New Roman"/>
          <w:bCs/>
          <w:color w:val="0000CC"/>
          <w:sz w:val="24"/>
          <w:szCs w:val="24"/>
          <w:lang w:eastAsia="en-CA"/>
        </w:rPr>
        <w:t xml:space="preserve"> </w:t>
      </w:r>
      <w:r w:rsidR="00603159" w:rsidRPr="004E6275">
        <w:rPr>
          <w:rFonts w:ascii="Times New Roman" w:hAnsi="Times New Roman"/>
          <w:bCs/>
          <w:color w:val="FF0000"/>
          <w:sz w:val="24"/>
          <w:szCs w:val="24"/>
          <w:lang w:eastAsia="en-CA"/>
        </w:rPr>
        <w:t>(NEW)</w:t>
      </w:r>
    </w:p>
    <w:p w14:paraId="52E1BB81" w14:textId="592B2786" w:rsidR="00920156" w:rsidRPr="004E6275" w:rsidRDefault="00451F92" w:rsidP="0092015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Wait time</w:t>
      </w:r>
      <w:r w:rsidR="00056E90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for decision </w:t>
      </w:r>
      <w:r>
        <w:rPr>
          <w:rFonts w:ascii="Times New Roman" w:hAnsi="Times New Roman"/>
          <w:b/>
          <w:bCs/>
          <w:sz w:val="24"/>
          <w:szCs w:val="24"/>
          <w:lang w:eastAsia="en-CA"/>
        </w:rPr>
        <w:t>on an application</w:t>
      </w:r>
    </w:p>
    <w:p w14:paraId="38E32665" w14:textId="574348A3" w:rsidR="00920156" w:rsidRPr="004E6275" w:rsidRDefault="00920156" w:rsidP="0092015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  <w:lang w:eastAsia="en-CA"/>
        </w:rPr>
      </w:pPr>
      <w:r w:rsidRPr="004E6275">
        <w:rPr>
          <w:rFonts w:ascii="Times New Roman" w:hAnsi="Times New Roman"/>
          <w:b/>
          <w:bCs/>
          <w:sz w:val="24"/>
          <w:szCs w:val="24"/>
          <w:lang w:eastAsia="en-CA"/>
        </w:rPr>
        <w:t>Applications submitted in person at a service office</w:t>
      </w:r>
    </w:p>
    <w:p w14:paraId="7D44C50F" w14:textId="67149419" w:rsidR="00920156" w:rsidRPr="004E6275" w:rsidRDefault="001F5FA1" w:rsidP="0092015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S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ervice standard: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issue a final decision </w:t>
      </w:r>
      <w:r w:rsidR="00923463" w:rsidRPr="004E6275">
        <w:rPr>
          <w:rFonts w:ascii="Times New Roman" w:hAnsi="Times New Roman"/>
          <w:sz w:val="24"/>
          <w:szCs w:val="24"/>
          <w:lang w:eastAsia="en-CA"/>
        </w:rPr>
        <w:t xml:space="preserve">on </w:t>
      </w:r>
      <w:r w:rsidR="006625D6" w:rsidRPr="004E6275">
        <w:rPr>
          <w:rFonts w:ascii="Times New Roman" w:hAnsi="Times New Roman"/>
          <w:sz w:val="24"/>
          <w:szCs w:val="24"/>
          <w:lang w:eastAsia="en-CA"/>
        </w:rPr>
        <w:t xml:space="preserve">an </w:t>
      </w:r>
      <w:r w:rsidR="00923463" w:rsidRPr="004E6275">
        <w:rPr>
          <w:rFonts w:ascii="Times New Roman" w:hAnsi="Times New Roman"/>
          <w:sz w:val="24"/>
          <w:szCs w:val="24"/>
          <w:lang w:eastAsia="en-CA"/>
        </w:rPr>
        <w:t xml:space="preserve">application 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>within 35 business days</w:t>
      </w:r>
    </w:p>
    <w:p w14:paraId="5248BE85" w14:textId="1B825E92" w:rsidR="00920156" w:rsidRPr="004E6275" w:rsidRDefault="001F5FA1" w:rsidP="0092015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P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erformance target: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meet the standard for at least 90% of applications </w:t>
      </w:r>
    </w:p>
    <w:p w14:paraId="4BC1C7B6" w14:textId="4CC17552" w:rsidR="00920156" w:rsidRPr="004E6275" w:rsidRDefault="001F5FA1" w:rsidP="0092015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lastRenderedPageBreak/>
        <w:t>P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erformance result in </w:t>
      </w:r>
      <w:r w:rsidR="008C3B68">
        <w:rPr>
          <w:rFonts w:ascii="Times New Roman" w:hAnsi="Times New Roman"/>
          <w:b/>
          <w:bCs/>
          <w:sz w:val="24"/>
          <w:szCs w:val="24"/>
          <w:lang w:eastAsia="en-CA"/>
        </w:rPr>
        <w:t xml:space="preserve">fiscal year 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2018</w:t>
      </w:r>
      <w:r w:rsidR="008C3B68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to 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2019: </w:t>
      </w:r>
      <w:r w:rsidR="005A0E55" w:rsidRPr="00A6433C">
        <w:rPr>
          <w:rFonts w:ascii="Times New Roman" w:hAnsi="Times New Roman"/>
          <w:sz w:val="24"/>
          <w:szCs w:val="24"/>
          <w:lang w:eastAsia="en-CA"/>
        </w:rPr>
        <w:t>We issued</w:t>
      </w:r>
      <w:r w:rsidR="005A0E5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</w:t>
      </w:r>
      <w:r w:rsidR="00923463" w:rsidRPr="004E6275">
        <w:rPr>
          <w:rFonts w:ascii="Times New Roman" w:hAnsi="Times New Roman"/>
          <w:bCs/>
          <w:sz w:val="24"/>
          <w:szCs w:val="24"/>
          <w:lang w:eastAsia="en-CA"/>
        </w:rPr>
        <w:t xml:space="preserve">a final decision </w:t>
      </w:r>
      <w:r w:rsidR="00334AD3" w:rsidRPr="004E6275">
        <w:rPr>
          <w:rFonts w:ascii="Times New Roman" w:hAnsi="Times New Roman"/>
          <w:sz w:val="24"/>
          <w:szCs w:val="24"/>
          <w:lang w:eastAsia="en-CA"/>
        </w:rPr>
        <w:t>within the 35</w:t>
      </w:r>
      <w:r w:rsidR="00334AD3">
        <w:rPr>
          <w:rFonts w:ascii="Times New Roman" w:hAnsi="Times New Roman"/>
          <w:sz w:val="24"/>
          <w:szCs w:val="24"/>
          <w:lang w:eastAsia="en-CA"/>
        </w:rPr>
        <w:noBreakHyphen/>
      </w:r>
      <w:r w:rsidR="00334AD3" w:rsidRPr="004E6275">
        <w:rPr>
          <w:rFonts w:ascii="Times New Roman" w:hAnsi="Times New Roman"/>
          <w:sz w:val="24"/>
          <w:szCs w:val="24"/>
          <w:lang w:eastAsia="en-CA"/>
        </w:rPr>
        <w:t>bu</w:t>
      </w:r>
      <w:r w:rsidR="00334AD3">
        <w:rPr>
          <w:rFonts w:ascii="Times New Roman" w:hAnsi="Times New Roman"/>
          <w:sz w:val="24"/>
          <w:szCs w:val="24"/>
          <w:lang w:eastAsia="en-CA"/>
        </w:rPr>
        <w:t>siness</w:t>
      </w:r>
      <w:r w:rsidR="00334AD3">
        <w:rPr>
          <w:rFonts w:ascii="Times New Roman" w:hAnsi="Times New Roman"/>
          <w:sz w:val="24"/>
          <w:szCs w:val="24"/>
          <w:lang w:eastAsia="en-CA"/>
        </w:rPr>
        <w:noBreakHyphen/>
      </w:r>
      <w:r w:rsidR="00334AD3" w:rsidRPr="004E6275">
        <w:rPr>
          <w:rFonts w:ascii="Times New Roman" w:hAnsi="Times New Roman"/>
          <w:sz w:val="24"/>
          <w:szCs w:val="24"/>
          <w:lang w:eastAsia="en-CA"/>
        </w:rPr>
        <w:t>day standard</w:t>
      </w:r>
      <w:r w:rsidR="00334AD3" w:rsidRPr="004E6275">
        <w:rPr>
          <w:rFonts w:ascii="Times New Roman" w:hAnsi="Times New Roman"/>
          <w:bCs/>
          <w:sz w:val="24"/>
          <w:szCs w:val="24"/>
          <w:lang w:eastAsia="en-CA"/>
        </w:rPr>
        <w:t xml:space="preserve"> </w:t>
      </w:r>
      <w:r w:rsidR="00923463" w:rsidRPr="004E6275">
        <w:rPr>
          <w:rFonts w:ascii="Times New Roman" w:hAnsi="Times New Roman"/>
          <w:bCs/>
          <w:sz w:val="24"/>
          <w:szCs w:val="24"/>
          <w:lang w:eastAsia="en-CA"/>
        </w:rPr>
        <w:t xml:space="preserve">for 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>96% of applications</w:t>
      </w:r>
      <w:r w:rsidR="001914BC">
        <w:rPr>
          <w:rFonts w:ascii="Times New Roman" w:hAnsi="Times New Roman"/>
          <w:sz w:val="24"/>
          <w:szCs w:val="24"/>
          <w:lang w:eastAsia="en-CA"/>
        </w:rPr>
        <w:t>.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</w:t>
      </w:r>
    </w:p>
    <w:p w14:paraId="64177153" w14:textId="77777777" w:rsidR="00920156" w:rsidRPr="004E6275" w:rsidRDefault="00920156" w:rsidP="0092015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  <w:lang w:eastAsia="en-CA"/>
        </w:rPr>
      </w:pPr>
      <w:r w:rsidRPr="004E6275">
        <w:rPr>
          <w:rFonts w:ascii="Times New Roman" w:hAnsi="Times New Roman"/>
          <w:b/>
          <w:bCs/>
          <w:sz w:val="24"/>
          <w:szCs w:val="24"/>
          <w:lang w:eastAsia="en-CA"/>
        </w:rPr>
        <w:t>Applications submitted by mail</w:t>
      </w:r>
    </w:p>
    <w:p w14:paraId="72635FAE" w14:textId="12485472" w:rsidR="00920156" w:rsidRPr="004E6275" w:rsidRDefault="001F5FA1" w:rsidP="0092015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S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ervice standard: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issue a final decision </w:t>
      </w:r>
      <w:r w:rsidR="00BF5023" w:rsidRPr="004E6275">
        <w:rPr>
          <w:rFonts w:ascii="Times New Roman" w:hAnsi="Times New Roman"/>
          <w:sz w:val="24"/>
          <w:szCs w:val="24"/>
          <w:lang w:eastAsia="en-CA"/>
        </w:rPr>
        <w:t xml:space="preserve">on </w:t>
      </w:r>
      <w:r w:rsidR="006625D6" w:rsidRPr="004E6275">
        <w:rPr>
          <w:rFonts w:ascii="Times New Roman" w:hAnsi="Times New Roman"/>
          <w:sz w:val="24"/>
          <w:szCs w:val="24"/>
          <w:lang w:eastAsia="en-CA"/>
        </w:rPr>
        <w:t xml:space="preserve">an </w:t>
      </w:r>
      <w:r w:rsidR="00BF5023" w:rsidRPr="004E6275">
        <w:rPr>
          <w:rFonts w:ascii="Times New Roman" w:hAnsi="Times New Roman"/>
          <w:sz w:val="24"/>
          <w:szCs w:val="24"/>
          <w:lang w:eastAsia="en-CA"/>
        </w:rPr>
        <w:t xml:space="preserve">application 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>within 40 business days</w:t>
      </w:r>
    </w:p>
    <w:p w14:paraId="695A90F1" w14:textId="4F0E2686" w:rsidR="00920156" w:rsidRPr="004E6275" w:rsidRDefault="001F5FA1" w:rsidP="0092015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P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erformance target: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meet the standard for at least 90% of applications</w:t>
      </w:r>
    </w:p>
    <w:p w14:paraId="52775BC5" w14:textId="4028F75A" w:rsidR="00920156" w:rsidRPr="004E6275" w:rsidRDefault="001F5FA1" w:rsidP="0092015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bCs/>
          <w:sz w:val="24"/>
          <w:szCs w:val="24"/>
          <w:lang w:eastAsia="en-CA"/>
        </w:rPr>
        <w:t>P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 xml:space="preserve">erformance result in </w:t>
      </w:r>
      <w:r w:rsidR="008C3B68">
        <w:rPr>
          <w:rFonts w:ascii="Times New Roman" w:hAnsi="Times New Roman"/>
          <w:b/>
          <w:bCs/>
          <w:sz w:val="24"/>
          <w:szCs w:val="24"/>
          <w:lang w:eastAsia="en-CA"/>
        </w:rPr>
        <w:t xml:space="preserve">fiscal year 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2018</w:t>
      </w:r>
      <w:r w:rsidR="008C3B68">
        <w:rPr>
          <w:rFonts w:ascii="Times New Roman" w:hAnsi="Times New Roman"/>
          <w:b/>
          <w:bCs/>
          <w:sz w:val="24"/>
          <w:szCs w:val="24"/>
          <w:lang w:eastAsia="en-CA"/>
        </w:rPr>
        <w:t xml:space="preserve"> to </w:t>
      </w:r>
      <w:r w:rsidR="00920156" w:rsidRPr="004E6275">
        <w:rPr>
          <w:rFonts w:ascii="Times New Roman" w:hAnsi="Times New Roman"/>
          <w:b/>
          <w:bCs/>
          <w:sz w:val="24"/>
          <w:szCs w:val="24"/>
          <w:lang w:eastAsia="en-CA"/>
        </w:rPr>
        <w:t>2019: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</w:t>
      </w:r>
      <w:r w:rsidR="005A0E55">
        <w:rPr>
          <w:rFonts w:ascii="Times New Roman" w:hAnsi="Times New Roman"/>
          <w:sz w:val="24"/>
          <w:szCs w:val="24"/>
          <w:lang w:eastAsia="en-CA"/>
        </w:rPr>
        <w:t xml:space="preserve">We issued </w:t>
      </w:r>
      <w:r w:rsidR="00BF5023" w:rsidRPr="004E6275">
        <w:rPr>
          <w:rFonts w:ascii="Times New Roman" w:hAnsi="Times New Roman"/>
          <w:sz w:val="24"/>
          <w:szCs w:val="24"/>
          <w:lang w:eastAsia="en-CA"/>
        </w:rPr>
        <w:t xml:space="preserve">a final decision </w:t>
      </w:r>
      <w:r w:rsidR="00334AD3" w:rsidRPr="004E6275">
        <w:rPr>
          <w:rFonts w:ascii="Times New Roman" w:hAnsi="Times New Roman"/>
          <w:sz w:val="24"/>
          <w:szCs w:val="24"/>
          <w:lang w:eastAsia="en-CA"/>
        </w:rPr>
        <w:t>within the 40</w:t>
      </w:r>
      <w:r w:rsidR="00334AD3">
        <w:rPr>
          <w:rFonts w:ascii="Times New Roman" w:hAnsi="Times New Roman"/>
          <w:sz w:val="24"/>
          <w:szCs w:val="24"/>
          <w:lang w:eastAsia="en-CA"/>
        </w:rPr>
        <w:noBreakHyphen/>
      </w:r>
      <w:r w:rsidR="00334AD3" w:rsidRPr="004E6275">
        <w:rPr>
          <w:rFonts w:ascii="Times New Roman" w:hAnsi="Times New Roman"/>
          <w:sz w:val="24"/>
          <w:szCs w:val="24"/>
          <w:lang w:eastAsia="en-CA"/>
        </w:rPr>
        <w:t>business</w:t>
      </w:r>
      <w:r w:rsidR="00334AD3">
        <w:rPr>
          <w:rFonts w:ascii="Times New Roman" w:hAnsi="Times New Roman"/>
          <w:sz w:val="24"/>
          <w:szCs w:val="24"/>
          <w:lang w:eastAsia="en-CA"/>
        </w:rPr>
        <w:noBreakHyphen/>
      </w:r>
      <w:r w:rsidR="00334AD3" w:rsidRPr="004E6275">
        <w:rPr>
          <w:rFonts w:ascii="Times New Roman" w:hAnsi="Times New Roman"/>
          <w:sz w:val="24"/>
          <w:szCs w:val="24"/>
          <w:lang w:eastAsia="en-CA"/>
        </w:rPr>
        <w:t xml:space="preserve">day standard </w:t>
      </w:r>
      <w:r w:rsidR="00BF5023" w:rsidRPr="004E6275">
        <w:rPr>
          <w:rFonts w:ascii="Times New Roman" w:hAnsi="Times New Roman"/>
          <w:sz w:val="24"/>
          <w:szCs w:val="24"/>
          <w:lang w:eastAsia="en-CA"/>
        </w:rPr>
        <w:t xml:space="preserve">for 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>98% of applications</w:t>
      </w:r>
      <w:r w:rsidR="00D12022">
        <w:rPr>
          <w:rFonts w:ascii="Times New Roman" w:hAnsi="Times New Roman"/>
          <w:sz w:val="24"/>
          <w:szCs w:val="24"/>
          <w:lang w:eastAsia="en-CA"/>
        </w:rPr>
        <w:t>.</w:t>
      </w:r>
      <w:r w:rsidR="00920156" w:rsidRPr="004E6275">
        <w:rPr>
          <w:rFonts w:ascii="Times New Roman" w:hAnsi="Times New Roman"/>
          <w:sz w:val="24"/>
          <w:szCs w:val="24"/>
          <w:lang w:eastAsia="en-CA"/>
        </w:rPr>
        <w:t xml:space="preserve"> </w:t>
      </w:r>
    </w:p>
    <w:p w14:paraId="66D0F693" w14:textId="768AF315" w:rsidR="00142F38" w:rsidRPr="004E6275" w:rsidRDefault="0069186F" w:rsidP="00142F3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en-CA"/>
        </w:rPr>
      </w:pPr>
      <w:r>
        <w:rPr>
          <w:rFonts w:ascii="Times New Roman" w:hAnsi="Times New Roman"/>
          <w:b/>
          <w:bCs/>
          <w:sz w:val="36"/>
          <w:szCs w:val="36"/>
          <w:lang w:eastAsia="en-CA"/>
        </w:rPr>
        <w:t xml:space="preserve">Service standards and performance results </w:t>
      </w:r>
      <w:r w:rsidR="00D2326A">
        <w:rPr>
          <w:rFonts w:ascii="Times New Roman" w:hAnsi="Times New Roman"/>
          <w:b/>
          <w:bCs/>
          <w:sz w:val="36"/>
          <w:szCs w:val="36"/>
          <w:lang w:eastAsia="en-CA"/>
        </w:rPr>
        <w:t>for</w:t>
      </w:r>
      <w:r w:rsidR="00D2326A" w:rsidRPr="004E6275">
        <w:rPr>
          <w:rFonts w:ascii="Times New Roman" w:hAnsi="Times New Roman"/>
          <w:b/>
          <w:bCs/>
          <w:sz w:val="36"/>
          <w:szCs w:val="36"/>
          <w:lang w:eastAsia="en-CA"/>
        </w:rPr>
        <w:t xml:space="preserve"> </w:t>
      </w:r>
      <w:r w:rsidR="00142F38" w:rsidRPr="004E6275">
        <w:rPr>
          <w:rFonts w:ascii="Times New Roman" w:hAnsi="Times New Roman"/>
          <w:b/>
          <w:bCs/>
          <w:sz w:val="36"/>
          <w:szCs w:val="36"/>
          <w:lang w:eastAsia="en-CA"/>
        </w:rPr>
        <w:t xml:space="preserve">previous </w:t>
      </w:r>
      <w:r w:rsidR="00D2326A">
        <w:rPr>
          <w:rFonts w:ascii="Times New Roman" w:hAnsi="Times New Roman"/>
          <w:b/>
          <w:bCs/>
          <w:sz w:val="36"/>
          <w:szCs w:val="36"/>
          <w:lang w:eastAsia="en-CA"/>
        </w:rPr>
        <w:t xml:space="preserve">fiscal </w:t>
      </w:r>
      <w:r w:rsidR="00142F38" w:rsidRPr="004E6275">
        <w:rPr>
          <w:rFonts w:ascii="Times New Roman" w:hAnsi="Times New Roman"/>
          <w:b/>
          <w:bCs/>
          <w:sz w:val="36"/>
          <w:szCs w:val="36"/>
          <w:lang w:eastAsia="en-CA"/>
        </w:rPr>
        <w:t>years</w:t>
      </w:r>
    </w:p>
    <w:p w14:paraId="79905A36" w14:textId="4830B9EB" w:rsidR="00142F38" w:rsidRPr="004E6275" w:rsidRDefault="00142F38" w:rsidP="00142F3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 w:rsidRPr="004E6275">
        <w:rPr>
          <w:rFonts w:ascii="Times New Roman" w:hAnsi="Times New Roman"/>
          <w:color w:val="0000FF"/>
          <w:sz w:val="24"/>
          <w:szCs w:val="24"/>
          <w:u w:val="single"/>
          <w:lang w:eastAsia="en-CA"/>
        </w:rPr>
        <w:t>2017 to 2018</w:t>
      </w:r>
    </w:p>
    <w:p w14:paraId="31E1D0A4" w14:textId="10595A85" w:rsidR="00142F38" w:rsidRPr="004E6275" w:rsidRDefault="00142F38" w:rsidP="00142F3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CA"/>
        </w:rPr>
      </w:pPr>
      <w:r w:rsidRPr="004E6275">
        <w:rPr>
          <w:rFonts w:ascii="Times New Roman" w:hAnsi="Times New Roman"/>
          <w:color w:val="0000FF"/>
          <w:sz w:val="24"/>
          <w:szCs w:val="24"/>
          <w:u w:val="single"/>
          <w:lang w:eastAsia="en-CA"/>
        </w:rPr>
        <w:t>2016 to 2017</w:t>
      </w:r>
    </w:p>
    <w:p w14:paraId="5CAD9981" w14:textId="5604F2FD" w:rsidR="002C0DC4" w:rsidRPr="004E6275" w:rsidRDefault="002C0DC4" w:rsidP="00C760C6"/>
    <w:sectPr w:rsidR="002C0DC4" w:rsidRPr="004E62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5593" w14:textId="77777777" w:rsidR="00CE6358" w:rsidRDefault="00CE6358" w:rsidP="00513547">
      <w:r>
        <w:separator/>
      </w:r>
    </w:p>
  </w:endnote>
  <w:endnote w:type="continuationSeparator" w:id="0">
    <w:p w14:paraId="09F76269" w14:textId="77777777" w:rsidR="00CE6358" w:rsidRDefault="00CE6358" w:rsidP="0051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8FAE" w14:textId="77777777" w:rsidR="00565167" w:rsidRDefault="0056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FCCF" w14:textId="66925C38" w:rsidR="00857D50" w:rsidRDefault="00857D50">
    <w:pPr>
      <w:pStyle w:val="Footer"/>
    </w:pPr>
    <w:r w:rsidRPr="00857D50">
      <w:rPr>
        <w:b/>
      </w:rPr>
      <w:t>Archived</w:t>
    </w:r>
    <w:r>
      <w:rPr>
        <w:b/>
      </w:rPr>
      <w:t xml:space="preserve">: </w:t>
    </w:r>
    <w:r w:rsidRPr="00857D50">
      <w:rPr>
        <w:b/>
      </w:rPr>
      <w:t>April 14, 2021</w:t>
    </w:r>
  </w:p>
  <w:p w14:paraId="47D32A9E" w14:textId="77777777" w:rsidR="008505A1" w:rsidRDefault="00850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DCE8" w14:textId="77777777" w:rsidR="00565167" w:rsidRDefault="0056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7F9B" w14:textId="77777777" w:rsidR="00CE6358" w:rsidRDefault="00CE6358" w:rsidP="00513547">
      <w:r>
        <w:separator/>
      </w:r>
    </w:p>
  </w:footnote>
  <w:footnote w:type="continuationSeparator" w:id="0">
    <w:p w14:paraId="1C7F12DC" w14:textId="77777777" w:rsidR="00CE6358" w:rsidRDefault="00CE6358" w:rsidP="0051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21CB" w14:textId="77777777" w:rsidR="00565167" w:rsidRDefault="0056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F0BB" w14:textId="5BC89E11" w:rsidR="00513547" w:rsidRDefault="009840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64D4EF" wp14:editId="24B50B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912c415e8a8118956ab6eb51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F896E0" w14:textId="34E12449" w:rsidR="009840BC" w:rsidRPr="009840BC" w:rsidRDefault="009840BC" w:rsidP="009840B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840B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4D4EF" id="_x0000_t202" coordsize="21600,21600" o:spt="202" path="m,l,21600r21600,l21600,xe">
              <v:stroke joinstyle="miter"/>
              <v:path gradientshapeok="t" o:connecttype="rect"/>
            </v:shapetype>
            <v:shape id="MSIPCM912c415e8a8118956ab6eb51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" o:allowincell="f" filled="f" stroked="f" strokeweight=".5pt">
              <v:textbox inset=",0,20pt,0">
                <w:txbxContent>
                  <w:p w14:paraId="51F896E0" w14:textId="34E12449" w:rsidR="009840BC" w:rsidRPr="009840BC" w:rsidRDefault="009840BC" w:rsidP="009840BC">
                    <w:pPr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840BC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225370705"/>
      <w:docPartObj>
        <w:docPartGallery w:val="Watermarks"/>
        <w:docPartUnique/>
      </w:docPartObj>
    </w:sdtPr>
    <w:sdtEndPr/>
    <w:sdtContent>
      <w:p w14:paraId="648F3D9B" w14:textId="77777777" w:rsidR="00513547" w:rsidRDefault="00565167">
        <w:pPr>
          <w:pStyle w:val="Header"/>
        </w:pPr>
        <w:r>
          <w:rPr>
            <w:noProof/>
            <w:lang w:val="en-US"/>
          </w:rPr>
          <w:pict w14:anchorId="72BFAF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2771" w14:textId="77777777" w:rsidR="00565167" w:rsidRDefault="00565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155"/>
    <w:multiLevelType w:val="hybridMultilevel"/>
    <w:tmpl w:val="9F40E7CA"/>
    <w:lvl w:ilvl="0" w:tplc="E1E6D1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645"/>
    <w:multiLevelType w:val="hybridMultilevel"/>
    <w:tmpl w:val="7B76C04C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F00B40"/>
    <w:multiLevelType w:val="multilevel"/>
    <w:tmpl w:val="6DF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37478"/>
    <w:multiLevelType w:val="hybridMultilevel"/>
    <w:tmpl w:val="5D8C5482"/>
    <w:lvl w:ilvl="0" w:tplc="38D464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75EE"/>
    <w:multiLevelType w:val="hybridMultilevel"/>
    <w:tmpl w:val="DA081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91C"/>
    <w:multiLevelType w:val="multilevel"/>
    <w:tmpl w:val="69E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F0FCB"/>
    <w:multiLevelType w:val="hybridMultilevel"/>
    <w:tmpl w:val="29DE7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B9A"/>
    <w:multiLevelType w:val="hybridMultilevel"/>
    <w:tmpl w:val="6D0A8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F2CD0"/>
    <w:multiLevelType w:val="multilevel"/>
    <w:tmpl w:val="C31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B79DF"/>
    <w:multiLevelType w:val="multilevel"/>
    <w:tmpl w:val="8B7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66910"/>
    <w:multiLevelType w:val="hybridMultilevel"/>
    <w:tmpl w:val="A3A6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32A23"/>
    <w:multiLevelType w:val="hybridMultilevel"/>
    <w:tmpl w:val="531A73CA"/>
    <w:lvl w:ilvl="0" w:tplc="E1E6D19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25778"/>
    <w:multiLevelType w:val="hybridMultilevel"/>
    <w:tmpl w:val="D064199A"/>
    <w:lvl w:ilvl="0" w:tplc="AC165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65BA"/>
    <w:multiLevelType w:val="hybridMultilevel"/>
    <w:tmpl w:val="49583E04"/>
    <w:lvl w:ilvl="0" w:tplc="AC165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7763"/>
    <w:multiLevelType w:val="multilevel"/>
    <w:tmpl w:val="B11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1718B"/>
    <w:multiLevelType w:val="multilevel"/>
    <w:tmpl w:val="58762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72FDB"/>
    <w:multiLevelType w:val="multilevel"/>
    <w:tmpl w:val="4B0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1548C"/>
    <w:multiLevelType w:val="multilevel"/>
    <w:tmpl w:val="AE4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568FA"/>
    <w:multiLevelType w:val="multilevel"/>
    <w:tmpl w:val="31D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D6457"/>
    <w:multiLevelType w:val="hybridMultilevel"/>
    <w:tmpl w:val="F8A44148"/>
    <w:lvl w:ilvl="0" w:tplc="3BEC5DE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CB60AB"/>
    <w:multiLevelType w:val="hybridMultilevel"/>
    <w:tmpl w:val="9F309FBC"/>
    <w:lvl w:ilvl="0" w:tplc="AC165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6467"/>
    <w:multiLevelType w:val="hybridMultilevel"/>
    <w:tmpl w:val="1062C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5545"/>
    <w:multiLevelType w:val="hybridMultilevel"/>
    <w:tmpl w:val="057481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815C5"/>
    <w:multiLevelType w:val="multilevel"/>
    <w:tmpl w:val="DA2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5B2CB0"/>
    <w:multiLevelType w:val="hybridMultilevel"/>
    <w:tmpl w:val="865ACB56"/>
    <w:lvl w:ilvl="0" w:tplc="E1E6D1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41073"/>
    <w:multiLevelType w:val="hybridMultilevel"/>
    <w:tmpl w:val="9104B04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AB41B8A"/>
    <w:multiLevelType w:val="hybridMultilevel"/>
    <w:tmpl w:val="47FE2E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C5605B"/>
    <w:multiLevelType w:val="multilevel"/>
    <w:tmpl w:val="7D68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20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17"/>
  </w:num>
  <w:num w:numId="13">
    <w:abstractNumId w:val="2"/>
  </w:num>
  <w:num w:numId="14">
    <w:abstractNumId w:val="24"/>
  </w:num>
  <w:num w:numId="15">
    <w:abstractNumId w:val="0"/>
  </w:num>
  <w:num w:numId="16">
    <w:abstractNumId w:val="11"/>
  </w:num>
  <w:num w:numId="17">
    <w:abstractNumId w:val="22"/>
  </w:num>
  <w:num w:numId="18">
    <w:abstractNumId w:val="6"/>
  </w:num>
  <w:num w:numId="19">
    <w:abstractNumId w:val="10"/>
  </w:num>
  <w:num w:numId="20">
    <w:abstractNumId w:val="8"/>
  </w:num>
  <w:num w:numId="21">
    <w:abstractNumId w:val="5"/>
  </w:num>
  <w:num w:numId="22">
    <w:abstractNumId w:val="23"/>
  </w:num>
  <w:num w:numId="23">
    <w:abstractNumId w:val="18"/>
  </w:num>
  <w:num w:numId="24">
    <w:abstractNumId w:val="9"/>
  </w:num>
  <w:num w:numId="25">
    <w:abstractNumId w:val="26"/>
  </w:num>
  <w:num w:numId="26">
    <w:abstractNumId w:val="19"/>
  </w:num>
  <w:num w:numId="27">
    <w:abstractNumId w:val="4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7A"/>
    <w:rsid w:val="0000010F"/>
    <w:rsid w:val="00005313"/>
    <w:rsid w:val="00012971"/>
    <w:rsid w:val="00013666"/>
    <w:rsid w:val="0001387A"/>
    <w:rsid w:val="000250F5"/>
    <w:rsid w:val="0003505A"/>
    <w:rsid w:val="00035870"/>
    <w:rsid w:val="00037CA9"/>
    <w:rsid w:val="000405C2"/>
    <w:rsid w:val="00040DE9"/>
    <w:rsid w:val="00045AEC"/>
    <w:rsid w:val="000560EF"/>
    <w:rsid w:val="000561A3"/>
    <w:rsid w:val="00056E90"/>
    <w:rsid w:val="00074FA1"/>
    <w:rsid w:val="00083C7C"/>
    <w:rsid w:val="000846C6"/>
    <w:rsid w:val="0008509B"/>
    <w:rsid w:val="00095A7C"/>
    <w:rsid w:val="000A5632"/>
    <w:rsid w:val="000A772C"/>
    <w:rsid w:val="000B32DF"/>
    <w:rsid w:val="000C2FF4"/>
    <w:rsid w:val="000D3425"/>
    <w:rsid w:val="000E5A1A"/>
    <w:rsid w:val="000F416E"/>
    <w:rsid w:val="00100EC1"/>
    <w:rsid w:val="001059D1"/>
    <w:rsid w:val="00110625"/>
    <w:rsid w:val="0011220F"/>
    <w:rsid w:val="00112B7A"/>
    <w:rsid w:val="00112D91"/>
    <w:rsid w:val="00114625"/>
    <w:rsid w:val="0012117E"/>
    <w:rsid w:val="00121FEB"/>
    <w:rsid w:val="00124049"/>
    <w:rsid w:val="0012749F"/>
    <w:rsid w:val="00130589"/>
    <w:rsid w:val="00136165"/>
    <w:rsid w:val="00137D4D"/>
    <w:rsid w:val="00141C84"/>
    <w:rsid w:val="00142F38"/>
    <w:rsid w:val="00145D19"/>
    <w:rsid w:val="00153B43"/>
    <w:rsid w:val="001556AF"/>
    <w:rsid w:val="00156F19"/>
    <w:rsid w:val="0015703E"/>
    <w:rsid w:val="001667FA"/>
    <w:rsid w:val="00173196"/>
    <w:rsid w:val="0017341E"/>
    <w:rsid w:val="0017362A"/>
    <w:rsid w:val="00185C1C"/>
    <w:rsid w:val="001914BC"/>
    <w:rsid w:val="001976B4"/>
    <w:rsid w:val="001B415B"/>
    <w:rsid w:val="001C4088"/>
    <w:rsid w:val="001C443E"/>
    <w:rsid w:val="001C7D94"/>
    <w:rsid w:val="001D3875"/>
    <w:rsid w:val="001D4616"/>
    <w:rsid w:val="001E62BF"/>
    <w:rsid w:val="001F2CB3"/>
    <w:rsid w:val="001F423A"/>
    <w:rsid w:val="001F5FA1"/>
    <w:rsid w:val="0020103A"/>
    <w:rsid w:val="002046D8"/>
    <w:rsid w:val="00212740"/>
    <w:rsid w:val="00234FA7"/>
    <w:rsid w:val="002407C6"/>
    <w:rsid w:val="00241B8E"/>
    <w:rsid w:val="0025230E"/>
    <w:rsid w:val="00252CA9"/>
    <w:rsid w:val="00255BAA"/>
    <w:rsid w:val="002717F2"/>
    <w:rsid w:val="00271DD6"/>
    <w:rsid w:val="00291C6D"/>
    <w:rsid w:val="0029542D"/>
    <w:rsid w:val="00295C8D"/>
    <w:rsid w:val="002A44D0"/>
    <w:rsid w:val="002B2F2B"/>
    <w:rsid w:val="002B5D52"/>
    <w:rsid w:val="002B60EF"/>
    <w:rsid w:val="002C0DC4"/>
    <w:rsid w:val="002D4E93"/>
    <w:rsid w:val="002D6F70"/>
    <w:rsid w:val="002F2371"/>
    <w:rsid w:val="00300561"/>
    <w:rsid w:val="003124CB"/>
    <w:rsid w:val="00315B1A"/>
    <w:rsid w:val="0033050A"/>
    <w:rsid w:val="00331A2A"/>
    <w:rsid w:val="00333CED"/>
    <w:rsid w:val="00334AD3"/>
    <w:rsid w:val="00345EB3"/>
    <w:rsid w:val="00346A84"/>
    <w:rsid w:val="00352028"/>
    <w:rsid w:val="0035230C"/>
    <w:rsid w:val="00354E29"/>
    <w:rsid w:val="003566A2"/>
    <w:rsid w:val="003566E0"/>
    <w:rsid w:val="00360F88"/>
    <w:rsid w:val="00365AE0"/>
    <w:rsid w:val="00375843"/>
    <w:rsid w:val="00394EF8"/>
    <w:rsid w:val="003973C9"/>
    <w:rsid w:val="003A1806"/>
    <w:rsid w:val="003B5060"/>
    <w:rsid w:val="003B6801"/>
    <w:rsid w:val="003C0DED"/>
    <w:rsid w:val="003C79D5"/>
    <w:rsid w:val="003D247C"/>
    <w:rsid w:val="003D52E8"/>
    <w:rsid w:val="003E6CD0"/>
    <w:rsid w:val="003F1A32"/>
    <w:rsid w:val="0040319B"/>
    <w:rsid w:val="00412DCB"/>
    <w:rsid w:val="00415DD2"/>
    <w:rsid w:val="004341D8"/>
    <w:rsid w:val="00437ACD"/>
    <w:rsid w:val="0044475C"/>
    <w:rsid w:val="00451F92"/>
    <w:rsid w:val="00453E45"/>
    <w:rsid w:val="00457102"/>
    <w:rsid w:val="00461FF8"/>
    <w:rsid w:val="004749E7"/>
    <w:rsid w:val="00484A1C"/>
    <w:rsid w:val="00491487"/>
    <w:rsid w:val="004A3D50"/>
    <w:rsid w:val="004A42B3"/>
    <w:rsid w:val="004A4DF0"/>
    <w:rsid w:val="004B1A8A"/>
    <w:rsid w:val="004B5E47"/>
    <w:rsid w:val="004C172B"/>
    <w:rsid w:val="004D0A69"/>
    <w:rsid w:val="004D152B"/>
    <w:rsid w:val="004D4FD5"/>
    <w:rsid w:val="004D758F"/>
    <w:rsid w:val="004E3F49"/>
    <w:rsid w:val="004E6275"/>
    <w:rsid w:val="004F6E66"/>
    <w:rsid w:val="004F7122"/>
    <w:rsid w:val="00513547"/>
    <w:rsid w:val="00524697"/>
    <w:rsid w:val="00524ABC"/>
    <w:rsid w:val="00532E4D"/>
    <w:rsid w:val="0054136B"/>
    <w:rsid w:val="00560257"/>
    <w:rsid w:val="00563DD8"/>
    <w:rsid w:val="00565167"/>
    <w:rsid w:val="005746F5"/>
    <w:rsid w:val="00575980"/>
    <w:rsid w:val="005768D9"/>
    <w:rsid w:val="005816D3"/>
    <w:rsid w:val="005948B3"/>
    <w:rsid w:val="00595A4C"/>
    <w:rsid w:val="00596951"/>
    <w:rsid w:val="005A0E55"/>
    <w:rsid w:val="005A36D8"/>
    <w:rsid w:val="005D1FE8"/>
    <w:rsid w:val="005D2645"/>
    <w:rsid w:val="005D5567"/>
    <w:rsid w:val="005D7305"/>
    <w:rsid w:val="005E3FE8"/>
    <w:rsid w:val="005F117C"/>
    <w:rsid w:val="006028B2"/>
    <w:rsid w:val="00603159"/>
    <w:rsid w:val="00603EF3"/>
    <w:rsid w:val="00604A56"/>
    <w:rsid w:val="0061561F"/>
    <w:rsid w:val="00637D81"/>
    <w:rsid w:val="0064151D"/>
    <w:rsid w:val="00642F44"/>
    <w:rsid w:val="006464FD"/>
    <w:rsid w:val="00651CC7"/>
    <w:rsid w:val="006548DD"/>
    <w:rsid w:val="006553CE"/>
    <w:rsid w:val="006607FA"/>
    <w:rsid w:val="006622A7"/>
    <w:rsid w:val="006625D6"/>
    <w:rsid w:val="00663966"/>
    <w:rsid w:val="00670602"/>
    <w:rsid w:val="00670B5E"/>
    <w:rsid w:val="006726ED"/>
    <w:rsid w:val="00673A77"/>
    <w:rsid w:val="00673BE0"/>
    <w:rsid w:val="00685ADA"/>
    <w:rsid w:val="0069069F"/>
    <w:rsid w:val="0069186F"/>
    <w:rsid w:val="006A16B2"/>
    <w:rsid w:val="006B5BC5"/>
    <w:rsid w:val="006C1905"/>
    <w:rsid w:val="006C4643"/>
    <w:rsid w:val="006C4A7B"/>
    <w:rsid w:val="006C700E"/>
    <w:rsid w:val="006D503F"/>
    <w:rsid w:val="006D668A"/>
    <w:rsid w:val="006D6721"/>
    <w:rsid w:val="006E56DC"/>
    <w:rsid w:val="006E731F"/>
    <w:rsid w:val="006F13D7"/>
    <w:rsid w:val="006F1E68"/>
    <w:rsid w:val="00707E27"/>
    <w:rsid w:val="007201A6"/>
    <w:rsid w:val="007201EC"/>
    <w:rsid w:val="00723510"/>
    <w:rsid w:val="00725784"/>
    <w:rsid w:val="00725B15"/>
    <w:rsid w:val="00745AB3"/>
    <w:rsid w:val="0074651B"/>
    <w:rsid w:val="0076600B"/>
    <w:rsid w:val="00777FFA"/>
    <w:rsid w:val="00786800"/>
    <w:rsid w:val="00786951"/>
    <w:rsid w:val="007966F2"/>
    <w:rsid w:val="00796D25"/>
    <w:rsid w:val="007979A1"/>
    <w:rsid w:val="007A1CF2"/>
    <w:rsid w:val="007A5B73"/>
    <w:rsid w:val="007C283A"/>
    <w:rsid w:val="007C3B13"/>
    <w:rsid w:val="007C6ED1"/>
    <w:rsid w:val="007D6935"/>
    <w:rsid w:val="007D7C89"/>
    <w:rsid w:val="007E2572"/>
    <w:rsid w:val="007F14AF"/>
    <w:rsid w:val="007F6F8E"/>
    <w:rsid w:val="00812FB6"/>
    <w:rsid w:val="008172E1"/>
    <w:rsid w:val="008251E4"/>
    <w:rsid w:val="00826619"/>
    <w:rsid w:val="00833F81"/>
    <w:rsid w:val="00843F70"/>
    <w:rsid w:val="00844214"/>
    <w:rsid w:val="008461F2"/>
    <w:rsid w:val="0084737D"/>
    <w:rsid w:val="008505A1"/>
    <w:rsid w:val="0085456E"/>
    <w:rsid w:val="00857D50"/>
    <w:rsid w:val="00865A4C"/>
    <w:rsid w:val="00881703"/>
    <w:rsid w:val="00885D7B"/>
    <w:rsid w:val="00886B84"/>
    <w:rsid w:val="00890906"/>
    <w:rsid w:val="008B048A"/>
    <w:rsid w:val="008B13C3"/>
    <w:rsid w:val="008C1F6A"/>
    <w:rsid w:val="008C3B68"/>
    <w:rsid w:val="008D1967"/>
    <w:rsid w:val="008D5402"/>
    <w:rsid w:val="008E224A"/>
    <w:rsid w:val="008E34A8"/>
    <w:rsid w:val="008F264D"/>
    <w:rsid w:val="008F2B16"/>
    <w:rsid w:val="009114AC"/>
    <w:rsid w:val="0091163D"/>
    <w:rsid w:val="00912153"/>
    <w:rsid w:val="00913045"/>
    <w:rsid w:val="0091368B"/>
    <w:rsid w:val="00913A1F"/>
    <w:rsid w:val="00920156"/>
    <w:rsid w:val="00923463"/>
    <w:rsid w:val="0093381B"/>
    <w:rsid w:val="00935ECA"/>
    <w:rsid w:val="0093700A"/>
    <w:rsid w:val="009447F3"/>
    <w:rsid w:val="00960908"/>
    <w:rsid w:val="0098089F"/>
    <w:rsid w:val="009840BC"/>
    <w:rsid w:val="009957A3"/>
    <w:rsid w:val="009A380A"/>
    <w:rsid w:val="009A3822"/>
    <w:rsid w:val="009C24E4"/>
    <w:rsid w:val="009C7634"/>
    <w:rsid w:val="009C7AAF"/>
    <w:rsid w:val="009E1318"/>
    <w:rsid w:val="009F0D45"/>
    <w:rsid w:val="009F0E21"/>
    <w:rsid w:val="009F4AD9"/>
    <w:rsid w:val="00A00A59"/>
    <w:rsid w:val="00A0731C"/>
    <w:rsid w:val="00A07C9A"/>
    <w:rsid w:val="00A10AC1"/>
    <w:rsid w:val="00A1325E"/>
    <w:rsid w:val="00A17389"/>
    <w:rsid w:val="00A27A44"/>
    <w:rsid w:val="00A307D1"/>
    <w:rsid w:val="00A31253"/>
    <w:rsid w:val="00A33276"/>
    <w:rsid w:val="00A33FDD"/>
    <w:rsid w:val="00A34731"/>
    <w:rsid w:val="00A40791"/>
    <w:rsid w:val="00A47ED1"/>
    <w:rsid w:val="00A6433C"/>
    <w:rsid w:val="00A73296"/>
    <w:rsid w:val="00A75D9B"/>
    <w:rsid w:val="00A90B88"/>
    <w:rsid w:val="00AA0AD3"/>
    <w:rsid w:val="00AB03BD"/>
    <w:rsid w:val="00AB1D51"/>
    <w:rsid w:val="00AC3FF9"/>
    <w:rsid w:val="00AC6E9E"/>
    <w:rsid w:val="00AD1601"/>
    <w:rsid w:val="00AE6710"/>
    <w:rsid w:val="00B052B7"/>
    <w:rsid w:val="00B2188E"/>
    <w:rsid w:val="00B23853"/>
    <w:rsid w:val="00B30C27"/>
    <w:rsid w:val="00B353EF"/>
    <w:rsid w:val="00B5765F"/>
    <w:rsid w:val="00B76B8E"/>
    <w:rsid w:val="00B84726"/>
    <w:rsid w:val="00B86687"/>
    <w:rsid w:val="00B90E11"/>
    <w:rsid w:val="00BA1896"/>
    <w:rsid w:val="00BB0025"/>
    <w:rsid w:val="00BB6ED8"/>
    <w:rsid w:val="00BC02EA"/>
    <w:rsid w:val="00BC1C44"/>
    <w:rsid w:val="00BD1A77"/>
    <w:rsid w:val="00BD4E93"/>
    <w:rsid w:val="00BD5153"/>
    <w:rsid w:val="00BE52A8"/>
    <w:rsid w:val="00BE7244"/>
    <w:rsid w:val="00BF5023"/>
    <w:rsid w:val="00C1026D"/>
    <w:rsid w:val="00C123BD"/>
    <w:rsid w:val="00C15E25"/>
    <w:rsid w:val="00C2374A"/>
    <w:rsid w:val="00C26EF0"/>
    <w:rsid w:val="00C27D6B"/>
    <w:rsid w:val="00C322EF"/>
    <w:rsid w:val="00C3242A"/>
    <w:rsid w:val="00C32DA1"/>
    <w:rsid w:val="00C34481"/>
    <w:rsid w:val="00C501D0"/>
    <w:rsid w:val="00C51635"/>
    <w:rsid w:val="00C724A5"/>
    <w:rsid w:val="00C73E61"/>
    <w:rsid w:val="00C760C6"/>
    <w:rsid w:val="00C83364"/>
    <w:rsid w:val="00C83816"/>
    <w:rsid w:val="00C91866"/>
    <w:rsid w:val="00C92058"/>
    <w:rsid w:val="00C9552E"/>
    <w:rsid w:val="00C975ED"/>
    <w:rsid w:val="00CA7F74"/>
    <w:rsid w:val="00CB05BE"/>
    <w:rsid w:val="00CB3DC5"/>
    <w:rsid w:val="00CB4A7D"/>
    <w:rsid w:val="00CC31F2"/>
    <w:rsid w:val="00CD2CF4"/>
    <w:rsid w:val="00CD7505"/>
    <w:rsid w:val="00CE1164"/>
    <w:rsid w:val="00CE6358"/>
    <w:rsid w:val="00CE731F"/>
    <w:rsid w:val="00CF1192"/>
    <w:rsid w:val="00D05A2D"/>
    <w:rsid w:val="00D073A9"/>
    <w:rsid w:val="00D07537"/>
    <w:rsid w:val="00D12022"/>
    <w:rsid w:val="00D13090"/>
    <w:rsid w:val="00D15E2D"/>
    <w:rsid w:val="00D16DA2"/>
    <w:rsid w:val="00D2326A"/>
    <w:rsid w:val="00D31C73"/>
    <w:rsid w:val="00D458AE"/>
    <w:rsid w:val="00D54523"/>
    <w:rsid w:val="00D61245"/>
    <w:rsid w:val="00D65EE6"/>
    <w:rsid w:val="00D66094"/>
    <w:rsid w:val="00D72F9D"/>
    <w:rsid w:val="00D75ACC"/>
    <w:rsid w:val="00D83A57"/>
    <w:rsid w:val="00D90874"/>
    <w:rsid w:val="00D931B2"/>
    <w:rsid w:val="00D97F3B"/>
    <w:rsid w:val="00DC0E8A"/>
    <w:rsid w:val="00DC20EE"/>
    <w:rsid w:val="00DD42EE"/>
    <w:rsid w:val="00DD477B"/>
    <w:rsid w:val="00DF76B3"/>
    <w:rsid w:val="00E02EC7"/>
    <w:rsid w:val="00E10E7D"/>
    <w:rsid w:val="00E11B1C"/>
    <w:rsid w:val="00E162B7"/>
    <w:rsid w:val="00E178A9"/>
    <w:rsid w:val="00E3143C"/>
    <w:rsid w:val="00E330F3"/>
    <w:rsid w:val="00E36A54"/>
    <w:rsid w:val="00E40C4E"/>
    <w:rsid w:val="00E4355C"/>
    <w:rsid w:val="00E44209"/>
    <w:rsid w:val="00E66C8B"/>
    <w:rsid w:val="00E675A0"/>
    <w:rsid w:val="00E806A4"/>
    <w:rsid w:val="00E81D31"/>
    <w:rsid w:val="00E84F76"/>
    <w:rsid w:val="00E92318"/>
    <w:rsid w:val="00EA7786"/>
    <w:rsid w:val="00EB49C1"/>
    <w:rsid w:val="00EB6C9C"/>
    <w:rsid w:val="00EC272B"/>
    <w:rsid w:val="00EC4AA9"/>
    <w:rsid w:val="00ED3104"/>
    <w:rsid w:val="00ED337C"/>
    <w:rsid w:val="00ED7352"/>
    <w:rsid w:val="00EE08DE"/>
    <w:rsid w:val="00F063FA"/>
    <w:rsid w:val="00F31222"/>
    <w:rsid w:val="00F53C24"/>
    <w:rsid w:val="00F5406C"/>
    <w:rsid w:val="00F54879"/>
    <w:rsid w:val="00F602D9"/>
    <w:rsid w:val="00F621BF"/>
    <w:rsid w:val="00F774F9"/>
    <w:rsid w:val="00F82378"/>
    <w:rsid w:val="00F827B3"/>
    <w:rsid w:val="00F82827"/>
    <w:rsid w:val="00F85606"/>
    <w:rsid w:val="00F9769A"/>
    <w:rsid w:val="00FB254C"/>
    <w:rsid w:val="00FB55EB"/>
    <w:rsid w:val="00FB7691"/>
    <w:rsid w:val="00FD1B09"/>
    <w:rsid w:val="00FE71F9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804328"/>
  <w15:chartTrackingRefBased/>
  <w15:docId w15:val="{6C0CDDF0-CBBF-4705-8886-E5A09B7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7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7A"/>
    <w:rPr>
      <w:color w:val="0000FF"/>
      <w:u w:val="single"/>
    </w:rPr>
  </w:style>
  <w:style w:type="paragraph" w:styleId="NoSpacing">
    <w:name w:val="No Spacing"/>
    <w:uiPriority w:val="1"/>
    <w:qFormat/>
    <w:rsid w:val="00886B8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C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47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4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8B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B2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9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9E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9E7"/>
    <w:rPr>
      <w:vertAlign w:val="superscript"/>
    </w:rPr>
  </w:style>
  <w:style w:type="paragraph" w:styleId="Revision">
    <w:name w:val="Revision"/>
    <w:hidden/>
    <w:uiPriority w:val="99"/>
    <w:semiHidden/>
    <w:rsid w:val="00A10A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s-sct.gc.ca/pol/doc-eng.aspx?id=28422" TargetMode="External"/><Relationship Id="rId13" Type="http://schemas.openxmlformats.org/officeDocument/2006/relationships/hyperlink" Target="https://open.canada.ca/data/en/dataset/3ac0d080-6149-499a-8b06-7ce5f00ec56c" TargetMode="External"/><Relationship Id="rId18" Type="http://schemas.openxmlformats.org/officeDocument/2006/relationships/hyperlink" Target="http://wet-boew.github.io/themes-dist/GCWeb/institutional-service-performance-en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treasury-board-secretariat/services/federal-regulatory-management/guidelines-tools/policy-regulatory-transparency-accountability.html" TargetMode="External"/><Relationship Id="rId17" Type="http://schemas.openxmlformats.org/officeDocument/2006/relationships/hyperlink" Target="http://wet-boew.github.io/themes-dist/GCWeb/institutional-service-performance-en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t-boew.github.io/themes-dist/GCWeb/institutional-service-performance-en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s-sct.gc.ca/pol/doc-eng.aspx?id=28422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bs-sct.gc.ca/pol/doc-eng.aspx?id=28422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gela.Doyle@tbs-sct.gc.c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treasury-board-secretariat/services/government-communications/canada-content-information-architecture-specification/templates-detailed-specifications/institutional-service-performance-reporting-pages.html" TargetMode="External"/><Relationship Id="rId14" Type="http://schemas.openxmlformats.org/officeDocument/2006/relationships/hyperlink" Target="http://laws-lois.justice.gc.ca/eng/acts/S-8.4/index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449E-3AB8-4520-8FE2-3D9BB01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4772</Characters>
  <Application>Microsoft Office Word</Application>
  <DocSecurity>0</DocSecurity>
  <Lines>115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Angela</dc:creator>
  <cp:keywords/>
  <dc:description/>
  <cp:lastModifiedBy>Doyle, Angela</cp:lastModifiedBy>
  <cp:revision>2</cp:revision>
  <cp:lastPrinted>2018-09-18T19:53:00Z</cp:lastPrinted>
  <dcterms:created xsi:type="dcterms:W3CDTF">2021-04-14T20:37:00Z</dcterms:created>
  <dcterms:modified xsi:type="dcterms:W3CDTF">2021-04-14T20:37:00Z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1a3379a8-8ddc-4e56-9ddf-b72c927b9cc1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Owner">
    <vt:lpwstr>ADOYLE@tbs-sct.gc.ca</vt:lpwstr>
  </property>
  <property fmtid="{D5CDD505-2E9C-101B-9397-08002B2CF9AE}" pid="8" name="MSIP_Label_3d0ca00b-3f0e-465a-aac7-1a6a22fcea40_SetDate">
    <vt:lpwstr>2021-03-05T15:18:47.9904420Z</vt:lpwstr>
  </property>
  <property fmtid="{D5CDD505-2E9C-101B-9397-08002B2CF9AE}" pid="9" name="MSIP_Label_3d0ca00b-3f0e-465a-aac7-1a6a22fcea40_Name">
    <vt:lpwstr>UNCLASSIFIED</vt:lpwstr>
  </property>
  <property fmtid="{D5CDD505-2E9C-101B-9397-08002B2CF9AE}" pid="10" name="MSIP_Label_3d0ca00b-3f0e-465a-aac7-1a6a22fcea40_Application">
    <vt:lpwstr>Microsoft Azure Information Protection</vt:lpwstr>
  </property>
  <property fmtid="{D5CDD505-2E9C-101B-9397-08002B2CF9AE}" pid="11" name="MSIP_Label_3d0ca00b-3f0e-465a-aac7-1a6a22fcea40_ActionId">
    <vt:lpwstr>e00e68a1-0c96-4d4a-b3a3-081f582dceb6</vt:lpwstr>
  </property>
  <property fmtid="{D5CDD505-2E9C-101B-9397-08002B2CF9AE}" pid="12" name="MSIP_Label_3d0ca00b-3f0e-465a-aac7-1a6a22fcea40_Extended_MSFT_Method">
    <vt:lpwstr>Manual</vt:lpwstr>
  </property>
  <property fmtid="{D5CDD505-2E9C-101B-9397-08002B2CF9AE}" pid="13" name="Sensitivity">
    <vt:lpwstr>UNCLASSIFIED</vt:lpwstr>
  </property>
</Properties>
</file>