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E1E91" w14:textId="77777777" w:rsidR="00297808" w:rsidRPr="00495A5C" w:rsidRDefault="00297808" w:rsidP="00BA1A21">
      <w:pPr>
        <w:pStyle w:val="ListParagraph"/>
        <w:numPr>
          <w:ilvl w:val="0"/>
          <w:numId w:val="1"/>
        </w:numPr>
        <w:spacing w:after="0" w:line="240" w:lineRule="auto"/>
        <w:ind w:left="426" w:hanging="426"/>
        <w:jc w:val="both"/>
        <w:rPr>
          <w:b/>
          <w:lang w:val="fr-CA"/>
        </w:rPr>
      </w:pPr>
      <w:r w:rsidRPr="00495A5C">
        <w:rPr>
          <w:b/>
          <w:lang w:val="fr-CA"/>
        </w:rPr>
        <w:t>Informations de base</w:t>
      </w:r>
    </w:p>
    <w:tbl>
      <w:tblPr>
        <w:tblStyle w:val="TableGrid"/>
        <w:tblW w:w="0" w:type="auto"/>
        <w:tblLook w:val="04A0" w:firstRow="1" w:lastRow="0" w:firstColumn="1" w:lastColumn="0" w:noHBand="0" w:noVBand="1"/>
      </w:tblPr>
      <w:tblGrid>
        <w:gridCol w:w="3114"/>
        <w:gridCol w:w="3113"/>
        <w:gridCol w:w="3123"/>
      </w:tblGrid>
      <w:tr w:rsidR="00297808" w:rsidRPr="00AE74E7" w14:paraId="0AF3F13A" w14:textId="77777777" w:rsidTr="00982844">
        <w:tc>
          <w:tcPr>
            <w:tcW w:w="9500" w:type="dxa"/>
            <w:gridSpan w:val="3"/>
          </w:tcPr>
          <w:p w14:paraId="23B7A1C7" w14:textId="77777777" w:rsidR="00297808" w:rsidRPr="003F662D" w:rsidRDefault="00297808" w:rsidP="00BA1A21">
            <w:pPr>
              <w:contextualSpacing/>
              <w:jc w:val="both"/>
              <w:rPr>
                <w:b/>
                <w:lang w:val="fr-CA"/>
              </w:rPr>
            </w:pPr>
            <w:r w:rsidRPr="003F662D">
              <w:rPr>
                <w:b/>
                <w:lang w:val="fr-CA"/>
              </w:rPr>
              <w:t>Nom du projet</w:t>
            </w:r>
          </w:p>
          <w:p w14:paraId="56C627DB" w14:textId="77777777" w:rsidR="00297808" w:rsidRDefault="006D161C" w:rsidP="00BA1A21">
            <w:pPr>
              <w:contextualSpacing/>
              <w:jc w:val="both"/>
              <w:rPr>
                <w:lang w:val="fr-CA"/>
              </w:rPr>
            </w:pPr>
            <w:r w:rsidRPr="00124811">
              <w:rPr>
                <w:lang w:val="fr-CA"/>
              </w:rPr>
              <w:t>Prévenir les mariages précoces et forcés au Bénin </w:t>
            </w:r>
            <w:r>
              <w:rPr>
                <w:lang w:val="fr-CA"/>
              </w:rPr>
              <w:t>- PROJEUNES</w:t>
            </w:r>
          </w:p>
        </w:tc>
      </w:tr>
      <w:tr w:rsidR="00297808" w14:paraId="70E1E9F0" w14:textId="77777777" w:rsidTr="00982844">
        <w:tc>
          <w:tcPr>
            <w:tcW w:w="9500" w:type="dxa"/>
            <w:gridSpan w:val="3"/>
          </w:tcPr>
          <w:p w14:paraId="4B79EA6D" w14:textId="77777777" w:rsidR="00297808" w:rsidRPr="003F662D" w:rsidRDefault="00297808" w:rsidP="00BA1A21">
            <w:pPr>
              <w:contextualSpacing/>
              <w:jc w:val="both"/>
              <w:rPr>
                <w:b/>
                <w:lang w:val="fr-CA"/>
              </w:rPr>
            </w:pPr>
            <w:r w:rsidRPr="003F662D">
              <w:rPr>
                <w:b/>
                <w:lang w:val="fr-CA"/>
              </w:rPr>
              <w:t>Nom du partenaire</w:t>
            </w:r>
          </w:p>
          <w:p w14:paraId="1F2345D2" w14:textId="77777777" w:rsidR="00297808" w:rsidRDefault="006D161C" w:rsidP="00BA1A21">
            <w:pPr>
              <w:contextualSpacing/>
              <w:jc w:val="both"/>
              <w:rPr>
                <w:lang w:val="fr-CA"/>
              </w:rPr>
            </w:pPr>
            <w:r>
              <w:rPr>
                <w:lang w:val="fr-CA"/>
              </w:rPr>
              <w:t>CARE Canada</w:t>
            </w:r>
          </w:p>
          <w:p w14:paraId="273A442F" w14:textId="77777777" w:rsidR="006D161C" w:rsidRDefault="006D161C" w:rsidP="00BA1A21">
            <w:pPr>
              <w:contextualSpacing/>
              <w:jc w:val="both"/>
              <w:rPr>
                <w:lang w:val="fr-CA"/>
              </w:rPr>
            </w:pPr>
            <w:r>
              <w:rPr>
                <w:lang w:val="fr-CA"/>
              </w:rPr>
              <w:t>CARE Bénin</w:t>
            </w:r>
            <w:r>
              <w:rPr>
                <w:rFonts w:cstheme="minorHAnsi"/>
                <w:lang w:val="fr-CA"/>
              </w:rPr>
              <w:t>∕</w:t>
            </w:r>
            <w:r>
              <w:rPr>
                <w:lang w:val="fr-CA"/>
              </w:rPr>
              <w:t>Togo</w:t>
            </w:r>
          </w:p>
          <w:p w14:paraId="01569013" w14:textId="77777777" w:rsidR="006D161C" w:rsidRPr="006D161C" w:rsidRDefault="006D161C" w:rsidP="00BA1A21">
            <w:pPr>
              <w:contextualSpacing/>
              <w:jc w:val="both"/>
              <w:rPr>
                <w:lang w:val="en-US"/>
              </w:rPr>
            </w:pPr>
            <w:r w:rsidRPr="006D161C">
              <w:rPr>
                <w:lang w:val="en-US"/>
              </w:rPr>
              <w:t xml:space="preserve">Youth Coalition </w:t>
            </w:r>
            <w:r w:rsidRPr="000E3252">
              <w:t>for Sexual and Reproductive Rights</w:t>
            </w:r>
          </w:p>
        </w:tc>
      </w:tr>
      <w:tr w:rsidR="00297808" w14:paraId="729C006B" w14:textId="77777777" w:rsidTr="00982844">
        <w:tc>
          <w:tcPr>
            <w:tcW w:w="3166" w:type="dxa"/>
          </w:tcPr>
          <w:p w14:paraId="25D88F81" w14:textId="77777777" w:rsidR="00297808" w:rsidRPr="003F662D" w:rsidRDefault="00297808" w:rsidP="00BA1A21">
            <w:pPr>
              <w:contextualSpacing/>
              <w:jc w:val="both"/>
              <w:rPr>
                <w:b/>
                <w:lang w:val="fr-CA"/>
              </w:rPr>
            </w:pPr>
            <w:r w:rsidRPr="003F662D">
              <w:rPr>
                <w:b/>
                <w:lang w:val="fr-CA"/>
              </w:rPr>
              <w:t>Date de début</w:t>
            </w:r>
          </w:p>
          <w:p w14:paraId="00061BDD" w14:textId="77777777" w:rsidR="00297808" w:rsidRDefault="006D161C" w:rsidP="00BA1A21">
            <w:pPr>
              <w:contextualSpacing/>
              <w:jc w:val="both"/>
              <w:rPr>
                <w:lang w:val="fr-CA"/>
              </w:rPr>
            </w:pPr>
            <w:r>
              <w:rPr>
                <w:lang w:val="fr-CA"/>
              </w:rPr>
              <w:t>Avril 2018</w:t>
            </w:r>
          </w:p>
        </w:tc>
        <w:tc>
          <w:tcPr>
            <w:tcW w:w="3167" w:type="dxa"/>
          </w:tcPr>
          <w:p w14:paraId="05679227" w14:textId="77777777" w:rsidR="00297808" w:rsidRPr="003F662D" w:rsidRDefault="00297808" w:rsidP="00BA1A21">
            <w:pPr>
              <w:contextualSpacing/>
              <w:jc w:val="both"/>
              <w:rPr>
                <w:b/>
                <w:lang w:val="fr-CA"/>
              </w:rPr>
            </w:pPr>
            <w:r w:rsidRPr="003F662D">
              <w:rPr>
                <w:b/>
                <w:lang w:val="fr-CA"/>
              </w:rPr>
              <w:t>Date de fin</w:t>
            </w:r>
          </w:p>
          <w:p w14:paraId="715EA3BB" w14:textId="77777777" w:rsidR="00297808" w:rsidRDefault="006D161C" w:rsidP="00BA1A21">
            <w:pPr>
              <w:contextualSpacing/>
              <w:jc w:val="both"/>
              <w:rPr>
                <w:lang w:val="fr-CA"/>
              </w:rPr>
            </w:pPr>
            <w:r>
              <w:rPr>
                <w:lang w:val="fr-CA"/>
              </w:rPr>
              <w:t>Mars 2021</w:t>
            </w:r>
          </w:p>
        </w:tc>
        <w:tc>
          <w:tcPr>
            <w:tcW w:w="3167" w:type="dxa"/>
          </w:tcPr>
          <w:p w14:paraId="56BC21F4" w14:textId="77777777" w:rsidR="00297808" w:rsidRPr="003F662D" w:rsidRDefault="00297808" w:rsidP="00BA1A21">
            <w:pPr>
              <w:contextualSpacing/>
              <w:jc w:val="both"/>
              <w:rPr>
                <w:b/>
                <w:lang w:val="fr-CA"/>
              </w:rPr>
            </w:pPr>
            <w:r w:rsidRPr="003F662D">
              <w:rPr>
                <w:b/>
                <w:lang w:val="fr-CA"/>
              </w:rPr>
              <w:t>Budget</w:t>
            </w:r>
          </w:p>
          <w:p w14:paraId="0A6F805C" w14:textId="77777777" w:rsidR="00297808" w:rsidRDefault="006D161C" w:rsidP="00BA1A21">
            <w:pPr>
              <w:contextualSpacing/>
              <w:jc w:val="both"/>
              <w:rPr>
                <w:lang w:val="fr-CA"/>
              </w:rPr>
            </w:pPr>
            <w:r>
              <w:rPr>
                <w:lang w:val="fr-CA"/>
              </w:rPr>
              <w:t>3,000,000 CAD</w:t>
            </w:r>
          </w:p>
        </w:tc>
      </w:tr>
      <w:tr w:rsidR="00297808" w:rsidRPr="00AE74E7" w14:paraId="4564757E" w14:textId="77777777" w:rsidTr="00982844">
        <w:trPr>
          <w:trHeight w:val="1373"/>
        </w:trPr>
        <w:tc>
          <w:tcPr>
            <w:tcW w:w="9500" w:type="dxa"/>
            <w:gridSpan w:val="3"/>
          </w:tcPr>
          <w:p w14:paraId="65C8EF25" w14:textId="77777777" w:rsidR="00297808" w:rsidRPr="003F662D" w:rsidRDefault="00297808" w:rsidP="00BA1A21">
            <w:pPr>
              <w:contextualSpacing/>
              <w:jc w:val="both"/>
              <w:rPr>
                <w:b/>
                <w:lang w:val="fr-CA"/>
              </w:rPr>
            </w:pPr>
            <w:r w:rsidRPr="003F662D">
              <w:rPr>
                <w:b/>
                <w:lang w:val="fr-CA"/>
              </w:rPr>
              <w:t>Description succincte</w:t>
            </w:r>
          </w:p>
          <w:p w14:paraId="688B5C65" w14:textId="77777777" w:rsidR="00297808" w:rsidRDefault="003F662D" w:rsidP="00BA1A21">
            <w:pPr>
              <w:contextualSpacing/>
              <w:jc w:val="both"/>
              <w:rPr>
                <w:lang w:val="fr-CA"/>
              </w:rPr>
            </w:pPr>
            <w:r w:rsidRPr="00F854E5">
              <w:rPr>
                <w:lang w:val="fr-CA"/>
              </w:rPr>
              <w:t>Le projet « Prévenir les mariages précoces et forcés au Bénin » est une initiative visant à améliorer la santé et les droits sexuels et reproductifs des adolescentes au Bénin. Appelé « PROJEUNES » sur le terrain, i</w:t>
            </w:r>
            <w:r w:rsidRPr="00F854E5">
              <w:rPr>
                <w:lang w:val="fr-CA" w:eastAsia="en-GB"/>
              </w:rPr>
              <w:t>l utilise une approche multisectorielle à plusieurs niveaux, basée sur le changement de comportement social, dirigée par des jeunes afin de développer et offrir un ensemble de services d'éducation et de soins de santé adaptés aux adolescents et aux jeunes, filles et garçons. Pour mettre fin aux mariages précoces et forcés d’enfants et protéger les droits des adolescentes, le projet travaille avec les communautés au niveau des villages, y compris les chefs traditionnels et religieux, afin de développer et promouvoir une solution locale. Le renforcement des capacités des acteurs locaux et le plaidoyer mené par les jeunes, créeront un environnement propice au changement des normes sociales et sexospécifiques nécessaires pour mettre fin aux pratiques traditionnelles néfastes au Bénin, notamment les mariages précoces et forcés d’enfants</w:t>
            </w:r>
            <w:r>
              <w:rPr>
                <w:lang w:val="fr-CA" w:eastAsia="en-GB"/>
              </w:rPr>
              <w:t xml:space="preserve"> (MPFE).</w:t>
            </w:r>
          </w:p>
        </w:tc>
      </w:tr>
    </w:tbl>
    <w:p w14:paraId="39FC44B5" w14:textId="77777777" w:rsidR="00297808" w:rsidRDefault="00297808" w:rsidP="00BA1A21">
      <w:pPr>
        <w:spacing w:after="0" w:line="240" w:lineRule="auto"/>
        <w:contextualSpacing/>
        <w:jc w:val="both"/>
        <w:rPr>
          <w:lang w:val="fr-CA"/>
        </w:rPr>
      </w:pPr>
    </w:p>
    <w:p w14:paraId="1DE496BE" w14:textId="77777777" w:rsidR="00297808" w:rsidRPr="00495A5C" w:rsidRDefault="00297808" w:rsidP="00BA1A21">
      <w:pPr>
        <w:pStyle w:val="ListParagraph"/>
        <w:numPr>
          <w:ilvl w:val="0"/>
          <w:numId w:val="1"/>
        </w:numPr>
        <w:spacing w:after="0" w:line="240" w:lineRule="auto"/>
        <w:ind w:left="426" w:hanging="426"/>
        <w:jc w:val="both"/>
        <w:rPr>
          <w:b/>
          <w:lang w:val="fr-CA"/>
        </w:rPr>
      </w:pPr>
      <w:r w:rsidRPr="00495A5C">
        <w:rPr>
          <w:b/>
          <w:lang w:val="fr-CA"/>
        </w:rPr>
        <w:t xml:space="preserve">Cadre de mesure de rendement </w:t>
      </w:r>
    </w:p>
    <w:p w14:paraId="6577B955" w14:textId="77777777" w:rsidR="00297808" w:rsidRDefault="006D161C" w:rsidP="00BA1A21">
      <w:pPr>
        <w:spacing w:after="0" w:line="240" w:lineRule="auto"/>
        <w:contextualSpacing/>
        <w:jc w:val="both"/>
        <w:rPr>
          <w:lang w:val="fr-CA"/>
        </w:rPr>
      </w:pPr>
      <w:r>
        <w:rPr>
          <w:lang w:val="fr-CA"/>
        </w:rPr>
        <w:t>Voir pièce jointe.</w:t>
      </w:r>
    </w:p>
    <w:p w14:paraId="3D0DE891" w14:textId="77777777" w:rsidR="00297808" w:rsidRDefault="00297808" w:rsidP="00BA1A21">
      <w:pPr>
        <w:spacing w:after="0" w:line="240" w:lineRule="auto"/>
        <w:contextualSpacing/>
        <w:jc w:val="both"/>
        <w:rPr>
          <w:lang w:val="fr-CA"/>
        </w:rPr>
      </w:pPr>
    </w:p>
    <w:p w14:paraId="599FD1B9" w14:textId="77777777" w:rsidR="00297808" w:rsidRPr="00495A5C" w:rsidRDefault="00297808" w:rsidP="00BA1A21">
      <w:pPr>
        <w:pStyle w:val="ListParagraph"/>
        <w:numPr>
          <w:ilvl w:val="0"/>
          <w:numId w:val="1"/>
        </w:numPr>
        <w:spacing w:after="0" w:line="240" w:lineRule="auto"/>
        <w:ind w:left="426" w:hanging="426"/>
        <w:jc w:val="both"/>
        <w:rPr>
          <w:b/>
          <w:lang w:val="fr-CA"/>
        </w:rPr>
      </w:pPr>
      <w:r w:rsidRPr="00495A5C">
        <w:rPr>
          <w:b/>
          <w:lang w:val="fr-CA"/>
        </w:rPr>
        <w:t>Zones d'interventions</w:t>
      </w:r>
    </w:p>
    <w:p w14:paraId="633D983F" w14:textId="77777777" w:rsidR="00297808" w:rsidRDefault="00297808" w:rsidP="00BA1A21">
      <w:pPr>
        <w:tabs>
          <w:tab w:val="right" w:leader="dot" w:pos="5670"/>
        </w:tabs>
        <w:spacing w:after="0" w:line="240" w:lineRule="auto"/>
        <w:contextualSpacing/>
        <w:jc w:val="both"/>
        <w:rPr>
          <w:lang w:val="fr-CA"/>
        </w:rPr>
      </w:pPr>
      <w:r>
        <w:rPr>
          <w:lang w:val="fr-CA"/>
        </w:rPr>
        <w:t>Appui dans tout le pays seulement</w:t>
      </w:r>
      <w:r>
        <w:rPr>
          <w:lang w:val="fr-CA"/>
        </w:rPr>
        <w:tab/>
      </w:r>
      <w:r>
        <w:rPr>
          <w:rFonts w:ascii="Courier New" w:hAnsi="Courier New" w:cs="Courier New"/>
          <w:lang w:val="fr-CA"/>
        </w:rPr>
        <w:t>□</w:t>
      </w:r>
    </w:p>
    <w:p w14:paraId="4D069442" w14:textId="77777777" w:rsidR="00297808" w:rsidRDefault="00297808" w:rsidP="00BA1A21">
      <w:pPr>
        <w:tabs>
          <w:tab w:val="right" w:leader="dot" w:pos="5670"/>
        </w:tabs>
        <w:spacing w:after="0" w:line="240" w:lineRule="auto"/>
        <w:contextualSpacing/>
        <w:jc w:val="both"/>
        <w:rPr>
          <w:lang w:val="fr-CA"/>
        </w:rPr>
      </w:pPr>
      <w:r>
        <w:rPr>
          <w:lang w:val="fr-CA"/>
        </w:rPr>
        <w:t>Appui au niveau central seulement</w:t>
      </w:r>
      <w:r>
        <w:rPr>
          <w:lang w:val="fr-CA"/>
        </w:rPr>
        <w:tab/>
      </w:r>
      <w:r>
        <w:rPr>
          <w:rFonts w:ascii="Courier New" w:hAnsi="Courier New" w:cs="Courier New"/>
          <w:lang w:val="fr-CA"/>
        </w:rPr>
        <w:t>□</w:t>
      </w:r>
    </w:p>
    <w:p w14:paraId="10728CFC" w14:textId="77777777" w:rsidR="00297808" w:rsidRDefault="00297808" w:rsidP="00BA1A21">
      <w:pPr>
        <w:tabs>
          <w:tab w:val="right" w:leader="dot" w:pos="5670"/>
        </w:tabs>
        <w:spacing w:after="0" w:line="240" w:lineRule="auto"/>
        <w:contextualSpacing/>
        <w:jc w:val="both"/>
        <w:rPr>
          <w:lang w:val="fr-CA"/>
        </w:rPr>
      </w:pPr>
      <w:r>
        <w:rPr>
          <w:lang w:val="fr-CA"/>
        </w:rPr>
        <w:t>Autre</w:t>
      </w:r>
      <w:r>
        <w:rPr>
          <w:lang w:val="fr-CA"/>
        </w:rPr>
        <w:tab/>
      </w:r>
      <w:r w:rsidR="006D161C">
        <w:rPr>
          <w:rFonts w:ascii="Courier New" w:hAnsi="Courier New" w:cs="Courier New"/>
          <w:lang w:val="fr-CA"/>
        </w:rPr>
        <w:t>X</w:t>
      </w:r>
    </w:p>
    <w:p w14:paraId="15974D55" w14:textId="77777777" w:rsidR="00297808" w:rsidRDefault="00297808" w:rsidP="00BA1A21">
      <w:pPr>
        <w:spacing w:after="0" w:line="240" w:lineRule="auto"/>
        <w:contextualSpacing/>
        <w:jc w:val="both"/>
        <w:rPr>
          <w:lang w:val="fr-CA"/>
        </w:rPr>
      </w:pPr>
    </w:p>
    <w:p w14:paraId="687E68AE" w14:textId="77777777" w:rsidR="00297808" w:rsidRPr="003F662D" w:rsidRDefault="00297808" w:rsidP="00BA1A21">
      <w:pPr>
        <w:spacing w:after="0" w:line="240" w:lineRule="auto"/>
        <w:contextualSpacing/>
        <w:jc w:val="both"/>
        <w:rPr>
          <w:b/>
          <w:lang w:val="fr-CA"/>
        </w:rPr>
      </w:pPr>
      <w:r w:rsidRPr="003F662D">
        <w:rPr>
          <w:b/>
          <w:lang w:val="fr-CA"/>
        </w:rPr>
        <w:t>Appui régional</w:t>
      </w:r>
    </w:p>
    <w:tbl>
      <w:tblPr>
        <w:tblStyle w:val="TableGrid"/>
        <w:tblW w:w="0" w:type="auto"/>
        <w:tblLook w:val="04A0" w:firstRow="1" w:lastRow="0" w:firstColumn="1" w:lastColumn="0" w:noHBand="0" w:noVBand="1"/>
      </w:tblPr>
      <w:tblGrid>
        <w:gridCol w:w="9350"/>
      </w:tblGrid>
      <w:tr w:rsidR="00297808" w14:paraId="3648BB4F" w14:textId="77777777" w:rsidTr="006D161C">
        <w:tc>
          <w:tcPr>
            <w:tcW w:w="9350" w:type="dxa"/>
          </w:tcPr>
          <w:p w14:paraId="5482BAE5" w14:textId="77777777" w:rsidR="00297808" w:rsidRDefault="006D161C" w:rsidP="00BA1A21">
            <w:pPr>
              <w:contextualSpacing/>
              <w:jc w:val="both"/>
              <w:rPr>
                <w:lang w:val="fr-CA"/>
              </w:rPr>
            </w:pPr>
            <w:r>
              <w:rPr>
                <w:lang w:val="fr-CA"/>
              </w:rPr>
              <w:t>2 d</w:t>
            </w:r>
            <w:r w:rsidR="00297808">
              <w:rPr>
                <w:lang w:val="fr-CA"/>
              </w:rPr>
              <w:t>épartement</w:t>
            </w:r>
            <w:r>
              <w:rPr>
                <w:lang w:val="fr-CA"/>
              </w:rPr>
              <w:t>s : Alibori et Borgou</w:t>
            </w:r>
          </w:p>
        </w:tc>
      </w:tr>
      <w:tr w:rsidR="00297808" w:rsidRPr="00AE74E7" w14:paraId="025180D2" w14:textId="77777777" w:rsidTr="006D161C">
        <w:tc>
          <w:tcPr>
            <w:tcW w:w="9350" w:type="dxa"/>
          </w:tcPr>
          <w:p w14:paraId="1F46908E" w14:textId="77777777" w:rsidR="006D161C" w:rsidRDefault="006D161C" w:rsidP="00BA1A21">
            <w:pPr>
              <w:contextualSpacing/>
              <w:jc w:val="both"/>
              <w:rPr>
                <w:lang w:val="fr-CA"/>
              </w:rPr>
            </w:pPr>
            <w:r>
              <w:rPr>
                <w:lang w:val="fr-CA"/>
              </w:rPr>
              <w:t>4 c</w:t>
            </w:r>
            <w:r w:rsidR="00297808">
              <w:rPr>
                <w:lang w:val="fr-CA"/>
              </w:rPr>
              <w:t>ommune</w:t>
            </w:r>
            <w:r>
              <w:rPr>
                <w:lang w:val="fr-CA"/>
              </w:rPr>
              <w:t xml:space="preserve">s : </w:t>
            </w:r>
          </w:p>
          <w:p w14:paraId="71245CAB" w14:textId="77777777" w:rsidR="006D161C" w:rsidRDefault="006D161C" w:rsidP="00BA1A21">
            <w:pPr>
              <w:pStyle w:val="ListParagraph"/>
              <w:numPr>
                <w:ilvl w:val="0"/>
                <w:numId w:val="2"/>
              </w:numPr>
              <w:jc w:val="both"/>
              <w:rPr>
                <w:lang w:val="fr-CA"/>
              </w:rPr>
            </w:pPr>
            <w:r w:rsidRPr="006D161C">
              <w:rPr>
                <w:lang w:val="fr-CA"/>
              </w:rPr>
              <w:t>Karimama et Malanville (département de l’Alibori)</w:t>
            </w:r>
          </w:p>
          <w:p w14:paraId="1B03F818" w14:textId="77777777" w:rsidR="00297808" w:rsidRPr="006D161C" w:rsidRDefault="006D161C" w:rsidP="00BA1A21">
            <w:pPr>
              <w:pStyle w:val="ListParagraph"/>
              <w:numPr>
                <w:ilvl w:val="0"/>
                <w:numId w:val="2"/>
              </w:numPr>
              <w:jc w:val="both"/>
              <w:rPr>
                <w:lang w:val="fr-CA"/>
              </w:rPr>
            </w:pPr>
            <w:r w:rsidRPr="006D161C">
              <w:rPr>
                <w:lang w:val="fr-CA"/>
              </w:rPr>
              <w:t>Nikki et Kalalé</w:t>
            </w:r>
            <w:r>
              <w:rPr>
                <w:lang w:val="fr-CA"/>
              </w:rPr>
              <w:t xml:space="preserve"> (d</w:t>
            </w:r>
            <w:r w:rsidRPr="006D161C">
              <w:rPr>
                <w:lang w:val="fr-CA"/>
              </w:rPr>
              <w:t>épartement du Borgou</w:t>
            </w:r>
            <w:r>
              <w:rPr>
                <w:lang w:val="fr-CA"/>
              </w:rPr>
              <w:t>)</w:t>
            </w:r>
          </w:p>
        </w:tc>
      </w:tr>
      <w:tr w:rsidR="00297808" w14:paraId="7ACAB4C9" w14:textId="77777777" w:rsidTr="006D161C">
        <w:tc>
          <w:tcPr>
            <w:tcW w:w="9350" w:type="dxa"/>
          </w:tcPr>
          <w:p w14:paraId="0BC7B270" w14:textId="77777777" w:rsidR="00297808" w:rsidRPr="006D161C" w:rsidRDefault="006D161C" w:rsidP="00BA1A21">
            <w:pPr>
              <w:jc w:val="both"/>
              <w:rPr>
                <w:lang w:val="fr-CA"/>
              </w:rPr>
            </w:pPr>
            <w:r w:rsidRPr="006D161C">
              <w:rPr>
                <w:lang w:val="fr-CA"/>
              </w:rPr>
              <w:t>2 zones sanitaires :</w:t>
            </w:r>
          </w:p>
          <w:p w14:paraId="0715245F" w14:textId="77777777" w:rsidR="006D161C" w:rsidRDefault="006D161C" w:rsidP="00BA1A21">
            <w:pPr>
              <w:pStyle w:val="ListParagraph"/>
              <w:numPr>
                <w:ilvl w:val="0"/>
                <w:numId w:val="2"/>
              </w:numPr>
              <w:jc w:val="both"/>
              <w:rPr>
                <w:lang w:val="fr-CA"/>
              </w:rPr>
            </w:pPr>
            <w:r>
              <w:rPr>
                <w:lang w:val="fr-CA"/>
              </w:rPr>
              <w:t>Nikki-Kalalé-Pèrèrè</w:t>
            </w:r>
          </w:p>
          <w:p w14:paraId="51210507" w14:textId="77777777" w:rsidR="006D161C" w:rsidRPr="006D161C" w:rsidRDefault="006D161C" w:rsidP="00BA1A21">
            <w:pPr>
              <w:pStyle w:val="ListParagraph"/>
              <w:numPr>
                <w:ilvl w:val="0"/>
                <w:numId w:val="2"/>
              </w:numPr>
              <w:jc w:val="both"/>
              <w:rPr>
                <w:lang w:val="fr-CA"/>
              </w:rPr>
            </w:pPr>
            <w:r>
              <w:rPr>
                <w:lang w:val="fr-CA"/>
              </w:rPr>
              <w:t>Malanville-Karimama</w:t>
            </w:r>
          </w:p>
        </w:tc>
      </w:tr>
      <w:tr w:rsidR="00297808" w:rsidRPr="00AE74E7" w14:paraId="0D288A93" w14:textId="77777777" w:rsidTr="006D161C">
        <w:tc>
          <w:tcPr>
            <w:tcW w:w="9350" w:type="dxa"/>
          </w:tcPr>
          <w:p w14:paraId="4D8674C3" w14:textId="77777777" w:rsidR="00297808" w:rsidRDefault="006D161C" w:rsidP="00BA1A21">
            <w:pPr>
              <w:contextualSpacing/>
              <w:jc w:val="both"/>
              <w:rPr>
                <w:lang w:val="fr-CA"/>
              </w:rPr>
            </w:pPr>
            <w:r>
              <w:rPr>
                <w:lang w:val="fr-CA"/>
              </w:rPr>
              <w:t>20 villages :</w:t>
            </w:r>
          </w:p>
          <w:p w14:paraId="3A3A2C7D" w14:textId="77777777" w:rsidR="006D161C" w:rsidRPr="006D161C" w:rsidRDefault="006D161C" w:rsidP="00BA1A21">
            <w:pPr>
              <w:pStyle w:val="ListParagraph"/>
              <w:numPr>
                <w:ilvl w:val="0"/>
                <w:numId w:val="3"/>
              </w:numPr>
              <w:jc w:val="both"/>
              <w:rPr>
                <w:lang w:val="fr-CA"/>
              </w:rPr>
            </w:pPr>
            <w:r w:rsidRPr="006D161C">
              <w:rPr>
                <w:lang w:val="fr-CA" w:eastAsia="en-CA"/>
              </w:rPr>
              <w:t>C</w:t>
            </w:r>
            <w:r w:rsidR="003F662D">
              <w:rPr>
                <w:lang w:val="fr-CA" w:eastAsia="en-CA"/>
              </w:rPr>
              <w:t>ommune</w:t>
            </w:r>
            <w:r w:rsidRPr="00F854E5">
              <w:rPr>
                <w:lang w:val="fr-CA" w:eastAsia="en-CA"/>
              </w:rPr>
              <w:t xml:space="preserve"> de Karimama</w:t>
            </w:r>
            <w:r>
              <w:rPr>
                <w:lang w:val="fr-CA" w:eastAsia="en-CA"/>
              </w:rPr>
              <w:t xml:space="preserve"> : </w:t>
            </w:r>
            <w:r w:rsidRPr="00F854E5">
              <w:rPr>
                <w:lang w:val="fr-CA" w:eastAsia="en-CA"/>
              </w:rPr>
              <w:t xml:space="preserve">villages de </w:t>
            </w:r>
            <w:r w:rsidRPr="00F854E5">
              <w:rPr>
                <w:rFonts w:ascii="Calibri" w:eastAsia="Times New Roman" w:hAnsi="Calibri" w:cs="Times New Roman"/>
                <w:color w:val="000000"/>
                <w:lang w:val="fr-CA"/>
              </w:rPr>
              <w:t>Kompanti, Kompa, Garbeykoara, Loumbou Loumbou, Pétchinga</w:t>
            </w:r>
          </w:p>
          <w:p w14:paraId="64C99478" w14:textId="77777777" w:rsidR="006D161C" w:rsidRPr="006D161C" w:rsidRDefault="006D161C" w:rsidP="00BA1A21">
            <w:pPr>
              <w:pStyle w:val="ListParagraph"/>
              <w:numPr>
                <w:ilvl w:val="0"/>
                <w:numId w:val="3"/>
              </w:numPr>
              <w:jc w:val="both"/>
              <w:rPr>
                <w:lang w:val="fr-CA"/>
              </w:rPr>
            </w:pPr>
            <w:r>
              <w:rPr>
                <w:rFonts w:ascii="Calibri" w:eastAsia="Times New Roman" w:hAnsi="Calibri" w:cs="Times New Roman"/>
                <w:color w:val="000000"/>
                <w:lang w:val="fr-CA"/>
              </w:rPr>
              <w:t xml:space="preserve">Commune </w:t>
            </w:r>
            <w:r w:rsidRPr="00F854E5">
              <w:rPr>
                <w:lang w:val="fr-CA" w:eastAsia="en-CA"/>
              </w:rPr>
              <w:t xml:space="preserve">de </w:t>
            </w:r>
            <w:r>
              <w:rPr>
                <w:lang w:val="fr-CA" w:eastAsia="en-CA"/>
              </w:rPr>
              <w:t xml:space="preserve">Malanville : </w:t>
            </w:r>
            <w:r w:rsidRPr="00F854E5">
              <w:rPr>
                <w:lang w:val="fr-CA" w:eastAsia="en-CA"/>
              </w:rPr>
              <w:t xml:space="preserve">villages de </w:t>
            </w:r>
            <w:r w:rsidRPr="00F854E5">
              <w:rPr>
                <w:rFonts w:ascii="Calibri" w:eastAsia="Times New Roman" w:hAnsi="Calibri" w:cs="Times New Roman"/>
                <w:color w:val="000000"/>
                <w:lang w:val="fr-CA"/>
              </w:rPr>
              <w:t>Kassa, Kouara Tédj</w:t>
            </w:r>
            <w:r>
              <w:rPr>
                <w:rFonts w:ascii="Calibri" w:eastAsia="Times New Roman" w:hAnsi="Calibri" w:cs="Times New Roman"/>
                <w:color w:val="000000"/>
                <w:lang w:val="fr-CA"/>
              </w:rPr>
              <w:t>i, Sende, Momkassa, Garou-Tédji</w:t>
            </w:r>
          </w:p>
          <w:p w14:paraId="2451B05D" w14:textId="77777777" w:rsidR="006D161C" w:rsidRPr="006D161C" w:rsidRDefault="006D161C" w:rsidP="00BA1A21">
            <w:pPr>
              <w:pStyle w:val="ListParagraph"/>
              <w:numPr>
                <w:ilvl w:val="0"/>
                <w:numId w:val="3"/>
              </w:numPr>
              <w:jc w:val="both"/>
              <w:rPr>
                <w:lang w:val="fr-CA"/>
              </w:rPr>
            </w:pPr>
            <w:r>
              <w:rPr>
                <w:rFonts w:ascii="Calibri" w:eastAsia="Times New Roman" w:hAnsi="Calibri" w:cs="Times New Roman"/>
                <w:color w:val="000000"/>
                <w:lang w:val="fr-CA"/>
              </w:rPr>
              <w:t>C</w:t>
            </w:r>
            <w:r w:rsidRPr="006D161C">
              <w:rPr>
                <w:lang w:val="fr-CA" w:eastAsia="en-CA"/>
              </w:rPr>
              <w:t>ommune de Nikki</w:t>
            </w:r>
            <w:r>
              <w:rPr>
                <w:lang w:val="fr-CA" w:eastAsia="en-CA"/>
              </w:rPr>
              <w:t xml:space="preserve"> : </w:t>
            </w:r>
            <w:r w:rsidRPr="006D161C">
              <w:rPr>
                <w:lang w:val="fr-CA" w:eastAsia="en-CA"/>
              </w:rPr>
              <w:t xml:space="preserve">villages de </w:t>
            </w:r>
            <w:r w:rsidRPr="006D161C">
              <w:rPr>
                <w:rFonts w:ascii="Calibri" w:eastAsia="Times New Roman" w:hAnsi="Calibri" w:cs="Times New Roman"/>
                <w:bCs/>
                <w:color w:val="000000"/>
                <w:lang w:val="fr-CA"/>
              </w:rPr>
              <w:t>Sakabansi, Kali, Boukanere, Danri, Gbaossi</w:t>
            </w:r>
          </w:p>
          <w:p w14:paraId="6CE7A16C" w14:textId="77777777" w:rsidR="006D161C" w:rsidRPr="006D161C" w:rsidRDefault="006D161C" w:rsidP="00BA1A21">
            <w:pPr>
              <w:pStyle w:val="ListParagraph"/>
              <w:numPr>
                <w:ilvl w:val="0"/>
                <w:numId w:val="3"/>
              </w:numPr>
              <w:jc w:val="both"/>
              <w:rPr>
                <w:lang w:val="fr-CA"/>
              </w:rPr>
            </w:pPr>
            <w:r>
              <w:rPr>
                <w:rFonts w:ascii="Calibri" w:eastAsia="Times New Roman" w:hAnsi="Calibri" w:cs="Times New Roman"/>
                <w:bCs/>
                <w:color w:val="000000"/>
                <w:lang w:val="fr-CA"/>
              </w:rPr>
              <w:t>Commune</w:t>
            </w:r>
            <w:r w:rsidRPr="006D161C">
              <w:rPr>
                <w:rFonts w:ascii="Calibri" w:eastAsia="Times New Roman" w:hAnsi="Calibri" w:cs="Times New Roman"/>
                <w:bCs/>
                <w:color w:val="000000"/>
                <w:lang w:val="fr-CA"/>
              </w:rPr>
              <w:t xml:space="preserve"> de Kalalé</w:t>
            </w:r>
            <w:r>
              <w:rPr>
                <w:lang w:val="fr-CA" w:eastAsia="en-CA"/>
              </w:rPr>
              <w:t xml:space="preserve"> : </w:t>
            </w:r>
            <w:r w:rsidRPr="006D161C">
              <w:rPr>
                <w:lang w:val="fr-CA" w:eastAsia="en-CA"/>
              </w:rPr>
              <w:t xml:space="preserve">villages de </w:t>
            </w:r>
            <w:r w:rsidRPr="006D161C">
              <w:rPr>
                <w:rFonts w:ascii="Calibri" w:eastAsia="Times New Roman" w:hAnsi="Calibri" w:cs="Times New Roman"/>
                <w:color w:val="000000"/>
                <w:lang w:val="fr-CA"/>
              </w:rPr>
              <w:t>Gando Baka, Boa, Boa Gan</w:t>
            </w:r>
            <w:r>
              <w:rPr>
                <w:rFonts w:ascii="Calibri" w:eastAsia="Times New Roman" w:hAnsi="Calibri" w:cs="Times New Roman"/>
                <w:color w:val="000000"/>
                <w:lang w:val="fr-CA"/>
              </w:rPr>
              <w:t>do Centre, Angaradebou, Bagaria</w:t>
            </w:r>
          </w:p>
        </w:tc>
      </w:tr>
    </w:tbl>
    <w:p w14:paraId="6758D0E3" w14:textId="77777777" w:rsidR="00297808" w:rsidRDefault="00297808" w:rsidP="00BA1A21">
      <w:pPr>
        <w:spacing w:after="0" w:line="240" w:lineRule="auto"/>
        <w:contextualSpacing/>
        <w:jc w:val="both"/>
        <w:rPr>
          <w:lang w:val="fr-CA"/>
        </w:rPr>
      </w:pPr>
    </w:p>
    <w:p w14:paraId="4F615E89" w14:textId="77777777" w:rsidR="00BA1A21" w:rsidRDefault="00BA1A21">
      <w:pPr>
        <w:rPr>
          <w:b/>
          <w:lang w:val="fr-CA"/>
        </w:rPr>
      </w:pPr>
      <w:r>
        <w:rPr>
          <w:b/>
          <w:lang w:val="fr-CA"/>
        </w:rPr>
        <w:br w:type="page"/>
      </w:r>
    </w:p>
    <w:p w14:paraId="5A88E807" w14:textId="18C16C38" w:rsidR="00297808" w:rsidRPr="00BA1A21" w:rsidRDefault="00297808" w:rsidP="00BA1A21">
      <w:pPr>
        <w:pStyle w:val="ListParagraph"/>
        <w:numPr>
          <w:ilvl w:val="0"/>
          <w:numId w:val="1"/>
        </w:numPr>
        <w:spacing w:after="0" w:line="240" w:lineRule="auto"/>
        <w:ind w:left="426" w:hanging="426"/>
        <w:jc w:val="both"/>
        <w:rPr>
          <w:b/>
          <w:lang w:val="fr-CA"/>
        </w:rPr>
      </w:pPr>
      <w:r w:rsidRPr="00495A5C">
        <w:rPr>
          <w:b/>
          <w:lang w:val="fr-CA"/>
        </w:rPr>
        <w:lastRenderedPageBreak/>
        <w:t>Partenaires locaux</w:t>
      </w:r>
    </w:p>
    <w:tbl>
      <w:tblPr>
        <w:tblStyle w:val="TableGrid"/>
        <w:tblW w:w="0" w:type="auto"/>
        <w:tblLook w:val="04A0" w:firstRow="1" w:lastRow="0" w:firstColumn="1" w:lastColumn="0" w:noHBand="0" w:noVBand="1"/>
      </w:tblPr>
      <w:tblGrid>
        <w:gridCol w:w="3261"/>
        <w:gridCol w:w="3822"/>
        <w:gridCol w:w="2267"/>
      </w:tblGrid>
      <w:tr w:rsidR="00297808" w14:paraId="16E45182" w14:textId="77777777" w:rsidTr="00DC55AF">
        <w:tc>
          <w:tcPr>
            <w:tcW w:w="3261" w:type="dxa"/>
          </w:tcPr>
          <w:p w14:paraId="513A338D" w14:textId="77777777" w:rsidR="00297808" w:rsidRPr="00495A5C" w:rsidRDefault="00297808" w:rsidP="00BA1A21">
            <w:pPr>
              <w:contextualSpacing/>
              <w:jc w:val="both"/>
              <w:rPr>
                <w:b/>
                <w:lang w:val="fr-CA"/>
              </w:rPr>
            </w:pPr>
            <w:r w:rsidRPr="00495A5C">
              <w:rPr>
                <w:b/>
                <w:lang w:val="fr-CA"/>
              </w:rPr>
              <w:t>Partenaire</w:t>
            </w:r>
            <w:r w:rsidR="00822AEC">
              <w:rPr>
                <w:b/>
                <w:lang w:val="fr-CA"/>
              </w:rPr>
              <w:t>s</w:t>
            </w:r>
          </w:p>
        </w:tc>
        <w:tc>
          <w:tcPr>
            <w:tcW w:w="3822" w:type="dxa"/>
          </w:tcPr>
          <w:p w14:paraId="40D88E5A" w14:textId="77777777" w:rsidR="00297808" w:rsidRPr="00495A5C" w:rsidRDefault="00297808" w:rsidP="00BA1A21">
            <w:pPr>
              <w:contextualSpacing/>
              <w:jc w:val="both"/>
              <w:rPr>
                <w:b/>
                <w:lang w:val="fr-CA"/>
              </w:rPr>
            </w:pPr>
            <w:r w:rsidRPr="00495A5C">
              <w:rPr>
                <w:b/>
                <w:lang w:val="fr-CA"/>
              </w:rPr>
              <w:t>Mandat</w:t>
            </w:r>
          </w:p>
        </w:tc>
        <w:tc>
          <w:tcPr>
            <w:tcW w:w="2267" w:type="dxa"/>
          </w:tcPr>
          <w:p w14:paraId="4ED9DC46" w14:textId="77777777" w:rsidR="00297808" w:rsidRPr="00495A5C" w:rsidRDefault="00297808" w:rsidP="00BA1A21">
            <w:pPr>
              <w:contextualSpacing/>
              <w:jc w:val="both"/>
              <w:rPr>
                <w:b/>
                <w:lang w:val="fr-CA"/>
              </w:rPr>
            </w:pPr>
            <w:r>
              <w:rPr>
                <w:b/>
                <w:lang w:val="fr-CA"/>
              </w:rPr>
              <w:t>Notes</w:t>
            </w:r>
          </w:p>
        </w:tc>
      </w:tr>
      <w:tr w:rsidR="00297808" w:rsidRPr="00B22F0D" w14:paraId="163FD524" w14:textId="77777777" w:rsidTr="00DC55AF">
        <w:tc>
          <w:tcPr>
            <w:tcW w:w="3261" w:type="dxa"/>
          </w:tcPr>
          <w:p w14:paraId="5017A72A" w14:textId="77777777" w:rsidR="00297808" w:rsidRDefault="006D161C" w:rsidP="00BA1A21">
            <w:pPr>
              <w:contextualSpacing/>
              <w:jc w:val="both"/>
              <w:rPr>
                <w:lang w:val="fr-CA"/>
              </w:rPr>
            </w:pPr>
            <w:r>
              <w:rPr>
                <w:lang w:val="fr-CA"/>
              </w:rPr>
              <w:t>IFA ONG</w:t>
            </w:r>
          </w:p>
        </w:tc>
        <w:tc>
          <w:tcPr>
            <w:tcW w:w="3822" w:type="dxa"/>
          </w:tcPr>
          <w:p w14:paraId="3674E647" w14:textId="00B433F8" w:rsidR="00297808" w:rsidRDefault="00DC13FF" w:rsidP="00BA1A21">
            <w:pPr>
              <w:contextualSpacing/>
              <w:jc w:val="both"/>
              <w:rPr>
                <w:lang w:val="fr-CA"/>
              </w:rPr>
            </w:pPr>
            <w:r>
              <w:rPr>
                <w:lang w:val="fr-CA"/>
              </w:rPr>
              <w:t xml:space="preserve">Appui à la mise en œuvre des </w:t>
            </w:r>
            <w:r w:rsidR="00B22F0D">
              <w:rPr>
                <w:lang w:val="fr-CA"/>
              </w:rPr>
              <w:t>i</w:t>
            </w:r>
            <w:r w:rsidR="006D161C">
              <w:rPr>
                <w:lang w:val="fr-CA"/>
              </w:rPr>
              <w:t>nterventions en milieu communautaire</w:t>
            </w:r>
            <w:r w:rsidR="00E97F44">
              <w:rPr>
                <w:lang w:val="fr-CA"/>
              </w:rPr>
              <w:t xml:space="preserve">, </w:t>
            </w:r>
            <w:r w:rsidR="00DC55AF">
              <w:rPr>
                <w:lang w:val="fr-CA"/>
              </w:rPr>
              <w:t xml:space="preserve">et en milieu </w:t>
            </w:r>
            <w:r w:rsidR="00E97F44">
              <w:rPr>
                <w:lang w:val="fr-CA"/>
              </w:rPr>
              <w:t>scolaire</w:t>
            </w:r>
            <w:r w:rsidR="00DC55AF">
              <w:rPr>
                <w:lang w:val="fr-CA"/>
              </w:rPr>
              <w:t xml:space="preserve"> (CEG) et non-scolaire (</w:t>
            </w:r>
            <w:r w:rsidR="00E97F44">
              <w:rPr>
                <w:lang w:val="fr-CA"/>
              </w:rPr>
              <w:t>centres d’apprentissage</w:t>
            </w:r>
            <w:r w:rsidR="00DC55AF">
              <w:rPr>
                <w:lang w:val="fr-CA"/>
              </w:rPr>
              <w:t>)</w:t>
            </w:r>
          </w:p>
        </w:tc>
        <w:tc>
          <w:tcPr>
            <w:tcW w:w="2267" w:type="dxa"/>
          </w:tcPr>
          <w:p w14:paraId="3DB2FA79" w14:textId="77777777" w:rsidR="00297808" w:rsidRDefault="003F662D" w:rsidP="00BA1A21">
            <w:pPr>
              <w:contextualSpacing/>
              <w:jc w:val="both"/>
              <w:rPr>
                <w:lang w:val="fr-CA"/>
              </w:rPr>
            </w:pPr>
            <w:r>
              <w:rPr>
                <w:lang w:val="fr-CA"/>
              </w:rPr>
              <w:t>Communes de Nikki et Kalalé</w:t>
            </w:r>
          </w:p>
        </w:tc>
      </w:tr>
      <w:tr w:rsidR="00E97F44" w:rsidRPr="00B22F0D" w14:paraId="3F4AD868" w14:textId="77777777" w:rsidTr="00DC55AF">
        <w:tc>
          <w:tcPr>
            <w:tcW w:w="3261" w:type="dxa"/>
          </w:tcPr>
          <w:p w14:paraId="29E0901C" w14:textId="77777777" w:rsidR="00E97F44" w:rsidRDefault="00E97F44" w:rsidP="00BA1A21">
            <w:pPr>
              <w:contextualSpacing/>
              <w:jc w:val="both"/>
              <w:rPr>
                <w:lang w:val="fr-CA"/>
              </w:rPr>
            </w:pPr>
            <w:r>
              <w:rPr>
                <w:lang w:val="fr-CA"/>
              </w:rPr>
              <w:t>SIAN’SON ONG</w:t>
            </w:r>
          </w:p>
        </w:tc>
        <w:tc>
          <w:tcPr>
            <w:tcW w:w="3822" w:type="dxa"/>
          </w:tcPr>
          <w:p w14:paraId="27054755" w14:textId="6F0BA04C" w:rsidR="00E97F44" w:rsidRDefault="00DC55AF" w:rsidP="00BA1A21">
            <w:pPr>
              <w:contextualSpacing/>
              <w:jc w:val="both"/>
              <w:rPr>
                <w:lang w:val="fr-CA"/>
              </w:rPr>
            </w:pPr>
            <w:r>
              <w:rPr>
                <w:lang w:val="fr-CA"/>
              </w:rPr>
              <w:t>Appui à la mise en œuvre des interventions en milieu communautaire, et en milieu scolaire (CEG) et non-scolaire (centres d’apprentissage)</w:t>
            </w:r>
          </w:p>
        </w:tc>
        <w:tc>
          <w:tcPr>
            <w:tcW w:w="2267" w:type="dxa"/>
          </w:tcPr>
          <w:p w14:paraId="108E5475" w14:textId="18BB0FD4" w:rsidR="00E97F44" w:rsidRDefault="00E97F44" w:rsidP="00BA1A21">
            <w:pPr>
              <w:contextualSpacing/>
              <w:jc w:val="both"/>
              <w:rPr>
                <w:lang w:val="fr-CA"/>
              </w:rPr>
            </w:pPr>
            <w:r>
              <w:rPr>
                <w:lang w:val="fr-CA"/>
              </w:rPr>
              <w:t>Communes de Malanville et Karimama</w:t>
            </w:r>
          </w:p>
        </w:tc>
      </w:tr>
      <w:tr w:rsidR="006D161C" w:rsidRPr="006D161C" w14:paraId="554B49E8" w14:textId="77777777" w:rsidTr="00DC55AF">
        <w:tc>
          <w:tcPr>
            <w:tcW w:w="3261" w:type="dxa"/>
          </w:tcPr>
          <w:p w14:paraId="355CE7B2" w14:textId="705509B6" w:rsidR="006D161C" w:rsidRDefault="00DC55AF" w:rsidP="00BA1A21">
            <w:pPr>
              <w:contextualSpacing/>
              <w:jc w:val="both"/>
              <w:rPr>
                <w:lang w:val="fr-CA"/>
              </w:rPr>
            </w:pPr>
            <w:r>
              <w:rPr>
                <w:lang w:val="fr-CA"/>
              </w:rPr>
              <w:t>Réseau Ouest Africain des j</w:t>
            </w:r>
            <w:r w:rsidR="00A052A7" w:rsidRPr="00A052A7">
              <w:rPr>
                <w:lang w:val="fr-CA"/>
              </w:rPr>
              <w:t xml:space="preserve">eunes </w:t>
            </w:r>
            <w:r>
              <w:rPr>
                <w:lang w:val="fr-CA"/>
              </w:rPr>
              <w:t>femmes l</w:t>
            </w:r>
            <w:r w:rsidR="00A052A7" w:rsidRPr="00A052A7">
              <w:rPr>
                <w:lang w:val="fr-CA"/>
              </w:rPr>
              <w:t>eaders du Bénin</w:t>
            </w:r>
          </w:p>
        </w:tc>
        <w:tc>
          <w:tcPr>
            <w:tcW w:w="3822" w:type="dxa"/>
          </w:tcPr>
          <w:p w14:paraId="4831704E" w14:textId="5ACE54F9" w:rsidR="006D161C" w:rsidRDefault="006E402D" w:rsidP="00BA1A21">
            <w:pPr>
              <w:contextualSpacing/>
              <w:jc w:val="both"/>
              <w:rPr>
                <w:lang w:val="fr-CA"/>
              </w:rPr>
            </w:pPr>
            <w:r>
              <w:rPr>
                <w:lang w:val="fr-CA"/>
              </w:rPr>
              <w:t>Appui au p</w:t>
            </w:r>
            <w:r w:rsidR="006D161C">
              <w:rPr>
                <w:lang w:val="fr-CA"/>
              </w:rPr>
              <w:t>laidoyer avec les associations de jeunes</w:t>
            </w:r>
          </w:p>
        </w:tc>
        <w:tc>
          <w:tcPr>
            <w:tcW w:w="2267" w:type="dxa"/>
          </w:tcPr>
          <w:p w14:paraId="2BAE359B" w14:textId="77777777" w:rsidR="006D161C" w:rsidRDefault="00180DDA" w:rsidP="00BA1A21">
            <w:pPr>
              <w:contextualSpacing/>
              <w:jc w:val="both"/>
              <w:rPr>
                <w:lang w:val="fr-CA"/>
              </w:rPr>
            </w:pPr>
            <w:r>
              <w:rPr>
                <w:lang w:val="fr-CA"/>
              </w:rPr>
              <w:t>National</w:t>
            </w:r>
          </w:p>
        </w:tc>
      </w:tr>
    </w:tbl>
    <w:p w14:paraId="445F37E0" w14:textId="77777777" w:rsidR="00297808" w:rsidRDefault="00297808" w:rsidP="00BA1A21">
      <w:pPr>
        <w:spacing w:after="0" w:line="240" w:lineRule="auto"/>
        <w:contextualSpacing/>
        <w:jc w:val="both"/>
        <w:rPr>
          <w:lang w:val="fr-CA"/>
        </w:rPr>
      </w:pPr>
    </w:p>
    <w:p w14:paraId="13EF6A1D" w14:textId="77777777" w:rsidR="00297808" w:rsidRPr="00495A5C" w:rsidRDefault="00297808" w:rsidP="00BA1A21">
      <w:pPr>
        <w:pStyle w:val="ListParagraph"/>
        <w:numPr>
          <w:ilvl w:val="0"/>
          <w:numId w:val="1"/>
        </w:numPr>
        <w:spacing w:after="0" w:line="240" w:lineRule="auto"/>
        <w:ind w:left="426" w:hanging="426"/>
        <w:jc w:val="both"/>
        <w:rPr>
          <w:b/>
          <w:lang w:val="fr-CA"/>
        </w:rPr>
      </w:pPr>
      <w:r w:rsidRPr="00495A5C">
        <w:rPr>
          <w:b/>
          <w:lang w:val="fr-CA"/>
        </w:rPr>
        <w:t>Approches/méthode de suivi/évaluation</w:t>
      </w:r>
    </w:p>
    <w:tbl>
      <w:tblPr>
        <w:tblStyle w:val="TableGrid"/>
        <w:tblW w:w="0" w:type="auto"/>
        <w:tblLook w:val="04A0" w:firstRow="1" w:lastRow="0" w:firstColumn="1" w:lastColumn="0" w:noHBand="0" w:noVBand="1"/>
      </w:tblPr>
      <w:tblGrid>
        <w:gridCol w:w="9350"/>
      </w:tblGrid>
      <w:tr w:rsidR="00297808" w:rsidRPr="00DC55AF" w14:paraId="4635910F" w14:textId="77777777" w:rsidTr="00982844">
        <w:tc>
          <w:tcPr>
            <w:tcW w:w="9500" w:type="dxa"/>
          </w:tcPr>
          <w:p w14:paraId="62C696ED" w14:textId="77777777" w:rsidR="00822AEC" w:rsidRDefault="00822AEC" w:rsidP="00BA1A21">
            <w:pPr>
              <w:pStyle w:val="ListParagraph"/>
              <w:numPr>
                <w:ilvl w:val="0"/>
                <w:numId w:val="3"/>
              </w:numPr>
              <w:jc w:val="both"/>
              <w:rPr>
                <w:lang w:val="fr-CA"/>
              </w:rPr>
            </w:pPr>
            <w:r>
              <w:rPr>
                <w:lang w:val="fr-CA"/>
              </w:rPr>
              <w:t>Étude de base - Baseline (année 1)</w:t>
            </w:r>
          </w:p>
          <w:p w14:paraId="7798EB5E" w14:textId="21434265" w:rsidR="00297808" w:rsidRDefault="00822AEC" w:rsidP="00BA1A21">
            <w:pPr>
              <w:pStyle w:val="ListParagraph"/>
              <w:numPr>
                <w:ilvl w:val="0"/>
                <w:numId w:val="3"/>
              </w:numPr>
              <w:jc w:val="both"/>
              <w:rPr>
                <w:lang w:val="fr-CA"/>
              </w:rPr>
            </w:pPr>
            <w:r>
              <w:rPr>
                <w:lang w:val="fr-CA"/>
              </w:rPr>
              <w:t xml:space="preserve">Endline </w:t>
            </w:r>
            <w:r w:rsidR="00DC55AF">
              <w:rPr>
                <w:lang w:val="fr-CA"/>
              </w:rPr>
              <w:t>(a</w:t>
            </w:r>
            <w:r>
              <w:rPr>
                <w:lang w:val="fr-CA"/>
              </w:rPr>
              <w:t>nnée 3)</w:t>
            </w:r>
          </w:p>
          <w:p w14:paraId="408A7D38" w14:textId="348D45D3" w:rsidR="00822AEC" w:rsidRDefault="00822AEC" w:rsidP="00BA1A21">
            <w:pPr>
              <w:pStyle w:val="ListParagraph"/>
              <w:numPr>
                <w:ilvl w:val="0"/>
                <w:numId w:val="3"/>
              </w:numPr>
              <w:jc w:val="both"/>
              <w:rPr>
                <w:lang w:val="fr-CA"/>
              </w:rPr>
            </w:pPr>
            <w:r>
              <w:rPr>
                <w:lang w:val="fr-CA"/>
              </w:rPr>
              <w:t>Rapports narratifs mensuels produits par les partenaires locaux (tout au long du projet)</w:t>
            </w:r>
          </w:p>
          <w:p w14:paraId="2ABC8D17" w14:textId="191ED134" w:rsidR="00A052A7" w:rsidRDefault="00A052A7" w:rsidP="00BA1A21">
            <w:pPr>
              <w:pStyle w:val="ListParagraph"/>
              <w:numPr>
                <w:ilvl w:val="0"/>
                <w:numId w:val="3"/>
              </w:numPr>
              <w:jc w:val="both"/>
              <w:rPr>
                <w:lang w:val="fr-CA"/>
              </w:rPr>
            </w:pPr>
            <w:r>
              <w:rPr>
                <w:lang w:val="fr-CA"/>
              </w:rPr>
              <w:t xml:space="preserve">Identification et </w:t>
            </w:r>
            <w:r w:rsidR="00DC55AF">
              <w:rPr>
                <w:lang w:val="fr-CA"/>
              </w:rPr>
              <w:t>r</w:t>
            </w:r>
            <w:r>
              <w:rPr>
                <w:lang w:val="fr-CA"/>
              </w:rPr>
              <w:t>enforcement des capacités des catalyseurs et pairs éducateurs sur les outils de collecte des données</w:t>
            </w:r>
            <w:r w:rsidR="00DC55AF">
              <w:rPr>
                <w:lang w:val="fr-CA"/>
              </w:rPr>
              <w:t xml:space="preserve"> (année 1)</w:t>
            </w:r>
          </w:p>
          <w:p w14:paraId="7D610138" w14:textId="1611D819" w:rsidR="00A052A7" w:rsidRDefault="00A052A7" w:rsidP="00BA1A21">
            <w:pPr>
              <w:pStyle w:val="ListParagraph"/>
              <w:numPr>
                <w:ilvl w:val="0"/>
                <w:numId w:val="3"/>
              </w:numPr>
              <w:jc w:val="both"/>
              <w:rPr>
                <w:lang w:val="fr-CA"/>
              </w:rPr>
            </w:pPr>
            <w:r>
              <w:rPr>
                <w:lang w:val="fr-CA"/>
              </w:rPr>
              <w:t>Collecte mensuelle des données sur les indicateurs du projet au niveau communautaire, scolaire et dans les centres d’apprentissage</w:t>
            </w:r>
          </w:p>
          <w:p w14:paraId="459BEB62" w14:textId="0FA99645" w:rsidR="00A052A7" w:rsidRDefault="00A052A7" w:rsidP="00BA1A21">
            <w:pPr>
              <w:pStyle w:val="ListParagraph"/>
              <w:numPr>
                <w:ilvl w:val="0"/>
                <w:numId w:val="3"/>
              </w:numPr>
              <w:jc w:val="both"/>
              <w:rPr>
                <w:lang w:val="fr-CA"/>
              </w:rPr>
            </w:pPr>
            <w:r>
              <w:rPr>
                <w:lang w:val="fr-CA"/>
              </w:rPr>
              <w:t xml:space="preserve">Coaching </w:t>
            </w:r>
            <w:r w:rsidR="00DC55AF">
              <w:rPr>
                <w:lang w:val="fr-CA"/>
              </w:rPr>
              <w:t xml:space="preserve">continu </w:t>
            </w:r>
            <w:r>
              <w:rPr>
                <w:lang w:val="fr-CA"/>
              </w:rPr>
              <w:t xml:space="preserve">des catalyseurs et pairs éducateurs sur la </w:t>
            </w:r>
            <w:r w:rsidR="00AE3D42">
              <w:rPr>
                <w:lang w:val="fr-CA"/>
              </w:rPr>
              <w:t xml:space="preserve">production des </w:t>
            </w:r>
            <w:r>
              <w:rPr>
                <w:lang w:val="fr-CA"/>
              </w:rPr>
              <w:t>données</w:t>
            </w:r>
            <w:r w:rsidR="00DC55AF">
              <w:rPr>
                <w:lang w:val="fr-CA"/>
              </w:rPr>
              <w:t xml:space="preserve"> (tout au long du projet)</w:t>
            </w:r>
          </w:p>
          <w:p w14:paraId="18E8C0B8" w14:textId="3E374769" w:rsidR="00A052A7" w:rsidRDefault="00A052A7" w:rsidP="00BA1A21">
            <w:pPr>
              <w:pStyle w:val="ListParagraph"/>
              <w:numPr>
                <w:ilvl w:val="0"/>
                <w:numId w:val="3"/>
              </w:numPr>
              <w:jc w:val="both"/>
              <w:rPr>
                <w:lang w:val="fr-CA"/>
              </w:rPr>
            </w:pPr>
            <w:r>
              <w:rPr>
                <w:lang w:val="fr-CA"/>
              </w:rPr>
              <w:t>Contrôle de qualité des données</w:t>
            </w:r>
            <w:r w:rsidR="00DC55AF">
              <w:rPr>
                <w:lang w:val="fr-CA"/>
              </w:rPr>
              <w:t xml:space="preserve"> par la responsable S&amp;E du projet (tout au long du projet)</w:t>
            </w:r>
          </w:p>
          <w:p w14:paraId="5FFAF96A" w14:textId="2A990EBD" w:rsidR="00A052A7" w:rsidRDefault="00A052A7" w:rsidP="00BA1A21">
            <w:pPr>
              <w:pStyle w:val="ListParagraph"/>
              <w:numPr>
                <w:ilvl w:val="0"/>
                <w:numId w:val="3"/>
              </w:numPr>
              <w:jc w:val="both"/>
              <w:rPr>
                <w:lang w:val="fr-CA"/>
              </w:rPr>
            </w:pPr>
            <w:r>
              <w:rPr>
                <w:lang w:val="fr-CA"/>
              </w:rPr>
              <w:t xml:space="preserve">Rencontre mensuelle entre catalyseurs, pairs éducateurs, agents de santé et acteurs sociaux </w:t>
            </w:r>
            <w:r w:rsidR="00486781">
              <w:rPr>
                <w:lang w:val="fr-CA"/>
              </w:rPr>
              <w:t>sur l’analyse des indicateurs renseignés à chaque niveau</w:t>
            </w:r>
          </w:p>
          <w:p w14:paraId="1BF2A1CA" w14:textId="6BAA4AD4" w:rsidR="00297808" w:rsidRPr="00DC55AF" w:rsidRDefault="00486781" w:rsidP="00BA1A21">
            <w:pPr>
              <w:pStyle w:val="ListParagraph"/>
              <w:numPr>
                <w:ilvl w:val="0"/>
                <w:numId w:val="3"/>
              </w:numPr>
              <w:jc w:val="both"/>
              <w:rPr>
                <w:lang w:val="fr-CA"/>
              </w:rPr>
            </w:pPr>
            <w:r>
              <w:rPr>
                <w:lang w:val="fr-CA"/>
              </w:rPr>
              <w:t xml:space="preserve">Revue trimestrielle sur le progrès des indicateurs avec les acteurs communautaires et </w:t>
            </w:r>
            <w:r w:rsidR="00DC55AF">
              <w:rPr>
                <w:lang w:val="fr-CA"/>
              </w:rPr>
              <w:t xml:space="preserve">les </w:t>
            </w:r>
            <w:r>
              <w:rPr>
                <w:lang w:val="fr-CA"/>
              </w:rPr>
              <w:t xml:space="preserve">partenaires stratégiques </w:t>
            </w:r>
          </w:p>
        </w:tc>
      </w:tr>
    </w:tbl>
    <w:p w14:paraId="100ABBA7" w14:textId="77777777" w:rsidR="00297808" w:rsidRDefault="00297808" w:rsidP="00BA1A21">
      <w:pPr>
        <w:spacing w:after="0" w:line="240" w:lineRule="auto"/>
        <w:contextualSpacing/>
        <w:jc w:val="both"/>
        <w:rPr>
          <w:lang w:val="fr-CA"/>
        </w:rPr>
      </w:pPr>
    </w:p>
    <w:p w14:paraId="06CDA8EC" w14:textId="77777777" w:rsidR="00297808" w:rsidRPr="00495A5C" w:rsidRDefault="00297808" w:rsidP="00BA1A21">
      <w:pPr>
        <w:pStyle w:val="ListParagraph"/>
        <w:numPr>
          <w:ilvl w:val="0"/>
          <w:numId w:val="1"/>
        </w:numPr>
        <w:spacing w:after="0" w:line="240" w:lineRule="auto"/>
        <w:ind w:left="426" w:hanging="426"/>
        <w:jc w:val="both"/>
        <w:rPr>
          <w:b/>
          <w:lang w:val="fr-CA"/>
        </w:rPr>
      </w:pPr>
      <w:r w:rsidRPr="00495A5C">
        <w:rPr>
          <w:b/>
          <w:lang w:val="fr-CA"/>
        </w:rPr>
        <w:t>Documents/études qui doivent être produits dans le cadre du projet</w:t>
      </w:r>
    </w:p>
    <w:tbl>
      <w:tblPr>
        <w:tblStyle w:val="TableGrid"/>
        <w:tblW w:w="0" w:type="auto"/>
        <w:tblLook w:val="04A0" w:firstRow="1" w:lastRow="0" w:firstColumn="1" w:lastColumn="0" w:noHBand="0" w:noVBand="1"/>
      </w:tblPr>
      <w:tblGrid>
        <w:gridCol w:w="9350"/>
      </w:tblGrid>
      <w:tr w:rsidR="00297808" w:rsidRPr="006D161C" w14:paraId="69967D7F" w14:textId="77777777" w:rsidTr="00982844">
        <w:tc>
          <w:tcPr>
            <w:tcW w:w="9500" w:type="dxa"/>
          </w:tcPr>
          <w:p w14:paraId="1AD62281" w14:textId="77777777" w:rsidR="00297808" w:rsidRDefault="003F662D" w:rsidP="00BA1A21">
            <w:pPr>
              <w:pStyle w:val="ListParagraph"/>
              <w:numPr>
                <w:ilvl w:val="0"/>
                <w:numId w:val="3"/>
              </w:numPr>
              <w:jc w:val="both"/>
              <w:rPr>
                <w:lang w:val="fr-CA"/>
              </w:rPr>
            </w:pPr>
            <w:r>
              <w:rPr>
                <w:lang w:val="fr-CA"/>
              </w:rPr>
              <w:t>Étude de base - Baseline (rapport disponible)</w:t>
            </w:r>
          </w:p>
          <w:p w14:paraId="23F66E41" w14:textId="77777777" w:rsidR="003F662D" w:rsidRDefault="003F662D" w:rsidP="00BA1A21">
            <w:pPr>
              <w:pStyle w:val="ListParagraph"/>
              <w:numPr>
                <w:ilvl w:val="0"/>
                <w:numId w:val="3"/>
              </w:numPr>
              <w:jc w:val="both"/>
              <w:rPr>
                <w:lang w:val="fr-CA"/>
              </w:rPr>
            </w:pPr>
            <w:r>
              <w:rPr>
                <w:lang w:val="fr-CA"/>
              </w:rPr>
              <w:t>É</w:t>
            </w:r>
            <w:r w:rsidRPr="00F854E5">
              <w:rPr>
                <w:lang w:val="fr-CA"/>
              </w:rPr>
              <w:t>tude sur l'intégration des adolescents ruraux</w:t>
            </w:r>
            <w:r>
              <w:rPr>
                <w:lang w:val="fr-CA"/>
              </w:rPr>
              <w:t>, filles et garçons,</w:t>
            </w:r>
            <w:r w:rsidRPr="00F854E5">
              <w:rPr>
                <w:lang w:val="fr-CA"/>
              </w:rPr>
              <w:t xml:space="preserve"> dans les programmes de SSR au Bénin</w:t>
            </w:r>
            <w:r>
              <w:rPr>
                <w:lang w:val="fr-CA"/>
              </w:rPr>
              <w:t xml:space="preserve"> – 1ere partie (en cours – rapport disponible en fin année 1)</w:t>
            </w:r>
          </w:p>
          <w:p w14:paraId="3FF080B7" w14:textId="77777777" w:rsidR="003F662D" w:rsidRDefault="003F662D" w:rsidP="00BA1A21">
            <w:pPr>
              <w:pStyle w:val="ListParagraph"/>
              <w:numPr>
                <w:ilvl w:val="0"/>
                <w:numId w:val="3"/>
              </w:numPr>
              <w:jc w:val="both"/>
              <w:rPr>
                <w:lang w:val="fr-CA"/>
              </w:rPr>
            </w:pPr>
            <w:r>
              <w:rPr>
                <w:lang w:val="fr-CA"/>
              </w:rPr>
              <w:t>Évaluation des centres de santé de la zone d’intervention (année 1)</w:t>
            </w:r>
          </w:p>
          <w:p w14:paraId="0886C2CD" w14:textId="77777777" w:rsidR="003F662D" w:rsidRDefault="003F662D" w:rsidP="00BA1A21">
            <w:pPr>
              <w:pStyle w:val="ListParagraph"/>
              <w:numPr>
                <w:ilvl w:val="0"/>
                <w:numId w:val="3"/>
              </w:numPr>
              <w:jc w:val="both"/>
              <w:rPr>
                <w:lang w:val="fr-CA"/>
              </w:rPr>
            </w:pPr>
            <w:r>
              <w:rPr>
                <w:lang w:val="fr-CA"/>
              </w:rPr>
              <w:t>Évaluation des CPS de la zone d’intervention (année 1)</w:t>
            </w:r>
          </w:p>
          <w:p w14:paraId="34EBEF8A" w14:textId="77777777" w:rsidR="003F662D" w:rsidRDefault="003F662D" w:rsidP="00BA1A21">
            <w:pPr>
              <w:pStyle w:val="ListParagraph"/>
              <w:numPr>
                <w:ilvl w:val="0"/>
                <w:numId w:val="3"/>
              </w:numPr>
              <w:jc w:val="both"/>
              <w:rPr>
                <w:lang w:val="fr-CA"/>
              </w:rPr>
            </w:pPr>
            <w:r>
              <w:rPr>
                <w:lang w:val="fr-CA"/>
              </w:rPr>
              <w:t>Analyse situationnelle des villages d’intervention (année 1)</w:t>
            </w:r>
          </w:p>
          <w:p w14:paraId="5A515C65" w14:textId="77777777" w:rsidR="003F662D" w:rsidRDefault="003F662D" w:rsidP="00BA1A21">
            <w:pPr>
              <w:pStyle w:val="ListParagraph"/>
              <w:numPr>
                <w:ilvl w:val="0"/>
                <w:numId w:val="3"/>
              </w:numPr>
              <w:jc w:val="both"/>
              <w:rPr>
                <w:lang w:val="fr-CA"/>
              </w:rPr>
            </w:pPr>
            <w:r>
              <w:rPr>
                <w:lang w:val="fr-CA"/>
              </w:rPr>
              <w:t>Mapping communautaire des villages d’intervention (année 1)</w:t>
            </w:r>
          </w:p>
          <w:p w14:paraId="7E5271AB" w14:textId="77777777" w:rsidR="003F662D" w:rsidRDefault="00180DDA" w:rsidP="00BA1A21">
            <w:pPr>
              <w:pStyle w:val="ListParagraph"/>
              <w:numPr>
                <w:ilvl w:val="0"/>
                <w:numId w:val="3"/>
              </w:numPr>
              <w:jc w:val="both"/>
              <w:rPr>
                <w:lang w:val="fr-CA"/>
              </w:rPr>
            </w:pPr>
            <w:r>
              <w:rPr>
                <w:lang w:val="fr-CA"/>
              </w:rPr>
              <w:t>Module</w:t>
            </w:r>
            <w:r w:rsidR="003F662D">
              <w:rPr>
                <w:lang w:val="fr-CA"/>
              </w:rPr>
              <w:t xml:space="preserve"> de formation des agents de santé sur la SSRAJ (années 1 et 2)</w:t>
            </w:r>
          </w:p>
          <w:p w14:paraId="3BDFAB4D" w14:textId="49C9D125" w:rsidR="003F662D" w:rsidRDefault="003F662D" w:rsidP="00BA1A21">
            <w:pPr>
              <w:pStyle w:val="ListParagraph"/>
              <w:numPr>
                <w:ilvl w:val="0"/>
                <w:numId w:val="3"/>
              </w:numPr>
              <w:jc w:val="both"/>
              <w:rPr>
                <w:lang w:val="fr-CA"/>
              </w:rPr>
            </w:pPr>
            <w:r>
              <w:rPr>
                <w:lang w:val="fr-CA"/>
              </w:rPr>
              <w:t xml:space="preserve">Module de formation des enseignants de CEG </w:t>
            </w:r>
            <w:r w:rsidR="00DC55AF">
              <w:rPr>
                <w:lang w:val="fr-CA"/>
              </w:rPr>
              <w:t>et patrons d’a</w:t>
            </w:r>
            <w:r w:rsidR="00F30021">
              <w:rPr>
                <w:lang w:val="fr-CA"/>
              </w:rPr>
              <w:t>teliers</w:t>
            </w:r>
            <w:r w:rsidR="00DC55AF">
              <w:rPr>
                <w:lang w:val="fr-CA"/>
              </w:rPr>
              <w:t xml:space="preserve"> </w:t>
            </w:r>
            <w:r>
              <w:rPr>
                <w:lang w:val="fr-CA"/>
              </w:rPr>
              <w:t>sur la SSRAJ (années 1 et 2)</w:t>
            </w:r>
          </w:p>
          <w:p w14:paraId="0EBB7E52" w14:textId="77777777" w:rsidR="003F662D" w:rsidRDefault="003F662D" w:rsidP="00BA1A21">
            <w:pPr>
              <w:pStyle w:val="ListParagraph"/>
              <w:numPr>
                <w:ilvl w:val="0"/>
                <w:numId w:val="3"/>
              </w:numPr>
              <w:jc w:val="both"/>
              <w:rPr>
                <w:lang w:val="fr-CA"/>
              </w:rPr>
            </w:pPr>
            <w:r>
              <w:rPr>
                <w:lang w:val="fr-CA"/>
              </w:rPr>
              <w:t>Manuel d’orientation des CPS sur l’accompagnement des filles survivantes de mariages précoces et forcés d’enfants (années 1 et 2)</w:t>
            </w:r>
          </w:p>
          <w:p w14:paraId="49E9BEFE" w14:textId="77777777" w:rsidR="003F662D" w:rsidRDefault="003F662D" w:rsidP="00BA1A21">
            <w:pPr>
              <w:pStyle w:val="ListParagraph"/>
              <w:numPr>
                <w:ilvl w:val="0"/>
                <w:numId w:val="3"/>
              </w:numPr>
              <w:jc w:val="both"/>
              <w:rPr>
                <w:lang w:val="fr-CA"/>
              </w:rPr>
            </w:pPr>
            <w:r>
              <w:rPr>
                <w:lang w:val="fr-CA"/>
              </w:rPr>
              <w:t>É</w:t>
            </w:r>
            <w:r w:rsidRPr="00F854E5">
              <w:rPr>
                <w:lang w:val="fr-CA"/>
              </w:rPr>
              <w:t>tude sur l'intégration des adolescents ruraux</w:t>
            </w:r>
            <w:r>
              <w:rPr>
                <w:lang w:val="fr-CA"/>
              </w:rPr>
              <w:t>, filles et garçons,</w:t>
            </w:r>
            <w:r w:rsidRPr="00F854E5">
              <w:rPr>
                <w:lang w:val="fr-CA"/>
              </w:rPr>
              <w:t xml:space="preserve"> dans les programmes de SSR au Bénin</w:t>
            </w:r>
            <w:r>
              <w:rPr>
                <w:lang w:val="fr-CA"/>
              </w:rPr>
              <w:t xml:space="preserve"> – 2e partie (année 3)</w:t>
            </w:r>
          </w:p>
          <w:p w14:paraId="275100C0" w14:textId="77777777" w:rsidR="00297808" w:rsidRPr="003F662D" w:rsidRDefault="003F662D" w:rsidP="00BA1A21">
            <w:pPr>
              <w:pStyle w:val="ListParagraph"/>
              <w:numPr>
                <w:ilvl w:val="0"/>
                <w:numId w:val="3"/>
              </w:numPr>
              <w:jc w:val="both"/>
              <w:rPr>
                <w:lang w:val="fr-CA"/>
              </w:rPr>
            </w:pPr>
            <w:r>
              <w:rPr>
                <w:lang w:val="fr-CA"/>
              </w:rPr>
              <w:t>Endline (année 3)</w:t>
            </w:r>
          </w:p>
        </w:tc>
      </w:tr>
    </w:tbl>
    <w:p w14:paraId="4D59505F" w14:textId="386DAB61" w:rsidR="00297808" w:rsidRDefault="00297808" w:rsidP="00BA1A21">
      <w:pPr>
        <w:spacing w:after="0" w:line="240" w:lineRule="auto"/>
        <w:contextualSpacing/>
        <w:jc w:val="both"/>
        <w:rPr>
          <w:lang w:val="fr-CA"/>
        </w:rPr>
      </w:pPr>
    </w:p>
    <w:p w14:paraId="62548885" w14:textId="77777777" w:rsidR="000E389A" w:rsidRDefault="000E389A" w:rsidP="00BA1A21">
      <w:pPr>
        <w:spacing w:after="0" w:line="240" w:lineRule="auto"/>
        <w:contextualSpacing/>
        <w:jc w:val="both"/>
        <w:rPr>
          <w:lang w:val="fr-CA"/>
        </w:rPr>
      </w:pPr>
    </w:p>
    <w:p w14:paraId="623AA549" w14:textId="77777777" w:rsidR="00BA1A21" w:rsidRDefault="00BA1A21">
      <w:pPr>
        <w:rPr>
          <w:b/>
          <w:lang w:val="fr-CA"/>
        </w:rPr>
      </w:pPr>
      <w:r>
        <w:rPr>
          <w:b/>
          <w:lang w:val="fr-CA"/>
        </w:rPr>
        <w:br w:type="page"/>
      </w:r>
    </w:p>
    <w:p w14:paraId="766D212D" w14:textId="7D312A8F" w:rsidR="00297808" w:rsidRPr="00495A5C" w:rsidRDefault="00297808" w:rsidP="00BA1A21">
      <w:pPr>
        <w:pStyle w:val="ListParagraph"/>
        <w:numPr>
          <w:ilvl w:val="0"/>
          <w:numId w:val="1"/>
        </w:numPr>
        <w:spacing w:after="0" w:line="240" w:lineRule="auto"/>
        <w:ind w:left="426" w:hanging="426"/>
        <w:jc w:val="both"/>
        <w:rPr>
          <w:b/>
          <w:lang w:val="fr-CA"/>
        </w:rPr>
      </w:pPr>
      <w:bookmarkStart w:id="0" w:name="_GoBack"/>
      <w:bookmarkEnd w:id="0"/>
      <w:r w:rsidRPr="00495A5C">
        <w:rPr>
          <w:b/>
          <w:lang w:val="fr-CA"/>
        </w:rPr>
        <w:lastRenderedPageBreak/>
        <w:t>Formations envisagées</w:t>
      </w:r>
    </w:p>
    <w:tbl>
      <w:tblPr>
        <w:tblStyle w:val="TableGrid"/>
        <w:tblW w:w="0" w:type="auto"/>
        <w:tblLook w:val="04A0" w:firstRow="1" w:lastRow="0" w:firstColumn="1" w:lastColumn="0" w:noHBand="0" w:noVBand="1"/>
      </w:tblPr>
      <w:tblGrid>
        <w:gridCol w:w="9350"/>
      </w:tblGrid>
      <w:tr w:rsidR="00297808" w:rsidRPr="00DC55AF" w14:paraId="63E6C000" w14:textId="77777777" w:rsidTr="00982844">
        <w:tc>
          <w:tcPr>
            <w:tcW w:w="9500" w:type="dxa"/>
          </w:tcPr>
          <w:p w14:paraId="539EC54A" w14:textId="1E2F2D5A" w:rsidR="00180DDA" w:rsidRDefault="00180DDA" w:rsidP="00BA1A21">
            <w:pPr>
              <w:pStyle w:val="ListParagraph"/>
              <w:numPr>
                <w:ilvl w:val="0"/>
                <w:numId w:val="3"/>
              </w:numPr>
              <w:jc w:val="both"/>
              <w:rPr>
                <w:lang w:val="fr-CA"/>
              </w:rPr>
            </w:pPr>
            <w:r>
              <w:rPr>
                <w:lang w:val="fr-CA"/>
              </w:rPr>
              <w:t>Formation des partenaires locaux sur les approches du projet : analyse sociale et action, cartes de performance communautaire, mapping communautaire</w:t>
            </w:r>
            <w:r w:rsidR="00486781">
              <w:rPr>
                <w:lang w:val="fr-CA"/>
              </w:rPr>
              <w:t>, approche FaFa Wa</w:t>
            </w:r>
          </w:p>
          <w:p w14:paraId="0D039129" w14:textId="77777777" w:rsidR="00297808" w:rsidRDefault="003F662D" w:rsidP="00BA1A21">
            <w:pPr>
              <w:pStyle w:val="ListParagraph"/>
              <w:numPr>
                <w:ilvl w:val="0"/>
                <w:numId w:val="3"/>
              </w:numPr>
              <w:jc w:val="both"/>
              <w:rPr>
                <w:lang w:val="fr-CA"/>
              </w:rPr>
            </w:pPr>
            <w:r>
              <w:rPr>
                <w:lang w:val="fr-CA"/>
              </w:rPr>
              <w:t>Formation des partenaires locaux sur la SSRAJ</w:t>
            </w:r>
          </w:p>
          <w:p w14:paraId="5CE48D3C" w14:textId="77777777" w:rsidR="003F662D" w:rsidRDefault="003F662D" w:rsidP="00BA1A21">
            <w:pPr>
              <w:pStyle w:val="ListParagraph"/>
              <w:numPr>
                <w:ilvl w:val="0"/>
                <w:numId w:val="3"/>
              </w:numPr>
              <w:jc w:val="both"/>
              <w:rPr>
                <w:lang w:val="fr-CA"/>
              </w:rPr>
            </w:pPr>
            <w:r>
              <w:rPr>
                <w:lang w:val="fr-CA"/>
              </w:rPr>
              <w:t>Formation des partenaires locaux sur le genre</w:t>
            </w:r>
          </w:p>
          <w:p w14:paraId="470B319B" w14:textId="77777777" w:rsidR="00297808" w:rsidRDefault="003F662D" w:rsidP="00BA1A21">
            <w:pPr>
              <w:pStyle w:val="ListParagraph"/>
              <w:numPr>
                <w:ilvl w:val="0"/>
                <w:numId w:val="3"/>
              </w:numPr>
              <w:jc w:val="both"/>
              <w:rPr>
                <w:lang w:val="fr-CA"/>
              </w:rPr>
            </w:pPr>
            <w:r w:rsidRPr="003F662D">
              <w:rPr>
                <w:lang w:val="fr-CA"/>
              </w:rPr>
              <w:t xml:space="preserve">Formation des catalyseurs sur </w:t>
            </w:r>
            <w:r w:rsidR="00180DDA">
              <w:rPr>
                <w:lang w:val="fr-CA"/>
              </w:rPr>
              <w:t xml:space="preserve">la SSRAJ et </w:t>
            </w:r>
            <w:r w:rsidRPr="003F662D">
              <w:rPr>
                <w:lang w:val="fr-CA"/>
              </w:rPr>
              <w:t>l’approche analyse sociale et action</w:t>
            </w:r>
          </w:p>
          <w:p w14:paraId="137AD5FD" w14:textId="77777777" w:rsidR="00180DDA" w:rsidRDefault="00180DDA" w:rsidP="00BA1A21">
            <w:pPr>
              <w:pStyle w:val="ListParagraph"/>
              <w:numPr>
                <w:ilvl w:val="0"/>
                <w:numId w:val="3"/>
              </w:numPr>
              <w:jc w:val="both"/>
              <w:rPr>
                <w:lang w:val="fr-CA"/>
              </w:rPr>
            </w:pPr>
            <w:r>
              <w:rPr>
                <w:lang w:val="fr-CA"/>
              </w:rPr>
              <w:t>Formation des agents de santé sur la SSRAJ</w:t>
            </w:r>
          </w:p>
          <w:p w14:paraId="0F5DC0B5" w14:textId="33E33C9A" w:rsidR="00180DDA" w:rsidRDefault="00180DDA" w:rsidP="00BA1A21">
            <w:pPr>
              <w:pStyle w:val="ListParagraph"/>
              <w:numPr>
                <w:ilvl w:val="0"/>
                <w:numId w:val="3"/>
              </w:numPr>
              <w:jc w:val="both"/>
              <w:rPr>
                <w:lang w:val="fr-CA"/>
              </w:rPr>
            </w:pPr>
            <w:r>
              <w:rPr>
                <w:lang w:val="fr-CA"/>
              </w:rPr>
              <w:t xml:space="preserve">Formation des enseignants </w:t>
            </w:r>
            <w:r w:rsidR="00DC55AF">
              <w:rPr>
                <w:lang w:val="fr-CA"/>
              </w:rPr>
              <w:t>et patrons d’</w:t>
            </w:r>
            <w:r w:rsidR="00F30021">
              <w:rPr>
                <w:lang w:val="fr-CA"/>
              </w:rPr>
              <w:t>ateliers</w:t>
            </w:r>
            <w:r w:rsidR="00DC55AF">
              <w:rPr>
                <w:lang w:val="fr-CA"/>
              </w:rPr>
              <w:t xml:space="preserve"> </w:t>
            </w:r>
            <w:r>
              <w:rPr>
                <w:lang w:val="fr-CA"/>
              </w:rPr>
              <w:t>sur la SSRAJ</w:t>
            </w:r>
          </w:p>
          <w:p w14:paraId="46E590B0" w14:textId="77777777" w:rsidR="00486781" w:rsidRDefault="00486781" w:rsidP="00BA1A21">
            <w:pPr>
              <w:pStyle w:val="ListParagraph"/>
              <w:numPr>
                <w:ilvl w:val="0"/>
                <w:numId w:val="3"/>
              </w:numPr>
              <w:jc w:val="both"/>
              <w:rPr>
                <w:lang w:val="fr-CA"/>
              </w:rPr>
            </w:pPr>
            <w:r>
              <w:rPr>
                <w:lang w:val="fr-CA"/>
              </w:rPr>
              <w:t>Formation des pairs éducateurs scolaires et non scolaires sur l’animation des dialogues réflectifs</w:t>
            </w:r>
          </w:p>
          <w:p w14:paraId="051D6DDE" w14:textId="2D6FF42F" w:rsidR="00486781" w:rsidRDefault="00486781" w:rsidP="00BA1A21">
            <w:pPr>
              <w:pStyle w:val="ListParagraph"/>
              <w:numPr>
                <w:ilvl w:val="0"/>
                <w:numId w:val="3"/>
              </w:numPr>
              <w:jc w:val="both"/>
              <w:rPr>
                <w:lang w:val="fr-CA"/>
              </w:rPr>
            </w:pPr>
            <w:r>
              <w:rPr>
                <w:lang w:val="fr-CA"/>
              </w:rPr>
              <w:t>Formation des Groupes FaFa Wa sur l</w:t>
            </w:r>
            <w:r w:rsidR="00F632B1">
              <w:rPr>
                <w:lang w:val="fr-CA"/>
              </w:rPr>
              <w:t xml:space="preserve">a gestion des </w:t>
            </w:r>
            <w:r w:rsidR="00F30021">
              <w:rPr>
                <w:lang w:val="fr-CA"/>
              </w:rPr>
              <w:t>activités g</w:t>
            </w:r>
            <w:r>
              <w:rPr>
                <w:lang w:val="fr-CA"/>
              </w:rPr>
              <w:t xml:space="preserve">énératrices de </w:t>
            </w:r>
            <w:r w:rsidR="00F30021">
              <w:rPr>
                <w:lang w:val="fr-CA"/>
              </w:rPr>
              <w:t>r</w:t>
            </w:r>
            <w:r>
              <w:rPr>
                <w:lang w:val="fr-CA"/>
              </w:rPr>
              <w:t>evenu</w:t>
            </w:r>
            <w:r w:rsidR="00F30021">
              <w:rPr>
                <w:lang w:val="fr-CA"/>
              </w:rPr>
              <w:t>s</w:t>
            </w:r>
            <w:r>
              <w:rPr>
                <w:lang w:val="fr-CA"/>
              </w:rPr>
              <w:t>, la prise en charge</w:t>
            </w:r>
            <w:r w:rsidR="00B82715">
              <w:rPr>
                <w:lang w:val="fr-CA"/>
              </w:rPr>
              <w:t xml:space="preserve"> et la réinsertion sociale</w:t>
            </w:r>
            <w:r>
              <w:rPr>
                <w:lang w:val="fr-CA"/>
              </w:rPr>
              <w:t xml:space="preserve"> des survivantes </w:t>
            </w:r>
            <w:r w:rsidR="00F30021">
              <w:rPr>
                <w:lang w:val="fr-CA"/>
              </w:rPr>
              <w:t>de mariages précoces et forcés d’enfants</w:t>
            </w:r>
          </w:p>
          <w:p w14:paraId="28BB902B" w14:textId="2E3DFFAE" w:rsidR="00B82715" w:rsidRDefault="00B82715" w:rsidP="00BA1A21">
            <w:pPr>
              <w:pStyle w:val="ListParagraph"/>
              <w:numPr>
                <w:ilvl w:val="0"/>
                <w:numId w:val="3"/>
              </w:numPr>
              <w:jc w:val="both"/>
              <w:rPr>
                <w:lang w:val="fr-CA"/>
              </w:rPr>
            </w:pPr>
            <w:r w:rsidRPr="00B82715">
              <w:rPr>
                <w:lang w:val="fr-CA"/>
              </w:rPr>
              <w:t>Formation des autorités de</w:t>
            </w:r>
            <w:r>
              <w:rPr>
                <w:lang w:val="fr-CA"/>
              </w:rPr>
              <w:t>s</w:t>
            </w:r>
            <w:r w:rsidRPr="00B82715">
              <w:rPr>
                <w:lang w:val="fr-CA"/>
              </w:rPr>
              <w:t xml:space="preserve"> commune</w:t>
            </w:r>
            <w:r>
              <w:rPr>
                <w:lang w:val="fr-CA"/>
              </w:rPr>
              <w:t xml:space="preserve">s d’intervention sur </w:t>
            </w:r>
            <w:r w:rsidR="00F632B1" w:rsidRPr="00F632B1">
              <w:rPr>
                <w:lang w:val="fr-CA"/>
              </w:rPr>
              <w:t>la protection des filles vulnérables ou survivantes de mariages précoces et forcés d'enfants</w:t>
            </w:r>
          </w:p>
          <w:p w14:paraId="37B5CE56" w14:textId="3EAB70C1" w:rsidR="00F632B1" w:rsidRDefault="00F30021" w:rsidP="00BA1A21">
            <w:pPr>
              <w:pStyle w:val="ListParagraph"/>
              <w:numPr>
                <w:ilvl w:val="0"/>
                <w:numId w:val="3"/>
              </w:numPr>
              <w:jc w:val="both"/>
              <w:rPr>
                <w:lang w:val="fr-CA"/>
              </w:rPr>
            </w:pPr>
            <w:r>
              <w:rPr>
                <w:lang w:val="fr-CA"/>
              </w:rPr>
              <w:t>Formation des a</w:t>
            </w:r>
            <w:r w:rsidR="00F632B1">
              <w:rPr>
                <w:lang w:val="fr-CA"/>
              </w:rPr>
              <w:t>gents des centres de promotion sociale</w:t>
            </w:r>
            <w:r>
              <w:rPr>
                <w:lang w:val="fr-CA"/>
              </w:rPr>
              <w:t xml:space="preserve"> (CPS)</w:t>
            </w:r>
            <w:r w:rsidR="00F632B1">
              <w:rPr>
                <w:lang w:val="fr-CA"/>
              </w:rPr>
              <w:t xml:space="preserve"> sur l’identification</w:t>
            </w:r>
            <w:r w:rsidR="00F632B1" w:rsidRPr="00F632B1">
              <w:rPr>
                <w:lang w:val="fr-CA"/>
              </w:rPr>
              <w:t xml:space="preserve"> et </w:t>
            </w:r>
            <w:r w:rsidR="00F632B1">
              <w:rPr>
                <w:lang w:val="fr-CA"/>
              </w:rPr>
              <w:t xml:space="preserve">le </w:t>
            </w:r>
            <w:r w:rsidR="00F632B1" w:rsidRPr="00F632B1">
              <w:rPr>
                <w:lang w:val="fr-CA"/>
              </w:rPr>
              <w:t>sout</w:t>
            </w:r>
            <w:r w:rsidR="00F632B1">
              <w:rPr>
                <w:lang w:val="fr-CA"/>
              </w:rPr>
              <w:t>ien d</w:t>
            </w:r>
            <w:r w:rsidR="00F632B1" w:rsidRPr="00F632B1">
              <w:rPr>
                <w:lang w:val="fr-CA"/>
              </w:rPr>
              <w:t xml:space="preserve">es adolescentes survivantes de mariages </w:t>
            </w:r>
            <w:r w:rsidRPr="00F632B1">
              <w:rPr>
                <w:lang w:val="fr-CA"/>
              </w:rPr>
              <w:t>précoces et forcés d'enfants</w:t>
            </w:r>
          </w:p>
          <w:p w14:paraId="37D9D0A2" w14:textId="77777777" w:rsidR="00B82715" w:rsidRDefault="00B82715" w:rsidP="00BA1A21">
            <w:pPr>
              <w:pStyle w:val="ListParagraph"/>
              <w:numPr>
                <w:ilvl w:val="0"/>
                <w:numId w:val="3"/>
              </w:numPr>
              <w:jc w:val="both"/>
              <w:rPr>
                <w:lang w:val="fr-CA"/>
              </w:rPr>
            </w:pPr>
            <w:r w:rsidRPr="00B82715">
              <w:rPr>
                <w:lang w:val="fr-CA"/>
              </w:rPr>
              <w:t>Formation des parents des survivantes</w:t>
            </w:r>
            <w:r>
              <w:rPr>
                <w:lang w:val="fr-CA"/>
              </w:rPr>
              <w:t xml:space="preserve"> </w:t>
            </w:r>
            <w:r w:rsidR="00F632B1">
              <w:rPr>
                <w:lang w:val="fr-CA"/>
              </w:rPr>
              <w:t>d</w:t>
            </w:r>
            <w:r w:rsidR="00F632B1" w:rsidRPr="00F632B1">
              <w:rPr>
                <w:lang w:val="fr-CA"/>
              </w:rPr>
              <w:t>e mariages précoces et forcés d'enfants sur la réintégration et le soutien</w:t>
            </w:r>
          </w:p>
          <w:p w14:paraId="6A6FF3BE" w14:textId="58B4FDD9" w:rsidR="00F632B1" w:rsidRDefault="00F632B1" w:rsidP="00BA1A21">
            <w:pPr>
              <w:pStyle w:val="ListParagraph"/>
              <w:numPr>
                <w:ilvl w:val="0"/>
                <w:numId w:val="3"/>
              </w:numPr>
              <w:jc w:val="both"/>
              <w:rPr>
                <w:lang w:val="fr-CA"/>
              </w:rPr>
            </w:pPr>
            <w:r>
              <w:rPr>
                <w:lang w:val="fr-CA"/>
              </w:rPr>
              <w:t>Formation d</w:t>
            </w:r>
            <w:r w:rsidRPr="00F632B1">
              <w:rPr>
                <w:lang w:val="fr-CA"/>
              </w:rPr>
              <w:t xml:space="preserve">es jeunes </w:t>
            </w:r>
            <w:r w:rsidR="00F30021">
              <w:rPr>
                <w:lang w:val="fr-CA"/>
              </w:rPr>
              <w:t>sur le</w:t>
            </w:r>
            <w:r w:rsidRPr="00F632B1">
              <w:rPr>
                <w:lang w:val="fr-CA"/>
              </w:rPr>
              <w:t xml:space="preserve"> plaidoyer sur la SSRD et les mariages précoces et forcés d'enfants</w:t>
            </w:r>
          </w:p>
        </w:tc>
      </w:tr>
    </w:tbl>
    <w:p w14:paraId="2660A322" w14:textId="77777777" w:rsidR="00297808" w:rsidRDefault="00297808" w:rsidP="00BA1A21">
      <w:pPr>
        <w:spacing w:after="0" w:line="240" w:lineRule="auto"/>
        <w:contextualSpacing/>
        <w:jc w:val="both"/>
        <w:rPr>
          <w:lang w:val="fr-CA"/>
        </w:rPr>
      </w:pPr>
    </w:p>
    <w:p w14:paraId="645F0EBD" w14:textId="77777777" w:rsidR="00297808" w:rsidRPr="00950005" w:rsidRDefault="00297808" w:rsidP="00BA1A21">
      <w:pPr>
        <w:pStyle w:val="ListParagraph"/>
        <w:numPr>
          <w:ilvl w:val="0"/>
          <w:numId w:val="1"/>
        </w:numPr>
        <w:spacing w:after="0" w:line="240" w:lineRule="auto"/>
        <w:ind w:left="426" w:hanging="426"/>
        <w:jc w:val="both"/>
        <w:rPr>
          <w:b/>
          <w:lang w:val="fr-CA"/>
        </w:rPr>
      </w:pPr>
      <w:r w:rsidRPr="00950005">
        <w:rPr>
          <w:b/>
          <w:lang w:val="fr-CA"/>
        </w:rPr>
        <w:t>Principaux défis rencontrés</w:t>
      </w:r>
    </w:p>
    <w:tbl>
      <w:tblPr>
        <w:tblStyle w:val="TableGrid"/>
        <w:tblW w:w="0" w:type="auto"/>
        <w:tblLook w:val="04A0" w:firstRow="1" w:lastRow="0" w:firstColumn="1" w:lastColumn="0" w:noHBand="0" w:noVBand="1"/>
      </w:tblPr>
      <w:tblGrid>
        <w:gridCol w:w="9350"/>
      </w:tblGrid>
      <w:tr w:rsidR="00297808" w:rsidRPr="00F30021" w14:paraId="51D095C8" w14:textId="77777777" w:rsidTr="00982844">
        <w:tc>
          <w:tcPr>
            <w:tcW w:w="9500" w:type="dxa"/>
          </w:tcPr>
          <w:p w14:paraId="2DC55C20" w14:textId="6EEC5944" w:rsidR="00297808" w:rsidRDefault="000E389A" w:rsidP="00BA1A21">
            <w:pPr>
              <w:pStyle w:val="ListParagraph"/>
              <w:numPr>
                <w:ilvl w:val="0"/>
                <w:numId w:val="3"/>
              </w:numPr>
              <w:jc w:val="both"/>
              <w:rPr>
                <w:lang w:val="fr-CA"/>
              </w:rPr>
            </w:pPr>
            <w:r>
              <w:rPr>
                <w:lang w:val="fr-CA"/>
              </w:rPr>
              <w:t>Une a</w:t>
            </w:r>
            <w:r w:rsidR="00B16084">
              <w:rPr>
                <w:lang w:val="fr-CA"/>
              </w:rPr>
              <w:t xml:space="preserve">utorisation formelle </w:t>
            </w:r>
            <w:r>
              <w:rPr>
                <w:lang w:val="fr-CA"/>
              </w:rPr>
              <w:t>du Ministère de l’enseignement s</w:t>
            </w:r>
            <w:r w:rsidR="00B16084">
              <w:rPr>
                <w:lang w:val="fr-CA"/>
              </w:rPr>
              <w:t>econdaire et</w:t>
            </w:r>
            <w:r>
              <w:rPr>
                <w:lang w:val="fr-CA"/>
              </w:rPr>
              <w:t xml:space="preserve"> t</w:t>
            </w:r>
            <w:r w:rsidR="00B16084">
              <w:rPr>
                <w:lang w:val="fr-CA"/>
              </w:rPr>
              <w:t>echnique et</w:t>
            </w:r>
            <w:r>
              <w:rPr>
                <w:lang w:val="fr-CA"/>
              </w:rPr>
              <w:t xml:space="preserve"> de la formation p</w:t>
            </w:r>
            <w:r w:rsidR="00B16084">
              <w:rPr>
                <w:lang w:val="fr-CA"/>
              </w:rPr>
              <w:t xml:space="preserve">rofessionnelle </w:t>
            </w:r>
            <w:r>
              <w:rPr>
                <w:lang w:val="fr-CA"/>
              </w:rPr>
              <w:t xml:space="preserve">est </w:t>
            </w:r>
            <w:r w:rsidR="00B16084">
              <w:rPr>
                <w:lang w:val="fr-CA"/>
              </w:rPr>
              <w:t xml:space="preserve">requise </w:t>
            </w:r>
            <w:r>
              <w:rPr>
                <w:lang w:val="fr-CA"/>
              </w:rPr>
              <w:t>par les</w:t>
            </w:r>
            <w:r w:rsidR="00B16084">
              <w:rPr>
                <w:lang w:val="fr-CA"/>
              </w:rPr>
              <w:t xml:space="preserve"> partenaires </w:t>
            </w:r>
            <w:r>
              <w:rPr>
                <w:lang w:val="fr-CA"/>
              </w:rPr>
              <w:t xml:space="preserve">étatiques </w:t>
            </w:r>
            <w:r w:rsidR="00B16084">
              <w:rPr>
                <w:lang w:val="fr-CA"/>
              </w:rPr>
              <w:t>avant toute intervention en milieu scolaire</w:t>
            </w:r>
            <w:r>
              <w:rPr>
                <w:lang w:val="fr-CA"/>
              </w:rPr>
              <w:t>. Cela pourrait entraîner des délais dans la mise en œuvre des activités avec les CEG.</w:t>
            </w:r>
          </w:p>
          <w:p w14:paraId="44D35E85" w14:textId="61FCD849" w:rsidR="00297808" w:rsidRDefault="000E389A" w:rsidP="00BA1A21">
            <w:pPr>
              <w:pStyle w:val="ListParagraph"/>
              <w:numPr>
                <w:ilvl w:val="0"/>
                <w:numId w:val="3"/>
              </w:numPr>
              <w:jc w:val="both"/>
              <w:rPr>
                <w:lang w:val="fr-CA"/>
              </w:rPr>
            </w:pPr>
            <w:r>
              <w:rPr>
                <w:lang w:val="fr-CA"/>
              </w:rPr>
              <w:t xml:space="preserve">Les </w:t>
            </w:r>
            <w:r w:rsidR="00AE3D42">
              <w:rPr>
                <w:lang w:val="fr-CA"/>
              </w:rPr>
              <w:t>partenaires stratégiques</w:t>
            </w:r>
            <w:r>
              <w:rPr>
                <w:lang w:val="fr-CA"/>
              </w:rPr>
              <w:t xml:space="preserve"> (notamment étatiques)</w:t>
            </w:r>
            <w:r w:rsidR="00AE3D42">
              <w:rPr>
                <w:lang w:val="fr-CA"/>
              </w:rPr>
              <w:t xml:space="preserve"> </w:t>
            </w:r>
            <w:r>
              <w:rPr>
                <w:lang w:val="fr-CA"/>
              </w:rPr>
              <w:t>demandent une revalorisation des montants de p</w:t>
            </w:r>
            <w:r>
              <w:rPr>
                <w:lang w:val="fr-CA"/>
              </w:rPr>
              <w:t>rise en charge (perdiem)</w:t>
            </w:r>
            <w:r>
              <w:rPr>
                <w:lang w:val="fr-CA"/>
              </w:rPr>
              <w:t xml:space="preserve"> appliqués lors des activités.</w:t>
            </w:r>
          </w:p>
          <w:p w14:paraId="0195259C" w14:textId="03582D7B" w:rsidR="00BA1A21" w:rsidRDefault="00BA1A21" w:rsidP="00BA1A21">
            <w:pPr>
              <w:pStyle w:val="ListParagraph"/>
              <w:numPr>
                <w:ilvl w:val="0"/>
                <w:numId w:val="3"/>
              </w:numPr>
              <w:jc w:val="both"/>
              <w:rPr>
                <w:lang w:val="fr-CA"/>
              </w:rPr>
            </w:pPr>
            <w:r>
              <w:rPr>
                <w:lang w:val="fr-CA"/>
              </w:rPr>
              <w:t xml:space="preserve">Plusieurs ONG mettent en œuvre actuellement des projets incluant le renforcement des capacités techniques des agents de santé. Un grand défi sera d’harmoniser les contenus (modules de formation) et les pratiques des différents projets. </w:t>
            </w:r>
          </w:p>
        </w:tc>
      </w:tr>
    </w:tbl>
    <w:p w14:paraId="4A0EF7C4" w14:textId="77777777" w:rsidR="00180DDA" w:rsidRDefault="00180DDA" w:rsidP="00BA1A21">
      <w:pPr>
        <w:pStyle w:val="ListParagraph"/>
        <w:spacing w:after="0" w:line="240" w:lineRule="auto"/>
        <w:ind w:left="426"/>
        <w:jc w:val="both"/>
        <w:rPr>
          <w:b/>
          <w:lang w:val="fr-CA"/>
        </w:rPr>
      </w:pPr>
    </w:p>
    <w:p w14:paraId="3B4404E7" w14:textId="77777777" w:rsidR="00297808" w:rsidRPr="00495A5C" w:rsidRDefault="00297808" w:rsidP="00BA1A21">
      <w:pPr>
        <w:pStyle w:val="ListParagraph"/>
        <w:numPr>
          <w:ilvl w:val="0"/>
          <w:numId w:val="1"/>
        </w:numPr>
        <w:spacing w:after="0" w:line="240" w:lineRule="auto"/>
        <w:ind w:left="426" w:hanging="426"/>
        <w:jc w:val="both"/>
        <w:rPr>
          <w:b/>
          <w:lang w:val="fr-CA"/>
        </w:rPr>
      </w:pPr>
      <w:r w:rsidRPr="00495A5C">
        <w:rPr>
          <w:b/>
          <w:lang w:val="fr-CA"/>
        </w:rPr>
        <w:t>Autre information pertinente</w:t>
      </w:r>
    </w:p>
    <w:tbl>
      <w:tblPr>
        <w:tblStyle w:val="TableGrid"/>
        <w:tblW w:w="0" w:type="auto"/>
        <w:tblLook w:val="04A0" w:firstRow="1" w:lastRow="0" w:firstColumn="1" w:lastColumn="0" w:noHBand="0" w:noVBand="1"/>
      </w:tblPr>
      <w:tblGrid>
        <w:gridCol w:w="9350"/>
      </w:tblGrid>
      <w:tr w:rsidR="00297808" w14:paraId="6A706EE0" w14:textId="77777777" w:rsidTr="00982844">
        <w:tc>
          <w:tcPr>
            <w:tcW w:w="9500" w:type="dxa"/>
          </w:tcPr>
          <w:p w14:paraId="4FA790F2" w14:textId="17C3E69F" w:rsidR="00297808" w:rsidRDefault="00BA1A21" w:rsidP="00BA1A21">
            <w:pPr>
              <w:contextualSpacing/>
              <w:jc w:val="both"/>
              <w:rPr>
                <w:lang w:val="fr-CA"/>
              </w:rPr>
            </w:pPr>
            <w:r>
              <w:rPr>
                <w:lang w:val="fr-CA"/>
              </w:rPr>
              <w:t>N/A</w:t>
            </w:r>
          </w:p>
        </w:tc>
      </w:tr>
    </w:tbl>
    <w:p w14:paraId="765A74D8" w14:textId="77777777" w:rsidR="00297808" w:rsidRPr="005827FE" w:rsidRDefault="00297808" w:rsidP="00BA1A21">
      <w:pPr>
        <w:spacing w:after="0" w:line="240" w:lineRule="auto"/>
        <w:contextualSpacing/>
        <w:jc w:val="both"/>
        <w:rPr>
          <w:lang w:val="fr-CA"/>
        </w:rPr>
      </w:pPr>
    </w:p>
    <w:p w14:paraId="07416AC6" w14:textId="77777777" w:rsidR="00581D87" w:rsidRDefault="00581D87" w:rsidP="00BA1A21">
      <w:pPr>
        <w:jc w:val="both"/>
      </w:pPr>
    </w:p>
    <w:sectPr w:rsidR="00581D8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3985" w14:textId="77777777" w:rsidR="00045E98" w:rsidRDefault="00045E98">
      <w:pPr>
        <w:spacing w:after="0" w:line="240" w:lineRule="auto"/>
      </w:pPr>
      <w:r>
        <w:separator/>
      </w:r>
    </w:p>
  </w:endnote>
  <w:endnote w:type="continuationSeparator" w:id="0">
    <w:p w14:paraId="344799A6" w14:textId="77777777" w:rsidR="00045E98" w:rsidRDefault="0004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408389"/>
      <w:docPartObj>
        <w:docPartGallery w:val="Page Numbers (Bottom of Page)"/>
        <w:docPartUnique/>
      </w:docPartObj>
    </w:sdtPr>
    <w:sdtEndPr/>
    <w:sdtContent>
      <w:sdt>
        <w:sdtPr>
          <w:id w:val="860082579"/>
          <w:docPartObj>
            <w:docPartGallery w:val="Page Numbers (Top of Page)"/>
            <w:docPartUnique/>
          </w:docPartObj>
        </w:sdtPr>
        <w:sdtEndPr/>
        <w:sdtContent>
          <w:p w14:paraId="03BD0124" w14:textId="179CE4EC" w:rsidR="002103D2" w:rsidRDefault="002978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1A21">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BA1A21">
              <w:rPr>
                <w:b/>
                <w:bCs/>
                <w:noProof/>
              </w:rPr>
              <w:t>3</w:t>
            </w:r>
            <w:r>
              <w:rPr>
                <w:b/>
                <w:bCs/>
                <w:sz w:val="24"/>
                <w:szCs w:val="24"/>
              </w:rPr>
              <w:fldChar w:fldCharType="end"/>
            </w:r>
          </w:p>
        </w:sdtContent>
      </w:sdt>
    </w:sdtContent>
  </w:sdt>
  <w:p w14:paraId="04E1818C" w14:textId="77777777" w:rsidR="002103D2" w:rsidRDefault="00045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82A11" w14:textId="77777777" w:rsidR="00045E98" w:rsidRDefault="00045E98">
      <w:pPr>
        <w:spacing w:after="0" w:line="240" w:lineRule="auto"/>
      </w:pPr>
      <w:r>
        <w:separator/>
      </w:r>
    </w:p>
  </w:footnote>
  <w:footnote w:type="continuationSeparator" w:id="0">
    <w:p w14:paraId="1F61A3CF" w14:textId="77777777" w:rsidR="00045E98" w:rsidRDefault="00045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EF2"/>
    <w:multiLevelType w:val="hybridMultilevel"/>
    <w:tmpl w:val="4E826A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00F1D9C"/>
    <w:multiLevelType w:val="hybridMultilevel"/>
    <w:tmpl w:val="E4AEA44E"/>
    <w:lvl w:ilvl="0" w:tplc="99BAE5BC">
      <w:start w:val="5"/>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66465F"/>
    <w:multiLevelType w:val="hybridMultilevel"/>
    <w:tmpl w:val="9F900168"/>
    <w:lvl w:ilvl="0" w:tplc="72A6C268">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08"/>
    <w:rsid w:val="00045E98"/>
    <w:rsid w:val="000E389A"/>
    <w:rsid w:val="00180DDA"/>
    <w:rsid w:val="00203B60"/>
    <w:rsid w:val="00297808"/>
    <w:rsid w:val="003F662D"/>
    <w:rsid w:val="00486781"/>
    <w:rsid w:val="00581D87"/>
    <w:rsid w:val="006D161C"/>
    <w:rsid w:val="006E402D"/>
    <w:rsid w:val="007C4407"/>
    <w:rsid w:val="00822AEC"/>
    <w:rsid w:val="008C4FE5"/>
    <w:rsid w:val="00A052A7"/>
    <w:rsid w:val="00AE3D42"/>
    <w:rsid w:val="00AE74E7"/>
    <w:rsid w:val="00B16084"/>
    <w:rsid w:val="00B22F0D"/>
    <w:rsid w:val="00B82715"/>
    <w:rsid w:val="00BA1A21"/>
    <w:rsid w:val="00BB45DE"/>
    <w:rsid w:val="00DC13FF"/>
    <w:rsid w:val="00DC55AF"/>
    <w:rsid w:val="00E97F44"/>
    <w:rsid w:val="00F30021"/>
    <w:rsid w:val="00F632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04AB"/>
  <w15:docId w15:val="{CA1AB0BF-C356-41F0-9A11-60905134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re1,texte,Paragraphe à Puce,Paragraphe 2,Puce,AB List 1,Bullet Points,r2,U 5,Glossaire,liste de tableaux,Tiitre 8,References,Bullets,Numbered List Paragraph,ReferencesCxSpLast,List Paragraph (numbered (a)),List Paragraph nowy,l"/>
    <w:basedOn w:val="Normal"/>
    <w:link w:val="ListParagraphChar"/>
    <w:uiPriority w:val="34"/>
    <w:qFormat/>
    <w:rsid w:val="00297808"/>
    <w:pPr>
      <w:ind w:left="720"/>
      <w:contextualSpacing/>
    </w:pPr>
  </w:style>
  <w:style w:type="table" w:styleId="TableGrid">
    <w:name w:val="Table Grid"/>
    <w:basedOn w:val="TableNormal"/>
    <w:uiPriority w:val="59"/>
    <w:rsid w:val="0029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808"/>
  </w:style>
  <w:style w:type="character" w:customStyle="1" w:styleId="ListParagraphChar">
    <w:name w:val="List Paragraph Char"/>
    <w:aliases w:val="Titre1 Char,texte Char,Paragraphe à Puce Char,Paragraphe 2 Char,Puce Char,AB List 1 Char,Bullet Points Char,r2 Char,U 5 Char,Glossaire Char,liste de tableaux Char,Tiitre 8 Char,References Char,Bullets Char,ReferencesCxSpLast Char"/>
    <w:basedOn w:val="DefaultParagraphFont"/>
    <w:link w:val="ListParagraph"/>
    <w:uiPriority w:val="34"/>
    <w:rsid w:val="006D161C"/>
  </w:style>
  <w:style w:type="character" w:styleId="CommentReference">
    <w:name w:val="annotation reference"/>
    <w:basedOn w:val="DefaultParagraphFont"/>
    <w:uiPriority w:val="99"/>
    <w:semiHidden/>
    <w:unhideWhenUsed/>
    <w:rsid w:val="00822AEC"/>
    <w:rPr>
      <w:sz w:val="16"/>
      <w:szCs w:val="16"/>
    </w:rPr>
  </w:style>
  <w:style w:type="paragraph" w:styleId="CommentText">
    <w:name w:val="annotation text"/>
    <w:basedOn w:val="Normal"/>
    <w:link w:val="CommentTextChar"/>
    <w:uiPriority w:val="99"/>
    <w:semiHidden/>
    <w:unhideWhenUsed/>
    <w:rsid w:val="00822AEC"/>
    <w:pPr>
      <w:spacing w:line="240" w:lineRule="auto"/>
    </w:pPr>
    <w:rPr>
      <w:sz w:val="20"/>
      <w:szCs w:val="20"/>
    </w:rPr>
  </w:style>
  <w:style w:type="character" w:customStyle="1" w:styleId="CommentTextChar">
    <w:name w:val="Comment Text Char"/>
    <w:basedOn w:val="DefaultParagraphFont"/>
    <w:link w:val="CommentText"/>
    <w:uiPriority w:val="99"/>
    <w:semiHidden/>
    <w:rsid w:val="00822AEC"/>
    <w:rPr>
      <w:sz w:val="20"/>
      <w:szCs w:val="20"/>
    </w:rPr>
  </w:style>
  <w:style w:type="paragraph" w:styleId="CommentSubject">
    <w:name w:val="annotation subject"/>
    <w:basedOn w:val="CommentText"/>
    <w:next w:val="CommentText"/>
    <w:link w:val="CommentSubjectChar"/>
    <w:uiPriority w:val="99"/>
    <w:semiHidden/>
    <w:unhideWhenUsed/>
    <w:rsid w:val="00822AEC"/>
    <w:rPr>
      <w:b/>
      <w:bCs/>
    </w:rPr>
  </w:style>
  <w:style w:type="character" w:customStyle="1" w:styleId="CommentSubjectChar">
    <w:name w:val="Comment Subject Char"/>
    <w:basedOn w:val="CommentTextChar"/>
    <w:link w:val="CommentSubject"/>
    <w:uiPriority w:val="99"/>
    <w:semiHidden/>
    <w:rsid w:val="00822AEC"/>
    <w:rPr>
      <w:b/>
      <w:bCs/>
      <w:sz w:val="20"/>
      <w:szCs w:val="20"/>
    </w:rPr>
  </w:style>
  <w:style w:type="paragraph" w:styleId="BalloonText">
    <w:name w:val="Balloon Text"/>
    <w:basedOn w:val="Normal"/>
    <w:link w:val="BalloonTextChar"/>
    <w:uiPriority w:val="99"/>
    <w:semiHidden/>
    <w:unhideWhenUsed/>
    <w:rsid w:val="00822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969</Words>
  <Characters>5525</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DFAIT-MAECI</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St-Laurent, Luc -CTONU</dc:creator>
  <cp:lastModifiedBy>Alfa Cissé, Fatou</cp:lastModifiedBy>
  <cp:revision>5</cp:revision>
  <dcterms:created xsi:type="dcterms:W3CDTF">2019-01-10T13:38:00Z</dcterms:created>
  <dcterms:modified xsi:type="dcterms:W3CDTF">2019-01-10T14:04:00Z</dcterms:modified>
</cp:coreProperties>
</file>