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A4A2" w14:textId="0C8EBEFA" w:rsidR="00450086" w:rsidRPr="00DF49AA" w:rsidRDefault="00DF49AA" w:rsidP="00DF49AA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Standard Operating Procedures for MAR proposals</w:t>
      </w:r>
    </w:p>
    <w:p w14:paraId="68E2DD0C" w14:textId="0D22B8C0" w:rsidR="00DF49AA" w:rsidRPr="00DF49AA" w:rsidRDefault="00DF49AA" w:rsidP="00DF49AA">
      <w:pPr>
        <w:rPr>
          <w:rFonts w:ascii="Arial" w:hAnsi="Arial" w:cs="Arial"/>
          <w:lang w:val="en-US"/>
        </w:rPr>
      </w:pPr>
      <w:r w:rsidRPr="00DF49AA">
        <w:rPr>
          <w:rFonts w:ascii="Arial" w:hAnsi="Arial" w:cs="Arial"/>
          <w:b/>
          <w:bCs/>
          <w:u w:val="single"/>
          <w:lang w:val="en-US"/>
        </w:rPr>
        <w:t>Purpose:</w:t>
      </w:r>
      <w:r w:rsidRPr="00DF49A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Outline </w:t>
      </w:r>
      <w:r w:rsidR="001B65A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process</w:t>
      </w:r>
      <w:r w:rsidRPr="00DF49AA">
        <w:rPr>
          <w:rFonts w:ascii="Arial" w:hAnsi="Arial" w:cs="Arial"/>
          <w:lang w:val="en-US"/>
        </w:rPr>
        <w:t xml:space="preserve"> for federal regulators to use in determining whether regulatory changes are miscellaneous in nature. </w:t>
      </w:r>
    </w:p>
    <w:p w14:paraId="6B6CC799" w14:textId="6A0E21B0" w:rsidR="00DF49AA" w:rsidRPr="00DF49AA" w:rsidRDefault="00DF49AA" w:rsidP="00DF49AA">
      <w:pPr>
        <w:pStyle w:val="NormalWeb"/>
        <w:shd w:val="clear" w:color="auto" w:fill="FFFFFF"/>
        <w:spacing w:after="173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DF49AA">
        <w:rPr>
          <w:rFonts w:ascii="Arial" w:hAnsi="Arial" w:cs="Arial"/>
          <w:b/>
          <w:bCs/>
          <w:sz w:val="22"/>
          <w:szCs w:val="22"/>
          <w:u w:val="single"/>
          <w:lang w:val="en-US"/>
        </w:rPr>
        <w:t>Background</w:t>
      </w:r>
    </w:p>
    <w:p w14:paraId="1A6CF18D" w14:textId="7BA45C10" w:rsidR="00DF49AA" w:rsidRDefault="00DF49AA" w:rsidP="00DF49AA">
      <w:pPr>
        <w:pStyle w:val="NormalWeb"/>
        <w:shd w:val="clear" w:color="auto" w:fill="FFFFFF"/>
        <w:spacing w:after="173"/>
        <w:rPr>
          <w:rFonts w:ascii="Arial" w:hAnsi="Arial" w:cs="Arial"/>
          <w:sz w:val="22"/>
          <w:szCs w:val="22"/>
          <w:lang w:val="en-US"/>
        </w:rPr>
      </w:pPr>
      <w:r w:rsidRPr="00DF49AA">
        <w:rPr>
          <w:rFonts w:ascii="Arial" w:hAnsi="Arial" w:cs="Arial"/>
          <w:sz w:val="22"/>
          <w:szCs w:val="22"/>
          <w:lang w:val="en-US"/>
        </w:rPr>
        <w:t>As per the Policy on Regulatory Development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5A793F90" w14:textId="4F04AF4A" w:rsidR="00DF49AA" w:rsidRPr="00DF49AA" w:rsidRDefault="00CE6B6C" w:rsidP="00DF49AA">
      <w:pPr>
        <w:pStyle w:val="NormalWeb"/>
        <w:shd w:val="clear" w:color="auto" w:fill="FFFFFF"/>
        <w:spacing w:after="173"/>
        <w:rPr>
          <w:rFonts w:ascii="Arial" w:eastAsia="Times New Roman" w:hAnsi="Arial" w:cs="Arial"/>
          <w:sz w:val="22"/>
          <w:szCs w:val="22"/>
          <w:lang w:eastAsia="en-CA"/>
        </w:rPr>
      </w:pPr>
      <w:r>
        <w:rPr>
          <w:rFonts w:ascii="Arial" w:eastAsia="Times New Roman" w:hAnsi="Arial" w:cs="Arial"/>
          <w:sz w:val="22"/>
          <w:szCs w:val="22"/>
          <w:lang w:eastAsia="en-CA"/>
        </w:rPr>
        <w:t xml:space="preserve">A </w:t>
      </w:r>
      <w:r w:rsidR="00DF49AA" w:rsidRPr="00DF49AA">
        <w:rPr>
          <w:rFonts w:ascii="Arial" w:eastAsia="Times New Roman" w:hAnsi="Arial" w:cs="Arial"/>
          <w:sz w:val="22"/>
          <w:szCs w:val="22"/>
          <w:lang w:eastAsia="en-CA"/>
        </w:rPr>
        <w:t xml:space="preserve">Miscellaneous Amendment Regulation (MAR) </w:t>
      </w:r>
      <w:r>
        <w:rPr>
          <w:rFonts w:ascii="Arial" w:eastAsia="Times New Roman" w:hAnsi="Arial" w:cs="Arial"/>
          <w:sz w:val="22"/>
          <w:szCs w:val="22"/>
          <w:lang w:eastAsia="en-CA"/>
        </w:rPr>
        <w:t>is a</w:t>
      </w:r>
      <w:r w:rsidR="00DF49AA" w:rsidRPr="00DF49AA">
        <w:rPr>
          <w:rFonts w:ascii="Arial" w:eastAsia="Times New Roman" w:hAnsi="Arial" w:cs="Arial"/>
          <w:sz w:val="22"/>
          <w:szCs w:val="22"/>
          <w:lang w:eastAsia="en-CA"/>
        </w:rPr>
        <w:t xml:space="preserve"> minor, non-substantive amendments to existing regulations. They may be determined by:</w:t>
      </w:r>
    </w:p>
    <w:p w14:paraId="78885EC9" w14:textId="77777777" w:rsidR="00DF49AA" w:rsidRPr="00DF49AA" w:rsidRDefault="00DF49AA" w:rsidP="00DF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regulators, including through consultation with stakeholders</w:t>
      </w:r>
    </w:p>
    <w:p w14:paraId="22A93F4E" w14:textId="77777777" w:rsidR="00DF49AA" w:rsidRPr="00DF49AA" w:rsidRDefault="00DF49AA" w:rsidP="00DF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by the Standing Joint Committee for the Scrutiny of Regulations</w:t>
      </w:r>
    </w:p>
    <w:p w14:paraId="51EE5798" w14:textId="77777777" w:rsidR="00DF49AA" w:rsidRPr="00DF49AA" w:rsidRDefault="00DF49AA" w:rsidP="00DF49AA">
      <w:pPr>
        <w:shd w:val="clear" w:color="auto" w:fill="FFFFFF"/>
        <w:spacing w:after="173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The MARs process takes a “light-touch” approach, as the nature of the regulatory amendments have no real impact.</w:t>
      </w:r>
    </w:p>
    <w:p w14:paraId="3FA34E44" w14:textId="4DBC118E" w:rsidR="00DF49AA" w:rsidRPr="00DF49AA" w:rsidRDefault="00DF49AA" w:rsidP="00DF49AA">
      <w:pPr>
        <w:shd w:val="clear" w:color="auto" w:fill="FFFFFF"/>
        <w:spacing w:after="173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 xml:space="preserve">Examples of items that may be considered </w:t>
      </w:r>
      <w:r w:rsidR="00CE6B6C">
        <w:rPr>
          <w:rFonts w:ascii="Arial" w:eastAsia="Times New Roman" w:hAnsi="Arial" w:cs="Arial"/>
          <w:lang w:eastAsia="en-CA"/>
        </w:rPr>
        <w:t>a</w:t>
      </w:r>
      <w:r w:rsidRPr="00DF49AA">
        <w:rPr>
          <w:rFonts w:ascii="Arial" w:eastAsia="Times New Roman" w:hAnsi="Arial" w:cs="Arial"/>
          <w:lang w:eastAsia="en-CA"/>
        </w:rPr>
        <w:t xml:space="preserve"> MAR amendments include, but are not limited to:</w:t>
      </w:r>
    </w:p>
    <w:p w14:paraId="76FE5DB1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repealing obsolete or spent provisions that have no current application</w:t>
      </w:r>
    </w:p>
    <w:p w14:paraId="175D4B16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eliminating unnecessary duplication of text</w:t>
      </w:r>
    </w:p>
    <w:p w14:paraId="7116412A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renumbering sections</w:t>
      </w:r>
    </w:p>
    <w:p w14:paraId="7DCECE9B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correcting cross-references</w:t>
      </w:r>
    </w:p>
    <w:p w14:paraId="01D9154F" w14:textId="79B0AEFB" w:rsidR="00DF49AA" w:rsidRPr="00DF49AA" w:rsidRDefault="00CE6B6C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correcting</w:t>
      </w:r>
      <w:r w:rsidR="00DF49AA" w:rsidRPr="00DF49AA">
        <w:rPr>
          <w:rFonts w:ascii="Arial" w:eastAsia="Times New Roman" w:hAnsi="Arial" w:cs="Arial"/>
          <w:lang w:eastAsia="en-CA"/>
        </w:rPr>
        <w:t xml:space="preserve"> discrepancies between English and French</w:t>
      </w:r>
    </w:p>
    <w:p w14:paraId="00133B10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improving consistency among provisions within regulations</w:t>
      </w:r>
    </w:p>
    <w:p w14:paraId="7CCD939A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harmonizing terms with those used in enabling statutes and related regulations</w:t>
      </w:r>
    </w:p>
    <w:p w14:paraId="75A47405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making non-substantive amendments to improve clarity</w:t>
      </w:r>
    </w:p>
    <w:p w14:paraId="4103E777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correcting grammatical or typographical errors</w:t>
      </w:r>
    </w:p>
    <w:p w14:paraId="4DD39F9D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updating references to names of companies, locations, titles of office holders, and the like</w:t>
      </w:r>
    </w:p>
    <w:p w14:paraId="4A9F2CA4" w14:textId="77777777" w:rsidR="00DF49AA" w:rsidRPr="00DF49AA" w:rsidRDefault="00DF49AA" w:rsidP="00DF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DF49AA">
        <w:rPr>
          <w:rFonts w:ascii="Arial" w:eastAsia="Times New Roman" w:hAnsi="Arial" w:cs="Arial"/>
          <w:lang w:eastAsia="en-CA"/>
        </w:rPr>
        <w:t>updating references to standards and other documents incorporated by reference (where the change is non-substantive)</w:t>
      </w:r>
    </w:p>
    <w:p w14:paraId="32D096B3" w14:textId="008A85E7" w:rsidR="00DF49AA" w:rsidRPr="00DF49AA" w:rsidRDefault="00CE6B6C" w:rsidP="006C09B7">
      <w:pPr>
        <w:shd w:val="clear" w:color="auto" w:fill="FFFFFF"/>
        <w:spacing w:after="173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A</w:t>
      </w:r>
      <w:r w:rsidR="00DF49AA" w:rsidRPr="00DF49AA">
        <w:rPr>
          <w:rFonts w:ascii="Arial" w:eastAsia="Times New Roman" w:hAnsi="Arial" w:cs="Arial"/>
          <w:lang w:eastAsia="en-CA"/>
        </w:rPr>
        <w:t xml:space="preserve">mendments that </w:t>
      </w:r>
      <w:r w:rsidR="00DF49AA">
        <w:rPr>
          <w:rFonts w:ascii="Arial" w:eastAsia="Times New Roman" w:hAnsi="Arial" w:cs="Arial"/>
          <w:lang w:eastAsia="en-CA"/>
        </w:rPr>
        <w:t xml:space="preserve">may </w:t>
      </w:r>
      <w:r w:rsidR="00DF49AA" w:rsidRPr="00DF49AA">
        <w:rPr>
          <w:rFonts w:ascii="Arial" w:eastAsia="Times New Roman" w:hAnsi="Arial" w:cs="Arial"/>
          <w:lang w:eastAsia="en-CA"/>
        </w:rPr>
        <w:t>substantively alter regulations require consultation and may not proceed under the MAR process. Substantive amendments</w:t>
      </w:r>
      <w:r>
        <w:rPr>
          <w:rFonts w:ascii="Arial" w:eastAsia="Times New Roman" w:hAnsi="Arial" w:cs="Arial"/>
          <w:lang w:eastAsia="en-CA"/>
        </w:rPr>
        <w:t xml:space="preserve"> would include those which</w:t>
      </w:r>
      <w:r w:rsidR="006C09B7">
        <w:rPr>
          <w:rFonts w:ascii="Arial" w:eastAsia="Times New Roman" w:hAnsi="Arial" w:cs="Arial"/>
          <w:lang w:eastAsia="en-CA"/>
        </w:rPr>
        <w:t xml:space="preserve">: </w:t>
      </w:r>
      <w:r w:rsidR="00DF49AA" w:rsidRPr="00DF49AA">
        <w:rPr>
          <w:rFonts w:ascii="Arial" w:eastAsia="Times New Roman" w:hAnsi="Arial" w:cs="Arial"/>
          <w:lang w:eastAsia="en-CA"/>
        </w:rPr>
        <w:t>alter compliance or administrative costs</w:t>
      </w:r>
      <w:r>
        <w:rPr>
          <w:rFonts w:ascii="Arial" w:eastAsia="Times New Roman" w:hAnsi="Arial" w:cs="Arial"/>
          <w:lang w:eastAsia="en-CA"/>
        </w:rPr>
        <w:t>,</w:t>
      </w:r>
      <w:r w:rsidR="006C09B7">
        <w:rPr>
          <w:rFonts w:ascii="Arial" w:eastAsia="Times New Roman" w:hAnsi="Arial" w:cs="Arial"/>
          <w:lang w:eastAsia="en-CA"/>
        </w:rPr>
        <w:t xml:space="preserve"> and</w:t>
      </w:r>
      <w:r w:rsidR="00AA2940">
        <w:rPr>
          <w:rFonts w:ascii="Arial" w:eastAsia="Times New Roman" w:hAnsi="Arial" w:cs="Arial"/>
          <w:lang w:eastAsia="en-CA"/>
        </w:rPr>
        <w:t>/or</w:t>
      </w:r>
      <w:r w:rsidR="006C09B7">
        <w:rPr>
          <w:rFonts w:ascii="Arial" w:eastAsia="Times New Roman" w:hAnsi="Arial" w:cs="Arial"/>
          <w:lang w:eastAsia="en-CA"/>
        </w:rPr>
        <w:t xml:space="preserve"> </w:t>
      </w:r>
      <w:r w:rsidR="00DF49AA" w:rsidRPr="00DF49AA">
        <w:rPr>
          <w:rFonts w:ascii="Arial" w:eastAsia="Times New Roman" w:hAnsi="Arial" w:cs="Arial"/>
          <w:lang w:eastAsia="en-CA"/>
        </w:rPr>
        <w:t>create new regulatory requirements</w:t>
      </w:r>
      <w:r w:rsidR="006C09B7">
        <w:rPr>
          <w:rFonts w:ascii="Arial" w:eastAsia="Times New Roman" w:hAnsi="Arial" w:cs="Arial"/>
          <w:lang w:eastAsia="en-CA"/>
        </w:rPr>
        <w:t>.</w:t>
      </w:r>
    </w:p>
    <w:p w14:paraId="44BACBA4" w14:textId="767A73E0" w:rsidR="00DF49AA" w:rsidRPr="00DF49AA" w:rsidRDefault="00DF49AA" w:rsidP="00DF49AA">
      <w:pPr>
        <w:rPr>
          <w:rFonts w:ascii="Arial" w:hAnsi="Arial" w:cs="Arial"/>
          <w:b/>
          <w:bCs/>
          <w:u w:val="single"/>
          <w:lang w:val="en-US"/>
        </w:rPr>
      </w:pPr>
      <w:r w:rsidRPr="00DF49AA">
        <w:rPr>
          <w:rFonts w:ascii="Arial" w:hAnsi="Arial" w:cs="Arial"/>
          <w:b/>
          <w:bCs/>
          <w:u w:val="single"/>
          <w:lang w:val="en-US"/>
        </w:rPr>
        <w:t>Process</w:t>
      </w:r>
    </w:p>
    <w:p w14:paraId="17230D0E" w14:textId="4915BE10" w:rsidR="001B65A4" w:rsidRDefault="001B65A4" w:rsidP="00DF4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the extent possible, federal regulators should seek to incorporate miscellaneous regulatory amendments into broader</w:t>
      </w:r>
      <w:r w:rsidR="006C09B7">
        <w:rPr>
          <w:rFonts w:ascii="Arial" w:hAnsi="Arial" w:cs="Arial"/>
          <w:lang w:val="en-US"/>
        </w:rPr>
        <w:t xml:space="preserve">, more significant </w:t>
      </w:r>
      <w:r>
        <w:rPr>
          <w:rFonts w:ascii="Arial" w:hAnsi="Arial" w:cs="Arial"/>
          <w:lang w:val="en-US"/>
        </w:rPr>
        <w:t xml:space="preserve">regulatory projects versus </w:t>
      </w:r>
      <w:r w:rsidR="006C09B7">
        <w:rPr>
          <w:rFonts w:ascii="Arial" w:hAnsi="Arial" w:cs="Arial"/>
          <w:lang w:val="en-US"/>
        </w:rPr>
        <w:t xml:space="preserve">bringing </w:t>
      </w:r>
      <w:r>
        <w:rPr>
          <w:rFonts w:ascii="Arial" w:hAnsi="Arial" w:cs="Arial"/>
          <w:lang w:val="en-US"/>
        </w:rPr>
        <w:t>them forward as standalone regulatory amendments.</w:t>
      </w:r>
    </w:p>
    <w:p w14:paraId="582773C0" w14:textId="77777777" w:rsidR="001B65A4" w:rsidRDefault="001B65A4" w:rsidP="001B65A4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2170BD86" w14:textId="27B9CEE7" w:rsidR="00DF49AA" w:rsidRPr="006C09B7" w:rsidRDefault="001B65A4" w:rsidP="006C09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it has been determined that a </w:t>
      </w:r>
      <w:r w:rsidR="00CE6B6C">
        <w:rPr>
          <w:rFonts w:ascii="Arial" w:hAnsi="Arial" w:cs="Arial"/>
          <w:lang w:val="en-US"/>
        </w:rPr>
        <w:t>MAR</w:t>
      </w:r>
      <w:r>
        <w:rPr>
          <w:rFonts w:ascii="Arial" w:hAnsi="Arial" w:cs="Arial"/>
          <w:lang w:val="en-US"/>
        </w:rPr>
        <w:t xml:space="preserve"> amendment is the recommended path forward, r</w:t>
      </w:r>
      <w:r w:rsidR="00DF49AA">
        <w:rPr>
          <w:rFonts w:ascii="Arial" w:hAnsi="Arial" w:cs="Arial"/>
          <w:lang w:val="en-US"/>
        </w:rPr>
        <w:t>egulators</w:t>
      </w:r>
      <w:r>
        <w:rPr>
          <w:rFonts w:ascii="Arial" w:hAnsi="Arial" w:cs="Arial"/>
          <w:lang w:val="en-US"/>
        </w:rPr>
        <w:t xml:space="preserve"> are</w:t>
      </w:r>
      <w:r w:rsidR="00DF49AA">
        <w:rPr>
          <w:rFonts w:ascii="Arial" w:hAnsi="Arial" w:cs="Arial"/>
          <w:lang w:val="en-US"/>
        </w:rPr>
        <w:t xml:space="preserve"> to fill out</w:t>
      </w:r>
      <w:r w:rsidR="006C09B7">
        <w:rPr>
          <w:rFonts w:ascii="Arial" w:hAnsi="Arial" w:cs="Arial"/>
          <w:lang w:val="en-US"/>
        </w:rPr>
        <w:t xml:space="preserve"> the</w:t>
      </w:r>
      <w:r w:rsidR="00DF49AA">
        <w:rPr>
          <w:rFonts w:ascii="Arial" w:hAnsi="Arial" w:cs="Arial"/>
          <w:lang w:val="en-US"/>
        </w:rPr>
        <w:t xml:space="preserve"> checklist in Annex 1. </w:t>
      </w:r>
      <w:r w:rsidR="00DF49AA" w:rsidRPr="006C09B7">
        <w:rPr>
          <w:rFonts w:ascii="Arial" w:hAnsi="Arial" w:cs="Arial"/>
          <w:lang w:val="en-US"/>
        </w:rPr>
        <w:t xml:space="preserve">Similar to the Strategic Environmental Assessment or Small Business Lens checklists, the new “MAR Checklist” is for internal use, not for TBS review. </w:t>
      </w:r>
    </w:p>
    <w:p w14:paraId="248153C2" w14:textId="77777777" w:rsidR="00DF49AA" w:rsidRPr="00DF49AA" w:rsidRDefault="00DF49AA" w:rsidP="00DF49AA">
      <w:pPr>
        <w:spacing w:after="0" w:line="240" w:lineRule="auto"/>
        <w:rPr>
          <w:rFonts w:ascii="Arial" w:hAnsi="Arial" w:cs="Arial"/>
          <w:lang w:val="en-US"/>
        </w:rPr>
      </w:pPr>
    </w:p>
    <w:p w14:paraId="65025B9E" w14:textId="37C52033" w:rsidR="00DF49AA" w:rsidRDefault="00DF49AA" w:rsidP="00DF4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DF49AA">
        <w:rPr>
          <w:rFonts w:ascii="Arial" w:hAnsi="Arial" w:cs="Arial"/>
          <w:lang w:val="en-US"/>
        </w:rPr>
        <w:t xml:space="preserve">If </w:t>
      </w:r>
      <w:r w:rsidR="006C09B7">
        <w:rPr>
          <w:rFonts w:ascii="Arial" w:hAnsi="Arial" w:cs="Arial"/>
          <w:lang w:val="en-US"/>
        </w:rPr>
        <w:t>all five</w:t>
      </w:r>
      <w:r w:rsidRPr="00DF49AA">
        <w:rPr>
          <w:rFonts w:ascii="Arial" w:hAnsi="Arial" w:cs="Arial"/>
          <w:lang w:val="en-US"/>
        </w:rPr>
        <w:t xml:space="preserve"> criteria in the </w:t>
      </w:r>
      <w:r>
        <w:rPr>
          <w:rFonts w:ascii="Arial" w:hAnsi="Arial" w:cs="Arial"/>
          <w:lang w:val="en-US"/>
        </w:rPr>
        <w:t>MAR C</w:t>
      </w:r>
      <w:r w:rsidRPr="00DF49AA">
        <w:rPr>
          <w:rFonts w:ascii="Arial" w:hAnsi="Arial" w:cs="Arial"/>
          <w:lang w:val="en-US"/>
        </w:rPr>
        <w:t>hecklist are met</w:t>
      </w:r>
      <w:r w:rsidR="005B63A2">
        <w:rPr>
          <w:rFonts w:ascii="Arial" w:hAnsi="Arial" w:cs="Arial"/>
          <w:lang w:val="en-US"/>
        </w:rPr>
        <w:t xml:space="preserve"> (i.e., you answer “yes” to each criteria)</w:t>
      </w:r>
      <w:r w:rsidRPr="00DF49AA">
        <w:rPr>
          <w:rFonts w:ascii="Arial" w:hAnsi="Arial" w:cs="Arial"/>
          <w:lang w:val="en-US"/>
        </w:rPr>
        <w:t xml:space="preserve">, federal regulators can proceed </w:t>
      </w:r>
      <w:r w:rsidR="001B65A4">
        <w:rPr>
          <w:rFonts w:ascii="Arial" w:hAnsi="Arial" w:cs="Arial"/>
          <w:lang w:val="en-US"/>
        </w:rPr>
        <w:t xml:space="preserve">directly </w:t>
      </w:r>
      <w:r w:rsidRPr="00DF49AA">
        <w:rPr>
          <w:rFonts w:ascii="Arial" w:hAnsi="Arial" w:cs="Arial"/>
          <w:lang w:val="en-US"/>
        </w:rPr>
        <w:t>to drafting their RIAS (MAR template) without first filling out and sending a Triage to TBS for review.</w:t>
      </w:r>
    </w:p>
    <w:p w14:paraId="479F706E" w14:textId="77777777" w:rsidR="001B65A4" w:rsidRPr="001B65A4" w:rsidRDefault="001B65A4" w:rsidP="001B65A4">
      <w:pPr>
        <w:pStyle w:val="ListParagraph"/>
        <w:rPr>
          <w:rFonts w:ascii="Arial" w:hAnsi="Arial" w:cs="Arial"/>
          <w:lang w:val="en-US"/>
        </w:rPr>
      </w:pPr>
    </w:p>
    <w:p w14:paraId="59EE736D" w14:textId="05193E17" w:rsidR="001B65A4" w:rsidRDefault="001B65A4" w:rsidP="006C09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federal regulators are unsure whether the </w:t>
      </w:r>
      <w:r w:rsidR="006C09B7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they are working</w:t>
      </w:r>
      <w:r w:rsidR="00CE6B6C">
        <w:rPr>
          <w:rFonts w:ascii="Arial" w:hAnsi="Arial" w:cs="Arial"/>
          <w:lang w:val="en-US"/>
        </w:rPr>
        <w:t xml:space="preserve"> on</w:t>
      </w:r>
      <w:r>
        <w:rPr>
          <w:rFonts w:ascii="Arial" w:hAnsi="Arial" w:cs="Arial"/>
          <w:lang w:val="en-US"/>
        </w:rPr>
        <w:t xml:space="preserve"> qualifies for the MAR process, please refer to the examples provided in Annex 2</w:t>
      </w:r>
      <w:r w:rsidR="006C09B7">
        <w:rPr>
          <w:rFonts w:ascii="Arial" w:hAnsi="Arial" w:cs="Arial"/>
          <w:lang w:val="en-US"/>
        </w:rPr>
        <w:t xml:space="preserve"> as model reference</w:t>
      </w:r>
      <w:r w:rsidR="00EA081A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and/or contact your TBS-RAS analyst for clarification.</w:t>
      </w:r>
    </w:p>
    <w:p w14:paraId="159453DF" w14:textId="77777777" w:rsidR="006C09B7" w:rsidRPr="006C09B7" w:rsidRDefault="006C09B7" w:rsidP="006C09B7">
      <w:pPr>
        <w:spacing w:after="0" w:line="240" w:lineRule="auto"/>
        <w:rPr>
          <w:rFonts w:ascii="Arial" w:hAnsi="Arial" w:cs="Arial"/>
          <w:lang w:val="en-US"/>
        </w:rPr>
      </w:pPr>
    </w:p>
    <w:p w14:paraId="082DA3B8" w14:textId="1C40E958" w:rsidR="001B65A4" w:rsidRPr="006C09B7" w:rsidRDefault="001B65A4" w:rsidP="006C09B7">
      <w:pPr>
        <w:spacing w:after="0" w:line="240" w:lineRule="auto"/>
        <w:contextualSpacing/>
        <w:rPr>
          <w:rFonts w:ascii="Arial" w:hAnsi="Arial" w:cs="Arial"/>
          <w:b/>
          <w:bCs/>
          <w:u w:val="single"/>
          <w:lang w:val="en-US"/>
        </w:rPr>
      </w:pPr>
      <w:r w:rsidRPr="006C09B7">
        <w:rPr>
          <w:rFonts w:ascii="Arial" w:hAnsi="Arial" w:cs="Arial"/>
          <w:b/>
          <w:bCs/>
          <w:u w:val="single"/>
          <w:lang w:val="en-US"/>
        </w:rPr>
        <w:t xml:space="preserve">Annex 1: MAR Checklist </w:t>
      </w:r>
    </w:p>
    <w:p w14:paraId="6E7FCE76" w14:textId="3820665A" w:rsidR="00DF49AA" w:rsidRPr="00DF49AA" w:rsidRDefault="00DF49AA" w:rsidP="006C09B7">
      <w:pPr>
        <w:spacing w:after="0" w:line="240" w:lineRule="auto"/>
        <w:contextualSpacing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390"/>
        <w:gridCol w:w="1161"/>
        <w:gridCol w:w="1264"/>
      </w:tblGrid>
      <w:tr w:rsidR="006C09B7" w14:paraId="6EA11210" w14:textId="77777777" w:rsidTr="006C09B7">
        <w:tc>
          <w:tcPr>
            <w:tcW w:w="535" w:type="dxa"/>
          </w:tcPr>
          <w:p w14:paraId="45F609E3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90" w:type="dxa"/>
          </w:tcPr>
          <w:p w14:paraId="055AADA8" w14:textId="15F7293F" w:rsidR="006C09B7" w:rsidRPr="006C09B7" w:rsidRDefault="006C09B7" w:rsidP="00DF49A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C09B7">
              <w:rPr>
                <w:rFonts w:ascii="Arial" w:hAnsi="Arial" w:cs="Arial"/>
                <w:b/>
                <w:bCs/>
                <w:lang w:val="en-US"/>
              </w:rPr>
              <w:t>Criteria</w:t>
            </w:r>
          </w:p>
        </w:tc>
        <w:tc>
          <w:tcPr>
            <w:tcW w:w="1161" w:type="dxa"/>
          </w:tcPr>
          <w:p w14:paraId="02C4ABB9" w14:textId="4B058E11" w:rsidR="006C09B7" w:rsidRPr="006C09B7" w:rsidRDefault="006C09B7" w:rsidP="001B65A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C09B7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264" w:type="dxa"/>
          </w:tcPr>
          <w:p w14:paraId="4DFC99B2" w14:textId="3FA23AA0" w:rsidR="006C09B7" w:rsidRPr="006C09B7" w:rsidRDefault="006C09B7" w:rsidP="001B65A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C09B7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</w:tr>
      <w:tr w:rsidR="006C09B7" w14:paraId="2C2D41AA" w14:textId="77777777" w:rsidTr="006C09B7">
        <w:tc>
          <w:tcPr>
            <w:tcW w:w="535" w:type="dxa"/>
            <w:vAlign w:val="center"/>
          </w:tcPr>
          <w:p w14:paraId="3A3B7521" w14:textId="055AE03C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90" w:type="dxa"/>
          </w:tcPr>
          <w:p w14:paraId="343EDCD6" w14:textId="72CDD617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changes made through the regulatory proposal fall into at least one of the categories of examples listed in the TBS Policy on Regulatory Development (listed above) or equivalent.</w:t>
            </w:r>
          </w:p>
        </w:tc>
        <w:tc>
          <w:tcPr>
            <w:tcW w:w="1161" w:type="dxa"/>
            <w:vAlign w:val="center"/>
          </w:tcPr>
          <w:p w14:paraId="6AAABC4E" w14:textId="043956C4" w:rsidR="006C09B7" w:rsidRDefault="006C09B7" w:rsidP="005B63A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4" w:type="dxa"/>
          </w:tcPr>
          <w:p w14:paraId="3306EFE0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</w:tr>
      <w:tr w:rsidR="006C09B7" w14:paraId="2092ED94" w14:textId="77777777" w:rsidTr="006C09B7">
        <w:tc>
          <w:tcPr>
            <w:tcW w:w="535" w:type="dxa"/>
            <w:vAlign w:val="center"/>
          </w:tcPr>
          <w:p w14:paraId="7C7C4234" w14:textId="0A5921E9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90" w:type="dxa"/>
          </w:tcPr>
          <w:p w14:paraId="5F3CCFB4" w14:textId="160943D7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proposal would not introduce new costs.</w:t>
            </w:r>
          </w:p>
        </w:tc>
        <w:tc>
          <w:tcPr>
            <w:tcW w:w="1161" w:type="dxa"/>
          </w:tcPr>
          <w:p w14:paraId="3AF90807" w14:textId="76C5644E" w:rsidR="006C09B7" w:rsidRDefault="006C09B7" w:rsidP="005B63A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4" w:type="dxa"/>
          </w:tcPr>
          <w:p w14:paraId="7EB5D400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</w:tr>
      <w:tr w:rsidR="006C09B7" w14:paraId="1119E7EC" w14:textId="77777777" w:rsidTr="006C09B7">
        <w:tc>
          <w:tcPr>
            <w:tcW w:w="535" w:type="dxa"/>
            <w:vAlign w:val="center"/>
          </w:tcPr>
          <w:p w14:paraId="3F57C37C" w14:textId="18769F65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90" w:type="dxa"/>
          </w:tcPr>
          <w:p w14:paraId="3FB0F7B2" w14:textId="4604C073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proposal would not be considered controversial or result in significant reaction from stakeholders, the media or the public.</w:t>
            </w:r>
          </w:p>
        </w:tc>
        <w:tc>
          <w:tcPr>
            <w:tcW w:w="1161" w:type="dxa"/>
          </w:tcPr>
          <w:p w14:paraId="031B3299" w14:textId="7EBB6959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4" w:type="dxa"/>
          </w:tcPr>
          <w:p w14:paraId="4570BD45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</w:tr>
      <w:tr w:rsidR="006C09B7" w14:paraId="3A1D0D5B" w14:textId="77777777" w:rsidTr="006C09B7">
        <w:tc>
          <w:tcPr>
            <w:tcW w:w="535" w:type="dxa"/>
            <w:vAlign w:val="center"/>
          </w:tcPr>
          <w:p w14:paraId="22D2D264" w14:textId="19CD9E91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90" w:type="dxa"/>
          </w:tcPr>
          <w:p w14:paraId="29E309C6" w14:textId="24F33F5E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proposal would not result in a policy change.</w:t>
            </w:r>
          </w:p>
        </w:tc>
        <w:tc>
          <w:tcPr>
            <w:tcW w:w="1161" w:type="dxa"/>
          </w:tcPr>
          <w:p w14:paraId="05FABDE3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4" w:type="dxa"/>
          </w:tcPr>
          <w:p w14:paraId="7F534F7B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</w:tr>
      <w:tr w:rsidR="006C09B7" w14:paraId="7B3CD7DF" w14:textId="77777777" w:rsidTr="006C09B7">
        <w:tc>
          <w:tcPr>
            <w:tcW w:w="535" w:type="dxa"/>
            <w:vAlign w:val="center"/>
          </w:tcPr>
          <w:p w14:paraId="3CB0AF65" w14:textId="0048CEFC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90" w:type="dxa"/>
          </w:tcPr>
          <w:p w14:paraId="7A8C26BC" w14:textId="0CDE069F" w:rsidR="006C09B7" w:rsidRDefault="006C09B7" w:rsidP="00DF49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proposal would not result in new legal risks.</w:t>
            </w:r>
          </w:p>
        </w:tc>
        <w:tc>
          <w:tcPr>
            <w:tcW w:w="1161" w:type="dxa"/>
          </w:tcPr>
          <w:p w14:paraId="6DB6EC69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4" w:type="dxa"/>
          </w:tcPr>
          <w:p w14:paraId="1D986A90" w14:textId="77777777" w:rsidR="006C09B7" w:rsidRDefault="006C09B7" w:rsidP="00DF49A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E034A4F" w14:textId="77777777" w:rsidR="00DF49AA" w:rsidRPr="00DF49AA" w:rsidRDefault="00DF49AA" w:rsidP="00DF49AA">
      <w:pPr>
        <w:rPr>
          <w:rFonts w:ascii="Arial" w:hAnsi="Arial" w:cs="Arial"/>
          <w:lang w:val="en-US"/>
        </w:rPr>
      </w:pPr>
    </w:p>
    <w:p w14:paraId="496251BE" w14:textId="0F59B2D8" w:rsidR="00DF49AA" w:rsidRDefault="005B63A2" w:rsidP="00DF49AA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Annex 2: Examples of MAR amendments</w:t>
      </w:r>
    </w:p>
    <w:p w14:paraId="7F2ED0EC" w14:textId="600D52B9" w:rsidR="005B63A2" w:rsidRPr="005B63A2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7" w:history="1">
        <w:r w:rsidR="005B63A2" w:rsidRPr="005B63A2">
          <w:rPr>
            <w:rStyle w:val="Hyperlink"/>
          </w:rPr>
          <w:t>Canada Gazette, Part 2, Volume 155, Number 14: Regulations Amending the Canadian Aviation Regulations (Miscellaneous Program, 2021-1)</w:t>
        </w:r>
      </w:hyperlink>
    </w:p>
    <w:p w14:paraId="7A2B5AA5" w14:textId="09E6DEF0" w:rsidR="005B63A2" w:rsidRPr="005B63A2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8" w:history="1">
        <w:r w:rsidR="005B63A2" w:rsidRPr="005B63A2">
          <w:rPr>
            <w:rStyle w:val="Hyperlink"/>
          </w:rPr>
          <w:t>Canada Gazette, Part 2, Volume 155, Number 14: Regulations Amending the Freezing Assets of Corrupt Foreign Officials (Ukraine) Regulations (Miscellaneous Program)</w:t>
        </w:r>
      </w:hyperlink>
    </w:p>
    <w:p w14:paraId="790344BF" w14:textId="3FAA0328" w:rsidR="005B63A2" w:rsidRPr="00A2544C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9" w:history="1">
        <w:r w:rsidR="005B63A2">
          <w:rPr>
            <w:rStyle w:val="Hyperlink"/>
          </w:rPr>
          <w:t>Canada Gazette, Part 2, Volume 155, Number 13: Regulations Amending the Canada Grain Regulations (Miscellaneous Program)</w:t>
        </w:r>
      </w:hyperlink>
    </w:p>
    <w:p w14:paraId="7847D90A" w14:textId="35C22959" w:rsidR="00A2544C" w:rsidRPr="00A2544C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0" w:history="1">
        <w:r w:rsidR="00A2544C">
          <w:rPr>
            <w:rStyle w:val="Hyperlink"/>
          </w:rPr>
          <w:t>Canada Gazette, Part 2, Volume 155, Number 12: Regulations Repealing Certain Regulations Made Under the Pilotage Act (Tariff Regulations {|mdash|} Miscellaneous Program)</w:t>
        </w:r>
      </w:hyperlink>
    </w:p>
    <w:p w14:paraId="74B90043" w14:textId="30A9A52D" w:rsidR="00A2544C" w:rsidRPr="006C09B7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1" w:history="1">
        <w:r w:rsidR="006C09B7">
          <w:rPr>
            <w:rStyle w:val="Hyperlink"/>
          </w:rPr>
          <w:t>Canada Gazette, Part 2, Volume 155, Number 12: Regulations Amending the Quebec Fishery Regulations, 1990 (Miscellaneous Program)</w:t>
        </w:r>
      </w:hyperlink>
    </w:p>
    <w:p w14:paraId="77327F25" w14:textId="30F75FD1" w:rsidR="006C09B7" w:rsidRPr="006C09B7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2" w:history="1">
        <w:r w:rsidR="006C09B7">
          <w:rPr>
            <w:rStyle w:val="Hyperlink"/>
          </w:rPr>
          <w:t>Canada Gazette, Part 2, Volume 155, Number 10: Regulations Amending Certain Regulations Made Under the Canada Post Corporation Act (Miscellaneous Program)</w:t>
        </w:r>
      </w:hyperlink>
    </w:p>
    <w:p w14:paraId="1D23B583" w14:textId="65F7A0C4" w:rsidR="006C09B7" w:rsidRPr="006C09B7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3" w:history="1">
        <w:r w:rsidR="006C09B7">
          <w:rPr>
            <w:rStyle w:val="Hyperlink"/>
          </w:rPr>
          <w:t>Canada Gazette, Part 2, Volume 155, Number 7: Regulations Amending Certain Department of Health Regulations (Miscellaneous Program)</w:t>
        </w:r>
      </w:hyperlink>
    </w:p>
    <w:p w14:paraId="67DF7E0E" w14:textId="76E51A56" w:rsidR="006C09B7" w:rsidRPr="006C09B7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4" w:history="1">
        <w:r w:rsidR="006C09B7">
          <w:rPr>
            <w:rStyle w:val="Hyperlink"/>
          </w:rPr>
          <w:t>Canada Gazette, Part 2, Volume 155, Number 6: Regulations Amending the Assessable Activities, Exceptions and Executive Committee Projects Regulations (Miscellaneous Program)</w:t>
        </w:r>
      </w:hyperlink>
    </w:p>
    <w:p w14:paraId="4E3057B1" w14:textId="746775AC" w:rsidR="006C09B7" w:rsidRPr="006C09B7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5" w:history="1">
        <w:r w:rsidR="006C09B7">
          <w:rPr>
            <w:rStyle w:val="Hyperlink"/>
          </w:rPr>
          <w:t>Canada Gazette, Part 2, Volume 154, Number 24: Regulations Amending the Commercial Vehicle Drivers Hours of Service Regulations and a Related Amendment (Miscellaneous Program)</w:t>
        </w:r>
      </w:hyperlink>
    </w:p>
    <w:p w14:paraId="401A4716" w14:textId="62CEB79C" w:rsidR="006C09B7" w:rsidRPr="005B63A2" w:rsidRDefault="00CE6B6C" w:rsidP="005B63A2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  <w:lang w:val="en-US"/>
        </w:rPr>
      </w:pPr>
      <w:hyperlink r:id="rId16" w:history="1">
        <w:r w:rsidR="006C09B7">
          <w:rPr>
            <w:rStyle w:val="Hyperlink"/>
          </w:rPr>
          <w:t>Canada Gazette, Part 2, Volume 154, Number 24: Regulations Amending the Regulations Specifying Territories and Indicating International Registers (Miscellaneous Program)</w:t>
        </w:r>
      </w:hyperlink>
    </w:p>
    <w:sectPr w:rsidR="006C09B7" w:rsidRPr="005B6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B61C2" w14:textId="77777777" w:rsidR="005B63A2" w:rsidRDefault="005B63A2" w:rsidP="005B63A2">
      <w:pPr>
        <w:spacing w:after="0" w:line="240" w:lineRule="auto"/>
      </w:pPr>
      <w:r>
        <w:separator/>
      </w:r>
    </w:p>
  </w:endnote>
  <w:endnote w:type="continuationSeparator" w:id="0">
    <w:p w14:paraId="5F1FFDD4" w14:textId="77777777" w:rsidR="005B63A2" w:rsidRDefault="005B63A2" w:rsidP="005B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93BF" w14:textId="77777777" w:rsidR="005B63A2" w:rsidRDefault="005B63A2" w:rsidP="005B63A2">
      <w:pPr>
        <w:spacing w:after="0" w:line="240" w:lineRule="auto"/>
      </w:pPr>
      <w:r>
        <w:separator/>
      </w:r>
    </w:p>
  </w:footnote>
  <w:footnote w:type="continuationSeparator" w:id="0">
    <w:p w14:paraId="5BF2477F" w14:textId="77777777" w:rsidR="005B63A2" w:rsidRDefault="005B63A2" w:rsidP="005B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775C"/>
    <w:multiLevelType w:val="hybridMultilevel"/>
    <w:tmpl w:val="BBB83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506C"/>
    <w:multiLevelType w:val="multilevel"/>
    <w:tmpl w:val="EB3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A2F81"/>
    <w:multiLevelType w:val="multilevel"/>
    <w:tmpl w:val="449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C240D"/>
    <w:multiLevelType w:val="hybridMultilevel"/>
    <w:tmpl w:val="F1945CC4"/>
    <w:lvl w:ilvl="0" w:tplc="2FAC4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2D9"/>
    <w:multiLevelType w:val="hybridMultilevel"/>
    <w:tmpl w:val="61BE0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4959"/>
    <w:multiLevelType w:val="multilevel"/>
    <w:tmpl w:val="560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AA"/>
    <w:rsid w:val="001B65A4"/>
    <w:rsid w:val="002478B4"/>
    <w:rsid w:val="002C57D9"/>
    <w:rsid w:val="003664C1"/>
    <w:rsid w:val="005A76D4"/>
    <w:rsid w:val="005B63A2"/>
    <w:rsid w:val="00677111"/>
    <w:rsid w:val="00680D5E"/>
    <w:rsid w:val="006C09B7"/>
    <w:rsid w:val="00A2544C"/>
    <w:rsid w:val="00A6623F"/>
    <w:rsid w:val="00AA2940"/>
    <w:rsid w:val="00CE6B6C"/>
    <w:rsid w:val="00DF49AA"/>
    <w:rsid w:val="00EA081A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4EAB4F"/>
  <w15:chartTrackingRefBased/>
  <w15:docId w15:val="{16AC8562-BE00-48DF-B36B-A49661A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9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9AA"/>
    <w:pPr>
      <w:ind w:left="720"/>
      <w:contextualSpacing/>
    </w:pPr>
  </w:style>
  <w:style w:type="table" w:styleId="TableGrid">
    <w:name w:val="Table Grid"/>
    <w:basedOn w:val="TableNormal"/>
    <w:uiPriority w:val="39"/>
    <w:rsid w:val="001B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63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te.gc.ca/rp-pr/p2/2021/2021-07-07/html/sor-dors147-eng.html" TargetMode="External"/><Relationship Id="rId13" Type="http://schemas.openxmlformats.org/officeDocument/2006/relationships/hyperlink" Target="https://www.gazette.gc.ca/rp-pr/p2/2021/2021-03-31/html/sor-dors46-eng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ette.gc.ca/rp-pr/p2/2021/2021-07-07/html/sor-dors152-eng.html" TargetMode="External"/><Relationship Id="rId12" Type="http://schemas.openxmlformats.org/officeDocument/2006/relationships/hyperlink" Target="https://www.gazette.gc.ca/rp-pr/p2/2021/2021-05-12/html/sor-dors91-en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zette.gc.ca/rp-pr/p2/2020/2020-11-25/html/sor-dors239-en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zette.gc.ca/rp-pr/p2/2021/2021-06-09/html/sor-dors115-en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zette.gc.ca/rp-pr/p2/2020/2020-11-25/html/sor-dors240-eng.html" TargetMode="External"/><Relationship Id="rId10" Type="http://schemas.openxmlformats.org/officeDocument/2006/relationships/hyperlink" Target="https://www.gazette.gc.ca/rp-pr/p2/2021/2021-06-09/html/sor-dors119-e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ette.gc.ca/rp-pr/p2/2021/2021-06-23/html/sor-dors124-eng.html" TargetMode="External"/><Relationship Id="rId14" Type="http://schemas.openxmlformats.org/officeDocument/2006/relationships/hyperlink" Target="https://www.gazette.gc.ca/rp-pr/p2/2021/2021-03-17/html/sor-dors27-e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Jansz, Kimberly</dc:creator>
  <cp:keywords/>
  <dc:description/>
  <cp:lastModifiedBy>Adams, Chris</cp:lastModifiedBy>
  <cp:revision>3</cp:revision>
  <dcterms:created xsi:type="dcterms:W3CDTF">2021-10-04T13:38:00Z</dcterms:created>
  <dcterms:modified xsi:type="dcterms:W3CDTF">2021-10-05T20:52:00Z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2021-07-30T02:11:50Z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62528430-35c3-46a6-8da5-7cf2e216ec98</vt:lpwstr>
  </property>
  <property fmtid="{D5CDD505-2E9C-101B-9397-08002B2CF9AE}" pid="8" name="MSIP_Label_3515d617-256d-4284-aedb-1064be1c4b48_ContentBits">
    <vt:lpwstr>0</vt:lpwstr>
  </property>
</Properties>
</file>