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831B" w14:textId="7904BD22" w:rsidR="00CC1187" w:rsidRPr="000E73C2" w:rsidRDefault="00840A1A" w:rsidP="00CC1187">
      <w:pPr>
        <w:spacing w:after="120"/>
        <w:rPr>
          <w:rFonts w:ascii="Arial Bold" w:hAnsi="Arial Bold"/>
          <w:b/>
          <w:bCs/>
          <w:caps/>
          <w:sz w:val="28"/>
          <w:szCs w:val="28"/>
          <w:lang w:val="fr-CA"/>
        </w:rPr>
      </w:pPr>
      <w:bookmarkStart w:id="0" w:name="lt_pId000"/>
      <w:r w:rsidRPr="000E73C2">
        <w:rPr>
          <w:rFonts w:ascii="Arial Bold" w:hAnsi="Arial Bold"/>
          <w:b/>
          <w:bCs/>
          <w:caps/>
          <w:sz w:val="28"/>
          <w:szCs w:val="28"/>
          <w:lang w:val="fr-CA"/>
        </w:rPr>
        <w:t>MISE À JOUR SUR LA PROCHAINE GÉNÉRATION </w:t>
      </w:r>
      <w:r w:rsidR="00637ADC" w:rsidRPr="000E73C2">
        <w:rPr>
          <w:rFonts w:ascii="Arial Bold" w:hAnsi="Arial Bold"/>
          <w:b/>
          <w:bCs/>
          <w:caps/>
          <w:sz w:val="28"/>
          <w:szCs w:val="28"/>
          <w:lang w:val="fr-CA"/>
        </w:rPr>
        <w:t>:</w:t>
      </w:r>
      <w:bookmarkEnd w:id="0"/>
      <w:r w:rsidR="00637ADC" w:rsidRPr="000E73C2">
        <w:rPr>
          <w:rFonts w:ascii="Arial Bold" w:hAnsi="Arial Bold"/>
          <w:b/>
          <w:bCs/>
          <w:caps/>
          <w:sz w:val="28"/>
          <w:szCs w:val="28"/>
          <w:lang w:val="fr-CA"/>
        </w:rPr>
        <w:t xml:space="preserve"> </w:t>
      </w:r>
      <w:bookmarkStart w:id="1" w:name="lt_pId001"/>
      <w:r w:rsidRPr="000E73C2">
        <w:rPr>
          <w:rFonts w:ascii="Arial Bold" w:hAnsi="Arial Bold"/>
          <w:b/>
          <w:bCs/>
          <w:caps/>
          <w:sz w:val="28"/>
          <w:szCs w:val="28"/>
          <w:lang w:val="fr-CA"/>
        </w:rPr>
        <w:t xml:space="preserve">COMITÉ DES SOUS-MINISTRES </w:t>
      </w:r>
      <w:r w:rsidR="00445075" w:rsidRPr="000E73C2">
        <w:rPr>
          <w:rFonts w:ascii="Arial Bold" w:hAnsi="Arial Bold"/>
          <w:b/>
          <w:bCs/>
          <w:caps/>
          <w:sz w:val="28"/>
          <w:szCs w:val="28"/>
          <w:lang w:val="fr-CA"/>
        </w:rPr>
        <w:t>et</w:t>
      </w:r>
      <w:r w:rsidR="00637ADC" w:rsidRPr="000E73C2">
        <w:rPr>
          <w:rFonts w:ascii="Arial Bold" w:hAnsi="Arial Bold"/>
          <w:b/>
          <w:bCs/>
          <w:caps/>
          <w:sz w:val="28"/>
          <w:szCs w:val="28"/>
          <w:lang w:val="fr-CA"/>
        </w:rPr>
        <w:t xml:space="preserve"> </w:t>
      </w:r>
      <w:bookmarkEnd w:id="1"/>
      <w:r w:rsidR="00445075" w:rsidRPr="000E73C2">
        <w:rPr>
          <w:rFonts w:ascii="Arial Bold" w:hAnsi="Arial Bold"/>
          <w:b/>
          <w:bCs/>
          <w:caps/>
          <w:sz w:val="28"/>
          <w:szCs w:val="28"/>
          <w:lang w:val="fr-CA"/>
        </w:rPr>
        <w:t xml:space="preserve">le </w:t>
      </w:r>
      <w:r w:rsidR="00375DAC" w:rsidRPr="000E73C2">
        <w:rPr>
          <w:rFonts w:ascii="Arial Bold" w:hAnsi="Arial Bold"/>
          <w:b/>
          <w:bCs/>
          <w:caps/>
          <w:sz w:val="28"/>
          <w:szCs w:val="28"/>
          <w:lang w:val="fr-CA"/>
        </w:rPr>
        <w:t>CCGFP</w:t>
      </w:r>
    </w:p>
    <w:p w14:paraId="42B169FE" w14:textId="77777777" w:rsidR="00CC1187" w:rsidRPr="000E73C2" w:rsidRDefault="005A7E1A" w:rsidP="00CC1187">
      <w:pPr>
        <w:spacing w:after="120"/>
        <w:rPr>
          <w:rFonts w:ascii="Arial Bold" w:hAnsi="Arial Bold"/>
          <w:b/>
          <w:bCs/>
          <w:caps/>
          <w:sz w:val="14"/>
          <w:szCs w:val="14"/>
          <w:lang w:val="fr-CA"/>
        </w:rPr>
      </w:pPr>
    </w:p>
    <w:p w14:paraId="2B3BFE2E" w14:textId="77777777" w:rsidR="00CC1187" w:rsidRPr="000E73C2" w:rsidRDefault="00637ADC" w:rsidP="00CC1187">
      <w:pPr>
        <w:spacing w:after="120"/>
        <w:jc w:val="center"/>
        <w:rPr>
          <w:rFonts w:ascii="Arial" w:hAnsi="Arial" w:cs="Arial"/>
          <w:b/>
          <w:sz w:val="32"/>
          <w:szCs w:val="32"/>
          <w:u w:val="single"/>
          <w:lang w:val="fr-CA"/>
        </w:rPr>
      </w:pPr>
      <w:bookmarkStart w:id="2" w:name="lt_pId002"/>
      <w:r w:rsidRPr="000E73C2">
        <w:rPr>
          <w:rFonts w:ascii="Arial" w:hAnsi="Arial" w:cs="Arial"/>
          <w:b/>
          <w:sz w:val="32"/>
          <w:szCs w:val="32"/>
          <w:u w:val="single"/>
          <w:lang w:val="fr-CA"/>
        </w:rPr>
        <w:t>Notes d’allocution</w:t>
      </w:r>
      <w:bookmarkEnd w:id="2"/>
    </w:p>
    <w:p w14:paraId="3792FA6F" w14:textId="77777777" w:rsidR="00CC1187" w:rsidRPr="000E73C2" w:rsidRDefault="005A7E1A" w:rsidP="00CC1187">
      <w:pPr>
        <w:spacing w:after="120"/>
        <w:jc w:val="center"/>
        <w:rPr>
          <w:rFonts w:ascii="Arial" w:hAnsi="Arial" w:cs="Arial"/>
          <w:b/>
          <w:sz w:val="32"/>
          <w:szCs w:val="32"/>
          <w:u w:val="single"/>
          <w:lang w:val="fr-CA" w:eastAsia="en-CA"/>
        </w:rPr>
      </w:pPr>
    </w:p>
    <w:p w14:paraId="1C9E585B" w14:textId="5945EFF0" w:rsidR="003A21D0" w:rsidRPr="000E73C2" w:rsidRDefault="00B62122" w:rsidP="00CC1187">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 xml:space="preserve">Comme vous le savez tous, une </w:t>
      </w:r>
      <w:r w:rsidR="000E73C2" w:rsidRPr="000E73C2">
        <w:rPr>
          <w:rFonts w:ascii="Arial" w:hAnsi="Arial" w:cs="Arial"/>
          <w:sz w:val="32"/>
          <w:szCs w:val="32"/>
          <w:lang w:val="fr-CA"/>
        </w:rPr>
        <w:t>é</w:t>
      </w:r>
      <w:r w:rsidRPr="000E73C2">
        <w:rPr>
          <w:rFonts w:ascii="Arial" w:hAnsi="Arial" w:cs="Arial"/>
          <w:sz w:val="32"/>
          <w:szCs w:val="32"/>
          <w:lang w:val="fr-CA"/>
        </w:rPr>
        <w:t>quipe des RH et de la paye de la prochaine génération</w:t>
      </w:r>
      <w:r w:rsidR="00445075" w:rsidRPr="000E73C2">
        <w:rPr>
          <w:rFonts w:ascii="Arial" w:hAnsi="Arial" w:cs="Arial"/>
          <w:sz w:val="32"/>
          <w:szCs w:val="32"/>
          <w:lang w:val="fr-CA"/>
        </w:rPr>
        <w:t xml:space="preserve"> (ProGen)</w:t>
      </w:r>
      <w:r w:rsidRPr="000E73C2">
        <w:rPr>
          <w:rFonts w:ascii="Arial" w:hAnsi="Arial" w:cs="Arial"/>
          <w:sz w:val="32"/>
          <w:szCs w:val="32"/>
          <w:lang w:val="fr-CA"/>
        </w:rPr>
        <w:t xml:space="preserve"> travaille </w:t>
      </w:r>
      <w:r w:rsidR="00D320B0" w:rsidRPr="000E73C2">
        <w:rPr>
          <w:rFonts w:ascii="Arial" w:hAnsi="Arial" w:cs="Arial"/>
          <w:sz w:val="32"/>
          <w:szCs w:val="32"/>
          <w:lang w:val="fr-CA"/>
        </w:rPr>
        <w:t>actuellement</w:t>
      </w:r>
      <w:r w:rsidRPr="000E73C2">
        <w:rPr>
          <w:rFonts w:ascii="Arial" w:hAnsi="Arial" w:cs="Arial"/>
          <w:sz w:val="32"/>
          <w:szCs w:val="32"/>
          <w:lang w:val="fr-CA"/>
        </w:rPr>
        <w:t xml:space="preserve"> </w:t>
      </w:r>
      <w:r w:rsidR="00D320B0" w:rsidRPr="000E73C2">
        <w:rPr>
          <w:rFonts w:ascii="Arial" w:hAnsi="Arial" w:cs="Arial"/>
          <w:sz w:val="32"/>
          <w:szCs w:val="32"/>
          <w:lang w:val="fr-CA"/>
        </w:rPr>
        <w:t>dans le but de</w:t>
      </w:r>
      <w:r w:rsidRPr="000E73C2">
        <w:rPr>
          <w:rFonts w:ascii="Arial" w:hAnsi="Arial" w:cs="Arial"/>
          <w:sz w:val="32"/>
          <w:szCs w:val="32"/>
          <w:lang w:val="fr-CA"/>
        </w:rPr>
        <w:t xml:space="preserve"> cerner des options pour</w:t>
      </w:r>
      <w:r w:rsidR="00D320B0" w:rsidRPr="000E73C2">
        <w:rPr>
          <w:rFonts w:ascii="Arial" w:hAnsi="Arial" w:cs="Arial"/>
          <w:sz w:val="32"/>
          <w:szCs w:val="32"/>
          <w:lang w:val="fr-CA"/>
        </w:rPr>
        <w:t xml:space="preserve"> trouver</w:t>
      </w:r>
      <w:r w:rsidRPr="000E73C2">
        <w:rPr>
          <w:rFonts w:ascii="Arial" w:hAnsi="Arial" w:cs="Arial"/>
          <w:sz w:val="32"/>
          <w:szCs w:val="32"/>
          <w:lang w:val="fr-CA"/>
        </w:rPr>
        <w:t xml:space="preserve"> une solution de rechange,</w:t>
      </w:r>
      <w:r w:rsidR="006C32ED" w:rsidRPr="000E73C2">
        <w:rPr>
          <w:rFonts w:ascii="Arial" w:hAnsi="Arial" w:cs="Arial"/>
          <w:sz w:val="32"/>
          <w:szCs w:val="32"/>
          <w:lang w:val="fr-CA"/>
        </w:rPr>
        <w:t xml:space="preserve"> </w:t>
      </w:r>
      <w:r w:rsidRPr="000E73C2">
        <w:rPr>
          <w:rFonts w:ascii="Arial" w:hAnsi="Arial" w:cs="Arial"/>
          <w:sz w:val="32"/>
          <w:szCs w:val="32"/>
          <w:lang w:val="fr-CA"/>
        </w:rPr>
        <w:t>à long terme</w:t>
      </w:r>
      <w:r w:rsidR="00D320B0" w:rsidRPr="000E73C2">
        <w:rPr>
          <w:rFonts w:ascii="Arial" w:hAnsi="Arial" w:cs="Arial"/>
          <w:sz w:val="32"/>
          <w:szCs w:val="32"/>
          <w:lang w:val="fr-CA"/>
        </w:rPr>
        <w:t>,</w:t>
      </w:r>
      <w:r w:rsidRPr="000E73C2">
        <w:rPr>
          <w:rFonts w:ascii="Arial" w:hAnsi="Arial" w:cs="Arial"/>
          <w:sz w:val="32"/>
          <w:szCs w:val="32"/>
          <w:lang w:val="fr-CA"/>
        </w:rPr>
        <w:t xml:space="preserve"> et durable </w:t>
      </w:r>
      <w:r w:rsidR="00445075" w:rsidRPr="000E73C2">
        <w:rPr>
          <w:rFonts w:ascii="Arial" w:hAnsi="Arial" w:cs="Arial"/>
          <w:sz w:val="32"/>
          <w:szCs w:val="32"/>
          <w:lang w:val="fr-CA"/>
        </w:rPr>
        <w:t xml:space="preserve">afin de </w:t>
      </w:r>
      <w:r w:rsidRPr="000E73C2">
        <w:rPr>
          <w:rFonts w:ascii="Arial" w:hAnsi="Arial" w:cs="Arial"/>
          <w:sz w:val="32"/>
          <w:szCs w:val="32"/>
          <w:lang w:val="fr-CA"/>
        </w:rPr>
        <w:t>remplacer Ph</w:t>
      </w:r>
      <w:r w:rsidR="002A7AF2" w:rsidRPr="000E73C2">
        <w:rPr>
          <w:rFonts w:ascii="Arial" w:hAnsi="Arial" w:cs="Arial"/>
          <w:sz w:val="32"/>
          <w:szCs w:val="32"/>
          <w:lang w:val="fr-CA"/>
        </w:rPr>
        <w:t>é</w:t>
      </w:r>
      <w:r w:rsidRPr="000E73C2">
        <w:rPr>
          <w:rFonts w:ascii="Arial" w:hAnsi="Arial" w:cs="Arial"/>
          <w:sz w:val="32"/>
          <w:szCs w:val="32"/>
          <w:lang w:val="fr-CA"/>
        </w:rPr>
        <w:t>nix.</w:t>
      </w:r>
    </w:p>
    <w:p w14:paraId="01B06158" w14:textId="469E4188" w:rsidR="003A21D0" w:rsidRPr="000E73C2" w:rsidRDefault="00B62122" w:rsidP="00CC1187">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L</w:t>
      </w:r>
      <w:r w:rsidR="00E12C2C" w:rsidRPr="000E73C2">
        <w:rPr>
          <w:rFonts w:ascii="Arial" w:hAnsi="Arial" w:cs="Arial"/>
          <w:sz w:val="32"/>
          <w:szCs w:val="32"/>
          <w:lang w:val="fr-CA"/>
        </w:rPr>
        <w:t>’</w:t>
      </w:r>
      <w:r w:rsidR="000E73C2" w:rsidRPr="000E73C2">
        <w:rPr>
          <w:rFonts w:ascii="Arial" w:hAnsi="Arial" w:cs="Arial"/>
          <w:sz w:val="32"/>
          <w:szCs w:val="32"/>
          <w:lang w:val="fr-CA"/>
        </w:rPr>
        <w:t>é</w:t>
      </w:r>
      <w:r w:rsidRPr="000E73C2">
        <w:rPr>
          <w:rFonts w:ascii="Arial" w:hAnsi="Arial" w:cs="Arial"/>
          <w:sz w:val="32"/>
          <w:szCs w:val="32"/>
          <w:lang w:val="fr-CA"/>
        </w:rPr>
        <w:t>quipe a travaillé d</w:t>
      </w:r>
      <w:r w:rsidR="00E12C2C" w:rsidRPr="000E73C2">
        <w:rPr>
          <w:rFonts w:ascii="Arial" w:hAnsi="Arial" w:cs="Arial"/>
          <w:sz w:val="32"/>
          <w:szCs w:val="32"/>
          <w:lang w:val="fr-CA"/>
        </w:rPr>
        <w:t>’</w:t>
      </w:r>
      <w:r w:rsidRPr="000E73C2">
        <w:rPr>
          <w:rFonts w:ascii="Arial" w:hAnsi="Arial" w:cs="Arial"/>
          <w:sz w:val="32"/>
          <w:szCs w:val="32"/>
          <w:lang w:val="fr-CA"/>
        </w:rPr>
        <w:t>arrache-pied à l</w:t>
      </w:r>
      <w:r w:rsidR="00E12C2C" w:rsidRPr="000E73C2">
        <w:rPr>
          <w:rFonts w:ascii="Arial" w:hAnsi="Arial" w:cs="Arial"/>
          <w:sz w:val="32"/>
          <w:szCs w:val="32"/>
          <w:lang w:val="fr-CA"/>
        </w:rPr>
        <w:t>’</w:t>
      </w:r>
      <w:r w:rsidRPr="000E73C2">
        <w:rPr>
          <w:rFonts w:ascii="Arial" w:hAnsi="Arial" w:cs="Arial"/>
          <w:sz w:val="32"/>
          <w:szCs w:val="32"/>
          <w:lang w:val="fr-CA"/>
        </w:rPr>
        <w:t>élaboration d</w:t>
      </w:r>
      <w:r w:rsidR="00E12C2C" w:rsidRPr="000E73C2">
        <w:rPr>
          <w:rFonts w:ascii="Arial" w:hAnsi="Arial" w:cs="Arial"/>
          <w:sz w:val="32"/>
          <w:szCs w:val="32"/>
          <w:lang w:val="fr-CA"/>
        </w:rPr>
        <w:t>’</w:t>
      </w:r>
      <w:r w:rsidRPr="000E73C2">
        <w:rPr>
          <w:rFonts w:ascii="Arial" w:hAnsi="Arial" w:cs="Arial"/>
          <w:sz w:val="32"/>
          <w:szCs w:val="32"/>
          <w:lang w:val="fr-CA"/>
        </w:rPr>
        <w:t>une nouvelle approche souple, en collaboration avec les utilisateurs et les intervenants, et en tirant des leçons d</w:t>
      </w:r>
      <w:r w:rsidR="00E12C2C" w:rsidRPr="000E73C2">
        <w:rPr>
          <w:rFonts w:ascii="Arial" w:hAnsi="Arial" w:cs="Arial"/>
          <w:sz w:val="32"/>
          <w:szCs w:val="32"/>
          <w:lang w:val="fr-CA"/>
        </w:rPr>
        <w:t>’</w:t>
      </w:r>
      <w:r w:rsidRPr="000E73C2">
        <w:rPr>
          <w:rFonts w:ascii="Arial" w:hAnsi="Arial" w:cs="Arial"/>
          <w:sz w:val="32"/>
          <w:szCs w:val="32"/>
          <w:lang w:val="fr-CA"/>
        </w:rPr>
        <w:t>organisations et d</w:t>
      </w:r>
      <w:r w:rsidR="00E12C2C" w:rsidRPr="000E73C2">
        <w:rPr>
          <w:rFonts w:ascii="Arial" w:hAnsi="Arial" w:cs="Arial"/>
          <w:sz w:val="32"/>
          <w:szCs w:val="32"/>
          <w:lang w:val="fr-CA"/>
        </w:rPr>
        <w:t>’</w:t>
      </w:r>
      <w:r w:rsidRPr="000E73C2">
        <w:rPr>
          <w:rFonts w:ascii="Arial" w:hAnsi="Arial" w:cs="Arial"/>
          <w:sz w:val="32"/>
          <w:szCs w:val="32"/>
          <w:lang w:val="fr-CA"/>
        </w:rPr>
        <w:t>industries semblables afin d</w:t>
      </w:r>
      <w:r w:rsidR="00E12C2C" w:rsidRPr="000E73C2">
        <w:rPr>
          <w:rFonts w:ascii="Arial" w:hAnsi="Arial" w:cs="Arial"/>
          <w:sz w:val="32"/>
          <w:szCs w:val="32"/>
          <w:lang w:val="fr-CA"/>
        </w:rPr>
        <w:t>’</w:t>
      </w:r>
      <w:r w:rsidRPr="000E73C2">
        <w:rPr>
          <w:rFonts w:ascii="Arial" w:hAnsi="Arial" w:cs="Arial"/>
          <w:sz w:val="32"/>
          <w:szCs w:val="32"/>
          <w:lang w:val="fr-CA"/>
        </w:rPr>
        <w:t>offrir une solution qui tient compte des besoins des fonctionnaires et des entreprises du gouvernement du Canada.</w:t>
      </w:r>
    </w:p>
    <w:p w14:paraId="66932EFB" w14:textId="4EFB82E9" w:rsidR="007759A2" w:rsidRPr="000E73C2" w:rsidRDefault="00B62122" w:rsidP="007759A2">
      <w:pPr>
        <w:pStyle w:val="ListParagraph"/>
        <w:numPr>
          <w:ilvl w:val="0"/>
          <w:numId w:val="2"/>
        </w:numPr>
        <w:spacing w:after="120"/>
        <w:rPr>
          <w:rFonts w:ascii="Arial" w:hAnsi="Arial" w:cs="Arial"/>
          <w:sz w:val="32"/>
          <w:szCs w:val="32"/>
          <w:lang w:val="fr-CA"/>
        </w:rPr>
      </w:pPr>
      <w:r w:rsidRPr="000E73C2">
        <w:rPr>
          <w:rFonts w:ascii="Arial" w:hAnsi="Arial" w:cs="Arial"/>
          <w:color w:val="000000"/>
          <w:sz w:val="32"/>
          <w:szCs w:val="22"/>
          <w:lang w:val="fr-CA"/>
        </w:rPr>
        <w:t>En adoptant une approche agile, au lieu d</w:t>
      </w:r>
      <w:r w:rsidR="00E12C2C" w:rsidRPr="000E73C2">
        <w:rPr>
          <w:rFonts w:ascii="Arial" w:hAnsi="Arial" w:cs="Arial"/>
          <w:color w:val="000000"/>
          <w:sz w:val="32"/>
          <w:szCs w:val="22"/>
          <w:lang w:val="fr-CA"/>
        </w:rPr>
        <w:t>’</w:t>
      </w:r>
      <w:r w:rsidRPr="000E73C2">
        <w:rPr>
          <w:rFonts w:ascii="Arial" w:hAnsi="Arial" w:cs="Arial"/>
          <w:color w:val="000000"/>
          <w:sz w:val="32"/>
          <w:szCs w:val="22"/>
          <w:lang w:val="fr-CA"/>
        </w:rPr>
        <w:t>un processus long et long, l</w:t>
      </w:r>
      <w:r w:rsidR="00E12C2C" w:rsidRPr="000E73C2">
        <w:rPr>
          <w:rFonts w:ascii="Arial" w:hAnsi="Arial" w:cs="Arial"/>
          <w:color w:val="000000"/>
          <w:sz w:val="32"/>
          <w:szCs w:val="22"/>
          <w:lang w:val="fr-CA"/>
        </w:rPr>
        <w:t>’</w:t>
      </w:r>
      <w:r w:rsidR="000E73C2" w:rsidRPr="000E73C2">
        <w:rPr>
          <w:rFonts w:ascii="Arial" w:hAnsi="Arial" w:cs="Arial"/>
          <w:color w:val="000000"/>
          <w:sz w:val="32"/>
          <w:szCs w:val="22"/>
          <w:lang w:val="fr-CA"/>
        </w:rPr>
        <w:t>É</w:t>
      </w:r>
      <w:r w:rsidRPr="000E73C2">
        <w:rPr>
          <w:rFonts w:ascii="Arial" w:hAnsi="Arial" w:cs="Arial"/>
          <w:color w:val="000000"/>
          <w:sz w:val="32"/>
          <w:szCs w:val="22"/>
          <w:lang w:val="fr-CA"/>
        </w:rPr>
        <w:t xml:space="preserve">quipe ProGen est en mesure de travailler dans des sprints plus petits et plus rapides, offrant la </w:t>
      </w:r>
      <w:r w:rsidR="000869A7" w:rsidRPr="000E73C2">
        <w:rPr>
          <w:rFonts w:ascii="Arial" w:hAnsi="Arial" w:cs="Arial"/>
          <w:color w:val="000000"/>
          <w:sz w:val="32"/>
          <w:szCs w:val="22"/>
          <w:lang w:val="fr-CA"/>
        </w:rPr>
        <w:t xml:space="preserve">souplesse </w:t>
      </w:r>
      <w:r w:rsidRPr="000E73C2">
        <w:rPr>
          <w:rFonts w:ascii="Arial" w:hAnsi="Arial" w:cs="Arial"/>
          <w:color w:val="000000"/>
          <w:sz w:val="32"/>
          <w:szCs w:val="22"/>
          <w:lang w:val="fr-CA"/>
        </w:rPr>
        <w:t>nécessaire pour s</w:t>
      </w:r>
      <w:r w:rsidR="00E12C2C" w:rsidRPr="000E73C2">
        <w:rPr>
          <w:rFonts w:ascii="Arial" w:hAnsi="Arial" w:cs="Arial"/>
          <w:color w:val="000000"/>
          <w:sz w:val="32"/>
          <w:szCs w:val="22"/>
          <w:lang w:val="fr-CA"/>
        </w:rPr>
        <w:t>’</w:t>
      </w:r>
      <w:r w:rsidRPr="000E73C2">
        <w:rPr>
          <w:rFonts w:ascii="Arial" w:hAnsi="Arial" w:cs="Arial"/>
          <w:color w:val="000000"/>
          <w:sz w:val="32"/>
          <w:szCs w:val="22"/>
          <w:lang w:val="fr-CA"/>
        </w:rPr>
        <w:t xml:space="preserve">adapter à mesure que les fournisseurs nous montrent ce qui est disponible et possible. Cette approche est </w:t>
      </w:r>
      <w:r w:rsidR="000869A7" w:rsidRPr="000E73C2">
        <w:rPr>
          <w:rFonts w:ascii="Arial" w:hAnsi="Arial" w:cs="Arial"/>
          <w:color w:val="000000"/>
          <w:sz w:val="32"/>
          <w:szCs w:val="22"/>
          <w:lang w:val="fr-CA"/>
        </w:rPr>
        <w:t>souple</w:t>
      </w:r>
      <w:r w:rsidRPr="000E73C2">
        <w:rPr>
          <w:rFonts w:ascii="Arial" w:hAnsi="Arial" w:cs="Arial"/>
          <w:color w:val="000000"/>
          <w:sz w:val="32"/>
          <w:szCs w:val="22"/>
          <w:lang w:val="fr-CA"/>
        </w:rPr>
        <w:t>, itérative et nous permet de travailler directement avec l</w:t>
      </w:r>
      <w:r w:rsidR="00E12C2C" w:rsidRPr="000E73C2">
        <w:rPr>
          <w:rFonts w:ascii="Arial" w:hAnsi="Arial" w:cs="Arial"/>
          <w:color w:val="000000"/>
          <w:sz w:val="32"/>
          <w:szCs w:val="22"/>
          <w:lang w:val="fr-CA"/>
        </w:rPr>
        <w:t>’</w:t>
      </w:r>
      <w:r w:rsidRPr="000E73C2">
        <w:rPr>
          <w:rFonts w:ascii="Arial" w:hAnsi="Arial" w:cs="Arial"/>
          <w:color w:val="000000"/>
          <w:sz w:val="32"/>
          <w:szCs w:val="22"/>
          <w:lang w:val="fr-CA"/>
        </w:rPr>
        <w:t>industrie avant de trouver une solution.</w:t>
      </w:r>
    </w:p>
    <w:p w14:paraId="377E2E00" w14:textId="63541525" w:rsidR="00CC1187" w:rsidRPr="000E73C2" w:rsidRDefault="00B62122" w:rsidP="00CC1187">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 xml:space="preserve">Le processus agile est appuyé par une approche à trois volets qui a été lancée en octobre dernier afin de déterminer une liste de fournisseurs qualifiés avec lesquels le </w:t>
      </w:r>
      <w:r w:rsidR="000869A7" w:rsidRPr="000E73C2">
        <w:rPr>
          <w:rFonts w:ascii="Arial" w:hAnsi="Arial" w:cs="Arial"/>
          <w:sz w:val="32"/>
          <w:lang w:val="fr-CA"/>
        </w:rPr>
        <w:t>gouvernement du Canada (</w:t>
      </w:r>
      <w:r w:rsidRPr="000E73C2">
        <w:rPr>
          <w:rFonts w:ascii="Arial" w:hAnsi="Arial" w:cs="Arial"/>
          <w:sz w:val="32"/>
          <w:lang w:val="fr-CA"/>
        </w:rPr>
        <w:t>GC</w:t>
      </w:r>
      <w:r w:rsidR="000869A7" w:rsidRPr="000E73C2">
        <w:rPr>
          <w:rFonts w:ascii="Arial" w:hAnsi="Arial" w:cs="Arial"/>
          <w:sz w:val="32"/>
          <w:lang w:val="fr-CA"/>
        </w:rPr>
        <w:t>)</w:t>
      </w:r>
      <w:r w:rsidRPr="000E73C2">
        <w:rPr>
          <w:rFonts w:ascii="Arial" w:hAnsi="Arial" w:cs="Arial"/>
          <w:sz w:val="32"/>
          <w:lang w:val="fr-CA"/>
        </w:rPr>
        <w:t xml:space="preserve"> peut travailler en partenariat.</w:t>
      </w:r>
    </w:p>
    <w:p w14:paraId="7EB7862B" w14:textId="44FE95F5" w:rsidR="00CC1187" w:rsidRPr="000E73C2" w:rsidRDefault="00637ADC" w:rsidP="00CC1187">
      <w:pPr>
        <w:pStyle w:val="ListParagraph"/>
        <w:numPr>
          <w:ilvl w:val="0"/>
          <w:numId w:val="2"/>
        </w:numPr>
        <w:spacing w:after="120"/>
        <w:rPr>
          <w:rFonts w:ascii="Arial" w:hAnsi="Arial" w:cs="Arial"/>
          <w:sz w:val="32"/>
          <w:szCs w:val="32"/>
          <w:lang w:val="fr-CA"/>
        </w:rPr>
      </w:pPr>
      <w:bookmarkStart w:id="3" w:name="lt_pId008"/>
      <w:r w:rsidRPr="000E73C2">
        <w:rPr>
          <w:rFonts w:ascii="Arial" w:hAnsi="Arial" w:cs="Arial"/>
          <w:sz w:val="32"/>
          <w:szCs w:val="32"/>
          <w:lang w:val="fr-CA"/>
        </w:rPr>
        <w:t xml:space="preserve">Au cours de la première phase, une équipe multidisciplinaire d’évaluateurs a dépouillé la documentation associée aux soumissions afin de déterminer </w:t>
      </w:r>
      <w:r w:rsidR="00EE0C92" w:rsidRPr="000E73C2">
        <w:rPr>
          <w:rFonts w:ascii="Arial" w:hAnsi="Arial" w:cs="Arial"/>
          <w:sz w:val="32"/>
          <w:szCs w:val="32"/>
          <w:lang w:val="fr-CA"/>
        </w:rPr>
        <w:t xml:space="preserve">la façon dont </w:t>
      </w:r>
      <w:r w:rsidRPr="000E73C2">
        <w:rPr>
          <w:rFonts w:ascii="Arial" w:hAnsi="Arial" w:cs="Arial"/>
          <w:sz w:val="32"/>
          <w:szCs w:val="32"/>
          <w:lang w:val="fr-CA"/>
        </w:rPr>
        <w:t xml:space="preserve">les solutions des fournisseurs s’harmonisaient avec les normes </w:t>
      </w:r>
      <w:r w:rsidR="000E73C2" w:rsidRPr="000E73C2">
        <w:rPr>
          <w:rFonts w:ascii="Arial" w:hAnsi="Arial" w:cs="Arial"/>
          <w:sz w:val="32"/>
          <w:szCs w:val="32"/>
          <w:lang w:val="fr-CA"/>
        </w:rPr>
        <w:t xml:space="preserve">relatives au </w:t>
      </w:r>
      <w:r w:rsidRPr="000E73C2">
        <w:rPr>
          <w:rFonts w:ascii="Arial" w:hAnsi="Arial" w:cs="Arial"/>
          <w:sz w:val="32"/>
          <w:szCs w:val="32"/>
          <w:lang w:val="fr-CA"/>
        </w:rPr>
        <w:t>numérique du GC, comme l’informatique en nuage d’abord, et les capacités opérationnelles, comme le droit de propriété sur la propriété intellectuelle.</w:t>
      </w:r>
      <w:bookmarkEnd w:id="3"/>
      <w:r w:rsidRPr="000E73C2">
        <w:rPr>
          <w:rFonts w:ascii="Arial" w:hAnsi="Arial" w:cs="Arial"/>
          <w:sz w:val="32"/>
          <w:szCs w:val="32"/>
          <w:lang w:val="fr-CA"/>
        </w:rPr>
        <w:t xml:space="preserve"> </w:t>
      </w:r>
    </w:p>
    <w:p w14:paraId="61A32D75" w14:textId="29110A8E" w:rsidR="00CC1187" w:rsidRPr="000E73C2" w:rsidRDefault="00637ADC" w:rsidP="00CC1187">
      <w:pPr>
        <w:pStyle w:val="ListParagraph"/>
        <w:numPr>
          <w:ilvl w:val="0"/>
          <w:numId w:val="2"/>
        </w:numPr>
        <w:spacing w:after="120"/>
        <w:rPr>
          <w:rFonts w:ascii="Arial" w:hAnsi="Arial" w:cs="Arial"/>
          <w:sz w:val="32"/>
          <w:szCs w:val="32"/>
          <w:lang w:val="fr-CA"/>
        </w:rPr>
      </w:pPr>
      <w:bookmarkStart w:id="4" w:name="lt_pId009"/>
      <w:r w:rsidRPr="000E73C2">
        <w:rPr>
          <w:rFonts w:ascii="Arial" w:hAnsi="Arial" w:cs="Arial"/>
          <w:sz w:val="32"/>
          <w:szCs w:val="32"/>
          <w:lang w:val="fr-CA"/>
        </w:rPr>
        <w:t>La deuxième phase, qui n’est pas encore terminée, a permis d’évaluer les solutions possibles en fonction des éléments suivants</w:t>
      </w:r>
      <w:r w:rsidR="002357A1" w:rsidRPr="000E73C2">
        <w:rPr>
          <w:rFonts w:ascii="Arial" w:hAnsi="Arial" w:cs="Arial"/>
          <w:sz w:val="32"/>
          <w:szCs w:val="32"/>
          <w:lang w:val="fr-CA"/>
        </w:rPr>
        <w:t> </w:t>
      </w:r>
      <w:r w:rsidRPr="000E73C2">
        <w:rPr>
          <w:rFonts w:ascii="Arial" w:hAnsi="Arial" w:cs="Arial"/>
          <w:sz w:val="32"/>
          <w:szCs w:val="32"/>
          <w:lang w:val="fr-CA"/>
        </w:rPr>
        <w:t>: l’expérience et les capacités des utilisateurs, ainsi que les résultats obtenus; l’architecture, la maturité technique et la robustesse de la solution; et la mise en œuvre, le soutien, l’accessibilité et l’expérience des partenaires.</w:t>
      </w:r>
      <w:bookmarkEnd w:id="4"/>
      <w:r w:rsidRPr="000E73C2">
        <w:rPr>
          <w:rFonts w:ascii="Arial" w:hAnsi="Arial" w:cs="Arial"/>
          <w:sz w:val="32"/>
          <w:szCs w:val="32"/>
          <w:lang w:val="fr-CA"/>
        </w:rPr>
        <w:t xml:space="preserve"> </w:t>
      </w:r>
      <w:bookmarkStart w:id="5" w:name="lt_pId010"/>
      <w:r w:rsidRPr="000E73C2">
        <w:rPr>
          <w:rFonts w:ascii="Arial" w:hAnsi="Arial" w:cs="Arial"/>
          <w:sz w:val="32"/>
          <w:szCs w:val="32"/>
          <w:lang w:val="fr-CA"/>
        </w:rPr>
        <w:t>Les évaluations de la deuxième phase ont été dictées par des essais stratégiques visant à mettre les fournisseurs au défi en temps réel.</w:t>
      </w:r>
      <w:bookmarkEnd w:id="5"/>
      <w:r w:rsidRPr="000E73C2">
        <w:rPr>
          <w:rFonts w:ascii="Arial" w:hAnsi="Arial" w:cs="Arial"/>
          <w:sz w:val="32"/>
          <w:szCs w:val="32"/>
          <w:lang w:val="fr-CA"/>
        </w:rPr>
        <w:t xml:space="preserve"> </w:t>
      </w:r>
      <w:bookmarkStart w:id="6" w:name="lt_pId011"/>
      <w:r w:rsidRPr="000E73C2">
        <w:rPr>
          <w:rFonts w:ascii="Arial" w:hAnsi="Arial" w:cs="Arial"/>
          <w:sz w:val="32"/>
          <w:szCs w:val="32"/>
          <w:lang w:val="fr-CA"/>
        </w:rPr>
        <w:t>Dans cet esprit, 260</w:t>
      </w:r>
      <w:r w:rsidR="00D320B0" w:rsidRPr="000E73C2">
        <w:rPr>
          <w:rFonts w:ascii="Arial" w:hAnsi="Arial" w:cs="Arial"/>
          <w:sz w:val="32"/>
          <w:szCs w:val="32"/>
          <w:lang w:val="fr-CA"/>
        </w:rPr>
        <w:t> </w:t>
      </w:r>
      <w:r w:rsidRPr="000E73C2">
        <w:rPr>
          <w:rFonts w:ascii="Arial" w:hAnsi="Arial" w:cs="Arial"/>
          <w:sz w:val="32"/>
          <w:szCs w:val="32"/>
          <w:lang w:val="fr-CA"/>
        </w:rPr>
        <w:t>fonctionnaires provenant d’un océan à l’autre, ainsi que 60</w:t>
      </w:r>
      <w:r w:rsidR="00D320B0" w:rsidRPr="000E73C2">
        <w:rPr>
          <w:rFonts w:ascii="Arial" w:hAnsi="Arial" w:cs="Arial"/>
          <w:sz w:val="32"/>
          <w:szCs w:val="32"/>
          <w:lang w:val="fr-CA"/>
        </w:rPr>
        <w:t> </w:t>
      </w:r>
      <w:r w:rsidRPr="000E73C2">
        <w:rPr>
          <w:rFonts w:ascii="Arial" w:hAnsi="Arial" w:cs="Arial"/>
          <w:sz w:val="32"/>
          <w:szCs w:val="32"/>
          <w:lang w:val="fr-CA"/>
        </w:rPr>
        <w:t>experts en la matière, ont été invités à mettre les options à l’essai.</w:t>
      </w:r>
      <w:bookmarkEnd w:id="6"/>
    </w:p>
    <w:p w14:paraId="4C13DBDD" w14:textId="5ABC3294" w:rsidR="006309DB" w:rsidRPr="000E73C2" w:rsidRDefault="00637ADC" w:rsidP="00CC1187">
      <w:pPr>
        <w:pStyle w:val="ListParagraph"/>
        <w:numPr>
          <w:ilvl w:val="0"/>
          <w:numId w:val="2"/>
        </w:numPr>
        <w:spacing w:after="120"/>
        <w:rPr>
          <w:rFonts w:ascii="Arial" w:hAnsi="Arial" w:cs="Arial"/>
          <w:sz w:val="32"/>
          <w:szCs w:val="32"/>
          <w:lang w:val="fr-CA"/>
        </w:rPr>
      </w:pPr>
      <w:bookmarkStart w:id="7" w:name="lt_pId012"/>
      <w:r w:rsidRPr="000E73C2">
        <w:rPr>
          <w:rFonts w:ascii="Arial" w:hAnsi="Arial" w:cs="Arial"/>
          <w:sz w:val="32"/>
          <w:szCs w:val="32"/>
          <w:lang w:val="fr-CA"/>
        </w:rPr>
        <w:lastRenderedPageBreak/>
        <w:t>Avec la fin de la deuxième phase le 4</w:t>
      </w:r>
      <w:r w:rsidR="00D320B0" w:rsidRPr="000E73C2">
        <w:rPr>
          <w:rFonts w:ascii="Arial" w:hAnsi="Arial" w:cs="Arial"/>
          <w:sz w:val="32"/>
          <w:szCs w:val="32"/>
          <w:lang w:val="fr-CA"/>
        </w:rPr>
        <w:t> </w:t>
      </w:r>
      <w:r w:rsidRPr="000E73C2">
        <w:rPr>
          <w:rFonts w:ascii="Arial" w:hAnsi="Arial" w:cs="Arial"/>
          <w:sz w:val="32"/>
          <w:szCs w:val="32"/>
          <w:lang w:val="fr-CA"/>
        </w:rPr>
        <w:t>février, trois fournisseurs passeront à la troisième phase où ils collaboreront et concevront conjointement des solutions possibles, élaboreront un modèle de partenariat et détermineront les coûts de mise en œuvre.</w:t>
      </w:r>
      <w:bookmarkEnd w:id="7"/>
      <w:r w:rsidRPr="000E73C2">
        <w:rPr>
          <w:rFonts w:ascii="Arial" w:hAnsi="Arial" w:cs="Arial"/>
          <w:sz w:val="32"/>
          <w:szCs w:val="32"/>
          <w:lang w:val="fr-CA"/>
        </w:rPr>
        <w:t xml:space="preserve"> </w:t>
      </w:r>
    </w:p>
    <w:p w14:paraId="30E67884" w14:textId="22EB37B6" w:rsidR="00CC1187" w:rsidRPr="000E73C2" w:rsidRDefault="00637ADC" w:rsidP="00CC1187">
      <w:pPr>
        <w:pStyle w:val="ListParagraph"/>
        <w:numPr>
          <w:ilvl w:val="0"/>
          <w:numId w:val="2"/>
        </w:numPr>
        <w:spacing w:after="120"/>
        <w:rPr>
          <w:rFonts w:ascii="Arial" w:hAnsi="Arial" w:cs="Arial"/>
          <w:sz w:val="32"/>
          <w:szCs w:val="32"/>
          <w:lang w:val="fr-CA"/>
        </w:rPr>
      </w:pPr>
      <w:bookmarkStart w:id="8" w:name="lt_pId013"/>
      <w:r w:rsidRPr="000E73C2">
        <w:rPr>
          <w:rFonts w:ascii="Arial" w:hAnsi="Arial" w:cs="Arial"/>
          <w:sz w:val="32"/>
          <w:szCs w:val="32"/>
          <w:lang w:val="fr-CA"/>
        </w:rPr>
        <w:t>Pour veiller à ce que l’utilisateur soit et demeure au cœur de ce processus, la mobilisation est intégrée et vise les employés, les gestionnaires, les professionnels des RH et des finances et les agents négociateurs.</w:t>
      </w:r>
      <w:bookmarkEnd w:id="8"/>
      <w:r w:rsidRPr="000E73C2">
        <w:rPr>
          <w:rFonts w:ascii="Arial" w:hAnsi="Arial" w:cs="Arial"/>
          <w:sz w:val="32"/>
          <w:szCs w:val="32"/>
          <w:lang w:val="fr-CA"/>
        </w:rPr>
        <w:t xml:space="preserve"> </w:t>
      </w:r>
      <w:r w:rsidR="00917B2E" w:rsidRPr="000E73C2">
        <w:rPr>
          <w:rFonts w:ascii="Arial" w:hAnsi="Arial" w:cs="Arial"/>
          <w:sz w:val="32"/>
          <w:szCs w:val="32"/>
          <w:lang w:val="fr-CA"/>
        </w:rPr>
        <w:t>Une série d</w:t>
      </w:r>
      <w:r w:rsidR="00E12C2C" w:rsidRPr="000E73C2">
        <w:rPr>
          <w:rFonts w:ascii="Arial" w:hAnsi="Arial" w:cs="Arial"/>
          <w:sz w:val="32"/>
          <w:szCs w:val="32"/>
          <w:lang w:val="fr-CA"/>
        </w:rPr>
        <w:t>’</w:t>
      </w:r>
      <w:r w:rsidR="00917B2E" w:rsidRPr="000E73C2">
        <w:rPr>
          <w:rFonts w:ascii="Arial" w:hAnsi="Arial" w:cs="Arial"/>
          <w:sz w:val="32"/>
          <w:szCs w:val="32"/>
          <w:lang w:val="fr-CA"/>
        </w:rPr>
        <w:t xml:space="preserve">engagements dans l’ensemble du Canada </w:t>
      </w:r>
      <w:r w:rsidR="00EE0C92" w:rsidRPr="000E73C2">
        <w:rPr>
          <w:rFonts w:ascii="Arial" w:hAnsi="Arial" w:cs="Arial"/>
          <w:sz w:val="32"/>
          <w:szCs w:val="32"/>
          <w:lang w:val="fr-CA"/>
        </w:rPr>
        <w:t xml:space="preserve">a </w:t>
      </w:r>
      <w:r w:rsidR="00917B2E" w:rsidRPr="000E73C2">
        <w:rPr>
          <w:rFonts w:ascii="Arial" w:hAnsi="Arial" w:cs="Arial"/>
          <w:sz w:val="32"/>
          <w:szCs w:val="32"/>
          <w:lang w:val="fr-CA"/>
        </w:rPr>
        <w:t>permis à l</w:t>
      </w:r>
      <w:r w:rsidR="00E12C2C" w:rsidRPr="000E73C2">
        <w:rPr>
          <w:rFonts w:ascii="Arial" w:hAnsi="Arial" w:cs="Arial"/>
          <w:sz w:val="32"/>
          <w:szCs w:val="32"/>
          <w:lang w:val="fr-CA"/>
        </w:rPr>
        <w:t>’</w:t>
      </w:r>
      <w:r w:rsidR="000E73C2" w:rsidRPr="000E73C2">
        <w:rPr>
          <w:rFonts w:ascii="Arial" w:hAnsi="Arial" w:cs="Arial"/>
          <w:sz w:val="32"/>
          <w:szCs w:val="32"/>
          <w:lang w:val="fr-CA"/>
        </w:rPr>
        <w:t>É</w:t>
      </w:r>
      <w:r w:rsidR="00917B2E" w:rsidRPr="000E73C2">
        <w:rPr>
          <w:rFonts w:ascii="Arial" w:hAnsi="Arial" w:cs="Arial"/>
          <w:sz w:val="32"/>
          <w:szCs w:val="32"/>
          <w:lang w:val="fr-CA"/>
        </w:rPr>
        <w:t>quipe ProGen de recueillir de</w:t>
      </w:r>
      <w:r w:rsidR="00EE0C92" w:rsidRPr="000E73C2">
        <w:rPr>
          <w:rFonts w:ascii="Arial" w:hAnsi="Arial" w:cs="Arial"/>
          <w:sz w:val="32"/>
          <w:szCs w:val="32"/>
          <w:lang w:val="fr-CA"/>
        </w:rPr>
        <w:t xml:space="preserve"> la rétroaction </w:t>
      </w:r>
      <w:r w:rsidR="00917B2E" w:rsidRPr="000E73C2">
        <w:rPr>
          <w:rFonts w:ascii="Arial" w:hAnsi="Arial" w:cs="Arial"/>
          <w:sz w:val="32"/>
          <w:szCs w:val="32"/>
          <w:lang w:val="fr-CA"/>
        </w:rPr>
        <w:t>et de créer un dialogue ouvert et transparent sur l</w:t>
      </w:r>
      <w:r w:rsidR="00E12C2C" w:rsidRPr="000E73C2">
        <w:rPr>
          <w:rFonts w:ascii="Arial" w:hAnsi="Arial" w:cs="Arial"/>
          <w:sz w:val="32"/>
          <w:szCs w:val="32"/>
          <w:lang w:val="fr-CA"/>
        </w:rPr>
        <w:t>’</w:t>
      </w:r>
      <w:r w:rsidR="00917B2E" w:rsidRPr="000E73C2">
        <w:rPr>
          <w:rFonts w:ascii="Arial" w:hAnsi="Arial" w:cs="Arial"/>
          <w:sz w:val="32"/>
          <w:szCs w:val="32"/>
          <w:lang w:val="fr-CA"/>
        </w:rPr>
        <w:t>initiative.</w:t>
      </w:r>
    </w:p>
    <w:p w14:paraId="14AA2185" w14:textId="77777777" w:rsidR="00CC1187" w:rsidRPr="000E73C2" w:rsidRDefault="00637ADC" w:rsidP="00CC1187">
      <w:pPr>
        <w:pStyle w:val="ListParagraph"/>
        <w:numPr>
          <w:ilvl w:val="0"/>
          <w:numId w:val="2"/>
        </w:numPr>
        <w:spacing w:after="120"/>
        <w:rPr>
          <w:rFonts w:ascii="Arial" w:hAnsi="Arial" w:cs="Arial"/>
          <w:sz w:val="32"/>
          <w:szCs w:val="32"/>
          <w:lang w:val="fr-CA"/>
        </w:rPr>
      </w:pPr>
      <w:bookmarkStart w:id="9" w:name="lt_pId015"/>
      <w:r w:rsidRPr="000E73C2">
        <w:rPr>
          <w:rFonts w:ascii="Arial" w:hAnsi="Arial" w:cs="Arial"/>
          <w:sz w:val="32"/>
          <w:szCs w:val="32"/>
          <w:lang w:val="fr-CA"/>
        </w:rPr>
        <w:t>À ce jour, la mobilisation a inclus une série d’ateliers avec des praticiens des RH, ainsi que la tenue récente d’expos utilisateurs pour les fonctionnaires d’un bout à l’autre du pays.</w:t>
      </w:r>
      <w:bookmarkEnd w:id="9"/>
      <w:r w:rsidRPr="000E73C2">
        <w:rPr>
          <w:rFonts w:ascii="Arial" w:hAnsi="Arial" w:cs="Arial"/>
          <w:sz w:val="32"/>
          <w:szCs w:val="32"/>
          <w:lang w:val="fr-CA"/>
        </w:rPr>
        <w:t xml:space="preserve"> </w:t>
      </w:r>
      <w:r w:rsidR="00917B2E" w:rsidRPr="000E73C2">
        <w:rPr>
          <w:rFonts w:ascii="Arial" w:hAnsi="Arial" w:cs="Arial"/>
          <w:sz w:val="32"/>
          <w:szCs w:val="32"/>
          <w:lang w:val="fr-CA"/>
        </w:rPr>
        <w:t>Jusqu</w:t>
      </w:r>
      <w:r w:rsidR="00E12C2C" w:rsidRPr="000E73C2">
        <w:rPr>
          <w:rFonts w:ascii="Arial" w:hAnsi="Arial" w:cs="Arial"/>
          <w:sz w:val="32"/>
          <w:szCs w:val="32"/>
          <w:lang w:val="fr-CA"/>
        </w:rPr>
        <w:t>’</w:t>
      </w:r>
      <w:r w:rsidR="00917B2E" w:rsidRPr="000E73C2">
        <w:rPr>
          <w:rFonts w:ascii="Arial" w:hAnsi="Arial" w:cs="Arial"/>
          <w:sz w:val="32"/>
          <w:szCs w:val="32"/>
          <w:lang w:val="fr-CA"/>
        </w:rPr>
        <w:t>à maintenant, la réponse a été prometteuse, et la transparence et l</w:t>
      </w:r>
      <w:r w:rsidR="00E12C2C" w:rsidRPr="000E73C2">
        <w:rPr>
          <w:rFonts w:ascii="Arial" w:hAnsi="Arial" w:cs="Arial"/>
          <w:sz w:val="32"/>
          <w:szCs w:val="32"/>
          <w:lang w:val="fr-CA"/>
        </w:rPr>
        <w:t>’</w:t>
      </w:r>
      <w:r w:rsidR="00917B2E" w:rsidRPr="000E73C2">
        <w:rPr>
          <w:rFonts w:ascii="Arial" w:hAnsi="Arial" w:cs="Arial"/>
          <w:sz w:val="32"/>
          <w:szCs w:val="32"/>
          <w:lang w:val="fr-CA"/>
        </w:rPr>
        <w:t>engagement de notre travail à ce jour ont appuyé nos efforts pour commencer à rétablir la confiance dans la fonction publique.</w:t>
      </w:r>
    </w:p>
    <w:p w14:paraId="5DD49C51" w14:textId="1F0EB21A" w:rsidR="007A3E04" w:rsidRPr="000E73C2" w:rsidRDefault="00917B2E" w:rsidP="00CC1187">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Les progrès de l</w:t>
      </w:r>
      <w:r w:rsidR="00E12C2C" w:rsidRPr="000E73C2">
        <w:rPr>
          <w:rFonts w:ascii="Arial" w:hAnsi="Arial" w:cs="Arial"/>
          <w:sz w:val="32"/>
          <w:lang w:val="fr-CA"/>
        </w:rPr>
        <w:t>’</w:t>
      </w:r>
      <w:r w:rsidRPr="000E73C2">
        <w:rPr>
          <w:rFonts w:ascii="Arial" w:hAnsi="Arial" w:cs="Arial"/>
          <w:sz w:val="32"/>
          <w:lang w:val="fr-CA"/>
        </w:rPr>
        <w:t>équipe depuis sa création ont été inspirants et reconnus dans l</w:t>
      </w:r>
      <w:r w:rsidR="00E12C2C" w:rsidRPr="000E73C2">
        <w:rPr>
          <w:rFonts w:ascii="Arial" w:hAnsi="Arial" w:cs="Arial"/>
          <w:sz w:val="32"/>
          <w:lang w:val="fr-CA"/>
        </w:rPr>
        <w:t>’</w:t>
      </w:r>
      <w:r w:rsidRPr="000E73C2">
        <w:rPr>
          <w:rFonts w:ascii="Arial" w:hAnsi="Arial" w:cs="Arial"/>
          <w:sz w:val="32"/>
          <w:lang w:val="fr-CA"/>
        </w:rPr>
        <w:t>ensemble du gouvernement.</w:t>
      </w:r>
      <w:r w:rsidR="00121022" w:rsidRPr="000E73C2">
        <w:rPr>
          <w:rFonts w:ascii="Arial" w:hAnsi="Arial" w:cs="Arial"/>
          <w:sz w:val="32"/>
          <w:lang w:val="fr-CA"/>
        </w:rPr>
        <w:t xml:space="preserve"> </w:t>
      </w:r>
      <w:r w:rsidRPr="000E73C2">
        <w:rPr>
          <w:rFonts w:ascii="Arial" w:hAnsi="Arial" w:cs="Arial"/>
          <w:sz w:val="32"/>
          <w:lang w:val="fr-CA"/>
        </w:rPr>
        <w:t>Depuis le mois d</w:t>
      </w:r>
      <w:r w:rsidR="00E12C2C" w:rsidRPr="000E73C2">
        <w:rPr>
          <w:rFonts w:ascii="Arial" w:hAnsi="Arial" w:cs="Arial"/>
          <w:sz w:val="32"/>
          <w:lang w:val="fr-CA"/>
        </w:rPr>
        <w:t>’</w:t>
      </w:r>
      <w:r w:rsidRPr="000E73C2">
        <w:rPr>
          <w:rFonts w:ascii="Arial" w:hAnsi="Arial" w:cs="Arial"/>
          <w:sz w:val="32"/>
          <w:lang w:val="fr-CA"/>
        </w:rPr>
        <w:t>août, l</w:t>
      </w:r>
      <w:r w:rsidR="00E12C2C" w:rsidRPr="000E73C2">
        <w:rPr>
          <w:rFonts w:ascii="Arial" w:hAnsi="Arial" w:cs="Arial"/>
          <w:sz w:val="32"/>
          <w:lang w:val="fr-CA"/>
        </w:rPr>
        <w:t>’</w:t>
      </w:r>
      <w:r w:rsidRPr="000E73C2">
        <w:rPr>
          <w:rFonts w:ascii="Arial" w:hAnsi="Arial" w:cs="Arial"/>
          <w:sz w:val="32"/>
          <w:lang w:val="fr-CA"/>
        </w:rPr>
        <w:t>équipe a fait beaucoup de progrès dans tous les domaines que je viens de mentionner. Ce travail servira à appuyer les options recommandées au printemps</w:t>
      </w:r>
      <w:r w:rsidR="002357A1" w:rsidRPr="000E73C2">
        <w:rPr>
          <w:rFonts w:ascii="Arial" w:hAnsi="Arial" w:cs="Arial"/>
          <w:sz w:val="32"/>
          <w:lang w:val="fr-CA"/>
        </w:rPr>
        <w:t> </w:t>
      </w:r>
      <w:r w:rsidRPr="000E73C2">
        <w:rPr>
          <w:rFonts w:ascii="Arial" w:hAnsi="Arial" w:cs="Arial"/>
          <w:sz w:val="32"/>
          <w:lang w:val="fr-CA"/>
        </w:rPr>
        <w:t>2019.</w:t>
      </w:r>
    </w:p>
    <w:p w14:paraId="407DC7B0" w14:textId="2CEC31C4" w:rsidR="007A3E04" w:rsidRPr="000E73C2" w:rsidRDefault="00917B2E" w:rsidP="00B8461E">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D</w:t>
      </w:r>
      <w:r w:rsidR="00E12C2C" w:rsidRPr="000E73C2">
        <w:rPr>
          <w:rFonts w:ascii="Arial" w:hAnsi="Arial" w:cs="Arial"/>
          <w:sz w:val="32"/>
          <w:lang w:val="fr-CA"/>
        </w:rPr>
        <w:t>’</w:t>
      </w:r>
      <w:r w:rsidRPr="000E73C2">
        <w:rPr>
          <w:rFonts w:ascii="Arial" w:hAnsi="Arial" w:cs="Arial"/>
          <w:sz w:val="32"/>
          <w:lang w:val="fr-CA"/>
        </w:rPr>
        <w:t xml:space="preserve">ici le printemps 2019, notre </w:t>
      </w:r>
      <w:r w:rsidR="000E73C2" w:rsidRPr="000E73C2">
        <w:rPr>
          <w:rFonts w:ascii="Arial" w:hAnsi="Arial" w:cs="Arial"/>
          <w:sz w:val="32"/>
          <w:lang w:val="fr-CA"/>
        </w:rPr>
        <w:t>é</w:t>
      </w:r>
      <w:r w:rsidRPr="000E73C2">
        <w:rPr>
          <w:rFonts w:ascii="Arial" w:hAnsi="Arial" w:cs="Arial"/>
          <w:sz w:val="32"/>
          <w:lang w:val="fr-CA"/>
        </w:rPr>
        <w:t>quipe aura obtenu six résultats clés liés à des solutions potentielles qui ont fait leurs preuves, qui sont évolutives et qui respectent les normes et principes du GC, l</w:t>
      </w:r>
      <w:r w:rsidR="00E12C2C" w:rsidRPr="000E73C2">
        <w:rPr>
          <w:rFonts w:ascii="Arial" w:hAnsi="Arial" w:cs="Arial"/>
          <w:sz w:val="32"/>
          <w:lang w:val="fr-CA"/>
        </w:rPr>
        <w:t>’</w:t>
      </w:r>
      <w:r w:rsidRPr="000E73C2">
        <w:rPr>
          <w:rFonts w:ascii="Arial" w:hAnsi="Arial" w:cs="Arial"/>
          <w:sz w:val="32"/>
          <w:lang w:val="fr-CA"/>
        </w:rPr>
        <w:t>engagement, les modèles opérationnels, les candidats ministéri</w:t>
      </w:r>
      <w:r w:rsidR="000E73C2" w:rsidRPr="000E73C2">
        <w:rPr>
          <w:rFonts w:ascii="Arial" w:hAnsi="Arial" w:cs="Arial"/>
          <w:sz w:val="32"/>
          <w:lang w:val="fr-CA"/>
        </w:rPr>
        <w:t>els potentiels pour les projets-</w:t>
      </w:r>
      <w:r w:rsidRPr="000E73C2">
        <w:rPr>
          <w:rFonts w:ascii="Arial" w:hAnsi="Arial" w:cs="Arial"/>
          <w:sz w:val="32"/>
          <w:lang w:val="fr-CA"/>
        </w:rPr>
        <w:t xml:space="preserve">pilotes, la transformation des RH et les options </w:t>
      </w:r>
      <w:r w:rsidR="00EE0C92" w:rsidRPr="000E73C2">
        <w:rPr>
          <w:rFonts w:ascii="Arial" w:hAnsi="Arial" w:cs="Arial"/>
          <w:sz w:val="32"/>
          <w:lang w:val="fr-CA"/>
        </w:rPr>
        <w:t>ainsi qu’</w:t>
      </w:r>
      <w:r w:rsidRPr="000E73C2">
        <w:rPr>
          <w:rFonts w:ascii="Arial" w:hAnsi="Arial" w:cs="Arial"/>
          <w:sz w:val="32"/>
          <w:lang w:val="fr-CA"/>
        </w:rPr>
        <w:t>une approche recommandée pour une solution des RH et de paye de bout en bout.</w:t>
      </w:r>
    </w:p>
    <w:p w14:paraId="346272DF" w14:textId="6023279C" w:rsidR="004A581B" w:rsidRPr="000E73C2" w:rsidRDefault="00807606" w:rsidP="004A581B">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Notre travail nous a également permis de documenter les observations clés qui ont permis notre succès. La nature ouverte et transparente de nos progrès a rétabli la confiance dans l</w:t>
      </w:r>
      <w:r w:rsidR="00E12C2C" w:rsidRPr="000E73C2">
        <w:rPr>
          <w:rFonts w:ascii="Arial" w:hAnsi="Arial" w:cs="Arial"/>
          <w:sz w:val="32"/>
          <w:lang w:val="fr-CA"/>
        </w:rPr>
        <w:t>’</w:t>
      </w:r>
      <w:r w:rsidRPr="000E73C2">
        <w:rPr>
          <w:rFonts w:ascii="Arial" w:hAnsi="Arial" w:cs="Arial"/>
          <w:sz w:val="32"/>
          <w:lang w:val="fr-CA"/>
        </w:rPr>
        <w:t xml:space="preserve">engagement du gouvernement </w:t>
      </w:r>
      <w:r w:rsidR="00EE0C92" w:rsidRPr="000E73C2">
        <w:rPr>
          <w:rFonts w:ascii="Arial" w:hAnsi="Arial" w:cs="Arial"/>
          <w:sz w:val="32"/>
          <w:lang w:val="fr-CA"/>
        </w:rPr>
        <w:t>de</w:t>
      </w:r>
      <w:r w:rsidRPr="000E73C2">
        <w:rPr>
          <w:rFonts w:ascii="Arial" w:hAnsi="Arial" w:cs="Arial"/>
          <w:sz w:val="32"/>
          <w:lang w:val="fr-CA"/>
        </w:rPr>
        <w:t xml:space="preserve"> payer ses employés avec exactitude et à temps. La mise à jour régulière des fonctionnaires au moyen de blogues et de communications ministérielles, ainsi que nos mises à jour en temps réel sur Twitter ont démontré notre engagement à travailler ouvertement.</w:t>
      </w:r>
    </w:p>
    <w:p w14:paraId="3FDD96E0" w14:textId="77777777" w:rsidR="004A581B" w:rsidRPr="000E73C2" w:rsidRDefault="00807606" w:rsidP="004A581B">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En tirant parti de la rétroaction, des leçons apprises et des pratiques exemplaires, notre équipe a été en mesure de corriger les cours au besoin tout au long du processus. Cet engagement nous a également permis de placer l</w:t>
      </w:r>
      <w:r w:rsidR="00E12C2C" w:rsidRPr="000E73C2">
        <w:rPr>
          <w:rFonts w:ascii="Arial" w:hAnsi="Arial" w:cs="Arial"/>
          <w:sz w:val="32"/>
          <w:lang w:val="fr-CA"/>
        </w:rPr>
        <w:t>’</w:t>
      </w:r>
      <w:r w:rsidRPr="000E73C2">
        <w:rPr>
          <w:rFonts w:ascii="Arial" w:hAnsi="Arial" w:cs="Arial"/>
          <w:sz w:val="32"/>
          <w:lang w:val="fr-CA"/>
        </w:rPr>
        <w:t>employé au centre de notre travail grâce à une série de séances d</w:t>
      </w:r>
      <w:r w:rsidR="00E12C2C" w:rsidRPr="000E73C2">
        <w:rPr>
          <w:rFonts w:ascii="Arial" w:hAnsi="Arial" w:cs="Arial"/>
          <w:sz w:val="32"/>
          <w:lang w:val="fr-CA"/>
        </w:rPr>
        <w:t>’</w:t>
      </w:r>
      <w:r w:rsidRPr="000E73C2">
        <w:rPr>
          <w:rFonts w:ascii="Arial" w:hAnsi="Arial" w:cs="Arial"/>
          <w:sz w:val="32"/>
          <w:lang w:val="fr-CA"/>
        </w:rPr>
        <w:t>engagement en personne et à un engagement numérique continu.</w:t>
      </w:r>
    </w:p>
    <w:p w14:paraId="32F1DC41" w14:textId="12F49E12" w:rsidR="004A581B" w:rsidRPr="000E73C2" w:rsidRDefault="00807606" w:rsidP="004A581B">
      <w:pPr>
        <w:pStyle w:val="ListParagraph"/>
        <w:numPr>
          <w:ilvl w:val="0"/>
          <w:numId w:val="2"/>
        </w:numPr>
        <w:spacing w:after="120"/>
        <w:rPr>
          <w:rFonts w:ascii="Arial" w:hAnsi="Arial" w:cs="Arial"/>
          <w:sz w:val="32"/>
          <w:szCs w:val="32"/>
          <w:lang w:val="fr-CA"/>
        </w:rPr>
      </w:pPr>
      <w:r w:rsidRPr="000E73C2">
        <w:rPr>
          <w:rFonts w:ascii="Arial" w:hAnsi="Arial" w:cs="Arial"/>
          <w:sz w:val="32"/>
          <w:lang w:val="fr-CA"/>
        </w:rPr>
        <w:t>La rapidité avec laquelle notre équipe a travaillé avec diligence, professionnalisme et engagement nous a permis d</w:t>
      </w:r>
      <w:r w:rsidR="00E12C2C" w:rsidRPr="000E73C2">
        <w:rPr>
          <w:rFonts w:ascii="Arial" w:hAnsi="Arial" w:cs="Arial"/>
          <w:sz w:val="32"/>
          <w:lang w:val="fr-CA"/>
        </w:rPr>
        <w:t>’</w:t>
      </w:r>
      <w:r w:rsidRPr="000E73C2">
        <w:rPr>
          <w:rFonts w:ascii="Arial" w:hAnsi="Arial" w:cs="Arial"/>
          <w:sz w:val="32"/>
          <w:lang w:val="fr-CA"/>
        </w:rPr>
        <w:t xml:space="preserve">obtenir les </w:t>
      </w:r>
      <w:r w:rsidRPr="000E73C2">
        <w:rPr>
          <w:rFonts w:ascii="Arial" w:hAnsi="Arial" w:cs="Arial"/>
          <w:sz w:val="32"/>
          <w:lang w:val="fr-CA"/>
        </w:rPr>
        <w:lastRenderedPageBreak/>
        <w:t>résultats prévus en un an, soit 8</w:t>
      </w:r>
      <w:r w:rsidR="00D320B0" w:rsidRPr="000E73C2">
        <w:rPr>
          <w:rFonts w:ascii="Arial" w:hAnsi="Arial" w:cs="Arial"/>
          <w:sz w:val="32"/>
          <w:lang w:val="fr-CA"/>
        </w:rPr>
        <w:t> </w:t>
      </w:r>
      <w:r w:rsidRPr="000E73C2">
        <w:rPr>
          <w:rFonts w:ascii="Arial" w:hAnsi="Arial" w:cs="Arial"/>
          <w:sz w:val="32"/>
          <w:lang w:val="fr-CA"/>
        </w:rPr>
        <w:t>millions de dollars au lieu de deux ans et 16 millions de dollars. Ce processus de travail dans des sprints plus petits et plus rapides a permis à une main-d</w:t>
      </w:r>
      <w:r w:rsidR="00E12C2C" w:rsidRPr="000E73C2">
        <w:rPr>
          <w:rFonts w:ascii="Arial" w:hAnsi="Arial" w:cs="Arial"/>
          <w:sz w:val="32"/>
          <w:lang w:val="fr-CA"/>
        </w:rPr>
        <w:t>’</w:t>
      </w:r>
      <w:r w:rsidRPr="000E73C2">
        <w:rPr>
          <w:rFonts w:ascii="Arial" w:hAnsi="Arial" w:cs="Arial"/>
          <w:sz w:val="32"/>
          <w:lang w:val="fr-CA"/>
        </w:rPr>
        <w:t xml:space="preserve">œuvre </w:t>
      </w:r>
      <w:r w:rsidR="000907F5" w:rsidRPr="000E73C2">
        <w:rPr>
          <w:rFonts w:ascii="Arial" w:hAnsi="Arial" w:cs="Arial"/>
          <w:sz w:val="32"/>
          <w:lang w:val="fr-CA"/>
        </w:rPr>
        <w:t xml:space="preserve">souple </w:t>
      </w:r>
      <w:r w:rsidRPr="000E73C2">
        <w:rPr>
          <w:rFonts w:ascii="Arial" w:hAnsi="Arial" w:cs="Arial"/>
          <w:sz w:val="32"/>
          <w:lang w:val="fr-CA"/>
        </w:rPr>
        <w:t>et adaptable de déterminer les options d</w:t>
      </w:r>
      <w:r w:rsidR="00E12C2C" w:rsidRPr="000E73C2">
        <w:rPr>
          <w:rFonts w:ascii="Arial" w:hAnsi="Arial" w:cs="Arial"/>
          <w:sz w:val="32"/>
          <w:lang w:val="fr-CA"/>
        </w:rPr>
        <w:t>’</w:t>
      </w:r>
      <w:r w:rsidRPr="000E73C2">
        <w:rPr>
          <w:rFonts w:ascii="Arial" w:hAnsi="Arial" w:cs="Arial"/>
          <w:sz w:val="32"/>
          <w:lang w:val="fr-CA"/>
        </w:rPr>
        <w:t>une manière nouvelle et plus agile.</w:t>
      </w:r>
    </w:p>
    <w:p w14:paraId="039B6B08" w14:textId="6417429C" w:rsidR="004A581B" w:rsidRPr="000E73C2" w:rsidRDefault="000907F5" w:rsidP="004A581B">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Enfin, notre relation et notre interaction avec les fournisseurs se sont poursuivies tout au long de ce processus et ont permis au GC d</w:t>
      </w:r>
      <w:r w:rsidR="00E12C2C" w:rsidRPr="000E73C2">
        <w:rPr>
          <w:rFonts w:ascii="Arial" w:hAnsi="Arial" w:cs="Arial"/>
          <w:sz w:val="32"/>
          <w:szCs w:val="32"/>
          <w:lang w:val="fr-CA"/>
        </w:rPr>
        <w:t>’</w:t>
      </w:r>
      <w:r w:rsidRPr="000E73C2">
        <w:rPr>
          <w:rFonts w:ascii="Arial" w:hAnsi="Arial" w:cs="Arial"/>
          <w:sz w:val="32"/>
          <w:szCs w:val="32"/>
          <w:lang w:val="fr-CA"/>
        </w:rPr>
        <w:t xml:space="preserve">établir un partenariat avec des fournisseurs éventuels plutôt que </w:t>
      </w:r>
      <w:r w:rsidR="00D320B0" w:rsidRPr="000E73C2">
        <w:rPr>
          <w:rFonts w:ascii="Arial" w:hAnsi="Arial" w:cs="Arial"/>
          <w:sz w:val="32"/>
          <w:szCs w:val="32"/>
          <w:lang w:val="fr-CA"/>
        </w:rPr>
        <w:t xml:space="preserve">de se procurer </w:t>
      </w:r>
      <w:r w:rsidRPr="000E73C2">
        <w:rPr>
          <w:rFonts w:ascii="Arial" w:hAnsi="Arial" w:cs="Arial"/>
          <w:sz w:val="32"/>
          <w:szCs w:val="32"/>
          <w:lang w:val="fr-CA"/>
        </w:rPr>
        <w:t>un système.</w:t>
      </w:r>
    </w:p>
    <w:p w14:paraId="7C65B4F8" w14:textId="208040C6" w:rsidR="004A581B" w:rsidRPr="000E73C2" w:rsidRDefault="000907F5" w:rsidP="004A581B">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Bien que de nombreux aspects positifs aient été attribués à l</w:t>
      </w:r>
      <w:r w:rsidR="00E12C2C" w:rsidRPr="000E73C2">
        <w:rPr>
          <w:rFonts w:ascii="Arial" w:hAnsi="Arial" w:cs="Arial"/>
          <w:sz w:val="32"/>
          <w:szCs w:val="32"/>
          <w:lang w:val="fr-CA"/>
        </w:rPr>
        <w:t>’</w:t>
      </w:r>
      <w:r w:rsidR="000E73C2" w:rsidRPr="000E73C2">
        <w:rPr>
          <w:rFonts w:ascii="Arial" w:hAnsi="Arial" w:cs="Arial"/>
          <w:sz w:val="32"/>
          <w:szCs w:val="32"/>
          <w:lang w:val="fr-CA"/>
        </w:rPr>
        <w:t>É</w:t>
      </w:r>
      <w:r w:rsidRPr="000E73C2">
        <w:rPr>
          <w:rFonts w:ascii="Arial" w:hAnsi="Arial" w:cs="Arial"/>
          <w:sz w:val="32"/>
          <w:szCs w:val="32"/>
          <w:lang w:val="fr-CA"/>
        </w:rPr>
        <w:t xml:space="preserve">quipe ProGen et à son travail, nous sommes conscients des risques potentiels qui pourraient mettre notre travail au défi. Ces risques comprennent la question de savoir si des solutions potentielles peuvent en fait </w:t>
      </w:r>
      <w:r w:rsidR="000E73C2" w:rsidRPr="000E73C2">
        <w:rPr>
          <w:rFonts w:ascii="Arial" w:hAnsi="Arial" w:cs="Arial"/>
          <w:sz w:val="32"/>
          <w:szCs w:val="32"/>
          <w:lang w:val="fr-CA"/>
        </w:rPr>
        <w:t>appuyer</w:t>
      </w:r>
      <w:r w:rsidRPr="000E73C2">
        <w:rPr>
          <w:rFonts w:ascii="Arial" w:hAnsi="Arial" w:cs="Arial"/>
          <w:sz w:val="32"/>
          <w:szCs w:val="32"/>
          <w:lang w:val="fr-CA"/>
        </w:rPr>
        <w:t xml:space="preserve"> un environnement </w:t>
      </w:r>
      <w:r w:rsidR="00D320B0" w:rsidRPr="000E73C2">
        <w:rPr>
          <w:rFonts w:ascii="Arial" w:hAnsi="Arial" w:cs="Arial"/>
          <w:sz w:val="32"/>
          <w:szCs w:val="32"/>
          <w:lang w:val="fr-CA"/>
        </w:rPr>
        <w:t xml:space="preserve">du </w:t>
      </w:r>
      <w:r w:rsidRPr="000E73C2">
        <w:rPr>
          <w:rFonts w:ascii="Arial" w:hAnsi="Arial" w:cs="Arial"/>
          <w:sz w:val="32"/>
          <w:szCs w:val="32"/>
          <w:lang w:val="fr-CA"/>
        </w:rPr>
        <w:t>GC; le manque de confiance dans la mise en œuvre et le succès; l</w:t>
      </w:r>
      <w:r w:rsidR="00E12C2C" w:rsidRPr="000E73C2">
        <w:rPr>
          <w:rFonts w:ascii="Arial" w:hAnsi="Arial" w:cs="Arial"/>
          <w:sz w:val="32"/>
          <w:szCs w:val="32"/>
          <w:lang w:val="fr-CA"/>
        </w:rPr>
        <w:t>’</w:t>
      </w:r>
      <w:r w:rsidR="000E73C2" w:rsidRPr="000E73C2">
        <w:rPr>
          <w:rFonts w:ascii="Arial" w:hAnsi="Arial" w:cs="Arial"/>
          <w:sz w:val="32"/>
          <w:szCs w:val="32"/>
          <w:lang w:val="fr-CA"/>
        </w:rPr>
        <w:t>échec des projets-</w:t>
      </w:r>
      <w:r w:rsidRPr="000E73C2">
        <w:rPr>
          <w:rFonts w:ascii="Arial" w:hAnsi="Arial" w:cs="Arial"/>
          <w:sz w:val="32"/>
          <w:szCs w:val="32"/>
          <w:lang w:val="fr-CA"/>
        </w:rPr>
        <w:t>pilotes proposés; des attentes trop optimistes quant au succès potentiel; et les plaintes des fournisseurs quant à la souplesse du processus, ce qui entraîne un manque de v</w:t>
      </w:r>
      <w:r w:rsidR="000E73C2" w:rsidRPr="000E73C2">
        <w:rPr>
          <w:rFonts w:ascii="Arial" w:hAnsi="Arial" w:cs="Arial"/>
          <w:sz w:val="32"/>
          <w:szCs w:val="32"/>
          <w:lang w:val="fr-CA"/>
        </w:rPr>
        <w:t>olonté à poursuivre les projets-</w:t>
      </w:r>
      <w:r w:rsidRPr="000E73C2">
        <w:rPr>
          <w:rFonts w:ascii="Arial" w:hAnsi="Arial" w:cs="Arial"/>
          <w:sz w:val="32"/>
          <w:szCs w:val="32"/>
          <w:lang w:val="fr-CA"/>
        </w:rPr>
        <w:t>pilotes. Nous avons tenu compte de ces risques dans notre feuille de route pour l</w:t>
      </w:r>
      <w:r w:rsidR="00E12C2C" w:rsidRPr="000E73C2">
        <w:rPr>
          <w:rFonts w:ascii="Arial" w:hAnsi="Arial" w:cs="Arial"/>
          <w:sz w:val="32"/>
          <w:szCs w:val="32"/>
          <w:lang w:val="fr-CA"/>
        </w:rPr>
        <w:t>’</w:t>
      </w:r>
      <w:r w:rsidRPr="000E73C2">
        <w:rPr>
          <w:rFonts w:ascii="Arial" w:hAnsi="Arial" w:cs="Arial"/>
          <w:sz w:val="32"/>
          <w:szCs w:val="32"/>
          <w:lang w:val="fr-CA"/>
        </w:rPr>
        <w:t>avenir et nous avons défini des stratégies d</w:t>
      </w:r>
      <w:r w:rsidR="00E12C2C" w:rsidRPr="000E73C2">
        <w:rPr>
          <w:rFonts w:ascii="Arial" w:hAnsi="Arial" w:cs="Arial"/>
          <w:sz w:val="32"/>
          <w:szCs w:val="32"/>
          <w:lang w:val="fr-CA"/>
        </w:rPr>
        <w:t>’</w:t>
      </w:r>
      <w:r w:rsidRPr="000E73C2">
        <w:rPr>
          <w:rFonts w:ascii="Arial" w:hAnsi="Arial" w:cs="Arial"/>
          <w:sz w:val="32"/>
          <w:szCs w:val="32"/>
          <w:lang w:val="fr-CA"/>
        </w:rPr>
        <w:t xml:space="preserve">atténuation </w:t>
      </w:r>
      <w:r w:rsidR="000E73C2">
        <w:rPr>
          <w:rFonts w:ascii="Arial" w:hAnsi="Arial" w:cs="Arial"/>
          <w:sz w:val="32"/>
          <w:szCs w:val="32"/>
          <w:lang w:val="fr-CA"/>
        </w:rPr>
        <w:t>afin de veiller à ce</w:t>
      </w:r>
      <w:r w:rsidRPr="000E73C2">
        <w:rPr>
          <w:rFonts w:ascii="Arial" w:hAnsi="Arial" w:cs="Arial"/>
          <w:sz w:val="32"/>
          <w:szCs w:val="32"/>
          <w:lang w:val="fr-CA"/>
        </w:rPr>
        <w:t xml:space="preserve"> que les progrès se poursuivent.</w:t>
      </w:r>
    </w:p>
    <w:p w14:paraId="64DC8E98" w14:textId="74DD9DE1" w:rsidR="00B37A52" w:rsidRPr="000E73C2" w:rsidRDefault="00313294" w:rsidP="004A581B">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Nous avons également entendu parler du modèle de construction et de gouvernance de la passat</w:t>
      </w:r>
      <w:r w:rsidR="000E73C2" w:rsidRPr="000E73C2">
        <w:rPr>
          <w:rFonts w:ascii="Arial" w:hAnsi="Arial" w:cs="Arial"/>
          <w:sz w:val="32"/>
          <w:szCs w:val="32"/>
          <w:lang w:val="fr-CA"/>
        </w:rPr>
        <w:t>ion de marchés pour les projets-</w:t>
      </w:r>
      <w:r w:rsidRPr="000E73C2">
        <w:rPr>
          <w:rFonts w:ascii="Arial" w:hAnsi="Arial" w:cs="Arial"/>
          <w:sz w:val="32"/>
          <w:szCs w:val="32"/>
          <w:lang w:val="fr-CA"/>
        </w:rPr>
        <w:t>pilotes et nous y travaillons; le plan de communication va de l</w:t>
      </w:r>
      <w:r w:rsidR="00E12C2C" w:rsidRPr="000E73C2">
        <w:rPr>
          <w:rFonts w:ascii="Arial" w:hAnsi="Arial" w:cs="Arial"/>
          <w:sz w:val="32"/>
          <w:szCs w:val="32"/>
          <w:lang w:val="fr-CA"/>
        </w:rPr>
        <w:t>’</w:t>
      </w:r>
      <w:r w:rsidRPr="000E73C2">
        <w:rPr>
          <w:rFonts w:ascii="Arial" w:hAnsi="Arial" w:cs="Arial"/>
          <w:sz w:val="32"/>
          <w:szCs w:val="32"/>
          <w:lang w:val="fr-CA"/>
        </w:rPr>
        <w:t>avant; la façon dont les données de Phénix seront utilisées pour appuyer u</w:t>
      </w:r>
      <w:r w:rsidR="000E73C2" w:rsidRPr="000E73C2">
        <w:rPr>
          <w:rFonts w:ascii="Arial" w:hAnsi="Arial" w:cs="Arial"/>
          <w:sz w:val="32"/>
          <w:szCs w:val="32"/>
          <w:lang w:val="fr-CA"/>
        </w:rPr>
        <w:t>n projet-</w:t>
      </w:r>
      <w:r w:rsidRPr="000E73C2">
        <w:rPr>
          <w:rFonts w:ascii="Arial" w:hAnsi="Arial" w:cs="Arial"/>
          <w:sz w:val="32"/>
          <w:szCs w:val="32"/>
          <w:lang w:val="fr-CA"/>
        </w:rPr>
        <w:t>pilote; et ce que les employés verront dans le processus à venir.</w:t>
      </w:r>
    </w:p>
    <w:p w14:paraId="7C574AD6" w14:textId="11D35608" w:rsidR="00B8461E" w:rsidRPr="000E73C2" w:rsidRDefault="00840A1A" w:rsidP="004A581B">
      <w:pPr>
        <w:pStyle w:val="ListParagraph"/>
        <w:numPr>
          <w:ilvl w:val="0"/>
          <w:numId w:val="2"/>
        </w:numPr>
        <w:spacing w:after="120"/>
        <w:rPr>
          <w:rFonts w:ascii="Arial" w:hAnsi="Arial" w:cs="Arial"/>
          <w:sz w:val="32"/>
          <w:szCs w:val="32"/>
          <w:lang w:val="fr-CA"/>
        </w:rPr>
      </w:pPr>
      <w:r w:rsidRPr="000E73C2">
        <w:rPr>
          <w:rFonts w:ascii="Arial" w:hAnsi="Arial" w:cs="Arial"/>
          <w:sz w:val="32"/>
          <w:szCs w:val="32"/>
          <w:lang w:val="fr-CA"/>
        </w:rPr>
        <w:t>Au fur et à mesure que nous franchirons la dernière étape de notre processus d</w:t>
      </w:r>
      <w:r w:rsidR="00E12C2C" w:rsidRPr="000E73C2">
        <w:rPr>
          <w:rFonts w:ascii="Arial" w:hAnsi="Arial" w:cs="Arial"/>
          <w:sz w:val="32"/>
          <w:szCs w:val="32"/>
          <w:lang w:val="fr-CA"/>
        </w:rPr>
        <w:t>’</w:t>
      </w:r>
      <w:r w:rsidRPr="000E73C2">
        <w:rPr>
          <w:rFonts w:ascii="Arial" w:hAnsi="Arial" w:cs="Arial"/>
          <w:sz w:val="32"/>
          <w:szCs w:val="32"/>
          <w:lang w:val="fr-CA"/>
        </w:rPr>
        <w:t>approvisionnement souple et que nous peaufinerons les options que nous recommandons</w:t>
      </w:r>
      <w:bookmarkStart w:id="10" w:name="_GoBack"/>
      <w:bookmarkEnd w:id="10"/>
      <w:r w:rsidRPr="000E73C2">
        <w:rPr>
          <w:rFonts w:ascii="Arial" w:hAnsi="Arial" w:cs="Arial"/>
          <w:sz w:val="32"/>
          <w:szCs w:val="32"/>
          <w:lang w:val="fr-CA"/>
        </w:rPr>
        <w:t>, nous reviendrons avec des mises à jour de notre plan pour l</w:t>
      </w:r>
      <w:r w:rsidR="00E12C2C" w:rsidRPr="000E73C2">
        <w:rPr>
          <w:rFonts w:ascii="Arial" w:hAnsi="Arial" w:cs="Arial"/>
          <w:sz w:val="32"/>
          <w:szCs w:val="32"/>
          <w:lang w:val="fr-CA"/>
        </w:rPr>
        <w:t>’</w:t>
      </w:r>
      <w:r w:rsidRPr="000E73C2">
        <w:rPr>
          <w:rFonts w:ascii="Arial" w:hAnsi="Arial" w:cs="Arial"/>
          <w:sz w:val="32"/>
          <w:szCs w:val="32"/>
          <w:lang w:val="fr-CA"/>
        </w:rPr>
        <w:t>avenir. D</w:t>
      </w:r>
      <w:r w:rsidR="00E12C2C" w:rsidRPr="000E73C2">
        <w:rPr>
          <w:rFonts w:ascii="Arial" w:hAnsi="Arial" w:cs="Arial"/>
          <w:sz w:val="32"/>
          <w:szCs w:val="32"/>
          <w:lang w:val="fr-CA"/>
        </w:rPr>
        <w:t>’</w:t>
      </w:r>
      <w:r w:rsidRPr="000E73C2">
        <w:rPr>
          <w:rFonts w:ascii="Arial" w:hAnsi="Arial" w:cs="Arial"/>
          <w:sz w:val="32"/>
          <w:szCs w:val="32"/>
          <w:lang w:val="fr-CA"/>
        </w:rPr>
        <w:t xml:space="preserve">ici là, nous demeurons ouverts à vos commentaires et à votre participation à ce processus afin de </w:t>
      </w:r>
      <w:r w:rsidR="000E73C2" w:rsidRPr="000E73C2">
        <w:rPr>
          <w:rFonts w:ascii="Arial" w:hAnsi="Arial" w:cs="Arial"/>
          <w:sz w:val="32"/>
          <w:szCs w:val="32"/>
          <w:lang w:val="fr-CA"/>
        </w:rPr>
        <w:t>veiller à ce</w:t>
      </w:r>
      <w:r w:rsidRPr="000E73C2">
        <w:rPr>
          <w:rFonts w:ascii="Arial" w:hAnsi="Arial" w:cs="Arial"/>
          <w:sz w:val="32"/>
          <w:szCs w:val="32"/>
          <w:lang w:val="fr-CA"/>
        </w:rPr>
        <w:t xml:space="preserve"> que notre équipe tire parti de l</w:t>
      </w:r>
      <w:r w:rsidR="00E12C2C" w:rsidRPr="000E73C2">
        <w:rPr>
          <w:rFonts w:ascii="Arial" w:hAnsi="Arial" w:cs="Arial"/>
          <w:sz w:val="32"/>
          <w:szCs w:val="32"/>
          <w:lang w:val="fr-CA"/>
        </w:rPr>
        <w:t>’</w:t>
      </w:r>
      <w:r w:rsidRPr="000E73C2">
        <w:rPr>
          <w:rFonts w:ascii="Arial" w:hAnsi="Arial" w:cs="Arial"/>
          <w:sz w:val="32"/>
          <w:szCs w:val="32"/>
          <w:lang w:val="fr-CA"/>
        </w:rPr>
        <w:t>expertise, des leçons apprises, des pratiques exemplaires et des talents de l</w:t>
      </w:r>
      <w:r w:rsidR="00E12C2C" w:rsidRPr="000E73C2">
        <w:rPr>
          <w:rFonts w:ascii="Arial" w:hAnsi="Arial" w:cs="Arial"/>
          <w:sz w:val="32"/>
          <w:szCs w:val="32"/>
          <w:lang w:val="fr-CA"/>
        </w:rPr>
        <w:t>’</w:t>
      </w:r>
      <w:r w:rsidRPr="000E73C2">
        <w:rPr>
          <w:rFonts w:ascii="Arial" w:hAnsi="Arial" w:cs="Arial"/>
          <w:sz w:val="32"/>
          <w:szCs w:val="32"/>
          <w:lang w:val="fr-CA"/>
        </w:rPr>
        <w:t>ensemble du GC.</w:t>
      </w:r>
    </w:p>
    <w:sectPr w:rsidR="00B8461E" w:rsidRPr="000E73C2" w:rsidSect="00CC1187">
      <w:headerReference w:type="even" r:id="rId7"/>
      <w:headerReference w:type="default" r:id="rId8"/>
      <w:headerReference w:type="first" r:id="rId9"/>
      <w:footerReference w:type="first" r:id="rId10"/>
      <w:pgSz w:w="12240" w:h="20160" w:code="5"/>
      <w:pgMar w:top="1358" w:right="1041"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5F12" w14:textId="77777777" w:rsidR="005A7E1A" w:rsidRDefault="005A7E1A">
      <w:r>
        <w:separator/>
      </w:r>
    </w:p>
  </w:endnote>
  <w:endnote w:type="continuationSeparator" w:id="0">
    <w:p w14:paraId="0933896F" w14:textId="77777777" w:rsidR="005A7E1A" w:rsidRDefault="005A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34C6" w14:textId="77777777" w:rsidR="005E60F2" w:rsidRDefault="005A7E1A" w:rsidP="005E60F2">
    <w:pPr>
      <w:pStyle w:val="Footer"/>
    </w:pPr>
  </w:p>
  <w:p w14:paraId="4E3C6246" w14:textId="77777777" w:rsidR="005E60F2" w:rsidRDefault="005A7E1A" w:rsidP="005E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BE29" w14:textId="77777777" w:rsidR="005A7E1A" w:rsidRDefault="005A7E1A">
      <w:r>
        <w:separator/>
      </w:r>
    </w:p>
  </w:footnote>
  <w:footnote w:type="continuationSeparator" w:id="0">
    <w:p w14:paraId="2719AF03" w14:textId="77777777" w:rsidR="005A7E1A" w:rsidRDefault="005A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460F" w14:textId="77777777" w:rsidR="00CC1187" w:rsidRDefault="005A7E1A" w:rsidP="00CC1187">
    <w:pPr>
      <w:pStyle w:val="Header"/>
      <w:jc w:val="right"/>
      <w:rPr>
        <w:b/>
        <w:lang w:val="fr-CA"/>
      </w:rPr>
    </w:pPr>
    <w:bookmarkStart w:id="11" w:name="TITUS1HeaderEvenPages"/>
  </w:p>
  <w:bookmarkEnd w:id="11"/>
  <w:p w14:paraId="26B782B8" w14:textId="77777777" w:rsidR="00CC1187" w:rsidRDefault="005A7E1A" w:rsidP="00551213">
    <w:pPr>
      <w:pStyle w:val="Header"/>
      <w:jc w:val="right"/>
      <w:rPr>
        <w:b/>
        <w:lang w:val="fr-CA"/>
      </w:rPr>
    </w:pPr>
  </w:p>
  <w:p w14:paraId="691E9B71" w14:textId="77777777" w:rsidR="00CC1187" w:rsidRPr="00D567E3" w:rsidRDefault="005A7E1A">
    <w:pPr>
      <w:pStyle w:val="Header"/>
      <w:jc w:val="right"/>
      <w:rPr>
        <w:b/>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93AE" w14:textId="77777777" w:rsidR="005E60F2" w:rsidRDefault="005A7E1A" w:rsidP="00CC1187">
    <w:pPr>
      <w:pStyle w:val="Header"/>
      <w:jc w:val="right"/>
      <w:rPr>
        <w:b/>
        <w:lang w:val="fr-CA"/>
      </w:rPr>
    </w:pPr>
    <w:bookmarkStart w:id="12" w:name="TITUS1HeaderPrimary"/>
  </w:p>
  <w:bookmarkEnd w:id="12"/>
  <w:p w14:paraId="7D85369A" w14:textId="77777777" w:rsidR="005E60F2" w:rsidRPr="00D567E3" w:rsidRDefault="005A7E1A">
    <w:pPr>
      <w:pStyle w:val="Header"/>
      <w:jc w:val="right"/>
      <w:rPr>
        <w:b/>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951F" w14:textId="77777777" w:rsidR="005E60F2" w:rsidRDefault="005A7E1A" w:rsidP="00CC1187">
    <w:pPr>
      <w:pStyle w:val="Header"/>
      <w:rPr>
        <w:lang w:val="fr-CA"/>
      </w:rPr>
    </w:pPr>
    <w:bookmarkStart w:id="13" w:name="TITUS1HeaderFirstPage"/>
  </w:p>
  <w:bookmarkEnd w:id="13"/>
  <w:p w14:paraId="4604C81D" w14:textId="77777777" w:rsidR="005E60F2" w:rsidRPr="00D567E3" w:rsidRDefault="005A7E1A" w:rsidP="005E60F2">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D6D"/>
    <w:multiLevelType w:val="hybridMultilevel"/>
    <w:tmpl w:val="541060A6"/>
    <w:lvl w:ilvl="0" w:tplc="8BA6EBAA">
      <w:start w:val="1"/>
      <w:numFmt w:val="bullet"/>
      <w:lvlText w:val=""/>
      <w:lvlJc w:val="left"/>
      <w:pPr>
        <w:ind w:left="720" w:hanging="360"/>
      </w:pPr>
      <w:rPr>
        <w:rFonts w:ascii="Symbol" w:hAnsi="Symbol" w:hint="default"/>
        <w:sz w:val="32"/>
      </w:rPr>
    </w:lvl>
    <w:lvl w:ilvl="1" w:tplc="694017F4" w:tentative="1">
      <w:start w:val="1"/>
      <w:numFmt w:val="bullet"/>
      <w:lvlText w:val="o"/>
      <w:lvlJc w:val="left"/>
      <w:pPr>
        <w:ind w:left="1440" w:hanging="360"/>
      </w:pPr>
      <w:rPr>
        <w:rFonts w:ascii="Courier New" w:hAnsi="Courier New" w:cs="Courier New" w:hint="default"/>
      </w:rPr>
    </w:lvl>
    <w:lvl w:ilvl="2" w:tplc="5B625C52" w:tentative="1">
      <w:start w:val="1"/>
      <w:numFmt w:val="bullet"/>
      <w:lvlText w:val=""/>
      <w:lvlJc w:val="left"/>
      <w:pPr>
        <w:ind w:left="2160" w:hanging="360"/>
      </w:pPr>
      <w:rPr>
        <w:rFonts w:ascii="Wingdings" w:hAnsi="Wingdings" w:hint="default"/>
      </w:rPr>
    </w:lvl>
    <w:lvl w:ilvl="3" w:tplc="2676D322" w:tentative="1">
      <w:start w:val="1"/>
      <w:numFmt w:val="bullet"/>
      <w:lvlText w:val=""/>
      <w:lvlJc w:val="left"/>
      <w:pPr>
        <w:ind w:left="2880" w:hanging="360"/>
      </w:pPr>
      <w:rPr>
        <w:rFonts w:ascii="Symbol" w:hAnsi="Symbol" w:hint="default"/>
      </w:rPr>
    </w:lvl>
    <w:lvl w:ilvl="4" w:tplc="79F6786A" w:tentative="1">
      <w:start w:val="1"/>
      <w:numFmt w:val="bullet"/>
      <w:lvlText w:val="o"/>
      <w:lvlJc w:val="left"/>
      <w:pPr>
        <w:ind w:left="3600" w:hanging="360"/>
      </w:pPr>
      <w:rPr>
        <w:rFonts w:ascii="Courier New" w:hAnsi="Courier New" w:cs="Courier New" w:hint="default"/>
      </w:rPr>
    </w:lvl>
    <w:lvl w:ilvl="5" w:tplc="F2CE8BD8" w:tentative="1">
      <w:start w:val="1"/>
      <w:numFmt w:val="bullet"/>
      <w:lvlText w:val=""/>
      <w:lvlJc w:val="left"/>
      <w:pPr>
        <w:ind w:left="4320" w:hanging="360"/>
      </w:pPr>
      <w:rPr>
        <w:rFonts w:ascii="Wingdings" w:hAnsi="Wingdings" w:hint="default"/>
      </w:rPr>
    </w:lvl>
    <w:lvl w:ilvl="6" w:tplc="70608082" w:tentative="1">
      <w:start w:val="1"/>
      <w:numFmt w:val="bullet"/>
      <w:lvlText w:val=""/>
      <w:lvlJc w:val="left"/>
      <w:pPr>
        <w:ind w:left="5040" w:hanging="360"/>
      </w:pPr>
      <w:rPr>
        <w:rFonts w:ascii="Symbol" w:hAnsi="Symbol" w:hint="default"/>
      </w:rPr>
    </w:lvl>
    <w:lvl w:ilvl="7" w:tplc="7F36B2C6" w:tentative="1">
      <w:start w:val="1"/>
      <w:numFmt w:val="bullet"/>
      <w:lvlText w:val="o"/>
      <w:lvlJc w:val="left"/>
      <w:pPr>
        <w:ind w:left="5760" w:hanging="360"/>
      </w:pPr>
      <w:rPr>
        <w:rFonts w:ascii="Courier New" w:hAnsi="Courier New" w:cs="Courier New" w:hint="default"/>
      </w:rPr>
    </w:lvl>
    <w:lvl w:ilvl="8" w:tplc="E684F85C" w:tentative="1">
      <w:start w:val="1"/>
      <w:numFmt w:val="bullet"/>
      <w:lvlText w:val=""/>
      <w:lvlJc w:val="left"/>
      <w:pPr>
        <w:ind w:left="6480" w:hanging="360"/>
      </w:pPr>
      <w:rPr>
        <w:rFonts w:ascii="Wingdings" w:hAnsi="Wingdings" w:hint="default"/>
      </w:rPr>
    </w:lvl>
  </w:abstractNum>
  <w:abstractNum w:abstractNumId="1" w15:restartNumberingAfterBreak="0">
    <w:nsid w:val="310E13CB"/>
    <w:multiLevelType w:val="hybridMultilevel"/>
    <w:tmpl w:val="1380834C"/>
    <w:lvl w:ilvl="0" w:tplc="27F8DABE">
      <w:start w:val="1"/>
      <w:numFmt w:val="bullet"/>
      <w:lvlText w:val=""/>
      <w:lvlJc w:val="left"/>
      <w:pPr>
        <w:ind w:left="720" w:hanging="360"/>
      </w:pPr>
      <w:rPr>
        <w:rFonts w:ascii="Symbol" w:hAnsi="Symbol" w:hint="default"/>
        <w:sz w:val="32"/>
        <w:szCs w:val="32"/>
      </w:rPr>
    </w:lvl>
    <w:lvl w:ilvl="1" w:tplc="561E37CA">
      <w:start w:val="1"/>
      <w:numFmt w:val="bullet"/>
      <w:lvlText w:val="o"/>
      <w:lvlJc w:val="left"/>
      <w:pPr>
        <w:ind w:left="1440" w:hanging="360"/>
      </w:pPr>
      <w:rPr>
        <w:rFonts w:ascii="Courier New" w:hAnsi="Courier New" w:cs="Courier New" w:hint="default"/>
      </w:rPr>
    </w:lvl>
    <w:lvl w:ilvl="2" w:tplc="BC603D56">
      <w:start w:val="1"/>
      <w:numFmt w:val="bullet"/>
      <w:lvlText w:val=""/>
      <w:lvlJc w:val="left"/>
      <w:pPr>
        <w:ind w:left="2160" w:hanging="360"/>
      </w:pPr>
      <w:rPr>
        <w:rFonts w:ascii="Wingdings" w:hAnsi="Wingdings" w:hint="default"/>
      </w:rPr>
    </w:lvl>
    <w:lvl w:ilvl="3" w:tplc="8EC0E912" w:tentative="1">
      <w:start w:val="1"/>
      <w:numFmt w:val="bullet"/>
      <w:lvlText w:val=""/>
      <w:lvlJc w:val="left"/>
      <w:pPr>
        <w:ind w:left="2880" w:hanging="360"/>
      </w:pPr>
      <w:rPr>
        <w:rFonts w:ascii="Symbol" w:hAnsi="Symbol" w:hint="default"/>
      </w:rPr>
    </w:lvl>
    <w:lvl w:ilvl="4" w:tplc="F0B86238" w:tentative="1">
      <w:start w:val="1"/>
      <w:numFmt w:val="bullet"/>
      <w:lvlText w:val="o"/>
      <w:lvlJc w:val="left"/>
      <w:pPr>
        <w:ind w:left="3600" w:hanging="360"/>
      </w:pPr>
      <w:rPr>
        <w:rFonts w:ascii="Courier New" w:hAnsi="Courier New" w:cs="Courier New" w:hint="default"/>
      </w:rPr>
    </w:lvl>
    <w:lvl w:ilvl="5" w:tplc="71A2D2D0" w:tentative="1">
      <w:start w:val="1"/>
      <w:numFmt w:val="bullet"/>
      <w:lvlText w:val=""/>
      <w:lvlJc w:val="left"/>
      <w:pPr>
        <w:ind w:left="4320" w:hanging="360"/>
      </w:pPr>
      <w:rPr>
        <w:rFonts w:ascii="Wingdings" w:hAnsi="Wingdings" w:hint="default"/>
      </w:rPr>
    </w:lvl>
    <w:lvl w:ilvl="6" w:tplc="F6B8BA02" w:tentative="1">
      <w:start w:val="1"/>
      <w:numFmt w:val="bullet"/>
      <w:lvlText w:val=""/>
      <w:lvlJc w:val="left"/>
      <w:pPr>
        <w:ind w:left="5040" w:hanging="360"/>
      </w:pPr>
      <w:rPr>
        <w:rFonts w:ascii="Symbol" w:hAnsi="Symbol" w:hint="default"/>
      </w:rPr>
    </w:lvl>
    <w:lvl w:ilvl="7" w:tplc="81925FFC" w:tentative="1">
      <w:start w:val="1"/>
      <w:numFmt w:val="bullet"/>
      <w:lvlText w:val="o"/>
      <w:lvlJc w:val="left"/>
      <w:pPr>
        <w:ind w:left="5760" w:hanging="360"/>
      </w:pPr>
      <w:rPr>
        <w:rFonts w:ascii="Courier New" w:hAnsi="Courier New" w:cs="Courier New" w:hint="default"/>
      </w:rPr>
    </w:lvl>
    <w:lvl w:ilvl="8" w:tplc="A7749A5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23CD7A-A6E6-4B5A-BB61-CD2EC24AC967}"/>
    <w:docVar w:name="dgnword-eventsink" w:val="848333400"/>
  </w:docVars>
  <w:rsids>
    <w:rsidRoot w:val="008D59F7"/>
    <w:rsid w:val="0001437F"/>
    <w:rsid w:val="000869A7"/>
    <w:rsid w:val="000907F5"/>
    <w:rsid w:val="00090B9A"/>
    <w:rsid w:val="0009700E"/>
    <w:rsid w:val="000E73C2"/>
    <w:rsid w:val="00121022"/>
    <w:rsid w:val="0017138B"/>
    <w:rsid w:val="002357A1"/>
    <w:rsid w:val="002A7AF2"/>
    <w:rsid w:val="00313294"/>
    <w:rsid w:val="003136DD"/>
    <w:rsid w:val="00375DAC"/>
    <w:rsid w:val="00445075"/>
    <w:rsid w:val="005A7E1A"/>
    <w:rsid w:val="00637ADC"/>
    <w:rsid w:val="006C32ED"/>
    <w:rsid w:val="00807606"/>
    <w:rsid w:val="00840A1A"/>
    <w:rsid w:val="008D154B"/>
    <w:rsid w:val="008D59F7"/>
    <w:rsid w:val="00917B2E"/>
    <w:rsid w:val="009245C0"/>
    <w:rsid w:val="00B62122"/>
    <w:rsid w:val="00C573B9"/>
    <w:rsid w:val="00CC4E34"/>
    <w:rsid w:val="00D14ED5"/>
    <w:rsid w:val="00D320B0"/>
    <w:rsid w:val="00E12C2C"/>
    <w:rsid w:val="00EE0C92"/>
    <w:rsid w:val="00F82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AA80"/>
  <w15:docId w15:val="{4E9DF691-26B3-4267-8B65-E3740B39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1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1187"/>
    <w:pPr>
      <w:ind w:left="720"/>
    </w:pPr>
    <w:rPr>
      <w:rFonts w:ascii="Times New Roman" w:eastAsia="Times New Roman" w:hAnsi="Times New Roman"/>
      <w:sz w:val="24"/>
      <w:szCs w:val="24"/>
      <w:lang w:eastAsia="en-CA"/>
    </w:rPr>
  </w:style>
  <w:style w:type="character" w:customStyle="1" w:styleId="ListParagraphChar">
    <w:name w:val="List Paragraph Char"/>
    <w:basedOn w:val="DefaultParagraphFont"/>
    <w:link w:val="ListParagraph"/>
    <w:uiPriority w:val="34"/>
    <w:rsid w:val="00CC1187"/>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C1187"/>
    <w:pPr>
      <w:tabs>
        <w:tab w:val="center" w:pos="4680"/>
        <w:tab w:val="right" w:pos="9360"/>
      </w:tabs>
    </w:pPr>
  </w:style>
  <w:style w:type="character" w:customStyle="1" w:styleId="HeaderChar">
    <w:name w:val="Header Char"/>
    <w:basedOn w:val="DefaultParagraphFont"/>
    <w:link w:val="Header"/>
    <w:uiPriority w:val="99"/>
    <w:rsid w:val="00CC1187"/>
    <w:rPr>
      <w:rFonts w:ascii="Calibri" w:hAnsi="Calibri" w:cs="Times New Roman"/>
    </w:rPr>
  </w:style>
  <w:style w:type="paragraph" w:styleId="Footer">
    <w:name w:val="footer"/>
    <w:basedOn w:val="Normal"/>
    <w:link w:val="FooterChar"/>
    <w:uiPriority w:val="99"/>
    <w:unhideWhenUsed/>
    <w:rsid w:val="00CC1187"/>
    <w:pPr>
      <w:tabs>
        <w:tab w:val="center" w:pos="4680"/>
        <w:tab w:val="right" w:pos="9360"/>
      </w:tabs>
    </w:pPr>
  </w:style>
  <w:style w:type="character" w:customStyle="1" w:styleId="FooterChar">
    <w:name w:val="Footer Char"/>
    <w:basedOn w:val="DefaultParagraphFont"/>
    <w:link w:val="Footer"/>
    <w:uiPriority w:val="99"/>
    <w:rsid w:val="00CC1187"/>
    <w:rPr>
      <w:rFonts w:ascii="Calibri" w:hAnsi="Calibri" w:cs="Times New Roman"/>
    </w:rPr>
  </w:style>
  <w:style w:type="character" w:styleId="CommentReference">
    <w:name w:val="annotation reference"/>
    <w:basedOn w:val="DefaultParagraphFont"/>
    <w:uiPriority w:val="99"/>
    <w:semiHidden/>
    <w:unhideWhenUsed/>
    <w:rsid w:val="00445075"/>
    <w:rPr>
      <w:sz w:val="16"/>
      <w:szCs w:val="16"/>
    </w:rPr>
  </w:style>
  <w:style w:type="paragraph" w:styleId="CommentText">
    <w:name w:val="annotation text"/>
    <w:basedOn w:val="Normal"/>
    <w:link w:val="CommentTextChar"/>
    <w:uiPriority w:val="99"/>
    <w:semiHidden/>
    <w:unhideWhenUsed/>
    <w:rsid w:val="00445075"/>
    <w:rPr>
      <w:sz w:val="20"/>
      <w:szCs w:val="20"/>
    </w:rPr>
  </w:style>
  <w:style w:type="character" w:customStyle="1" w:styleId="CommentTextChar">
    <w:name w:val="Comment Text Char"/>
    <w:basedOn w:val="DefaultParagraphFont"/>
    <w:link w:val="CommentText"/>
    <w:uiPriority w:val="99"/>
    <w:semiHidden/>
    <w:rsid w:val="004450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5075"/>
    <w:rPr>
      <w:b/>
      <w:bCs/>
    </w:rPr>
  </w:style>
  <w:style w:type="character" w:customStyle="1" w:styleId="CommentSubjectChar">
    <w:name w:val="Comment Subject Char"/>
    <w:basedOn w:val="CommentTextChar"/>
    <w:link w:val="CommentSubject"/>
    <w:uiPriority w:val="99"/>
    <w:semiHidden/>
    <w:rsid w:val="00445075"/>
    <w:rPr>
      <w:rFonts w:ascii="Calibri" w:hAnsi="Calibri" w:cs="Times New Roman"/>
      <w:b/>
      <w:bCs/>
      <w:sz w:val="20"/>
      <w:szCs w:val="20"/>
    </w:rPr>
  </w:style>
  <w:style w:type="paragraph" w:styleId="BalloonText">
    <w:name w:val="Balloon Text"/>
    <w:basedOn w:val="Normal"/>
    <w:link w:val="BalloonTextChar"/>
    <w:uiPriority w:val="99"/>
    <w:semiHidden/>
    <w:unhideWhenUsed/>
    <w:rsid w:val="00445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Amanda</dc:creator>
  <cp:lastModifiedBy>Leblanc, Isabelle</cp:lastModifiedBy>
  <cp:revision>2</cp:revision>
  <dcterms:created xsi:type="dcterms:W3CDTF">2019-04-15T12:41:00Z</dcterms:created>
  <dcterms:modified xsi:type="dcterms:W3CDTF">2019-04-15T12:41:00Z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3246b589-59d3-47aa-b006-fe50da337319</vt:lpwstr>
  </property>
  <property fmtid="{D5CDD505-2E9C-101B-9397-08002B2CF9AE}" pid="4" name="TBSSCTCLASSIFICATION">
    <vt:lpwstr>UNCLASSIFIED</vt:lpwstr>
  </property>
  <property fmtid="{D5CDD505-2E9C-101B-9397-08002B2CF9AE}" pid="5" name="TBSSCTVISUALMARKINGNO">
    <vt:lpwstr>NO</vt:lpwstr>
  </property>
</Properties>
</file>