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50C7" w14:textId="77777777" w:rsidR="00405AFF" w:rsidRPr="00321A2A" w:rsidRDefault="00405AFF" w:rsidP="00CB4558">
      <w:pPr>
        <w:rPr>
          <w:rFonts w:ascii="Arial" w:hAnsi="Arial" w:cs="Arial"/>
          <w:b/>
          <w:sz w:val="20"/>
          <w:szCs w:val="20"/>
        </w:rPr>
      </w:pPr>
      <w:r w:rsidRPr="00321A2A">
        <w:rPr>
          <w:rFonts w:ascii="Arial" w:hAnsi="Arial" w:cs="Arial"/>
          <w:b/>
          <w:sz w:val="20"/>
          <w:szCs w:val="20"/>
        </w:rPr>
        <w:t>Before you get started:</w:t>
      </w:r>
    </w:p>
    <w:p w14:paraId="6394CF9D" w14:textId="77777777" w:rsidR="00405AFF" w:rsidRPr="00321A2A" w:rsidRDefault="00405AFF" w:rsidP="00405AF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321A2A">
        <w:rPr>
          <w:rFonts w:ascii="Arial" w:hAnsi="Arial" w:cs="Arial"/>
          <w:sz w:val="20"/>
          <w:szCs w:val="20"/>
        </w:rPr>
        <w:t xml:space="preserve">Furniture is a mandatory commodity, refer to </w:t>
      </w:r>
      <w:r w:rsidRPr="00321A2A">
        <w:rPr>
          <w:rStyle w:val="Hyperlink"/>
          <w:rFonts w:ascii="Arial" w:hAnsi="Arial" w:cs="Arial"/>
          <w:sz w:val="20"/>
          <w:szCs w:val="20"/>
        </w:rPr>
        <w:t>3.5.1 Mandatory Standing Offers and Supply Arrangements</w:t>
      </w:r>
      <w:r w:rsidRPr="00321A2A">
        <w:rPr>
          <w:rFonts w:ascii="Arial" w:hAnsi="Arial" w:cs="Arial"/>
          <w:sz w:val="20"/>
          <w:szCs w:val="20"/>
        </w:rPr>
        <w:t xml:space="preserve"> of the Supply Manual found on </w:t>
      </w:r>
      <w:hyperlink r:id="rId7" w:history="1">
        <w:r w:rsidRPr="00321A2A">
          <w:rPr>
            <w:rStyle w:val="Hyperlink"/>
            <w:rFonts w:ascii="Arial" w:hAnsi="Arial" w:cs="Arial"/>
            <w:sz w:val="20"/>
            <w:szCs w:val="20"/>
          </w:rPr>
          <w:t>buyandsell.gc.ca</w:t>
        </w:r>
      </w:hyperlink>
    </w:p>
    <w:p w14:paraId="5EED9479" w14:textId="77777777" w:rsidR="00405AFF" w:rsidRPr="00321A2A" w:rsidRDefault="00405AFF" w:rsidP="00405AFF">
      <w:pPr>
        <w:pStyle w:val="ListParagraph"/>
        <w:numPr>
          <w:ilvl w:val="0"/>
          <w:numId w:val="1"/>
        </w:numPr>
        <w:ind w:left="531"/>
        <w:rPr>
          <w:rFonts w:ascii="Arial" w:hAnsi="Arial" w:cs="Arial"/>
          <w:sz w:val="20"/>
          <w:szCs w:val="20"/>
          <w:u w:val="single"/>
        </w:rPr>
      </w:pPr>
      <w:r w:rsidRPr="00321A2A">
        <w:rPr>
          <w:rFonts w:ascii="Arial" w:hAnsi="Arial" w:cs="Arial"/>
          <w:sz w:val="20"/>
          <w:szCs w:val="20"/>
        </w:rPr>
        <w:t>What products are available on the Supply Arrangement (SA)? Refer to the Product Summary document by category located beside each Client Search Tool on the Furniture website.</w:t>
      </w:r>
    </w:p>
    <w:p w14:paraId="5B65C903" w14:textId="77777777" w:rsidR="00405AFF" w:rsidRPr="00691600" w:rsidRDefault="00405AFF" w:rsidP="00CB4558">
      <w:pPr>
        <w:pStyle w:val="ListParagraph"/>
        <w:rPr>
          <w:rFonts w:ascii="Arial" w:hAnsi="Arial" w:cs="Arial"/>
          <w:sz w:val="20"/>
          <w:szCs w:val="20"/>
          <w:u w:val="single"/>
        </w:rPr>
      </w:pPr>
      <w:r w:rsidRPr="00321A2A">
        <w:rPr>
          <w:rFonts w:ascii="Arial" w:hAnsi="Arial" w:cs="Arial"/>
          <w:b/>
          <w:sz w:val="20"/>
          <w:szCs w:val="20"/>
        </w:rPr>
        <w:t>Furniture website:</w:t>
      </w:r>
      <w:r w:rsidRPr="00321A2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73C8F">
          <w:rPr>
            <w:rStyle w:val="Hyperlink"/>
            <w:rFonts w:ascii="Arial" w:hAnsi="Arial" w:cs="Arial"/>
            <w:sz w:val="20"/>
            <w:szCs w:val="20"/>
          </w:rPr>
          <w:t>http://www.gcpedia.gc.ca/wiki/Office_Furniture</w:t>
        </w:r>
      </w:hyperlink>
    </w:p>
    <w:p w14:paraId="6ADD56DF" w14:textId="77777777" w:rsidR="00405AFF" w:rsidRPr="00691600" w:rsidRDefault="00405AFF" w:rsidP="00405AFF">
      <w:pPr>
        <w:pStyle w:val="ListParagraph"/>
        <w:numPr>
          <w:ilvl w:val="0"/>
          <w:numId w:val="1"/>
        </w:numPr>
        <w:ind w:left="531"/>
        <w:rPr>
          <w:rFonts w:ascii="Arial" w:hAnsi="Arial" w:cs="Arial"/>
          <w:sz w:val="20"/>
          <w:szCs w:val="20"/>
          <w:u w:val="single"/>
        </w:rPr>
      </w:pPr>
      <w:r w:rsidRPr="00691600">
        <w:rPr>
          <w:rFonts w:ascii="Arial" w:hAnsi="Arial" w:cs="Arial"/>
          <w:sz w:val="20"/>
          <w:szCs w:val="20"/>
        </w:rPr>
        <w:t>Is this requirement being set aside for Procurement Strategy for Aboriginal Business (PSAB)</w:t>
      </w:r>
    </w:p>
    <w:tbl>
      <w:tblPr>
        <w:tblStyle w:val="TableGrid"/>
        <w:tblpPr w:leftFromText="180" w:rightFromText="180" w:vertAnchor="text" w:horzAnchor="margin" w:tblpY="31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D42FD" w:rsidRPr="000A5D78" w14:paraId="32AC9AE3" w14:textId="77777777" w:rsidTr="00E7722A">
        <w:tc>
          <w:tcPr>
            <w:tcW w:w="9918" w:type="dxa"/>
          </w:tcPr>
          <w:p w14:paraId="6C23C0E9" w14:textId="77777777" w:rsidR="006D42FD" w:rsidRPr="000A5D78" w:rsidRDefault="006D42FD" w:rsidP="008B0A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5D78">
              <w:rPr>
                <w:rFonts w:ascii="Arial" w:hAnsi="Arial" w:cs="Arial"/>
                <w:sz w:val="18"/>
                <w:szCs w:val="18"/>
              </w:rPr>
              <w:t>1. Define requirement and determine estimated value</w:t>
            </w:r>
          </w:p>
        </w:tc>
      </w:tr>
      <w:tr w:rsidR="006D42FD" w:rsidRPr="000A5D78" w14:paraId="4577E38F" w14:textId="77777777" w:rsidTr="00E7722A">
        <w:tc>
          <w:tcPr>
            <w:tcW w:w="9918" w:type="dxa"/>
          </w:tcPr>
          <w:p w14:paraId="22BED434" w14:textId="77777777" w:rsidR="006D42FD" w:rsidRPr="000A5D78" w:rsidRDefault="006D42FD" w:rsidP="000F00D7">
            <w:pPr>
              <w:rPr>
                <w:rFonts w:ascii="Arial" w:hAnsi="Arial" w:cs="Arial"/>
                <w:sz w:val="18"/>
                <w:szCs w:val="18"/>
              </w:rPr>
            </w:pPr>
            <w:r w:rsidRPr="000A5D78">
              <w:rPr>
                <w:rFonts w:ascii="Arial" w:hAnsi="Arial" w:cs="Arial"/>
                <w:sz w:val="18"/>
                <w:szCs w:val="18"/>
              </w:rPr>
              <w:t>Find your SA products:</w:t>
            </w:r>
          </w:p>
          <w:p w14:paraId="0DDF8B49" w14:textId="77777777" w:rsidR="006D42FD" w:rsidRPr="000A5D78" w:rsidRDefault="006D42FD" w:rsidP="000F00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EF326E" w14:textId="69986F6F" w:rsidR="006D42FD" w:rsidRPr="00405AFF" w:rsidRDefault="006D42FD" w:rsidP="000F00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trike/>
                <w:sz w:val="18"/>
                <w:szCs w:val="18"/>
              </w:rPr>
            </w:pPr>
            <w:r w:rsidRPr="00405AFF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</w:rPr>
              <w:t>Client Search Tool</w:t>
            </w:r>
            <w:r w:rsidR="002D0724" w:rsidRPr="00405AFF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</w:rPr>
              <w:t xml:space="preserve"> (Found on Furniture w</w:t>
            </w:r>
            <w:r w:rsidR="00C55D81" w:rsidRPr="00405AFF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</w:rPr>
              <w:t xml:space="preserve">ebsite): </w:t>
            </w:r>
            <w:r w:rsidRPr="00405AFF">
              <w:rPr>
                <w:rFonts w:ascii="Arial" w:hAnsi="Arial" w:cs="Arial"/>
                <w:sz w:val="18"/>
                <w:szCs w:val="18"/>
              </w:rPr>
              <w:t xml:space="preserve">This tool has instructions tab and provides an estimated value of the requirement and confirms that a product is part of the SA. It also provides a generic product code called </w:t>
            </w:r>
            <w:proofErr w:type="spellStart"/>
            <w:r w:rsidRPr="00405AFF">
              <w:rPr>
                <w:rFonts w:ascii="Arial" w:hAnsi="Arial" w:cs="Arial"/>
                <w:sz w:val="18"/>
                <w:szCs w:val="18"/>
              </w:rPr>
              <w:t>GoCUID</w:t>
            </w:r>
            <w:proofErr w:type="spellEnd"/>
            <w:r w:rsidRPr="00405AFF">
              <w:rPr>
                <w:rFonts w:ascii="Arial" w:hAnsi="Arial" w:cs="Arial"/>
                <w:sz w:val="18"/>
                <w:szCs w:val="18"/>
              </w:rPr>
              <w:t>. This product code is used to solicit bids</w:t>
            </w:r>
            <w:r w:rsidR="00500400" w:rsidRPr="00405AF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A6E87AC" w14:textId="77777777" w:rsidR="006D42FD" w:rsidRPr="00405AFF" w:rsidRDefault="00500400" w:rsidP="000F00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05AFF">
              <w:rPr>
                <w:rFonts w:ascii="Arial" w:hAnsi="Arial" w:cs="Arial"/>
                <w:b/>
                <w:sz w:val="18"/>
                <w:szCs w:val="18"/>
                <w:u w:val="single"/>
              </w:rPr>
              <w:t>Products not on the SA</w:t>
            </w:r>
            <w:r w:rsidR="00315C45" w:rsidRPr="00405A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6D42FD" w:rsidRPr="00405AFF">
              <w:rPr>
                <w:rFonts w:ascii="Arial" w:hAnsi="Arial" w:cs="Arial"/>
                <w:sz w:val="18"/>
                <w:szCs w:val="18"/>
              </w:rPr>
              <w:t>- N</w:t>
            </w:r>
            <w:r w:rsidRPr="00405AFF">
              <w:rPr>
                <w:rFonts w:ascii="Arial" w:hAnsi="Arial" w:cs="Arial"/>
                <w:sz w:val="18"/>
                <w:szCs w:val="18"/>
              </w:rPr>
              <w:t>on Supply Arrangement (NSA) products can be added to solicitations under the SA, r</w:t>
            </w:r>
            <w:r w:rsidR="006D42FD" w:rsidRPr="00405AFF">
              <w:rPr>
                <w:rFonts w:ascii="Arial" w:hAnsi="Arial" w:cs="Arial"/>
                <w:sz w:val="18"/>
                <w:szCs w:val="18"/>
              </w:rPr>
              <w:t>efer to Standard</w:t>
            </w:r>
            <w:r w:rsidRPr="00405AFF">
              <w:rPr>
                <w:rFonts w:ascii="Arial" w:hAnsi="Arial" w:cs="Arial"/>
                <w:sz w:val="18"/>
                <w:szCs w:val="18"/>
              </w:rPr>
              <w:t xml:space="preserve"> RFB </w:t>
            </w:r>
            <w:r w:rsidR="00315C45" w:rsidRPr="00405AFF">
              <w:rPr>
                <w:rFonts w:ascii="Arial" w:hAnsi="Arial" w:cs="Arial"/>
                <w:sz w:val="18"/>
                <w:szCs w:val="18"/>
              </w:rPr>
              <w:t xml:space="preserve">and Part 6B.4 article 4.1 of the SA </w:t>
            </w:r>
            <w:r w:rsidR="006D42FD" w:rsidRPr="00405AFF">
              <w:rPr>
                <w:rFonts w:ascii="Arial" w:hAnsi="Arial" w:cs="Arial"/>
                <w:sz w:val="18"/>
                <w:szCs w:val="18"/>
              </w:rPr>
              <w:t xml:space="preserve">for further information. </w:t>
            </w:r>
            <w:r w:rsidRPr="00405AFF">
              <w:rPr>
                <w:rFonts w:ascii="Arial" w:hAnsi="Arial" w:cs="Arial"/>
                <w:sz w:val="18"/>
                <w:szCs w:val="18"/>
              </w:rPr>
              <w:t xml:space="preserve"> Users may contact the </w:t>
            </w:r>
            <w:hyperlink r:id="rId9" w:history="1">
              <w:r w:rsidRPr="00405AFF">
                <w:rPr>
                  <w:rStyle w:val="Hyperlink"/>
                  <w:rFonts w:ascii="Arial" w:hAnsi="Arial" w:cs="Arial"/>
                  <w:sz w:val="18"/>
                  <w:szCs w:val="18"/>
                </w:rPr>
                <w:t>General mailbox</w:t>
              </w:r>
            </w:hyperlink>
            <w:r w:rsidRPr="00405AFF">
              <w:rPr>
                <w:rFonts w:ascii="Arial" w:hAnsi="Arial" w:cs="Arial"/>
                <w:sz w:val="18"/>
                <w:szCs w:val="18"/>
              </w:rPr>
              <w:t xml:space="preserve"> with the product information for further guidance.</w:t>
            </w:r>
          </w:p>
          <w:p w14:paraId="1D577F91" w14:textId="77777777" w:rsidR="006D42FD" w:rsidRPr="00405AFF" w:rsidRDefault="006D42FD" w:rsidP="000F00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5AC5A" w14:textId="77777777" w:rsidR="006D42FD" w:rsidRPr="00405AFF" w:rsidRDefault="006D42FD" w:rsidP="000F00D7">
            <w:pPr>
              <w:rPr>
                <w:rFonts w:ascii="Arial" w:hAnsi="Arial" w:cs="Arial"/>
                <w:sz w:val="18"/>
                <w:szCs w:val="18"/>
              </w:rPr>
            </w:pPr>
            <w:r w:rsidRPr="00405AFF">
              <w:rPr>
                <w:rFonts w:ascii="Arial" w:hAnsi="Arial" w:cs="Arial"/>
                <w:sz w:val="18"/>
                <w:szCs w:val="18"/>
              </w:rPr>
              <w:t>Users may refer to the supplier information table to determine which suppliers offer the category(</w:t>
            </w:r>
            <w:proofErr w:type="spellStart"/>
            <w:r w:rsidRPr="00405AFF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405AFF">
              <w:rPr>
                <w:rFonts w:ascii="Arial" w:hAnsi="Arial" w:cs="Arial"/>
                <w:sz w:val="18"/>
                <w:szCs w:val="18"/>
              </w:rPr>
              <w:t>) based on their requirement by</w:t>
            </w:r>
            <w:r w:rsidRPr="00405AFF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 w:rsidRPr="00405AFF">
              <w:rPr>
                <w:rFonts w:ascii="Arial" w:hAnsi="Arial" w:cs="Arial"/>
                <w:sz w:val="18"/>
                <w:szCs w:val="18"/>
              </w:rPr>
              <w:t>using the following:</w:t>
            </w:r>
          </w:p>
          <w:p w14:paraId="7A71C7E4" w14:textId="77777777" w:rsidR="006D42FD" w:rsidRPr="00405AFF" w:rsidRDefault="006D42FD" w:rsidP="000F00D7">
            <w:pPr>
              <w:rPr>
                <w:rStyle w:val="Hyperlink"/>
                <w:rFonts w:ascii="Arial" w:hAnsi="Arial" w:cs="Arial"/>
                <w:color w:val="0070C0"/>
                <w:sz w:val="18"/>
                <w:szCs w:val="18"/>
              </w:rPr>
            </w:pPr>
          </w:p>
          <w:p w14:paraId="7A0E75CD" w14:textId="3ABD69EB" w:rsidR="006D42FD" w:rsidRPr="00405AFF" w:rsidRDefault="006D42FD" w:rsidP="000F00D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i/>
                <w:sz w:val="18"/>
                <w:szCs w:val="18"/>
              </w:rPr>
            </w:pPr>
            <w:r w:rsidRPr="00405AFF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</w:rPr>
              <w:t>Supplier information Table</w:t>
            </w:r>
            <w:r w:rsidR="002D0724" w:rsidRPr="00405AFF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</w:rPr>
              <w:t>(Found on Furniture w</w:t>
            </w:r>
            <w:r w:rsidR="00C55D81" w:rsidRPr="00405AFF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</w:rPr>
              <w:t>ebsite)</w:t>
            </w:r>
            <w:r w:rsidRPr="00405AFF">
              <w:rPr>
                <w:rStyle w:val="Hyperlink"/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0F0EFCB0" w14:textId="77777777" w:rsidR="00DF5703" w:rsidRPr="00DF5703" w:rsidRDefault="00DF5703" w:rsidP="00DF570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DF5703">
              <w:rPr>
                <w:rFonts w:ascii="Arial" w:hAnsi="Arial" w:cs="Arial"/>
                <w:sz w:val="18"/>
                <w:szCs w:val="18"/>
              </w:rPr>
              <w:t>This table includes a list of all SA holders including coordinates of each supplier and a link to their website.  You will also find a list of categories offered per supplier as well as a link to their SOSA app where you will find the pricing and product list(s).</w:t>
            </w:r>
          </w:p>
          <w:p w14:paraId="17CA42F8" w14:textId="21E5FC5B" w:rsidR="006D42FD" w:rsidRPr="000A5D78" w:rsidRDefault="006D42FD" w:rsidP="00A5431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61B905" w14:textId="77777777" w:rsidR="008B0AFE" w:rsidRPr="000A5D78" w:rsidRDefault="008B0AFE" w:rsidP="008B0AFE">
      <w:pPr>
        <w:rPr>
          <w:rFonts w:ascii="Arial" w:hAnsi="Arial" w:cs="Arial"/>
          <w:b/>
          <w:sz w:val="18"/>
          <w:szCs w:val="18"/>
        </w:rPr>
      </w:pPr>
      <w:r w:rsidRPr="000A5D78">
        <w:rPr>
          <w:rFonts w:ascii="Arial" w:hAnsi="Arial" w:cs="Arial"/>
          <w:b/>
          <w:sz w:val="18"/>
          <w:szCs w:val="18"/>
        </w:rPr>
        <w:t>How do I buy furniture?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403630" w:rsidRPr="000A5D78" w14:paraId="66F6A1E4" w14:textId="77777777" w:rsidTr="00E7722A">
        <w:tc>
          <w:tcPr>
            <w:tcW w:w="9918" w:type="dxa"/>
            <w:gridSpan w:val="2"/>
          </w:tcPr>
          <w:p w14:paraId="7703C702" w14:textId="77777777" w:rsidR="00403630" w:rsidRPr="000A5D78" w:rsidRDefault="00403630" w:rsidP="00242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D78">
              <w:rPr>
                <w:rFonts w:ascii="Arial" w:hAnsi="Arial" w:cs="Arial"/>
                <w:sz w:val="18"/>
                <w:szCs w:val="18"/>
              </w:rPr>
              <w:t>Follow process by Tier</w:t>
            </w:r>
          </w:p>
        </w:tc>
      </w:tr>
      <w:tr w:rsidR="002421A3" w:rsidRPr="000A5D78" w14:paraId="177FCE38" w14:textId="77777777" w:rsidTr="00E7722A">
        <w:tc>
          <w:tcPr>
            <w:tcW w:w="4531" w:type="dxa"/>
          </w:tcPr>
          <w:p w14:paraId="1EADA5EF" w14:textId="77777777" w:rsidR="002421A3" w:rsidRPr="000A5D78" w:rsidRDefault="002421A3" w:rsidP="002421A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5D78">
              <w:rPr>
                <w:rFonts w:ascii="Arial" w:hAnsi="Arial" w:cs="Arial"/>
                <w:sz w:val="18"/>
                <w:szCs w:val="18"/>
              </w:rPr>
              <w:t xml:space="preserve">Estimated Value between </w:t>
            </w:r>
            <w:r w:rsidRPr="000A5D78">
              <w:rPr>
                <w:rFonts w:ascii="Arial" w:hAnsi="Arial" w:cs="Arial"/>
                <w:b/>
                <w:sz w:val="18"/>
                <w:szCs w:val="18"/>
              </w:rPr>
              <w:t>$25,000.00 - $399,999.99</w:t>
            </w:r>
          </w:p>
        </w:tc>
        <w:tc>
          <w:tcPr>
            <w:tcW w:w="5387" w:type="dxa"/>
          </w:tcPr>
          <w:p w14:paraId="06C39034" w14:textId="77777777" w:rsidR="002421A3" w:rsidRPr="000A5D78" w:rsidRDefault="002421A3" w:rsidP="00242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D78">
              <w:rPr>
                <w:rFonts w:ascii="Arial" w:hAnsi="Arial" w:cs="Arial"/>
                <w:sz w:val="18"/>
                <w:szCs w:val="18"/>
              </w:rPr>
              <w:t xml:space="preserve">Estimated Value </w:t>
            </w:r>
            <w:r w:rsidRPr="000A5D78">
              <w:rPr>
                <w:rFonts w:ascii="Arial" w:hAnsi="Arial" w:cs="Arial"/>
                <w:b/>
                <w:sz w:val="18"/>
                <w:szCs w:val="18"/>
              </w:rPr>
              <w:t>$400,000.00 +</w:t>
            </w:r>
          </w:p>
        </w:tc>
      </w:tr>
    </w:tbl>
    <w:p w14:paraId="1D16FE15" w14:textId="77777777" w:rsidR="00DD4440" w:rsidRPr="0098355E" w:rsidRDefault="00E7722A" w:rsidP="00E7722A">
      <w:pPr>
        <w:tabs>
          <w:tab w:val="left" w:pos="7032"/>
        </w:tabs>
        <w:rPr>
          <w:rFonts w:ascii="Arial" w:hAnsi="Arial" w:cs="Arial"/>
          <w:sz w:val="18"/>
          <w:szCs w:val="18"/>
        </w:rPr>
      </w:pPr>
      <w:r w:rsidRPr="0098355E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7C5A1" wp14:editId="1F85BA76">
                <wp:simplePos x="0" y="0"/>
                <wp:positionH relativeFrom="column">
                  <wp:posOffset>4282440</wp:posOffset>
                </wp:positionH>
                <wp:positionV relativeFrom="paragraph">
                  <wp:posOffset>96520</wp:posOffset>
                </wp:positionV>
                <wp:extent cx="289560" cy="274320"/>
                <wp:effectExtent l="19050" t="0" r="15240" b="3048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30A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37.2pt;margin-top:7.6pt;width:22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" adj="10800" fillcolor="#5b9bd5 [3204]" strokecolor="#1f4d78 [1604]" strokeweight="1pt"/>
            </w:pict>
          </mc:Fallback>
        </mc:AlternateContent>
      </w:r>
      <w:r w:rsidRPr="0098355E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EF5D7" wp14:editId="383A230E">
                <wp:simplePos x="0" y="0"/>
                <wp:positionH relativeFrom="column">
                  <wp:posOffset>929640</wp:posOffset>
                </wp:positionH>
                <wp:positionV relativeFrom="paragraph">
                  <wp:posOffset>88900</wp:posOffset>
                </wp:positionV>
                <wp:extent cx="289560" cy="320040"/>
                <wp:effectExtent l="19050" t="0" r="15240" b="4191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FE33" id="Down Arrow 6" o:spid="_x0000_s1026" type="#_x0000_t67" style="position:absolute;margin-left:73.2pt;margin-top:7pt;width:22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" adj="11829" fillcolor="#5b9bd5 [3204]" strokecolor="#1f4d78 [1604]" strokeweight="1pt"/>
            </w:pict>
          </mc:Fallback>
        </mc:AlternateContent>
      </w:r>
      <w:r w:rsidR="008B0AFE" w:rsidRPr="0098355E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Y="274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E7722A" w:rsidRPr="0098355E" w14:paraId="7931ECB3" w14:textId="77777777" w:rsidTr="00E7722A">
        <w:tc>
          <w:tcPr>
            <w:tcW w:w="4531" w:type="dxa"/>
          </w:tcPr>
          <w:p w14:paraId="161E26E6" w14:textId="77777777" w:rsidR="00E7722A" w:rsidRPr="0098355E" w:rsidRDefault="00E7722A" w:rsidP="00E7722A">
            <w:pPr>
              <w:rPr>
                <w:rFonts w:ascii="Arial" w:hAnsi="Arial" w:cs="Arial"/>
                <w:sz w:val="18"/>
                <w:szCs w:val="18"/>
              </w:rPr>
            </w:pPr>
            <w:r w:rsidRPr="0098355E">
              <w:rPr>
                <w:rFonts w:ascii="Arial" w:hAnsi="Arial" w:cs="Arial"/>
                <w:sz w:val="18"/>
                <w:szCs w:val="18"/>
              </w:rPr>
              <w:t>2</w:t>
            </w:r>
            <w:r w:rsidR="00386E7B" w:rsidRPr="0098355E">
              <w:rPr>
                <w:rFonts w:ascii="Arial" w:hAnsi="Arial" w:cs="Arial"/>
                <w:sz w:val="18"/>
                <w:szCs w:val="18"/>
              </w:rPr>
              <w:t>a</w:t>
            </w:r>
            <w:r w:rsidRPr="0098355E">
              <w:rPr>
                <w:rFonts w:ascii="Arial" w:hAnsi="Arial" w:cs="Arial"/>
                <w:sz w:val="18"/>
                <w:szCs w:val="18"/>
              </w:rPr>
              <w:t>. Prepare and issue Solicitation</w:t>
            </w:r>
          </w:p>
        </w:tc>
        <w:tc>
          <w:tcPr>
            <w:tcW w:w="5387" w:type="dxa"/>
          </w:tcPr>
          <w:p w14:paraId="1DC71308" w14:textId="77777777" w:rsidR="00E7722A" w:rsidRPr="0098355E" w:rsidRDefault="00E7722A" w:rsidP="00E7722A">
            <w:pPr>
              <w:rPr>
                <w:rFonts w:ascii="Arial" w:hAnsi="Arial" w:cs="Arial"/>
                <w:sz w:val="18"/>
                <w:szCs w:val="18"/>
              </w:rPr>
            </w:pPr>
            <w:r w:rsidRPr="0098355E">
              <w:rPr>
                <w:rFonts w:ascii="Arial" w:hAnsi="Arial" w:cs="Arial"/>
                <w:sz w:val="18"/>
                <w:szCs w:val="18"/>
              </w:rPr>
              <w:t>2</w:t>
            </w:r>
            <w:r w:rsidR="00386E7B" w:rsidRPr="0098355E">
              <w:rPr>
                <w:rFonts w:ascii="Arial" w:hAnsi="Arial" w:cs="Arial"/>
                <w:sz w:val="18"/>
                <w:szCs w:val="18"/>
              </w:rPr>
              <w:t>b</w:t>
            </w:r>
            <w:r w:rsidRPr="0098355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86E7B" w:rsidRPr="0098355E">
              <w:rPr>
                <w:rFonts w:ascii="Arial" w:hAnsi="Arial" w:cs="Arial"/>
                <w:sz w:val="18"/>
                <w:szCs w:val="18"/>
              </w:rPr>
              <w:t>Prepare and s</w:t>
            </w:r>
            <w:r w:rsidRPr="0098355E">
              <w:rPr>
                <w:rFonts w:ascii="Arial" w:hAnsi="Arial" w:cs="Arial"/>
                <w:sz w:val="18"/>
                <w:szCs w:val="18"/>
              </w:rPr>
              <w:t>end a funded requisition</w:t>
            </w:r>
          </w:p>
        </w:tc>
      </w:tr>
      <w:tr w:rsidR="00E7722A" w:rsidRPr="0098355E" w14:paraId="06C61226" w14:textId="77777777" w:rsidTr="00E7722A">
        <w:tc>
          <w:tcPr>
            <w:tcW w:w="4531" w:type="dxa"/>
          </w:tcPr>
          <w:p w14:paraId="0B528438" w14:textId="77777777" w:rsidR="00E7722A" w:rsidRPr="0098355E" w:rsidRDefault="00E7722A" w:rsidP="00E7722A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98355E">
              <w:rPr>
                <w:rFonts w:ascii="Arial" w:hAnsi="Arial" w:cs="Arial"/>
                <w:sz w:val="18"/>
                <w:szCs w:val="18"/>
              </w:rPr>
              <w:t xml:space="preserve">Complete the Standard RFB and Notice of Proposed Procurement (NPP) found in the templates section of the </w:t>
            </w:r>
            <w:hyperlink r:id="rId10" w:history="1">
              <w:r w:rsidRPr="0098355E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18"/>
                </w:rPr>
                <w:t>Furniture website</w:t>
              </w:r>
            </w:hyperlink>
          </w:p>
          <w:p w14:paraId="77A70F1D" w14:textId="731E8170" w:rsidR="00E7722A" w:rsidRPr="0098355E" w:rsidRDefault="00E7722A" w:rsidP="00E7722A">
            <w:pPr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98355E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Important: Insert quantities and </w:t>
            </w:r>
            <w:proofErr w:type="spellStart"/>
            <w:r w:rsidRPr="0098355E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GoCUIDs</w:t>
            </w:r>
            <w:proofErr w:type="spellEnd"/>
            <w:r w:rsidRPr="0098355E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for products in</w:t>
            </w:r>
            <w:r w:rsidR="002D0724" w:rsidRPr="0098355E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Categories 1b</w:t>
            </w:r>
            <w:r w:rsidRPr="0098355E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-6 at Annex A and </w:t>
            </w:r>
            <w:r w:rsidR="002D0724" w:rsidRPr="0098355E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complete Annex C for Category 1a</w:t>
            </w:r>
            <w:r w:rsidRPr="0098355E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that includes floor plans and other documentation</w:t>
            </w:r>
            <w:r w:rsidR="002D0724" w:rsidRPr="0098355E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in RFB</w:t>
            </w:r>
            <w:r w:rsidRPr="0098355E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.</w:t>
            </w:r>
          </w:p>
          <w:p w14:paraId="5EFBC345" w14:textId="77777777" w:rsidR="00E7722A" w:rsidRPr="0098355E" w:rsidRDefault="00E7722A" w:rsidP="00E7722A">
            <w:pPr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</w:p>
          <w:p w14:paraId="7B7F1218" w14:textId="77777777" w:rsidR="00E7722A" w:rsidRPr="0098355E" w:rsidRDefault="00E7722A" w:rsidP="00E7722A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98355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Issue NPP and Solicitation (RFB) on Buy and Sell. </w:t>
            </w:r>
          </w:p>
          <w:p w14:paraId="54E60F5D" w14:textId="77777777" w:rsidR="00E7722A" w:rsidRPr="0098355E" w:rsidRDefault="00E7722A" w:rsidP="00E772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8355E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Minimum bidding period is 10 calendar days.</w:t>
            </w:r>
          </w:p>
        </w:tc>
        <w:tc>
          <w:tcPr>
            <w:tcW w:w="5387" w:type="dxa"/>
          </w:tcPr>
          <w:p w14:paraId="18E84B50" w14:textId="77777777" w:rsidR="00E7722A" w:rsidRPr="0098355E" w:rsidRDefault="00E7722A" w:rsidP="00E7722A">
            <w:pPr>
              <w:rPr>
                <w:rFonts w:ascii="Arial" w:hAnsi="Arial" w:cs="Arial"/>
                <w:sz w:val="18"/>
                <w:szCs w:val="18"/>
              </w:rPr>
            </w:pPr>
            <w:r w:rsidRPr="0098355E">
              <w:rPr>
                <w:rFonts w:ascii="Arial" w:hAnsi="Arial" w:cs="Arial"/>
                <w:sz w:val="18"/>
                <w:szCs w:val="18"/>
              </w:rPr>
              <w:t xml:space="preserve">Send a funded requisition to PSPC Central Allocations along with the following: </w:t>
            </w:r>
          </w:p>
          <w:p w14:paraId="229DFE73" w14:textId="77777777" w:rsidR="00E7722A" w:rsidRPr="0098355E" w:rsidRDefault="00E7722A" w:rsidP="00E7722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8355E">
              <w:rPr>
                <w:rFonts w:ascii="Arial" w:hAnsi="Arial" w:cs="Arial"/>
                <w:sz w:val="18"/>
                <w:szCs w:val="18"/>
              </w:rPr>
              <w:t>Set-Aside for PSAB or General procurement?</w:t>
            </w:r>
          </w:p>
          <w:p w14:paraId="22375912" w14:textId="2A715859" w:rsidR="00E7722A" w:rsidRPr="0098355E" w:rsidRDefault="00E7722A" w:rsidP="00E7722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8355E">
              <w:rPr>
                <w:rFonts w:ascii="Arial" w:hAnsi="Arial" w:cs="Arial"/>
                <w:sz w:val="18"/>
                <w:szCs w:val="18"/>
              </w:rPr>
              <w:t xml:space="preserve">list of all the </w:t>
            </w:r>
            <w:proofErr w:type="spellStart"/>
            <w:r w:rsidRPr="0098355E">
              <w:rPr>
                <w:rFonts w:ascii="Arial" w:hAnsi="Arial" w:cs="Arial"/>
                <w:sz w:val="18"/>
                <w:szCs w:val="18"/>
              </w:rPr>
              <w:t>GoCUIDs</w:t>
            </w:r>
            <w:proofErr w:type="spellEnd"/>
            <w:r w:rsidRPr="009835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0724" w:rsidRPr="0098355E">
              <w:rPr>
                <w:rFonts w:ascii="Arial" w:hAnsi="Arial" w:cs="Arial"/>
                <w:sz w:val="18"/>
                <w:szCs w:val="18"/>
              </w:rPr>
              <w:t>and quantities for Categories 1b</w:t>
            </w:r>
            <w:r w:rsidRPr="0098355E">
              <w:rPr>
                <w:rFonts w:ascii="Arial" w:hAnsi="Arial" w:cs="Arial"/>
                <w:sz w:val="18"/>
                <w:szCs w:val="18"/>
              </w:rPr>
              <w:t>-6</w:t>
            </w:r>
          </w:p>
          <w:p w14:paraId="4060D278" w14:textId="7A8E2CA0" w:rsidR="00E7722A" w:rsidRPr="0098355E" w:rsidRDefault="00E7722A" w:rsidP="00E7722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8355E">
              <w:rPr>
                <w:rFonts w:ascii="Arial" w:hAnsi="Arial" w:cs="Arial"/>
                <w:sz w:val="18"/>
                <w:szCs w:val="18"/>
              </w:rPr>
              <w:t>Floor Plans and all other necessary information stated in An</w:t>
            </w:r>
            <w:r w:rsidR="002D0724" w:rsidRPr="0098355E">
              <w:rPr>
                <w:rFonts w:ascii="Arial" w:hAnsi="Arial" w:cs="Arial"/>
                <w:sz w:val="18"/>
                <w:szCs w:val="18"/>
              </w:rPr>
              <w:t>nex C of the RFB for Category 1a</w:t>
            </w:r>
          </w:p>
          <w:p w14:paraId="5D7711A5" w14:textId="77777777" w:rsidR="00386E7B" w:rsidRPr="0098355E" w:rsidRDefault="00386E7B" w:rsidP="00386E7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BECCECB" w14:textId="77777777" w:rsidR="00386E7B" w:rsidRPr="0098355E" w:rsidRDefault="00386E7B" w:rsidP="00386E7B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98355E">
              <w:rPr>
                <w:rFonts w:ascii="Arial" w:hAnsi="Arial" w:cs="Arial"/>
                <w:i/>
                <w:sz w:val="18"/>
                <w:szCs w:val="18"/>
              </w:rPr>
              <w:t>**PSPC AB/AP performs Steps 2a and 3a**</w:t>
            </w:r>
          </w:p>
        </w:tc>
      </w:tr>
    </w:tbl>
    <w:p w14:paraId="77B2EB75" w14:textId="3A325B95" w:rsidR="00DD4440" w:rsidRPr="0098355E" w:rsidRDefault="00DD4440">
      <w:pPr>
        <w:rPr>
          <w:rFonts w:ascii="Arial" w:hAnsi="Arial" w:cs="Arial"/>
          <w:sz w:val="18"/>
          <w:szCs w:val="18"/>
        </w:rPr>
      </w:pPr>
    </w:p>
    <w:p w14:paraId="25FFD56D" w14:textId="38F0267D" w:rsidR="006D42FD" w:rsidRPr="0098355E" w:rsidRDefault="000A5D78">
      <w:pPr>
        <w:rPr>
          <w:rFonts w:ascii="Arial" w:hAnsi="Arial" w:cs="Arial"/>
          <w:sz w:val="18"/>
          <w:szCs w:val="18"/>
        </w:rPr>
      </w:pPr>
      <w:r w:rsidRPr="0098355E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FA3C8" wp14:editId="7F8A9F8E">
                <wp:simplePos x="0" y="0"/>
                <wp:positionH relativeFrom="margin">
                  <wp:posOffset>1234440</wp:posOffset>
                </wp:positionH>
                <wp:positionV relativeFrom="paragraph">
                  <wp:posOffset>1819275</wp:posOffset>
                </wp:positionV>
                <wp:extent cx="289560" cy="213360"/>
                <wp:effectExtent l="38100" t="0" r="15240" b="342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882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97.2pt;margin-top:143.25pt;width:22.8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9918"/>
      </w:tblGrid>
      <w:tr w:rsidR="0073078D" w:rsidRPr="0098355E" w14:paraId="67C30D89" w14:textId="77777777" w:rsidTr="0098355E">
        <w:tc>
          <w:tcPr>
            <w:tcW w:w="9918" w:type="dxa"/>
          </w:tcPr>
          <w:p w14:paraId="62AB7C0E" w14:textId="77777777" w:rsidR="0073078D" w:rsidRPr="0098355E" w:rsidRDefault="0073078D" w:rsidP="0073078D">
            <w:pPr>
              <w:rPr>
                <w:rFonts w:ascii="Arial" w:hAnsi="Arial" w:cs="Arial"/>
                <w:sz w:val="18"/>
                <w:szCs w:val="18"/>
              </w:rPr>
            </w:pPr>
            <w:r w:rsidRPr="0098355E">
              <w:rPr>
                <w:rFonts w:ascii="Arial" w:hAnsi="Arial" w:cs="Arial"/>
                <w:sz w:val="18"/>
                <w:szCs w:val="18"/>
              </w:rPr>
              <w:t>3</w:t>
            </w:r>
            <w:r w:rsidR="00386E7B" w:rsidRPr="0098355E">
              <w:rPr>
                <w:rFonts w:ascii="Arial" w:hAnsi="Arial" w:cs="Arial"/>
                <w:sz w:val="18"/>
                <w:szCs w:val="18"/>
              </w:rPr>
              <w:t>a</w:t>
            </w:r>
            <w:r w:rsidRPr="0098355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220A4" w:rsidRPr="0098355E">
              <w:rPr>
                <w:rFonts w:ascii="Arial" w:hAnsi="Arial" w:cs="Arial"/>
                <w:sz w:val="18"/>
                <w:szCs w:val="18"/>
              </w:rPr>
              <w:t xml:space="preserve">Evaluate and </w:t>
            </w:r>
            <w:r w:rsidRPr="0098355E">
              <w:rPr>
                <w:rFonts w:ascii="Arial" w:hAnsi="Arial" w:cs="Arial"/>
                <w:sz w:val="18"/>
                <w:szCs w:val="18"/>
              </w:rPr>
              <w:t>Award Contract</w:t>
            </w:r>
          </w:p>
        </w:tc>
      </w:tr>
      <w:tr w:rsidR="0073078D" w:rsidRPr="0098355E" w14:paraId="3812F952" w14:textId="77777777" w:rsidTr="0098355E">
        <w:trPr>
          <w:trHeight w:val="810"/>
        </w:trPr>
        <w:tc>
          <w:tcPr>
            <w:tcW w:w="9918" w:type="dxa"/>
          </w:tcPr>
          <w:p w14:paraId="40EB228D" w14:textId="5E02C390" w:rsidR="00E220A4" w:rsidRPr="0098355E" w:rsidRDefault="0073078D" w:rsidP="00E220A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8355E">
              <w:rPr>
                <w:rFonts w:ascii="Arial" w:hAnsi="Arial" w:cs="Arial"/>
                <w:sz w:val="18"/>
                <w:szCs w:val="18"/>
              </w:rPr>
              <w:t>Receive bids</w:t>
            </w:r>
          </w:p>
          <w:p w14:paraId="179956A3" w14:textId="77777777" w:rsidR="00E220A4" w:rsidRPr="0098355E" w:rsidRDefault="0073078D" w:rsidP="00E220A4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98355E">
              <w:rPr>
                <w:rFonts w:ascii="Arial" w:hAnsi="Arial" w:cs="Arial"/>
                <w:sz w:val="18"/>
                <w:szCs w:val="18"/>
              </w:rPr>
              <w:t xml:space="preserve">Evaluate bids, </w:t>
            </w:r>
            <w:r w:rsidRPr="0098355E">
              <w:rPr>
                <w:rFonts w:ascii="Arial" w:hAnsi="Arial" w:cs="Arial"/>
                <w:i/>
                <w:sz w:val="18"/>
                <w:szCs w:val="18"/>
              </w:rPr>
              <w:t xml:space="preserve">refer to Annex D – WTCM found </w:t>
            </w:r>
            <w:r w:rsidR="00E220A4" w:rsidRPr="0098355E">
              <w:rPr>
                <w:rFonts w:ascii="Arial" w:hAnsi="Arial" w:cs="Arial"/>
                <w:i/>
                <w:sz w:val="18"/>
                <w:szCs w:val="18"/>
              </w:rPr>
              <w:t xml:space="preserve">on the </w:t>
            </w:r>
            <w:hyperlink r:id="rId11" w:history="1">
              <w:r w:rsidR="00E220A4" w:rsidRPr="0098355E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18"/>
                  <w:u w:val="none"/>
                </w:rPr>
                <w:t>Furniture website</w:t>
              </w:r>
            </w:hyperlink>
            <w:r w:rsidR="00E220A4" w:rsidRPr="0098355E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="00E220A4" w:rsidRPr="0098355E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in particular articles 9-12 for evaluation procedures. </w:t>
            </w:r>
          </w:p>
          <w:p w14:paraId="709D75C4" w14:textId="2F3D12D1" w:rsidR="0073078D" w:rsidRPr="0098355E" w:rsidRDefault="00DA4347" w:rsidP="007307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8355E">
              <w:rPr>
                <w:rFonts w:ascii="Arial" w:hAnsi="Arial" w:cs="Arial"/>
                <w:sz w:val="18"/>
                <w:szCs w:val="18"/>
              </w:rPr>
              <w:t>The Responsive Bid with the lowest evaluated price will be recommended for award of a contract.</w:t>
            </w:r>
          </w:p>
          <w:p w14:paraId="63BBD623" w14:textId="77777777" w:rsidR="00E220A4" w:rsidRPr="0098355E" w:rsidRDefault="00E220A4" w:rsidP="00E22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DD58B" w14:textId="77777777" w:rsidR="009E3676" w:rsidRDefault="009E3676" w:rsidP="00B71F80">
      <w:pPr>
        <w:rPr>
          <w:rFonts w:ascii="Arial" w:hAnsi="Arial" w:cs="Arial"/>
          <w:i/>
          <w:sz w:val="18"/>
          <w:szCs w:val="18"/>
        </w:rPr>
      </w:pPr>
    </w:p>
    <w:p w14:paraId="0E68B5CF" w14:textId="461E928F" w:rsidR="00B71F80" w:rsidRPr="000A5D78" w:rsidRDefault="00B71F80" w:rsidP="00B71F80">
      <w:pPr>
        <w:rPr>
          <w:rFonts w:ascii="Arial" w:hAnsi="Arial" w:cs="Arial"/>
          <w:b/>
          <w:i/>
          <w:sz w:val="18"/>
          <w:szCs w:val="18"/>
        </w:rPr>
      </w:pPr>
      <w:r w:rsidRPr="0098355E">
        <w:rPr>
          <w:rFonts w:ascii="Arial" w:hAnsi="Arial" w:cs="Arial"/>
          <w:i/>
          <w:sz w:val="18"/>
          <w:szCs w:val="18"/>
        </w:rPr>
        <w:t xml:space="preserve">This is a high level process chart meant to show an overview of the Tier 2 and 3 process. For a more detailed instruction on any of the steps below, please consult the Furniture website or contact our </w:t>
      </w:r>
      <w:hyperlink r:id="rId12" w:history="1">
        <w:r w:rsidRPr="0098355E">
          <w:rPr>
            <w:rStyle w:val="Hyperlink"/>
            <w:rFonts w:ascii="Arial" w:hAnsi="Arial" w:cs="Arial"/>
            <w:i/>
            <w:sz w:val="18"/>
            <w:szCs w:val="18"/>
          </w:rPr>
          <w:t>General mailbox</w:t>
        </w:r>
      </w:hyperlink>
      <w:r w:rsidRPr="0098355E">
        <w:rPr>
          <w:rStyle w:val="Hyperlink"/>
          <w:rFonts w:ascii="Arial" w:hAnsi="Arial" w:cs="Arial"/>
          <w:i/>
          <w:sz w:val="18"/>
          <w:szCs w:val="18"/>
        </w:rPr>
        <w:t>.</w:t>
      </w:r>
    </w:p>
    <w:sectPr w:rsidR="00B71F80" w:rsidRPr="000A5D78" w:rsidSect="003640E2">
      <w:headerReference w:type="default" r:id="rId13"/>
      <w:pgSz w:w="12240" w:h="15840"/>
      <w:pgMar w:top="1440" w:right="1440" w:bottom="1440" w:left="144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A867D" w14:textId="77777777" w:rsidR="00A60C38" w:rsidRDefault="00A60C38" w:rsidP="008B0AFE">
      <w:pPr>
        <w:spacing w:after="0" w:line="240" w:lineRule="auto"/>
      </w:pPr>
      <w:r>
        <w:separator/>
      </w:r>
    </w:p>
  </w:endnote>
  <w:endnote w:type="continuationSeparator" w:id="0">
    <w:p w14:paraId="7C6712FD" w14:textId="77777777" w:rsidR="00A60C38" w:rsidRDefault="00A60C38" w:rsidP="008B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60D49" w14:textId="77777777" w:rsidR="00A60C38" w:rsidRDefault="00A60C38" w:rsidP="008B0AFE">
      <w:pPr>
        <w:spacing w:after="0" w:line="240" w:lineRule="auto"/>
      </w:pPr>
      <w:r>
        <w:separator/>
      </w:r>
    </w:p>
  </w:footnote>
  <w:footnote w:type="continuationSeparator" w:id="0">
    <w:p w14:paraId="5FCCAA85" w14:textId="77777777" w:rsidR="00A60C38" w:rsidRDefault="00A60C38" w:rsidP="008B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A400" w14:textId="77777777" w:rsidR="003640E2" w:rsidRDefault="003640E2" w:rsidP="003640E2">
    <w:pPr>
      <w:rPr>
        <w:rFonts w:ascii="Arial" w:hAnsi="Arial" w:cs="Arial"/>
        <w:b/>
        <w:sz w:val="20"/>
        <w:szCs w:val="20"/>
      </w:rPr>
    </w:pPr>
    <w:r>
      <w:tab/>
    </w:r>
    <w:r>
      <w:rPr>
        <w:rFonts w:ascii="Arial" w:hAnsi="Arial" w:cs="Arial"/>
        <w:b/>
        <w:sz w:val="20"/>
        <w:szCs w:val="20"/>
      </w:rPr>
      <w:t>Standard RFB - Tier 2 and 3 process for Workspaces Supply Arrangement</w:t>
    </w:r>
  </w:p>
  <w:p w14:paraId="03DE65FA" w14:textId="77777777" w:rsidR="003640E2" w:rsidRDefault="003640E2" w:rsidP="003640E2">
    <w:pPr>
      <w:jc w:val="center"/>
    </w:pPr>
    <w:r>
      <w:rPr>
        <w:rFonts w:ascii="Arial" w:hAnsi="Arial" w:cs="Arial"/>
        <w:b/>
        <w:sz w:val="20"/>
        <w:szCs w:val="20"/>
      </w:rPr>
      <w:t>Requirements $25,000.00 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A071D"/>
    <w:multiLevelType w:val="hybridMultilevel"/>
    <w:tmpl w:val="1094667A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61211"/>
    <w:multiLevelType w:val="hybridMultilevel"/>
    <w:tmpl w:val="35B82FC4"/>
    <w:lvl w:ilvl="0" w:tplc="D40A02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57BFA"/>
    <w:multiLevelType w:val="hybridMultilevel"/>
    <w:tmpl w:val="DC0EC7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624C23"/>
    <w:multiLevelType w:val="hybridMultilevel"/>
    <w:tmpl w:val="6DC6D3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179F2"/>
    <w:multiLevelType w:val="hybridMultilevel"/>
    <w:tmpl w:val="7BE21642"/>
    <w:lvl w:ilvl="0" w:tplc="20DC1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8B0"/>
    <w:multiLevelType w:val="hybridMultilevel"/>
    <w:tmpl w:val="ED0EDAA4"/>
    <w:lvl w:ilvl="0" w:tplc="988E2F02">
      <w:start w:val="1"/>
      <w:numFmt w:val="decimal"/>
      <w:lvlText w:val="%1."/>
      <w:lvlJc w:val="left"/>
      <w:pPr>
        <w:ind w:left="501" w:hanging="360"/>
      </w:pPr>
      <w:rPr>
        <w:i w:val="0"/>
        <w:color w:val="auto"/>
      </w:rPr>
    </w:lvl>
    <w:lvl w:ilvl="1" w:tplc="4894D2F2">
      <w:start w:val="1"/>
      <w:numFmt w:val="lowerLetter"/>
      <w:lvlText w:val="%2."/>
      <w:lvlJc w:val="left"/>
      <w:pPr>
        <w:ind w:left="1221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941" w:hanging="180"/>
      </w:pPr>
    </w:lvl>
    <w:lvl w:ilvl="3" w:tplc="1009000F" w:tentative="1">
      <w:start w:val="1"/>
      <w:numFmt w:val="decimal"/>
      <w:lvlText w:val="%4."/>
      <w:lvlJc w:val="left"/>
      <w:pPr>
        <w:ind w:left="2661" w:hanging="360"/>
      </w:pPr>
    </w:lvl>
    <w:lvl w:ilvl="4" w:tplc="10090019" w:tentative="1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D7D60D9"/>
    <w:multiLevelType w:val="hybridMultilevel"/>
    <w:tmpl w:val="21566476"/>
    <w:lvl w:ilvl="0" w:tplc="4650D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60F59"/>
    <w:multiLevelType w:val="hybridMultilevel"/>
    <w:tmpl w:val="CEEEFC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EA"/>
    <w:rsid w:val="00004B62"/>
    <w:rsid w:val="000A5D78"/>
    <w:rsid w:val="000F00D7"/>
    <w:rsid w:val="002421A3"/>
    <w:rsid w:val="002A6F2B"/>
    <w:rsid w:val="002D0724"/>
    <w:rsid w:val="00311019"/>
    <w:rsid w:val="00315C45"/>
    <w:rsid w:val="003640E2"/>
    <w:rsid w:val="00386E7B"/>
    <w:rsid w:val="00403630"/>
    <w:rsid w:val="00405AFF"/>
    <w:rsid w:val="0047222C"/>
    <w:rsid w:val="00500400"/>
    <w:rsid w:val="00552112"/>
    <w:rsid w:val="00563D38"/>
    <w:rsid w:val="00633225"/>
    <w:rsid w:val="006D42FD"/>
    <w:rsid w:val="0072709F"/>
    <w:rsid w:val="0073078D"/>
    <w:rsid w:val="0077781C"/>
    <w:rsid w:val="008B0AFE"/>
    <w:rsid w:val="008F09BE"/>
    <w:rsid w:val="00970299"/>
    <w:rsid w:val="00973C8F"/>
    <w:rsid w:val="0098355E"/>
    <w:rsid w:val="00990B5F"/>
    <w:rsid w:val="009A1CB8"/>
    <w:rsid w:val="009E3676"/>
    <w:rsid w:val="00A32E4F"/>
    <w:rsid w:val="00A54314"/>
    <w:rsid w:val="00A60C38"/>
    <w:rsid w:val="00A70F95"/>
    <w:rsid w:val="00B71F80"/>
    <w:rsid w:val="00B86AD1"/>
    <w:rsid w:val="00C55D81"/>
    <w:rsid w:val="00C8463F"/>
    <w:rsid w:val="00D15262"/>
    <w:rsid w:val="00DA4347"/>
    <w:rsid w:val="00DD4440"/>
    <w:rsid w:val="00DF5703"/>
    <w:rsid w:val="00E220A4"/>
    <w:rsid w:val="00E64169"/>
    <w:rsid w:val="00E76994"/>
    <w:rsid w:val="00E7722A"/>
    <w:rsid w:val="00EB5AEA"/>
    <w:rsid w:val="00ED4687"/>
    <w:rsid w:val="00F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267B"/>
  <w15:chartTrackingRefBased/>
  <w15:docId w15:val="{64FC8F1A-C5CF-4C5B-8FD4-1D350559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FE"/>
  </w:style>
  <w:style w:type="paragraph" w:styleId="Footer">
    <w:name w:val="footer"/>
    <w:basedOn w:val="Normal"/>
    <w:link w:val="FooterChar"/>
    <w:uiPriority w:val="99"/>
    <w:unhideWhenUsed/>
    <w:rsid w:val="008B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FE"/>
  </w:style>
  <w:style w:type="paragraph" w:styleId="ListParagraph">
    <w:name w:val="List Paragraph"/>
    <w:basedOn w:val="Normal"/>
    <w:uiPriority w:val="34"/>
    <w:qFormat/>
    <w:rsid w:val="008B0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A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6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pedia.gc.ca/wiki/Office_Furnitur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yandsell.gc.ca/" TargetMode="External"/><Relationship Id="rId12" Type="http://schemas.openxmlformats.org/officeDocument/2006/relationships/hyperlink" Target="mailto:TPSGC.PARCNAmeublement-APNCRFurniture.PWGSC@tpsgc-pwgsc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cpedia.gc.ca/wiki/Workspaces_Supply_Arrangem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cpedia.gc.ca/wiki/Workspaces_Supply_Arrang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SGC.PARCNAmeublement-APNCRFurniture.PWGSC@tpsgc-pwgsc.g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Clouthier</dc:creator>
  <cp:keywords/>
  <dc:description/>
  <cp:lastModifiedBy>Paul Kavanagh (M)</cp:lastModifiedBy>
  <cp:revision>3</cp:revision>
  <cp:lastPrinted>2019-04-01T17:20:00Z</cp:lastPrinted>
  <dcterms:created xsi:type="dcterms:W3CDTF">2021-08-10T16:49:00Z</dcterms:created>
  <dcterms:modified xsi:type="dcterms:W3CDTF">2021-08-10T16:53:00Z</dcterms:modified>
</cp:coreProperties>
</file>