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940C15" w14:textId="77777777" w:rsidR="009102D4" w:rsidRDefault="00545F79">
      <w:pPr>
        <w:jc w:val="center"/>
        <w:rPr>
          <w:rFonts w:ascii="Calibri" w:eastAsia="Calibri" w:hAnsi="Calibri" w:cs="Calibri"/>
          <w:color w:val="0B5394"/>
          <w:sz w:val="28"/>
          <w:szCs w:val="28"/>
        </w:rPr>
      </w:pPr>
      <w:r>
        <w:rPr>
          <w:rFonts w:ascii="Calibri" w:eastAsia="Calibri" w:hAnsi="Calibri" w:cs="Calibri"/>
          <w:color w:val="0B5394"/>
          <w:sz w:val="28"/>
          <w:szCs w:val="28"/>
        </w:rPr>
        <w:t xml:space="preserve">OCHRO RET presents Show the Thing </w:t>
      </w:r>
    </w:p>
    <w:p w14:paraId="6EA06ECC" w14:textId="77777777" w:rsidR="009102D4" w:rsidRDefault="00545F79">
      <w:pPr>
        <w:jc w:val="center"/>
        <w:rPr>
          <w:rFonts w:ascii="Calibri" w:eastAsia="Calibri" w:hAnsi="Calibri" w:cs="Calibri"/>
          <w:color w:val="0B5394"/>
          <w:sz w:val="28"/>
          <w:szCs w:val="28"/>
        </w:rPr>
      </w:pPr>
      <w:r>
        <w:rPr>
          <w:rFonts w:ascii="Calibri" w:eastAsia="Calibri" w:hAnsi="Calibri" w:cs="Calibri"/>
          <w:color w:val="0B5394"/>
          <w:sz w:val="28"/>
          <w:szCs w:val="28"/>
        </w:rPr>
        <w:t>Outcomes -- Session one: 2021.06.15</w:t>
      </w:r>
    </w:p>
    <w:p w14:paraId="1BC77AFA" w14:textId="77777777" w:rsidR="009102D4" w:rsidRDefault="009102D4">
      <w:pPr>
        <w:rPr>
          <w:rFonts w:ascii="Calibri" w:eastAsia="Calibri" w:hAnsi="Calibri" w:cs="Calibri"/>
          <w:sz w:val="24"/>
          <w:szCs w:val="24"/>
        </w:rPr>
      </w:pPr>
    </w:p>
    <w:p w14:paraId="4EC58DD4" w14:textId="77777777" w:rsidR="009102D4" w:rsidRDefault="00545F79">
      <w:pPr>
        <w:rPr>
          <w:rFonts w:ascii="Calibri" w:eastAsia="Calibri" w:hAnsi="Calibri" w:cs="Calibri"/>
          <w:color w:val="0B5394"/>
          <w:sz w:val="24"/>
          <w:szCs w:val="24"/>
        </w:rPr>
      </w:pPr>
      <w:r>
        <w:rPr>
          <w:rFonts w:ascii="Calibri" w:eastAsia="Calibri" w:hAnsi="Calibri" w:cs="Calibri"/>
          <w:color w:val="0B5394"/>
          <w:sz w:val="24"/>
          <w:szCs w:val="24"/>
        </w:rPr>
        <w:t xml:space="preserve">Re: Thanks for joining us last week </w:t>
      </w:r>
    </w:p>
    <w:p w14:paraId="0BDEE306"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 xml:space="preserve">Thanks to everyone who joined us for our first “show the thing” session last week! Here’s a synopsis of what we covered, what we learned, and some next steps. </w:t>
      </w:r>
    </w:p>
    <w:p w14:paraId="00B80AF7" w14:textId="77777777" w:rsidR="009102D4" w:rsidRDefault="009102D4">
      <w:pPr>
        <w:spacing w:line="240" w:lineRule="auto"/>
        <w:rPr>
          <w:rFonts w:ascii="Calibri" w:eastAsia="Calibri" w:hAnsi="Calibri" w:cs="Calibri"/>
          <w:sz w:val="24"/>
          <w:szCs w:val="24"/>
        </w:rPr>
      </w:pPr>
    </w:p>
    <w:p w14:paraId="2F895888" w14:textId="77777777" w:rsidR="009102D4" w:rsidRDefault="00545F79">
      <w:pPr>
        <w:spacing w:line="240" w:lineRule="auto"/>
        <w:rPr>
          <w:rFonts w:ascii="Calibri" w:eastAsia="Calibri" w:hAnsi="Calibri" w:cs="Calibri"/>
          <w:b/>
          <w:i/>
          <w:sz w:val="24"/>
          <w:szCs w:val="24"/>
        </w:rPr>
      </w:pPr>
      <w:r>
        <w:rPr>
          <w:rFonts w:ascii="Calibri" w:eastAsia="Calibri" w:hAnsi="Calibri" w:cs="Calibri"/>
          <w:b/>
          <w:i/>
          <w:sz w:val="24"/>
          <w:szCs w:val="24"/>
        </w:rPr>
        <w:t>Our idea: Start to convene spaces for GC colleagues working on HR Experimentation to share thei</w:t>
      </w:r>
      <w:r>
        <w:rPr>
          <w:rFonts w:ascii="Calibri" w:eastAsia="Calibri" w:hAnsi="Calibri" w:cs="Calibri"/>
          <w:b/>
          <w:i/>
          <w:sz w:val="24"/>
          <w:szCs w:val="24"/>
        </w:rPr>
        <w:t>r works in progress.</w:t>
      </w:r>
    </w:p>
    <w:p w14:paraId="43163917"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 xml:space="preserve">Our session last week was the first in what we hope will be a series. We’ll start by convening these approximately every couple of </w:t>
      </w:r>
      <w:proofErr w:type="gramStart"/>
      <w:r>
        <w:rPr>
          <w:rFonts w:ascii="Calibri" w:eastAsia="Calibri" w:hAnsi="Calibri" w:cs="Calibri"/>
          <w:sz w:val="24"/>
          <w:szCs w:val="24"/>
        </w:rPr>
        <w:t>weeks, and</w:t>
      </w:r>
      <w:proofErr w:type="gramEnd"/>
      <w:r>
        <w:rPr>
          <w:rFonts w:ascii="Calibri" w:eastAsia="Calibri" w:hAnsi="Calibri" w:cs="Calibri"/>
          <w:sz w:val="24"/>
          <w:szCs w:val="24"/>
        </w:rPr>
        <w:t xml:space="preserve"> adjust accordingly. Our Research and Experimentation team at OCHRO has some things to share a</w:t>
      </w:r>
      <w:r>
        <w:rPr>
          <w:rFonts w:ascii="Calibri" w:eastAsia="Calibri" w:hAnsi="Calibri" w:cs="Calibri"/>
          <w:sz w:val="24"/>
          <w:szCs w:val="24"/>
        </w:rPr>
        <w:t>nd seek feedback on, and we’re excited to connect with colleagues and see what’s out there. What’s “show the thing?” We didn’t invent it, but than our #GCdigital colleagues for the inspiration to get started. To “show the thing” is to present work in progr</w:t>
      </w:r>
      <w:r>
        <w:rPr>
          <w:rFonts w:ascii="Calibri" w:eastAsia="Calibri" w:hAnsi="Calibri" w:cs="Calibri"/>
          <w:sz w:val="24"/>
          <w:szCs w:val="24"/>
        </w:rPr>
        <w:t xml:space="preserve">ess. Not just to talk about it, but to present prototypes or early versions. It also means sharing early versions, getting feedback, and sharing things we’ve learned about our methods and results along the way. It helps us iterate and improve. </w:t>
      </w:r>
    </w:p>
    <w:p w14:paraId="46990AF9" w14:textId="77777777" w:rsidR="009102D4" w:rsidRDefault="009102D4">
      <w:pPr>
        <w:spacing w:line="240" w:lineRule="auto"/>
        <w:rPr>
          <w:rFonts w:ascii="Calibri" w:eastAsia="Calibri" w:hAnsi="Calibri" w:cs="Calibri"/>
          <w:sz w:val="24"/>
          <w:szCs w:val="24"/>
        </w:rPr>
      </w:pPr>
    </w:p>
    <w:p w14:paraId="7846CBEB" w14:textId="77777777" w:rsidR="009102D4" w:rsidRDefault="00545F79">
      <w:pPr>
        <w:spacing w:line="240" w:lineRule="auto"/>
        <w:rPr>
          <w:rFonts w:ascii="Calibri" w:eastAsia="Calibri" w:hAnsi="Calibri" w:cs="Calibri"/>
          <w:i/>
          <w:sz w:val="24"/>
          <w:szCs w:val="24"/>
        </w:rPr>
      </w:pPr>
      <w:r>
        <w:rPr>
          <w:rFonts w:ascii="Calibri" w:eastAsia="Calibri" w:hAnsi="Calibri" w:cs="Calibri"/>
          <w:b/>
          <w:i/>
          <w:sz w:val="24"/>
          <w:szCs w:val="24"/>
        </w:rPr>
        <w:t>Session On</w:t>
      </w:r>
      <w:r>
        <w:rPr>
          <w:rFonts w:ascii="Calibri" w:eastAsia="Calibri" w:hAnsi="Calibri" w:cs="Calibri"/>
          <w:b/>
          <w:i/>
          <w:sz w:val="24"/>
          <w:szCs w:val="24"/>
        </w:rPr>
        <w:t>e: We shared some of the assumptions behind our work on the Research and Experimentation team, as well as our current thinking on a project evaluation framework</w:t>
      </w:r>
      <w:r>
        <w:rPr>
          <w:rFonts w:ascii="Calibri" w:eastAsia="Calibri" w:hAnsi="Calibri" w:cs="Calibri"/>
          <w:i/>
          <w:sz w:val="24"/>
          <w:szCs w:val="24"/>
        </w:rPr>
        <w:t xml:space="preserve">. </w:t>
      </w:r>
    </w:p>
    <w:p w14:paraId="4F09F1ED" w14:textId="77777777" w:rsidR="009102D4" w:rsidRDefault="009102D4">
      <w:pPr>
        <w:spacing w:line="240" w:lineRule="auto"/>
        <w:rPr>
          <w:sz w:val="24"/>
          <w:szCs w:val="24"/>
        </w:rPr>
      </w:pPr>
    </w:p>
    <w:p w14:paraId="4B92FF2B" w14:textId="77777777" w:rsidR="009102D4" w:rsidRDefault="00545F79">
      <w:pPr>
        <w:pStyle w:val="Heading2"/>
        <w:shd w:val="clear" w:color="auto" w:fill="F3F3F3"/>
        <w:rPr>
          <w:color w:val="0B5394"/>
        </w:rPr>
      </w:pPr>
      <w:bookmarkStart w:id="0" w:name="_c9q0yayj4uvq" w:colFirst="0" w:colLast="0"/>
      <w:bookmarkEnd w:id="0"/>
      <w:r>
        <w:rPr>
          <w:color w:val="0B5394"/>
        </w:rPr>
        <w:t>Discussion #1: How might we support the GC HR ecosystem? Our assumptions</w:t>
      </w:r>
    </w:p>
    <w:p w14:paraId="6153E7F1"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We’re a new team, so we wanted to share the assumptions that underpin our work, and signal check whether they make sense to others. What should OCHRO do, i.e., that only OCHRO can do? How might we best contribute to coherent and vibrant enterprise-wide pra</w:t>
      </w:r>
      <w:r>
        <w:rPr>
          <w:rFonts w:ascii="Calibri" w:eastAsia="Calibri" w:hAnsi="Calibri" w:cs="Calibri"/>
          <w:sz w:val="24"/>
          <w:szCs w:val="24"/>
        </w:rPr>
        <w:t>ctices?</w:t>
      </w:r>
    </w:p>
    <w:p w14:paraId="6AF5E1CA" w14:textId="77777777" w:rsidR="009102D4" w:rsidRDefault="009102D4">
      <w:pPr>
        <w:spacing w:line="240" w:lineRule="auto"/>
        <w:rPr>
          <w:rFonts w:ascii="Calibri" w:eastAsia="Calibri" w:hAnsi="Calibri" w:cs="Calibri"/>
          <w:sz w:val="24"/>
          <w:szCs w:val="24"/>
        </w:rPr>
      </w:pPr>
    </w:p>
    <w:p w14:paraId="75E3E908" w14:textId="77777777" w:rsidR="009102D4" w:rsidRDefault="00545F79">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963EFB9" wp14:editId="19F0612E">
            <wp:extent cx="5338763" cy="296883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338763" cy="2968831"/>
                    </a:xfrm>
                    <a:prstGeom prst="rect">
                      <a:avLst/>
                    </a:prstGeom>
                    <a:ln/>
                  </pic:spPr>
                </pic:pic>
              </a:graphicData>
            </a:graphic>
          </wp:inline>
        </w:drawing>
      </w:r>
    </w:p>
    <w:p w14:paraId="436FD26A" w14:textId="77777777" w:rsidR="009102D4" w:rsidRDefault="00545F79">
      <w:pPr>
        <w:pStyle w:val="Heading2"/>
        <w:spacing w:before="220" w:after="220" w:line="240" w:lineRule="auto"/>
      </w:pPr>
      <w:bookmarkStart w:id="1" w:name="_8v7z8gvonkm5" w:colFirst="0" w:colLast="0"/>
      <w:bookmarkEnd w:id="1"/>
      <w:r>
        <w:lastRenderedPageBreak/>
        <w:t>Participant feedback</w:t>
      </w:r>
    </w:p>
    <w:p w14:paraId="33E805C0" w14:textId="77777777" w:rsidR="009102D4" w:rsidRDefault="00545F79">
      <w:pPr>
        <w:spacing w:before="220" w:after="220" w:line="240" w:lineRule="auto"/>
        <w:rPr>
          <w:rFonts w:ascii="Calibri" w:eastAsia="Calibri" w:hAnsi="Calibri" w:cs="Calibri"/>
          <w:sz w:val="24"/>
          <w:szCs w:val="24"/>
        </w:rPr>
      </w:pPr>
      <w:r>
        <w:rPr>
          <w:rFonts w:ascii="Calibri" w:eastAsia="Calibri" w:hAnsi="Calibri" w:cs="Calibri"/>
          <w:sz w:val="24"/>
          <w:szCs w:val="24"/>
        </w:rPr>
        <w:t>How might we talk about the value of an enterprise approach? About OCHRO’s role within the enterprise? And about the leadership some larger and early-mover departments and experts have offered?</w:t>
      </w:r>
    </w:p>
    <w:p w14:paraId="67315709" w14:textId="77777777" w:rsidR="009102D4" w:rsidRDefault="00545F79">
      <w:pPr>
        <w:numPr>
          <w:ilvl w:val="0"/>
          <w:numId w:val="6"/>
        </w:numPr>
        <w:spacing w:before="220" w:line="240" w:lineRule="auto"/>
        <w:rPr>
          <w:rFonts w:ascii="Calibri" w:eastAsia="Calibri" w:hAnsi="Calibri" w:cs="Calibri"/>
          <w:sz w:val="24"/>
          <w:szCs w:val="24"/>
        </w:rPr>
      </w:pPr>
      <w:r>
        <w:rPr>
          <w:rFonts w:ascii="Calibri" w:eastAsia="Calibri" w:hAnsi="Calibri" w:cs="Calibri"/>
          <w:sz w:val="24"/>
          <w:szCs w:val="24"/>
        </w:rPr>
        <w:t xml:space="preserve">“I think there is a desire to </w:t>
      </w:r>
      <w:r>
        <w:rPr>
          <w:rFonts w:ascii="Calibri" w:eastAsia="Calibri" w:hAnsi="Calibri" w:cs="Calibri"/>
          <w:sz w:val="24"/>
          <w:szCs w:val="24"/>
        </w:rPr>
        <w:t xml:space="preserve">collaborate across the system. I am not sure people always know how. And I agree that a </w:t>
      </w:r>
      <w:proofErr w:type="spellStart"/>
      <w:r>
        <w:rPr>
          <w:rFonts w:ascii="Calibri" w:eastAsia="Calibri" w:hAnsi="Calibri" w:cs="Calibri"/>
          <w:sz w:val="24"/>
          <w:szCs w:val="24"/>
        </w:rPr>
        <w:t>GoC</w:t>
      </w:r>
      <w:proofErr w:type="spellEnd"/>
      <w:r>
        <w:rPr>
          <w:rFonts w:ascii="Calibri" w:eastAsia="Calibri" w:hAnsi="Calibri" w:cs="Calibri"/>
          <w:sz w:val="24"/>
          <w:szCs w:val="24"/>
        </w:rPr>
        <w:t xml:space="preserve"> approach is the way to go. I also think it is great that this group exists at OCHRO.”</w:t>
      </w:r>
    </w:p>
    <w:p w14:paraId="6AE4EEA0" w14:textId="77777777" w:rsidR="009102D4" w:rsidRDefault="00545F79">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“​What about linkages with the HR council? (heads of HR), what do they talk ab</w:t>
      </w:r>
      <w:r>
        <w:rPr>
          <w:rFonts w:ascii="Calibri" w:eastAsia="Calibri" w:hAnsi="Calibri" w:cs="Calibri"/>
          <w:sz w:val="24"/>
          <w:szCs w:val="24"/>
        </w:rPr>
        <w:t>out? Is there an opportunity to link with your work and evidence generation/learning?”</w:t>
      </w:r>
    </w:p>
    <w:p w14:paraId="6BA361B7" w14:textId="77777777" w:rsidR="009102D4" w:rsidRDefault="00545F79">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ESDC: We share our newsletter and monthly events with HRC weekly/monthly. Very healthy collaboration on our part. We're very much pro our ADM (ESDC HR) sharing with her</w:t>
      </w:r>
      <w:r>
        <w:rPr>
          <w:rFonts w:ascii="Calibri" w:eastAsia="Calibri" w:hAnsi="Calibri" w:cs="Calibri"/>
          <w:sz w:val="24"/>
          <w:szCs w:val="24"/>
        </w:rPr>
        <w:t xml:space="preserve"> colleagues as Heads of HR. For example: </w:t>
      </w:r>
      <w:hyperlink r:id="rId8">
        <w:r>
          <w:rPr>
            <w:rFonts w:ascii="Calibri" w:eastAsia="Calibri" w:hAnsi="Calibri" w:cs="Calibri"/>
            <w:color w:val="1155CC"/>
            <w:sz w:val="24"/>
            <w:szCs w:val="24"/>
            <w:u w:val="single"/>
          </w:rPr>
          <w:t>EDSC Innovation RH - HR Innovation ESDC — wiki (gccollab.ca)</w:t>
        </w:r>
      </w:hyperlink>
      <w:r>
        <w:t xml:space="preserve">; </w:t>
      </w:r>
      <w:hyperlink r:id="rId9">
        <w:proofErr w:type="spellStart"/>
        <w:r>
          <w:rPr>
            <w:color w:val="1155CC"/>
            <w:u w:val="single"/>
          </w:rPr>
          <w:t>GCCollab</w:t>
        </w:r>
        <w:proofErr w:type="spellEnd"/>
        <w:r>
          <w:rPr>
            <w:color w:val="1155CC"/>
            <w:u w:val="single"/>
          </w:rPr>
          <w:t xml:space="preserve"> page</w:t>
        </w:r>
      </w:hyperlink>
      <w:r>
        <w:t xml:space="preserve"> </w:t>
      </w:r>
    </w:p>
    <w:p w14:paraId="75E89167" w14:textId="77777777" w:rsidR="009102D4" w:rsidRDefault="00545F79">
      <w:pPr>
        <w:spacing w:before="220" w:after="220" w:line="240" w:lineRule="auto"/>
        <w:rPr>
          <w:rFonts w:ascii="Calibri" w:eastAsia="Calibri" w:hAnsi="Calibri" w:cs="Calibri"/>
          <w:sz w:val="24"/>
          <w:szCs w:val="24"/>
        </w:rPr>
      </w:pPr>
      <w:r>
        <w:rPr>
          <w:rFonts w:ascii="Calibri" w:eastAsia="Calibri" w:hAnsi="Calibri" w:cs="Calibri"/>
          <w:sz w:val="24"/>
          <w:szCs w:val="24"/>
        </w:rPr>
        <w:t>Do these assumptions make sense?</w:t>
      </w:r>
    </w:p>
    <w:p w14:paraId="761F1A38" w14:textId="77777777" w:rsidR="009102D4" w:rsidRDefault="00545F79">
      <w:pPr>
        <w:numPr>
          <w:ilvl w:val="0"/>
          <w:numId w:val="6"/>
        </w:numPr>
        <w:spacing w:before="220" w:after="220" w:line="240" w:lineRule="auto"/>
        <w:rPr>
          <w:rFonts w:ascii="Calibri" w:eastAsia="Calibri" w:hAnsi="Calibri" w:cs="Calibri"/>
          <w:sz w:val="24"/>
          <w:szCs w:val="24"/>
        </w:rPr>
      </w:pPr>
      <w:r>
        <w:rPr>
          <w:rFonts w:ascii="Calibri" w:eastAsia="Calibri" w:hAnsi="Calibri" w:cs="Calibri"/>
          <w:sz w:val="24"/>
          <w:szCs w:val="24"/>
        </w:rPr>
        <w:t>“I think your assumptions are well-founded. Your team is OP* (to borrow a gaming term) in terms of skills and experience in research, design, and experimentation and sharing your collective knowledge across the ecosystem is valuable. Add this to the opport</w:t>
      </w:r>
      <w:r>
        <w:rPr>
          <w:rFonts w:ascii="Calibri" w:eastAsia="Calibri" w:hAnsi="Calibri" w:cs="Calibri"/>
          <w:sz w:val="24"/>
          <w:szCs w:val="24"/>
        </w:rPr>
        <w:t>unity to collaborate and connect with others who are dedicated to innovation and focusing on people first and I can say our team certainly has an appetite for this kind of interaction and knowledge exchange.”  *overpowered</w:t>
      </w:r>
    </w:p>
    <w:p w14:paraId="223DD5A6"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Where might we add or adjust assu</w:t>
      </w:r>
      <w:r>
        <w:rPr>
          <w:rFonts w:ascii="Calibri" w:eastAsia="Calibri" w:hAnsi="Calibri" w:cs="Calibri"/>
          <w:sz w:val="24"/>
          <w:szCs w:val="24"/>
        </w:rPr>
        <w:t>mptions?</w:t>
      </w:r>
    </w:p>
    <w:p w14:paraId="393A0C29" w14:textId="77777777" w:rsidR="009102D4" w:rsidRDefault="009102D4">
      <w:pPr>
        <w:spacing w:line="240" w:lineRule="auto"/>
        <w:rPr>
          <w:rFonts w:ascii="Calibri" w:eastAsia="Calibri" w:hAnsi="Calibri" w:cs="Calibri"/>
          <w:sz w:val="24"/>
          <w:szCs w:val="24"/>
        </w:rPr>
      </w:pPr>
    </w:p>
    <w:p w14:paraId="02F145FC" w14:textId="77777777" w:rsidR="009102D4" w:rsidRDefault="00545F79">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“​I'd like to see something in the assumptions about </w:t>
      </w:r>
      <w:r>
        <w:rPr>
          <w:rFonts w:ascii="Calibri" w:eastAsia="Calibri" w:hAnsi="Calibri" w:cs="Calibri"/>
          <w:b/>
          <w:sz w:val="24"/>
          <w:szCs w:val="24"/>
          <w:highlight w:val="green"/>
        </w:rPr>
        <w:t>learning</w:t>
      </w:r>
      <w:r>
        <w:rPr>
          <w:rFonts w:ascii="Calibri" w:eastAsia="Calibri" w:hAnsi="Calibri" w:cs="Calibri"/>
          <w:sz w:val="24"/>
          <w:szCs w:val="24"/>
        </w:rPr>
        <w:t>. Experimentation is all about learning. It might be nice to see something in the basic assumptions about that.”</w:t>
      </w:r>
    </w:p>
    <w:p w14:paraId="7D1673CA" w14:textId="77777777" w:rsidR="009102D4" w:rsidRDefault="00545F79">
      <w:pPr>
        <w:numPr>
          <w:ilvl w:val="0"/>
          <w:numId w:val="6"/>
        </w:numPr>
        <w:spacing w:after="220" w:line="240" w:lineRule="auto"/>
        <w:rPr>
          <w:rFonts w:ascii="Calibri" w:eastAsia="Calibri" w:hAnsi="Calibri" w:cs="Calibri"/>
          <w:sz w:val="24"/>
          <w:szCs w:val="24"/>
        </w:rPr>
      </w:pPr>
      <w:r>
        <w:rPr>
          <w:rFonts w:ascii="Calibri" w:eastAsia="Calibri" w:hAnsi="Calibri" w:cs="Calibri"/>
          <w:sz w:val="24"/>
          <w:szCs w:val="24"/>
        </w:rPr>
        <w:t xml:space="preserve">“Maybe an assumption is what the </w:t>
      </w:r>
      <w:r>
        <w:rPr>
          <w:rFonts w:ascii="Calibri" w:eastAsia="Calibri" w:hAnsi="Calibri" w:cs="Calibri"/>
          <w:b/>
          <w:sz w:val="24"/>
          <w:szCs w:val="24"/>
          <w:highlight w:val="green"/>
        </w:rPr>
        <w:t>role of leadership</w:t>
      </w:r>
      <w:r>
        <w:rPr>
          <w:rFonts w:ascii="Calibri" w:eastAsia="Calibri" w:hAnsi="Calibri" w:cs="Calibri"/>
          <w:sz w:val="24"/>
          <w:szCs w:val="24"/>
        </w:rPr>
        <w:t xml:space="preserve"> is? Thinking of serv</w:t>
      </w:r>
      <w:r>
        <w:rPr>
          <w:rFonts w:ascii="Calibri" w:eastAsia="Calibri" w:hAnsi="Calibri" w:cs="Calibri"/>
          <w:sz w:val="24"/>
          <w:szCs w:val="24"/>
        </w:rPr>
        <w:t>ant leadership, versus some possible traditional ideas of leadership, and how that might be influencing how we look at our role and responsibility.”</w:t>
      </w:r>
    </w:p>
    <w:p w14:paraId="616502C5" w14:textId="77777777" w:rsidR="009102D4" w:rsidRDefault="009102D4"/>
    <w:p w14:paraId="7B28302E" w14:textId="77777777" w:rsidR="009102D4" w:rsidRDefault="00545F79">
      <w:pPr>
        <w:pStyle w:val="Heading2"/>
        <w:shd w:val="clear" w:color="auto" w:fill="EFEFEF"/>
        <w:rPr>
          <w:color w:val="0B5394"/>
        </w:rPr>
      </w:pPr>
      <w:bookmarkStart w:id="2" w:name="_unirhdp96fr7" w:colFirst="0" w:colLast="0"/>
      <w:bookmarkEnd w:id="2"/>
      <w:r>
        <w:rPr>
          <w:color w:val="0B5394"/>
        </w:rPr>
        <w:t xml:space="preserve">Discussion #2: How might we decide which HR experimentation work to pursue? </w:t>
      </w:r>
    </w:p>
    <w:p w14:paraId="4FCD5523" w14:textId="77777777" w:rsidR="009102D4" w:rsidRDefault="009102D4">
      <w:pPr>
        <w:spacing w:line="240" w:lineRule="auto"/>
        <w:rPr>
          <w:rFonts w:ascii="Calibri" w:eastAsia="Calibri" w:hAnsi="Calibri" w:cs="Calibri"/>
          <w:sz w:val="24"/>
          <w:szCs w:val="24"/>
        </w:rPr>
      </w:pPr>
    </w:p>
    <w:p w14:paraId="13480672"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Transitioning the federal pu</w:t>
      </w:r>
      <w:r>
        <w:rPr>
          <w:rFonts w:ascii="Calibri" w:eastAsia="Calibri" w:hAnsi="Calibri" w:cs="Calibri"/>
          <w:sz w:val="24"/>
          <w:szCs w:val="24"/>
        </w:rPr>
        <w:t>blic service to the future of work offers an abundant range of topics to consider for experimentation. We want to understand what kind of experiments would help the system. We have ideas. Colleagues and experts have also been generous with their ideas. We'</w:t>
      </w:r>
      <w:r>
        <w:rPr>
          <w:rFonts w:ascii="Calibri" w:eastAsia="Calibri" w:hAnsi="Calibri" w:cs="Calibri"/>
          <w:sz w:val="24"/>
          <w:szCs w:val="24"/>
        </w:rPr>
        <w:t xml:space="preserve">ve got different ways of soliciting ideas, but we don't pretend to be the only source of them. </w:t>
      </w:r>
    </w:p>
    <w:p w14:paraId="4D2BF803"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 xml:space="preserve">We want to build </w:t>
      </w:r>
      <w:proofErr w:type="gramStart"/>
      <w:r>
        <w:rPr>
          <w:rFonts w:ascii="Calibri" w:eastAsia="Calibri" w:hAnsi="Calibri" w:cs="Calibri"/>
          <w:sz w:val="24"/>
          <w:szCs w:val="24"/>
        </w:rPr>
        <w:t>some kind of list</w:t>
      </w:r>
      <w:proofErr w:type="gramEnd"/>
      <w:r>
        <w:rPr>
          <w:rFonts w:ascii="Calibri" w:eastAsia="Calibri" w:hAnsi="Calibri" w:cs="Calibri"/>
          <w:sz w:val="24"/>
          <w:szCs w:val="24"/>
        </w:rPr>
        <w:t xml:space="preserve">, or compendium, that can be openly available and that colleagues can access. Once we get those ideas, we'd really like to do </w:t>
      </w:r>
      <w:r>
        <w:rPr>
          <w:rFonts w:ascii="Calibri" w:eastAsia="Calibri" w:hAnsi="Calibri" w:cs="Calibri"/>
          <w:sz w:val="24"/>
          <w:szCs w:val="24"/>
        </w:rPr>
        <w:t xml:space="preserve">our part to test and scale the good ones across the GC. </w:t>
      </w:r>
    </w:p>
    <w:p w14:paraId="2AD67890" w14:textId="77777777" w:rsidR="009102D4" w:rsidRDefault="009102D4">
      <w:pPr>
        <w:spacing w:line="240" w:lineRule="auto"/>
        <w:rPr>
          <w:rFonts w:ascii="Calibri" w:eastAsia="Calibri" w:hAnsi="Calibri" w:cs="Calibri"/>
          <w:sz w:val="24"/>
          <w:szCs w:val="24"/>
          <w:highlight w:val="yellow"/>
        </w:rPr>
      </w:pPr>
    </w:p>
    <w:p w14:paraId="00DBEE41"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lastRenderedPageBreak/>
        <w:t>Where we might best add value to the enterprise as a whole? How can we help amazing work taking place in departments?</w:t>
      </w:r>
    </w:p>
    <w:p w14:paraId="104FE119" w14:textId="77777777" w:rsidR="009102D4" w:rsidRDefault="009102D4">
      <w:pPr>
        <w:spacing w:line="240" w:lineRule="auto"/>
        <w:rPr>
          <w:rFonts w:ascii="Calibri" w:eastAsia="Calibri" w:hAnsi="Calibri" w:cs="Calibri"/>
          <w:sz w:val="24"/>
          <w:szCs w:val="24"/>
        </w:rPr>
      </w:pPr>
    </w:p>
    <w:p w14:paraId="637B395F"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We’ve been playing with setting out criteria for a while. This includes the format (should it be a scorecard? principles?) and how unifor</w:t>
      </w:r>
      <w:r>
        <w:rPr>
          <w:rFonts w:ascii="Calibri" w:eastAsia="Calibri" w:hAnsi="Calibri" w:cs="Calibri"/>
          <w:sz w:val="24"/>
          <w:szCs w:val="24"/>
        </w:rPr>
        <w:t>m can our approach be. Our first drafts built both on the GC Entrepreneur framework as well as similar work done at PHAC. Based on this, we condensed the more detailed set of criteria with a set of principles.</w:t>
      </w:r>
    </w:p>
    <w:p w14:paraId="0954ED2F" w14:textId="77777777" w:rsidR="009102D4" w:rsidRDefault="009102D4">
      <w:pPr>
        <w:spacing w:line="240" w:lineRule="auto"/>
        <w:rPr>
          <w:rFonts w:ascii="Calibri" w:eastAsia="Calibri" w:hAnsi="Calibri" w:cs="Calibri"/>
          <w:sz w:val="24"/>
          <w:szCs w:val="24"/>
        </w:rPr>
      </w:pPr>
    </w:p>
    <w:p w14:paraId="1A1BE304"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We dream of creating space for a Community of</w:t>
      </w:r>
      <w:r>
        <w:rPr>
          <w:rFonts w:ascii="Calibri" w:eastAsia="Calibri" w:hAnsi="Calibri" w:cs="Calibri"/>
          <w:sz w:val="24"/>
          <w:szCs w:val="24"/>
        </w:rPr>
        <w:t xml:space="preserve"> Practice to support GC practitioners, and to help us make decisions. We’re mindful that our senior management may also have projects to propose. We want to lean into that space. We hope these principles offer some transparency </w:t>
      </w:r>
      <w:proofErr w:type="gramStart"/>
      <w:r>
        <w:rPr>
          <w:rFonts w:ascii="Calibri" w:eastAsia="Calibri" w:hAnsi="Calibri" w:cs="Calibri"/>
          <w:sz w:val="24"/>
          <w:szCs w:val="24"/>
        </w:rPr>
        <w:t>with regard to</w:t>
      </w:r>
      <w:proofErr w:type="gramEnd"/>
      <w:r>
        <w:rPr>
          <w:rFonts w:ascii="Calibri" w:eastAsia="Calibri" w:hAnsi="Calibri" w:cs="Calibri"/>
          <w:sz w:val="24"/>
          <w:szCs w:val="24"/>
        </w:rPr>
        <w:t xml:space="preserve"> where we want</w:t>
      </w:r>
      <w:r>
        <w:rPr>
          <w:rFonts w:ascii="Calibri" w:eastAsia="Calibri" w:hAnsi="Calibri" w:cs="Calibri"/>
          <w:sz w:val="24"/>
          <w:szCs w:val="24"/>
        </w:rPr>
        <w:t xml:space="preserve"> to focus our efforts. </w:t>
      </w:r>
    </w:p>
    <w:p w14:paraId="3AE0DA1C" w14:textId="77777777" w:rsidR="009102D4" w:rsidRDefault="009102D4">
      <w:pPr>
        <w:spacing w:line="240" w:lineRule="auto"/>
        <w:rPr>
          <w:rFonts w:ascii="Calibri" w:eastAsia="Calibri" w:hAnsi="Calibri" w:cs="Calibri"/>
          <w:sz w:val="24"/>
          <w:szCs w:val="24"/>
        </w:rPr>
      </w:pPr>
    </w:p>
    <w:p w14:paraId="5F1C2CDA" w14:textId="77777777" w:rsidR="009102D4" w:rsidRDefault="009102D4"/>
    <w:p w14:paraId="56F18860" w14:textId="77777777" w:rsidR="009102D4" w:rsidRDefault="00545F79">
      <w:pPr>
        <w:rPr>
          <w:rFonts w:ascii="Calibri" w:eastAsia="Calibri" w:hAnsi="Calibri" w:cs="Calibri"/>
          <w:sz w:val="24"/>
          <w:szCs w:val="24"/>
        </w:rPr>
      </w:pPr>
      <w:r>
        <w:rPr>
          <w:rFonts w:ascii="Calibri" w:eastAsia="Calibri" w:hAnsi="Calibri" w:cs="Calibri"/>
          <w:b/>
          <w:sz w:val="24"/>
          <w:szCs w:val="24"/>
        </w:rPr>
        <w:t>Research and Experimentation Project Principles v1.0</w:t>
      </w:r>
      <w:r>
        <w:rPr>
          <w:rFonts w:ascii="Calibri" w:eastAsia="Calibri" w:hAnsi="Calibri" w:cs="Calibri"/>
          <w:sz w:val="24"/>
          <w:szCs w:val="24"/>
        </w:rPr>
        <w:t xml:space="preserve"> </w:t>
      </w:r>
    </w:p>
    <w:tbl>
      <w:tblPr>
        <w:tblStyle w:val="a"/>
        <w:tblW w:w="9540" w:type="dxa"/>
        <w:tblBorders>
          <w:top w:val="nil"/>
          <w:left w:val="nil"/>
          <w:bottom w:val="nil"/>
          <w:right w:val="nil"/>
          <w:insideH w:val="nil"/>
          <w:insideV w:val="nil"/>
        </w:tblBorders>
        <w:tblLayout w:type="fixed"/>
        <w:tblLook w:val="0600" w:firstRow="0" w:lastRow="0" w:firstColumn="0" w:lastColumn="0" w:noHBand="1" w:noVBand="1"/>
      </w:tblPr>
      <w:tblGrid>
        <w:gridCol w:w="1650"/>
        <w:gridCol w:w="7890"/>
      </w:tblGrid>
      <w:tr w:rsidR="009102D4" w14:paraId="3F557CA6" w14:textId="77777777">
        <w:trPr>
          <w:trHeight w:val="495"/>
        </w:trPr>
        <w:tc>
          <w:tcPr>
            <w:tcW w:w="1650" w:type="dxa"/>
            <w:tcBorders>
              <w:top w:val="nil"/>
              <w:left w:val="nil"/>
              <w:bottom w:val="single" w:sz="8" w:space="0" w:color="000000"/>
              <w:right w:val="nil"/>
            </w:tcBorders>
            <w:shd w:val="clear" w:color="auto" w:fill="FFC000"/>
            <w:tcMar>
              <w:top w:w="100" w:type="dxa"/>
              <w:left w:w="100" w:type="dxa"/>
              <w:bottom w:w="100" w:type="dxa"/>
              <w:right w:w="100" w:type="dxa"/>
            </w:tcMar>
          </w:tcPr>
          <w:p w14:paraId="0B09BB45" w14:textId="77777777" w:rsidR="009102D4" w:rsidRDefault="00545F79">
            <w:pPr>
              <w:spacing w:line="240" w:lineRule="auto"/>
              <w:rPr>
                <w:rFonts w:ascii="Calibri" w:eastAsia="Calibri" w:hAnsi="Calibri" w:cs="Calibri"/>
                <w:b/>
                <w:sz w:val="20"/>
                <w:szCs w:val="20"/>
              </w:rPr>
            </w:pPr>
            <w:r>
              <w:rPr>
                <w:rFonts w:ascii="Calibri" w:eastAsia="Calibri" w:hAnsi="Calibri" w:cs="Calibri"/>
                <w:b/>
                <w:sz w:val="20"/>
                <w:szCs w:val="20"/>
              </w:rPr>
              <w:t>10 Principles</w:t>
            </w:r>
          </w:p>
        </w:tc>
        <w:tc>
          <w:tcPr>
            <w:tcW w:w="7890" w:type="dxa"/>
            <w:tcBorders>
              <w:top w:val="nil"/>
              <w:left w:val="nil"/>
              <w:bottom w:val="single" w:sz="8" w:space="0" w:color="000000"/>
              <w:right w:val="nil"/>
            </w:tcBorders>
            <w:shd w:val="clear" w:color="auto" w:fill="FFC000"/>
            <w:tcMar>
              <w:top w:w="100" w:type="dxa"/>
              <w:left w:w="100" w:type="dxa"/>
              <w:bottom w:w="100" w:type="dxa"/>
              <w:right w:w="100" w:type="dxa"/>
            </w:tcMar>
          </w:tcPr>
          <w:p w14:paraId="0F620B3A" w14:textId="77777777" w:rsidR="009102D4" w:rsidRDefault="00545F79">
            <w:pPr>
              <w:spacing w:line="240" w:lineRule="auto"/>
              <w:rPr>
                <w:rFonts w:ascii="Calibri" w:eastAsia="Calibri" w:hAnsi="Calibri" w:cs="Calibri"/>
                <w:b/>
                <w:sz w:val="20"/>
                <w:szCs w:val="20"/>
              </w:rPr>
            </w:pPr>
            <w:r>
              <w:rPr>
                <w:rFonts w:ascii="Calibri" w:eastAsia="Calibri" w:hAnsi="Calibri" w:cs="Calibri"/>
                <w:b/>
                <w:sz w:val="20"/>
                <w:szCs w:val="20"/>
              </w:rPr>
              <w:t>Description</w:t>
            </w:r>
          </w:p>
        </w:tc>
      </w:tr>
      <w:tr w:rsidR="009102D4" w14:paraId="35DE8143" w14:textId="77777777">
        <w:trPr>
          <w:trHeight w:val="720"/>
        </w:trPr>
        <w:tc>
          <w:tcPr>
            <w:tcW w:w="1650" w:type="dxa"/>
            <w:tcBorders>
              <w:top w:val="nil"/>
              <w:left w:val="nil"/>
              <w:bottom w:val="single" w:sz="8" w:space="0" w:color="000000"/>
              <w:right w:val="nil"/>
            </w:tcBorders>
            <w:shd w:val="clear" w:color="auto" w:fill="F2F2F2"/>
            <w:tcMar>
              <w:top w:w="100" w:type="dxa"/>
              <w:left w:w="100" w:type="dxa"/>
              <w:bottom w:w="100" w:type="dxa"/>
              <w:right w:w="100" w:type="dxa"/>
            </w:tcMar>
          </w:tcPr>
          <w:p w14:paraId="4D9BB835" w14:textId="77777777" w:rsidR="009102D4" w:rsidRDefault="00545F79">
            <w:pPr>
              <w:numPr>
                <w:ilvl w:val="0"/>
                <w:numId w:val="3"/>
              </w:numPr>
              <w:spacing w:line="240" w:lineRule="auto"/>
              <w:ind w:left="270" w:right="-140"/>
              <w:rPr>
                <w:rFonts w:ascii="Calibri" w:eastAsia="Calibri" w:hAnsi="Calibri" w:cs="Calibri"/>
                <w:sz w:val="20"/>
                <w:szCs w:val="20"/>
              </w:rPr>
            </w:pPr>
            <w:r>
              <w:rPr>
                <w:rFonts w:ascii="Calibri" w:eastAsia="Calibri" w:hAnsi="Calibri" w:cs="Calibri"/>
                <w:sz w:val="20"/>
                <w:szCs w:val="20"/>
              </w:rPr>
              <w:t>Relevance and alignment</w:t>
            </w:r>
          </w:p>
        </w:tc>
        <w:tc>
          <w:tcPr>
            <w:tcW w:w="7890" w:type="dxa"/>
            <w:tcBorders>
              <w:top w:val="nil"/>
              <w:left w:val="nil"/>
              <w:bottom w:val="single" w:sz="8" w:space="0" w:color="000000"/>
              <w:right w:val="nil"/>
            </w:tcBorders>
            <w:shd w:val="clear" w:color="auto" w:fill="F2F2F2"/>
            <w:tcMar>
              <w:top w:w="100" w:type="dxa"/>
              <w:left w:w="100" w:type="dxa"/>
              <w:bottom w:w="100" w:type="dxa"/>
              <w:right w:w="100" w:type="dxa"/>
            </w:tcMar>
          </w:tcPr>
          <w:p w14:paraId="69F6A32A"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 xml:space="preserve">The project aligns with organizational priorities (enterprise and OCHRO) and policy, </w:t>
            </w:r>
            <w:proofErr w:type="gramStart"/>
            <w:r>
              <w:rPr>
                <w:rFonts w:ascii="Calibri" w:eastAsia="Calibri" w:hAnsi="Calibri" w:cs="Calibri"/>
                <w:sz w:val="20"/>
                <w:szCs w:val="20"/>
              </w:rPr>
              <w:t>legislation</w:t>
            </w:r>
            <w:proofErr w:type="gramEnd"/>
            <w:r>
              <w:rPr>
                <w:rFonts w:ascii="Calibri" w:eastAsia="Calibri" w:hAnsi="Calibri" w:cs="Calibri"/>
                <w:sz w:val="20"/>
                <w:szCs w:val="20"/>
              </w:rPr>
              <w:t xml:space="preserve"> or regulation, and with Canada’s Digital Standards.</w:t>
            </w:r>
          </w:p>
        </w:tc>
      </w:tr>
      <w:tr w:rsidR="009102D4" w14:paraId="13EEF4AA" w14:textId="77777777">
        <w:trPr>
          <w:trHeight w:val="480"/>
        </w:trPr>
        <w:tc>
          <w:tcPr>
            <w:tcW w:w="1650" w:type="dxa"/>
            <w:tcBorders>
              <w:top w:val="nil"/>
              <w:left w:val="nil"/>
              <w:bottom w:val="single" w:sz="8" w:space="0" w:color="000000"/>
              <w:right w:val="nil"/>
            </w:tcBorders>
            <w:shd w:val="clear" w:color="auto" w:fill="FFFFFF"/>
            <w:tcMar>
              <w:top w:w="100" w:type="dxa"/>
              <w:left w:w="100" w:type="dxa"/>
              <w:bottom w:w="100" w:type="dxa"/>
              <w:right w:w="100" w:type="dxa"/>
            </w:tcMar>
          </w:tcPr>
          <w:p w14:paraId="3411BC9C" w14:textId="77777777" w:rsidR="009102D4" w:rsidRDefault="00545F79">
            <w:pPr>
              <w:numPr>
                <w:ilvl w:val="0"/>
                <w:numId w:val="3"/>
              </w:numPr>
              <w:spacing w:line="240" w:lineRule="auto"/>
              <w:ind w:left="270" w:right="-140"/>
              <w:rPr>
                <w:rFonts w:ascii="Calibri" w:eastAsia="Calibri" w:hAnsi="Calibri" w:cs="Calibri"/>
                <w:sz w:val="20"/>
                <w:szCs w:val="20"/>
              </w:rPr>
            </w:pPr>
            <w:r>
              <w:rPr>
                <w:rFonts w:ascii="Calibri" w:eastAsia="Calibri" w:hAnsi="Calibri" w:cs="Calibri"/>
                <w:sz w:val="20"/>
                <w:szCs w:val="20"/>
              </w:rPr>
              <w:t>Unique need</w:t>
            </w:r>
          </w:p>
        </w:tc>
        <w:tc>
          <w:tcPr>
            <w:tcW w:w="7890" w:type="dxa"/>
            <w:tcBorders>
              <w:top w:val="nil"/>
              <w:left w:val="nil"/>
              <w:bottom w:val="single" w:sz="8" w:space="0" w:color="000000"/>
              <w:right w:val="nil"/>
            </w:tcBorders>
            <w:shd w:val="clear" w:color="auto" w:fill="FFFFFF"/>
            <w:tcMar>
              <w:top w:w="100" w:type="dxa"/>
              <w:left w:w="100" w:type="dxa"/>
              <w:bottom w:w="100" w:type="dxa"/>
              <w:right w:w="100" w:type="dxa"/>
            </w:tcMar>
          </w:tcPr>
          <w:p w14:paraId="277D7B46"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It is new, builds on enabling work, doesn’t duplicate other initiatives.</w:t>
            </w:r>
          </w:p>
        </w:tc>
      </w:tr>
      <w:tr w:rsidR="009102D4" w14:paraId="568FA34C" w14:textId="77777777">
        <w:trPr>
          <w:trHeight w:val="690"/>
        </w:trPr>
        <w:tc>
          <w:tcPr>
            <w:tcW w:w="1650" w:type="dxa"/>
            <w:tcBorders>
              <w:top w:val="nil"/>
              <w:left w:val="nil"/>
              <w:bottom w:val="single" w:sz="8" w:space="0" w:color="000000"/>
              <w:right w:val="nil"/>
            </w:tcBorders>
            <w:shd w:val="clear" w:color="auto" w:fill="F2F2F2"/>
            <w:tcMar>
              <w:top w:w="100" w:type="dxa"/>
              <w:left w:w="100" w:type="dxa"/>
              <w:bottom w:w="100" w:type="dxa"/>
              <w:right w:w="100" w:type="dxa"/>
            </w:tcMar>
          </w:tcPr>
          <w:p w14:paraId="512CD521" w14:textId="77777777" w:rsidR="009102D4" w:rsidRDefault="00545F79">
            <w:pPr>
              <w:numPr>
                <w:ilvl w:val="0"/>
                <w:numId w:val="3"/>
              </w:numPr>
              <w:spacing w:line="240" w:lineRule="auto"/>
              <w:ind w:left="270" w:right="-140"/>
              <w:rPr>
                <w:rFonts w:ascii="Calibri" w:eastAsia="Calibri" w:hAnsi="Calibri" w:cs="Calibri"/>
                <w:sz w:val="20"/>
                <w:szCs w:val="20"/>
              </w:rPr>
            </w:pPr>
            <w:r>
              <w:rPr>
                <w:rFonts w:ascii="Calibri" w:eastAsia="Calibri" w:hAnsi="Calibri" w:cs="Calibri"/>
                <w:sz w:val="20"/>
                <w:szCs w:val="20"/>
              </w:rPr>
              <w:t>Partner support</w:t>
            </w:r>
          </w:p>
        </w:tc>
        <w:tc>
          <w:tcPr>
            <w:tcW w:w="7890" w:type="dxa"/>
            <w:tcBorders>
              <w:top w:val="nil"/>
              <w:left w:val="nil"/>
              <w:bottom w:val="single" w:sz="8" w:space="0" w:color="000000"/>
              <w:right w:val="nil"/>
            </w:tcBorders>
            <w:shd w:val="clear" w:color="auto" w:fill="F2F2F2"/>
            <w:tcMar>
              <w:top w:w="100" w:type="dxa"/>
              <w:left w:w="100" w:type="dxa"/>
              <w:bottom w:w="100" w:type="dxa"/>
              <w:right w:w="100" w:type="dxa"/>
            </w:tcMar>
          </w:tcPr>
          <w:p w14:paraId="3FF935BE"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 xml:space="preserve">The project and process resonate with external and enterprise partners, and/or project sponsors are open to exploring collaboration. </w:t>
            </w:r>
          </w:p>
        </w:tc>
      </w:tr>
      <w:tr w:rsidR="009102D4" w14:paraId="150F50B0" w14:textId="77777777">
        <w:trPr>
          <w:trHeight w:val="600"/>
        </w:trPr>
        <w:tc>
          <w:tcPr>
            <w:tcW w:w="1650" w:type="dxa"/>
            <w:tcBorders>
              <w:top w:val="nil"/>
              <w:left w:val="nil"/>
              <w:bottom w:val="single" w:sz="8" w:space="0" w:color="000000"/>
              <w:right w:val="nil"/>
            </w:tcBorders>
            <w:shd w:val="clear" w:color="auto" w:fill="FFFFFF"/>
            <w:tcMar>
              <w:top w:w="100" w:type="dxa"/>
              <w:left w:w="100" w:type="dxa"/>
              <w:bottom w:w="100" w:type="dxa"/>
              <w:right w:w="100" w:type="dxa"/>
            </w:tcMar>
          </w:tcPr>
          <w:p w14:paraId="5F787C50" w14:textId="77777777" w:rsidR="009102D4" w:rsidRDefault="00545F79">
            <w:pPr>
              <w:numPr>
                <w:ilvl w:val="0"/>
                <w:numId w:val="3"/>
              </w:numPr>
              <w:spacing w:line="240" w:lineRule="auto"/>
              <w:ind w:left="270"/>
              <w:rPr>
                <w:rFonts w:ascii="Calibri" w:eastAsia="Calibri" w:hAnsi="Calibri" w:cs="Calibri"/>
                <w:sz w:val="20"/>
                <w:szCs w:val="20"/>
              </w:rPr>
            </w:pPr>
            <w:r>
              <w:rPr>
                <w:rFonts w:ascii="Calibri" w:eastAsia="Calibri" w:hAnsi="Calibri" w:cs="Calibri"/>
                <w:sz w:val="20"/>
                <w:szCs w:val="20"/>
              </w:rPr>
              <w:t>Feasibility</w:t>
            </w:r>
          </w:p>
        </w:tc>
        <w:tc>
          <w:tcPr>
            <w:tcW w:w="7890" w:type="dxa"/>
            <w:tcBorders>
              <w:top w:val="nil"/>
              <w:left w:val="nil"/>
              <w:bottom w:val="single" w:sz="8" w:space="0" w:color="000000"/>
              <w:right w:val="nil"/>
            </w:tcBorders>
            <w:shd w:val="clear" w:color="auto" w:fill="FFFFFF"/>
            <w:tcMar>
              <w:top w:w="100" w:type="dxa"/>
              <w:left w:w="100" w:type="dxa"/>
              <w:bottom w:w="100" w:type="dxa"/>
              <w:right w:w="100" w:type="dxa"/>
            </w:tcMar>
          </w:tcPr>
          <w:p w14:paraId="2C4603DF"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The project has a clear problem statement. RET and partners are positioned to scope and undertake the work.</w:t>
            </w:r>
          </w:p>
        </w:tc>
      </w:tr>
      <w:tr w:rsidR="009102D4" w14:paraId="407FA8A5" w14:textId="77777777">
        <w:trPr>
          <w:trHeight w:val="630"/>
        </w:trPr>
        <w:tc>
          <w:tcPr>
            <w:tcW w:w="1650" w:type="dxa"/>
            <w:tcBorders>
              <w:top w:val="nil"/>
              <w:left w:val="nil"/>
              <w:bottom w:val="single" w:sz="8" w:space="0" w:color="000000"/>
              <w:right w:val="nil"/>
            </w:tcBorders>
            <w:shd w:val="clear" w:color="auto" w:fill="F2F2F2"/>
            <w:tcMar>
              <w:top w:w="100" w:type="dxa"/>
              <w:left w:w="100" w:type="dxa"/>
              <w:bottom w:w="100" w:type="dxa"/>
              <w:right w:w="100" w:type="dxa"/>
            </w:tcMar>
          </w:tcPr>
          <w:p w14:paraId="07973F24" w14:textId="77777777" w:rsidR="009102D4" w:rsidRDefault="00545F79">
            <w:pPr>
              <w:numPr>
                <w:ilvl w:val="0"/>
                <w:numId w:val="3"/>
              </w:numPr>
              <w:spacing w:line="240" w:lineRule="auto"/>
              <w:ind w:left="270"/>
              <w:rPr>
                <w:rFonts w:ascii="Calibri" w:eastAsia="Calibri" w:hAnsi="Calibri" w:cs="Calibri"/>
                <w:sz w:val="20"/>
                <w:szCs w:val="20"/>
              </w:rPr>
            </w:pPr>
            <w:r>
              <w:rPr>
                <w:rFonts w:ascii="Calibri" w:eastAsia="Calibri" w:hAnsi="Calibri" w:cs="Calibri"/>
                <w:sz w:val="20"/>
                <w:szCs w:val="20"/>
              </w:rPr>
              <w:t>Openness</w:t>
            </w:r>
          </w:p>
        </w:tc>
        <w:tc>
          <w:tcPr>
            <w:tcW w:w="7890" w:type="dxa"/>
            <w:tcBorders>
              <w:top w:val="nil"/>
              <w:left w:val="nil"/>
              <w:bottom w:val="single" w:sz="8" w:space="0" w:color="000000"/>
              <w:right w:val="nil"/>
            </w:tcBorders>
            <w:shd w:val="clear" w:color="auto" w:fill="F2F2F2"/>
            <w:tcMar>
              <w:top w:w="100" w:type="dxa"/>
              <w:left w:w="100" w:type="dxa"/>
              <w:bottom w:w="100" w:type="dxa"/>
              <w:right w:w="100" w:type="dxa"/>
            </w:tcMar>
          </w:tcPr>
          <w:p w14:paraId="505DFB54"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The project design, results, and lessons can be shared with colleagues across the GC and beyond? We can embody openness by default.</w:t>
            </w:r>
          </w:p>
        </w:tc>
      </w:tr>
      <w:tr w:rsidR="009102D4" w14:paraId="02224999" w14:textId="77777777">
        <w:trPr>
          <w:trHeight w:val="915"/>
        </w:trPr>
        <w:tc>
          <w:tcPr>
            <w:tcW w:w="1650" w:type="dxa"/>
            <w:tcBorders>
              <w:top w:val="nil"/>
              <w:left w:val="nil"/>
              <w:bottom w:val="single" w:sz="8" w:space="0" w:color="000000"/>
              <w:right w:val="nil"/>
            </w:tcBorders>
            <w:shd w:val="clear" w:color="auto" w:fill="FFFFFF"/>
            <w:tcMar>
              <w:top w:w="100" w:type="dxa"/>
              <w:left w:w="100" w:type="dxa"/>
              <w:bottom w:w="100" w:type="dxa"/>
              <w:right w:w="100" w:type="dxa"/>
            </w:tcMar>
          </w:tcPr>
          <w:p w14:paraId="7C75A7B1" w14:textId="77777777" w:rsidR="009102D4" w:rsidRDefault="00545F79">
            <w:pPr>
              <w:numPr>
                <w:ilvl w:val="0"/>
                <w:numId w:val="3"/>
              </w:numPr>
              <w:spacing w:line="240" w:lineRule="auto"/>
              <w:ind w:left="270"/>
              <w:rPr>
                <w:rFonts w:ascii="Calibri" w:eastAsia="Calibri" w:hAnsi="Calibri" w:cs="Calibri"/>
                <w:sz w:val="20"/>
                <w:szCs w:val="20"/>
              </w:rPr>
            </w:pPr>
            <w:r>
              <w:rPr>
                <w:rFonts w:ascii="Calibri" w:eastAsia="Calibri" w:hAnsi="Calibri" w:cs="Calibri"/>
                <w:sz w:val="20"/>
                <w:szCs w:val="20"/>
              </w:rPr>
              <w:t>Measurable benefits</w:t>
            </w:r>
          </w:p>
        </w:tc>
        <w:tc>
          <w:tcPr>
            <w:tcW w:w="7890" w:type="dxa"/>
            <w:tcBorders>
              <w:top w:val="nil"/>
              <w:left w:val="nil"/>
              <w:bottom w:val="single" w:sz="8" w:space="0" w:color="000000"/>
              <w:right w:val="nil"/>
            </w:tcBorders>
            <w:shd w:val="clear" w:color="auto" w:fill="FFFFFF"/>
            <w:tcMar>
              <w:top w:w="100" w:type="dxa"/>
              <w:left w:w="100" w:type="dxa"/>
              <w:bottom w:w="100" w:type="dxa"/>
              <w:right w:w="100" w:type="dxa"/>
            </w:tcMar>
          </w:tcPr>
          <w:p w14:paraId="48AF24C4"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Desired outcomes can be measured; offer a tangible benefit for people management ecosystem. Benefits accrue either immediately, incrementally, or offer potential for transformational change.</w:t>
            </w:r>
          </w:p>
        </w:tc>
      </w:tr>
      <w:tr w:rsidR="009102D4" w14:paraId="1964027E" w14:textId="77777777">
        <w:trPr>
          <w:trHeight w:val="435"/>
        </w:trPr>
        <w:tc>
          <w:tcPr>
            <w:tcW w:w="1650" w:type="dxa"/>
            <w:tcBorders>
              <w:top w:val="nil"/>
              <w:left w:val="nil"/>
              <w:bottom w:val="single" w:sz="8" w:space="0" w:color="000000"/>
              <w:right w:val="nil"/>
            </w:tcBorders>
            <w:shd w:val="clear" w:color="auto" w:fill="F2F2F2"/>
            <w:tcMar>
              <w:top w:w="100" w:type="dxa"/>
              <w:left w:w="100" w:type="dxa"/>
              <w:bottom w:w="100" w:type="dxa"/>
              <w:right w:w="100" w:type="dxa"/>
            </w:tcMar>
          </w:tcPr>
          <w:p w14:paraId="786E369D" w14:textId="77777777" w:rsidR="009102D4" w:rsidRDefault="00545F79">
            <w:pPr>
              <w:numPr>
                <w:ilvl w:val="0"/>
                <w:numId w:val="3"/>
              </w:numPr>
              <w:spacing w:line="240" w:lineRule="auto"/>
              <w:ind w:left="270"/>
              <w:rPr>
                <w:rFonts w:ascii="Calibri" w:eastAsia="Calibri" w:hAnsi="Calibri" w:cs="Calibri"/>
                <w:sz w:val="20"/>
                <w:szCs w:val="20"/>
              </w:rPr>
            </w:pPr>
            <w:r>
              <w:rPr>
                <w:rFonts w:ascii="Calibri" w:eastAsia="Calibri" w:hAnsi="Calibri" w:cs="Calibri"/>
                <w:sz w:val="20"/>
                <w:szCs w:val="20"/>
              </w:rPr>
              <w:t xml:space="preserve">Efficiency gains </w:t>
            </w:r>
          </w:p>
        </w:tc>
        <w:tc>
          <w:tcPr>
            <w:tcW w:w="7890" w:type="dxa"/>
            <w:tcBorders>
              <w:top w:val="nil"/>
              <w:left w:val="nil"/>
              <w:bottom w:val="single" w:sz="8" w:space="0" w:color="000000"/>
              <w:right w:val="nil"/>
            </w:tcBorders>
            <w:shd w:val="clear" w:color="auto" w:fill="F2F2F2"/>
            <w:tcMar>
              <w:top w:w="100" w:type="dxa"/>
              <w:left w:w="100" w:type="dxa"/>
              <w:bottom w:w="100" w:type="dxa"/>
              <w:right w:w="100" w:type="dxa"/>
            </w:tcMar>
          </w:tcPr>
          <w:p w14:paraId="3732228B"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The project improves efficiencies across processes or systems</w:t>
            </w:r>
          </w:p>
        </w:tc>
      </w:tr>
      <w:tr w:rsidR="009102D4" w14:paraId="61462576" w14:textId="77777777">
        <w:trPr>
          <w:trHeight w:val="405"/>
        </w:trPr>
        <w:tc>
          <w:tcPr>
            <w:tcW w:w="1650" w:type="dxa"/>
            <w:tcBorders>
              <w:top w:val="nil"/>
              <w:left w:val="nil"/>
              <w:bottom w:val="single" w:sz="8" w:space="0" w:color="000000"/>
              <w:right w:val="nil"/>
            </w:tcBorders>
            <w:shd w:val="clear" w:color="auto" w:fill="FFFFFF"/>
            <w:tcMar>
              <w:top w:w="100" w:type="dxa"/>
              <w:left w:w="100" w:type="dxa"/>
              <w:bottom w:w="100" w:type="dxa"/>
              <w:right w:w="100" w:type="dxa"/>
            </w:tcMar>
          </w:tcPr>
          <w:p w14:paraId="2CC06701" w14:textId="77777777" w:rsidR="009102D4" w:rsidRDefault="00545F79">
            <w:pPr>
              <w:numPr>
                <w:ilvl w:val="0"/>
                <w:numId w:val="3"/>
              </w:numPr>
              <w:spacing w:line="240" w:lineRule="auto"/>
              <w:ind w:left="270"/>
              <w:rPr>
                <w:rFonts w:ascii="Calibri" w:eastAsia="Calibri" w:hAnsi="Calibri" w:cs="Calibri"/>
                <w:sz w:val="20"/>
                <w:szCs w:val="20"/>
              </w:rPr>
            </w:pPr>
            <w:r>
              <w:rPr>
                <w:rFonts w:ascii="Calibri" w:eastAsia="Calibri" w:hAnsi="Calibri" w:cs="Calibri"/>
                <w:sz w:val="20"/>
                <w:szCs w:val="20"/>
              </w:rPr>
              <w:t>Sustainability</w:t>
            </w:r>
          </w:p>
        </w:tc>
        <w:tc>
          <w:tcPr>
            <w:tcW w:w="7890" w:type="dxa"/>
            <w:tcBorders>
              <w:top w:val="nil"/>
              <w:left w:val="nil"/>
              <w:bottom w:val="single" w:sz="8" w:space="0" w:color="000000"/>
              <w:right w:val="nil"/>
            </w:tcBorders>
            <w:shd w:val="clear" w:color="auto" w:fill="FFFFFF"/>
            <w:tcMar>
              <w:top w:w="100" w:type="dxa"/>
              <w:left w:w="100" w:type="dxa"/>
              <w:bottom w:w="100" w:type="dxa"/>
              <w:right w:w="100" w:type="dxa"/>
            </w:tcMar>
          </w:tcPr>
          <w:p w14:paraId="6C3C52EC"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The project is potentially self-sustainable once complete.</w:t>
            </w:r>
          </w:p>
        </w:tc>
      </w:tr>
      <w:tr w:rsidR="009102D4" w14:paraId="26460061" w14:textId="77777777">
        <w:trPr>
          <w:trHeight w:val="465"/>
        </w:trPr>
        <w:tc>
          <w:tcPr>
            <w:tcW w:w="1650" w:type="dxa"/>
            <w:tcBorders>
              <w:top w:val="nil"/>
              <w:left w:val="nil"/>
              <w:bottom w:val="single" w:sz="8" w:space="0" w:color="000000"/>
              <w:right w:val="nil"/>
            </w:tcBorders>
            <w:shd w:val="clear" w:color="auto" w:fill="F2F2F2"/>
            <w:tcMar>
              <w:top w:w="100" w:type="dxa"/>
              <w:left w:w="100" w:type="dxa"/>
              <w:bottom w:w="100" w:type="dxa"/>
              <w:right w:w="100" w:type="dxa"/>
            </w:tcMar>
          </w:tcPr>
          <w:p w14:paraId="5B181847" w14:textId="77777777" w:rsidR="009102D4" w:rsidRDefault="00545F79">
            <w:pPr>
              <w:numPr>
                <w:ilvl w:val="0"/>
                <w:numId w:val="3"/>
              </w:numPr>
              <w:spacing w:line="240" w:lineRule="auto"/>
              <w:ind w:left="270"/>
              <w:rPr>
                <w:rFonts w:ascii="Calibri" w:eastAsia="Calibri" w:hAnsi="Calibri" w:cs="Calibri"/>
                <w:sz w:val="20"/>
                <w:szCs w:val="20"/>
              </w:rPr>
            </w:pPr>
            <w:r>
              <w:rPr>
                <w:rFonts w:ascii="Calibri" w:eastAsia="Calibri" w:hAnsi="Calibri" w:cs="Calibri"/>
                <w:sz w:val="20"/>
                <w:szCs w:val="20"/>
              </w:rPr>
              <w:t>Scalability</w:t>
            </w:r>
          </w:p>
        </w:tc>
        <w:tc>
          <w:tcPr>
            <w:tcW w:w="7890" w:type="dxa"/>
            <w:tcBorders>
              <w:top w:val="nil"/>
              <w:left w:val="nil"/>
              <w:bottom w:val="single" w:sz="8" w:space="0" w:color="000000"/>
              <w:right w:val="nil"/>
            </w:tcBorders>
            <w:shd w:val="clear" w:color="auto" w:fill="F2F2F2"/>
            <w:tcMar>
              <w:top w:w="100" w:type="dxa"/>
              <w:left w:w="100" w:type="dxa"/>
              <w:bottom w:w="100" w:type="dxa"/>
              <w:right w:w="100" w:type="dxa"/>
            </w:tcMar>
          </w:tcPr>
          <w:p w14:paraId="466831A9"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The methodology, or overall initiative, can be scaled or replicated.</w:t>
            </w:r>
          </w:p>
        </w:tc>
      </w:tr>
      <w:tr w:rsidR="009102D4" w14:paraId="5EEFAF66" w14:textId="77777777">
        <w:trPr>
          <w:trHeight w:val="780"/>
        </w:trPr>
        <w:tc>
          <w:tcPr>
            <w:tcW w:w="1650" w:type="dxa"/>
            <w:tcBorders>
              <w:top w:val="nil"/>
              <w:left w:val="nil"/>
              <w:bottom w:val="nil"/>
              <w:right w:val="nil"/>
            </w:tcBorders>
            <w:shd w:val="clear" w:color="auto" w:fill="FFFFFF"/>
            <w:tcMar>
              <w:top w:w="100" w:type="dxa"/>
              <w:left w:w="100" w:type="dxa"/>
              <w:bottom w:w="100" w:type="dxa"/>
              <w:right w:w="100" w:type="dxa"/>
            </w:tcMar>
          </w:tcPr>
          <w:p w14:paraId="668956DD" w14:textId="77777777" w:rsidR="009102D4" w:rsidRDefault="00545F79">
            <w:pPr>
              <w:numPr>
                <w:ilvl w:val="0"/>
                <w:numId w:val="3"/>
              </w:numPr>
              <w:spacing w:line="240" w:lineRule="auto"/>
              <w:ind w:left="270"/>
              <w:rPr>
                <w:rFonts w:ascii="Calibri" w:eastAsia="Calibri" w:hAnsi="Calibri" w:cs="Calibri"/>
                <w:sz w:val="20"/>
                <w:szCs w:val="20"/>
              </w:rPr>
            </w:pPr>
            <w:r>
              <w:rPr>
                <w:rFonts w:ascii="Calibri" w:eastAsia="Calibri" w:hAnsi="Calibri" w:cs="Calibri"/>
                <w:sz w:val="20"/>
                <w:szCs w:val="20"/>
              </w:rPr>
              <w:lastRenderedPageBreak/>
              <w:t>Ethics and privacy</w:t>
            </w:r>
          </w:p>
        </w:tc>
        <w:tc>
          <w:tcPr>
            <w:tcW w:w="7890" w:type="dxa"/>
            <w:tcBorders>
              <w:top w:val="nil"/>
              <w:left w:val="nil"/>
              <w:bottom w:val="nil"/>
              <w:right w:val="nil"/>
            </w:tcBorders>
            <w:shd w:val="clear" w:color="auto" w:fill="FFFFFF"/>
            <w:tcMar>
              <w:top w:w="100" w:type="dxa"/>
              <w:left w:w="100" w:type="dxa"/>
              <w:bottom w:w="100" w:type="dxa"/>
              <w:right w:w="100" w:type="dxa"/>
            </w:tcMar>
          </w:tcPr>
          <w:p w14:paraId="3DD63D05" w14:textId="77777777" w:rsidR="009102D4" w:rsidRDefault="00545F79">
            <w:pPr>
              <w:spacing w:line="240" w:lineRule="auto"/>
              <w:ind w:left="180" w:right="160"/>
              <w:rPr>
                <w:rFonts w:ascii="Calibri" w:eastAsia="Calibri" w:hAnsi="Calibri" w:cs="Calibri"/>
                <w:sz w:val="20"/>
                <w:szCs w:val="20"/>
              </w:rPr>
            </w:pPr>
            <w:r>
              <w:rPr>
                <w:rFonts w:ascii="Calibri" w:eastAsia="Calibri" w:hAnsi="Calibri" w:cs="Calibri"/>
                <w:sz w:val="20"/>
                <w:szCs w:val="20"/>
              </w:rPr>
              <w:t>Any potential ethical and/or privacy considerations can be addressed.</w:t>
            </w:r>
          </w:p>
        </w:tc>
      </w:tr>
    </w:tbl>
    <w:p w14:paraId="2C28B9F1" w14:textId="77777777" w:rsidR="009102D4" w:rsidRDefault="009102D4"/>
    <w:p w14:paraId="31721CE2" w14:textId="77777777" w:rsidR="009102D4" w:rsidRDefault="009102D4">
      <w:pPr>
        <w:rPr>
          <w:rFonts w:ascii="Calibri" w:eastAsia="Calibri" w:hAnsi="Calibri" w:cs="Calibri"/>
          <w:sz w:val="24"/>
          <w:szCs w:val="24"/>
        </w:rPr>
      </w:pPr>
    </w:p>
    <w:p w14:paraId="01CAC4C6" w14:textId="77777777" w:rsidR="009102D4" w:rsidRDefault="00545F79">
      <w:pPr>
        <w:pStyle w:val="Heading2"/>
      </w:pPr>
      <w:bookmarkStart w:id="3" w:name="_fbha6t8f5rwg" w:colFirst="0" w:colLast="0"/>
      <w:bookmarkEnd w:id="3"/>
      <w:r>
        <w:t>Participant feedback</w:t>
      </w:r>
    </w:p>
    <w:p w14:paraId="5AEB9C05" w14:textId="77777777" w:rsidR="009102D4" w:rsidRDefault="009102D4">
      <w:pPr>
        <w:rPr>
          <w:rFonts w:ascii="Calibri" w:eastAsia="Calibri" w:hAnsi="Calibri" w:cs="Calibri"/>
          <w:sz w:val="24"/>
          <w:szCs w:val="24"/>
        </w:rPr>
      </w:pPr>
    </w:p>
    <w:p w14:paraId="1BCD5F96" w14:textId="77777777" w:rsidR="009102D4" w:rsidRDefault="00545F79">
      <w:pPr>
        <w:rPr>
          <w:rFonts w:ascii="Calibri" w:eastAsia="Calibri" w:hAnsi="Calibri" w:cs="Calibri"/>
          <w:sz w:val="24"/>
          <w:szCs w:val="24"/>
        </w:rPr>
      </w:pPr>
      <w:r>
        <w:rPr>
          <w:rFonts w:ascii="Calibri" w:eastAsia="Calibri" w:hAnsi="Calibri" w:cs="Calibri"/>
          <w:sz w:val="24"/>
          <w:szCs w:val="24"/>
        </w:rPr>
        <w:t>Do these principles make sense?</w:t>
      </w:r>
    </w:p>
    <w:p w14:paraId="30D8B9F6" w14:textId="77777777" w:rsidR="009102D4" w:rsidRDefault="00545F79">
      <w:pPr>
        <w:numPr>
          <w:ilvl w:val="0"/>
          <w:numId w:val="4"/>
        </w:numPr>
        <w:spacing w:before="220" w:after="220" w:line="240" w:lineRule="auto"/>
        <w:rPr>
          <w:rFonts w:ascii="Calibri" w:eastAsia="Calibri" w:hAnsi="Calibri" w:cs="Calibri"/>
          <w:sz w:val="24"/>
          <w:szCs w:val="24"/>
        </w:rPr>
      </w:pPr>
      <w:r>
        <w:rPr>
          <w:rFonts w:ascii="Calibri" w:eastAsia="Calibri" w:hAnsi="Calibri" w:cs="Calibri"/>
          <w:sz w:val="24"/>
          <w:szCs w:val="24"/>
        </w:rPr>
        <w:t>“Overall, I really liked this framework. We talked about it in our team as a potential framework we can incorporate into future challenges for our Innovation Accelerator to help us ID if an idea is at a state of readiness to support advancing the idea thro</w:t>
      </w:r>
      <w:r>
        <w:rPr>
          <w:rFonts w:ascii="Calibri" w:eastAsia="Calibri" w:hAnsi="Calibri" w:cs="Calibri"/>
          <w:sz w:val="24"/>
          <w:szCs w:val="24"/>
        </w:rPr>
        <w:t>ugh testing.”</w:t>
      </w:r>
    </w:p>
    <w:p w14:paraId="0562DC40" w14:textId="77777777" w:rsidR="009102D4" w:rsidRDefault="009102D4">
      <w:pPr>
        <w:rPr>
          <w:rFonts w:ascii="Calibri" w:eastAsia="Calibri" w:hAnsi="Calibri" w:cs="Calibri"/>
          <w:sz w:val="24"/>
          <w:szCs w:val="24"/>
        </w:rPr>
      </w:pPr>
    </w:p>
    <w:p w14:paraId="3CA83A79" w14:textId="77777777" w:rsidR="009102D4" w:rsidRDefault="00545F79">
      <w:pPr>
        <w:rPr>
          <w:rFonts w:ascii="Calibri" w:eastAsia="Calibri" w:hAnsi="Calibri" w:cs="Calibri"/>
          <w:sz w:val="24"/>
          <w:szCs w:val="24"/>
        </w:rPr>
      </w:pPr>
      <w:r>
        <w:rPr>
          <w:rFonts w:ascii="Calibri" w:eastAsia="Calibri" w:hAnsi="Calibri" w:cs="Calibri"/>
          <w:sz w:val="24"/>
          <w:szCs w:val="24"/>
        </w:rPr>
        <w:t>Where might we add or adjust principles?</w:t>
      </w:r>
    </w:p>
    <w:p w14:paraId="1CD808C7" w14:textId="77777777" w:rsidR="009102D4" w:rsidRDefault="00545F79">
      <w:pPr>
        <w:numPr>
          <w:ilvl w:val="0"/>
          <w:numId w:val="1"/>
        </w:numPr>
        <w:spacing w:before="220" w:after="220" w:line="240" w:lineRule="auto"/>
        <w:rPr>
          <w:rFonts w:ascii="Calibri" w:eastAsia="Calibri" w:hAnsi="Calibri" w:cs="Calibri"/>
          <w:sz w:val="24"/>
          <w:szCs w:val="24"/>
        </w:rPr>
      </w:pPr>
      <w:r>
        <w:rPr>
          <w:rFonts w:ascii="Calibri" w:eastAsia="Calibri" w:hAnsi="Calibri" w:cs="Calibri"/>
          <w:sz w:val="24"/>
          <w:szCs w:val="24"/>
        </w:rPr>
        <w:t xml:space="preserve">Principles: ten is a lot. Here is an alternate example from </w:t>
      </w:r>
      <w:proofErr w:type="spellStart"/>
      <w:r>
        <w:rPr>
          <w:rFonts w:ascii="Calibri" w:eastAsia="Calibri" w:hAnsi="Calibri" w:cs="Calibri"/>
          <w:sz w:val="24"/>
          <w:szCs w:val="24"/>
        </w:rPr>
        <w:t>NRCan</w:t>
      </w:r>
      <w:proofErr w:type="spellEnd"/>
    </w:p>
    <w:p w14:paraId="26D58573" w14:textId="77777777" w:rsidR="009102D4" w:rsidRDefault="00545F79">
      <w:pPr>
        <w:spacing w:before="220" w:after="220" w:line="240" w:lineRule="auto"/>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5CCD470" wp14:editId="0DFEA568">
            <wp:extent cx="3567144" cy="2071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10385" r="1886"/>
                    <a:stretch>
                      <a:fillRect/>
                    </a:stretch>
                  </pic:blipFill>
                  <pic:spPr>
                    <a:xfrm>
                      <a:off x="0" y="0"/>
                      <a:ext cx="3567144" cy="2071688"/>
                    </a:xfrm>
                    <a:prstGeom prst="rect">
                      <a:avLst/>
                    </a:prstGeom>
                    <a:ln/>
                  </pic:spPr>
                </pic:pic>
              </a:graphicData>
            </a:graphic>
          </wp:inline>
        </w:drawing>
      </w:r>
    </w:p>
    <w:p w14:paraId="686D475E" w14:textId="77777777" w:rsidR="009102D4" w:rsidRDefault="00545F79">
      <w:pPr>
        <w:numPr>
          <w:ilvl w:val="0"/>
          <w:numId w:val="1"/>
        </w:numPr>
        <w:spacing w:before="220" w:line="240" w:lineRule="auto"/>
        <w:rPr>
          <w:rFonts w:ascii="Calibri" w:eastAsia="Calibri" w:hAnsi="Calibri" w:cs="Calibri"/>
          <w:sz w:val="24"/>
          <w:szCs w:val="24"/>
        </w:rPr>
      </w:pPr>
      <w:r>
        <w:rPr>
          <w:rFonts w:ascii="Calibri" w:eastAsia="Calibri" w:hAnsi="Calibri" w:cs="Calibri"/>
          <w:sz w:val="24"/>
          <w:szCs w:val="24"/>
        </w:rPr>
        <w:t xml:space="preserve">ADD: </w:t>
      </w:r>
      <w:r>
        <w:rPr>
          <w:rFonts w:ascii="Calibri" w:eastAsia="Calibri" w:hAnsi="Calibri" w:cs="Calibri"/>
          <w:sz w:val="24"/>
          <w:szCs w:val="24"/>
          <w:highlight w:val="green"/>
        </w:rPr>
        <w:t>Available data?</w:t>
      </w:r>
      <w:r>
        <w:rPr>
          <w:rFonts w:ascii="Calibri" w:eastAsia="Calibri" w:hAnsi="Calibri" w:cs="Calibri"/>
          <w:sz w:val="24"/>
          <w:szCs w:val="24"/>
        </w:rPr>
        <w:t xml:space="preserve"> (under feasibility)</w:t>
      </w:r>
    </w:p>
    <w:p w14:paraId="4357E300" w14:textId="77777777" w:rsidR="009102D4" w:rsidRDefault="00545F79">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 xml:space="preserve">ADD: the </w:t>
      </w:r>
      <w:r>
        <w:rPr>
          <w:rFonts w:ascii="Calibri" w:eastAsia="Calibri" w:hAnsi="Calibri" w:cs="Calibri"/>
          <w:sz w:val="24"/>
          <w:szCs w:val="24"/>
          <w:highlight w:val="green"/>
        </w:rPr>
        <w:t>system's readiness to resource</w:t>
      </w:r>
      <w:r>
        <w:rPr>
          <w:rFonts w:ascii="Calibri" w:eastAsia="Calibri" w:hAnsi="Calibri" w:cs="Calibri"/>
          <w:sz w:val="24"/>
          <w:szCs w:val="24"/>
        </w:rPr>
        <w:t xml:space="preserve"> given other priorities -- not sure whether or where you'd capture that</w:t>
      </w:r>
    </w:p>
    <w:p w14:paraId="1DAC4886" w14:textId="77777777" w:rsidR="009102D4" w:rsidRDefault="00545F79">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Consider “the STOP approach (situation, target, options, proposal) with the broader optics of scalability, value for the enterprise, </w:t>
      </w:r>
      <w:proofErr w:type="spellStart"/>
      <w:r>
        <w:rPr>
          <w:rFonts w:ascii="Calibri" w:eastAsia="Calibri" w:hAnsi="Calibri" w:cs="Calibri"/>
          <w:sz w:val="24"/>
          <w:szCs w:val="24"/>
        </w:rPr>
        <w:t>RoI</w:t>
      </w:r>
      <w:proofErr w:type="spellEnd"/>
      <w:r>
        <w:rPr>
          <w:rFonts w:ascii="Calibri" w:eastAsia="Calibri" w:hAnsi="Calibri" w:cs="Calibri"/>
          <w:sz w:val="24"/>
          <w:szCs w:val="24"/>
        </w:rPr>
        <w:t xml:space="preserve">, alignment with </w:t>
      </w:r>
      <w:proofErr w:type="spellStart"/>
      <w:r>
        <w:rPr>
          <w:rFonts w:ascii="Calibri" w:eastAsia="Calibri" w:hAnsi="Calibri" w:cs="Calibri"/>
          <w:sz w:val="24"/>
          <w:szCs w:val="24"/>
        </w:rPr>
        <w:t>FoW</w:t>
      </w:r>
      <w:proofErr w:type="spellEnd"/>
      <w:r>
        <w:rPr>
          <w:rFonts w:ascii="Calibri" w:eastAsia="Calibri" w:hAnsi="Calibri" w:cs="Calibri"/>
          <w:sz w:val="24"/>
          <w:szCs w:val="24"/>
        </w:rPr>
        <w:t>, etc.”</w:t>
      </w:r>
    </w:p>
    <w:p w14:paraId="75670821" w14:textId="77777777" w:rsidR="009102D4" w:rsidRDefault="00545F79">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 xml:space="preserve">Gap: </w:t>
      </w:r>
      <w:r>
        <w:rPr>
          <w:rFonts w:ascii="Calibri" w:eastAsia="Calibri" w:hAnsi="Calibri" w:cs="Calibri"/>
          <w:sz w:val="24"/>
          <w:szCs w:val="24"/>
          <w:highlight w:val="green"/>
        </w:rPr>
        <w:t>privacy expert</w:t>
      </w:r>
      <w:r>
        <w:rPr>
          <w:rFonts w:ascii="Calibri" w:eastAsia="Calibri" w:hAnsi="Calibri" w:cs="Calibri"/>
          <w:sz w:val="24"/>
          <w:szCs w:val="24"/>
          <w:highlight w:val="green"/>
        </w:rPr>
        <w:t>ise</w:t>
      </w:r>
      <w:r>
        <w:rPr>
          <w:rFonts w:ascii="Calibri" w:eastAsia="Calibri" w:hAnsi="Calibri" w:cs="Calibri"/>
          <w:sz w:val="24"/>
          <w:szCs w:val="24"/>
        </w:rPr>
        <w:t xml:space="preserve"> needed to talk about line of business ownership re: HR data...need privacy by design, understanding accountabilities. How are departmental privacy experts interpreting this, or where we need to nudge? ​Looking for </w:t>
      </w:r>
      <w:r>
        <w:rPr>
          <w:rFonts w:ascii="Calibri" w:eastAsia="Calibri" w:hAnsi="Calibri" w:cs="Calibri"/>
          <w:sz w:val="24"/>
          <w:szCs w:val="24"/>
          <w:highlight w:val="green"/>
        </w:rPr>
        <w:t xml:space="preserve">OCHRO leadership on interpretation of </w:t>
      </w:r>
      <w:r>
        <w:rPr>
          <w:rFonts w:ascii="Calibri" w:eastAsia="Calibri" w:hAnsi="Calibri" w:cs="Calibri"/>
          <w:sz w:val="24"/>
          <w:szCs w:val="24"/>
          <w:highlight w:val="green"/>
        </w:rPr>
        <w:t>rules/data</w:t>
      </w:r>
      <w:r>
        <w:rPr>
          <w:rFonts w:ascii="Calibri" w:eastAsia="Calibri" w:hAnsi="Calibri" w:cs="Calibri"/>
          <w:sz w:val="24"/>
          <w:szCs w:val="24"/>
        </w:rPr>
        <w:t>. ​</w:t>
      </w:r>
    </w:p>
    <w:p w14:paraId="0CAFD6D3" w14:textId="77777777" w:rsidR="009102D4" w:rsidRDefault="00545F79">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I think we should be talking about Rules as Code, </w:t>
      </w:r>
      <w:proofErr w:type="gramStart"/>
      <w:r>
        <w:rPr>
          <w:rFonts w:ascii="Calibri" w:eastAsia="Calibri" w:hAnsi="Calibri" w:cs="Calibri"/>
          <w:sz w:val="24"/>
          <w:szCs w:val="24"/>
        </w:rPr>
        <w:t>everywhere !</w:t>
      </w:r>
      <w:proofErr w:type="gramEnd"/>
      <w:r>
        <w:rPr>
          <w:rFonts w:ascii="Calibri" w:eastAsia="Calibri" w:hAnsi="Calibri" w:cs="Calibri"/>
          <w:sz w:val="24"/>
          <w:szCs w:val="24"/>
        </w:rPr>
        <w:t xml:space="preserve"> Just to see what we can clarify and codify</w:t>
      </w:r>
    </w:p>
    <w:p w14:paraId="50D10171" w14:textId="77777777" w:rsidR="009102D4" w:rsidRDefault="00545F79">
      <w:pPr>
        <w:numPr>
          <w:ilvl w:val="0"/>
          <w:numId w:val="1"/>
        </w:numPr>
        <w:spacing w:after="220" w:line="240" w:lineRule="auto"/>
        <w:rPr>
          <w:rFonts w:ascii="Calibri" w:eastAsia="Calibri" w:hAnsi="Calibri" w:cs="Calibri"/>
          <w:sz w:val="24"/>
          <w:szCs w:val="24"/>
        </w:rPr>
      </w:pPr>
      <w:r>
        <w:rPr>
          <w:rFonts w:ascii="Calibri" w:eastAsia="Calibri" w:hAnsi="Calibri" w:cs="Calibri"/>
          <w:sz w:val="24"/>
          <w:szCs w:val="24"/>
        </w:rPr>
        <w:t>We build systems to improve data and that's a key problem. We need to think about data flow and stewardship that is agnostic of the syst</w:t>
      </w:r>
      <w:r>
        <w:rPr>
          <w:rFonts w:ascii="Calibri" w:eastAsia="Calibri" w:hAnsi="Calibri" w:cs="Calibri"/>
          <w:sz w:val="24"/>
          <w:szCs w:val="24"/>
        </w:rPr>
        <w:t xml:space="preserve">em (read </w:t>
      </w:r>
      <w:proofErr w:type="spellStart"/>
      <w:r>
        <w:rPr>
          <w:rFonts w:ascii="Calibri" w:eastAsia="Calibri" w:hAnsi="Calibri" w:cs="Calibri"/>
          <w:sz w:val="24"/>
          <w:szCs w:val="24"/>
        </w:rPr>
        <w:t>flavour</w:t>
      </w:r>
      <w:proofErr w:type="spellEnd"/>
      <w:r>
        <w:rPr>
          <w:rFonts w:ascii="Calibri" w:eastAsia="Calibri" w:hAnsi="Calibri" w:cs="Calibri"/>
          <w:sz w:val="24"/>
          <w:szCs w:val="24"/>
        </w:rPr>
        <w:t>) of the day.</w:t>
      </w:r>
    </w:p>
    <w:p w14:paraId="7D312D01" w14:textId="77777777" w:rsidR="009102D4" w:rsidRDefault="009102D4">
      <w:pPr>
        <w:spacing w:line="240" w:lineRule="auto"/>
        <w:ind w:left="720"/>
        <w:rPr>
          <w:rFonts w:ascii="Calibri" w:eastAsia="Calibri" w:hAnsi="Calibri" w:cs="Calibri"/>
          <w:sz w:val="24"/>
          <w:szCs w:val="24"/>
        </w:rPr>
      </w:pPr>
    </w:p>
    <w:p w14:paraId="62988136" w14:textId="77777777" w:rsidR="009102D4" w:rsidRDefault="00545F79">
      <w:pPr>
        <w:spacing w:before="220" w:after="220" w:line="240" w:lineRule="auto"/>
        <w:rPr>
          <w:rFonts w:ascii="Calibri" w:eastAsia="Calibri" w:hAnsi="Calibri" w:cs="Calibri"/>
          <w:sz w:val="24"/>
          <w:szCs w:val="24"/>
        </w:rPr>
      </w:pPr>
      <w:r>
        <w:br w:type="page"/>
      </w:r>
    </w:p>
    <w:p w14:paraId="0FA1EC95" w14:textId="77777777" w:rsidR="009102D4" w:rsidRDefault="00545F79">
      <w:pPr>
        <w:shd w:val="clear" w:color="auto" w:fill="EFEFEF"/>
        <w:spacing w:before="220" w:after="220" w:line="240" w:lineRule="auto"/>
        <w:rPr>
          <w:rFonts w:ascii="Calibri" w:eastAsia="Calibri" w:hAnsi="Calibri" w:cs="Calibri"/>
          <w:color w:val="0B5394"/>
          <w:sz w:val="24"/>
          <w:szCs w:val="24"/>
        </w:rPr>
      </w:pPr>
      <w:r>
        <w:rPr>
          <w:rFonts w:ascii="Calibri" w:eastAsia="Calibri" w:hAnsi="Calibri" w:cs="Calibri"/>
          <w:color w:val="0B5394"/>
          <w:sz w:val="24"/>
          <w:szCs w:val="24"/>
        </w:rPr>
        <w:lastRenderedPageBreak/>
        <w:t>What happens next?</w:t>
      </w:r>
    </w:p>
    <w:p w14:paraId="51FDBC30" w14:textId="77777777" w:rsidR="009102D4" w:rsidRDefault="00545F79">
      <w:pPr>
        <w:numPr>
          <w:ilvl w:val="0"/>
          <w:numId w:val="7"/>
        </w:numPr>
        <w:spacing w:before="220" w:line="240" w:lineRule="auto"/>
        <w:rPr>
          <w:rFonts w:ascii="Calibri" w:eastAsia="Calibri" w:hAnsi="Calibri" w:cs="Calibri"/>
          <w:sz w:val="24"/>
          <w:szCs w:val="24"/>
        </w:rPr>
      </w:pPr>
      <w:r>
        <w:rPr>
          <w:rFonts w:ascii="Calibri" w:eastAsia="Calibri" w:hAnsi="Calibri" w:cs="Calibri"/>
          <w:sz w:val="24"/>
          <w:szCs w:val="24"/>
        </w:rPr>
        <w:t>“Do you run the projects through the principles lens before you take on a project?”</w:t>
      </w:r>
    </w:p>
    <w:p w14:paraId="0E294FC9" w14:textId="77777777" w:rsidR="009102D4" w:rsidRDefault="00545F7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Do you have something you’d like to show? </w:t>
      </w:r>
      <w:hyperlink r:id="rId11">
        <w:r>
          <w:rPr>
            <w:rFonts w:ascii="Calibri" w:eastAsia="Calibri" w:hAnsi="Calibri" w:cs="Calibri"/>
            <w:color w:val="1155CC"/>
            <w:sz w:val="24"/>
            <w:szCs w:val="24"/>
            <w:u w:val="single"/>
          </w:rPr>
          <w:t>Please let us know!</w:t>
        </w:r>
      </w:hyperlink>
    </w:p>
    <w:p w14:paraId="61E69D65" w14:textId="77777777" w:rsidR="009102D4" w:rsidRDefault="009102D4">
      <w:pPr>
        <w:spacing w:line="240" w:lineRule="auto"/>
        <w:rPr>
          <w:rFonts w:ascii="Calibri" w:eastAsia="Calibri" w:hAnsi="Calibri" w:cs="Calibri"/>
          <w:sz w:val="24"/>
          <w:szCs w:val="24"/>
          <w:highlight w:val="green"/>
        </w:rPr>
      </w:pPr>
    </w:p>
    <w:p w14:paraId="6731218D" w14:textId="77777777" w:rsidR="009102D4" w:rsidRDefault="009102D4">
      <w:pPr>
        <w:spacing w:line="240" w:lineRule="auto"/>
        <w:ind w:left="720"/>
        <w:rPr>
          <w:rFonts w:ascii="Calibri" w:eastAsia="Calibri" w:hAnsi="Calibri" w:cs="Calibri"/>
          <w:sz w:val="24"/>
          <w:szCs w:val="24"/>
        </w:rPr>
      </w:pPr>
    </w:p>
    <w:p w14:paraId="62E113B5" w14:textId="77777777" w:rsidR="009102D4" w:rsidRDefault="009102D4">
      <w:pPr>
        <w:spacing w:line="240" w:lineRule="auto"/>
        <w:rPr>
          <w:rFonts w:ascii="Calibri" w:eastAsia="Calibri" w:hAnsi="Calibri" w:cs="Calibri"/>
          <w:sz w:val="24"/>
          <w:szCs w:val="24"/>
        </w:rPr>
      </w:pPr>
    </w:p>
    <w:p w14:paraId="6FBDFFC3" w14:textId="77777777" w:rsidR="009102D4" w:rsidRDefault="00545F79">
      <w:pPr>
        <w:spacing w:line="240" w:lineRule="auto"/>
        <w:rPr>
          <w:rFonts w:ascii="Calibri" w:eastAsia="Calibri" w:hAnsi="Calibri" w:cs="Calibri"/>
          <w:b/>
          <w:color w:val="980000"/>
          <w:sz w:val="28"/>
          <w:szCs w:val="28"/>
        </w:rPr>
      </w:pPr>
      <w:r>
        <w:rPr>
          <w:rFonts w:ascii="Calibri" w:eastAsia="Calibri" w:hAnsi="Calibri" w:cs="Calibri"/>
          <w:b/>
          <w:color w:val="980000"/>
          <w:sz w:val="28"/>
          <w:szCs w:val="28"/>
        </w:rPr>
        <w:t xml:space="preserve">Post everything above this line to </w:t>
      </w:r>
      <w:proofErr w:type="spellStart"/>
      <w:r>
        <w:rPr>
          <w:rFonts w:ascii="Calibri" w:eastAsia="Calibri" w:hAnsi="Calibri" w:cs="Calibri"/>
          <w:b/>
          <w:color w:val="980000"/>
          <w:sz w:val="28"/>
          <w:szCs w:val="28"/>
        </w:rPr>
        <w:t>GCWiki</w:t>
      </w:r>
      <w:proofErr w:type="spellEnd"/>
    </w:p>
    <w:p w14:paraId="6709C317" w14:textId="77777777" w:rsidR="009102D4" w:rsidRDefault="009102D4">
      <w:pPr>
        <w:spacing w:line="240" w:lineRule="auto"/>
        <w:ind w:left="720"/>
        <w:rPr>
          <w:rFonts w:ascii="Calibri" w:eastAsia="Calibri" w:hAnsi="Calibri" w:cs="Calibri"/>
          <w:sz w:val="24"/>
          <w:szCs w:val="24"/>
        </w:rPr>
      </w:pPr>
    </w:p>
    <w:p w14:paraId="7C8E2EE1" w14:textId="77777777" w:rsidR="009102D4" w:rsidRDefault="00545F79">
      <w:pPr>
        <w:shd w:val="clear" w:color="auto" w:fill="EFEFEF"/>
        <w:spacing w:before="220" w:line="240" w:lineRule="auto"/>
        <w:rPr>
          <w:rFonts w:ascii="Calibri" w:eastAsia="Calibri" w:hAnsi="Calibri" w:cs="Calibri"/>
          <w:sz w:val="24"/>
          <w:szCs w:val="24"/>
          <w:highlight w:val="yellow"/>
        </w:rPr>
      </w:pPr>
      <w:r>
        <w:rPr>
          <w:rFonts w:ascii="Calibri" w:eastAsia="Calibri" w:hAnsi="Calibri" w:cs="Calibri"/>
          <w:color w:val="0B5394"/>
          <w:sz w:val="24"/>
          <w:szCs w:val="24"/>
        </w:rPr>
        <w:t xml:space="preserve">Who joined us? </w:t>
      </w:r>
    </w:p>
    <w:p w14:paraId="75A972A8" w14:textId="77777777" w:rsidR="009102D4" w:rsidRDefault="009102D4">
      <w:pPr>
        <w:sectPr w:rsidR="009102D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pPr>
    </w:p>
    <w:p w14:paraId="00A0A03B"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Amélie Fournier (OCHRO)</w:t>
      </w:r>
    </w:p>
    <w:p w14:paraId="2D2F9B07" w14:textId="77777777" w:rsidR="009102D4" w:rsidRPr="00545F79" w:rsidRDefault="00545F79">
      <w:pPr>
        <w:spacing w:line="240" w:lineRule="auto"/>
        <w:rPr>
          <w:rFonts w:ascii="Calibri" w:eastAsia="Calibri" w:hAnsi="Calibri" w:cs="Calibri"/>
          <w:sz w:val="24"/>
          <w:szCs w:val="24"/>
          <w:lang w:val="fr-CA"/>
        </w:rPr>
      </w:pPr>
      <w:r w:rsidRPr="00545F79">
        <w:rPr>
          <w:rFonts w:ascii="Calibri" w:eastAsia="Calibri" w:hAnsi="Calibri" w:cs="Calibri"/>
          <w:sz w:val="24"/>
          <w:szCs w:val="24"/>
          <w:lang w:val="fr-CA"/>
        </w:rPr>
        <w:t>Andee Pittman (OCHRO)</w:t>
      </w:r>
    </w:p>
    <w:p w14:paraId="165B19BD" w14:textId="77777777" w:rsidR="009102D4" w:rsidRPr="00545F79" w:rsidRDefault="00545F79">
      <w:pPr>
        <w:spacing w:line="240" w:lineRule="auto"/>
        <w:rPr>
          <w:rFonts w:ascii="Calibri" w:eastAsia="Calibri" w:hAnsi="Calibri" w:cs="Calibri"/>
          <w:sz w:val="24"/>
          <w:szCs w:val="24"/>
          <w:lang w:val="fr-CA"/>
        </w:rPr>
      </w:pPr>
      <w:r w:rsidRPr="00545F79">
        <w:rPr>
          <w:rFonts w:ascii="Calibri" w:eastAsia="Calibri" w:hAnsi="Calibri" w:cs="Calibri"/>
          <w:sz w:val="24"/>
          <w:szCs w:val="24"/>
          <w:lang w:val="fr-CA"/>
        </w:rPr>
        <w:t>Étienne Laliberté (ESDC)</w:t>
      </w:r>
    </w:p>
    <w:p w14:paraId="3FF71D7F"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Greg White (</w:t>
      </w:r>
      <w:proofErr w:type="spellStart"/>
      <w:r>
        <w:rPr>
          <w:rFonts w:ascii="Calibri" w:eastAsia="Calibri" w:hAnsi="Calibri" w:cs="Calibri"/>
          <w:sz w:val="24"/>
          <w:szCs w:val="24"/>
        </w:rPr>
        <w:t>NRCan</w:t>
      </w:r>
      <w:proofErr w:type="spellEnd"/>
      <w:r>
        <w:rPr>
          <w:rFonts w:ascii="Calibri" w:eastAsia="Calibri" w:hAnsi="Calibri" w:cs="Calibri"/>
          <w:sz w:val="24"/>
          <w:szCs w:val="24"/>
        </w:rPr>
        <w:t>/ESDC)</w:t>
      </w:r>
    </w:p>
    <w:p w14:paraId="06336B51"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Haris Khan (OCHRO)</w:t>
      </w:r>
    </w:p>
    <w:p w14:paraId="7DA8B9DF"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Hope Harris (</w:t>
      </w:r>
      <w:proofErr w:type="spellStart"/>
      <w:r>
        <w:rPr>
          <w:rFonts w:ascii="Calibri" w:eastAsia="Calibri" w:hAnsi="Calibri" w:cs="Calibri"/>
          <w:sz w:val="24"/>
          <w:szCs w:val="24"/>
        </w:rPr>
        <w:t>NRCan</w:t>
      </w:r>
      <w:proofErr w:type="spellEnd"/>
      <w:r>
        <w:rPr>
          <w:rFonts w:ascii="Calibri" w:eastAsia="Calibri" w:hAnsi="Calibri" w:cs="Calibri"/>
          <w:sz w:val="24"/>
          <w:szCs w:val="24"/>
        </w:rPr>
        <w:t>)</w:t>
      </w:r>
    </w:p>
    <w:p w14:paraId="4CEF89BC"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 xml:space="preserve">Jasmine Garcia </w:t>
      </w:r>
      <w:proofErr w:type="spellStart"/>
      <w:r>
        <w:rPr>
          <w:rFonts w:ascii="Calibri" w:eastAsia="Calibri" w:hAnsi="Calibri" w:cs="Calibri"/>
          <w:sz w:val="24"/>
          <w:szCs w:val="24"/>
        </w:rPr>
        <w:t>Larouche</w:t>
      </w:r>
      <w:proofErr w:type="spellEnd"/>
      <w:r>
        <w:rPr>
          <w:rFonts w:ascii="Calibri" w:eastAsia="Calibri" w:hAnsi="Calibri" w:cs="Calibri"/>
          <w:sz w:val="24"/>
          <w:szCs w:val="24"/>
        </w:rPr>
        <w:t xml:space="preserve"> (ESDC)</w:t>
      </w:r>
    </w:p>
    <w:p w14:paraId="1C83D687"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Jason Lawson (OCHRO) (host)</w:t>
      </w:r>
    </w:p>
    <w:p w14:paraId="08C9BBBC"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Jean-Francois Nault (OCHRO)</w:t>
      </w:r>
    </w:p>
    <w:p w14:paraId="3E33C1BC"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 xml:space="preserve">Kate </w:t>
      </w:r>
      <w:proofErr w:type="spellStart"/>
      <w:r>
        <w:rPr>
          <w:rFonts w:ascii="Calibri" w:eastAsia="Calibri" w:hAnsi="Calibri" w:cs="Calibri"/>
          <w:sz w:val="24"/>
          <w:szCs w:val="24"/>
        </w:rPr>
        <w:t>Borowec</w:t>
      </w:r>
      <w:proofErr w:type="spellEnd"/>
      <w:r>
        <w:rPr>
          <w:rFonts w:ascii="Calibri" w:eastAsia="Calibri" w:hAnsi="Calibri" w:cs="Calibri"/>
          <w:sz w:val="24"/>
          <w:szCs w:val="24"/>
        </w:rPr>
        <w:t xml:space="preserve"> (TBS/P&amp;P)</w:t>
      </w:r>
    </w:p>
    <w:p w14:paraId="629C2A1A"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Lauren Murphy (OCHRO)</w:t>
      </w:r>
    </w:p>
    <w:p w14:paraId="1C081B5D"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McKenzie Krasilczuk (OCHRO)</w:t>
      </w:r>
    </w:p>
    <w:p w14:paraId="7E0E722F" w14:textId="77777777" w:rsidR="009102D4" w:rsidRDefault="00545F79">
      <w:pPr>
        <w:spacing w:line="240" w:lineRule="auto"/>
        <w:rPr>
          <w:rFonts w:ascii="Calibri" w:eastAsia="Calibri" w:hAnsi="Calibri" w:cs="Calibri"/>
          <w:sz w:val="24"/>
          <w:szCs w:val="24"/>
        </w:rPr>
      </w:pPr>
      <w:proofErr w:type="spellStart"/>
      <w:r>
        <w:rPr>
          <w:rFonts w:ascii="Calibri" w:eastAsia="Calibri" w:hAnsi="Calibri" w:cs="Calibri"/>
          <w:sz w:val="24"/>
          <w:szCs w:val="24"/>
        </w:rPr>
        <w:t>Natasja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Mackwood</w:t>
      </w:r>
      <w:proofErr w:type="spellEnd"/>
      <w:r>
        <w:rPr>
          <w:rFonts w:ascii="Calibri" w:eastAsia="Calibri" w:hAnsi="Calibri" w:cs="Calibri"/>
          <w:sz w:val="24"/>
          <w:szCs w:val="24"/>
        </w:rPr>
        <w:t xml:space="preserve"> (CRA)</w:t>
      </w:r>
    </w:p>
    <w:p w14:paraId="0B3F6625"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Nicola Bill (TBS/P&amp;P)</w:t>
      </w:r>
    </w:p>
    <w:p w14:paraId="1A3E50AB" w14:textId="77777777" w:rsidR="009102D4" w:rsidRPr="00545F79" w:rsidRDefault="00545F79">
      <w:pPr>
        <w:spacing w:line="240" w:lineRule="auto"/>
        <w:rPr>
          <w:rFonts w:ascii="Calibri" w:eastAsia="Calibri" w:hAnsi="Calibri" w:cs="Calibri"/>
          <w:sz w:val="24"/>
          <w:szCs w:val="24"/>
          <w:lang w:val="fr-CA"/>
        </w:rPr>
      </w:pPr>
      <w:r w:rsidRPr="00545F79">
        <w:rPr>
          <w:rFonts w:ascii="Calibri" w:eastAsia="Calibri" w:hAnsi="Calibri" w:cs="Calibri"/>
          <w:sz w:val="24"/>
          <w:szCs w:val="24"/>
          <w:lang w:val="fr-CA"/>
        </w:rPr>
        <w:t>Nicole Saulnier (OCHRO)</w:t>
      </w:r>
    </w:p>
    <w:p w14:paraId="63A95E93" w14:textId="77777777" w:rsidR="009102D4" w:rsidRPr="00545F79" w:rsidRDefault="00545F79">
      <w:pPr>
        <w:spacing w:line="240" w:lineRule="auto"/>
        <w:rPr>
          <w:rFonts w:ascii="Calibri" w:eastAsia="Calibri" w:hAnsi="Calibri" w:cs="Calibri"/>
          <w:sz w:val="24"/>
          <w:szCs w:val="24"/>
          <w:lang w:val="fr-CA"/>
        </w:rPr>
      </w:pPr>
      <w:r w:rsidRPr="00545F79">
        <w:rPr>
          <w:rFonts w:ascii="Calibri" w:eastAsia="Calibri" w:hAnsi="Calibri" w:cs="Calibri"/>
          <w:sz w:val="24"/>
          <w:szCs w:val="24"/>
          <w:lang w:val="fr-CA"/>
        </w:rPr>
        <w:t>Octavia James (OCHRO)</w:t>
      </w:r>
    </w:p>
    <w:p w14:paraId="739E1EEA"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Raissa Kakisingi (OCHRO)</w:t>
      </w:r>
    </w:p>
    <w:p w14:paraId="1414FE55"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Rodman Chan (TBS/P&amp;P)</w:t>
      </w:r>
    </w:p>
    <w:p w14:paraId="046DB828"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Stacey Ileleji (OCHRO)</w:t>
      </w:r>
    </w:p>
    <w:p w14:paraId="003E8FA1" w14:textId="77777777" w:rsidR="009102D4" w:rsidRDefault="00545F79">
      <w:pPr>
        <w:spacing w:line="240" w:lineRule="auto"/>
        <w:rPr>
          <w:rFonts w:ascii="Calibri" w:eastAsia="Calibri" w:hAnsi="Calibri" w:cs="Calibri"/>
          <w:sz w:val="24"/>
          <w:szCs w:val="24"/>
        </w:rPr>
      </w:pPr>
      <w:r>
        <w:rPr>
          <w:rFonts w:ascii="Calibri" w:eastAsia="Calibri" w:hAnsi="Calibri" w:cs="Calibri"/>
          <w:sz w:val="24"/>
          <w:szCs w:val="24"/>
        </w:rPr>
        <w:t>Stephanie Percival (CRA)</w:t>
      </w:r>
    </w:p>
    <w:p w14:paraId="7B18D6B2" w14:textId="77777777" w:rsidR="009102D4" w:rsidRDefault="00545F79">
      <w:pPr>
        <w:spacing w:line="240" w:lineRule="auto"/>
        <w:rPr>
          <w:rFonts w:ascii="Calibri" w:eastAsia="Calibri" w:hAnsi="Calibri" w:cs="Calibri"/>
          <w:sz w:val="24"/>
          <w:szCs w:val="24"/>
        </w:rPr>
        <w:sectPr w:rsidR="009102D4">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4"/>
          <w:szCs w:val="24"/>
        </w:rPr>
        <w:t>Susan Johnston (OCHRO)(host)</w:t>
      </w:r>
    </w:p>
    <w:p w14:paraId="02F16840" w14:textId="77777777" w:rsidR="009102D4" w:rsidRDefault="009102D4"/>
    <w:p w14:paraId="02390B3D" w14:textId="77777777" w:rsidR="009102D4" w:rsidRDefault="00545F79">
      <w:pPr>
        <w:pStyle w:val="Heading2"/>
        <w:spacing w:before="220" w:after="220" w:line="240" w:lineRule="auto"/>
      </w:pPr>
      <w:bookmarkStart w:id="4" w:name="_wrjdu4u5dqqr" w:colFirst="0" w:colLast="0"/>
      <w:bookmarkEnd w:id="4"/>
      <w:r>
        <w:t>What kinds of experiment</w:t>
      </w:r>
      <w:r>
        <w:t>ation or project evaluation do you work on and/or are interested in?</w:t>
      </w:r>
    </w:p>
    <w:p w14:paraId="6170C82D"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At CRA we're preparing to run an Innovation Accelerator. We'll be pairing idea submitters with experts and learning resources with the goal of helping them take their idea from concept t</w:t>
      </w:r>
      <w:r>
        <w:rPr>
          <w:rFonts w:ascii="Calibri" w:eastAsia="Calibri" w:hAnsi="Calibri" w:cs="Calibri"/>
          <w:sz w:val="24"/>
          <w:szCs w:val="24"/>
        </w:rPr>
        <w:t>o tested prototype.</w:t>
      </w:r>
    </w:p>
    <w:p w14:paraId="3EBC4CD8"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Human-</w:t>
      </w:r>
      <w:proofErr w:type="spellStart"/>
      <w:r>
        <w:rPr>
          <w:rFonts w:ascii="Calibri" w:eastAsia="Calibri" w:hAnsi="Calibri" w:cs="Calibri"/>
          <w:sz w:val="24"/>
          <w:szCs w:val="24"/>
        </w:rPr>
        <w:t>centred</w:t>
      </w:r>
      <w:proofErr w:type="spellEnd"/>
      <w:r>
        <w:rPr>
          <w:rFonts w:ascii="Calibri" w:eastAsia="Calibri" w:hAnsi="Calibri" w:cs="Calibri"/>
          <w:sz w:val="24"/>
          <w:szCs w:val="24"/>
        </w:rPr>
        <w:t xml:space="preserve"> design on the RET team.</w:t>
      </w:r>
    </w:p>
    <w:p w14:paraId="58DCDF3F"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Curious about how to test small, practical things that help improve how people work together</w:t>
      </w:r>
    </w:p>
    <w:p w14:paraId="2C6D597E"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Experimentation and evidence-based decision making</w:t>
      </w:r>
    </w:p>
    <w:p w14:paraId="7A0EF5EF"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Data informed HR decisions</w:t>
      </w:r>
    </w:p>
    <w:p w14:paraId="2AFDD6C0"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Communicating process and results in a way that shows its effectiveness and importance</w:t>
      </w:r>
    </w:p>
    <w:p w14:paraId="67244037"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Co-chair a community of practice that comprise innovative approaches (change mgt, leadership, design-thinking, LEAN). Lead on change mgt for classification conversions </w:t>
      </w:r>
      <w:r>
        <w:rPr>
          <w:rFonts w:ascii="Calibri" w:eastAsia="Calibri" w:hAnsi="Calibri" w:cs="Calibri"/>
          <w:sz w:val="24"/>
          <w:szCs w:val="24"/>
        </w:rPr>
        <w:t>- occupational group modernization. Mindfulness</w:t>
      </w:r>
    </w:p>
    <w:p w14:paraId="74C06E38"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Strategic advice on Future of Work approach and identifying projects to drive Future of Work initiatives</w:t>
      </w:r>
    </w:p>
    <w:p w14:paraId="15515E4C"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How to establish / develop / implement multidisciplinary teams quickly and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w flexibility (and is it</w:t>
      </w:r>
      <w:r>
        <w:rPr>
          <w:rFonts w:ascii="Calibri" w:eastAsia="Calibri" w:hAnsi="Calibri" w:cs="Calibri"/>
          <w:sz w:val="24"/>
          <w:szCs w:val="24"/>
        </w:rPr>
        <w:t xml:space="preserve"> the actual policy or the culture that creates challenges in this space)</w:t>
      </w:r>
    </w:p>
    <w:p w14:paraId="6D9B3823" w14:textId="77777777" w:rsidR="009102D4" w:rsidRDefault="00545F79">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Resource (thanks to Stacey </w:t>
      </w:r>
      <w:proofErr w:type="spellStart"/>
      <w:r>
        <w:rPr>
          <w:rFonts w:ascii="Calibri" w:eastAsia="Calibri" w:hAnsi="Calibri" w:cs="Calibri"/>
          <w:sz w:val="24"/>
          <w:szCs w:val="24"/>
        </w:rPr>
        <w:t>Ilelji</w:t>
      </w:r>
      <w:proofErr w:type="spellEnd"/>
      <w:r>
        <w:rPr>
          <w:rFonts w:ascii="Calibri" w:eastAsia="Calibri" w:hAnsi="Calibri" w:cs="Calibri"/>
          <w:sz w:val="24"/>
          <w:szCs w:val="24"/>
        </w:rPr>
        <w:t xml:space="preserve">): </w:t>
      </w:r>
      <w:hyperlink r:id="rId18">
        <w:r>
          <w:rPr>
            <w:rFonts w:ascii="Calibri" w:eastAsia="Calibri" w:hAnsi="Calibri" w:cs="Calibri"/>
            <w:color w:val="1155CC"/>
            <w:sz w:val="24"/>
            <w:szCs w:val="24"/>
            <w:u w:val="single"/>
          </w:rPr>
          <w:t>Classification with regard to multi-disciplinary teams</w:t>
        </w:r>
      </w:hyperlink>
      <w:r>
        <w:rPr>
          <w:rFonts w:ascii="Calibri" w:eastAsia="Calibri" w:hAnsi="Calibri" w:cs="Calibri"/>
          <w:sz w:val="24"/>
          <w:szCs w:val="24"/>
        </w:rPr>
        <w:t xml:space="preserve"> (</w:t>
      </w:r>
      <w:proofErr w:type="spellStart"/>
      <w:r>
        <w:rPr>
          <w:rFonts w:ascii="Calibri" w:eastAsia="Calibri" w:hAnsi="Calibri" w:cs="Calibri"/>
          <w:sz w:val="24"/>
          <w:szCs w:val="24"/>
        </w:rPr>
        <w:t>GCPedia</w:t>
      </w:r>
      <w:proofErr w:type="spellEnd"/>
      <w:r>
        <w:rPr>
          <w:rFonts w:ascii="Calibri" w:eastAsia="Calibri" w:hAnsi="Calibri" w:cs="Calibri"/>
          <w:sz w:val="24"/>
          <w:szCs w:val="24"/>
        </w:rPr>
        <w:t>).</w:t>
      </w:r>
    </w:p>
    <w:p w14:paraId="76C58F32"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lastRenderedPageBreak/>
        <w:t>Mixed-method research, curious about GBA+ analysis</w:t>
      </w:r>
    </w:p>
    <w:p w14:paraId="1413745E" w14:textId="77777777" w:rsidR="009102D4" w:rsidRDefault="00545F7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I have a project on older workers I am spearheading in the </w:t>
      </w:r>
      <w:proofErr w:type="spellStart"/>
      <w:r>
        <w:rPr>
          <w:rFonts w:ascii="Calibri" w:eastAsia="Calibri" w:hAnsi="Calibri" w:cs="Calibri"/>
          <w:sz w:val="24"/>
          <w:szCs w:val="24"/>
        </w:rPr>
        <w:t>GoC</w:t>
      </w:r>
      <w:proofErr w:type="spellEnd"/>
    </w:p>
    <w:sectPr w:rsidR="009102D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BB594" w14:textId="77777777" w:rsidR="00545F79" w:rsidRDefault="00545F79" w:rsidP="00545F79">
      <w:pPr>
        <w:spacing w:line="240" w:lineRule="auto"/>
      </w:pPr>
      <w:r>
        <w:separator/>
      </w:r>
    </w:p>
  </w:endnote>
  <w:endnote w:type="continuationSeparator" w:id="0">
    <w:p w14:paraId="677478E0" w14:textId="77777777" w:rsidR="00545F79" w:rsidRDefault="00545F79" w:rsidP="00545F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5ECF8" w14:textId="77777777" w:rsidR="00545F79" w:rsidRDefault="00545F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683D5" w14:textId="77777777" w:rsidR="00545F79" w:rsidRDefault="00545F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9305D" w14:textId="77777777" w:rsidR="00545F79" w:rsidRDefault="00545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D0083" w14:textId="77777777" w:rsidR="00545F79" w:rsidRDefault="00545F79" w:rsidP="00545F79">
      <w:pPr>
        <w:spacing w:line="240" w:lineRule="auto"/>
      </w:pPr>
      <w:r>
        <w:separator/>
      </w:r>
    </w:p>
  </w:footnote>
  <w:footnote w:type="continuationSeparator" w:id="0">
    <w:p w14:paraId="338A5A5A" w14:textId="77777777" w:rsidR="00545F79" w:rsidRDefault="00545F79" w:rsidP="00545F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498B0" w14:textId="77777777" w:rsidR="00545F79" w:rsidRDefault="00545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2D950" w14:textId="1B8FF73B" w:rsidR="00545F79" w:rsidRDefault="00545F79">
    <w:pPr>
      <w:pStyle w:val="Header"/>
    </w:pPr>
    <w:r>
      <w:rPr>
        <w:noProof/>
      </w:rPr>
      <mc:AlternateContent>
        <mc:Choice Requires="wps">
          <w:drawing>
            <wp:anchor distT="0" distB="0" distL="114300" distR="114300" simplePos="0" relativeHeight="251659264" behindDoc="0" locked="0" layoutInCell="0" allowOverlap="1" wp14:anchorId="7D0C4BE6" wp14:editId="291C11DD">
              <wp:simplePos x="0" y="0"/>
              <wp:positionH relativeFrom="page">
                <wp:posOffset>0</wp:posOffset>
              </wp:positionH>
              <wp:positionV relativeFrom="page">
                <wp:posOffset>190500</wp:posOffset>
              </wp:positionV>
              <wp:extent cx="7772400" cy="252095"/>
              <wp:effectExtent l="0" t="0" r="0" b="14605"/>
              <wp:wrapNone/>
              <wp:docPr id="3" name="MSIPCMb6414d1d83fc7751544bffde" descr="{&quot;HashCode&quot;:-1880398799,&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A4239" w14:textId="711E6B83" w:rsidR="00545F79" w:rsidRPr="00545F79" w:rsidRDefault="00545F79" w:rsidP="00545F79">
                          <w:pPr>
                            <w:jc w:val="right"/>
                            <w:rPr>
                              <w:color w:val="000000"/>
                              <w:sz w:val="24"/>
                            </w:rPr>
                          </w:pPr>
                          <w:r w:rsidRPr="00545F79">
                            <w:rPr>
                              <w:color w:val="000000"/>
                              <w:sz w:val="24"/>
                            </w:rPr>
                            <w:t>UNCLASSIFIED / NON CLASSIFIÉ</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D0C4BE6" id="_x0000_t202" coordsize="21600,21600" o:spt="202" path="m,l,21600r21600,l21600,xe">
              <v:stroke joinstyle="miter"/>
              <v:path gradientshapeok="t" o:connecttype="rect"/>
            </v:shapetype>
            <v:shape id="MSIPCMb6414d1d83fc7751544bffde" o:spid="_x0000_s1026" type="#_x0000_t202" alt="{&quot;HashCode&quot;:-1880398799,&quot;Height&quot;:792.0,&quot;Width&quot;:612.0,&quot;Placement&quot;:&quot;Header&quot;,&quot;Index&quot;:&quot;Primary&quot;,&quot;Section&quot;:1,&quot;Top&quot;:0.0,&quot;Left&quot;:0.0}" style="position:absolute;margin-left:0;margin-top:15pt;width:612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" o:allowincell="f" filled="f" stroked="f" strokeweight=".5pt">
              <v:fill o:detectmouseclick="t"/>
              <v:textbox inset=",0,20pt,0">
                <w:txbxContent>
                  <w:p w14:paraId="1FEA4239" w14:textId="711E6B83" w:rsidR="00545F79" w:rsidRPr="00545F79" w:rsidRDefault="00545F79" w:rsidP="00545F79">
                    <w:pPr>
                      <w:jc w:val="right"/>
                      <w:rPr>
                        <w:color w:val="000000"/>
                        <w:sz w:val="24"/>
                      </w:rPr>
                    </w:pPr>
                    <w:r w:rsidRPr="00545F79">
                      <w:rPr>
                        <w:color w:val="000000"/>
                        <w:sz w:val="24"/>
                      </w:rPr>
                      <w:t>UNCLASSIFIED / NON CLASSIFIÉ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1B189" w14:textId="77777777" w:rsidR="00545F79" w:rsidRDefault="00545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FD67EE"/>
    <w:multiLevelType w:val="multilevel"/>
    <w:tmpl w:val="D2BAD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8651BE"/>
    <w:multiLevelType w:val="multilevel"/>
    <w:tmpl w:val="3A7AD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254CDC"/>
    <w:multiLevelType w:val="multilevel"/>
    <w:tmpl w:val="9D1CD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2C162E"/>
    <w:multiLevelType w:val="multilevel"/>
    <w:tmpl w:val="38766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B51F20"/>
    <w:multiLevelType w:val="multilevel"/>
    <w:tmpl w:val="68725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B00CE9"/>
    <w:multiLevelType w:val="multilevel"/>
    <w:tmpl w:val="FF0CF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F93D99"/>
    <w:multiLevelType w:val="multilevel"/>
    <w:tmpl w:val="9E84D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2D4"/>
    <w:rsid w:val="00545F79"/>
    <w:rsid w:val="009102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FC383"/>
  <w15:docId w15:val="{F570A42A-CF56-4A5D-A147-A4178B74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rFonts w:ascii="Calibri" w:eastAsia="Calibri" w:hAnsi="Calibri" w:cs="Calibri"/>
      <w:color w:val="3D85C6"/>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45F79"/>
    <w:pPr>
      <w:tabs>
        <w:tab w:val="center" w:pos="4680"/>
        <w:tab w:val="right" w:pos="9360"/>
      </w:tabs>
      <w:spacing w:line="240" w:lineRule="auto"/>
    </w:pPr>
  </w:style>
  <w:style w:type="character" w:customStyle="1" w:styleId="HeaderChar">
    <w:name w:val="Header Char"/>
    <w:basedOn w:val="DefaultParagraphFont"/>
    <w:link w:val="Header"/>
    <w:uiPriority w:val="99"/>
    <w:rsid w:val="00545F79"/>
  </w:style>
  <w:style w:type="paragraph" w:styleId="Footer">
    <w:name w:val="footer"/>
    <w:basedOn w:val="Normal"/>
    <w:link w:val="FooterChar"/>
    <w:uiPriority w:val="99"/>
    <w:unhideWhenUsed/>
    <w:rsid w:val="00545F79"/>
    <w:pPr>
      <w:tabs>
        <w:tab w:val="center" w:pos="4680"/>
        <w:tab w:val="right" w:pos="9360"/>
      </w:tabs>
      <w:spacing w:line="240" w:lineRule="auto"/>
    </w:pPr>
  </w:style>
  <w:style w:type="character" w:customStyle="1" w:styleId="FooterChar">
    <w:name w:val="Footer Char"/>
    <w:basedOn w:val="DefaultParagraphFont"/>
    <w:link w:val="Footer"/>
    <w:uiPriority w:val="99"/>
    <w:rsid w:val="00545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iki.gccollab.ca/EDSC_Innovation_RH_-_HR_Innovation_ESDC" TargetMode="External"/><Relationship Id="rId13" Type="http://schemas.openxmlformats.org/officeDocument/2006/relationships/header" Target="header2.xml"/><Relationship Id="rId18" Type="http://schemas.openxmlformats.org/officeDocument/2006/relationships/hyperlink" Target="https://www.gcpedia.gc.ca/gcwiki/images/6/61/TBSCP_2021_02_25_Composition_and_Implementation_of_multi-disciplinary_teams_bulletin.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ExperimentationRH@tbs-sct.gc.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ccollab.ca/groups/profile/928221/enesdc-human-resources-innovationfrinnovation-en-ressources-humaines-de-edsc%E2%80%8B"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1498</Words>
  <Characters>8542</Characters>
  <Application>Microsoft Office Word</Application>
  <DocSecurity>4</DocSecurity>
  <Lines>71</Lines>
  <Paragraphs>20</Paragraphs>
  <ScaleCrop>false</ScaleCrop>
  <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Krasilczuk, McKenzie</cp:lastModifiedBy>
  <cp:revision>2</cp:revision>
  <dcterms:created xsi:type="dcterms:W3CDTF">2021-07-07T18:05:00Z</dcterms:created>
  <dcterms:modified xsi:type="dcterms:W3CDTF">2021-07-07T18:05:00Z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d0ca00b-3f0e-465a-aac7-1a6a22fcea40_Enabled">
    <vt:lpwstr>true</vt:lpwstr>
  </property>
  <property fmtid="{D5CDD505-2E9C-101B-9397-08002B2CF9AE}" pid="3" name="MSIP_Label_3d0ca00b-3f0e-465a-aac7-1a6a22fcea40_SetDate">
    <vt:lpwstr>2021-07-07T18:05:58Z</vt:lpwstr>
  </property>
  <property fmtid="{D5CDD505-2E9C-101B-9397-08002B2CF9AE}" pid="4" name="MSIP_Label_3d0ca00b-3f0e-465a-aac7-1a6a22fcea40_Method">
    <vt:lpwstr>Privileged</vt:lpwstr>
  </property>
  <property fmtid="{D5CDD505-2E9C-101B-9397-08002B2CF9AE}" pid="5" name="MSIP_Label_3d0ca00b-3f0e-465a-aac7-1a6a22fcea40_Name">
    <vt:lpwstr>3d0ca00b-3f0e-465a-aac7-1a6a22fcea40</vt:lpwstr>
  </property>
  <property fmtid="{D5CDD505-2E9C-101B-9397-08002B2CF9AE}" pid="6" name="MSIP_Label_3d0ca00b-3f0e-465a-aac7-1a6a22fcea40_SiteId">
    <vt:lpwstr>6397df10-4595-4047-9c4f-03311282152b</vt:lpwstr>
  </property>
  <property fmtid="{D5CDD505-2E9C-101B-9397-08002B2CF9AE}" pid="7" name="MSIP_Label_3d0ca00b-3f0e-465a-aac7-1a6a22fcea40_ActionId">
    <vt:lpwstr>e9e19f20-de7c-44c1-af0a-78f12c29373d</vt:lpwstr>
  </property>
  <property fmtid="{D5CDD505-2E9C-101B-9397-08002B2CF9AE}" pid="8" name="MSIP_Label_3d0ca00b-3f0e-465a-aac7-1a6a22fcea40_ContentBits">
    <vt:lpwstr>1</vt:lpwstr>
  </property>
</Properties>
</file>