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8DCD" w14:textId="5885DB0F" w:rsidR="00854C60" w:rsidRPr="00854C60" w:rsidRDefault="00CD4753" w:rsidP="00854C60">
      <w:pPr>
        <w:pStyle w:val="TemplateHeading1"/>
        <w:rPr>
          <w:szCs w:val="24"/>
          <w:lang w:val="en-US"/>
        </w:rPr>
      </w:pPr>
      <w:bookmarkStart w:id="0" w:name="_Toc121911040"/>
      <w:r>
        <w:t xml:space="preserve">ANNEX </w:t>
      </w:r>
      <w:r w:rsidR="00854C60" w:rsidRPr="00854C60">
        <w:t>“</w:t>
      </w:r>
      <w:r w:rsidR="009E112C" w:rsidRPr="009E112C">
        <w:t>A</w:t>
      </w:r>
      <w:r w:rsidR="00854C60" w:rsidRPr="00854C60">
        <w:t>”</w:t>
      </w:r>
      <w:bookmarkEnd w:id="0"/>
    </w:p>
    <w:p w14:paraId="0EDDC086" w14:textId="04F28A51" w:rsidR="00EE0691" w:rsidRPr="00EE0691" w:rsidRDefault="00EE0691" w:rsidP="008E396D">
      <w:pPr>
        <w:pStyle w:val="TemplateHeading2"/>
      </w:pPr>
      <w:bookmarkStart w:id="1" w:name="_Toc121911041"/>
      <w:r w:rsidRPr="00EE0691">
        <w:t>REQUIREMENT</w:t>
      </w:r>
      <w:bookmarkEnd w:id="1"/>
    </w:p>
    <w:p w14:paraId="65C62B53" w14:textId="77777777" w:rsidR="00615556" w:rsidRPr="009C6ACD" w:rsidRDefault="00615556" w:rsidP="00615556">
      <w:pPr>
        <w:autoSpaceDE w:val="0"/>
        <w:autoSpaceDN w:val="0"/>
        <w:adjustRightInd w:val="0"/>
        <w:rPr>
          <w:noProof/>
          <w:szCs w:val="20"/>
        </w:rPr>
      </w:pPr>
    </w:p>
    <w:p w14:paraId="7E78EA30" w14:textId="77777777" w:rsidR="00615556" w:rsidRPr="009C6ACD" w:rsidRDefault="00615556" w:rsidP="00B20D60">
      <w:pPr>
        <w:pStyle w:val="Heading1"/>
        <w:numPr>
          <w:ilvl w:val="0"/>
          <w:numId w:val="12"/>
        </w:numPr>
        <w:spacing w:before="0" w:beforeAutospacing="0" w:after="120" w:afterAutospacing="0"/>
        <w:contextualSpacing/>
        <w:rPr>
          <w:rFonts w:ascii="Arial" w:hAnsi="Arial" w:cs="Arial"/>
          <w:noProof/>
          <w:sz w:val="20"/>
          <w:szCs w:val="20"/>
        </w:rPr>
      </w:pPr>
      <w:bookmarkStart w:id="2" w:name="_Toc80719467"/>
      <w:r w:rsidRPr="009C6ACD">
        <w:rPr>
          <w:rFonts w:ascii="Arial" w:hAnsi="Arial" w:cs="Arial"/>
          <w:noProof/>
          <w:sz w:val="20"/>
          <w:szCs w:val="20"/>
        </w:rPr>
        <w:t>OBJECTIVES</w:t>
      </w:r>
      <w:bookmarkEnd w:id="2"/>
    </w:p>
    <w:p w14:paraId="7FBD27DF" w14:textId="4E06A832" w:rsidR="00615556" w:rsidRDefault="00615556" w:rsidP="00B20D60">
      <w:pPr>
        <w:widowControl w:val="0"/>
        <w:numPr>
          <w:ilvl w:val="1"/>
          <w:numId w:val="12"/>
        </w:numPr>
        <w:tabs>
          <w:tab w:val="left" w:pos="-934"/>
          <w:tab w:val="left" w:pos="-720"/>
          <w:tab w:val="left" w:pos="0"/>
          <w:tab w:val="left" w:pos="720"/>
          <w:tab w:val="left" w:pos="1146"/>
          <w:tab w:val="left" w:pos="1686"/>
          <w:tab w:val="left" w:pos="2880"/>
        </w:tabs>
        <w:autoSpaceDE w:val="0"/>
        <w:autoSpaceDN w:val="0"/>
        <w:adjustRightInd w:val="0"/>
        <w:ind w:hanging="720"/>
        <w:rPr>
          <w:iCs/>
          <w:szCs w:val="20"/>
        </w:rPr>
      </w:pPr>
      <w:bookmarkStart w:id="3" w:name="_Hlk121134000"/>
      <w:r w:rsidRPr="009C6ACD">
        <w:rPr>
          <w:iCs/>
          <w:color w:val="000000" w:themeColor="text1"/>
          <w:szCs w:val="20"/>
        </w:rPr>
        <w:t>The</w:t>
      </w:r>
      <w:r w:rsidRPr="009C6ACD">
        <w:rPr>
          <w:iCs/>
          <w:szCs w:val="20"/>
        </w:rPr>
        <w:t xml:space="preserve"> Department of </w:t>
      </w:r>
      <w:r w:rsidR="00115935">
        <w:rPr>
          <w:iCs/>
          <w:szCs w:val="20"/>
        </w:rPr>
        <w:t xml:space="preserve">XXXX, </w:t>
      </w:r>
      <w:r w:rsidRPr="009C6ACD">
        <w:rPr>
          <w:iCs/>
          <w:szCs w:val="20"/>
        </w:rPr>
        <w:t xml:space="preserve">has a requirement for the supply, delivery, </w:t>
      </w:r>
      <w:r w:rsidRPr="003A63ED">
        <w:rPr>
          <w:iCs/>
          <w:szCs w:val="20"/>
        </w:rPr>
        <w:t xml:space="preserve">offloading and installation of </w:t>
      </w:r>
      <w:r w:rsidR="003345FE" w:rsidRPr="003A63ED">
        <w:rPr>
          <w:iCs/>
          <w:szCs w:val="20"/>
        </w:rPr>
        <w:t>two</w:t>
      </w:r>
      <w:r w:rsidRPr="003A63ED">
        <w:rPr>
          <w:iCs/>
          <w:szCs w:val="20"/>
        </w:rPr>
        <w:t xml:space="preserve"> (</w:t>
      </w:r>
      <w:r w:rsidR="003345FE" w:rsidRPr="003A63ED">
        <w:rPr>
          <w:iCs/>
          <w:szCs w:val="20"/>
        </w:rPr>
        <w:t>2</w:t>
      </w:r>
      <w:r w:rsidRPr="003A63ED">
        <w:rPr>
          <w:iCs/>
          <w:szCs w:val="20"/>
        </w:rPr>
        <w:t>) new Trace Nitrogen / Sulfur analyzer</w:t>
      </w:r>
      <w:r w:rsidR="003345FE" w:rsidRPr="003A63ED">
        <w:rPr>
          <w:iCs/>
          <w:szCs w:val="20"/>
        </w:rPr>
        <w:t>s</w:t>
      </w:r>
      <w:r w:rsidRPr="003A63ED">
        <w:rPr>
          <w:iCs/>
          <w:szCs w:val="20"/>
        </w:rPr>
        <w:t xml:space="preserve"> </w:t>
      </w:r>
      <w:r w:rsidR="008916EC" w:rsidRPr="003A63ED">
        <w:rPr>
          <w:iCs/>
          <w:szCs w:val="20"/>
        </w:rPr>
        <w:t>to replace existing units</w:t>
      </w:r>
      <w:r w:rsidR="008976F1">
        <w:rPr>
          <w:iCs/>
          <w:szCs w:val="20"/>
        </w:rPr>
        <w:t xml:space="preserve"> in </w:t>
      </w:r>
      <w:r w:rsidR="00115935">
        <w:rPr>
          <w:iCs/>
          <w:szCs w:val="20"/>
        </w:rPr>
        <w:t>XXXX</w:t>
      </w:r>
      <w:r w:rsidR="008976F1">
        <w:rPr>
          <w:iCs/>
          <w:szCs w:val="20"/>
        </w:rPr>
        <w:t xml:space="preserve"> and </w:t>
      </w:r>
      <w:r w:rsidR="00115935">
        <w:rPr>
          <w:iCs/>
          <w:szCs w:val="20"/>
        </w:rPr>
        <w:t>XXXX</w:t>
      </w:r>
      <w:r w:rsidR="008916EC" w:rsidRPr="003A63ED">
        <w:rPr>
          <w:iCs/>
          <w:szCs w:val="20"/>
        </w:rPr>
        <w:t xml:space="preserve">. </w:t>
      </w:r>
    </w:p>
    <w:bookmarkEnd w:id="3"/>
    <w:p w14:paraId="72B1E6FF" w14:textId="77777777" w:rsidR="003345FE" w:rsidRDefault="003345FE" w:rsidP="003345FE">
      <w:pPr>
        <w:widowControl w:val="0"/>
        <w:tabs>
          <w:tab w:val="left" w:pos="-934"/>
          <w:tab w:val="left" w:pos="-720"/>
          <w:tab w:val="left" w:pos="0"/>
          <w:tab w:val="left" w:pos="720"/>
          <w:tab w:val="left" w:pos="1146"/>
          <w:tab w:val="left" w:pos="1686"/>
          <w:tab w:val="left" w:pos="2880"/>
        </w:tabs>
        <w:autoSpaceDE w:val="0"/>
        <w:autoSpaceDN w:val="0"/>
        <w:adjustRightInd w:val="0"/>
        <w:ind w:left="720"/>
        <w:rPr>
          <w:iCs/>
          <w:szCs w:val="20"/>
        </w:rPr>
      </w:pPr>
    </w:p>
    <w:p w14:paraId="11B59D86" w14:textId="77777777" w:rsidR="003345FE" w:rsidRPr="009C6ACD" w:rsidRDefault="003345FE" w:rsidP="00B20D60">
      <w:pPr>
        <w:pStyle w:val="Heading1"/>
        <w:numPr>
          <w:ilvl w:val="0"/>
          <w:numId w:val="12"/>
        </w:numPr>
        <w:spacing w:before="0" w:beforeAutospacing="0" w:after="120" w:afterAutospacing="0"/>
        <w:contextualSpacing/>
        <w:rPr>
          <w:rFonts w:ascii="Arial" w:hAnsi="Arial" w:cs="Arial"/>
          <w:sz w:val="20"/>
          <w:szCs w:val="20"/>
        </w:rPr>
      </w:pPr>
      <w:bookmarkStart w:id="4" w:name="_Toc80719466"/>
      <w:r w:rsidRPr="009C6ACD">
        <w:rPr>
          <w:rFonts w:ascii="Arial" w:hAnsi="Arial" w:cs="Arial"/>
          <w:noProof/>
          <w:sz w:val="20"/>
          <w:szCs w:val="20"/>
        </w:rPr>
        <w:t>Background</w:t>
      </w:r>
      <w:bookmarkEnd w:id="4"/>
    </w:p>
    <w:p w14:paraId="40DA4C80" w14:textId="6CD01E06" w:rsidR="003345FE" w:rsidRPr="003345FE" w:rsidRDefault="00115935" w:rsidP="00B20D60">
      <w:pPr>
        <w:widowControl w:val="0"/>
        <w:numPr>
          <w:ilvl w:val="1"/>
          <w:numId w:val="12"/>
        </w:numPr>
        <w:tabs>
          <w:tab w:val="left" w:pos="-934"/>
          <w:tab w:val="left" w:pos="-720"/>
          <w:tab w:val="left" w:pos="0"/>
          <w:tab w:val="left" w:pos="720"/>
          <w:tab w:val="left" w:pos="1146"/>
          <w:tab w:val="left" w:pos="1686"/>
          <w:tab w:val="left" w:pos="2880"/>
        </w:tabs>
        <w:autoSpaceDE w:val="0"/>
        <w:autoSpaceDN w:val="0"/>
        <w:adjustRightInd w:val="0"/>
        <w:ind w:hanging="720"/>
        <w:rPr>
          <w:noProof/>
          <w:szCs w:val="20"/>
        </w:rPr>
      </w:pPr>
      <w:r>
        <w:rPr>
          <w:iCs/>
          <w:color w:val="000000" w:themeColor="text1"/>
          <w:szCs w:val="20"/>
        </w:rPr>
        <w:t>XXXX</w:t>
      </w:r>
      <w:r w:rsidR="003345FE" w:rsidRPr="003A63ED">
        <w:rPr>
          <w:noProof/>
          <w:szCs w:val="20"/>
        </w:rPr>
        <w:t xml:space="preserve"> has a need to replace two (2)</w:t>
      </w:r>
      <w:r w:rsidR="003345FE">
        <w:rPr>
          <w:noProof/>
          <w:szCs w:val="20"/>
        </w:rPr>
        <w:t xml:space="preserve"> </w:t>
      </w:r>
      <w:r w:rsidR="003345FE" w:rsidRPr="009C6ACD">
        <w:rPr>
          <w:iCs/>
          <w:szCs w:val="20"/>
        </w:rPr>
        <w:t>Trace Nitrogen / Sulfur analyzer</w:t>
      </w:r>
      <w:r w:rsidR="003345FE">
        <w:rPr>
          <w:iCs/>
          <w:szCs w:val="20"/>
        </w:rPr>
        <w:t>s</w:t>
      </w:r>
      <w:r w:rsidR="003345FE" w:rsidRPr="009C6ACD">
        <w:rPr>
          <w:iCs/>
          <w:szCs w:val="20"/>
        </w:rPr>
        <w:t xml:space="preserve"> </w:t>
      </w:r>
      <w:r w:rsidR="003345FE" w:rsidRPr="009C6ACD">
        <w:rPr>
          <w:noProof/>
          <w:szCs w:val="20"/>
        </w:rPr>
        <w:t xml:space="preserve">used for multiple analyses on petroleum hydrocarbon. </w:t>
      </w:r>
      <w:r w:rsidR="003345FE">
        <w:rPr>
          <w:noProof/>
          <w:szCs w:val="20"/>
        </w:rPr>
        <w:t>They are used to</w:t>
      </w:r>
      <w:r w:rsidR="003345FE" w:rsidRPr="009C6ACD">
        <w:rPr>
          <w:noProof/>
          <w:szCs w:val="20"/>
        </w:rPr>
        <w:t xml:space="preserve"> perform sample screening, targeted quantitation and research activities. </w:t>
      </w:r>
    </w:p>
    <w:p w14:paraId="16AFA0B5" w14:textId="77777777" w:rsidR="00615556" w:rsidRPr="009C6ACD" w:rsidRDefault="00615556" w:rsidP="00615556">
      <w:pPr>
        <w:rPr>
          <w:iCs/>
          <w:szCs w:val="20"/>
        </w:rPr>
      </w:pPr>
    </w:p>
    <w:p w14:paraId="6AB4FB9F" w14:textId="77777777" w:rsidR="00615556" w:rsidRPr="009C6ACD" w:rsidRDefault="00615556" w:rsidP="00B20D60">
      <w:pPr>
        <w:widowControl w:val="0"/>
        <w:numPr>
          <w:ilvl w:val="0"/>
          <w:numId w:val="12"/>
        </w:numPr>
        <w:tabs>
          <w:tab w:val="left" w:pos="-934"/>
          <w:tab w:val="left" w:pos="-720"/>
          <w:tab w:val="left" w:pos="0"/>
          <w:tab w:val="left" w:pos="720"/>
          <w:tab w:val="left" w:pos="1146"/>
          <w:tab w:val="left" w:pos="1686"/>
          <w:tab w:val="left" w:pos="2880"/>
        </w:tabs>
        <w:autoSpaceDE w:val="0"/>
        <w:autoSpaceDN w:val="0"/>
        <w:adjustRightInd w:val="0"/>
        <w:rPr>
          <w:szCs w:val="20"/>
        </w:rPr>
      </w:pPr>
      <w:r w:rsidRPr="009C6ACD">
        <w:rPr>
          <w:b/>
          <w:bCs/>
          <w:caps/>
          <w:noProof/>
          <w:kern w:val="36"/>
          <w:szCs w:val="20"/>
        </w:rPr>
        <w:t>PROJECT REQUIREMENTS</w:t>
      </w:r>
    </w:p>
    <w:p w14:paraId="3C25E19F" w14:textId="77777777" w:rsidR="00615556" w:rsidRPr="009C6ACD" w:rsidRDefault="00615556" w:rsidP="00615556">
      <w:pPr>
        <w:widowControl w:val="0"/>
        <w:tabs>
          <w:tab w:val="left" w:pos="-934"/>
          <w:tab w:val="left" w:pos="-720"/>
          <w:tab w:val="left" w:pos="0"/>
          <w:tab w:val="left" w:pos="720"/>
          <w:tab w:val="left" w:pos="1146"/>
          <w:tab w:val="left" w:pos="1686"/>
          <w:tab w:val="left" w:pos="2880"/>
        </w:tabs>
        <w:autoSpaceDE w:val="0"/>
        <w:autoSpaceDN w:val="0"/>
        <w:adjustRightInd w:val="0"/>
        <w:ind w:left="792"/>
        <w:rPr>
          <w:b/>
          <w:bCs/>
          <w:szCs w:val="20"/>
        </w:rPr>
      </w:pPr>
      <w:bookmarkStart w:id="5" w:name="_Toc62739700"/>
      <w:bookmarkStart w:id="6" w:name="_Toc62745132"/>
      <w:bookmarkStart w:id="7" w:name="_Toc62747141"/>
      <w:bookmarkStart w:id="8" w:name="_Toc80719468"/>
    </w:p>
    <w:p w14:paraId="144D68F5" w14:textId="77777777" w:rsidR="00615556" w:rsidRPr="009C6ACD" w:rsidRDefault="00615556" w:rsidP="00B20D60">
      <w:pPr>
        <w:widowControl w:val="0"/>
        <w:numPr>
          <w:ilvl w:val="1"/>
          <w:numId w:val="12"/>
        </w:numPr>
        <w:tabs>
          <w:tab w:val="left" w:pos="-934"/>
          <w:tab w:val="left" w:pos="-720"/>
          <w:tab w:val="left" w:pos="0"/>
          <w:tab w:val="left" w:pos="720"/>
          <w:tab w:val="left" w:pos="1146"/>
          <w:tab w:val="left" w:pos="1686"/>
          <w:tab w:val="left" w:pos="2880"/>
        </w:tabs>
        <w:autoSpaceDE w:val="0"/>
        <w:autoSpaceDN w:val="0"/>
        <w:adjustRightInd w:val="0"/>
        <w:ind w:hanging="720"/>
        <w:rPr>
          <w:szCs w:val="20"/>
        </w:rPr>
      </w:pPr>
      <w:r w:rsidRPr="009C6ACD">
        <w:rPr>
          <w:b/>
          <w:bCs/>
          <w:iCs/>
          <w:color w:val="000000" w:themeColor="text1"/>
          <w:szCs w:val="20"/>
        </w:rPr>
        <w:t xml:space="preserve">Trace Nitrogen / Sulfur </w:t>
      </w:r>
      <w:r>
        <w:rPr>
          <w:b/>
          <w:bCs/>
          <w:iCs/>
          <w:color w:val="000000" w:themeColor="text1"/>
          <w:szCs w:val="20"/>
        </w:rPr>
        <w:t>A</w:t>
      </w:r>
      <w:r w:rsidRPr="009C6ACD">
        <w:rPr>
          <w:b/>
          <w:bCs/>
          <w:iCs/>
          <w:color w:val="000000" w:themeColor="text1"/>
          <w:szCs w:val="20"/>
        </w:rPr>
        <w:t xml:space="preserve">nalyzer </w:t>
      </w:r>
      <w:bookmarkEnd w:id="5"/>
      <w:bookmarkEnd w:id="6"/>
      <w:bookmarkEnd w:id="7"/>
      <w:bookmarkEnd w:id="8"/>
      <w:r w:rsidRPr="009C6ACD">
        <w:rPr>
          <w:b/>
          <w:bCs/>
          <w:szCs w:val="20"/>
        </w:rPr>
        <w:t>Performance Specifications</w:t>
      </w:r>
    </w:p>
    <w:p w14:paraId="78C02A76" w14:textId="77777777" w:rsidR="00615556" w:rsidRPr="009C6ACD" w:rsidRDefault="00615556" w:rsidP="00615556">
      <w:pPr>
        <w:widowControl w:val="0"/>
        <w:tabs>
          <w:tab w:val="left" w:pos="-934"/>
          <w:tab w:val="left" w:pos="-720"/>
          <w:tab w:val="left" w:pos="0"/>
          <w:tab w:val="left" w:pos="720"/>
          <w:tab w:val="left" w:pos="1146"/>
          <w:tab w:val="left" w:pos="1686"/>
          <w:tab w:val="left" w:pos="2880"/>
        </w:tabs>
        <w:autoSpaceDE w:val="0"/>
        <w:autoSpaceDN w:val="0"/>
        <w:adjustRightInd w:val="0"/>
        <w:ind w:left="792"/>
        <w:rPr>
          <w:szCs w:val="20"/>
        </w:rPr>
      </w:pPr>
    </w:p>
    <w:p w14:paraId="7F29D831" w14:textId="77777777" w:rsidR="00615556" w:rsidRPr="009C6ACD" w:rsidRDefault="00615556" w:rsidP="00B20D60">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ind w:hanging="792"/>
        <w:rPr>
          <w:iCs/>
          <w:szCs w:val="20"/>
        </w:rPr>
      </w:pPr>
      <w:r w:rsidRPr="009C6ACD">
        <w:rPr>
          <w:iCs/>
          <w:szCs w:val="20"/>
        </w:rPr>
        <w:t>Refer to the Compliance Matrix for the complete performance specifications and instructions that must be satisfied in order for a bid to be deemed responsive.</w:t>
      </w:r>
    </w:p>
    <w:p w14:paraId="0357BC3A" w14:textId="77777777" w:rsidR="00615556" w:rsidRPr="009C6ACD" w:rsidRDefault="00615556" w:rsidP="00615556">
      <w:pPr>
        <w:rPr>
          <w:color w:val="231F20"/>
          <w:szCs w:val="20"/>
        </w:rPr>
      </w:pPr>
    </w:p>
    <w:p w14:paraId="57DCAA40" w14:textId="77777777" w:rsidR="00615556" w:rsidRPr="009C6ACD" w:rsidRDefault="00615556" w:rsidP="00B20D60">
      <w:pPr>
        <w:widowControl w:val="0"/>
        <w:numPr>
          <w:ilvl w:val="1"/>
          <w:numId w:val="12"/>
        </w:numPr>
        <w:tabs>
          <w:tab w:val="left" w:pos="-934"/>
          <w:tab w:val="left" w:pos="-720"/>
          <w:tab w:val="left" w:pos="0"/>
          <w:tab w:val="left" w:pos="720"/>
          <w:tab w:val="left" w:pos="1146"/>
          <w:tab w:val="left" w:pos="1686"/>
          <w:tab w:val="left" w:pos="2880"/>
        </w:tabs>
        <w:autoSpaceDE w:val="0"/>
        <w:autoSpaceDN w:val="0"/>
        <w:adjustRightInd w:val="0"/>
        <w:ind w:hanging="720"/>
        <w:rPr>
          <w:b/>
          <w:bCs/>
          <w:szCs w:val="20"/>
        </w:rPr>
      </w:pPr>
      <w:bookmarkStart w:id="9" w:name="_Toc62739705"/>
      <w:bookmarkStart w:id="10" w:name="_Toc62745137"/>
      <w:bookmarkStart w:id="11" w:name="_Toc62747146"/>
      <w:bookmarkStart w:id="12" w:name="_Toc80719473"/>
      <w:r w:rsidRPr="009C6ACD">
        <w:rPr>
          <w:b/>
          <w:bCs/>
          <w:iCs/>
          <w:color w:val="000000" w:themeColor="text1"/>
          <w:szCs w:val="20"/>
        </w:rPr>
        <w:t>Operating</w:t>
      </w:r>
      <w:r w:rsidRPr="009C6ACD">
        <w:rPr>
          <w:b/>
          <w:bCs/>
          <w:szCs w:val="20"/>
        </w:rPr>
        <w:t xml:space="preserve"> Software and Data processing</w:t>
      </w:r>
      <w:bookmarkEnd w:id="9"/>
      <w:bookmarkEnd w:id="10"/>
      <w:bookmarkEnd w:id="11"/>
      <w:bookmarkEnd w:id="12"/>
    </w:p>
    <w:p w14:paraId="477C4765" w14:textId="77777777" w:rsidR="00615556" w:rsidRPr="009C6ACD" w:rsidRDefault="00615556" w:rsidP="00615556">
      <w:pPr>
        <w:widowControl w:val="0"/>
        <w:tabs>
          <w:tab w:val="left" w:pos="-934"/>
          <w:tab w:val="left" w:pos="-720"/>
          <w:tab w:val="left" w:pos="0"/>
          <w:tab w:val="left" w:pos="720"/>
          <w:tab w:val="left" w:pos="1146"/>
          <w:tab w:val="left" w:pos="1686"/>
          <w:tab w:val="left" w:pos="2880"/>
        </w:tabs>
        <w:autoSpaceDE w:val="0"/>
        <w:autoSpaceDN w:val="0"/>
        <w:adjustRightInd w:val="0"/>
        <w:ind w:left="792"/>
        <w:rPr>
          <w:b/>
          <w:bCs/>
          <w:szCs w:val="20"/>
        </w:rPr>
      </w:pPr>
    </w:p>
    <w:p w14:paraId="05CBC7FC"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iCs/>
          <w:szCs w:val="20"/>
        </w:rPr>
      </w:pPr>
      <w:r w:rsidRPr="009C6ACD">
        <w:rPr>
          <w:iCs/>
          <w:szCs w:val="20"/>
        </w:rPr>
        <w:t>Software must have customized reporting and audit trails.</w:t>
      </w:r>
    </w:p>
    <w:p w14:paraId="75C3BD4D"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iCs/>
          <w:szCs w:val="20"/>
        </w:rPr>
      </w:pPr>
      <w:r w:rsidRPr="009C6ACD">
        <w:rPr>
          <w:iCs/>
          <w:szCs w:val="20"/>
        </w:rPr>
        <w:t>Software must be capable of run creation, including sequence, methods and reporting with accurate peak integration and peak detection.</w:t>
      </w:r>
    </w:p>
    <w:p w14:paraId="714219FF"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iCs/>
          <w:szCs w:val="20"/>
        </w:rPr>
      </w:pPr>
      <w:r w:rsidRPr="009C6ACD">
        <w:rPr>
          <w:iCs/>
          <w:szCs w:val="20"/>
        </w:rPr>
        <w:t>All provided proprietary software must be of the most current version and must be provided with a full end-user license not limited in time and provided with a backup CD/DVD disk(s), cloud-based recovery and/or USB.</w:t>
      </w:r>
    </w:p>
    <w:p w14:paraId="0FEC428D"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iCs/>
          <w:szCs w:val="20"/>
        </w:rPr>
      </w:pPr>
      <w:r w:rsidRPr="009C6ACD">
        <w:rPr>
          <w:iCs/>
          <w:szCs w:val="20"/>
        </w:rPr>
        <w:t>Operating software must be capable of generating analysis templates and methods that can be easily deployed by employees with beginner knowledge of the instrumentation.</w:t>
      </w:r>
    </w:p>
    <w:p w14:paraId="75C1D8E3"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iCs/>
          <w:szCs w:val="20"/>
        </w:rPr>
      </w:pPr>
      <w:r w:rsidRPr="009C6ACD">
        <w:rPr>
          <w:iCs/>
          <w:szCs w:val="20"/>
        </w:rPr>
        <w:t>Software must be capable of controlling a run and interoperating data at the same time.</w:t>
      </w:r>
    </w:p>
    <w:p w14:paraId="28AA691D"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iCs/>
          <w:szCs w:val="20"/>
        </w:rPr>
      </w:pPr>
      <w:r w:rsidRPr="009C6ACD">
        <w:rPr>
          <w:iCs/>
          <w:szCs w:val="20"/>
        </w:rPr>
        <w:t xml:space="preserve">Software must have data processing capabilities that include generating calibration curves and providing calibration statistics. </w:t>
      </w:r>
      <w:bookmarkStart w:id="13" w:name="_Toc62739707"/>
      <w:bookmarkStart w:id="14" w:name="_Toc62745139"/>
      <w:bookmarkStart w:id="15" w:name="_Toc62747148"/>
    </w:p>
    <w:p w14:paraId="2C8F3FB3"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iCs/>
          <w:szCs w:val="20"/>
        </w:rPr>
      </w:pPr>
      <w:r w:rsidRPr="009C6ACD">
        <w:rPr>
          <w:iCs/>
          <w:szCs w:val="20"/>
        </w:rPr>
        <w:t>Full data processing and reprocessing capabilities including control or editing calibration curves, and reporting parameters without the need to re-run samples.</w:t>
      </w:r>
    </w:p>
    <w:p w14:paraId="179751CD" w14:textId="6C881F9A" w:rsidR="00615556" w:rsidRPr="0058252E" w:rsidRDefault="00615556" w:rsidP="00615556">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iCs/>
          <w:szCs w:val="20"/>
        </w:rPr>
        <w:t>Capable of</w:t>
      </w:r>
      <w:r w:rsidRPr="009C6ACD">
        <w:rPr>
          <w:szCs w:val="20"/>
        </w:rPr>
        <w:t xml:space="preserve"> exporting results and calculated reports to standard data file types (.txt, .</w:t>
      </w:r>
      <w:proofErr w:type="spellStart"/>
      <w:r w:rsidRPr="009C6ACD">
        <w:rPr>
          <w:szCs w:val="20"/>
        </w:rPr>
        <w:t>xls</w:t>
      </w:r>
      <w:proofErr w:type="spellEnd"/>
      <w:r w:rsidRPr="009C6ACD">
        <w:rPr>
          <w:szCs w:val="20"/>
        </w:rPr>
        <w:t>, or .csv)</w:t>
      </w:r>
      <w:bookmarkStart w:id="16" w:name="_Toc62739708"/>
      <w:bookmarkStart w:id="17" w:name="_Toc62745140"/>
      <w:bookmarkStart w:id="18" w:name="_Toc62747149"/>
      <w:bookmarkEnd w:id="13"/>
      <w:bookmarkEnd w:id="14"/>
      <w:bookmarkEnd w:id="15"/>
    </w:p>
    <w:bookmarkEnd w:id="16"/>
    <w:bookmarkEnd w:id="17"/>
    <w:bookmarkEnd w:id="18"/>
    <w:p w14:paraId="2329F067" w14:textId="77777777" w:rsidR="00615556" w:rsidRPr="009C6ACD" w:rsidRDefault="00615556" w:rsidP="00B20D60">
      <w:pPr>
        <w:widowControl w:val="0"/>
        <w:numPr>
          <w:ilvl w:val="1"/>
          <w:numId w:val="12"/>
        </w:numPr>
        <w:tabs>
          <w:tab w:val="left" w:pos="-934"/>
          <w:tab w:val="left" w:pos="-720"/>
          <w:tab w:val="left" w:pos="0"/>
          <w:tab w:val="left" w:pos="720"/>
          <w:tab w:val="left" w:pos="1146"/>
          <w:tab w:val="left" w:pos="1686"/>
          <w:tab w:val="left" w:pos="2880"/>
        </w:tabs>
        <w:autoSpaceDE w:val="0"/>
        <w:autoSpaceDN w:val="0"/>
        <w:adjustRightInd w:val="0"/>
        <w:ind w:hanging="720"/>
        <w:rPr>
          <w:b/>
          <w:szCs w:val="20"/>
        </w:rPr>
      </w:pPr>
      <w:r w:rsidRPr="009C6ACD">
        <w:rPr>
          <w:b/>
          <w:iCs/>
          <w:color w:val="000000" w:themeColor="text1"/>
          <w:szCs w:val="20"/>
        </w:rPr>
        <w:t>Service</w:t>
      </w:r>
      <w:r w:rsidRPr="009C6ACD">
        <w:rPr>
          <w:b/>
          <w:szCs w:val="20"/>
        </w:rPr>
        <w:t xml:space="preserve">, </w:t>
      </w:r>
      <w:r w:rsidRPr="009C6ACD">
        <w:rPr>
          <w:b/>
          <w:bCs/>
          <w:iCs/>
          <w:color w:val="000000" w:themeColor="text1"/>
          <w:szCs w:val="20"/>
        </w:rPr>
        <w:t>Support</w:t>
      </w:r>
      <w:r w:rsidRPr="009C6ACD">
        <w:rPr>
          <w:b/>
          <w:szCs w:val="20"/>
        </w:rPr>
        <w:t xml:space="preserve"> and Training</w:t>
      </w:r>
    </w:p>
    <w:p w14:paraId="1AF86B79" w14:textId="77777777" w:rsidR="00615556" w:rsidRPr="009C6ACD" w:rsidRDefault="00615556" w:rsidP="00615556">
      <w:pPr>
        <w:widowControl w:val="0"/>
        <w:tabs>
          <w:tab w:val="left" w:pos="-934"/>
          <w:tab w:val="left" w:pos="-720"/>
          <w:tab w:val="left" w:pos="0"/>
          <w:tab w:val="left" w:pos="720"/>
          <w:tab w:val="left" w:pos="1146"/>
          <w:tab w:val="left" w:pos="1686"/>
          <w:tab w:val="left" w:pos="2880"/>
        </w:tabs>
        <w:autoSpaceDE w:val="0"/>
        <w:autoSpaceDN w:val="0"/>
        <w:adjustRightInd w:val="0"/>
        <w:ind w:left="792"/>
        <w:rPr>
          <w:szCs w:val="20"/>
        </w:rPr>
      </w:pPr>
    </w:p>
    <w:p w14:paraId="473FC272"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iCs/>
          <w:szCs w:val="20"/>
        </w:rPr>
      </w:pPr>
      <w:r w:rsidRPr="009C6ACD">
        <w:rPr>
          <w:iCs/>
          <w:szCs w:val="20"/>
        </w:rPr>
        <w:t xml:space="preserve">Contractor must provide technical support of the system in accordance with </w:t>
      </w:r>
      <w:r>
        <w:rPr>
          <w:iCs/>
          <w:szCs w:val="20"/>
        </w:rPr>
        <w:t>Article 6.2.2 S</w:t>
      </w:r>
      <w:r w:rsidRPr="009C6ACD">
        <w:rPr>
          <w:iCs/>
          <w:szCs w:val="20"/>
        </w:rPr>
        <w:t xml:space="preserve">upplemental </w:t>
      </w:r>
      <w:r>
        <w:rPr>
          <w:iCs/>
          <w:szCs w:val="20"/>
        </w:rPr>
        <w:t>G</w:t>
      </w:r>
      <w:r w:rsidRPr="009C6ACD">
        <w:rPr>
          <w:iCs/>
          <w:szCs w:val="20"/>
        </w:rPr>
        <w:t xml:space="preserve">eneral </w:t>
      </w:r>
      <w:r>
        <w:rPr>
          <w:iCs/>
          <w:szCs w:val="20"/>
        </w:rPr>
        <w:t>C</w:t>
      </w:r>
      <w:r w:rsidRPr="009C6ACD">
        <w:rPr>
          <w:iCs/>
          <w:szCs w:val="20"/>
        </w:rPr>
        <w:t>onditions;</w:t>
      </w:r>
    </w:p>
    <w:p w14:paraId="74135FCF" w14:textId="686A354C" w:rsidR="00615556"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iCs/>
          <w:szCs w:val="20"/>
        </w:rPr>
      </w:pPr>
      <w:r w:rsidRPr="009C6ACD">
        <w:rPr>
          <w:iCs/>
          <w:szCs w:val="20"/>
        </w:rPr>
        <w:t>Contractor must be able to provide a minimum two (</w:t>
      </w:r>
      <w:r w:rsidR="007F25B3">
        <w:rPr>
          <w:iCs/>
          <w:szCs w:val="20"/>
        </w:rPr>
        <w:t>2</w:t>
      </w:r>
      <w:r w:rsidRPr="009C6ACD">
        <w:rPr>
          <w:iCs/>
          <w:szCs w:val="20"/>
        </w:rPr>
        <w:t xml:space="preserve">) year full parts and </w:t>
      </w:r>
      <w:proofErr w:type="spellStart"/>
      <w:r w:rsidRPr="009C6ACD">
        <w:rPr>
          <w:iCs/>
          <w:szCs w:val="20"/>
        </w:rPr>
        <w:t>labour</w:t>
      </w:r>
      <w:proofErr w:type="spellEnd"/>
      <w:r w:rsidRPr="009C6ACD">
        <w:rPr>
          <w:iCs/>
          <w:szCs w:val="20"/>
        </w:rPr>
        <w:t xml:space="preserve"> warranty. </w:t>
      </w:r>
    </w:p>
    <w:p w14:paraId="264F8495" w14:textId="77777777" w:rsidR="00615556" w:rsidRPr="00751D46"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iCs/>
          <w:szCs w:val="20"/>
        </w:rPr>
      </w:pPr>
      <w:r w:rsidRPr="009C6ACD">
        <w:rPr>
          <w:iCs/>
          <w:szCs w:val="20"/>
        </w:rPr>
        <w:t xml:space="preserve">Contractor must ensure that full-service support and replacement parts are available for the duration of the </w:t>
      </w:r>
      <w:r>
        <w:rPr>
          <w:iCs/>
          <w:szCs w:val="20"/>
        </w:rPr>
        <w:t xml:space="preserve">warranty period. </w:t>
      </w:r>
      <w:r w:rsidRPr="00751D46">
        <w:rPr>
          <w:iCs/>
          <w:szCs w:val="20"/>
        </w:rPr>
        <w:t xml:space="preserve">Contractor must provide Canada with one (1) year written notification prior to the Equipment parts no longer being available, and failing such notification, </w:t>
      </w:r>
      <w:r w:rsidRPr="00751D46">
        <w:rPr>
          <w:iCs/>
          <w:szCs w:val="20"/>
        </w:rPr>
        <w:lastRenderedPageBreak/>
        <w:t>the Contractor must provide Canada sufficient notice to ensure that Canada may purchase the parts that are no longer available;</w:t>
      </w:r>
      <w:r w:rsidRPr="00751D46">
        <w:rPr>
          <w:iCs/>
          <w:szCs w:val="20"/>
        </w:rPr>
        <w:tab/>
      </w:r>
    </w:p>
    <w:p w14:paraId="539E0FAF"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iCs/>
          <w:szCs w:val="20"/>
        </w:rPr>
        <w:t>A support service desk function must be provided to help Canada in answering questions with respect to the equipment</w:t>
      </w:r>
      <w:r w:rsidRPr="009C6ACD">
        <w:rPr>
          <w:szCs w:val="20"/>
        </w:rPr>
        <w:t xml:space="preserve"> that includes, at a minimum:</w:t>
      </w:r>
    </w:p>
    <w:p w14:paraId="71CC9852" w14:textId="77777777" w:rsidR="00615556" w:rsidRPr="009C6ACD" w:rsidRDefault="00615556" w:rsidP="0058252E">
      <w:pPr>
        <w:pStyle w:val="ListParagraph"/>
        <w:numPr>
          <w:ilvl w:val="1"/>
          <w:numId w:val="13"/>
        </w:numPr>
        <w:spacing w:after="240"/>
        <w:rPr>
          <w:rFonts w:ascii="Arial" w:hAnsi="Arial" w:cs="Arial"/>
          <w:sz w:val="20"/>
          <w:szCs w:val="20"/>
        </w:rPr>
      </w:pPr>
      <w:r w:rsidRPr="009C6ACD">
        <w:rPr>
          <w:rFonts w:ascii="Arial" w:hAnsi="Arial" w:cs="Arial"/>
          <w:sz w:val="20"/>
          <w:szCs w:val="20"/>
        </w:rPr>
        <w:t>telephone technical support between the hours of 08:00 and 17:00 (Mountain Daylight Time and Mountain Standard Time, when applicable throughout the calendar year), Monday to Friday, excluding statutory holidays</w:t>
      </w:r>
      <w:r>
        <w:rPr>
          <w:rFonts w:ascii="Arial" w:hAnsi="Arial" w:cs="Arial"/>
          <w:sz w:val="20"/>
          <w:szCs w:val="20"/>
        </w:rPr>
        <w:t>;</w:t>
      </w:r>
    </w:p>
    <w:p w14:paraId="50FC6345" w14:textId="77777777" w:rsidR="00615556" w:rsidRPr="009C6ACD" w:rsidRDefault="00615556" w:rsidP="0058252E">
      <w:pPr>
        <w:pStyle w:val="ListParagraph"/>
        <w:numPr>
          <w:ilvl w:val="1"/>
          <w:numId w:val="13"/>
        </w:numPr>
        <w:spacing w:after="240"/>
        <w:rPr>
          <w:rFonts w:ascii="Arial" w:hAnsi="Arial" w:cs="Arial"/>
          <w:sz w:val="20"/>
          <w:szCs w:val="20"/>
        </w:rPr>
      </w:pPr>
      <w:r w:rsidRPr="009C6ACD">
        <w:rPr>
          <w:rFonts w:ascii="Arial" w:hAnsi="Arial" w:cs="Arial"/>
          <w:sz w:val="20"/>
          <w:szCs w:val="20"/>
        </w:rPr>
        <w:t xml:space="preserve">e-mail technical support with a response within </w:t>
      </w:r>
      <w:r w:rsidRPr="009C6ACD">
        <w:rPr>
          <w:rFonts w:ascii="Arial" w:hAnsi="Arial" w:cs="Arial"/>
          <w:b/>
          <w:sz w:val="20"/>
          <w:szCs w:val="20"/>
        </w:rPr>
        <w:t>24 hours</w:t>
      </w:r>
      <w:r w:rsidRPr="009C6ACD">
        <w:rPr>
          <w:rFonts w:ascii="Arial" w:hAnsi="Arial" w:cs="Arial"/>
          <w:sz w:val="20"/>
          <w:szCs w:val="20"/>
        </w:rPr>
        <w:t xml:space="preserve"> excluding weekends and statutory holidays; and</w:t>
      </w:r>
    </w:p>
    <w:p w14:paraId="7D79340A" w14:textId="77777777" w:rsidR="00615556" w:rsidRPr="009C6ACD" w:rsidRDefault="00615556" w:rsidP="0058252E">
      <w:pPr>
        <w:pStyle w:val="ListParagraph"/>
        <w:numPr>
          <w:ilvl w:val="1"/>
          <w:numId w:val="13"/>
        </w:numPr>
        <w:spacing w:after="240"/>
        <w:rPr>
          <w:rFonts w:ascii="Arial" w:hAnsi="Arial" w:cs="Arial"/>
          <w:sz w:val="20"/>
          <w:szCs w:val="20"/>
        </w:rPr>
      </w:pPr>
      <w:r w:rsidRPr="009C6ACD">
        <w:rPr>
          <w:rFonts w:ascii="Arial" w:hAnsi="Arial" w:cs="Arial"/>
          <w:sz w:val="20"/>
          <w:szCs w:val="20"/>
        </w:rPr>
        <w:t>On-line help resources, including contact information, product information and documentation downloads (e.g. product brochures, technical manuals)</w:t>
      </w:r>
      <w:r>
        <w:rPr>
          <w:rFonts w:ascii="Arial" w:hAnsi="Arial" w:cs="Arial"/>
          <w:sz w:val="20"/>
          <w:szCs w:val="20"/>
        </w:rPr>
        <w:t>.</w:t>
      </w:r>
    </w:p>
    <w:p w14:paraId="2DCE6C01"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iCs/>
          <w:szCs w:val="20"/>
        </w:rPr>
        <w:t>Contractor</w:t>
      </w:r>
      <w:r w:rsidRPr="009C6ACD">
        <w:rPr>
          <w:szCs w:val="20"/>
        </w:rPr>
        <w:t xml:space="preserve"> must </w:t>
      </w:r>
      <w:r w:rsidRPr="009C6ACD">
        <w:rPr>
          <w:iCs/>
          <w:szCs w:val="20"/>
        </w:rPr>
        <w:t>provide</w:t>
      </w:r>
      <w:r w:rsidRPr="009C6ACD">
        <w:rPr>
          <w:szCs w:val="20"/>
        </w:rPr>
        <w:t xml:space="preserve"> technical assistance services by trained technical personnel for a period of one (1) year from the date of installation and acceptance, with support to be delivered on-site if necessary and at the expense of the Contractor;</w:t>
      </w:r>
    </w:p>
    <w:p w14:paraId="63122C51"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szCs w:val="20"/>
        </w:rPr>
        <w:t>Canada must be advised in writing as soon as it becomes known, in the event of:</w:t>
      </w:r>
    </w:p>
    <w:p w14:paraId="4B3B03FB" w14:textId="5C01AA84" w:rsidR="00615556" w:rsidRPr="009C6ACD" w:rsidRDefault="00615556" w:rsidP="0058252E">
      <w:pPr>
        <w:pStyle w:val="ListParagraph"/>
        <w:numPr>
          <w:ilvl w:val="0"/>
          <w:numId w:val="14"/>
        </w:numPr>
        <w:spacing w:after="240"/>
        <w:ind w:left="1350"/>
        <w:rPr>
          <w:rFonts w:ascii="Arial" w:hAnsi="Arial" w:cs="Arial"/>
          <w:sz w:val="20"/>
          <w:szCs w:val="20"/>
        </w:rPr>
      </w:pPr>
      <w:r w:rsidRPr="009C6ACD">
        <w:rPr>
          <w:rFonts w:ascii="Arial" w:hAnsi="Arial" w:cs="Arial"/>
          <w:sz w:val="20"/>
          <w:szCs w:val="20"/>
        </w:rPr>
        <w:t>safety-related product recalls or advisories, component defects, and other similar events</w:t>
      </w:r>
      <w:r>
        <w:rPr>
          <w:rFonts w:ascii="Arial" w:hAnsi="Arial" w:cs="Arial"/>
          <w:sz w:val="20"/>
          <w:szCs w:val="20"/>
        </w:rPr>
        <w:t>;</w:t>
      </w:r>
    </w:p>
    <w:p w14:paraId="321484E2" w14:textId="77777777" w:rsidR="00615556" w:rsidRPr="009C6ACD" w:rsidRDefault="00615556" w:rsidP="0058252E">
      <w:pPr>
        <w:pStyle w:val="ListParagraph"/>
        <w:numPr>
          <w:ilvl w:val="0"/>
          <w:numId w:val="14"/>
        </w:numPr>
        <w:spacing w:after="240"/>
        <w:ind w:left="1350"/>
        <w:rPr>
          <w:rFonts w:ascii="Arial" w:hAnsi="Arial" w:cs="Arial"/>
          <w:sz w:val="20"/>
          <w:szCs w:val="20"/>
        </w:rPr>
      </w:pPr>
      <w:r w:rsidRPr="009C6ACD">
        <w:rPr>
          <w:rFonts w:ascii="Arial" w:hAnsi="Arial" w:cs="Arial"/>
          <w:sz w:val="20"/>
          <w:szCs w:val="20"/>
        </w:rPr>
        <w:t>any security vulnerabilities that are subsequently discovered</w:t>
      </w:r>
      <w:r>
        <w:rPr>
          <w:rFonts w:ascii="Arial" w:hAnsi="Arial" w:cs="Arial"/>
          <w:sz w:val="20"/>
          <w:szCs w:val="20"/>
        </w:rPr>
        <w:t>;</w:t>
      </w:r>
    </w:p>
    <w:p w14:paraId="583A9DA1" w14:textId="77777777" w:rsidR="00615556" w:rsidRPr="009C6ACD" w:rsidRDefault="00615556" w:rsidP="0058252E">
      <w:pPr>
        <w:pStyle w:val="ListParagraph"/>
        <w:numPr>
          <w:ilvl w:val="0"/>
          <w:numId w:val="14"/>
        </w:numPr>
        <w:spacing w:after="240"/>
        <w:ind w:left="1350"/>
        <w:rPr>
          <w:rFonts w:ascii="Arial" w:hAnsi="Arial" w:cs="Arial"/>
          <w:sz w:val="20"/>
          <w:szCs w:val="20"/>
        </w:rPr>
      </w:pPr>
      <w:r w:rsidRPr="009C6ACD">
        <w:rPr>
          <w:rFonts w:ascii="Arial" w:hAnsi="Arial" w:cs="Arial"/>
          <w:sz w:val="20"/>
          <w:szCs w:val="20"/>
        </w:rPr>
        <w:t>any hidden or previously unknown defects that are subsequently discovered that may adversely affect product performance and/or functionality; and</w:t>
      </w:r>
    </w:p>
    <w:p w14:paraId="5BBE06EC" w14:textId="77777777" w:rsidR="00615556" w:rsidRPr="009C6ACD" w:rsidRDefault="00615556" w:rsidP="0058252E">
      <w:pPr>
        <w:pStyle w:val="ListParagraph"/>
        <w:numPr>
          <w:ilvl w:val="0"/>
          <w:numId w:val="14"/>
        </w:numPr>
        <w:spacing w:after="240"/>
        <w:ind w:left="1350"/>
        <w:rPr>
          <w:rFonts w:ascii="Arial" w:hAnsi="Arial" w:cs="Arial"/>
          <w:sz w:val="20"/>
          <w:szCs w:val="20"/>
        </w:rPr>
      </w:pPr>
      <w:r w:rsidRPr="009C6ACD">
        <w:rPr>
          <w:rFonts w:ascii="Arial" w:hAnsi="Arial" w:cs="Arial"/>
          <w:sz w:val="20"/>
          <w:szCs w:val="20"/>
        </w:rPr>
        <w:t>Updates to software and product manuals</w:t>
      </w:r>
      <w:r>
        <w:rPr>
          <w:rFonts w:ascii="Arial" w:hAnsi="Arial" w:cs="Arial"/>
          <w:sz w:val="20"/>
          <w:szCs w:val="20"/>
        </w:rPr>
        <w:t>.</w:t>
      </w:r>
    </w:p>
    <w:p w14:paraId="241C78FB"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szCs w:val="20"/>
        </w:rPr>
        <w:t xml:space="preserve">Contractor must provide Maintenance Releases for the duration of the </w:t>
      </w:r>
      <w:r>
        <w:rPr>
          <w:szCs w:val="20"/>
        </w:rPr>
        <w:t>warranty period</w:t>
      </w:r>
      <w:r w:rsidRPr="009C6ACD">
        <w:rPr>
          <w:szCs w:val="20"/>
        </w:rPr>
        <w:t>;</w:t>
      </w:r>
    </w:p>
    <w:p w14:paraId="43417875" w14:textId="136CF0DB" w:rsidR="00F36499" w:rsidRPr="0058252E"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szCs w:val="20"/>
        </w:rPr>
        <w:t xml:space="preserve">Contractor must provide onsite training in </w:t>
      </w:r>
      <w:r w:rsidRPr="009C6ACD">
        <w:rPr>
          <w:b/>
          <w:szCs w:val="20"/>
        </w:rPr>
        <w:t>English</w:t>
      </w:r>
      <w:r>
        <w:rPr>
          <w:szCs w:val="20"/>
        </w:rPr>
        <w:t xml:space="preserve">, </w:t>
      </w:r>
      <w:r w:rsidRPr="00F85B31">
        <w:rPr>
          <w:szCs w:val="20"/>
        </w:rPr>
        <w:t xml:space="preserve">for up </w:t>
      </w:r>
      <w:r w:rsidRPr="003A63ED">
        <w:rPr>
          <w:szCs w:val="20"/>
        </w:rPr>
        <w:t xml:space="preserve">two (2) </w:t>
      </w:r>
      <w:r w:rsidR="00115935">
        <w:rPr>
          <w:szCs w:val="20"/>
        </w:rPr>
        <w:t>XXXX</w:t>
      </w:r>
      <w:r w:rsidRPr="003A63ED">
        <w:rPr>
          <w:szCs w:val="20"/>
        </w:rPr>
        <w:t xml:space="preserve"> employees</w:t>
      </w:r>
      <w:r w:rsidR="009D4082" w:rsidRPr="003A63ED">
        <w:rPr>
          <w:szCs w:val="20"/>
        </w:rPr>
        <w:t xml:space="preserve"> in</w:t>
      </w:r>
      <w:r w:rsidR="009D4082">
        <w:rPr>
          <w:szCs w:val="20"/>
        </w:rPr>
        <w:t xml:space="preserve"> both Devon and Ottawa</w:t>
      </w:r>
      <w:r w:rsidR="00E75967">
        <w:rPr>
          <w:szCs w:val="20"/>
        </w:rPr>
        <w:t xml:space="preserve"> (four (4) employees total)</w:t>
      </w:r>
      <w:r w:rsidRPr="00F85B31">
        <w:rPr>
          <w:szCs w:val="20"/>
        </w:rPr>
        <w:t>. Training must include instruction on all modes of operation of the instrument, all routine maintenance, and features of the operating/data handling software.</w:t>
      </w:r>
      <w:r>
        <w:rPr>
          <w:szCs w:val="20"/>
        </w:rPr>
        <w:t xml:space="preserve"> </w:t>
      </w:r>
      <w:r w:rsidRPr="00F85B31">
        <w:rPr>
          <w:szCs w:val="20"/>
        </w:rPr>
        <w:t xml:space="preserve">Contractor must deliver the onsite training within 5 </w:t>
      </w:r>
      <w:r>
        <w:rPr>
          <w:szCs w:val="20"/>
        </w:rPr>
        <w:t>business</w:t>
      </w:r>
      <w:r w:rsidRPr="00F85B31">
        <w:rPr>
          <w:szCs w:val="20"/>
        </w:rPr>
        <w:t xml:space="preserve"> days of installation</w:t>
      </w:r>
      <w:r w:rsidR="00E75967">
        <w:rPr>
          <w:szCs w:val="20"/>
        </w:rPr>
        <w:t>.</w:t>
      </w:r>
      <w:r w:rsidRPr="00F85B31">
        <w:rPr>
          <w:szCs w:val="20"/>
        </w:rPr>
        <w:t xml:space="preserve"> </w:t>
      </w:r>
    </w:p>
    <w:p w14:paraId="2C7433FD" w14:textId="537BFCA9" w:rsidR="00615556" w:rsidRDefault="00615556" w:rsidP="00B20D60">
      <w:pPr>
        <w:widowControl w:val="0"/>
        <w:numPr>
          <w:ilvl w:val="1"/>
          <w:numId w:val="12"/>
        </w:numPr>
        <w:tabs>
          <w:tab w:val="left" w:pos="-934"/>
          <w:tab w:val="left" w:pos="-720"/>
          <w:tab w:val="left" w:pos="0"/>
          <w:tab w:val="left" w:pos="720"/>
          <w:tab w:val="left" w:pos="1146"/>
          <w:tab w:val="left" w:pos="1686"/>
          <w:tab w:val="left" w:pos="2880"/>
        </w:tabs>
        <w:autoSpaceDE w:val="0"/>
        <w:autoSpaceDN w:val="0"/>
        <w:adjustRightInd w:val="0"/>
        <w:ind w:hanging="720"/>
        <w:rPr>
          <w:b/>
          <w:szCs w:val="20"/>
        </w:rPr>
      </w:pPr>
      <w:bookmarkStart w:id="19" w:name="_Toc62739709"/>
      <w:bookmarkStart w:id="20" w:name="_Toc62745141"/>
      <w:bookmarkStart w:id="21" w:name="_Toc62747150"/>
      <w:r w:rsidRPr="009C6ACD">
        <w:rPr>
          <w:b/>
          <w:szCs w:val="20"/>
        </w:rPr>
        <w:t>Documentation</w:t>
      </w:r>
      <w:bookmarkEnd w:id="19"/>
      <w:bookmarkEnd w:id="20"/>
      <w:bookmarkEnd w:id="21"/>
      <w:r>
        <w:rPr>
          <w:b/>
          <w:szCs w:val="20"/>
        </w:rPr>
        <w:t xml:space="preserve"> / Technical Manuals</w:t>
      </w:r>
    </w:p>
    <w:p w14:paraId="5698BBB5" w14:textId="77777777" w:rsidR="00F36499" w:rsidRPr="00B2636E" w:rsidRDefault="00F36499" w:rsidP="00F36499">
      <w:pPr>
        <w:widowControl w:val="0"/>
        <w:tabs>
          <w:tab w:val="left" w:pos="-934"/>
          <w:tab w:val="left" w:pos="-720"/>
          <w:tab w:val="left" w:pos="0"/>
          <w:tab w:val="left" w:pos="1146"/>
          <w:tab w:val="left" w:pos="1686"/>
          <w:tab w:val="left" w:pos="2880"/>
        </w:tabs>
        <w:autoSpaceDE w:val="0"/>
        <w:autoSpaceDN w:val="0"/>
        <w:adjustRightInd w:val="0"/>
        <w:ind w:left="720"/>
        <w:rPr>
          <w:b/>
          <w:szCs w:val="20"/>
        </w:rPr>
      </w:pPr>
    </w:p>
    <w:p w14:paraId="00FB4549" w14:textId="77777777" w:rsidR="00615556"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szCs w:val="20"/>
        </w:rPr>
        <w:t xml:space="preserve">Contractor </w:t>
      </w:r>
      <w:r>
        <w:rPr>
          <w:szCs w:val="20"/>
        </w:rPr>
        <w:t>must</w:t>
      </w:r>
      <w:r w:rsidRPr="009C6ACD">
        <w:rPr>
          <w:szCs w:val="20"/>
        </w:rPr>
        <w:t xml:space="preserve"> provide a complete and current set of end-user documentation with each system delivered</w:t>
      </w:r>
      <w:r>
        <w:rPr>
          <w:szCs w:val="20"/>
        </w:rPr>
        <w:t>,</w:t>
      </w:r>
      <w:r w:rsidRPr="009C6ACD">
        <w:rPr>
          <w:szCs w:val="20"/>
        </w:rPr>
        <w:t xml:space="preserve"> either as hard copies, CD/DVD disk(s), accessible from a cloud-based resource and/or USB. </w:t>
      </w:r>
    </w:p>
    <w:p w14:paraId="429DA2DD" w14:textId="77777777" w:rsidR="00615556"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Pr>
          <w:szCs w:val="20"/>
        </w:rPr>
        <w:t xml:space="preserve">Contractor </w:t>
      </w:r>
      <w:r w:rsidRPr="009C6ACD">
        <w:rPr>
          <w:szCs w:val="20"/>
        </w:rPr>
        <w:t xml:space="preserve">must provide technical reference manuals from the Original Equipment Manufacturer (OEM) for each item delivered. </w:t>
      </w:r>
    </w:p>
    <w:p w14:paraId="58F8DE03" w14:textId="310D7E31" w:rsidR="00615556"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szCs w:val="20"/>
        </w:rPr>
        <w:t>Manuals may be unilingual English. Canada has the right to translate any of the unilingual technical manuals into the second of the two Official Languages and to make free use of that translation for Canada's purpose. This right shall include the right to make, or to have made, copies for Canada's purposes only and to ultimately destroy those copies and the Contractor shall have no right to the translation.</w:t>
      </w:r>
      <w:bookmarkStart w:id="22" w:name="_Toc62739710"/>
      <w:bookmarkStart w:id="23" w:name="_Toc62745142"/>
      <w:bookmarkStart w:id="24" w:name="_Toc62747151"/>
    </w:p>
    <w:p w14:paraId="6DAEE102" w14:textId="5560B5C8" w:rsidR="00115935" w:rsidRDefault="00115935">
      <w:pPr>
        <w:rPr>
          <w:szCs w:val="20"/>
        </w:rPr>
      </w:pPr>
      <w:r>
        <w:rPr>
          <w:szCs w:val="20"/>
        </w:rPr>
        <w:br w:type="page"/>
      </w:r>
    </w:p>
    <w:p w14:paraId="7A2AAAA5" w14:textId="77777777" w:rsidR="0058252E" w:rsidRPr="0058252E" w:rsidRDefault="0058252E" w:rsidP="0058252E">
      <w:pPr>
        <w:widowControl w:val="0"/>
        <w:tabs>
          <w:tab w:val="left" w:pos="-934"/>
          <w:tab w:val="left" w:pos="-720"/>
          <w:tab w:val="left" w:pos="0"/>
          <w:tab w:val="left" w:pos="720"/>
          <w:tab w:val="left" w:pos="1260"/>
          <w:tab w:val="left" w:pos="1686"/>
          <w:tab w:val="left" w:pos="2880"/>
        </w:tabs>
        <w:autoSpaceDE w:val="0"/>
        <w:autoSpaceDN w:val="0"/>
        <w:adjustRightInd w:val="0"/>
        <w:spacing w:after="240"/>
        <w:ind w:left="792"/>
        <w:rPr>
          <w:szCs w:val="20"/>
        </w:rPr>
      </w:pPr>
    </w:p>
    <w:bookmarkEnd w:id="22"/>
    <w:bookmarkEnd w:id="23"/>
    <w:bookmarkEnd w:id="24"/>
    <w:p w14:paraId="5E69F7B9" w14:textId="412A1077" w:rsidR="00615556" w:rsidRPr="00E75967" w:rsidRDefault="00615556" w:rsidP="00B20D60">
      <w:pPr>
        <w:widowControl w:val="0"/>
        <w:numPr>
          <w:ilvl w:val="1"/>
          <w:numId w:val="12"/>
        </w:numPr>
        <w:tabs>
          <w:tab w:val="left" w:pos="-934"/>
          <w:tab w:val="left" w:pos="-720"/>
          <w:tab w:val="left" w:pos="0"/>
          <w:tab w:val="left" w:pos="720"/>
          <w:tab w:val="left" w:pos="1146"/>
          <w:tab w:val="left" w:pos="1686"/>
          <w:tab w:val="left" w:pos="2880"/>
        </w:tabs>
        <w:autoSpaceDE w:val="0"/>
        <w:autoSpaceDN w:val="0"/>
        <w:adjustRightInd w:val="0"/>
        <w:ind w:hanging="720"/>
        <w:rPr>
          <w:b/>
          <w:szCs w:val="20"/>
        </w:rPr>
      </w:pPr>
      <w:r w:rsidRPr="00E75967">
        <w:rPr>
          <w:b/>
          <w:szCs w:val="20"/>
        </w:rPr>
        <w:t>Delivery Point</w:t>
      </w:r>
    </w:p>
    <w:p w14:paraId="05C66FDD" w14:textId="77777777" w:rsidR="00F36499" w:rsidRPr="00B2636E" w:rsidRDefault="00F36499" w:rsidP="00F36499">
      <w:pPr>
        <w:widowControl w:val="0"/>
        <w:tabs>
          <w:tab w:val="left" w:pos="-934"/>
          <w:tab w:val="left" w:pos="-720"/>
          <w:tab w:val="left" w:pos="0"/>
          <w:tab w:val="left" w:pos="1146"/>
          <w:tab w:val="left" w:pos="1686"/>
          <w:tab w:val="left" w:pos="2880"/>
        </w:tabs>
        <w:autoSpaceDE w:val="0"/>
        <w:autoSpaceDN w:val="0"/>
        <w:adjustRightInd w:val="0"/>
        <w:ind w:left="720"/>
        <w:rPr>
          <w:b/>
          <w:szCs w:val="20"/>
        </w:rPr>
      </w:pPr>
    </w:p>
    <w:p w14:paraId="49C0CBBF" w14:textId="266A2D71" w:rsidR="00E75967" w:rsidRDefault="00E75967" w:rsidP="00B20D60">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ind w:hanging="792"/>
        <w:rPr>
          <w:szCs w:val="20"/>
        </w:rPr>
      </w:pPr>
      <w:r>
        <w:rPr>
          <w:szCs w:val="20"/>
        </w:rPr>
        <w:t xml:space="preserve">One (1) unit must be delivered to: </w:t>
      </w:r>
    </w:p>
    <w:p w14:paraId="22515DDC" w14:textId="6A0ADDDC" w:rsidR="00615556" w:rsidRDefault="00115935" w:rsidP="00E75967">
      <w:pPr>
        <w:widowControl w:val="0"/>
        <w:tabs>
          <w:tab w:val="left" w:pos="-934"/>
          <w:tab w:val="left" w:pos="-720"/>
          <w:tab w:val="left" w:pos="0"/>
          <w:tab w:val="left" w:pos="720"/>
          <w:tab w:val="left" w:pos="1260"/>
          <w:tab w:val="left" w:pos="1686"/>
          <w:tab w:val="left" w:pos="2880"/>
        </w:tabs>
        <w:autoSpaceDE w:val="0"/>
        <w:autoSpaceDN w:val="0"/>
        <w:adjustRightInd w:val="0"/>
        <w:ind w:left="792"/>
        <w:rPr>
          <w:szCs w:val="20"/>
        </w:rPr>
      </w:pPr>
      <w:r>
        <w:rPr>
          <w:szCs w:val="20"/>
        </w:rPr>
        <w:t>XXXX</w:t>
      </w:r>
    </w:p>
    <w:p w14:paraId="71903AE1" w14:textId="77777777" w:rsidR="00115935" w:rsidRDefault="00115935" w:rsidP="00615556">
      <w:pPr>
        <w:widowControl w:val="0"/>
        <w:tabs>
          <w:tab w:val="left" w:pos="-934"/>
          <w:tab w:val="left" w:pos="-720"/>
          <w:tab w:val="left" w:pos="0"/>
          <w:tab w:val="left" w:pos="720"/>
          <w:tab w:val="left" w:pos="1260"/>
          <w:tab w:val="left" w:pos="1686"/>
          <w:tab w:val="left" w:pos="2880"/>
        </w:tabs>
        <w:autoSpaceDE w:val="0"/>
        <w:autoSpaceDN w:val="0"/>
        <w:adjustRightInd w:val="0"/>
        <w:ind w:left="792"/>
        <w:rPr>
          <w:szCs w:val="20"/>
        </w:rPr>
      </w:pPr>
      <w:r>
        <w:rPr>
          <w:szCs w:val="20"/>
        </w:rPr>
        <w:t>XXXX</w:t>
      </w:r>
    </w:p>
    <w:p w14:paraId="268A78BF" w14:textId="303AB094" w:rsidR="00615556" w:rsidRDefault="00115935" w:rsidP="00615556">
      <w:pPr>
        <w:widowControl w:val="0"/>
        <w:tabs>
          <w:tab w:val="left" w:pos="-934"/>
          <w:tab w:val="left" w:pos="-720"/>
          <w:tab w:val="left" w:pos="0"/>
          <w:tab w:val="left" w:pos="720"/>
          <w:tab w:val="left" w:pos="1260"/>
          <w:tab w:val="left" w:pos="1686"/>
          <w:tab w:val="left" w:pos="2880"/>
        </w:tabs>
        <w:autoSpaceDE w:val="0"/>
        <w:autoSpaceDN w:val="0"/>
        <w:adjustRightInd w:val="0"/>
        <w:ind w:left="792"/>
        <w:rPr>
          <w:szCs w:val="20"/>
        </w:rPr>
      </w:pPr>
      <w:r>
        <w:rPr>
          <w:szCs w:val="20"/>
        </w:rPr>
        <w:t>XXXX</w:t>
      </w:r>
      <w:r w:rsidR="00615556" w:rsidRPr="009C6ACD">
        <w:rPr>
          <w:szCs w:val="20"/>
        </w:rPr>
        <w:t xml:space="preserve"> </w:t>
      </w:r>
    </w:p>
    <w:p w14:paraId="06F3271F" w14:textId="77777777" w:rsidR="00E75967" w:rsidRDefault="00E75967" w:rsidP="00615556">
      <w:pPr>
        <w:widowControl w:val="0"/>
        <w:tabs>
          <w:tab w:val="left" w:pos="-934"/>
          <w:tab w:val="left" w:pos="-720"/>
          <w:tab w:val="left" w:pos="0"/>
          <w:tab w:val="left" w:pos="720"/>
          <w:tab w:val="left" w:pos="1260"/>
          <w:tab w:val="left" w:pos="1686"/>
          <w:tab w:val="left" w:pos="2880"/>
        </w:tabs>
        <w:autoSpaceDE w:val="0"/>
        <w:autoSpaceDN w:val="0"/>
        <w:adjustRightInd w:val="0"/>
        <w:ind w:left="792"/>
        <w:rPr>
          <w:szCs w:val="20"/>
        </w:rPr>
      </w:pPr>
    </w:p>
    <w:p w14:paraId="527DB036" w14:textId="404631F7" w:rsidR="00E75967" w:rsidRDefault="00E75967" w:rsidP="00E75967">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ind w:hanging="792"/>
        <w:rPr>
          <w:szCs w:val="20"/>
        </w:rPr>
      </w:pPr>
      <w:r>
        <w:rPr>
          <w:szCs w:val="20"/>
        </w:rPr>
        <w:t xml:space="preserve">One (1) unit must be delivered to: </w:t>
      </w:r>
    </w:p>
    <w:p w14:paraId="1E615A68" w14:textId="77777777" w:rsidR="00115935" w:rsidRPr="00115935" w:rsidRDefault="00115935" w:rsidP="00115935">
      <w:pPr>
        <w:widowControl w:val="0"/>
        <w:tabs>
          <w:tab w:val="left" w:pos="-934"/>
          <w:tab w:val="left" w:pos="-720"/>
          <w:tab w:val="left" w:pos="0"/>
          <w:tab w:val="left" w:pos="720"/>
          <w:tab w:val="left" w:pos="1260"/>
          <w:tab w:val="left" w:pos="1686"/>
          <w:tab w:val="left" w:pos="2880"/>
        </w:tabs>
        <w:autoSpaceDE w:val="0"/>
        <w:autoSpaceDN w:val="0"/>
        <w:adjustRightInd w:val="0"/>
        <w:ind w:left="792"/>
        <w:rPr>
          <w:rFonts w:asciiTheme="minorHAnsi" w:eastAsiaTheme="minorHAnsi" w:hAnsiTheme="minorHAnsi" w:cstheme="minorBidi"/>
          <w:sz w:val="22"/>
          <w:szCs w:val="20"/>
          <w:lang w:val="en-CA"/>
        </w:rPr>
      </w:pPr>
      <w:r w:rsidRPr="00115935">
        <w:rPr>
          <w:rFonts w:asciiTheme="minorHAnsi" w:eastAsiaTheme="minorHAnsi" w:hAnsiTheme="minorHAnsi" w:cstheme="minorBidi"/>
          <w:sz w:val="22"/>
          <w:szCs w:val="20"/>
          <w:lang w:val="en-CA"/>
        </w:rPr>
        <w:t>XXXX</w:t>
      </w:r>
    </w:p>
    <w:p w14:paraId="17D60081" w14:textId="77777777" w:rsidR="00115935" w:rsidRPr="00115935" w:rsidRDefault="00115935" w:rsidP="00115935">
      <w:pPr>
        <w:widowControl w:val="0"/>
        <w:tabs>
          <w:tab w:val="left" w:pos="-934"/>
          <w:tab w:val="left" w:pos="-720"/>
          <w:tab w:val="left" w:pos="0"/>
          <w:tab w:val="left" w:pos="720"/>
          <w:tab w:val="left" w:pos="1260"/>
          <w:tab w:val="left" w:pos="1686"/>
          <w:tab w:val="left" w:pos="2880"/>
        </w:tabs>
        <w:autoSpaceDE w:val="0"/>
        <w:autoSpaceDN w:val="0"/>
        <w:adjustRightInd w:val="0"/>
        <w:ind w:left="792"/>
        <w:rPr>
          <w:rFonts w:asciiTheme="minorHAnsi" w:eastAsiaTheme="minorHAnsi" w:hAnsiTheme="minorHAnsi" w:cstheme="minorBidi"/>
          <w:sz w:val="22"/>
          <w:szCs w:val="20"/>
          <w:lang w:val="en-CA"/>
        </w:rPr>
      </w:pPr>
      <w:r w:rsidRPr="00115935">
        <w:rPr>
          <w:rFonts w:asciiTheme="minorHAnsi" w:eastAsiaTheme="minorHAnsi" w:hAnsiTheme="minorHAnsi" w:cstheme="minorBidi"/>
          <w:sz w:val="22"/>
          <w:szCs w:val="20"/>
          <w:lang w:val="en-CA"/>
        </w:rPr>
        <w:t>XXXX</w:t>
      </w:r>
    </w:p>
    <w:p w14:paraId="5FF7B296" w14:textId="07DE1B99" w:rsidR="00115935" w:rsidRDefault="00115935" w:rsidP="00115935">
      <w:pPr>
        <w:widowControl w:val="0"/>
        <w:tabs>
          <w:tab w:val="left" w:pos="-934"/>
          <w:tab w:val="left" w:pos="-720"/>
          <w:tab w:val="left" w:pos="0"/>
          <w:tab w:val="left" w:pos="720"/>
          <w:tab w:val="left" w:pos="1260"/>
          <w:tab w:val="left" w:pos="1686"/>
          <w:tab w:val="left" w:pos="2880"/>
        </w:tabs>
        <w:autoSpaceDE w:val="0"/>
        <w:autoSpaceDN w:val="0"/>
        <w:adjustRightInd w:val="0"/>
        <w:ind w:left="792"/>
        <w:rPr>
          <w:szCs w:val="20"/>
        </w:rPr>
      </w:pPr>
      <w:r w:rsidRPr="00115935">
        <w:rPr>
          <w:rFonts w:asciiTheme="minorHAnsi" w:eastAsiaTheme="minorHAnsi" w:hAnsiTheme="minorHAnsi" w:cstheme="minorBidi"/>
          <w:sz w:val="22"/>
          <w:szCs w:val="20"/>
          <w:lang w:val="en-CA"/>
        </w:rPr>
        <w:t>XXXX</w:t>
      </w:r>
    </w:p>
    <w:p w14:paraId="0BEE2454" w14:textId="77777777" w:rsidR="009D4082" w:rsidRPr="009C6ACD" w:rsidRDefault="009D4082" w:rsidP="00615556">
      <w:pPr>
        <w:widowControl w:val="0"/>
        <w:tabs>
          <w:tab w:val="left" w:pos="-934"/>
          <w:tab w:val="left" w:pos="-720"/>
          <w:tab w:val="left" w:pos="0"/>
          <w:tab w:val="left" w:pos="720"/>
          <w:tab w:val="left" w:pos="1260"/>
          <w:tab w:val="left" w:pos="1686"/>
          <w:tab w:val="left" w:pos="2880"/>
        </w:tabs>
        <w:autoSpaceDE w:val="0"/>
        <w:autoSpaceDN w:val="0"/>
        <w:adjustRightInd w:val="0"/>
        <w:ind w:left="792"/>
        <w:rPr>
          <w:szCs w:val="20"/>
        </w:rPr>
      </w:pPr>
    </w:p>
    <w:p w14:paraId="22873C9F" w14:textId="4EBFE65F" w:rsidR="00615556"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ind w:hanging="792"/>
        <w:rPr>
          <w:szCs w:val="20"/>
        </w:rPr>
      </w:pPr>
      <w:r w:rsidRPr="009C6ACD">
        <w:rPr>
          <w:szCs w:val="20"/>
        </w:rPr>
        <w:t xml:space="preserve">The equipment must be approved by the Canadian Standards Association (CSA), CSA International OR a National Certification body for the Country of Manufacture (i.e. EC, UL) before shipping to </w:t>
      </w:r>
      <w:r w:rsidR="00115935">
        <w:rPr>
          <w:szCs w:val="20"/>
        </w:rPr>
        <w:t>XXXX</w:t>
      </w:r>
      <w:r w:rsidRPr="009C6ACD">
        <w:rPr>
          <w:szCs w:val="20"/>
        </w:rPr>
        <w:t>.</w:t>
      </w:r>
      <w:bookmarkStart w:id="25" w:name="_Toc62739711"/>
      <w:bookmarkStart w:id="26" w:name="_Toc62745143"/>
      <w:bookmarkStart w:id="27" w:name="_Toc62747152"/>
    </w:p>
    <w:p w14:paraId="2F25219C" w14:textId="77777777" w:rsidR="0058252E" w:rsidRPr="0058252E" w:rsidRDefault="0058252E" w:rsidP="0058252E">
      <w:pPr>
        <w:widowControl w:val="0"/>
        <w:tabs>
          <w:tab w:val="left" w:pos="-934"/>
          <w:tab w:val="left" w:pos="-720"/>
          <w:tab w:val="left" w:pos="0"/>
          <w:tab w:val="left" w:pos="720"/>
          <w:tab w:val="left" w:pos="1260"/>
          <w:tab w:val="left" w:pos="1686"/>
          <w:tab w:val="left" w:pos="2880"/>
        </w:tabs>
        <w:autoSpaceDE w:val="0"/>
        <w:autoSpaceDN w:val="0"/>
        <w:adjustRightInd w:val="0"/>
        <w:ind w:left="792"/>
        <w:rPr>
          <w:szCs w:val="20"/>
        </w:rPr>
      </w:pPr>
    </w:p>
    <w:p w14:paraId="392D5D5B" w14:textId="28BE2177" w:rsidR="00615556" w:rsidRPr="00F36499" w:rsidRDefault="00615556" w:rsidP="00B20D60">
      <w:pPr>
        <w:widowControl w:val="0"/>
        <w:numPr>
          <w:ilvl w:val="1"/>
          <w:numId w:val="12"/>
        </w:numPr>
        <w:tabs>
          <w:tab w:val="left" w:pos="-934"/>
          <w:tab w:val="left" w:pos="-720"/>
          <w:tab w:val="left" w:pos="0"/>
          <w:tab w:val="left" w:pos="720"/>
          <w:tab w:val="left" w:pos="1146"/>
          <w:tab w:val="left" w:pos="1686"/>
          <w:tab w:val="left" w:pos="2880"/>
        </w:tabs>
        <w:autoSpaceDE w:val="0"/>
        <w:autoSpaceDN w:val="0"/>
        <w:adjustRightInd w:val="0"/>
        <w:ind w:hanging="720"/>
        <w:rPr>
          <w:szCs w:val="20"/>
        </w:rPr>
      </w:pPr>
      <w:r w:rsidRPr="009C6ACD">
        <w:rPr>
          <w:b/>
          <w:szCs w:val="20"/>
        </w:rPr>
        <w:t>Installation</w:t>
      </w:r>
      <w:bookmarkEnd w:id="25"/>
      <w:bookmarkEnd w:id="26"/>
      <w:bookmarkEnd w:id="27"/>
    </w:p>
    <w:p w14:paraId="2116A434" w14:textId="77777777" w:rsidR="00F36499" w:rsidRPr="00B2636E" w:rsidRDefault="00F36499" w:rsidP="00F36499">
      <w:pPr>
        <w:widowControl w:val="0"/>
        <w:tabs>
          <w:tab w:val="left" w:pos="-934"/>
          <w:tab w:val="left" w:pos="-720"/>
          <w:tab w:val="left" w:pos="0"/>
          <w:tab w:val="left" w:pos="1146"/>
          <w:tab w:val="left" w:pos="1686"/>
          <w:tab w:val="left" w:pos="2880"/>
        </w:tabs>
        <w:autoSpaceDE w:val="0"/>
        <w:autoSpaceDN w:val="0"/>
        <w:adjustRightInd w:val="0"/>
        <w:ind w:left="720"/>
        <w:rPr>
          <w:szCs w:val="20"/>
        </w:rPr>
      </w:pPr>
    </w:p>
    <w:p w14:paraId="1C632B60"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szCs w:val="20"/>
        </w:rPr>
        <w:t xml:space="preserve">Contractor must deliver, install, integrate, and configure all deliverables at the </w:t>
      </w:r>
      <w:r>
        <w:rPr>
          <w:szCs w:val="20"/>
        </w:rPr>
        <w:t>Delivery Point.</w:t>
      </w:r>
    </w:p>
    <w:p w14:paraId="2383C803"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szCs w:val="20"/>
        </w:rPr>
        <w:t xml:space="preserve">Contractor must unpack, assemble, and install the deliverables at the site to the specified location. If applicable, this includes but is not limited to the provision of required moving and installation resources, packing material, vehicles, cranes, personnel, and floor protection panels. </w:t>
      </w:r>
    </w:p>
    <w:p w14:paraId="119CCF2B"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szCs w:val="20"/>
        </w:rPr>
        <w:t>Contractor must supply all associated materials required to effect complete installation, integration and configuration of the deliverables at the site.  This must include but not be limited to such things as all the required power connectors, cables, and any other accessories required to install, integrate and configure the deliverables.</w:t>
      </w:r>
    </w:p>
    <w:p w14:paraId="47C46150"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szCs w:val="20"/>
        </w:rPr>
        <w:t>Contractor must maintain all work areas at the installation site(s) in a clean and tidy condition on completion of each day’s work and on completion of acceptance, including the removal and disposal of all related packing material.</w:t>
      </w:r>
    </w:p>
    <w:p w14:paraId="53D618D9" w14:textId="77777777" w:rsidR="00615556" w:rsidRPr="009C6ACD"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szCs w:val="20"/>
        </w:rPr>
      </w:pPr>
      <w:r w:rsidRPr="009C6ACD">
        <w:rPr>
          <w:szCs w:val="20"/>
        </w:rPr>
        <w:t xml:space="preserve">Contractor must begin installation within 21 </w:t>
      </w:r>
      <w:r>
        <w:rPr>
          <w:szCs w:val="20"/>
        </w:rPr>
        <w:t xml:space="preserve">business </w:t>
      </w:r>
      <w:r w:rsidRPr="009C6ACD">
        <w:rPr>
          <w:szCs w:val="20"/>
        </w:rPr>
        <w:t xml:space="preserve">days of delivery and must complete the installation within 5 </w:t>
      </w:r>
      <w:r>
        <w:rPr>
          <w:szCs w:val="20"/>
        </w:rPr>
        <w:t>business</w:t>
      </w:r>
      <w:r w:rsidRPr="009C6ACD">
        <w:rPr>
          <w:szCs w:val="20"/>
        </w:rPr>
        <w:t xml:space="preserve"> days from the installation start date.</w:t>
      </w:r>
    </w:p>
    <w:p w14:paraId="57840E0E" w14:textId="77777777" w:rsidR="00615556" w:rsidRPr="00F36499" w:rsidRDefault="00615556" w:rsidP="0058252E">
      <w:pPr>
        <w:widowControl w:val="0"/>
        <w:numPr>
          <w:ilvl w:val="2"/>
          <w:numId w:val="12"/>
        </w:numPr>
        <w:tabs>
          <w:tab w:val="left" w:pos="-934"/>
          <w:tab w:val="left" w:pos="-720"/>
          <w:tab w:val="left" w:pos="0"/>
          <w:tab w:val="left" w:pos="720"/>
          <w:tab w:val="left" w:pos="1260"/>
          <w:tab w:val="left" w:pos="1686"/>
          <w:tab w:val="left" w:pos="2880"/>
        </w:tabs>
        <w:autoSpaceDE w:val="0"/>
        <w:autoSpaceDN w:val="0"/>
        <w:adjustRightInd w:val="0"/>
        <w:spacing w:after="240"/>
        <w:ind w:hanging="792"/>
        <w:rPr>
          <w:bCs/>
          <w:szCs w:val="20"/>
        </w:rPr>
      </w:pPr>
      <w:r w:rsidRPr="009C6ACD">
        <w:rPr>
          <w:szCs w:val="20"/>
        </w:rPr>
        <w:t xml:space="preserve">Upon successful completion of the installation, integration and configuration of the deliverables, the Contractor must provide the Technical Authority with written notification that the deliverables are ready for testing. </w:t>
      </w:r>
      <w:r w:rsidRPr="00F36499">
        <w:rPr>
          <w:bCs/>
          <w:szCs w:val="20"/>
        </w:rPr>
        <w:t>Contract acceptance and approval of payment of invoice will only be completed and approved by the Project Authority after the testing stage is successfully completed and the equipment is deemed “fully operational” to the satisfaction of the Project Authority.</w:t>
      </w:r>
    </w:p>
    <w:p w14:paraId="7A27AE6D" w14:textId="77777777" w:rsidR="00854C60" w:rsidRPr="00854C60" w:rsidRDefault="00854C60" w:rsidP="00854C60"/>
    <w:p w14:paraId="57BE35D2" w14:textId="77777777" w:rsidR="008A397D" w:rsidRDefault="008A397D"/>
    <w:p w14:paraId="3723954D" w14:textId="77777777" w:rsidR="008A397D" w:rsidRDefault="008A397D"/>
    <w:p w14:paraId="6B2386E8" w14:textId="324AD6EB" w:rsidR="00CD4753" w:rsidRDefault="00CD4753" w:rsidP="00DC26FB">
      <w:pPr>
        <w:pStyle w:val="TemplateHeading1"/>
      </w:pPr>
      <w:r>
        <w:br w:type="page"/>
      </w:r>
      <w:bookmarkStart w:id="28" w:name="_Toc121911042"/>
      <w:r>
        <w:lastRenderedPageBreak/>
        <w:t xml:space="preserve">ANNEX </w:t>
      </w:r>
      <w:r w:rsidR="00854C60" w:rsidRPr="00854C60">
        <w:t>“</w:t>
      </w:r>
      <w:r w:rsidR="009E112C">
        <w:t>B</w:t>
      </w:r>
      <w:r w:rsidR="00854C60" w:rsidRPr="00854C60">
        <w:t>”</w:t>
      </w:r>
      <w:bookmarkEnd w:id="28"/>
    </w:p>
    <w:p w14:paraId="4CFB6D9D" w14:textId="77777777" w:rsidR="00CD4753" w:rsidRDefault="00CD4753" w:rsidP="008E396D">
      <w:pPr>
        <w:pStyle w:val="TemplateHeading2"/>
      </w:pPr>
      <w:bookmarkStart w:id="29" w:name="_Toc121911043"/>
      <w:r>
        <w:t>BASIS OF PAYMENT</w:t>
      </w:r>
      <w:bookmarkEnd w:id="29"/>
    </w:p>
    <w:p w14:paraId="64A8F946" w14:textId="77777777" w:rsidR="00854C60" w:rsidRDefault="00854C60" w:rsidP="00854C60">
      <w:pPr>
        <w:pStyle w:val="DefaultText"/>
        <w:rPr>
          <w:rFonts w:cs="Arial"/>
          <w:b/>
          <w:bCs/>
          <w:lang w:val="en-CA"/>
        </w:rPr>
      </w:pPr>
    </w:p>
    <w:p w14:paraId="320BD041" w14:textId="77777777" w:rsidR="00615556" w:rsidRPr="009C6ACD" w:rsidRDefault="00615556" w:rsidP="00615556">
      <w:pPr>
        <w:rPr>
          <w:color w:val="000000"/>
          <w:szCs w:val="18"/>
        </w:rPr>
      </w:pPr>
      <w:r w:rsidRPr="009C6ACD">
        <w:rPr>
          <w:szCs w:val="18"/>
        </w:rPr>
        <w:t xml:space="preserve">It is </w:t>
      </w:r>
      <w:r w:rsidRPr="009C6ACD">
        <w:rPr>
          <w:b/>
          <w:szCs w:val="18"/>
        </w:rPr>
        <w:t>MANDATORY</w:t>
      </w:r>
      <w:r w:rsidRPr="009C6ACD">
        <w:rPr>
          <w:szCs w:val="18"/>
        </w:rPr>
        <w:t xml:space="preserve"> that Bidders submit firm prices for the period of the proposed Contract for all items listed hereafter. This section, when completed, will be considered as the Bidder's financial proposal. </w:t>
      </w:r>
    </w:p>
    <w:p w14:paraId="0A41165F" w14:textId="77777777" w:rsidR="00615556" w:rsidRPr="009C6ACD" w:rsidRDefault="00615556" w:rsidP="00615556">
      <w:pPr>
        <w:rPr>
          <w:szCs w:val="18"/>
        </w:rPr>
      </w:pPr>
    </w:p>
    <w:p w14:paraId="7E03FC4C" w14:textId="77777777" w:rsidR="00615556" w:rsidRPr="009C6ACD" w:rsidRDefault="00615556" w:rsidP="00B20D60">
      <w:pPr>
        <w:numPr>
          <w:ilvl w:val="0"/>
          <w:numId w:val="15"/>
        </w:numPr>
        <w:rPr>
          <w:szCs w:val="18"/>
        </w:rPr>
      </w:pPr>
      <w:bookmarkStart w:id="30" w:name="_Hlk118456743"/>
      <w:r w:rsidRPr="009C6ACD">
        <w:rPr>
          <w:szCs w:val="18"/>
        </w:rPr>
        <w:t xml:space="preserve">Bidders MUST provide bids as per unit of issue requested. It is the responsibility of the bidder to provide conversion to the unit of issue requested. Failure to do so will render the bid non-responsive without further consideration. </w:t>
      </w:r>
    </w:p>
    <w:p w14:paraId="79F2DBE1" w14:textId="77777777" w:rsidR="00615556" w:rsidRPr="009C6ACD" w:rsidRDefault="00615556" w:rsidP="00B20D60">
      <w:pPr>
        <w:numPr>
          <w:ilvl w:val="0"/>
          <w:numId w:val="15"/>
        </w:numPr>
        <w:rPr>
          <w:szCs w:val="18"/>
        </w:rPr>
      </w:pPr>
      <w:r w:rsidRPr="009C6ACD">
        <w:rPr>
          <w:szCs w:val="18"/>
        </w:rPr>
        <w:t xml:space="preserve">Should there be an error in the extended pricing of the Bidder's proposal, the unit pricing shall prevail and the extended pricing shall be corrected in the evaluation. Any errors in the quantities of the Bidder's proposal shall be changed to reflect the quantities stated in the RFP. </w:t>
      </w:r>
    </w:p>
    <w:bookmarkEnd w:id="30"/>
    <w:p w14:paraId="65E40E7C" w14:textId="2912004B" w:rsidR="008F5326" w:rsidRPr="008976F1" w:rsidRDefault="00615556" w:rsidP="00615556">
      <w:pPr>
        <w:numPr>
          <w:ilvl w:val="0"/>
          <w:numId w:val="15"/>
        </w:numPr>
        <w:rPr>
          <w:color w:val="000000"/>
          <w:szCs w:val="18"/>
        </w:rPr>
      </w:pPr>
      <w:r w:rsidRPr="009C6ACD">
        <w:rPr>
          <w:szCs w:val="18"/>
        </w:rPr>
        <w:t xml:space="preserve">Rates quoted must remain firm for the period of the Contract. Rates MUST include ALL costs associated with providing the goods and/or services in accordance with the Requirement, Annex “A” attached herein. </w:t>
      </w:r>
      <w:r w:rsidRPr="009C6ACD">
        <w:rPr>
          <w:b/>
          <w:szCs w:val="18"/>
        </w:rPr>
        <w:t>GST</w:t>
      </w:r>
      <w:r w:rsidRPr="009C6ACD">
        <w:rPr>
          <w:szCs w:val="18"/>
        </w:rPr>
        <w:t xml:space="preserve">, if applicable, is to be shown as a separate item on any resulting invoice. Payment will be made in accordance with the following pricing. All prices are firm unit prices exclusive of any applicable taxes.  </w:t>
      </w:r>
      <w:r w:rsidRPr="009C6ACD">
        <w:rPr>
          <w:color w:val="000000"/>
          <w:szCs w:val="18"/>
        </w:rPr>
        <w:t> </w:t>
      </w:r>
    </w:p>
    <w:p w14:paraId="38B2C4EB" w14:textId="77777777" w:rsidR="00615556" w:rsidRPr="00B8590B" w:rsidRDefault="00615556" w:rsidP="00615556">
      <w:pPr>
        <w:rPr>
          <w:b/>
          <w:szCs w:val="2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497"/>
        <w:gridCol w:w="1170"/>
        <w:gridCol w:w="990"/>
        <w:gridCol w:w="1980"/>
      </w:tblGrid>
      <w:tr w:rsidR="00E75967" w:rsidRPr="00B8590B" w14:paraId="748108AA" w14:textId="77777777" w:rsidTr="008976F1">
        <w:trPr>
          <w:jc w:val="center"/>
        </w:trPr>
        <w:tc>
          <w:tcPr>
            <w:tcW w:w="9265" w:type="dxa"/>
            <w:gridSpan w:val="5"/>
            <w:shd w:val="clear" w:color="auto" w:fill="8DB3E2" w:themeFill="text2" w:themeFillTint="66"/>
          </w:tcPr>
          <w:p w14:paraId="12021234" w14:textId="38FCF4BD" w:rsidR="00E75967" w:rsidRPr="00447572" w:rsidRDefault="00E75967" w:rsidP="005622C6">
            <w:pPr>
              <w:rPr>
                <w:rFonts w:eastAsia="Calibri"/>
                <w:b/>
                <w:color w:val="000000" w:themeColor="text1"/>
                <w:szCs w:val="20"/>
              </w:rPr>
            </w:pPr>
            <w:r>
              <w:rPr>
                <w:rFonts w:eastAsia="Calibri"/>
                <w:b/>
                <w:color w:val="000000" w:themeColor="text1"/>
                <w:szCs w:val="20"/>
              </w:rPr>
              <w:t>Table 1 – Delivery to Devon, Alberta</w:t>
            </w:r>
          </w:p>
        </w:tc>
      </w:tr>
      <w:tr w:rsidR="00F36499" w:rsidRPr="00B8590B" w14:paraId="571DC900" w14:textId="77777777" w:rsidTr="0058252E">
        <w:trPr>
          <w:jc w:val="center"/>
        </w:trPr>
        <w:tc>
          <w:tcPr>
            <w:tcW w:w="628" w:type="dxa"/>
            <w:shd w:val="clear" w:color="auto" w:fill="8DB3E2" w:themeFill="text2" w:themeFillTint="66"/>
            <w:vAlign w:val="center"/>
          </w:tcPr>
          <w:p w14:paraId="3D3934F4" w14:textId="77777777" w:rsidR="00F36499" w:rsidRPr="00447572" w:rsidRDefault="00F36499" w:rsidP="0058252E">
            <w:pPr>
              <w:jc w:val="center"/>
              <w:rPr>
                <w:rFonts w:eastAsia="Calibri"/>
                <w:b/>
                <w:color w:val="000000" w:themeColor="text1"/>
                <w:szCs w:val="20"/>
              </w:rPr>
            </w:pPr>
            <w:r w:rsidRPr="00447572">
              <w:rPr>
                <w:rFonts w:eastAsia="Calibri"/>
                <w:b/>
                <w:color w:val="000000" w:themeColor="text1"/>
                <w:szCs w:val="20"/>
              </w:rPr>
              <w:t>Item</w:t>
            </w:r>
          </w:p>
        </w:tc>
        <w:tc>
          <w:tcPr>
            <w:tcW w:w="4497" w:type="dxa"/>
            <w:shd w:val="clear" w:color="auto" w:fill="8DB3E2" w:themeFill="text2" w:themeFillTint="66"/>
            <w:vAlign w:val="center"/>
          </w:tcPr>
          <w:p w14:paraId="677EFFFF" w14:textId="77777777" w:rsidR="00F36499" w:rsidRPr="00447572" w:rsidRDefault="00F36499" w:rsidP="0058252E">
            <w:pPr>
              <w:rPr>
                <w:rFonts w:eastAsia="Calibri"/>
                <w:b/>
                <w:color w:val="000000" w:themeColor="text1"/>
                <w:szCs w:val="20"/>
              </w:rPr>
            </w:pPr>
            <w:r w:rsidRPr="00447572">
              <w:rPr>
                <w:rFonts w:eastAsia="Calibri"/>
                <w:b/>
                <w:color w:val="000000" w:themeColor="text1"/>
                <w:szCs w:val="20"/>
              </w:rPr>
              <w:t>Description</w:t>
            </w:r>
          </w:p>
        </w:tc>
        <w:tc>
          <w:tcPr>
            <w:tcW w:w="1170" w:type="dxa"/>
            <w:shd w:val="clear" w:color="auto" w:fill="8DB3E2" w:themeFill="text2" w:themeFillTint="66"/>
            <w:vAlign w:val="center"/>
          </w:tcPr>
          <w:p w14:paraId="0E2FC9A8" w14:textId="77777777" w:rsidR="00F36499" w:rsidRPr="00447572" w:rsidRDefault="00F36499" w:rsidP="0058252E">
            <w:pPr>
              <w:jc w:val="center"/>
              <w:rPr>
                <w:rFonts w:eastAsia="Calibri"/>
                <w:b/>
                <w:color w:val="000000" w:themeColor="text1"/>
                <w:szCs w:val="20"/>
              </w:rPr>
            </w:pPr>
            <w:r w:rsidRPr="00447572">
              <w:rPr>
                <w:rFonts w:eastAsia="Calibri"/>
                <w:b/>
                <w:color w:val="000000" w:themeColor="text1"/>
                <w:szCs w:val="20"/>
              </w:rPr>
              <w:t>Number of Units</w:t>
            </w:r>
          </w:p>
        </w:tc>
        <w:tc>
          <w:tcPr>
            <w:tcW w:w="990" w:type="dxa"/>
            <w:shd w:val="clear" w:color="auto" w:fill="8DB3E2" w:themeFill="text2" w:themeFillTint="66"/>
            <w:vAlign w:val="center"/>
          </w:tcPr>
          <w:p w14:paraId="5A57FAB6" w14:textId="77777777" w:rsidR="00F36499" w:rsidRPr="00447572" w:rsidRDefault="00F36499" w:rsidP="0058252E">
            <w:pPr>
              <w:jc w:val="center"/>
              <w:rPr>
                <w:rFonts w:eastAsia="Calibri"/>
                <w:b/>
                <w:color w:val="000000" w:themeColor="text1"/>
                <w:szCs w:val="20"/>
              </w:rPr>
            </w:pPr>
            <w:r w:rsidRPr="00447572">
              <w:rPr>
                <w:rFonts w:eastAsia="Calibri"/>
                <w:b/>
                <w:color w:val="000000" w:themeColor="text1"/>
                <w:szCs w:val="20"/>
              </w:rPr>
              <w:t>Unit of Issue</w:t>
            </w:r>
          </w:p>
        </w:tc>
        <w:tc>
          <w:tcPr>
            <w:tcW w:w="1980" w:type="dxa"/>
            <w:shd w:val="clear" w:color="auto" w:fill="8DB3E2" w:themeFill="text2" w:themeFillTint="66"/>
            <w:vAlign w:val="center"/>
          </w:tcPr>
          <w:p w14:paraId="7C39F94C" w14:textId="7FE8726A" w:rsidR="00F36499" w:rsidRPr="00447572" w:rsidRDefault="00F36499" w:rsidP="0058252E">
            <w:pPr>
              <w:jc w:val="center"/>
              <w:rPr>
                <w:rFonts w:eastAsia="Calibri"/>
                <w:b/>
                <w:color w:val="000000" w:themeColor="text1"/>
                <w:szCs w:val="20"/>
              </w:rPr>
            </w:pPr>
            <w:r w:rsidRPr="00447572">
              <w:rPr>
                <w:rFonts w:eastAsia="Calibri"/>
                <w:b/>
                <w:color w:val="000000" w:themeColor="text1"/>
                <w:szCs w:val="20"/>
              </w:rPr>
              <w:t>Firm Price</w:t>
            </w:r>
          </w:p>
        </w:tc>
      </w:tr>
      <w:tr w:rsidR="00F36499" w:rsidRPr="00B8590B" w14:paraId="0F5F9FD9" w14:textId="77777777" w:rsidTr="008976F1">
        <w:trPr>
          <w:trHeight w:val="422"/>
          <w:jc w:val="center"/>
        </w:trPr>
        <w:tc>
          <w:tcPr>
            <w:tcW w:w="628" w:type="dxa"/>
            <w:shd w:val="clear" w:color="auto" w:fill="auto"/>
            <w:vAlign w:val="center"/>
          </w:tcPr>
          <w:p w14:paraId="2CB4F086" w14:textId="77777777" w:rsidR="00F36499" w:rsidRPr="00B8590B" w:rsidRDefault="00F36499" w:rsidP="005622C6">
            <w:pPr>
              <w:jc w:val="center"/>
              <w:rPr>
                <w:rFonts w:eastAsia="Calibri"/>
                <w:szCs w:val="20"/>
              </w:rPr>
            </w:pPr>
            <w:r w:rsidRPr="00B8590B">
              <w:rPr>
                <w:rFonts w:eastAsia="Calibri"/>
                <w:szCs w:val="20"/>
              </w:rPr>
              <w:t>1</w:t>
            </w:r>
          </w:p>
        </w:tc>
        <w:tc>
          <w:tcPr>
            <w:tcW w:w="4497" w:type="dxa"/>
            <w:shd w:val="clear" w:color="auto" w:fill="auto"/>
            <w:vAlign w:val="center"/>
          </w:tcPr>
          <w:p w14:paraId="16AEDCE2" w14:textId="6A185330" w:rsidR="00F36499" w:rsidRPr="00B8590B" w:rsidRDefault="00FB6F86" w:rsidP="005622C6">
            <w:pPr>
              <w:rPr>
                <w:rFonts w:eastAsia="Calibri"/>
                <w:szCs w:val="20"/>
              </w:rPr>
            </w:pPr>
            <w:r>
              <w:rPr>
                <w:iCs/>
                <w:szCs w:val="20"/>
              </w:rPr>
              <w:t xml:space="preserve">One (1) </w:t>
            </w:r>
            <w:r w:rsidR="00F36499" w:rsidRPr="00443130">
              <w:rPr>
                <w:iCs/>
                <w:szCs w:val="20"/>
              </w:rPr>
              <w:t>Trace Nitrogen /</w:t>
            </w:r>
            <w:r w:rsidR="00F36499">
              <w:rPr>
                <w:iCs/>
                <w:szCs w:val="20"/>
              </w:rPr>
              <w:t xml:space="preserve"> </w:t>
            </w:r>
            <w:r w:rsidR="00F36499" w:rsidRPr="00443130">
              <w:rPr>
                <w:iCs/>
                <w:szCs w:val="20"/>
              </w:rPr>
              <w:t>Sulfur analyzer</w:t>
            </w:r>
            <w:r w:rsidR="00F36499">
              <w:rPr>
                <w:iCs/>
              </w:rPr>
              <w:t xml:space="preserve"> </w:t>
            </w:r>
          </w:p>
        </w:tc>
        <w:tc>
          <w:tcPr>
            <w:tcW w:w="1170" w:type="dxa"/>
            <w:shd w:val="clear" w:color="auto" w:fill="auto"/>
            <w:vAlign w:val="center"/>
          </w:tcPr>
          <w:p w14:paraId="4D5C7DA7" w14:textId="77777777" w:rsidR="00F36499" w:rsidRPr="00B8590B" w:rsidRDefault="00F36499" w:rsidP="005622C6">
            <w:pPr>
              <w:jc w:val="center"/>
              <w:rPr>
                <w:rFonts w:eastAsia="Calibri"/>
                <w:szCs w:val="20"/>
              </w:rPr>
            </w:pPr>
            <w:r w:rsidRPr="00B8590B">
              <w:rPr>
                <w:rFonts w:eastAsia="Calibri"/>
                <w:szCs w:val="20"/>
              </w:rPr>
              <w:t>1</w:t>
            </w:r>
          </w:p>
        </w:tc>
        <w:tc>
          <w:tcPr>
            <w:tcW w:w="990" w:type="dxa"/>
            <w:shd w:val="clear" w:color="auto" w:fill="auto"/>
            <w:vAlign w:val="center"/>
          </w:tcPr>
          <w:p w14:paraId="704D484E" w14:textId="77777777" w:rsidR="00F36499" w:rsidRPr="00B8590B" w:rsidRDefault="00F36499" w:rsidP="005622C6">
            <w:pPr>
              <w:jc w:val="center"/>
              <w:rPr>
                <w:rFonts w:eastAsia="Calibri"/>
                <w:szCs w:val="20"/>
              </w:rPr>
            </w:pPr>
            <w:r w:rsidRPr="00B8590B">
              <w:rPr>
                <w:rFonts w:eastAsia="Calibri"/>
                <w:szCs w:val="20"/>
              </w:rPr>
              <w:t>Each</w:t>
            </w:r>
          </w:p>
        </w:tc>
        <w:tc>
          <w:tcPr>
            <w:tcW w:w="1980" w:type="dxa"/>
            <w:shd w:val="clear" w:color="auto" w:fill="auto"/>
            <w:vAlign w:val="center"/>
          </w:tcPr>
          <w:p w14:paraId="5FDBD3F7" w14:textId="77777777" w:rsidR="00F36499" w:rsidRPr="00B8590B" w:rsidRDefault="00F36499" w:rsidP="005622C6">
            <w:pPr>
              <w:rPr>
                <w:rFonts w:eastAsia="Calibri"/>
                <w:szCs w:val="20"/>
              </w:rPr>
            </w:pPr>
            <w:r w:rsidRPr="00B8590B">
              <w:rPr>
                <w:rFonts w:eastAsia="Calibri"/>
                <w:szCs w:val="20"/>
              </w:rPr>
              <w:t>$</w:t>
            </w:r>
          </w:p>
        </w:tc>
      </w:tr>
      <w:tr w:rsidR="00F36499" w:rsidRPr="00B8590B" w14:paraId="7BF8FB64" w14:textId="77777777" w:rsidTr="008976F1">
        <w:trPr>
          <w:trHeight w:val="440"/>
          <w:jc w:val="center"/>
        </w:trPr>
        <w:tc>
          <w:tcPr>
            <w:tcW w:w="628" w:type="dxa"/>
            <w:shd w:val="clear" w:color="auto" w:fill="auto"/>
            <w:vAlign w:val="center"/>
          </w:tcPr>
          <w:p w14:paraId="6283F7A2" w14:textId="77777777" w:rsidR="00F36499" w:rsidRPr="00B8590B" w:rsidRDefault="00F36499" w:rsidP="005622C6">
            <w:pPr>
              <w:jc w:val="center"/>
              <w:rPr>
                <w:rFonts w:eastAsia="Calibri"/>
                <w:szCs w:val="20"/>
              </w:rPr>
            </w:pPr>
            <w:r w:rsidRPr="00B8590B">
              <w:rPr>
                <w:rFonts w:eastAsia="Calibri"/>
                <w:szCs w:val="20"/>
              </w:rPr>
              <w:t>2</w:t>
            </w:r>
          </w:p>
        </w:tc>
        <w:tc>
          <w:tcPr>
            <w:tcW w:w="4497" w:type="dxa"/>
            <w:shd w:val="clear" w:color="auto" w:fill="auto"/>
            <w:vAlign w:val="center"/>
          </w:tcPr>
          <w:p w14:paraId="0F74EC43" w14:textId="77777777" w:rsidR="00F36499" w:rsidRPr="00B8590B" w:rsidDel="007872D4" w:rsidRDefault="00F36499" w:rsidP="005622C6">
            <w:pPr>
              <w:rPr>
                <w:szCs w:val="20"/>
              </w:rPr>
            </w:pPr>
            <w:r w:rsidRPr="00B8590B">
              <w:rPr>
                <w:szCs w:val="20"/>
              </w:rPr>
              <w:t>Installation</w:t>
            </w:r>
          </w:p>
        </w:tc>
        <w:tc>
          <w:tcPr>
            <w:tcW w:w="1170" w:type="dxa"/>
            <w:shd w:val="clear" w:color="auto" w:fill="auto"/>
            <w:vAlign w:val="center"/>
          </w:tcPr>
          <w:p w14:paraId="13988236" w14:textId="77777777" w:rsidR="00F36499" w:rsidRPr="00B8590B" w:rsidRDefault="00F36499" w:rsidP="005622C6">
            <w:pPr>
              <w:jc w:val="center"/>
              <w:rPr>
                <w:rFonts w:eastAsia="Calibri"/>
                <w:szCs w:val="20"/>
              </w:rPr>
            </w:pPr>
            <w:r w:rsidRPr="00B8590B">
              <w:rPr>
                <w:rFonts w:eastAsia="Calibri"/>
                <w:szCs w:val="20"/>
              </w:rPr>
              <w:t>1</w:t>
            </w:r>
          </w:p>
        </w:tc>
        <w:tc>
          <w:tcPr>
            <w:tcW w:w="990" w:type="dxa"/>
            <w:shd w:val="clear" w:color="auto" w:fill="auto"/>
            <w:vAlign w:val="center"/>
          </w:tcPr>
          <w:p w14:paraId="5CC80A1D" w14:textId="77777777" w:rsidR="00F36499" w:rsidRPr="00B8590B" w:rsidRDefault="00F36499" w:rsidP="005622C6">
            <w:pPr>
              <w:jc w:val="center"/>
              <w:rPr>
                <w:rFonts w:eastAsia="Calibri"/>
                <w:szCs w:val="20"/>
              </w:rPr>
            </w:pPr>
            <w:r w:rsidRPr="00B8590B">
              <w:rPr>
                <w:rFonts w:eastAsia="Calibri"/>
                <w:szCs w:val="20"/>
              </w:rPr>
              <w:t>Each</w:t>
            </w:r>
          </w:p>
        </w:tc>
        <w:tc>
          <w:tcPr>
            <w:tcW w:w="1980" w:type="dxa"/>
            <w:shd w:val="clear" w:color="auto" w:fill="auto"/>
            <w:vAlign w:val="center"/>
          </w:tcPr>
          <w:p w14:paraId="0138D2BB" w14:textId="77777777" w:rsidR="00F36499" w:rsidRPr="00B8590B" w:rsidRDefault="00F36499" w:rsidP="005622C6">
            <w:pPr>
              <w:rPr>
                <w:rFonts w:eastAsia="Calibri"/>
                <w:szCs w:val="20"/>
              </w:rPr>
            </w:pPr>
            <w:r w:rsidRPr="00B8590B">
              <w:rPr>
                <w:rFonts w:eastAsia="Calibri"/>
                <w:szCs w:val="20"/>
              </w:rPr>
              <w:t>$</w:t>
            </w:r>
          </w:p>
        </w:tc>
      </w:tr>
      <w:tr w:rsidR="00F36499" w:rsidRPr="00B8590B" w14:paraId="59482562" w14:textId="77777777" w:rsidTr="008976F1">
        <w:trPr>
          <w:trHeight w:val="440"/>
          <w:jc w:val="center"/>
        </w:trPr>
        <w:tc>
          <w:tcPr>
            <w:tcW w:w="628" w:type="dxa"/>
            <w:shd w:val="clear" w:color="auto" w:fill="auto"/>
            <w:vAlign w:val="center"/>
          </w:tcPr>
          <w:p w14:paraId="19D112A8" w14:textId="77777777" w:rsidR="00F36499" w:rsidRPr="00B8590B" w:rsidRDefault="00F36499" w:rsidP="005622C6">
            <w:pPr>
              <w:jc w:val="center"/>
              <w:rPr>
                <w:rFonts w:eastAsia="Calibri"/>
                <w:szCs w:val="20"/>
              </w:rPr>
            </w:pPr>
            <w:r w:rsidRPr="00B8590B">
              <w:rPr>
                <w:rFonts w:eastAsia="Calibri"/>
                <w:szCs w:val="20"/>
              </w:rPr>
              <w:t>3</w:t>
            </w:r>
          </w:p>
        </w:tc>
        <w:tc>
          <w:tcPr>
            <w:tcW w:w="4497" w:type="dxa"/>
            <w:shd w:val="clear" w:color="auto" w:fill="auto"/>
            <w:vAlign w:val="center"/>
          </w:tcPr>
          <w:p w14:paraId="29175AE9" w14:textId="77777777" w:rsidR="00F36499" w:rsidRPr="00B8590B" w:rsidRDefault="00F36499" w:rsidP="005622C6">
            <w:pPr>
              <w:rPr>
                <w:szCs w:val="20"/>
              </w:rPr>
            </w:pPr>
            <w:r>
              <w:rPr>
                <w:szCs w:val="20"/>
              </w:rPr>
              <w:t xml:space="preserve">Onsite </w:t>
            </w:r>
            <w:r w:rsidRPr="00B8590B">
              <w:rPr>
                <w:szCs w:val="20"/>
              </w:rPr>
              <w:t>Training</w:t>
            </w:r>
          </w:p>
        </w:tc>
        <w:tc>
          <w:tcPr>
            <w:tcW w:w="1170" w:type="dxa"/>
            <w:shd w:val="clear" w:color="auto" w:fill="auto"/>
            <w:vAlign w:val="center"/>
          </w:tcPr>
          <w:p w14:paraId="00076EFF" w14:textId="77777777" w:rsidR="00F36499" w:rsidRPr="00B8590B" w:rsidRDefault="00F36499" w:rsidP="005622C6">
            <w:pPr>
              <w:jc w:val="center"/>
              <w:rPr>
                <w:rFonts w:eastAsia="Calibri"/>
                <w:szCs w:val="20"/>
              </w:rPr>
            </w:pPr>
            <w:r w:rsidRPr="00B8590B">
              <w:rPr>
                <w:rFonts w:eastAsia="Calibri"/>
                <w:szCs w:val="20"/>
              </w:rPr>
              <w:t>1</w:t>
            </w:r>
          </w:p>
        </w:tc>
        <w:tc>
          <w:tcPr>
            <w:tcW w:w="990" w:type="dxa"/>
            <w:shd w:val="clear" w:color="auto" w:fill="auto"/>
            <w:vAlign w:val="center"/>
          </w:tcPr>
          <w:p w14:paraId="3839D1A7" w14:textId="77777777" w:rsidR="00F36499" w:rsidRPr="00B8590B" w:rsidRDefault="00F36499" w:rsidP="005622C6">
            <w:pPr>
              <w:jc w:val="center"/>
              <w:rPr>
                <w:rFonts w:eastAsia="Calibri"/>
                <w:szCs w:val="20"/>
              </w:rPr>
            </w:pPr>
            <w:r w:rsidRPr="00B8590B">
              <w:rPr>
                <w:rFonts w:eastAsia="Calibri"/>
                <w:szCs w:val="20"/>
              </w:rPr>
              <w:t>Each</w:t>
            </w:r>
          </w:p>
        </w:tc>
        <w:tc>
          <w:tcPr>
            <w:tcW w:w="1980" w:type="dxa"/>
            <w:shd w:val="clear" w:color="auto" w:fill="auto"/>
            <w:vAlign w:val="center"/>
          </w:tcPr>
          <w:p w14:paraId="1D2CC32C" w14:textId="77777777" w:rsidR="00F36499" w:rsidRPr="00B8590B" w:rsidRDefault="00F36499" w:rsidP="005622C6">
            <w:pPr>
              <w:rPr>
                <w:rFonts w:eastAsia="Calibri"/>
                <w:szCs w:val="20"/>
              </w:rPr>
            </w:pPr>
            <w:r w:rsidRPr="00B8590B">
              <w:rPr>
                <w:rFonts w:eastAsia="Calibri"/>
                <w:szCs w:val="20"/>
              </w:rPr>
              <w:t>$</w:t>
            </w:r>
          </w:p>
        </w:tc>
      </w:tr>
      <w:tr w:rsidR="00F36499" w:rsidRPr="00B8590B" w14:paraId="3E51BF85" w14:textId="77777777" w:rsidTr="008976F1">
        <w:trPr>
          <w:trHeight w:val="440"/>
          <w:jc w:val="center"/>
        </w:trPr>
        <w:tc>
          <w:tcPr>
            <w:tcW w:w="628" w:type="dxa"/>
            <w:shd w:val="clear" w:color="auto" w:fill="auto"/>
            <w:vAlign w:val="center"/>
          </w:tcPr>
          <w:p w14:paraId="3FCEF57F" w14:textId="77777777" w:rsidR="00F36499" w:rsidRPr="00B8590B" w:rsidRDefault="00F36499" w:rsidP="005622C6">
            <w:pPr>
              <w:jc w:val="center"/>
              <w:rPr>
                <w:rFonts w:eastAsia="Calibri"/>
                <w:szCs w:val="20"/>
              </w:rPr>
            </w:pPr>
            <w:r w:rsidRPr="00B8590B">
              <w:rPr>
                <w:rFonts w:eastAsia="Calibri"/>
                <w:szCs w:val="20"/>
              </w:rPr>
              <w:t>4</w:t>
            </w:r>
          </w:p>
        </w:tc>
        <w:tc>
          <w:tcPr>
            <w:tcW w:w="4497" w:type="dxa"/>
            <w:shd w:val="clear" w:color="auto" w:fill="auto"/>
            <w:vAlign w:val="center"/>
          </w:tcPr>
          <w:p w14:paraId="56D201A9" w14:textId="77777777" w:rsidR="00F36499" w:rsidRDefault="00F36499" w:rsidP="005622C6">
            <w:pPr>
              <w:rPr>
                <w:szCs w:val="20"/>
              </w:rPr>
            </w:pPr>
            <w:r>
              <w:rPr>
                <w:szCs w:val="20"/>
              </w:rPr>
              <w:t>Shipping/Delivery</w:t>
            </w:r>
          </w:p>
          <w:p w14:paraId="5F644FD0" w14:textId="4C50D14F" w:rsidR="008976F1" w:rsidRPr="008976F1" w:rsidRDefault="008976F1" w:rsidP="005622C6">
            <w:pPr>
              <w:rPr>
                <w:color w:val="000000"/>
                <w:sz w:val="16"/>
                <w:szCs w:val="16"/>
                <w:shd w:val="clear" w:color="auto" w:fill="FFFFFF"/>
              </w:rPr>
            </w:pPr>
            <w:r w:rsidRPr="008976F1">
              <w:rPr>
                <w:color w:val="000000"/>
                <w:sz w:val="16"/>
                <w:szCs w:val="16"/>
                <w:shd w:val="clear" w:color="auto" w:fill="FFFFFF"/>
              </w:rPr>
              <w:t>Incoterms 2000 "</w:t>
            </w:r>
            <w:r w:rsidRPr="008976F1">
              <w:rPr>
                <w:sz w:val="16"/>
                <w:szCs w:val="16"/>
              </w:rPr>
              <w:t>DDP</w:t>
            </w:r>
            <w:r w:rsidRPr="008976F1">
              <w:rPr>
                <w:color w:val="000000"/>
                <w:sz w:val="16"/>
                <w:szCs w:val="16"/>
                <w:shd w:val="clear" w:color="auto" w:fill="FFFFFF"/>
              </w:rPr>
              <w:t> Delivered Duty Paid" Devon, Alberta.</w:t>
            </w:r>
          </w:p>
        </w:tc>
        <w:tc>
          <w:tcPr>
            <w:tcW w:w="1170" w:type="dxa"/>
            <w:shd w:val="clear" w:color="auto" w:fill="auto"/>
            <w:vAlign w:val="center"/>
          </w:tcPr>
          <w:p w14:paraId="2656BA6E" w14:textId="77777777" w:rsidR="00F36499" w:rsidRPr="00B8590B" w:rsidRDefault="00F36499" w:rsidP="005622C6">
            <w:pPr>
              <w:jc w:val="center"/>
              <w:rPr>
                <w:rFonts w:eastAsia="Calibri"/>
                <w:szCs w:val="20"/>
              </w:rPr>
            </w:pPr>
            <w:r w:rsidRPr="00B8590B">
              <w:rPr>
                <w:rFonts w:eastAsia="Calibri"/>
                <w:szCs w:val="20"/>
              </w:rPr>
              <w:t>1</w:t>
            </w:r>
          </w:p>
        </w:tc>
        <w:tc>
          <w:tcPr>
            <w:tcW w:w="990" w:type="dxa"/>
            <w:shd w:val="clear" w:color="auto" w:fill="auto"/>
            <w:vAlign w:val="center"/>
          </w:tcPr>
          <w:p w14:paraId="683ACC99" w14:textId="77777777" w:rsidR="00F36499" w:rsidRPr="00B8590B" w:rsidRDefault="00F36499" w:rsidP="005622C6">
            <w:pPr>
              <w:jc w:val="center"/>
              <w:rPr>
                <w:rFonts w:eastAsia="Calibri"/>
                <w:szCs w:val="20"/>
              </w:rPr>
            </w:pPr>
            <w:r w:rsidRPr="00B8590B">
              <w:rPr>
                <w:rFonts w:eastAsia="Calibri"/>
                <w:szCs w:val="20"/>
              </w:rPr>
              <w:t>Each</w:t>
            </w:r>
          </w:p>
        </w:tc>
        <w:tc>
          <w:tcPr>
            <w:tcW w:w="1980" w:type="dxa"/>
            <w:shd w:val="clear" w:color="auto" w:fill="auto"/>
            <w:vAlign w:val="center"/>
          </w:tcPr>
          <w:p w14:paraId="32C80417" w14:textId="77777777" w:rsidR="00F36499" w:rsidRPr="00B8590B" w:rsidRDefault="00F36499" w:rsidP="005622C6">
            <w:pPr>
              <w:rPr>
                <w:rFonts w:eastAsia="Calibri"/>
                <w:szCs w:val="20"/>
              </w:rPr>
            </w:pPr>
            <w:r w:rsidRPr="00B8590B">
              <w:rPr>
                <w:rFonts w:eastAsia="Calibri"/>
                <w:szCs w:val="20"/>
              </w:rPr>
              <w:t>$</w:t>
            </w:r>
          </w:p>
        </w:tc>
      </w:tr>
      <w:tr w:rsidR="00F36499" w:rsidRPr="00B8590B" w14:paraId="2E527053" w14:textId="77777777" w:rsidTr="008976F1">
        <w:trPr>
          <w:trHeight w:val="440"/>
          <w:jc w:val="center"/>
        </w:trPr>
        <w:tc>
          <w:tcPr>
            <w:tcW w:w="7285" w:type="dxa"/>
            <w:gridSpan w:val="4"/>
            <w:shd w:val="clear" w:color="auto" w:fill="auto"/>
            <w:vAlign w:val="center"/>
          </w:tcPr>
          <w:p w14:paraId="36787CB7" w14:textId="738CEA7B" w:rsidR="00F36499" w:rsidRPr="00B8590B" w:rsidRDefault="008976F1" w:rsidP="00F36499">
            <w:pPr>
              <w:jc w:val="right"/>
              <w:rPr>
                <w:rFonts w:eastAsia="Calibri"/>
                <w:szCs w:val="20"/>
              </w:rPr>
            </w:pPr>
            <w:r>
              <w:rPr>
                <w:rFonts w:eastAsia="Calibri"/>
                <w:szCs w:val="20"/>
              </w:rPr>
              <w:t xml:space="preserve">Table 1 </w:t>
            </w:r>
            <w:r w:rsidR="00F36499">
              <w:rPr>
                <w:rFonts w:eastAsia="Calibri"/>
                <w:szCs w:val="20"/>
              </w:rPr>
              <w:t>Total</w:t>
            </w:r>
          </w:p>
        </w:tc>
        <w:tc>
          <w:tcPr>
            <w:tcW w:w="1980" w:type="dxa"/>
            <w:shd w:val="clear" w:color="auto" w:fill="auto"/>
            <w:vAlign w:val="center"/>
          </w:tcPr>
          <w:p w14:paraId="47554C07" w14:textId="46706C50" w:rsidR="00F36499" w:rsidRPr="00B8590B" w:rsidRDefault="00F36499" w:rsidP="005622C6">
            <w:pPr>
              <w:rPr>
                <w:rFonts w:eastAsia="Calibri"/>
                <w:szCs w:val="20"/>
              </w:rPr>
            </w:pPr>
            <w:r>
              <w:rPr>
                <w:rFonts w:eastAsia="Calibri"/>
                <w:szCs w:val="20"/>
              </w:rPr>
              <w:t>$</w:t>
            </w:r>
          </w:p>
        </w:tc>
      </w:tr>
    </w:tbl>
    <w:p w14:paraId="7AE7CE9F" w14:textId="77777777" w:rsidR="00854C60" w:rsidRDefault="00854C60" w:rsidP="00854C60">
      <w:pPr>
        <w:pStyle w:val="DefaultText"/>
        <w:rPr>
          <w:rFonts w:cs="Arial"/>
          <w:lang w:val="en-CA"/>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496"/>
        <w:gridCol w:w="1170"/>
        <w:gridCol w:w="990"/>
        <w:gridCol w:w="1980"/>
      </w:tblGrid>
      <w:tr w:rsidR="008976F1" w:rsidRPr="00447572" w14:paraId="2EFD9B9D" w14:textId="77777777" w:rsidTr="008976F1">
        <w:trPr>
          <w:jc w:val="center"/>
        </w:trPr>
        <w:tc>
          <w:tcPr>
            <w:tcW w:w="9265" w:type="dxa"/>
            <w:gridSpan w:val="5"/>
            <w:shd w:val="clear" w:color="auto" w:fill="8DB3E2" w:themeFill="text2" w:themeFillTint="66"/>
          </w:tcPr>
          <w:p w14:paraId="3DFD06E0" w14:textId="5798B859" w:rsidR="008976F1" w:rsidRPr="00447572" w:rsidRDefault="008976F1" w:rsidP="00965016">
            <w:pPr>
              <w:rPr>
                <w:rFonts w:eastAsia="Calibri"/>
                <w:b/>
                <w:color w:val="000000" w:themeColor="text1"/>
                <w:szCs w:val="20"/>
              </w:rPr>
            </w:pPr>
            <w:r>
              <w:rPr>
                <w:rFonts w:eastAsia="Calibri"/>
                <w:b/>
                <w:color w:val="000000" w:themeColor="text1"/>
                <w:szCs w:val="20"/>
              </w:rPr>
              <w:t>Table 2 – Delivery to Ottawa, Ontario</w:t>
            </w:r>
          </w:p>
        </w:tc>
      </w:tr>
      <w:tr w:rsidR="008F5326" w:rsidRPr="00447572" w14:paraId="6E6ECA0A" w14:textId="77777777" w:rsidTr="0058252E">
        <w:trPr>
          <w:jc w:val="center"/>
        </w:trPr>
        <w:tc>
          <w:tcPr>
            <w:tcW w:w="629" w:type="dxa"/>
            <w:shd w:val="clear" w:color="auto" w:fill="8DB3E2" w:themeFill="text2" w:themeFillTint="66"/>
            <w:vAlign w:val="center"/>
          </w:tcPr>
          <w:p w14:paraId="4A00871B" w14:textId="77777777" w:rsidR="008F5326" w:rsidRPr="00447572" w:rsidRDefault="008F5326" w:rsidP="0058252E">
            <w:pPr>
              <w:jc w:val="center"/>
              <w:rPr>
                <w:rFonts w:eastAsia="Calibri"/>
                <w:b/>
                <w:color w:val="000000" w:themeColor="text1"/>
                <w:szCs w:val="20"/>
              </w:rPr>
            </w:pPr>
            <w:r w:rsidRPr="00447572">
              <w:rPr>
                <w:rFonts w:eastAsia="Calibri"/>
                <w:b/>
                <w:color w:val="000000" w:themeColor="text1"/>
                <w:szCs w:val="20"/>
              </w:rPr>
              <w:t>Item</w:t>
            </w:r>
          </w:p>
        </w:tc>
        <w:tc>
          <w:tcPr>
            <w:tcW w:w="4496" w:type="dxa"/>
            <w:shd w:val="clear" w:color="auto" w:fill="8DB3E2" w:themeFill="text2" w:themeFillTint="66"/>
            <w:vAlign w:val="center"/>
          </w:tcPr>
          <w:p w14:paraId="114C027C" w14:textId="77777777" w:rsidR="008F5326" w:rsidRPr="00447572" w:rsidRDefault="008F5326" w:rsidP="0058252E">
            <w:pPr>
              <w:rPr>
                <w:rFonts w:eastAsia="Calibri"/>
                <w:b/>
                <w:color w:val="000000" w:themeColor="text1"/>
                <w:szCs w:val="20"/>
              </w:rPr>
            </w:pPr>
            <w:r w:rsidRPr="00447572">
              <w:rPr>
                <w:rFonts w:eastAsia="Calibri"/>
                <w:b/>
                <w:color w:val="000000" w:themeColor="text1"/>
                <w:szCs w:val="20"/>
              </w:rPr>
              <w:t>Description</w:t>
            </w:r>
          </w:p>
        </w:tc>
        <w:tc>
          <w:tcPr>
            <w:tcW w:w="1170" w:type="dxa"/>
            <w:shd w:val="clear" w:color="auto" w:fill="8DB3E2" w:themeFill="text2" w:themeFillTint="66"/>
            <w:vAlign w:val="center"/>
          </w:tcPr>
          <w:p w14:paraId="2C080333" w14:textId="77777777" w:rsidR="008F5326" w:rsidRPr="00447572" w:rsidRDefault="008F5326" w:rsidP="0058252E">
            <w:pPr>
              <w:jc w:val="center"/>
              <w:rPr>
                <w:rFonts w:eastAsia="Calibri"/>
                <w:b/>
                <w:color w:val="000000" w:themeColor="text1"/>
                <w:szCs w:val="20"/>
              </w:rPr>
            </w:pPr>
            <w:r w:rsidRPr="00447572">
              <w:rPr>
                <w:rFonts w:eastAsia="Calibri"/>
                <w:b/>
                <w:color w:val="000000" w:themeColor="text1"/>
                <w:szCs w:val="20"/>
              </w:rPr>
              <w:t>Number of Units</w:t>
            </w:r>
          </w:p>
        </w:tc>
        <w:tc>
          <w:tcPr>
            <w:tcW w:w="990" w:type="dxa"/>
            <w:shd w:val="clear" w:color="auto" w:fill="8DB3E2" w:themeFill="text2" w:themeFillTint="66"/>
            <w:vAlign w:val="center"/>
          </w:tcPr>
          <w:p w14:paraId="4A6F7F30" w14:textId="77777777" w:rsidR="008F5326" w:rsidRPr="00447572" w:rsidRDefault="008F5326" w:rsidP="0058252E">
            <w:pPr>
              <w:jc w:val="center"/>
              <w:rPr>
                <w:rFonts w:eastAsia="Calibri"/>
                <w:b/>
                <w:color w:val="000000" w:themeColor="text1"/>
                <w:szCs w:val="20"/>
              </w:rPr>
            </w:pPr>
            <w:r w:rsidRPr="00447572">
              <w:rPr>
                <w:rFonts w:eastAsia="Calibri"/>
                <w:b/>
                <w:color w:val="000000" w:themeColor="text1"/>
                <w:szCs w:val="20"/>
              </w:rPr>
              <w:t>Unit of Issue</w:t>
            </w:r>
          </w:p>
        </w:tc>
        <w:tc>
          <w:tcPr>
            <w:tcW w:w="1980" w:type="dxa"/>
            <w:shd w:val="clear" w:color="auto" w:fill="8DB3E2" w:themeFill="text2" w:themeFillTint="66"/>
            <w:vAlign w:val="center"/>
          </w:tcPr>
          <w:p w14:paraId="326F2F1A" w14:textId="40DD3B96" w:rsidR="008F5326" w:rsidRPr="00447572" w:rsidRDefault="008F5326" w:rsidP="0058252E">
            <w:pPr>
              <w:jc w:val="center"/>
              <w:rPr>
                <w:rFonts w:eastAsia="Calibri"/>
                <w:b/>
                <w:color w:val="000000" w:themeColor="text1"/>
                <w:szCs w:val="20"/>
              </w:rPr>
            </w:pPr>
            <w:r w:rsidRPr="00447572">
              <w:rPr>
                <w:rFonts w:eastAsia="Calibri"/>
                <w:b/>
                <w:color w:val="000000" w:themeColor="text1"/>
                <w:szCs w:val="20"/>
              </w:rPr>
              <w:t>Firm Price</w:t>
            </w:r>
          </w:p>
        </w:tc>
      </w:tr>
      <w:tr w:rsidR="008F5326" w:rsidRPr="00B8590B" w14:paraId="08835063" w14:textId="77777777" w:rsidTr="008976F1">
        <w:trPr>
          <w:trHeight w:val="611"/>
          <w:jc w:val="center"/>
        </w:trPr>
        <w:tc>
          <w:tcPr>
            <w:tcW w:w="629" w:type="dxa"/>
            <w:shd w:val="clear" w:color="auto" w:fill="auto"/>
            <w:vAlign w:val="center"/>
          </w:tcPr>
          <w:p w14:paraId="2B49DA6B" w14:textId="77777777" w:rsidR="008F5326" w:rsidRPr="00B8590B" w:rsidRDefault="008F5326" w:rsidP="00965016">
            <w:pPr>
              <w:jc w:val="center"/>
              <w:rPr>
                <w:rFonts w:eastAsia="Calibri"/>
                <w:szCs w:val="20"/>
              </w:rPr>
            </w:pPr>
            <w:r w:rsidRPr="00B8590B">
              <w:rPr>
                <w:rFonts w:eastAsia="Calibri"/>
                <w:szCs w:val="20"/>
              </w:rPr>
              <w:t>1</w:t>
            </w:r>
          </w:p>
        </w:tc>
        <w:tc>
          <w:tcPr>
            <w:tcW w:w="4496" w:type="dxa"/>
            <w:shd w:val="clear" w:color="auto" w:fill="auto"/>
            <w:vAlign w:val="center"/>
          </w:tcPr>
          <w:p w14:paraId="4B4D0D38" w14:textId="0E2789C7" w:rsidR="008F5326" w:rsidRPr="00B8590B" w:rsidRDefault="00FB6F86" w:rsidP="00965016">
            <w:pPr>
              <w:rPr>
                <w:rFonts w:eastAsia="Calibri"/>
                <w:szCs w:val="20"/>
              </w:rPr>
            </w:pPr>
            <w:r>
              <w:rPr>
                <w:iCs/>
                <w:szCs w:val="20"/>
              </w:rPr>
              <w:t xml:space="preserve">One (1) </w:t>
            </w:r>
            <w:r w:rsidR="008F5326" w:rsidRPr="00443130">
              <w:rPr>
                <w:iCs/>
                <w:szCs w:val="20"/>
              </w:rPr>
              <w:t>Trace Nitrogen /</w:t>
            </w:r>
            <w:r w:rsidR="008F5326">
              <w:rPr>
                <w:iCs/>
                <w:szCs w:val="20"/>
              </w:rPr>
              <w:t xml:space="preserve"> </w:t>
            </w:r>
            <w:r w:rsidR="008F5326" w:rsidRPr="00443130">
              <w:rPr>
                <w:iCs/>
                <w:szCs w:val="20"/>
              </w:rPr>
              <w:t>Sulfur analyzer</w:t>
            </w:r>
            <w:r w:rsidR="008F5326">
              <w:rPr>
                <w:iCs/>
              </w:rPr>
              <w:t xml:space="preserve"> </w:t>
            </w:r>
          </w:p>
        </w:tc>
        <w:tc>
          <w:tcPr>
            <w:tcW w:w="1170" w:type="dxa"/>
            <w:shd w:val="clear" w:color="auto" w:fill="auto"/>
            <w:vAlign w:val="center"/>
          </w:tcPr>
          <w:p w14:paraId="6600E8B8" w14:textId="77777777" w:rsidR="008F5326" w:rsidRPr="00B8590B" w:rsidRDefault="008F5326" w:rsidP="00965016">
            <w:pPr>
              <w:jc w:val="center"/>
              <w:rPr>
                <w:rFonts w:eastAsia="Calibri"/>
                <w:szCs w:val="20"/>
              </w:rPr>
            </w:pPr>
            <w:r w:rsidRPr="00B8590B">
              <w:rPr>
                <w:rFonts w:eastAsia="Calibri"/>
                <w:szCs w:val="20"/>
              </w:rPr>
              <w:t>1</w:t>
            </w:r>
          </w:p>
        </w:tc>
        <w:tc>
          <w:tcPr>
            <w:tcW w:w="990" w:type="dxa"/>
            <w:shd w:val="clear" w:color="auto" w:fill="auto"/>
            <w:vAlign w:val="center"/>
          </w:tcPr>
          <w:p w14:paraId="4BECD0B5" w14:textId="77777777" w:rsidR="008F5326" w:rsidRPr="00B8590B" w:rsidRDefault="008F5326" w:rsidP="00965016">
            <w:pPr>
              <w:jc w:val="center"/>
              <w:rPr>
                <w:rFonts w:eastAsia="Calibri"/>
                <w:szCs w:val="20"/>
              </w:rPr>
            </w:pPr>
            <w:r w:rsidRPr="00B8590B">
              <w:rPr>
                <w:rFonts w:eastAsia="Calibri"/>
                <w:szCs w:val="20"/>
              </w:rPr>
              <w:t>Each</w:t>
            </w:r>
          </w:p>
        </w:tc>
        <w:tc>
          <w:tcPr>
            <w:tcW w:w="1980" w:type="dxa"/>
            <w:shd w:val="clear" w:color="auto" w:fill="auto"/>
            <w:vAlign w:val="center"/>
          </w:tcPr>
          <w:p w14:paraId="570F7EE1" w14:textId="77777777" w:rsidR="008F5326" w:rsidRPr="00B8590B" w:rsidRDefault="008F5326" w:rsidP="00965016">
            <w:pPr>
              <w:rPr>
                <w:rFonts w:eastAsia="Calibri"/>
                <w:szCs w:val="20"/>
              </w:rPr>
            </w:pPr>
            <w:r w:rsidRPr="00B8590B">
              <w:rPr>
                <w:rFonts w:eastAsia="Calibri"/>
                <w:szCs w:val="20"/>
              </w:rPr>
              <w:t>$</w:t>
            </w:r>
          </w:p>
        </w:tc>
      </w:tr>
      <w:tr w:rsidR="008F5326" w:rsidRPr="00B8590B" w14:paraId="7FEDA6BD" w14:textId="77777777" w:rsidTr="008976F1">
        <w:trPr>
          <w:trHeight w:val="440"/>
          <w:jc w:val="center"/>
        </w:trPr>
        <w:tc>
          <w:tcPr>
            <w:tcW w:w="629" w:type="dxa"/>
            <w:shd w:val="clear" w:color="auto" w:fill="auto"/>
            <w:vAlign w:val="center"/>
          </w:tcPr>
          <w:p w14:paraId="30AFA6DB" w14:textId="77777777" w:rsidR="008F5326" w:rsidRPr="00B8590B" w:rsidRDefault="008F5326" w:rsidP="00965016">
            <w:pPr>
              <w:jc w:val="center"/>
              <w:rPr>
                <w:rFonts w:eastAsia="Calibri"/>
                <w:szCs w:val="20"/>
              </w:rPr>
            </w:pPr>
            <w:r w:rsidRPr="00B8590B">
              <w:rPr>
                <w:rFonts w:eastAsia="Calibri"/>
                <w:szCs w:val="20"/>
              </w:rPr>
              <w:t>2</w:t>
            </w:r>
          </w:p>
        </w:tc>
        <w:tc>
          <w:tcPr>
            <w:tcW w:w="4496" w:type="dxa"/>
            <w:shd w:val="clear" w:color="auto" w:fill="auto"/>
            <w:vAlign w:val="center"/>
          </w:tcPr>
          <w:p w14:paraId="5DA0DE92" w14:textId="77777777" w:rsidR="008F5326" w:rsidRPr="00B8590B" w:rsidDel="007872D4" w:rsidRDefault="008F5326" w:rsidP="00965016">
            <w:pPr>
              <w:rPr>
                <w:szCs w:val="20"/>
              </w:rPr>
            </w:pPr>
            <w:r w:rsidRPr="00B8590B">
              <w:rPr>
                <w:szCs w:val="20"/>
              </w:rPr>
              <w:t>Installation</w:t>
            </w:r>
          </w:p>
        </w:tc>
        <w:tc>
          <w:tcPr>
            <w:tcW w:w="1170" w:type="dxa"/>
            <w:shd w:val="clear" w:color="auto" w:fill="auto"/>
            <w:vAlign w:val="center"/>
          </w:tcPr>
          <w:p w14:paraId="7F877E06" w14:textId="77777777" w:rsidR="008F5326" w:rsidRPr="00B8590B" w:rsidRDefault="008F5326" w:rsidP="00965016">
            <w:pPr>
              <w:jc w:val="center"/>
              <w:rPr>
                <w:rFonts w:eastAsia="Calibri"/>
                <w:szCs w:val="20"/>
              </w:rPr>
            </w:pPr>
            <w:r w:rsidRPr="00B8590B">
              <w:rPr>
                <w:rFonts w:eastAsia="Calibri"/>
                <w:szCs w:val="20"/>
              </w:rPr>
              <w:t>1</w:t>
            </w:r>
          </w:p>
        </w:tc>
        <w:tc>
          <w:tcPr>
            <w:tcW w:w="990" w:type="dxa"/>
            <w:shd w:val="clear" w:color="auto" w:fill="auto"/>
            <w:vAlign w:val="center"/>
          </w:tcPr>
          <w:p w14:paraId="0BFA971B" w14:textId="77777777" w:rsidR="008F5326" w:rsidRPr="00B8590B" w:rsidRDefault="008F5326" w:rsidP="00965016">
            <w:pPr>
              <w:jc w:val="center"/>
              <w:rPr>
                <w:rFonts w:eastAsia="Calibri"/>
                <w:szCs w:val="20"/>
              </w:rPr>
            </w:pPr>
            <w:r w:rsidRPr="00B8590B">
              <w:rPr>
                <w:rFonts w:eastAsia="Calibri"/>
                <w:szCs w:val="20"/>
              </w:rPr>
              <w:t>Each</w:t>
            </w:r>
          </w:p>
        </w:tc>
        <w:tc>
          <w:tcPr>
            <w:tcW w:w="1980" w:type="dxa"/>
            <w:shd w:val="clear" w:color="auto" w:fill="auto"/>
            <w:vAlign w:val="center"/>
          </w:tcPr>
          <w:p w14:paraId="2783A214" w14:textId="77777777" w:rsidR="008F5326" w:rsidRPr="00B8590B" w:rsidRDefault="008F5326" w:rsidP="00965016">
            <w:pPr>
              <w:rPr>
                <w:rFonts w:eastAsia="Calibri"/>
                <w:szCs w:val="20"/>
              </w:rPr>
            </w:pPr>
            <w:r w:rsidRPr="00B8590B">
              <w:rPr>
                <w:rFonts w:eastAsia="Calibri"/>
                <w:szCs w:val="20"/>
              </w:rPr>
              <w:t>$</w:t>
            </w:r>
          </w:p>
        </w:tc>
      </w:tr>
      <w:tr w:rsidR="008F5326" w:rsidRPr="00B8590B" w14:paraId="0ED773C5" w14:textId="77777777" w:rsidTr="008976F1">
        <w:trPr>
          <w:trHeight w:val="440"/>
          <w:jc w:val="center"/>
        </w:trPr>
        <w:tc>
          <w:tcPr>
            <w:tcW w:w="629" w:type="dxa"/>
            <w:shd w:val="clear" w:color="auto" w:fill="auto"/>
            <w:vAlign w:val="center"/>
          </w:tcPr>
          <w:p w14:paraId="5B2299D1" w14:textId="77777777" w:rsidR="008F5326" w:rsidRPr="00B8590B" w:rsidRDefault="008F5326" w:rsidP="00965016">
            <w:pPr>
              <w:jc w:val="center"/>
              <w:rPr>
                <w:rFonts w:eastAsia="Calibri"/>
                <w:szCs w:val="20"/>
              </w:rPr>
            </w:pPr>
            <w:r w:rsidRPr="00B8590B">
              <w:rPr>
                <w:rFonts w:eastAsia="Calibri"/>
                <w:szCs w:val="20"/>
              </w:rPr>
              <w:t>3</w:t>
            </w:r>
          </w:p>
        </w:tc>
        <w:tc>
          <w:tcPr>
            <w:tcW w:w="4496" w:type="dxa"/>
            <w:shd w:val="clear" w:color="auto" w:fill="auto"/>
            <w:vAlign w:val="center"/>
          </w:tcPr>
          <w:p w14:paraId="5973DC30" w14:textId="77777777" w:rsidR="008F5326" w:rsidRPr="00B8590B" w:rsidRDefault="008F5326" w:rsidP="00965016">
            <w:pPr>
              <w:rPr>
                <w:szCs w:val="20"/>
              </w:rPr>
            </w:pPr>
            <w:r>
              <w:rPr>
                <w:szCs w:val="20"/>
              </w:rPr>
              <w:t xml:space="preserve">Onsite </w:t>
            </w:r>
            <w:r w:rsidRPr="00B8590B">
              <w:rPr>
                <w:szCs w:val="20"/>
              </w:rPr>
              <w:t>Training</w:t>
            </w:r>
          </w:p>
        </w:tc>
        <w:tc>
          <w:tcPr>
            <w:tcW w:w="1170" w:type="dxa"/>
            <w:shd w:val="clear" w:color="auto" w:fill="auto"/>
            <w:vAlign w:val="center"/>
          </w:tcPr>
          <w:p w14:paraId="4CD3018B" w14:textId="77777777" w:rsidR="008F5326" w:rsidRPr="00B8590B" w:rsidRDefault="008F5326" w:rsidP="00965016">
            <w:pPr>
              <w:jc w:val="center"/>
              <w:rPr>
                <w:rFonts w:eastAsia="Calibri"/>
                <w:szCs w:val="20"/>
              </w:rPr>
            </w:pPr>
            <w:r w:rsidRPr="00B8590B">
              <w:rPr>
                <w:rFonts w:eastAsia="Calibri"/>
                <w:szCs w:val="20"/>
              </w:rPr>
              <w:t>1</w:t>
            </w:r>
          </w:p>
        </w:tc>
        <w:tc>
          <w:tcPr>
            <w:tcW w:w="990" w:type="dxa"/>
            <w:shd w:val="clear" w:color="auto" w:fill="auto"/>
            <w:vAlign w:val="center"/>
          </w:tcPr>
          <w:p w14:paraId="55EEFEBF" w14:textId="77777777" w:rsidR="008F5326" w:rsidRPr="00B8590B" w:rsidRDefault="008F5326" w:rsidP="00965016">
            <w:pPr>
              <w:jc w:val="center"/>
              <w:rPr>
                <w:rFonts w:eastAsia="Calibri"/>
                <w:szCs w:val="20"/>
              </w:rPr>
            </w:pPr>
            <w:r w:rsidRPr="00B8590B">
              <w:rPr>
                <w:rFonts w:eastAsia="Calibri"/>
                <w:szCs w:val="20"/>
              </w:rPr>
              <w:t>Each</w:t>
            </w:r>
          </w:p>
        </w:tc>
        <w:tc>
          <w:tcPr>
            <w:tcW w:w="1980" w:type="dxa"/>
            <w:shd w:val="clear" w:color="auto" w:fill="auto"/>
            <w:vAlign w:val="center"/>
          </w:tcPr>
          <w:p w14:paraId="4CAFC9A4" w14:textId="77777777" w:rsidR="008F5326" w:rsidRPr="00B8590B" w:rsidRDefault="008F5326" w:rsidP="00965016">
            <w:pPr>
              <w:rPr>
                <w:rFonts w:eastAsia="Calibri"/>
                <w:szCs w:val="20"/>
              </w:rPr>
            </w:pPr>
            <w:r w:rsidRPr="00B8590B">
              <w:rPr>
                <w:rFonts w:eastAsia="Calibri"/>
                <w:szCs w:val="20"/>
              </w:rPr>
              <w:t>$</w:t>
            </w:r>
          </w:p>
        </w:tc>
      </w:tr>
      <w:tr w:rsidR="008F5326" w:rsidRPr="00B8590B" w14:paraId="0C32B77F" w14:textId="77777777" w:rsidTr="008976F1">
        <w:trPr>
          <w:trHeight w:val="332"/>
          <w:jc w:val="center"/>
        </w:trPr>
        <w:tc>
          <w:tcPr>
            <w:tcW w:w="629" w:type="dxa"/>
            <w:shd w:val="clear" w:color="auto" w:fill="auto"/>
            <w:vAlign w:val="center"/>
          </w:tcPr>
          <w:p w14:paraId="7A810236" w14:textId="77777777" w:rsidR="008F5326" w:rsidRPr="00B8590B" w:rsidRDefault="008F5326" w:rsidP="00965016">
            <w:pPr>
              <w:jc w:val="center"/>
              <w:rPr>
                <w:rFonts w:eastAsia="Calibri"/>
                <w:szCs w:val="20"/>
              </w:rPr>
            </w:pPr>
            <w:r w:rsidRPr="00B8590B">
              <w:rPr>
                <w:rFonts w:eastAsia="Calibri"/>
                <w:szCs w:val="20"/>
              </w:rPr>
              <w:t>4</w:t>
            </w:r>
          </w:p>
        </w:tc>
        <w:tc>
          <w:tcPr>
            <w:tcW w:w="4496" w:type="dxa"/>
            <w:shd w:val="clear" w:color="auto" w:fill="auto"/>
            <w:vAlign w:val="center"/>
          </w:tcPr>
          <w:p w14:paraId="667E3201" w14:textId="77777777" w:rsidR="008F5326" w:rsidRDefault="008F5326" w:rsidP="00965016">
            <w:pPr>
              <w:rPr>
                <w:szCs w:val="20"/>
              </w:rPr>
            </w:pPr>
            <w:r>
              <w:rPr>
                <w:szCs w:val="20"/>
              </w:rPr>
              <w:t>Shipping/Delivery</w:t>
            </w:r>
          </w:p>
          <w:p w14:paraId="423ED3EB" w14:textId="574A3A7A" w:rsidR="008976F1" w:rsidRPr="008976F1" w:rsidRDefault="008976F1" w:rsidP="00965016">
            <w:pPr>
              <w:rPr>
                <w:color w:val="000000"/>
                <w:sz w:val="16"/>
                <w:szCs w:val="16"/>
              </w:rPr>
            </w:pPr>
            <w:r w:rsidRPr="008976F1">
              <w:rPr>
                <w:color w:val="000000"/>
                <w:sz w:val="16"/>
                <w:szCs w:val="16"/>
                <w:shd w:val="clear" w:color="auto" w:fill="FFFFFF"/>
              </w:rPr>
              <w:t>Incoterms 2000 "</w:t>
            </w:r>
            <w:r w:rsidRPr="008976F1">
              <w:rPr>
                <w:sz w:val="16"/>
                <w:szCs w:val="16"/>
              </w:rPr>
              <w:t>DDP</w:t>
            </w:r>
            <w:r w:rsidRPr="008976F1">
              <w:rPr>
                <w:color w:val="000000"/>
                <w:sz w:val="16"/>
                <w:szCs w:val="16"/>
                <w:shd w:val="clear" w:color="auto" w:fill="FFFFFF"/>
              </w:rPr>
              <w:t> Delivered Duty Paid" Ottawa, Ontario</w:t>
            </w:r>
          </w:p>
        </w:tc>
        <w:tc>
          <w:tcPr>
            <w:tcW w:w="1170" w:type="dxa"/>
            <w:shd w:val="clear" w:color="auto" w:fill="auto"/>
            <w:vAlign w:val="center"/>
          </w:tcPr>
          <w:p w14:paraId="7F54B369" w14:textId="77777777" w:rsidR="008F5326" w:rsidRPr="00B8590B" w:rsidRDefault="008F5326" w:rsidP="00965016">
            <w:pPr>
              <w:jc w:val="center"/>
              <w:rPr>
                <w:rFonts w:eastAsia="Calibri"/>
                <w:szCs w:val="20"/>
              </w:rPr>
            </w:pPr>
            <w:r w:rsidRPr="00B8590B">
              <w:rPr>
                <w:rFonts w:eastAsia="Calibri"/>
                <w:szCs w:val="20"/>
              </w:rPr>
              <w:t>1</w:t>
            </w:r>
          </w:p>
        </w:tc>
        <w:tc>
          <w:tcPr>
            <w:tcW w:w="990" w:type="dxa"/>
            <w:shd w:val="clear" w:color="auto" w:fill="auto"/>
            <w:vAlign w:val="center"/>
          </w:tcPr>
          <w:p w14:paraId="6F73C990" w14:textId="77777777" w:rsidR="008F5326" w:rsidRPr="00B8590B" w:rsidRDefault="008F5326" w:rsidP="00965016">
            <w:pPr>
              <w:jc w:val="center"/>
              <w:rPr>
                <w:rFonts w:eastAsia="Calibri"/>
                <w:szCs w:val="20"/>
              </w:rPr>
            </w:pPr>
            <w:r w:rsidRPr="00B8590B">
              <w:rPr>
                <w:rFonts w:eastAsia="Calibri"/>
                <w:szCs w:val="20"/>
              </w:rPr>
              <w:t>Each</w:t>
            </w:r>
          </w:p>
        </w:tc>
        <w:tc>
          <w:tcPr>
            <w:tcW w:w="1980" w:type="dxa"/>
            <w:shd w:val="clear" w:color="auto" w:fill="auto"/>
            <w:vAlign w:val="center"/>
          </w:tcPr>
          <w:p w14:paraId="4808946B" w14:textId="77777777" w:rsidR="008F5326" w:rsidRPr="00B8590B" w:rsidRDefault="008F5326" w:rsidP="00965016">
            <w:pPr>
              <w:rPr>
                <w:rFonts w:eastAsia="Calibri"/>
                <w:szCs w:val="20"/>
              </w:rPr>
            </w:pPr>
            <w:r w:rsidRPr="00B8590B">
              <w:rPr>
                <w:rFonts w:eastAsia="Calibri"/>
                <w:szCs w:val="20"/>
              </w:rPr>
              <w:t>$</w:t>
            </w:r>
          </w:p>
        </w:tc>
      </w:tr>
      <w:tr w:rsidR="008F5326" w:rsidRPr="00B8590B" w14:paraId="7830DA92" w14:textId="77777777" w:rsidTr="008976F1">
        <w:trPr>
          <w:trHeight w:val="476"/>
          <w:jc w:val="center"/>
        </w:trPr>
        <w:tc>
          <w:tcPr>
            <w:tcW w:w="7285" w:type="dxa"/>
            <w:gridSpan w:val="4"/>
            <w:shd w:val="clear" w:color="auto" w:fill="auto"/>
            <w:vAlign w:val="center"/>
          </w:tcPr>
          <w:p w14:paraId="10B648D3" w14:textId="154601BB" w:rsidR="008F5326" w:rsidRPr="00B8590B" w:rsidRDefault="008976F1" w:rsidP="00965016">
            <w:pPr>
              <w:jc w:val="right"/>
              <w:rPr>
                <w:rFonts w:eastAsia="Calibri"/>
                <w:szCs w:val="20"/>
              </w:rPr>
            </w:pPr>
            <w:r>
              <w:rPr>
                <w:rFonts w:eastAsia="Calibri"/>
                <w:szCs w:val="20"/>
              </w:rPr>
              <w:t xml:space="preserve">Table 2 </w:t>
            </w:r>
            <w:r w:rsidR="008F5326">
              <w:rPr>
                <w:rFonts w:eastAsia="Calibri"/>
                <w:szCs w:val="20"/>
              </w:rPr>
              <w:t>Total</w:t>
            </w:r>
          </w:p>
        </w:tc>
        <w:tc>
          <w:tcPr>
            <w:tcW w:w="1980" w:type="dxa"/>
            <w:shd w:val="clear" w:color="auto" w:fill="auto"/>
            <w:vAlign w:val="center"/>
          </w:tcPr>
          <w:p w14:paraId="3C147748" w14:textId="77777777" w:rsidR="008F5326" w:rsidRPr="00B8590B" w:rsidRDefault="008F5326" w:rsidP="00965016">
            <w:pPr>
              <w:rPr>
                <w:rFonts w:eastAsia="Calibri"/>
                <w:szCs w:val="20"/>
              </w:rPr>
            </w:pPr>
            <w:r>
              <w:rPr>
                <w:rFonts w:eastAsia="Calibri"/>
                <w:szCs w:val="20"/>
              </w:rPr>
              <w:t>$</w:t>
            </w:r>
          </w:p>
        </w:tc>
      </w:tr>
    </w:tbl>
    <w:p w14:paraId="41CAB39F" w14:textId="1B7524AD" w:rsidR="00CD4753" w:rsidRDefault="00CD4753" w:rsidP="008976F1">
      <w:pPr>
        <w:pStyle w:val="DefaultText"/>
        <w:rPr>
          <w:rFonts w:cs="Arial"/>
          <w:lang w:val="en-CA"/>
        </w:rPr>
      </w:pPr>
    </w:p>
    <w:p w14:paraId="780CC2C8" w14:textId="31173DC9" w:rsidR="008976F1" w:rsidRDefault="008976F1" w:rsidP="008976F1">
      <w:pPr>
        <w:pStyle w:val="DefaultText"/>
        <w:rPr>
          <w:rFonts w:cs="Arial"/>
          <w:lang w:val="en-CA"/>
        </w:rPr>
      </w:pPr>
      <w:r>
        <w:rPr>
          <w:rFonts w:cs="Arial"/>
          <w:lang w:val="en-CA"/>
        </w:rPr>
        <w:t xml:space="preserve">Total Evaluated Price = Table 1 Total + Table 2 Total </w:t>
      </w:r>
    </w:p>
    <w:p w14:paraId="0E18E6AB" w14:textId="77777777" w:rsidR="008976F1" w:rsidRDefault="008976F1">
      <w:pPr>
        <w:rPr>
          <w:b/>
          <w:bCs/>
          <w:kern w:val="36"/>
          <w:szCs w:val="20"/>
          <w:lang w:val="en-CA" w:eastAsia="en-CA"/>
        </w:rPr>
      </w:pPr>
      <w:r>
        <w:br w:type="page"/>
      </w:r>
    </w:p>
    <w:p w14:paraId="53BED776" w14:textId="26221CF4" w:rsidR="004337E5" w:rsidRDefault="004337E5" w:rsidP="004337E5">
      <w:pPr>
        <w:pStyle w:val="TemplateHeading1"/>
      </w:pPr>
      <w:bookmarkStart w:id="31" w:name="_Toc121911046"/>
      <w:bookmarkStart w:id="32" w:name="_Hlk121910121"/>
      <w:r w:rsidRPr="00657D9F">
        <w:lastRenderedPageBreak/>
        <w:t>ANNEX “</w:t>
      </w:r>
      <w:r>
        <w:t>D</w:t>
      </w:r>
      <w:r w:rsidRPr="00854C60">
        <w:t>”</w:t>
      </w:r>
      <w:bookmarkEnd w:id="31"/>
      <w:r>
        <w:t xml:space="preserve"> </w:t>
      </w:r>
    </w:p>
    <w:p w14:paraId="3B09136C" w14:textId="4FBD7C49" w:rsidR="004337E5" w:rsidRDefault="004337E5" w:rsidP="004337E5">
      <w:pPr>
        <w:pStyle w:val="TemplateHeading2"/>
      </w:pPr>
      <w:bookmarkStart w:id="33" w:name="_Toc121911047"/>
      <w:r w:rsidRPr="004337E5">
        <w:t>M</w:t>
      </w:r>
      <w:r>
        <w:t>ANDATORY TECHNICAL EVALUATION CRITERIA</w:t>
      </w:r>
      <w:bookmarkEnd w:id="33"/>
    </w:p>
    <w:bookmarkEnd w:id="32"/>
    <w:p w14:paraId="7D698276" w14:textId="77777777" w:rsidR="004337E5" w:rsidRDefault="004337E5" w:rsidP="00615556">
      <w:pPr>
        <w:pStyle w:val="BodyText"/>
        <w:tabs>
          <w:tab w:val="left" w:pos="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 w:val="left" w:pos="11055"/>
          <w:tab w:val="left" w:pos="11792"/>
        </w:tabs>
      </w:pPr>
    </w:p>
    <w:p w14:paraId="2CEAE5BC" w14:textId="4D996413" w:rsidR="00615556" w:rsidRPr="00411E77" w:rsidRDefault="00615556" w:rsidP="00615556">
      <w:pPr>
        <w:pStyle w:val="BodyText"/>
        <w:tabs>
          <w:tab w:val="left" w:pos="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 w:val="left" w:pos="11055"/>
          <w:tab w:val="left" w:pos="11792"/>
        </w:tabs>
        <w:rPr>
          <w:rFonts w:ascii="Arial" w:hAnsi="Arial" w:cs="Arial"/>
          <w:b/>
          <w:bCs/>
          <w:sz w:val="20"/>
        </w:rPr>
      </w:pPr>
      <w:r w:rsidRPr="00411E77">
        <w:rPr>
          <w:rFonts w:ascii="Arial" w:hAnsi="Arial" w:cs="Arial"/>
          <w:b/>
          <w:bCs/>
          <w:sz w:val="20"/>
        </w:rPr>
        <w:t>COMPLIANCE MATRIX – MINIMUM MANDATORY PERFORMANCE SPECIFICATIONS</w:t>
      </w:r>
    </w:p>
    <w:p w14:paraId="4A7C22FB" w14:textId="77777777" w:rsidR="00615556" w:rsidRPr="00411E77" w:rsidRDefault="00615556" w:rsidP="00615556">
      <w:pPr>
        <w:pStyle w:val="BodyText"/>
        <w:tabs>
          <w:tab w:val="left" w:pos="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 w:val="left" w:pos="11055"/>
          <w:tab w:val="left" w:pos="11792"/>
        </w:tabs>
        <w:rPr>
          <w:rFonts w:ascii="Arial" w:hAnsi="Arial" w:cs="Arial"/>
          <w:b/>
          <w:bCs/>
          <w:sz w:val="20"/>
        </w:rPr>
      </w:pPr>
    </w:p>
    <w:p w14:paraId="1756E52E" w14:textId="77777777" w:rsidR="00615556" w:rsidRPr="00411E77" w:rsidRDefault="00615556" w:rsidP="00615556">
      <w:pPr>
        <w:tabs>
          <w:tab w:val="left" w:pos="10903"/>
        </w:tabs>
        <w:rPr>
          <w:b/>
          <w:szCs w:val="20"/>
          <w:lang w:val="en-CA"/>
        </w:rPr>
      </w:pPr>
      <w:r w:rsidRPr="00411E77">
        <w:rPr>
          <w:b/>
          <w:szCs w:val="20"/>
        </w:rPr>
        <w:t>Instructions to Bidders</w:t>
      </w:r>
    </w:p>
    <w:p w14:paraId="7BA2E20F" w14:textId="77777777" w:rsidR="00615556" w:rsidRPr="00411E77" w:rsidRDefault="00615556" w:rsidP="00615556">
      <w:pPr>
        <w:tabs>
          <w:tab w:val="left" w:pos="10903"/>
        </w:tabs>
        <w:rPr>
          <w:szCs w:val="20"/>
        </w:rPr>
      </w:pPr>
    </w:p>
    <w:p w14:paraId="32C75D2D" w14:textId="77777777" w:rsidR="00615556" w:rsidRPr="00615556" w:rsidRDefault="00615556" w:rsidP="00B20D60">
      <w:pPr>
        <w:numPr>
          <w:ilvl w:val="0"/>
          <w:numId w:val="17"/>
        </w:numPr>
        <w:tabs>
          <w:tab w:val="left" w:pos="10903"/>
        </w:tabs>
        <w:rPr>
          <w:szCs w:val="20"/>
          <w:lang w:val="en"/>
        </w:rPr>
      </w:pPr>
      <w:r w:rsidRPr="00615556">
        <w:rPr>
          <w:szCs w:val="20"/>
        </w:rPr>
        <w:t>A complete list of the mandatory evaluation criteria are detailed in the Compliance Matrix below.</w:t>
      </w:r>
    </w:p>
    <w:p w14:paraId="254E476A" w14:textId="77777777" w:rsidR="00615556" w:rsidRPr="00615556" w:rsidRDefault="00615556" w:rsidP="00615556">
      <w:pPr>
        <w:tabs>
          <w:tab w:val="left" w:pos="10903"/>
        </w:tabs>
        <w:ind w:left="720"/>
        <w:rPr>
          <w:szCs w:val="20"/>
          <w:lang w:val="en"/>
        </w:rPr>
      </w:pPr>
    </w:p>
    <w:p w14:paraId="47166C99" w14:textId="77777777" w:rsidR="00615556" w:rsidRPr="00615556" w:rsidRDefault="00615556" w:rsidP="00B20D60">
      <w:pPr>
        <w:numPr>
          <w:ilvl w:val="0"/>
          <w:numId w:val="17"/>
        </w:numPr>
        <w:tabs>
          <w:tab w:val="left" w:pos="10903"/>
        </w:tabs>
        <w:rPr>
          <w:szCs w:val="20"/>
          <w:lang w:val="en"/>
        </w:rPr>
      </w:pPr>
      <w:r w:rsidRPr="00615556">
        <w:rPr>
          <w:szCs w:val="20"/>
          <w:lang w:val="en"/>
        </w:rPr>
        <w:t xml:space="preserve">Bids which fail to meet all of the mandatory evaluation criteria will be declared non-responsive. </w:t>
      </w:r>
    </w:p>
    <w:p w14:paraId="4251012C" w14:textId="77777777" w:rsidR="00615556" w:rsidRPr="00615556" w:rsidRDefault="00615556" w:rsidP="00615556">
      <w:pPr>
        <w:tabs>
          <w:tab w:val="left" w:pos="10903"/>
        </w:tabs>
        <w:ind w:left="720"/>
        <w:rPr>
          <w:szCs w:val="20"/>
          <w:lang w:val="en"/>
        </w:rPr>
      </w:pPr>
    </w:p>
    <w:p w14:paraId="38A6DBC9" w14:textId="77777777" w:rsidR="00615556" w:rsidRPr="00615556" w:rsidRDefault="00615556" w:rsidP="00B20D60">
      <w:pPr>
        <w:numPr>
          <w:ilvl w:val="0"/>
          <w:numId w:val="17"/>
        </w:numPr>
        <w:tabs>
          <w:tab w:val="left" w:pos="10903"/>
        </w:tabs>
        <w:rPr>
          <w:szCs w:val="20"/>
          <w:lang w:val="en"/>
        </w:rPr>
      </w:pPr>
      <w:r w:rsidRPr="00615556">
        <w:rPr>
          <w:szCs w:val="20"/>
        </w:rPr>
        <w:t xml:space="preserve">Bidders should demonstrate their understanding of the requirements contained in the bid solicitation and explain how they meet each mandatory evaluation criteria. Bidder should demonstrate their capability in a thorough, concise and clear manner. </w:t>
      </w:r>
    </w:p>
    <w:p w14:paraId="744A8FF3" w14:textId="77777777" w:rsidR="00615556" w:rsidRPr="00615556" w:rsidRDefault="00615556" w:rsidP="00615556">
      <w:pPr>
        <w:tabs>
          <w:tab w:val="left" w:pos="10903"/>
        </w:tabs>
        <w:ind w:left="720"/>
        <w:rPr>
          <w:szCs w:val="20"/>
          <w:lang w:val="en"/>
        </w:rPr>
      </w:pPr>
    </w:p>
    <w:p w14:paraId="6B8146A0" w14:textId="77777777" w:rsidR="00615556" w:rsidRPr="00615556" w:rsidRDefault="00615556" w:rsidP="00B20D60">
      <w:pPr>
        <w:numPr>
          <w:ilvl w:val="0"/>
          <w:numId w:val="17"/>
        </w:numPr>
        <w:tabs>
          <w:tab w:val="left" w:pos="10903"/>
        </w:tabs>
        <w:rPr>
          <w:szCs w:val="20"/>
          <w:lang w:val="en"/>
        </w:rPr>
      </w:pPr>
      <w:r w:rsidRPr="00615556">
        <w:rPr>
          <w:szCs w:val="20"/>
        </w:rPr>
        <w:t xml:space="preserve">The technical bid should address clearly and in sufficient depth the points that are subject to the evaluation criteria against which the bid will be evaluated. Simply repeating the statement contained in the bid solicitation or stating, without any substantiating information, that a bidder is compliant will not be sufficient. </w:t>
      </w:r>
    </w:p>
    <w:p w14:paraId="597F50F3" w14:textId="77777777" w:rsidR="00615556" w:rsidRPr="00615556" w:rsidRDefault="00615556" w:rsidP="00615556">
      <w:pPr>
        <w:pStyle w:val="ListParagraph"/>
        <w:rPr>
          <w:rFonts w:ascii="Arial" w:hAnsi="Arial" w:cs="Arial"/>
          <w:sz w:val="20"/>
          <w:szCs w:val="20"/>
          <w:lang w:val="en"/>
        </w:rPr>
      </w:pPr>
    </w:p>
    <w:p w14:paraId="0451589E" w14:textId="77777777" w:rsidR="00615556" w:rsidRPr="00615556" w:rsidRDefault="00615556" w:rsidP="00B20D60">
      <w:pPr>
        <w:pStyle w:val="ListParagraph"/>
        <w:numPr>
          <w:ilvl w:val="0"/>
          <w:numId w:val="17"/>
        </w:numPr>
        <w:tabs>
          <w:tab w:val="left" w:pos="10903"/>
        </w:tabs>
        <w:spacing w:after="0" w:line="240" w:lineRule="auto"/>
        <w:contextualSpacing w:val="0"/>
        <w:rPr>
          <w:rFonts w:ascii="Arial" w:hAnsi="Arial" w:cs="Arial"/>
          <w:sz w:val="20"/>
          <w:szCs w:val="20"/>
          <w:lang w:val="en"/>
        </w:rPr>
      </w:pPr>
      <w:r w:rsidRPr="00615556">
        <w:rPr>
          <w:rFonts w:ascii="Arial" w:hAnsi="Arial" w:cs="Arial"/>
          <w:sz w:val="20"/>
          <w:szCs w:val="20"/>
          <w:lang w:val="en"/>
        </w:rPr>
        <w:t xml:space="preserve">Substantiating information may include, but is not limited to, specification sheets, technical brochures, photographs or illustrations. If published supporting technical documentation is not available, the Bidder should prepare a written narrative complete with a detailed explanation of how its bid demonstrates technical compliance. All substantiating information should be provided with the bid at solicitation closing date. It is the Bidders responsibility to ensure that the submitted supporting technical documentation provides detail to demonstrate that the proposed product(s) meet the requirements of the evaluation criteria. </w:t>
      </w:r>
    </w:p>
    <w:p w14:paraId="3FC14CD0" w14:textId="77777777" w:rsidR="00615556" w:rsidRPr="00615556" w:rsidRDefault="00615556" w:rsidP="00615556">
      <w:pPr>
        <w:ind w:left="360"/>
        <w:rPr>
          <w:szCs w:val="20"/>
          <w:lang w:val="en"/>
        </w:rPr>
      </w:pPr>
    </w:p>
    <w:p w14:paraId="75AC8FDE" w14:textId="77777777" w:rsidR="00615556" w:rsidRPr="00615556" w:rsidRDefault="00615556" w:rsidP="00B20D60">
      <w:pPr>
        <w:numPr>
          <w:ilvl w:val="0"/>
          <w:numId w:val="17"/>
        </w:numPr>
        <w:rPr>
          <w:bCs/>
          <w:szCs w:val="20"/>
        </w:rPr>
      </w:pPr>
      <w:r w:rsidRPr="00615556">
        <w:rPr>
          <w:bCs/>
          <w:szCs w:val="20"/>
        </w:rPr>
        <w:t>If the supporting documentation referenced above has not been provided at bid closing, the Contracting Authority will notify the Bidder that they must provide supporting documentation within two (2) business days following notification. Failure to comply with the request of the Contracting Authority within that time period, will deem the bid non-responsive and the bid will be given no further consideration.</w:t>
      </w:r>
    </w:p>
    <w:p w14:paraId="78181C59" w14:textId="77777777" w:rsidR="00615556" w:rsidRPr="00615556" w:rsidRDefault="00615556" w:rsidP="00615556">
      <w:pPr>
        <w:pStyle w:val="ListParagraph"/>
        <w:rPr>
          <w:rFonts w:ascii="Arial" w:hAnsi="Arial" w:cs="Arial"/>
          <w:sz w:val="20"/>
          <w:szCs w:val="20"/>
        </w:rPr>
      </w:pPr>
    </w:p>
    <w:p w14:paraId="50048754" w14:textId="77777777" w:rsidR="00615556" w:rsidRPr="00615556" w:rsidRDefault="00615556" w:rsidP="00B20D60">
      <w:pPr>
        <w:pStyle w:val="ListParagraph"/>
        <w:numPr>
          <w:ilvl w:val="0"/>
          <w:numId w:val="17"/>
        </w:numPr>
        <w:spacing w:after="0" w:line="240" w:lineRule="auto"/>
        <w:contextualSpacing w:val="0"/>
        <w:rPr>
          <w:rFonts w:ascii="Arial" w:hAnsi="Arial" w:cs="Arial"/>
          <w:sz w:val="20"/>
          <w:szCs w:val="20"/>
        </w:rPr>
      </w:pPr>
      <w:r w:rsidRPr="00615556">
        <w:rPr>
          <w:rFonts w:ascii="Arial" w:hAnsi="Arial" w:cs="Arial"/>
          <w:sz w:val="20"/>
          <w:szCs w:val="20"/>
        </w:rPr>
        <w:t xml:space="preserve">In order to facilitate the evaluation of the bid, Canada requests that bidders address and present the topics in the order of the evaluation criteria, and include a grid in their proposal, containing the information which demonstrates how the bidder meets each evaluation criteria. Alternatively, and to avoid any duplication, bidders may also refer to the different sections of their bids by identifying the specific paragraph and page number where the subject topic has already been addressed. </w:t>
      </w:r>
    </w:p>
    <w:p w14:paraId="58C88B3D" w14:textId="77777777" w:rsidR="00615556" w:rsidRPr="00615556" w:rsidRDefault="00615556" w:rsidP="00615556">
      <w:pPr>
        <w:ind w:left="360"/>
        <w:rPr>
          <w:color w:val="000000"/>
          <w:szCs w:val="20"/>
          <w:lang w:val="en" w:eastAsia="en-CA"/>
        </w:rPr>
      </w:pPr>
    </w:p>
    <w:p w14:paraId="20928851" w14:textId="77777777" w:rsidR="00615556" w:rsidRPr="00615556" w:rsidRDefault="00615556" w:rsidP="00B20D60">
      <w:pPr>
        <w:numPr>
          <w:ilvl w:val="0"/>
          <w:numId w:val="16"/>
        </w:numPr>
        <w:rPr>
          <w:bCs/>
          <w:szCs w:val="20"/>
        </w:rPr>
      </w:pPr>
      <w:r w:rsidRPr="00615556">
        <w:rPr>
          <w:bCs/>
          <w:szCs w:val="20"/>
        </w:rPr>
        <w:t>Bidders must address any concerns with the performance specifications in written detail to the Contracting Authority before bid closing as outlined in the Request for Proposal (RFP) document.</w:t>
      </w:r>
    </w:p>
    <w:p w14:paraId="02D47DCD" w14:textId="106AE1F4" w:rsidR="00B130AC" w:rsidRDefault="00B130AC" w:rsidP="0034339D">
      <w:pPr>
        <w:pStyle w:val="DefaultText"/>
        <w:rPr>
          <w:rFonts w:cs="Arial"/>
        </w:rPr>
      </w:pPr>
    </w:p>
    <w:p w14:paraId="6F6AFDD1" w14:textId="76983342" w:rsidR="00F36499" w:rsidRDefault="00F36499">
      <w:pPr>
        <w:rPr>
          <w:szCs w:val="20"/>
        </w:rPr>
      </w:pPr>
      <w:r>
        <w:br w:type="page"/>
      </w:r>
    </w:p>
    <w:p w14:paraId="4A1320B4" w14:textId="77777777" w:rsidR="00F36499" w:rsidRPr="00411E77" w:rsidRDefault="00F36499" w:rsidP="00F36499">
      <w:pPr>
        <w:pStyle w:val="DefaultText14"/>
        <w:rPr>
          <w:rFonts w:ascii="Arial" w:hAnsi="Arial" w:cs="Arial"/>
          <w:b/>
          <w:bCs/>
          <w:sz w:val="20"/>
          <w:szCs w:val="20"/>
        </w:rPr>
      </w:pPr>
      <w:r w:rsidRPr="00411E77">
        <w:rPr>
          <w:rFonts w:ascii="Arial" w:hAnsi="Arial" w:cs="Arial"/>
          <w:b/>
          <w:bCs/>
          <w:sz w:val="20"/>
          <w:szCs w:val="20"/>
        </w:rPr>
        <w:lastRenderedPageBreak/>
        <w:t>COMPLIANCE MATRIX – MINIMUM MANDATORY PERFORMANCE SPECIFICATIONS:</w:t>
      </w:r>
    </w:p>
    <w:p w14:paraId="5ADA74CD" w14:textId="77777777" w:rsidR="00F36499" w:rsidRPr="00411E77" w:rsidRDefault="00F36499" w:rsidP="00F36499">
      <w:pPr>
        <w:pStyle w:val="DefaultText14"/>
        <w:rPr>
          <w:rFonts w:ascii="Arial" w:hAnsi="Arial" w:cs="Arial"/>
          <w:b/>
          <w:bCs/>
          <w:sz w:val="20"/>
          <w:szCs w:val="20"/>
        </w:rPr>
      </w:pPr>
    </w:p>
    <w:tbl>
      <w:tblPr>
        <w:tblStyle w:val="TableGrid"/>
        <w:tblW w:w="11057" w:type="dxa"/>
        <w:jc w:val="center"/>
        <w:tblLook w:val="04A0" w:firstRow="1" w:lastRow="0" w:firstColumn="1" w:lastColumn="0" w:noHBand="0" w:noVBand="1"/>
      </w:tblPr>
      <w:tblGrid>
        <w:gridCol w:w="3685"/>
        <w:gridCol w:w="3686"/>
        <w:gridCol w:w="3686"/>
      </w:tblGrid>
      <w:tr w:rsidR="00F36499" w:rsidRPr="00411E77" w14:paraId="491AC99D" w14:textId="77777777" w:rsidTr="005622C6">
        <w:trPr>
          <w:trHeight w:val="380"/>
          <w:jc w:val="center"/>
        </w:trPr>
        <w:tc>
          <w:tcPr>
            <w:tcW w:w="3685" w:type="dxa"/>
            <w:vAlign w:val="center"/>
          </w:tcPr>
          <w:p w14:paraId="09BFCD65" w14:textId="77777777" w:rsidR="00F36499" w:rsidRPr="00411E77" w:rsidRDefault="00F36499" w:rsidP="005622C6">
            <w:pPr>
              <w:pStyle w:val="DefaultText14"/>
              <w:jc w:val="center"/>
              <w:rPr>
                <w:rFonts w:ascii="Arial" w:hAnsi="Arial" w:cs="Arial"/>
                <w:b/>
                <w:bCs/>
                <w:sz w:val="20"/>
                <w:szCs w:val="20"/>
              </w:rPr>
            </w:pPr>
            <w:r w:rsidRPr="00411E77">
              <w:rPr>
                <w:rFonts w:ascii="Arial" w:hAnsi="Arial" w:cs="Arial"/>
                <w:b/>
                <w:bCs/>
                <w:sz w:val="20"/>
                <w:szCs w:val="20"/>
              </w:rPr>
              <w:t>Requirement:</w:t>
            </w:r>
          </w:p>
        </w:tc>
        <w:tc>
          <w:tcPr>
            <w:tcW w:w="3686" w:type="dxa"/>
            <w:vAlign w:val="center"/>
          </w:tcPr>
          <w:p w14:paraId="1E3744E8" w14:textId="77777777" w:rsidR="00F36499" w:rsidRPr="00411E77" w:rsidRDefault="00F36499" w:rsidP="005622C6">
            <w:pPr>
              <w:pStyle w:val="DefaultText14"/>
              <w:jc w:val="center"/>
              <w:rPr>
                <w:rFonts w:ascii="Arial" w:hAnsi="Arial" w:cs="Arial"/>
                <w:b/>
                <w:bCs/>
                <w:sz w:val="20"/>
                <w:szCs w:val="20"/>
              </w:rPr>
            </w:pPr>
            <w:r w:rsidRPr="00411E77">
              <w:rPr>
                <w:rFonts w:ascii="Arial" w:hAnsi="Arial" w:cs="Arial"/>
                <w:b/>
                <w:bCs/>
                <w:sz w:val="20"/>
                <w:szCs w:val="20"/>
              </w:rPr>
              <w:t>Manufacturer</w:t>
            </w:r>
            <w:r>
              <w:rPr>
                <w:rFonts w:ascii="Arial" w:hAnsi="Arial" w:cs="Arial"/>
                <w:b/>
                <w:bCs/>
                <w:sz w:val="20"/>
                <w:szCs w:val="20"/>
              </w:rPr>
              <w:t>(s)</w:t>
            </w:r>
            <w:r w:rsidRPr="00411E77">
              <w:rPr>
                <w:rFonts w:ascii="Arial" w:hAnsi="Arial" w:cs="Arial"/>
                <w:b/>
                <w:bCs/>
                <w:sz w:val="20"/>
                <w:szCs w:val="20"/>
              </w:rPr>
              <w:t xml:space="preserve"> Offered:</w:t>
            </w:r>
          </w:p>
        </w:tc>
        <w:tc>
          <w:tcPr>
            <w:tcW w:w="3686" w:type="dxa"/>
            <w:vAlign w:val="center"/>
          </w:tcPr>
          <w:p w14:paraId="495B2803" w14:textId="77777777" w:rsidR="00F36499" w:rsidRPr="00411E77" w:rsidRDefault="00F36499" w:rsidP="005622C6">
            <w:pPr>
              <w:pStyle w:val="DefaultText14"/>
              <w:jc w:val="center"/>
              <w:rPr>
                <w:rFonts w:ascii="Arial" w:hAnsi="Arial" w:cs="Arial"/>
                <w:b/>
                <w:bCs/>
                <w:sz w:val="20"/>
                <w:szCs w:val="20"/>
              </w:rPr>
            </w:pPr>
            <w:r>
              <w:rPr>
                <w:rFonts w:ascii="Arial" w:hAnsi="Arial" w:cs="Arial"/>
                <w:b/>
                <w:bCs/>
                <w:sz w:val="20"/>
                <w:szCs w:val="20"/>
              </w:rPr>
              <w:t>Model N</w:t>
            </w:r>
            <w:r w:rsidRPr="00411E77">
              <w:rPr>
                <w:rFonts w:ascii="Arial" w:hAnsi="Arial" w:cs="Arial"/>
                <w:b/>
                <w:bCs/>
                <w:sz w:val="20"/>
                <w:szCs w:val="20"/>
              </w:rPr>
              <w:t>umber</w:t>
            </w:r>
            <w:r>
              <w:rPr>
                <w:rFonts w:ascii="Arial" w:hAnsi="Arial" w:cs="Arial"/>
                <w:b/>
                <w:bCs/>
                <w:sz w:val="20"/>
                <w:szCs w:val="20"/>
              </w:rPr>
              <w:t>(s) Offered</w:t>
            </w:r>
            <w:r w:rsidRPr="00411E77">
              <w:rPr>
                <w:rFonts w:ascii="Arial" w:hAnsi="Arial" w:cs="Arial"/>
                <w:b/>
                <w:bCs/>
                <w:sz w:val="20"/>
                <w:szCs w:val="20"/>
              </w:rPr>
              <w:t>:</w:t>
            </w:r>
          </w:p>
        </w:tc>
      </w:tr>
      <w:tr w:rsidR="00F36499" w:rsidRPr="00411E77" w14:paraId="16C8DE4A" w14:textId="77777777" w:rsidTr="00457149">
        <w:trPr>
          <w:trHeight w:val="1034"/>
          <w:jc w:val="center"/>
        </w:trPr>
        <w:tc>
          <w:tcPr>
            <w:tcW w:w="3685" w:type="dxa"/>
            <w:vAlign w:val="center"/>
          </w:tcPr>
          <w:p w14:paraId="23B573AA" w14:textId="3FA37C26" w:rsidR="00F36499" w:rsidRPr="00411E77" w:rsidRDefault="00F36499" w:rsidP="005622C6">
            <w:pPr>
              <w:pStyle w:val="DefaultText14"/>
              <w:rPr>
                <w:rFonts w:ascii="Arial" w:hAnsi="Arial" w:cs="Arial"/>
                <w:bCs/>
                <w:sz w:val="20"/>
                <w:szCs w:val="20"/>
              </w:rPr>
            </w:pPr>
            <w:r w:rsidRPr="00EC1AD4">
              <w:rPr>
                <w:rFonts w:ascii="Arial" w:hAnsi="Arial" w:cs="Arial"/>
                <w:bCs/>
                <w:iCs/>
                <w:sz w:val="20"/>
                <w:szCs w:val="20"/>
                <w:lang w:val="en-US"/>
              </w:rPr>
              <w:t>Trace Nitrogen /</w:t>
            </w:r>
            <w:r>
              <w:rPr>
                <w:rFonts w:ascii="Arial" w:hAnsi="Arial" w:cs="Arial"/>
                <w:bCs/>
                <w:iCs/>
                <w:sz w:val="20"/>
                <w:szCs w:val="20"/>
                <w:lang w:val="en-US"/>
              </w:rPr>
              <w:t xml:space="preserve"> </w:t>
            </w:r>
            <w:r w:rsidRPr="00EC1AD4">
              <w:rPr>
                <w:rFonts w:ascii="Arial" w:hAnsi="Arial" w:cs="Arial"/>
                <w:bCs/>
                <w:iCs/>
                <w:sz w:val="20"/>
                <w:szCs w:val="20"/>
                <w:lang w:val="en-US"/>
              </w:rPr>
              <w:t>Sulfur analyzer</w:t>
            </w:r>
            <w:r w:rsidR="00FB6F86">
              <w:rPr>
                <w:rFonts w:ascii="Arial" w:hAnsi="Arial" w:cs="Arial"/>
                <w:bCs/>
                <w:iCs/>
                <w:sz w:val="20"/>
                <w:szCs w:val="20"/>
                <w:lang w:val="en-US"/>
              </w:rPr>
              <w:t>s</w:t>
            </w:r>
          </w:p>
        </w:tc>
        <w:tc>
          <w:tcPr>
            <w:tcW w:w="3686" w:type="dxa"/>
            <w:vAlign w:val="center"/>
          </w:tcPr>
          <w:p w14:paraId="0322FC41" w14:textId="77777777" w:rsidR="00F36499" w:rsidRPr="00411E77" w:rsidRDefault="00F36499" w:rsidP="005622C6">
            <w:pPr>
              <w:pStyle w:val="DefaultText14"/>
              <w:rPr>
                <w:rFonts w:ascii="Arial" w:hAnsi="Arial" w:cs="Arial"/>
                <w:b/>
                <w:bCs/>
                <w:sz w:val="20"/>
                <w:szCs w:val="20"/>
              </w:rPr>
            </w:pPr>
          </w:p>
        </w:tc>
        <w:tc>
          <w:tcPr>
            <w:tcW w:w="3686" w:type="dxa"/>
            <w:vAlign w:val="center"/>
          </w:tcPr>
          <w:p w14:paraId="703405A1" w14:textId="77777777" w:rsidR="00F36499" w:rsidRPr="00411E77" w:rsidRDefault="00F36499" w:rsidP="005622C6">
            <w:pPr>
              <w:pStyle w:val="DefaultText14"/>
              <w:ind w:right="2444"/>
              <w:rPr>
                <w:rFonts w:ascii="Arial" w:hAnsi="Arial" w:cs="Arial"/>
                <w:b/>
                <w:bCs/>
                <w:sz w:val="20"/>
                <w:szCs w:val="20"/>
              </w:rPr>
            </w:pPr>
          </w:p>
        </w:tc>
      </w:tr>
    </w:tbl>
    <w:p w14:paraId="33047D8C" w14:textId="77777777" w:rsidR="00F36499" w:rsidRPr="00411E77" w:rsidRDefault="00F36499" w:rsidP="00F36499">
      <w:pPr>
        <w:pStyle w:val="DefaultText14"/>
        <w:ind w:left="-709"/>
        <w:rPr>
          <w:rFonts w:ascii="Arial" w:hAnsi="Arial" w:cs="Arial"/>
          <w:b/>
          <w:bCs/>
          <w:sz w:val="20"/>
          <w:szCs w:val="20"/>
          <w:highlight w:val="yellow"/>
        </w:rPr>
      </w:pPr>
    </w:p>
    <w:tbl>
      <w:tblPr>
        <w:tblStyle w:val="TableGrid"/>
        <w:tblW w:w="10973" w:type="dxa"/>
        <w:jc w:val="center"/>
        <w:tblLayout w:type="fixed"/>
        <w:tblLook w:val="04A0" w:firstRow="1" w:lastRow="0" w:firstColumn="1" w:lastColumn="0" w:noHBand="0" w:noVBand="1"/>
      </w:tblPr>
      <w:tblGrid>
        <w:gridCol w:w="844"/>
        <w:gridCol w:w="3111"/>
        <w:gridCol w:w="1530"/>
        <w:gridCol w:w="2700"/>
        <w:gridCol w:w="2788"/>
      </w:tblGrid>
      <w:tr w:rsidR="00F36499" w:rsidRPr="00411E77" w14:paraId="7FFD8CD7" w14:textId="77777777" w:rsidTr="0058252E">
        <w:trPr>
          <w:trHeight w:val="1097"/>
          <w:jc w:val="center"/>
        </w:trPr>
        <w:tc>
          <w:tcPr>
            <w:tcW w:w="844" w:type="dxa"/>
            <w:vAlign w:val="center"/>
          </w:tcPr>
          <w:p w14:paraId="4E513455" w14:textId="77777777" w:rsidR="00F36499" w:rsidRPr="00411E77" w:rsidRDefault="00F36499" w:rsidP="005622C6">
            <w:pPr>
              <w:pStyle w:val="DefaultText14"/>
              <w:jc w:val="center"/>
              <w:rPr>
                <w:rFonts w:ascii="Arial" w:hAnsi="Arial" w:cs="Arial"/>
                <w:b/>
                <w:sz w:val="20"/>
                <w:szCs w:val="20"/>
              </w:rPr>
            </w:pPr>
            <w:r w:rsidRPr="00411E77">
              <w:rPr>
                <w:rFonts w:ascii="Arial" w:hAnsi="Arial" w:cs="Arial"/>
                <w:b/>
                <w:sz w:val="20"/>
                <w:szCs w:val="20"/>
              </w:rPr>
              <w:t>Item #</w:t>
            </w:r>
          </w:p>
        </w:tc>
        <w:tc>
          <w:tcPr>
            <w:tcW w:w="3111" w:type="dxa"/>
            <w:vAlign w:val="center"/>
          </w:tcPr>
          <w:p w14:paraId="1C517DDE" w14:textId="77777777" w:rsidR="00F36499" w:rsidRPr="00411E77" w:rsidRDefault="00F36499" w:rsidP="005622C6">
            <w:pPr>
              <w:pStyle w:val="DefaultText14"/>
              <w:jc w:val="center"/>
              <w:rPr>
                <w:rFonts w:ascii="Arial" w:hAnsi="Arial" w:cs="Arial"/>
                <w:b/>
                <w:sz w:val="20"/>
                <w:szCs w:val="20"/>
              </w:rPr>
            </w:pPr>
            <w:r w:rsidRPr="00411E77">
              <w:rPr>
                <w:rFonts w:ascii="Arial" w:hAnsi="Arial" w:cs="Arial"/>
                <w:b/>
                <w:sz w:val="20"/>
                <w:szCs w:val="20"/>
              </w:rPr>
              <w:t>Performance Specification</w:t>
            </w:r>
          </w:p>
        </w:tc>
        <w:tc>
          <w:tcPr>
            <w:tcW w:w="1530" w:type="dxa"/>
            <w:vAlign w:val="center"/>
          </w:tcPr>
          <w:p w14:paraId="7D567115" w14:textId="77777777" w:rsidR="00F36499" w:rsidRPr="00411E77" w:rsidRDefault="00F36499" w:rsidP="005622C6">
            <w:pPr>
              <w:pStyle w:val="DefaultText14"/>
              <w:rPr>
                <w:rFonts w:ascii="Arial" w:hAnsi="Arial" w:cs="Arial"/>
                <w:b/>
                <w:sz w:val="20"/>
                <w:szCs w:val="20"/>
              </w:rPr>
            </w:pPr>
            <w:r w:rsidRPr="00411E77">
              <w:rPr>
                <w:rFonts w:ascii="Arial" w:hAnsi="Arial" w:cs="Arial"/>
                <w:b/>
                <w:sz w:val="20"/>
                <w:szCs w:val="20"/>
              </w:rPr>
              <w:t xml:space="preserve">Status </w:t>
            </w:r>
          </w:p>
          <w:p w14:paraId="783D1EBF" w14:textId="77777777" w:rsidR="00F36499" w:rsidRPr="00411E77" w:rsidRDefault="00F36499" w:rsidP="005622C6">
            <w:pPr>
              <w:pStyle w:val="DefaultText14"/>
              <w:rPr>
                <w:rFonts w:ascii="Arial" w:hAnsi="Arial" w:cs="Arial"/>
                <w:sz w:val="20"/>
                <w:szCs w:val="20"/>
              </w:rPr>
            </w:pPr>
            <w:r w:rsidRPr="00411E77">
              <w:rPr>
                <w:rFonts w:ascii="Arial" w:hAnsi="Arial" w:cs="Arial"/>
                <w:sz w:val="20"/>
                <w:szCs w:val="20"/>
              </w:rPr>
              <w:t>(M) Mandatory</w:t>
            </w:r>
          </w:p>
          <w:p w14:paraId="5BD189C9" w14:textId="77777777" w:rsidR="00F36499" w:rsidRPr="00411E77" w:rsidRDefault="00F36499" w:rsidP="005622C6">
            <w:pPr>
              <w:pStyle w:val="DefaultText14"/>
              <w:rPr>
                <w:rFonts w:ascii="Arial" w:hAnsi="Arial" w:cs="Arial"/>
                <w:sz w:val="20"/>
                <w:szCs w:val="20"/>
              </w:rPr>
            </w:pPr>
            <w:r w:rsidRPr="00411E77">
              <w:rPr>
                <w:rFonts w:ascii="Arial" w:eastAsia="Calibri" w:hAnsi="Arial" w:cs="Arial"/>
                <w:sz w:val="20"/>
                <w:szCs w:val="20"/>
                <w:lang w:eastAsia="en-US"/>
              </w:rPr>
              <w:t>(D) Desirable*</w:t>
            </w:r>
            <w:r w:rsidRPr="00411E77">
              <w:rPr>
                <w:rFonts w:ascii="Arial" w:hAnsi="Arial" w:cs="Arial"/>
                <w:sz w:val="20"/>
                <w:szCs w:val="20"/>
              </w:rPr>
              <w:t xml:space="preserve"> </w:t>
            </w:r>
          </w:p>
        </w:tc>
        <w:tc>
          <w:tcPr>
            <w:tcW w:w="2700" w:type="dxa"/>
            <w:vAlign w:val="center"/>
          </w:tcPr>
          <w:p w14:paraId="109FBC5D" w14:textId="77777777" w:rsidR="00F36499" w:rsidRPr="00411E77" w:rsidRDefault="00F36499" w:rsidP="005622C6">
            <w:pPr>
              <w:pStyle w:val="DefaultText14"/>
              <w:rPr>
                <w:rFonts w:ascii="Arial" w:hAnsi="Arial" w:cs="Arial"/>
                <w:sz w:val="20"/>
                <w:szCs w:val="20"/>
              </w:rPr>
            </w:pPr>
            <w:r w:rsidRPr="00411E77">
              <w:rPr>
                <w:rFonts w:ascii="Arial" w:hAnsi="Arial" w:cs="Arial"/>
                <w:b/>
                <w:sz w:val="20"/>
                <w:szCs w:val="20"/>
              </w:rPr>
              <w:t xml:space="preserve">Performance Specification Offered: </w:t>
            </w:r>
            <w:r w:rsidRPr="00411E77">
              <w:rPr>
                <w:rFonts w:ascii="Arial" w:hAnsi="Arial" w:cs="Arial"/>
                <w:sz w:val="20"/>
                <w:szCs w:val="20"/>
              </w:rPr>
              <w:t xml:space="preserve">Bidder </w:t>
            </w:r>
            <w:r w:rsidRPr="00411E77">
              <w:rPr>
                <w:rFonts w:ascii="Arial" w:hAnsi="Arial" w:cs="Arial"/>
                <w:sz w:val="20"/>
                <w:szCs w:val="20"/>
                <w:u w:val="single"/>
              </w:rPr>
              <w:t xml:space="preserve">should </w:t>
            </w:r>
            <w:r w:rsidRPr="00411E77">
              <w:rPr>
                <w:rFonts w:ascii="Arial" w:hAnsi="Arial" w:cs="Arial"/>
                <w:sz w:val="20"/>
                <w:szCs w:val="20"/>
              </w:rPr>
              <w:t>indicate how they meet the performance specification by recording this information in this column</w:t>
            </w:r>
          </w:p>
        </w:tc>
        <w:tc>
          <w:tcPr>
            <w:tcW w:w="2788" w:type="dxa"/>
            <w:vAlign w:val="center"/>
          </w:tcPr>
          <w:p w14:paraId="5B09F52E" w14:textId="77777777" w:rsidR="00F36499" w:rsidRPr="00411E77" w:rsidRDefault="00F36499" w:rsidP="005622C6">
            <w:pPr>
              <w:pStyle w:val="DefaultText14"/>
              <w:rPr>
                <w:rFonts w:ascii="Arial" w:hAnsi="Arial" w:cs="Arial"/>
                <w:sz w:val="20"/>
                <w:szCs w:val="20"/>
              </w:rPr>
            </w:pPr>
            <w:r w:rsidRPr="00411E77">
              <w:rPr>
                <w:rFonts w:ascii="Arial" w:hAnsi="Arial" w:cs="Arial"/>
                <w:b/>
                <w:sz w:val="20"/>
                <w:szCs w:val="20"/>
              </w:rPr>
              <w:t>Cross Reference:</w:t>
            </w:r>
            <w:r w:rsidRPr="00411E77">
              <w:rPr>
                <w:rFonts w:ascii="Arial" w:hAnsi="Arial" w:cs="Arial"/>
                <w:sz w:val="20"/>
                <w:szCs w:val="20"/>
              </w:rPr>
              <w:t xml:space="preserve"> </w:t>
            </w:r>
          </w:p>
          <w:p w14:paraId="280FC4CC" w14:textId="77777777" w:rsidR="00F36499" w:rsidRPr="00411E77" w:rsidRDefault="00F36499" w:rsidP="005622C6">
            <w:pPr>
              <w:pStyle w:val="DefaultText14"/>
              <w:rPr>
                <w:rFonts w:ascii="Arial" w:hAnsi="Arial" w:cs="Arial"/>
                <w:sz w:val="20"/>
                <w:szCs w:val="20"/>
              </w:rPr>
            </w:pPr>
            <w:r w:rsidRPr="00411E77">
              <w:rPr>
                <w:rFonts w:ascii="Arial" w:hAnsi="Arial" w:cs="Arial"/>
                <w:sz w:val="20"/>
                <w:szCs w:val="20"/>
              </w:rPr>
              <w:t xml:space="preserve">In this column, Bidders </w:t>
            </w:r>
            <w:r w:rsidRPr="00411E77">
              <w:rPr>
                <w:rFonts w:ascii="Arial" w:hAnsi="Arial" w:cs="Arial"/>
                <w:sz w:val="20"/>
                <w:szCs w:val="20"/>
                <w:u w:val="single"/>
              </w:rPr>
              <w:t>should</w:t>
            </w:r>
            <w:r w:rsidRPr="00411E77">
              <w:rPr>
                <w:rFonts w:ascii="Arial" w:hAnsi="Arial" w:cs="Arial"/>
                <w:sz w:val="20"/>
                <w:szCs w:val="20"/>
              </w:rPr>
              <w:t xml:space="preserve"> cross-reference where this performance specification is indicated</w:t>
            </w:r>
            <w:r>
              <w:rPr>
                <w:rFonts w:ascii="Arial" w:hAnsi="Arial" w:cs="Arial"/>
                <w:sz w:val="20"/>
                <w:szCs w:val="20"/>
              </w:rPr>
              <w:t xml:space="preserve"> in their supporting documents</w:t>
            </w:r>
          </w:p>
        </w:tc>
      </w:tr>
      <w:tr w:rsidR="00F36499" w:rsidRPr="00411E77" w14:paraId="6C8EEFCE" w14:textId="77777777" w:rsidTr="0058252E">
        <w:trPr>
          <w:trHeight w:val="1160"/>
          <w:jc w:val="center"/>
        </w:trPr>
        <w:tc>
          <w:tcPr>
            <w:tcW w:w="844" w:type="dxa"/>
            <w:vAlign w:val="center"/>
          </w:tcPr>
          <w:p w14:paraId="74A9B6BE" w14:textId="0F8AEE43" w:rsidR="00F36499" w:rsidRPr="00411E77" w:rsidRDefault="00FB6F86" w:rsidP="005622C6">
            <w:pPr>
              <w:pStyle w:val="DefaultText14"/>
              <w:jc w:val="center"/>
              <w:rPr>
                <w:rFonts w:ascii="Arial" w:hAnsi="Arial" w:cs="Arial"/>
                <w:sz w:val="20"/>
                <w:szCs w:val="20"/>
              </w:rPr>
            </w:pPr>
            <w:r>
              <w:rPr>
                <w:rFonts w:ascii="Arial" w:hAnsi="Arial" w:cs="Arial"/>
                <w:sz w:val="20"/>
                <w:szCs w:val="20"/>
              </w:rPr>
              <w:t>1</w:t>
            </w:r>
          </w:p>
        </w:tc>
        <w:tc>
          <w:tcPr>
            <w:tcW w:w="3111" w:type="dxa"/>
            <w:vAlign w:val="center"/>
          </w:tcPr>
          <w:p w14:paraId="2DD48E29" w14:textId="77777777" w:rsidR="00F36499" w:rsidRPr="00EC1AD4" w:rsidRDefault="00F36499" w:rsidP="005622C6">
            <w:pPr>
              <w:pStyle w:val="DefaultText14"/>
              <w:rPr>
                <w:rFonts w:ascii="Arial" w:hAnsi="Arial" w:cs="Arial"/>
                <w:bCs/>
                <w:sz w:val="20"/>
                <w:szCs w:val="20"/>
              </w:rPr>
            </w:pPr>
            <w:r w:rsidRPr="00EC1AD4">
              <w:rPr>
                <w:rFonts w:ascii="Arial" w:hAnsi="Arial" w:cs="Arial"/>
                <w:bCs/>
                <w:sz w:val="20"/>
                <w:szCs w:val="20"/>
                <w:lang w:val="en-US"/>
              </w:rPr>
              <w:t>All electrical components must be approved for use in Canada with CSA or other equivalent certification</w:t>
            </w:r>
            <w:r>
              <w:rPr>
                <w:rFonts w:ascii="Arial" w:hAnsi="Arial" w:cs="Arial"/>
                <w:bCs/>
                <w:sz w:val="20"/>
                <w:szCs w:val="20"/>
                <w:lang w:val="en-US"/>
              </w:rPr>
              <w:t>.</w:t>
            </w:r>
          </w:p>
        </w:tc>
        <w:tc>
          <w:tcPr>
            <w:tcW w:w="1530" w:type="dxa"/>
            <w:vAlign w:val="center"/>
          </w:tcPr>
          <w:p w14:paraId="4E5E8D8A" w14:textId="77777777" w:rsidR="00F36499" w:rsidRPr="00411E77" w:rsidRDefault="00F36499" w:rsidP="005622C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1C68CE63" w14:textId="77777777" w:rsidR="00F36499" w:rsidRPr="00411E77" w:rsidRDefault="00F36499" w:rsidP="005622C6">
            <w:pPr>
              <w:pStyle w:val="DefaultText14"/>
              <w:rPr>
                <w:rFonts w:ascii="Arial" w:hAnsi="Arial" w:cs="Arial"/>
                <w:b/>
                <w:sz w:val="20"/>
                <w:szCs w:val="20"/>
              </w:rPr>
            </w:pPr>
          </w:p>
        </w:tc>
        <w:tc>
          <w:tcPr>
            <w:tcW w:w="2788" w:type="dxa"/>
            <w:vAlign w:val="center"/>
          </w:tcPr>
          <w:p w14:paraId="7BC26AFA" w14:textId="77777777" w:rsidR="00F36499" w:rsidRPr="00411E77" w:rsidRDefault="00F36499" w:rsidP="005622C6">
            <w:pPr>
              <w:pStyle w:val="DefaultText14"/>
              <w:rPr>
                <w:rFonts w:ascii="Arial" w:hAnsi="Arial" w:cs="Arial"/>
                <w:b/>
                <w:sz w:val="20"/>
                <w:szCs w:val="20"/>
              </w:rPr>
            </w:pPr>
          </w:p>
        </w:tc>
      </w:tr>
      <w:tr w:rsidR="00FB6F86" w:rsidRPr="00411E77" w14:paraId="7BE4BE33" w14:textId="77777777" w:rsidTr="0058252E">
        <w:trPr>
          <w:trHeight w:val="980"/>
          <w:jc w:val="center"/>
        </w:trPr>
        <w:tc>
          <w:tcPr>
            <w:tcW w:w="844" w:type="dxa"/>
            <w:vAlign w:val="center"/>
          </w:tcPr>
          <w:p w14:paraId="42929CC2" w14:textId="706235E0" w:rsidR="00FB6F86" w:rsidRPr="00411E77" w:rsidRDefault="00FB6F86" w:rsidP="00FB6F86">
            <w:pPr>
              <w:pStyle w:val="DefaultText14"/>
              <w:jc w:val="center"/>
              <w:rPr>
                <w:rFonts w:ascii="Arial" w:hAnsi="Arial" w:cs="Arial"/>
                <w:sz w:val="20"/>
                <w:szCs w:val="20"/>
              </w:rPr>
            </w:pPr>
            <w:r w:rsidRPr="00411E77">
              <w:rPr>
                <w:rFonts w:ascii="Arial" w:hAnsi="Arial" w:cs="Arial"/>
                <w:sz w:val="20"/>
                <w:szCs w:val="20"/>
              </w:rPr>
              <w:t>2</w:t>
            </w:r>
          </w:p>
        </w:tc>
        <w:tc>
          <w:tcPr>
            <w:tcW w:w="3111" w:type="dxa"/>
            <w:vAlign w:val="center"/>
          </w:tcPr>
          <w:p w14:paraId="0D94A01D" w14:textId="37A394D2" w:rsidR="00FB6F86" w:rsidRPr="00EC1AD4" w:rsidRDefault="00713547" w:rsidP="00FB6F86">
            <w:pPr>
              <w:pStyle w:val="DefaultText14"/>
              <w:rPr>
                <w:rFonts w:ascii="Arial" w:hAnsi="Arial" w:cs="Arial"/>
                <w:bCs/>
                <w:sz w:val="20"/>
                <w:szCs w:val="20"/>
              </w:rPr>
            </w:pPr>
            <w:r>
              <w:rPr>
                <w:rFonts w:ascii="Arial" w:hAnsi="Arial" w:cs="Arial"/>
                <w:bCs/>
                <w:sz w:val="20"/>
                <w:szCs w:val="20"/>
                <w:lang w:val="en-US"/>
              </w:rPr>
              <w:t>Equipment m</w:t>
            </w:r>
            <w:r w:rsidR="00FB6F86" w:rsidRPr="00EC1AD4">
              <w:rPr>
                <w:rFonts w:ascii="Arial" w:hAnsi="Arial" w:cs="Arial"/>
                <w:bCs/>
                <w:sz w:val="20"/>
                <w:szCs w:val="20"/>
                <w:lang w:val="en-US"/>
              </w:rPr>
              <w:t xml:space="preserve">ust </w:t>
            </w:r>
            <w:r w:rsidR="000375A7">
              <w:rPr>
                <w:rFonts w:ascii="Arial" w:hAnsi="Arial" w:cs="Arial"/>
                <w:bCs/>
                <w:sz w:val="20"/>
                <w:szCs w:val="20"/>
                <w:lang w:val="en-US"/>
              </w:rPr>
              <w:t>operate</w:t>
            </w:r>
            <w:r w:rsidR="00FB6F86" w:rsidRPr="00EC1AD4">
              <w:rPr>
                <w:rFonts w:ascii="Arial" w:hAnsi="Arial" w:cs="Arial"/>
                <w:bCs/>
                <w:sz w:val="20"/>
                <w:szCs w:val="20"/>
                <w:lang w:val="en-US"/>
              </w:rPr>
              <w:t xml:space="preserve"> on 120 or 230V AC 60Hz current with North American standard plugs</w:t>
            </w:r>
            <w:r w:rsidR="00FB6F86">
              <w:rPr>
                <w:rFonts w:ascii="Arial" w:hAnsi="Arial" w:cs="Arial"/>
                <w:bCs/>
                <w:sz w:val="20"/>
                <w:szCs w:val="20"/>
                <w:lang w:val="en-US"/>
              </w:rPr>
              <w:t>.</w:t>
            </w:r>
          </w:p>
        </w:tc>
        <w:tc>
          <w:tcPr>
            <w:tcW w:w="1530" w:type="dxa"/>
            <w:vAlign w:val="center"/>
          </w:tcPr>
          <w:p w14:paraId="19CF1FA6" w14:textId="77777777" w:rsidR="00FB6F86" w:rsidRPr="00411E77"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39FDF61A" w14:textId="77777777" w:rsidR="00FB6F86" w:rsidRPr="00411E77" w:rsidRDefault="00FB6F86" w:rsidP="00FB6F86">
            <w:pPr>
              <w:pStyle w:val="DefaultText14"/>
              <w:rPr>
                <w:rFonts w:ascii="Arial" w:hAnsi="Arial" w:cs="Arial"/>
                <w:b/>
                <w:sz w:val="20"/>
                <w:szCs w:val="20"/>
              </w:rPr>
            </w:pPr>
          </w:p>
        </w:tc>
        <w:tc>
          <w:tcPr>
            <w:tcW w:w="2788" w:type="dxa"/>
            <w:vAlign w:val="center"/>
          </w:tcPr>
          <w:p w14:paraId="5ED71245" w14:textId="77777777" w:rsidR="00FB6F86" w:rsidRPr="00411E77" w:rsidRDefault="00FB6F86" w:rsidP="00FB6F86">
            <w:pPr>
              <w:pStyle w:val="DefaultText14"/>
              <w:rPr>
                <w:rFonts w:ascii="Arial" w:hAnsi="Arial" w:cs="Arial"/>
                <w:b/>
                <w:sz w:val="20"/>
                <w:szCs w:val="20"/>
              </w:rPr>
            </w:pPr>
          </w:p>
        </w:tc>
      </w:tr>
      <w:tr w:rsidR="00FB6F86" w:rsidRPr="00411E77" w14:paraId="4C635E4E" w14:textId="77777777" w:rsidTr="0058252E">
        <w:trPr>
          <w:trHeight w:val="1070"/>
          <w:jc w:val="center"/>
        </w:trPr>
        <w:tc>
          <w:tcPr>
            <w:tcW w:w="844" w:type="dxa"/>
            <w:vAlign w:val="center"/>
          </w:tcPr>
          <w:p w14:paraId="1161A244" w14:textId="02B9D86D" w:rsidR="00FB6F86" w:rsidRPr="00411E77" w:rsidRDefault="00FB6F86" w:rsidP="00FB6F86">
            <w:pPr>
              <w:pStyle w:val="DefaultText14"/>
              <w:jc w:val="center"/>
              <w:rPr>
                <w:rFonts w:ascii="Arial" w:hAnsi="Arial" w:cs="Arial"/>
                <w:sz w:val="20"/>
                <w:szCs w:val="20"/>
              </w:rPr>
            </w:pPr>
            <w:r w:rsidRPr="00411E77">
              <w:rPr>
                <w:rFonts w:ascii="Arial" w:hAnsi="Arial" w:cs="Arial"/>
                <w:sz w:val="20"/>
                <w:szCs w:val="20"/>
              </w:rPr>
              <w:t>3</w:t>
            </w:r>
          </w:p>
        </w:tc>
        <w:tc>
          <w:tcPr>
            <w:tcW w:w="3111" w:type="dxa"/>
            <w:vAlign w:val="center"/>
          </w:tcPr>
          <w:p w14:paraId="699AC85E" w14:textId="0CA72FE7" w:rsidR="00FB6F86" w:rsidRPr="00EC1AD4" w:rsidRDefault="00FB6F86" w:rsidP="00FB6F86">
            <w:pPr>
              <w:pStyle w:val="DefaultText14"/>
              <w:rPr>
                <w:rFonts w:ascii="Arial" w:hAnsi="Arial" w:cs="Arial"/>
                <w:bCs/>
                <w:sz w:val="20"/>
                <w:szCs w:val="20"/>
                <w:lang w:val="en-US"/>
              </w:rPr>
            </w:pPr>
            <w:r w:rsidRPr="00EC1AD4">
              <w:rPr>
                <w:rFonts w:ascii="Arial" w:hAnsi="Arial" w:cs="Arial"/>
                <w:bCs/>
                <w:sz w:val="20"/>
                <w:szCs w:val="20"/>
                <w:lang w:val="en-US"/>
              </w:rPr>
              <w:t xml:space="preserve">Analyzer must </w:t>
            </w:r>
            <w:r>
              <w:rPr>
                <w:rFonts w:ascii="Arial" w:hAnsi="Arial" w:cs="Arial"/>
                <w:bCs/>
                <w:sz w:val="20"/>
                <w:szCs w:val="20"/>
                <w:lang w:val="en-US"/>
              </w:rPr>
              <w:t>have</w:t>
            </w:r>
            <w:r w:rsidRPr="00EC1AD4">
              <w:rPr>
                <w:rFonts w:ascii="Arial" w:hAnsi="Arial" w:cs="Arial"/>
                <w:bCs/>
                <w:sz w:val="20"/>
                <w:szCs w:val="20"/>
                <w:lang w:val="en-US"/>
              </w:rPr>
              <w:t xml:space="preserve"> appropriate system </w:t>
            </w:r>
            <w:r>
              <w:rPr>
                <w:rFonts w:ascii="Arial" w:hAnsi="Arial" w:cs="Arial"/>
                <w:bCs/>
                <w:sz w:val="20"/>
                <w:szCs w:val="20"/>
                <w:lang w:val="en-US"/>
              </w:rPr>
              <w:t xml:space="preserve">for </w:t>
            </w:r>
            <w:r w:rsidRPr="00EC1AD4">
              <w:rPr>
                <w:rFonts w:ascii="Arial" w:hAnsi="Arial" w:cs="Arial"/>
                <w:bCs/>
                <w:sz w:val="20"/>
                <w:szCs w:val="20"/>
                <w:lang w:val="en-US"/>
              </w:rPr>
              <w:t>leak check process.</w:t>
            </w:r>
          </w:p>
        </w:tc>
        <w:tc>
          <w:tcPr>
            <w:tcW w:w="1530" w:type="dxa"/>
            <w:vAlign w:val="center"/>
          </w:tcPr>
          <w:p w14:paraId="7205AACB"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5E76161F" w14:textId="77777777" w:rsidR="00FB6F86" w:rsidRPr="00411E77" w:rsidRDefault="00FB6F86" w:rsidP="00FB6F86">
            <w:pPr>
              <w:pStyle w:val="DefaultText14"/>
              <w:rPr>
                <w:rFonts w:ascii="Arial" w:hAnsi="Arial" w:cs="Arial"/>
                <w:b/>
                <w:sz w:val="20"/>
                <w:szCs w:val="20"/>
              </w:rPr>
            </w:pPr>
          </w:p>
        </w:tc>
        <w:tc>
          <w:tcPr>
            <w:tcW w:w="2788" w:type="dxa"/>
            <w:vAlign w:val="center"/>
          </w:tcPr>
          <w:p w14:paraId="733B7E26" w14:textId="77777777" w:rsidR="00FB6F86" w:rsidRPr="00411E77" w:rsidRDefault="00FB6F86" w:rsidP="00FB6F86">
            <w:pPr>
              <w:pStyle w:val="DefaultText14"/>
              <w:rPr>
                <w:rFonts w:ascii="Arial" w:hAnsi="Arial" w:cs="Arial"/>
                <w:b/>
                <w:sz w:val="20"/>
                <w:szCs w:val="20"/>
              </w:rPr>
            </w:pPr>
          </w:p>
        </w:tc>
      </w:tr>
      <w:tr w:rsidR="00FB6F86" w:rsidRPr="00411E77" w14:paraId="7B47EB75" w14:textId="77777777" w:rsidTr="0058252E">
        <w:trPr>
          <w:trHeight w:val="1070"/>
          <w:jc w:val="center"/>
        </w:trPr>
        <w:tc>
          <w:tcPr>
            <w:tcW w:w="844" w:type="dxa"/>
            <w:vAlign w:val="center"/>
          </w:tcPr>
          <w:p w14:paraId="1B25C2C2" w14:textId="2EB07F6D" w:rsidR="00FB6F86" w:rsidRPr="00411E77" w:rsidRDefault="00FB6F86" w:rsidP="00FB6F86">
            <w:pPr>
              <w:pStyle w:val="DefaultText14"/>
              <w:jc w:val="center"/>
              <w:rPr>
                <w:rFonts w:ascii="Arial" w:hAnsi="Arial" w:cs="Arial"/>
                <w:sz w:val="20"/>
                <w:szCs w:val="20"/>
              </w:rPr>
            </w:pPr>
            <w:r>
              <w:rPr>
                <w:rFonts w:ascii="Arial" w:hAnsi="Arial" w:cs="Arial"/>
                <w:sz w:val="20"/>
                <w:szCs w:val="20"/>
              </w:rPr>
              <w:t>4</w:t>
            </w:r>
          </w:p>
        </w:tc>
        <w:tc>
          <w:tcPr>
            <w:tcW w:w="3111" w:type="dxa"/>
            <w:vAlign w:val="center"/>
          </w:tcPr>
          <w:p w14:paraId="12AD5FF3" w14:textId="0CBC1012" w:rsidR="00FB6F86" w:rsidRPr="00EC1AD4" w:rsidRDefault="00FB6F86" w:rsidP="00FB6F86">
            <w:pPr>
              <w:pStyle w:val="DefaultText14"/>
              <w:rPr>
                <w:rFonts w:ascii="Arial" w:hAnsi="Arial" w:cs="Arial"/>
                <w:bCs/>
                <w:sz w:val="20"/>
                <w:szCs w:val="20"/>
                <w:lang w:val="en-US"/>
              </w:rPr>
            </w:pPr>
            <w:r w:rsidRPr="00EC1AD4">
              <w:rPr>
                <w:rFonts w:ascii="Arial" w:hAnsi="Arial" w:cs="Arial"/>
                <w:bCs/>
                <w:iCs/>
                <w:sz w:val="20"/>
                <w:szCs w:val="20"/>
                <w:lang w:val="en-US"/>
              </w:rPr>
              <w:t>Analyzer</w:t>
            </w:r>
            <w:r w:rsidR="00713547">
              <w:rPr>
                <w:rFonts w:ascii="Arial" w:hAnsi="Arial" w:cs="Arial"/>
                <w:bCs/>
                <w:iCs/>
                <w:sz w:val="20"/>
                <w:szCs w:val="20"/>
                <w:lang w:val="en-US"/>
              </w:rPr>
              <w:t>’s i</w:t>
            </w:r>
            <w:r w:rsidRPr="00EC1AD4">
              <w:rPr>
                <w:rFonts w:ascii="Arial" w:hAnsi="Arial" w:cs="Arial"/>
                <w:bCs/>
                <w:sz w:val="20"/>
                <w:szCs w:val="20"/>
                <w:lang w:val="en-US"/>
              </w:rPr>
              <w:t xml:space="preserve">nside furnace combustion working temperature must be </w:t>
            </w:r>
            <w:r w:rsidR="00713547">
              <w:rPr>
                <w:rFonts w:ascii="Arial" w:hAnsi="Arial" w:cs="Arial"/>
                <w:bCs/>
                <w:sz w:val="20"/>
                <w:szCs w:val="20"/>
                <w:lang w:val="en-US"/>
              </w:rPr>
              <w:t xml:space="preserve">minimum </w:t>
            </w:r>
            <w:r w:rsidRPr="00EC1AD4">
              <w:rPr>
                <w:rFonts w:ascii="Arial" w:hAnsi="Arial" w:cs="Arial"/>
                <w:bCs/>
                <w:sz w:val="20"/>
                <w:szCs w:val="20"/>
                <w:lang w:val="en-US"/>
              </w:rPr>
              <w:t>1050 °C</w:t>
            </w:r>
            <w:r>
              <w:rPr>
                <w:rFonts w:ascii="Arial" w:hAnsi="Arial" w:cs="Arial"/>
                <w:bCs/>
                <w:sz w:val="20"/>
                <w:szCs w:val="20"/>
                <w:lang w:val="en-US"/>
              </w:rPr>
              <w:t>.</w:t>
            </w:r>
          </w:p>
        </w:tc>
        <w:tc>
          <w:tcPr>
            <w:tcW w:w="1530" w:type="dxa"/>
            <w:vAlign w:val="center"/>
          </w:tcPr>
          <w:p w14:paraId="2046AE18"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529186C4" w14:textId="77777777" w:rsidR="00FB6F86" w:rsidRPr="00411E77" w:rsidRDefault="00FB6F86" w:rsidP="00FB6F86">
            <w:pPr>
              <w:pStyle w:val="DefaultText14"/>
              <w:rPr>
                <w:rFonts w:ascii="Arial" w:hAnsi="Arial" w:cs="Arial"/>
                <w:b/>
                <w:sz w:val="20"/>
                <w:szCs w:val="20"/>
              </w:rPr>
            </w:pPr>
          </w:p>
        </w:tc>
        <w:tc>
          <w:tcPr>
            <w:tcW w:w="2788" w:type="dxa"/>
            <w:vAlign w:val="center"/>
          </w:tcPr>
          <w:p w14:paraId="33EBE1F3" w14:textId="77777777" w:rsidR="00FB6F86" w:rsidRPr="00411E77" w:rsidRDefault="00FB6F86" w:rsidP="00FB6F86">
            <w:pPr>
              <w:pStyle w:val="DefaultText14"/>
              <w:rPr>
                <w:rFonts w:ascii="Arial" w:hAnsi="Arial" w:cs="Arial"/>
                <w:b/>
                <w:sz w:val="20"/>
                <w:szCs w:val="20"/>
              </w:rPr>
            </w:pPr>
          </w:p>
        </w:tc>
      </w:tr>
      <w:tr w:rsidR="00FB6F86" w:rsidRPr="00411E77" w14:paraId="478D6EE8" w14:textId="77777777" w:rsidTr="0058252E">
        <w:trPr>
          <w:trHeight w:val="1070"/>
          <w:jc w:val="center"/>
        </w:trPr>
        <w:tc>
          <w:tcPr>
            <w:tcW w:w="844" w:type="dxa"/>
            <w:vAlign w:val="center"/>
          </w:tcPr>
          <w:p w14:paraId="1120F2F3" w14:textId="44154A6C" w:rsidR="00FB6F86" w:rsidRPr="00411E77" w:rsidRDefault="00FB6F86" w:rsidP="00FB6F86">
            <w:pPr>
              <w:pStyle w:val="DefaultText14"/>
              <w:jc w:val="center"/>
              <w:rPr>
                <w:rFonts w:ascii="Arial" w:hAnsi="Arial" w:cs="Arial"/>
                <w:sz w:val="20"/>
                <w:szCs w:val="20"/>
              </w:rPr>
            </w:pPr>
            <w:r>
              <w:rPr>
                <w:rFonts w:ascii="Arial" w:hAnsi="Arial" w:cs="Arial"/>
                <w:sz w:val="20"/>
                <w:szCs w:val="20"/>
              </w:rPr>
              <w:t>5</w:t>
            </w:r>
          </w:p>
        </w:tc>
        <w:tc>
          <w:tcPr>
            <w:tcW w:w="3111" w:type="dxa"/>
            <w:vAlign w:val="center"/>
          </w:tcPr>
          <w:p w14:paraId="3815091A" w14:textId="77777777" w:rsidR="00FB6F86" w:rsidRPr="00EC1AD4" w:rsidRDefault="00FB6F86" w:rsidP="00FB6F86">
            <w:pPr>
              <w:pStyle w:val="DefaultText14"/>
              <w:rPr>
                <w:rFonts w:ascii="Arial" w:hAnsi="Arial" w:cs="Arial"/>
                <w:bCs/>
                <w:iCs/>
                <w:sz w:val="20"/>
                <w:szCs w:val="20"/>
              </w:rPr>
            </w:pPr>
            <w:r w:rsidRPr="00EC1AD4">
              <w:rPr>
                <w:rFonts w:ascii="Arial" w:hAnsi="Arial" w:cs="Arial"/>
                <w:bCs/>
                <w:iCs/>
                <w:sz w:val="20"/>
                <w:szCs w:val="20"/>
              </w:rPr>
              <w:t>Analyzer must have UV-Fluorescence (UVF) detector for sulfur and Chemiluminescence (CLD) detector for Nitrogen.</w:t>
            </w:r>
          </w:p>
        </w:tc>
        <w:tc>
          <w:tcPr>
            <w:tcW w:w="1530" w:type="dxa"/>
            <w:vAlign w:val="center"/>
          </w:tcPr>
          <w:p w14:paraId="1A0B0676"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34039271" w14:textId="77777777" w:rsidR="00FB6F86" w:rsidRPr="00411E77" w:rsidRDefault="00FB6F86" w:rsidP="00FB6F86">
            <w:pPr>
              <w:pStyle w:val="DefaultText14"/>
              <w:rPr>
                <w:rFonts w:ascii="Arial" w:hAnsi="Arial" w:cs="Arial"/>
                <w:b/>
                <w:sz w:val="20"/>
                <w:szCs w:val="20"/>
              </w:rPr>
            </w:pPr>
          </w:p>
        </w:tc>
        <w:tc>
          <w:tcPr>
            <w:tcW w:w="2788" w:type="dxa"/>
            <w:vAlign w:val="center"/>
          </w:tcPr>
          <w:p w14:paraId="0815CE06" w14:textId="77777777" w:rsidR="00FB6F86" w:rsidRPr="00411E77" w:rsidRDefault="00FB6F86" w:rsidP="00FB6F86">
            <w:pPr>
              <w:pStyle w:val="DefaultText14"/>
              <w:rPr>
                <w:rFonts w:ascii="Arial" w:hAnsi="Arial" w:cs="Arial"/>
                <w:b/>
                <w:sz w:val="20"/>
                <w:szCs w:val="20"/>
              </w:rPr>
            </w:pPr>
          </w:p>
        </w:tc>
      </w:tr>
      <w:tr w:rsidR="00FB6F86" w:rsidRPr="00411E77" w14:paraId="26D3F993" w14:textId="77777777" w:rsidTr="0058252E">
        <w:trPr>
          <w:trHeight w:val="1070"/>
          <w:jc w:val="center"/>
        </w:trPr>
        <w:tc>
          <w:tcPr>
            <w:tcW w:w="844" w:type="dxa"/>
            <w:vAlign w:val="center"/>
          </w:tcPr>
          <w:p w14:paraId="17E49300" w14:textId="7FD4E932" w:rsidR="00FB6F86" w:rsidRDefault="00FB6F86" w:rsidP="00FB6F86">
            <w:pPr>
              <w:pStyle w:val="DefaultText14"/>
              <w:jc w:val="center"/>
              <w:rPr>
                <w:rFonts w:ascii="Arial" w:hAnsi="Arial" w:cs="Arial"/>
                <w:sz w:val="20"/>
                <w:szCs w:val="20"/>
              </w:rPr>
            </w:pPr>
            <w:r>
              <w:rPr>
                <w:rFonts w:ascii="Arial" w:hAnsi="Arial" w:cs="Arial"/>
                <w:sz w:val="20"/>
                <w:szCs w:val="20"/>
              </w:rPr>
              <w:t>6</w:t>
            </w:r>
          </w:p>
        </w:tc>
        <w:tc>
          <w:tcPr>
            <w:tcW w:w="3111" w:type="dxa"/>
            <w:vAlign w:val="center"/>
          </w:tcPr>
          <w:p w14:paraId="36E81CE0" w14:textId="0AB9062B" w:rsidR="00FB6F86" w:rsidRPr="00EC1AD4" w:rsidRDefault="00FB6F86" w:rsidP="00FB6F86">
            <w:pPr>
              <w:pStyle w:val="DefaultText14"/>
              <w:rPr>
                <w:rFonts w:ascii="Arial" w:hAnsi="Arial" w:cs="Arial"/>
                <w:bCs/>
                <w:iCs/>
                <w:sz w:val="20"/>
                <w:szCs w:val="20"/>
              </w:rPr>
            </w:pPr>
            <w:r w:rsidRPr="00EC1AD4">
              <w:rPr>
                <w:rFonts w:ascii="Arial" w:hAnsi="Arial" w:cs="Arial"/>
                <w:bCs/>
                <w:iCs/>
                <w:sz w:val="20"/>
                <w:szCs w:val="20"/>
              </w:rPr>
              <w:t xml:space="preserve">Analyzer must have a computer controlled </w:t>
            </w:r>
            <w:r>
              <w:rPr>
                <w:rFonts w:ascii="Arial" w:hAnsi="Arial" w:cs="Arial"/>
                <w:bCs/>
                <w:iCs/>
                <w:sz w:val="20"/>
                <w:szCs w:val="20"/>
              </w:rPr>
              <w:t xml:space="preserve">liquid </w:t>
            </w:r>
            <w:r w:rsidRPr="00EC1AD4">
              <w:rPr>
                <w:rFonts w:ascii="Arial" w:hAnsi="Arial" w:cs="Arial"/>
                <w:bCs/>
                <w:iCs/>
                <w:sz w:val="20"/>
                <w:szCs w:val="20"/>
              </w:rPr>
              <w:t>autosampler with minimum 100 sample vial capacity, automated rinsing.</w:t>
            </w:r>
          </w:p>
        </w:tc>
        <w:tc>
          <w:tcPr>
            <w:tcW w:w="1530" w:type="dxa"/>
            <w:vAlign w:val="center"/>
          </w:tcPr>
          <w:p w14:paraId="01A887DC"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3970A52A" w14:textId="77777777" w:rsidR="00FB6F86" w:rsidRPr="00411E77" w:rsidRDefault="00FB6F86" w:rsidP="00FB6F86">
            <w:pPr>
              <w:pStyle w:val="DefaultText14"/>
              <w:rPr>
                <w:rFonts w:ascii="Arial" w:hAnsi="Arial" w:cs="Arial"/>
                <w:b/>
                <w:sz w:val="20"/>
                <w:szCs w:val="20"/>
              </w:rPr>
            </w:pPr>
          </w:p>
        </w:tc>
        <w:tc>
          <w:tcPr>
            <w:tcW w:w="2788" w:type="dxa"/>
            <w:vAlign w:val="center"/>
          </w:tcPr>
          <w:p w14:paraId="317D1679" w14:textId="77777777" w:rsidR="00FB6F86" w:rsidRPr="00411E77" w:rsidRDefault="00FB6F86" w:rsidP="00FB6F86">
            <w:pPr>
              <w:pStyle w:val="DefaultText14"/>
              <w:rPr>
                <w:rFonts w:ascii="Arial" w:hAnsi="Arial" w:cs="Arial"/>
                <w:b/>
                <w:sz w:val="20"/>
                <w:szCs w:val="20"/>
              </w:rPr>
            </w:pPr>
          </w:p>
        </w:tc>
      </w:tr>
      <w:tr w:rsidR="00FB6F86" w:rsidRPr="00411E77" w14:paraId="1739ECB5" w14:textId="77777777" w:rsidTr="0058252E">
        <w:trPr>
          <w:trHeight w:val="980"/>
          <w:jc w:val="center"/>
        </w:trPr>
        <w:tc>
          <w:tcPr>
            <w:tcW w:w="844" w:type="dxa"/>
            <w:vAlign w:val="center"/>
          </w:tcPr>
          <w:p w14:paraId="2D1A392C" w14:textId="26032CCF" w:rsidR="00FB6F86" w:rsidRDefault="00FB6F86" w:rsidP="00FB6F86">
            <w:pPr>
              <w:pStyle w:val="DefaultText14"/>
              <w:jc w:val="center"/>
              <w:rPr>
                <w:rFonts w:ascii="Arial" w:hAnsi="Arial" w:cs="Arial"/>
                <w:sz w:val="20"/>
                <w:szCs w:val="20"/>
              </w:rPr>
            </w:pPr>
            <w:r>
              <w:rPr>
                <w:rFonts w:ascii="Arial" w:hAnsi="Arial" w:cs="Arial"/>
                <w:sz w:val="20"/>
                <w:szCs w:val="20"/>
              </w:rPr>
              <w:t>7</w:t>
            </w:r>
          </w:p>
        </w:tc>
        <w:tc>
          <w:tcPr>
            <w:tcW w:w="3111" w:type="dxa"/>
            <w:vAlign w:val="center"/>
          </w:tcPr>
          <w:p w14:paraId="62100C5F" w14:textId="07C03F1A" w:rsidR="00FB6F86" w:rsidRPr="00EC1AD4" w:rsidRDefault="00FB6F86" w:rsidP="00FB6F86">
            <w:pPr>
              <w:pStyle w:val="DefaultText14"/>
              <w:rPr>
                <w:rFonts w:ascii="Arial" w:hAnsi="Arial" w:cs="Arial"/>
                <w:bCs/>
                <w:iCs/>
                <w:sz w:val="20"/>
                <w:szCs w:val="20"/>
              </w:rPr>
            </w:pPr>
            <w:r w:rsidRPr="00EC1AD4">
              <w:rPr>
                <w:rFonts w:ascii="Arial" w:hAnsi="Arial" w:cs="Arial"/>
                <w:bCs/>
                <w:iCs/>
                <w:sz w:val="20"/>
                <w:szCs w:val="20"/>
                <w:lang w:val="en-US"/>
              </w:rPr>
              <w:t xml:space="preserve">Analyzer detection range for Nitrogen &amp; Sulfur must be </w:t>
            </w:r>
            <w:r w:rsidR="005D20E6">
              <w:rPr>
                <w:rFonts w:ascii="Arial" w:hAnsi="Arial" w:cs="Arial"/>
                <w:bCs/>
                <w:iCs/>
                <w:sz w:val="20"/>
                <w:szCs w:val="20"/>
                <w:lang w:val="en-US"/>
              </w:rPr>
              <w:t xml:space="preserve">minimum </w:t>
            </w:r>
            <w:r w:rsidRPr="00EC1AD4">
              <w:rPr>
                <w:rFonts w:ascii="Arial" w:hAnsi="Arial" w:cs="Arial"/>
                <w:bCs/>
                <w:iCs/>
                <w:sz w:val="20"/>
                <w:szCs w:val="20"/>
                <w:lang w:val="en-US"/>
              </w:rPr>
              <w:t>0-1000mg/kg</w:t>
            </w:r>
            <w:r w:rsidR="005D20E6">
              <w:rPr>
                <w:rFonts w:ascii="Arial" w:hAnsi="Arial" w:cs="Arial"/>
                <w:bCs/>
                <w:iCs/>
                <w:sz w:val="20"/>
                <w:szCs w:val="20"/>
                <w:lang w:val="en-US"/>
              </w:rPr>
              <w:t>.</w:t>
            </w:r>
          </w:p>
        </w:tc>
        <w:tc>
          <w:tcPr>
            <w:tcW w:w="1530" w:type="dxa"/>
            <w:vAlign w:val="center"/>
          </w:tcPr>
          <w:p w14:paraId="1CB78BFB"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4881CC23" w14:textId="77777777" w:rsidR="00FB6F86" w:rsidRPr="00411E77" w:rsidRDefault="00FB6F86" w:rsidP="00FB6F86">
            <w:pPr>
              <w:pStyle w:val="DefaultText14"/>
              <w:rPr>
                <w:rFonts w:ascii="Arial" w:hAnsi="Arial" w:cs="Arial"/>
                <w:b/>
                <w:sz w:val="20"/>
                <w:szCs w:val="20"/>
              </w:rPr>
            </w:pPr>
          </w:p>
        </w:tc>
        <w:tc>
          <w:tcPr>
            <w:tcW w:w="2788" w:type="dxa"/>
            <w:vAlign w:val="center"/>
          </w:tcPr>
          <w:p w14:paraId="36813E25" w14:textId="77777777" w:rsidR="00FB6F86" w:rsidRPr="00411E77" w:rsidRDefault="00FB6F86" w:rsidP="00FB6F86">
            <w:pPr>
              <w:pStyle w:val="DefaultText14"/>
              <w:rPr>
                <w:rFonts w:ascii="Arial" w:hAnsi="Arial" w:cs="Arial"/>
                <w:b/>
                <w:sz w:val="20"/>
                <w:szCs w:val="20"/>
              </w:rPr>
            </w:pPr>
          </w:p>
        </w:tc>
      </w:tr>
      <w:tr w:rsidR="00FB6F86" w:rsidRPr="00411E77" w14:paraId="2CDE2F1B" w14:textId="77777777" w:rsidTr="0058252E">
        <w:trPr>
          <w:trHeight w:val="1070"/>
          <w:jc w:val="center"/>
        </w:trPr>
        <w:tc>
          <w:tcPr>
            <w:tcW w:w="844" w:type="dxa"/>
            <w:vAlign w:val="center"/>
          </w:tcPr>
          <w:p w14:paraId="243A985F" w14:textId="62DACE99" w:rsidR="00FB6F86" w:rsidRDefault="00FB6F86" w:rsidP="00FB6F86">
            <w:pPr>
              <w:pStyle w:val="DefaultText14"/>
              <w:jc w:val="center"/>
              <w:rPr>
                <w:rFonts w:ascii="Arial" w:hAnsi="Arial" w:cs="Arial"/>
                <w:sz w:val="20"/>
                <w:szCs w:val="20"/>
              </w:rPr>
            </w:pPr>
            <w:r>
              <w:rPr>
                <w:rFonts w:ascii="Arial" w:hAnsi="Arial" w:cs="Arial"/>
                <w:sz w:val="20"/>
                <w:szCs w:val="20"/>
              </w:rPr>
              <w:t>8</w:t>
            </w:r>
          </w:p>
        </w:tc>
        <w:tc>
          <w:tcPr>
            <w:tcW w:w="3111" w:type="dxa"/>
            <w:vAlign w:val="center"/>
          </w:tcPr>
          <w:p w14:paraId="76F44C53" w14:textId="06E1F43B" w:rsidR="00FB6F86" w:rsidRPr="00EC1AD4" w:rsidRDefault="00FB6F86" w:rsidP="00FB6F86">
            <w:pPr>
              <w:pStyle w:val="DefaultText14"/>
              <w:rPr>
                <w:rFonts w:ascii="Arial" w:hAnsi="Arial" w:cs="Arial"/>
                <w:bCs/>
                <w:iCs/>
                <w:sz w:val="20"/>
                <w:szCs w:val="20"/>
              </w:rPr>
            </w:pPr>
            <w:r w:rsidRPr="00EC1AD4">
              <w:rPr>
                <w:rFonts w:ascii="Arial" w:hAnsi="Arial" w:cs="Arial"/>
                <w:bCs/>
                <w:iCs/>
                <w:sz w:val="20"/>
                <w:szCs w:val="20"/>
                <w:lang w:val="en-US"/>
              </w:rPr>
              <w:t>Analyzer Nitrogen /</w:t>
            </w:r>
            <w:r w:rsidR="005D20E6">
              <w:rPr>
                <w:rFonts w:ascii="Arial" w:hAnsi="Arial" w:cs="Arial"/>
                <w:bCs/>
                <w:iCs/>
                <w:sz w:val="20"/>
                <w:szCs w:val="20"/>
                <w:lang w:val="en-US"/>
              </w:rPr>
              <w:t xml:space="preserve"> </w:t>
            </w:r>
            <w:r w:rsidRPr="00EC1AD4">
              <w:rPr>
                <w:rFonts w:ascii="Arial" w:hAnsi="Arial" w:cs="Arial"/>
                <w:bCs/>
                <w:iCs/>
                <w:sz w:val="20"/>
                <w:szCs w:val="20"/>
                <w:lang w:val="en-US"/>
              </w:rPr>
              <w:t xml:space="preserve">Sulfur lowest detection limit must </w:t>
            </w:r>
            <w:r w:rsidR="000375A7">
              <w:rPr>
                <w:rFonts w:ascii="Arial" w:hAnsi="Arial" w:cs="Arial"/>
                <w:bCs/>
                <w:iCs/>
                <w:sz w:val="20"/>
                <w:szCs w:val="20"/>
                <w:lang w:val="en-US"/>
              </w:rPr>
              <w:t xml:space="preserve">be maximum </w:t>
            </w:r>
            <w:r w:rsidRPr="00EC1AD4">
              <w:rPr>
                <w:rFonts w:ascii="Arial" w:hAnsi="Arial" w:cs="Arial"/>
                <w:bCs/>
                <w:iCs/>
                <w:sz w:val="20"/>
                <w:szCs w:val="20"/>
                <w:lang w:val="en-US"/>
              </w:rPr>
              <w:t>100ppb.</w:t>
            </w:r>
          </w:p>
        </w:tc>
        <w:tc>
          <w:tcPr>
            <w:tcW w:w="1530" w:type="dxa"/>
            <w:vAlign w:val="center"/>
          </w:tcPr>
          <w:p w14:paraId="152107DD"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2F375891" w14:textId="77777777" w:rsidR="00FB6F86" w:rsidRPr="00411E77" w:rsidRDefault="00FB6F86" w:rsidP="00FB6F86">
            <w:pPr>
              <w:pStyle w:val="DefaultText14"/>
              <w:rPr>
                <w:rFonts w:ascii="Arial" w:hAnsi="Arial" w:cs="Arial"/>
                <w:b/>
                <w:sz w:val="20"/>
                <w:szCs w:val="20"/>
              </w:rPr>
            </w:pPr>
          </w:p>
        </w:tc>
        <w:tc>
          <w:tcPr>
            <w:tcW w:w="2788" w:type="dxa"/>
            <w:vAlign w:val="center"/>
          </w:tcPr>
          <w:p w14:paraId="794D7DC0" w14:textId="77777777" w:rsidR="00FB6F86" w:rsidRPr="00411E77" w:rsidRDefault="00FB6F86" w:rsidP="00FB6F86">
            <w:pPr>
              <w:pStyle w:val="DefaultText14"/>
              <w:rPr>
                <w:rFonts w:ascii="Arial" w:hAnsi="Arial" w:cs="Arial"/>
                <w:b/>
                <w:sz w:val="20"/>
                <w:szCs w:val="20"/>
              </w:rPr>
            </w:pPr>
          </w:p>
        </w:tc>
      </w:tr>
      <w:tr w:rsidR="00FB6F86" w:rsidRPr="00411E77" w14:paraId="26FFA15E" w14:textId="77777777" w:rsidTr="0058252E">
        <w:trPr>
          <w:trHeight w:val="1160"/>
          <w:jc w:val="center"/>
        </w:trPr>
        <w:tc>
          <w:tcPr>
            <w:tcW w:w="844" w:type="dxa"/>
            <w:vAlign w:val="center"/>
          </w:tcPr>
          <w:p w14:paraId="62C1D820" w14:textId="7F34B5C5" w:rsidR="00FB6F86" w:rsidRDefault="00FB6F86" w:rsidP="00FB6F86">
            <w:pPr>
              <w:pStyle w:val="DefaultText14"/>
              <w:jc w:val="center"/>
              <w:rPr>
                <w:rFonts w:ascii="Arial" w:hAnsi="Arial" w:cs="Arial"/>
                <w:sz w:val="20"/>
                <w:szCs w:val="20"/>
              </w:rPr>
            </w:pPr>
            <w:r>
              <w:rPr>
                <w:rFonts w:ascii="Arial" w:hAnsi="Arial" w:cs="Arial"/>
                <w:sz w:val="20"/>
                <w:szCs w:val="20"/>
              </w:rPr>
              <w:lastRenderedPageBreak/>
              <w:t>9</w:t>
            </w:r>
          </w:p>
        </w:tc>
        <w:tc>
          <w:tcPr>
            <w:tcW w:w="3111" w:type="dxa"/>
            <w:vAlign w:val="center"/>
          </w:tcPr>
          <w:p w14:paraId="418D421B" w14:textId="7D5FA06D" w:rsidR="00FB6F86" w:rsidRPr="00EC1AD4" w:rsidRDefault="00FB6F86" w:rsidP="00FB6F86">
            <w:pPr>
              <w:pStyle w:val="DefaultText14"/>
              <w:rPr>
                <w:rFonts w:ascii="Arial" w:hAnsi="Arial" w:cs="Arial"/>
                <w:bCs/>
                <w:iCs/>
                <w:sz w:val="20"/>
                <w:szCs w:val="20"/>
              </w:rPr>
            </w:pPr>
            <w:r w:rsidRPr="00EC1AD4">
              <w:rPr>
                <w:rFonts w:ascii="Arial" w:hAnsi="Arial" w:cs="Arial"/>
                <w:bCs/>
                <w:iCs/>
                <w:sz w:val="20"/>
                <w:szCs w:val="20"/>
              </w:rPr>
              <w:t xml:space="preserve">Analyzer repeated standard deviation for Nitrogen &amp; Sulfur </w:t>
            </w:r>
            <w:r>
              <w:rPr>
                <w:rFonts w:ascii="Arial" w:hAnsi="Arial" w:cs="Arial"/>
                <w:bCs/>
                <w:iCs/>
                <w:sz w:val="20"/>
                <w:szCs w:val="20"/>
              </w:rPr>
              <w:t xml:space="preserve">must be </w:t>
            </w:r>
            <w:r w:rsidR="000375A7">
              <w:rPr>
                <w:rFonts w:ascii="Arial" w:hAnsi="Arial" w:cs="Arial"/>
                <w:bCs/>
                <w:iCs/>
                <w:sz w:val="20"/>
                <w:szCs w:val="20"/>
              </w:rPr>
              <w:t>maximum</w:t>
            </w:r>
            <w:r w:rsidRPr="00EC1AD4">
              <w:rPr>
                <w:rFonts w:ascii="Arial" w:hAnsi="Arial" w:cs="Arial"/>
                <w:bCs/>
                <w:iCs/>
                <w:sz w:val="20"/>
                <w:szCs w:val="20"/>
              </w:rPr>
              <w:t xml:space="preserve"> 5%.</w:t>
            </w:r>
          </w:p>
        </w:tc>
        <w:tc>
          <w:tcPr>
            <w:tcW w:w="1530" w:type="dxa"/>
            <w:vAlign w:val="center"/>
          </w:tcPr>
          <w:p w14:paraId="632DD0A9"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6FAACED7" w14:textId="77777777" w:rsidR="00FB6F86" w:rsidRPr="00411E77" w:rsidRDefault="00FB6F86" w:rsidP="00FB6F86">
            <w:pPr>
              <w:pStyle w:val="DefaultText14"/>
              <w:rPr>
                <w:rFonts w:ascii="Arial" w:hAnsi="Arial" w:cs="Arial"/>
                <w:b/>
                <w:sz w:val="20"/>
                <w:szCs w:val="20"/>
              </w:rPr>
            </w:pPr>
          </w:p>
        </w:tc>
        <w:tc>
          <w:tcPr>
            <w:tcW w:w="2788" w:type="dxa"/>
            <w:vAlign w:val="center"/>
          </w:tcPr>
          <w:p w14:paraId="06CDFA15" w14:textId="77777777" w:rsidR="00FB6F86" w:rsidRPr="00411E77" w:rsidRDefault="00FB6F86" w:rsidP="00FB6F86">
            <w:pPr>
              <w:pStyle w:val="DefaultText14"/>
              <w:rPr>
                <w:rFonts w:ascii="Arial" w:hAnsi="Arial" w:cs="Arial"/>
                <w:b/>
                <w:sz w:val="20"/>
                <w:szCs w:val="20"/>
              </w:rPr>
            </w:pPr>
          </w:p>
        </w:tc>
      </w:tr>
      <w:tr w:rsidR="00FB6F86" w:rsidRPr="00411E77" w14:paraId="1E50F9C0" w14:textId="77777777" w:rsidTr="0058252E">
        <w:trPr>
          <w:trHeight w:val="1160"/>
          <w:jc w:val="center"/>
        </w:trPr>
        <w:tc>
          <w:tcPr>
            <w:tcW w:w="844" w:type="dxa"/>
            <w:vAlign w:val="center"/>
          </w:tcPr>
          <w:p w14:paraId="37DE4D4B" w14:textId="242E3FE1" w:rsidR="00FB6F86" w:rsidRDefault="00FB6F86" w:rsidP="00FB6F86">
            <w:pPr>
              <w:pStyle w:val="DefaultText14"/>
              <w:jc w:val="center"/>
              <w:rPr>
                <w:rFonts w:ascii="Arial" w:hAnsi="Arial" w:cs="Arial"/>
                <w:sz w:val="20"/>
                <w:szCs w:val="20"/>
              </w:rPr>
            </w:pPr>
            <w:r>
              <w:rPr>
                <w:rFonts w:ascii="Arial" w:hAnsi="Arial" w:cs="Arial"/>
                <w:sz w:val="20"/>
                <w:szCs w:val="20"/>
              </w:rPr>
              <w:t>10</w:t>
            </w:r>
          </w:p>
        </w:tc>
        <w:tc>
          <w:tcPr>
            <w:tcW w:w="3111" w:type="dxa"/>
            <w:vAlign w:val="center"/>
          </w:tcPr>
          <w:p w14:paraId="66480E49" w14:textId="77777777" w:rsidR="00FB6F86" w:rsidRPr="00EC1AD4" w:rsidRDefault="00FB6F86" w:rsidP="00FB6F86">
            <w:pPr>
              <w:pStyle w:val="DefaultText14"/>
              <w:rPr>
                <w:rFonts w:ascii="Arial" w:hAnsi="Arial" w:cs="Arial"/>
                <w:bCs/>
                <w:iCs/>
                <w:sz w:val="20"/>
                <w:szCs w:val="20"/>
              </w:rPr>
            </w:pPr>
            <w:r w:rsidRPr="00EC1AD4">
              <w:rPr>
                <w:rFonts w:ascii="Arial" w:hAnsi="Arial" w:cs="Arial"/>
                <w:bCs/>
                <w:iCs/>
                <w:sz w:val="20"/>
                <w:szCs w:val="20"/>
              </w:rPr>
              <w:t xml:space="preserve">Analyzer </w:t>
            </w:r>
            <w:r>
              <w:rPr>
                <w:rFonts w:ascii="Arial" w:hAnsi="Arial" w:cs="Arial"/>
                <w:bCs/>
                <w:iCs/>
                <w:sz w:val="20"/>
                <w:szCs w:val="20"/>
              </w:rPr>
              <w:t>must</w:t>
            </w:r>
            <w:r w:rsidRPr="00EC1AD4">
              <w:rPr>
                <w:rFonts w:ascii="Arial" w:hAnsi="Arial" w:cs="Arial"/>
                <w:bCs/>
                <w:iCs/>
                <w:sz w:val="20"/>
                <w:szCs w:val="20"/>
              </w:rPr>
              <w:t xml:space="preserve"> run the Nitrogen and sulfur test synchronous.</w:t>
            </w:r>
          </w:p>
        </w:tc>
        <w:tc>
          <w:tcPr>
            <w:tcW w:w="1530" w:type="dxa"/>
            <w:vAlign w:val="center"/>
          </w:tcPr>
          <w:p w14:paraId="7558F0C4"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70197EC5" w14:textId="77777777" w:rsidR="00FB6F86" w:rsidRPr="00411E77" w:rsidRDefault="00FB6F86" w:rsidP="00FB6F86">
            <w:pPr>
              <w:pStyle w:val="DefaultText14"/>
              <w:rPr>
                <w:rFonts w:ascii="Arial" w:hAnsi="Arial" w:cs="Arial"/>
                <w:b/>
                <w:sz w:val="20"/>
                <w:szCs w:val="20"/>
              </w:rPr>
            </w:pPr>
          </w:p>
        </w:tc>
        <w:tc>
          <w:tcPr>
            <w:tcW w:w="2788" w:type="dxa"/>
            <w:vAlign w:val="center"/>
          </w:tcPr>
          <w:p w14:paraId="1D21373E" w14:textId="77777777" w:rsidR="00FB6F86" w:rsidRPr="00411E77" w:rsidRDefault="00FB6F86" w:rsidP="00FB6F86">
            <w:pPr>
              <w:pStyle w:val="DefaultText14"/>
              <w:rPr>
                <w:rFonts w:ascii="Arial" w:hAnsi="Arial" w:cs="Arial"/>
                <w:b/>
                <w:sz w:val="20"/>
                <w:szCs w:val="20"/>
              </w:rPr>
            </w:pPr>
          </w:p>
        </w:tc>
      </w:tr>
      <w:tr w:rsidR="00FB6F86" w:rsidRPr="00411E77" w14:paraId="199416E7" w14:textId="77777777" w:rsidTr="0058252E">
        <w:trPr>
          <w:trHeight w:val="1160"/>
          <w:jc w:val="center"/>
        </w:trPr>
        <w:tc>
          <w:tcPr>
            <w:tcW w:w="844" w:type="dxa"/>
            <w:vAlign w:val="center"/>
          </w:tcPr>
          <w:p w14:paraId="238A0561" w14:textId="1D555137" w:rsidR="00FB6F86" w:rsidRDefault="00FB6F86" w:rsidP="00FB6F86">
            <w:pPr>
              <w:pStyle w:val="DefaultText14"/>
              <w:jc w:val="center"/>
              <w:rPr>
                <w:rFonts w:ascii="Arial" w:hAnsi="Arial" w:cs="Arial"/>
                <w:sz w:val="20"/>
                <w:szCs w:val="20"/>
              </w:rPr>
            </w:pPr>
            <w:r>
              <w:rPr>
                <w:rFonts w:ascii="Arial" w:hAnsi="Arial" w:cs="Arial"/>
                <w:sz w:val="20"/>
                <w:szCs w:val="20"/>
              </w:rPr>
              <w:t>11</w:t>
            </w:r>
          </w:p>
        </w:tc>
        <w:tc>
          <w:tcPr>
            <w:tcW w:w="3111" w:type="dxa"/>
            <w:vAlign w:val="center"/>
          </w:tcPr>
          <w:p w14:paraId="00FD30C9" w14:textId="582746C6" w:rsidR="00FB6F86" w:rsidRPr="00EC1AD4" w:rsidRDefault="00FB6F86" w:rsidP="00FB6F86">
            <w:pPr>
              <w:pStyle w:val="DefaultText14"/>
              <w:rPr>
                <w:rFonts w:ascii="Arial" w:hAnsi="Arial" w:cs="Arial"/>
                <w:bCs/>
                <w:iCs/>
                <w:sz w:val="20"/>
                <w:szCs w:val="20"/>
              </w:rPr>
            </w:pPr>
            <w:r w:rsidRPr="00EC1AD4">
              <w:rPr>
                <w:rFonts w:ascii="Arial" w:hAnsi="Arial" w:cs="Arial"/>
                <w:bCs/>
                <w:iCs/>
                <w:sz w:val="20"/>
                <w:szCs w:val="20"/>
              </w:rPr>
              <w:t xml:space="preserve">Must have calibration standards set, </w:t>
            </w:r>
            <w:r>
              <w:rPr>
                <w:rFonts w:ascii="Arial" w:hAnsi="Arial" w:cs="Arial"/>
                <w:bCs/>
                <w:iCs/>
                <w:sz w:val="20"/>
                <w:szCs w:val="20"/>
              </w:rPr>
              <w:t xml:space="preserve">and </w:t>
            </w:r>
            <w:r w:rsidRPr="00EC1AD4">
              <w:rPr>
                <w:rFonts w:ascii="Arial" w:hAnsi="Arial" w:cs="Arial"/>
                <w:bCs/>
                <w:iCs/>
                <w:sz w:val="20"/>
                <w:szCs w:val="20"/>
              </w:rPr>
              <w:t>reference standards set.</w:t>
            </w:r>
          </w:p>
        </w:tc>
        <w:tc>
          <w:tcPr>
            <w:tcW w:w="1530" w:type="dxa"/>
            <w:vAlign w:val="center"/>
          </w:tcPr>
          <w:p w14:paraId="0C453AA2"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56E70163" w14:textId="77777777" w:rsidR="00FB6F86" w:rsidRPr="00411E77" w:rsidRDefault="00FB6F86" w:rsidP="00FB6F86">
            <w:pPr>
              <w:pStyle w:val="DefaultText14"/>
              <w:rPr>
                <w:rFonts w:ascii="Arial" w:hAnsi="Arial" w:cs="Arial"/>
                <w:b/>
                <w:sz w:val="20"/>
                <w:szCs w:val="20"/>
              </w:rPr>
            </w:pPr>
          </w:p>
        </w:tc>
        <w:tc>
          <w:tcPr>
            <w:tcW w:w="2788" w:type="dxa"/>
            <w:vAlign w:val="center"/>
          </w:tcPr>
          <w:p w14:paraId="772D2291" w14:textId="77777777" w:rsidR="00FB6F86" w:rsidRPr="00411E77" w:rsidRDefault="00FB6F86" w:rsidP="00FB6F86">
            <w:pPr>
              <w:pStyle w:val="DefaultText14"/>
              <w:rPr>
                <w:rFonts w:ascii="Arial" w:hAnsi="Arial" w:cs="Arial"/>
                <w:b/>
                <w:sz w:val="20"/>
                <w:szCs w:val="20"/>
              </w:rPr>
            </w:pPr>
          </w:p>
        </w:tc>
      </w:tr>
      <w:tr w:rsidR="00FB6F86" w:rsidRPr="00411E77" w14:paraId="2D21AC47" w14:textId="77777777" w:rsidTr="0058252E">
        <w:trPr>
          <w:trHeight w:val="1160"/>
          <w:jc w:val="center"/>
        </w:trPr>
        <w:tc>
          <w:tcPr>
            <w:tcW w:w="844" w:type="dxa"/>
            <w:vAlign w:val="center"/>
          </w:tcPr>
          <w:p w14:paraId="613F6A11" w14:textId="6D19607A" w:rsidR="00FB6F86" w:rsidRDefault="00FB6F86" w:rsidP="00FB6F86">
            <w:pPr>
              <w:pStyle w:val="DefaultText14"/>
              <w:jc w:val="center"/>
              <w:rPr>
                <w:rFonts w:ascii="Arial" w:hAnsi="Arial" w:cs="Arial"/>
                <w:sz w:val="20"/>
                <w:szCs w:val="20"/>
              </w:rPr>
            </w:pPr>
            <w:r>
              <w:rPr>
                <w:rFonts w:ascii="Arial" w:hAnsi="Arial" w:cs="Arial"/>
                <w:sz w:val="20"/>
                <w:szCs w:val="20"/>
              </w:rPr>
              <w:t>12</w:t>
            </w:r>
          </w:p>
        </w:tc>
        <w:tc>
          <w:tcPr>
            <w:tcW w:w="3111" w:type="dxa"/>
            <w:vAlign w:val="center"/>
          </w:tcPr>
          <w:p w14:paraId="58D4F952" w14:textId="77777777" w:rsidR="00FB6F86" w:rsidRPr="00EC1AD4" w:rsidRDefault="00FB6F86" w:rsidP="00FB6F86">
            <w:pPr>
              <w:pStyle w:val="DefaultText14"/>
              <w:rPr>
                <w:rFonts w:ascii="Arial" w:hAnsi="Arial" w:cs="Arial"/>
                <w:bCs/>
                <w:iCs/>
                <w:sz w:val="20"/>
                <w:szCs w:val="20"/>
              </w:rPr>
            </w:pPr>
            <w:r w:rsidRPr="00EC1AD4">
              <w:rPr>
                <w:rFonts w:ascii="Arial" w:hAnsi="Arial" w:cs="Arial"/>
                <w:bCs/>
                <w:iCs/>
                <w:sz w:val="20"/>
                <w:szCs w:val="20"/>
                <w:lang w:val="en-US"/>
              </w:rPr>
              <w:t>Must be capable of using Argon or Helium as carrier gas.</w:t>
            </w:r>
          </w:p>
        </w:tc>
        <w:tc>
          <w:tcPr>
            <w:tcW w:w="1530" w:type="dxa"/>
            <w:vAlign w:val="center"/>
          </w:tcPr>
          <w:p w14:paraId="7D6DB53F"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74CF38C1" w14:textId="77777777" w:rsidR="00FB6F86" w:rsidRPr="00411E77" w:rsidRDefault="00FB6F86" w:rsidP="00FB6F86">
            <w:pPr>
              <w:pStyle w:val="DefaultText14"/>
              <w:rPr>
                <w:rFonts w:ascii="Arial" w:hAnsi="Arial" w:cs="Arial"/>
                <w:b/>
                <w:sz w:val="20"/>
                <w:szCs w:val="20"/>
              </w:rPr>
            </w:pPr>
          </w:p>
        </w:tc>
        <w:tc>
          <w:tcPr>
            <w:tcW w:w="2788" w:type="dxa"/>
            <w:vAlign w:val="center"/>
          </w:tcPr>
          <w:p w14:paraId="4CC14284" w14:textId="77777777" w:rsidR="00FB6F86" w:rsidRPr="00411E77" w:rsidRDefault="00FB6F86" w:rsidP="00FB6F86">
            <w:pPr>
              <w:pStyle w:val="DefaultText14"/>
              <w:rPr>
                <w:rFonts w:ascii="Arial" w:hAnsi="Arial" w:cs="Arial"/>
                <w:b/>
                <w:sz w:val="20"/>
                <w:szCs w:val="20"/>
              </w:rPr>
            </w:pPr>
          </w:p>
        </w:tc>
      </w:tr>
      <w:tr w:rsidR="00FB6F86" w:rsidRPr="00411E77" w14:paraId="6048A140" w14:textId="77777777" w:rsidTr="0058252E">
        <w:trPr>
          <w:trHeight w:val="1250"/>
          <w:jc w:val="center"/>
        </w:trPr>
        <w:tc>
          <w:tcPr>
            <w:tcW w:w="844" w:type="dxa"/>
            <w:vAlign w:val="center"/>
          </w:tcPr>
          <w:p w14:paraId="7FDAEFF6" w14:textId="01971CB0" w:rsidR="00FB6F86" w:rsidRDefault="00FB6F86" w:rsidP="00FB6F86">
            <w:pPr>
              <w:pStyle w:val="DefaultText14"/>
              <w:jc w:val="center"/>
              <w:rPr>
                <w:rFonts w:ascii="Arial" w:hAnsi="Arial" w:cs="Arial"/>
                <w:sz w:val="20"/>
                <w:szCs w:val="20"/>
              </w:rPr>
            </w:pPr>
            <w:r>
              <w:rPr>
                <w:rFonts w:ascii="Arial" w:hAnsi="Arial" w:cs="Arial"/>
                <w:sz w:val="20"/>
                <w:szCs w:val="20"/>
              </w:rPr>
              <w:t>13</w:t>
            </w:r>
          </w:p>
        </w:tc>
        <w:tc>
          <w:tcPr>
            <w:tcW w:w="3111" w:type="dxa"/>
            <w:vAlign w:val="center"/>
          </w:tcPr>
          <w:p w14:paraId="0D34BE36" w14:textId="3AF5462F" w:rsidR="00FB6F86" w:rsidRPr="00EC1AD4" w:rsidRDefault="00FB6F86" w:rsidP="00FB6F86">
            <w:pPr>
              <w:pStyle w:val="DefaultText14"/>
              <w:rPr>
                <w:rFonts w:ascii="Arial" w:hAnsi="Arial" w:cs="Arial"/>
                <w:bCs/>
                <w:iCs/>
                <w:sz w:val="20"/>
                <w:szCs w:val="20"/>
              </w:rPr>
            </w:pPr>
            <w:r w:rsidRPr="00EC1AD4">
              <w:rPr>
                <w:rFonts w:ascii="Arial" w:hAnsi="Arial" w:cs="Arial"/>
                <w:bCs/>
                <w:iCs/>
                <w:sz w:val="20"/>
                <w:szCs w:val="20"/>
                <w:lang w:val="en-US"/>
              </w:rPr>
              <w:t xml:space="preserve">Analyzer </w:t>
            </w:r>
            <w:r>
              <w:rPr>
                <w:rFonts w:ascii="Arial" w:hAnsi="Arial" w:cs="Arial"/>
                <w:bCs/>
                <w:iCs/>
                <w:sz w:val="20"/>
                <w:szCs w:val="20"/>
                <w:lang w:val="en-US"/>
              </w:rPr>
              <w:t>must</w:t>
            </w:r>
            <w:r w:rsidRPr="00EC1AD4">
              <w:rPr>
                <w:rFonts w:ascii="Arial" w:hAnsi="Arial" w:cs="Arial"/>
                <w:bCs/>
                <w:iCs/>
                <w:sz w:val="20"/>
                <w:szCs w:val="20"/>
                <w:lang w:val="en-US"/>
              </w:rPr>
              <w:t xml:space="preserve"> run the heav</w:t>
            </w:r>
            <w:r>
              <w:rPr>
                <w:rFonts w:ascii="Arial" w:hAnsi="Arial" w:cs="Arial"/>
                <w:bCs/>
                <w:iCs/>
                <w:sz w:val="20"/>
                <w:szCs w:val="20"/>
                <w:lang w:val="en-US"/>
              </w:rPr>
              <w:t>y</w:t>
            </w:r>
            <w:r w:rsidRPr="00EC1AD4">
              <w:rPr>
                <w:rFonts w:ascii="Arial" w:hAnsi="Arial" w:cs="Arial"/>
                <w:bCs/>
                <w:iCs/>
                <w:sz w:val="20"/>
                <w:szCs w:val="20"/>
                <w:lang w:val="en-US"/>
              </w:rPr>
              <w:t xml:space="preserve"> petroleum hydrocarbon sample to meet ASTM5453 for Sulfur and ASTM4629 for Nitrogen requirement.</w:t>
            </w:r>
          </w:p>
        </w:tc>
        <w:tc>
          <w:tcPr>
            <w:tcW w:w="1530" w:type="dxa"/>
            <w:vAlign w:val="center"/>
          </w:tcPr>
          <w:p w14:paraId="3B71CB40"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178F217B" w14:textId="77777777" w:rsidR="00FB6F86" w:rsidRPr="00411E77" w:rsidRDefault="00FB6F86" w:rsidP="00FB6F86">
            <w:pPr>
              <w:pStyle w:val="DefaultText14"/>
              <w:rPr>
                <w:rFonts w:ascii="Arial" w:hAnsi="Arial" w:cs="Arial"/>
                <w:b/>
                <w:sz w:val="20"/>
                <w:szCs w:val="20"/>
              </w:rPr>
            </w:pPr>
          </w:p>
        </w:tc>
        <w:tc>
          <w:tcPr>
            <w:tcW w:w="2788" w:type="dxa"/>
            <w:vAlign w:val="center"/>
          </w:tcPr>
          <w:p w14:paraId="69042D3E" w14:textId="77777777" w:rsidR="00FB6F86" w:rsidRPr="00411E77" w:rsidRDefault="00FB6F86" w:rsidP="00FB6F86">
            <w:pPr>
              <w:pStyle w:val="DefaultText14"/>
              <w:rPr>
                <w:rFonts w:ascii="Arial" w:hAnsi="Arial" w:cs="Arial"/>
                <w:b/>
                <w:sz w:val="20"/>
                <w:szCs w:val="20"/>
              </w:rPr>
            </w:pPr>
          </w:p>
        </w:tc>
      </w:tr>
      <w:tr w:rsidR="00FB6F86" w:rsidRPr="00411E77" w14:paraId="01E76051" w14:textId="77777777" w:rsidTr="0058252E">
        <w:trPr>
          <w:trHeight w:val="1070"/>
          <w:jc w:val="center"/>
        </w:trPr>
        <w:tc>
          <w:tcPr>
            <w:tcW w:w="844" w:type="dxa"/>
            <w:vAlign w:val="center"/>
          </w:tcPr>
          <w:p w14:paraId="5D5F0C82" w14:textId="1D3442DD" w:rsidR="00FB6F86" w:rsidRDefault="00FB6F86" w:rsidP="00FB6F86">
            <w:pPr>
              <w:pStyle w:val="DefaultText14"/>
              <w:jc w:val="center"/>
              <w:rPr>
                <w:rFonts w:ascii="Arial" w:hAnsi="Arial" w:cs="Arial"/>
                <w:sz w:val="20"/>
                <w:szCs w:val="20"/>
              </w:rPr>
            </w:pPr>
            <w:r>
              <w:rPr>
                <w:rFonts w:ascii="Arial" w:hAnsi="Arial" w:cs="Arial"/>
                <w:sz w:val="20"/>
                <w:szCs w:val="20"/>
              </w:rPr>
              <w:t>14</w:t>
            </w:r>
          </w:p>
        </w:tc>
        <w:tc>
          <w:tcPr>
            <w:tcW w:w="3111" w:type="dxa"/>
            <w:vAlign w:val="center"/>
          </w:tcPr>
          <w:p w14:paraId="226FC586" w14:textId="0DA47F4F" w:rsidR="00FB6F86" w:rsidRPr="00EC1AD4" w:rsidRDefault="00FB6F86" w:rsidP="00FB6F86">
            <w:pPr>
              <w:pStyle w:val="DefaultText14"/>
              <w:rPr>
                <w:rFonts w:ascii="Arial" w:hAnsi="Arial" w:cs="Arial"/>
                <w:bCs/>
                <w:iCs/>
                <w:sz w:val="20"/>
                <w:szCs w:val="20"/>
              </w:rPr>
            </w:pPr>
            <w:r w:rsidRPr="00EC1AD4">
              <w:rPr>
                <w:rFonts w:ascii="Arial" w:hAnsi="Arial" w:cs="Arial"/>
                <w:bCs/>
                <w:iCs/>
                <w:sz w:val="20"/>
                <w:szCs w:val="20"/>
                <w:lang w:val="en-US"/>
              </w:rPr>
              <w:t xml:space="preserve">Analyzer </w:t>
            </w:r>
            <w:r>
              <w:rPr>
                <w:rFonts w:ascii="Arial" w:hAnsi="Arial" w:cs="Arial"/>
                <w:bCs/>
                <w:iCs/>
                <w:sz w:val="20"/>
                <w:szCs w:val="20"/>
                <w:lang w:val="en-US"/>
              </w:rPr>
              <w:t xml:space="preserve">must </w:t>
            </w:r>
            <w:r w:rsidRPr="00EC1AD4">
              <w:rPr>
                <w:rFonts w:ascii="Arial" w:hAnsi="Arial" w:cs="Arial"/>
                <w:bCs/>
                <w:iCs/>
                <w:sz w:val="20"/>
                <w:szCs w:val="20"/>
                <w:lang w:val="en-US"/>
              </w:rPr>
              <w:t>have good stability</w:t>
            </w:r>
            <w:r w:rsidR="00457149">
              <w:rPr>
                <w:rFonts w:ascii="Arial" w:hAnsi="Arial" w:cs="Arial"/>
                <w:bCs/>
                <w:iCs/>
                <w:sz w:val="20"/>
                <w:szCs w:val="20"/>
                <w:lang w:val="en-US"/>
              </w:rPr>
              <w:t xml:space="preserve"> - c</w:t>
            </w:r>
            <w:r w:rsidRPr="00EC1AD4">
              <w:rPr>
                <w:rFonts w:ascii="Arial" w:hAnsi="Arial" w:cs="Arial"/>
                <w:bCs/>
                <w:iCs/>
                <w:sz w:val="20"/>
                <w:szCs w:val="20"/>
                <w:lang w:val="en-US"/>
              </w:rPr>
              <w:t xml:space="preserve">alibration </w:t>
            </w:r>
            <w:r w:rsidR="00457149">
              <w:rPr>
                <w:rFonts w:ascii="Arial" w:hAnsi="Arial" w:cs="Arial"/>
                <w:bCs/>
                <w:iCs/>
                <w:sz w:val="20"/>
                <w:szCs w:val="20"/>
                <w:lang w:val="en-US"/>
              </w:rPr>
              <w:t xml:space="preserve">must last minimum 1 week (5 business days).  </w:t>
            </w:r>
          </w:p>
        </w:tc>
        <w:tc>
          <w:tcPr>
            <w:tcW w:w="1530" w:type="dxa"/>
            <w:vAlign w:val="center"/>
          </w:tcPr>
          <w:p w14:paraId="34F9678B"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5F060C5F" w14:textId="77777777" w:rsidR="00FB6F86" w:rsidRPr="00411E77" w:rsidRDefault="00FB6F86" w:rsidP="00FB6F86">
            <w:pPr>
              <w:pStyle w:val="DefaultText14"/>
              <w:rPr>
                <w:rFonts w:ascii="Arial" w:hAnsi="Arial" w:cs="Arial"/>
                <w:b/>
                <w:sz w:val="20"/>
                <w:szCs w:val="20"/>
              </w:rPr>
            </w:pPr>
          </w:p>
        </w:tc>
        <w:tc>
          <w:tcPr>
            <w:tcW w:w="2788" w:type="dxa"/>
            <w:vAlign w:val="center"/>
          </w:tcPr>
          <w:p w14:paraId="0615804B" w14:textId="77777777" w:rsidR="00FB6F86" w:rsidRPr="00411E77" w:rsidRDefault="00FB6F86" w:rsidP="00FB6F86">
            <w:pPr>
              <w:pStyle w:val="DefaultText14"/>
              <w:rPr>
                <w:rFonts w:ascii="Arial" w:hAnsi="Arial" w:cs="Arial"/>
                <w:b/>
                <w:sz w:val="20"/>
                <w:szCs w:val="20"/>
              </w:rPr>
            </w:pPr>
          </w:p>
        </w:tc>
      </w:tr>
      <w:tr w:rsidR="00D65B9A" w:rsidRPr="00411E77" w14:paraId="110183C8" w14:textId="77777777" w:rsidTr="0058252E">
        <w:trPr>
          <w:trHeight w:val="232"/>
          <w:jc w:val="center"/>
        </w:trPr>
        <w:tc>
          <w:tcPr>
            <w:tcW w:w="844" w:type="dxa"/>
            <w:vAlign w:val="center"/>
          </w:tcPr>
          <w:p w14:paraId="3A14A159" w14:textId="068AE3CD" w:rsidR="00D65B9A" w:rsidRDefault="00D65B9A" w:rsidP="00FB6F86">
            <w:pPr>
              <w:pStyle w:val="DefaultText14"/>
              <w:jc w:val="center"/>
              <w:rPr>
                <w:rFonts w:ascii="Arial" w:hAnsi="Arial" w:cs="Arial"/>
                <w:sz w:val="20"/>
                <w:szCs w:val="20"/>
              </w:rPr>
            </w:pPr>
            <w:r>
              <w:rPr>
                <w:rFonts w:ascii="Arial" w:hAnsi="Arial" w:cs="Arial"/>
                <w:sz w:val="20"/>
                <w:szCs w:val="20"/>
              </w:rPr>
              <w:t>15</w:t>
            </w:r>
          </w:p>
        </w:tc>
        <w:tc>
          <w:tcPr>
            <w:tcW w:w="3111" w:type="dxa"/>
            <w:vAlign w:val="center"/>
          </w:tcPr>
          <w:p w14:paraId="0DD6641A" w14:textId="5CA63599" w:rsidR="00D65B9A" w:rsidRDefault="00D65B9A" w:rsidP="00FB6F86">
            <w:pPr>
              <w:pStyle w:val="DefaultText14"/>
              <w:rPr>
                <w:rFonts w:ascii="Arial" w:hAnsi="Arial" w:cs="Arial"/>
                <w:bCs/>
                <w:iCs/>
                <w:sz w:val="20"/>
                <w:szCs w:val="20"/>
                <w:lang w:val="en-US"/>
              </w:rPr>
            </w:pPr>
            <w:r>
              <w:rPr>
                <w:rFonts w:ascii="Arial" w:hAnsi="Arial" w:cs="Arial"/>
                <w:bCs/>
                <w:iCs/>
                <w:sz w:val="20"/>
                <w:szCs w:val="20"/>
                <w:lang w:val="en-US"/>
              </w:rPr>
              <w:t>Analyzer must have easy maintenance requirements</w:t>
            </w:r>
            <w:r w:rsidR="00457149">
              <w:rPr>
                <w:rFonts w:ascii="Arial" w:hAnsi="Arial" w:cs="Arial"/>
                <w:bCs/>
                <w:iCs/>
                <w:sz w:val="20"/>
                <w:szCs w:val="20"/>
                <w:lang w:val="en-US"/>
              </w:rPr>
              <w:t xml:space="preserve">, including: </w:t>
            </w:r>
          </w:p>
          <w:p w14:paraId="0C8D70B5" w14:textId="1E3954FD" w:rsidR="00D65B9A" w:rsidRDefault="00D65B9A" w:rsidP="00D65B9A">
            <w:pPr>
              <w:pStyle w:val="DefaultText14"/>
              <w:rPr>
                <w:rFonts w:ascii="Arial" w:hAnsi="Arial" w:cs="Arial"/>
                <w:bCs/>
                <w:iCs/>
                <w:sz w:val="20"/>
                <w:szCs w:val="20"/>
                <w:lang w:val="en-US"/>
              </w:rPr>
            </w:pPr>
            <w:r w:rsidRPr="00D65B9A">
              <w:rPr>
                <w:rFonts w:ascii="Arial" w:hAnsi="Arial" w:cs="Arial"/>
                <w:bCs/>
                <w:iCs/>
                <w:sz w:val="20"/>
                <w:szCs w:val="20"/>
                <w:lang w:val="en-US"/>
              </w:rPr>
              <w:t>a.</w:t>
            </w:r>
            <w:r>
              <w:rPr>
                <w:rFonts w:ascii="Arial" w:hAnsi="Arial" w:cs="Arial"/>
                <w:bCs/>
                <w:iCs/>
                <w:sz w:val="20"/>
                <w:szCs w:val="20"/>
                <w:lang w:val="en-US"/>
              </w:rPr>
              <w:t xml:space="preserve"> Annual cleaning for combustion tubes</w:t>
            </w:r>
          </w:p>
          <w:p w14:paraId="447EA681" w14:textId="55477DEA" w:rsidR="00D65B9A" w:rsidRPr="00EC1AD4" w:rsidRDefault="00D65B9A" w:rsidP="00D65B9A">
            <w:pPr>
              <w:pStyle w:val="DefaultText14"/>
              <w:rPr>
                <w:rFonts w:ascii="Arial" w:hAnsi="Arial" w:cs="Arial"/>
                <w:bCs/>
                <w:iCs/>
                <w:sz w:val="20"/>
                <w:szCs w:val="20"/>
                <w:lang w:val="en-US"/>
              </w:rPr>
            </w:pPr>
            <w:r>
              <w:rPr>
                <w:rFonts w:ascii="Arial" w:hAnsi="Arial" w:cs="Arial"/>
                <w:bCs/>
                <w:iCs/>
                <w:sz w:val="20"/>
                <w:szCs w:val="20"/>
                <w:lang w:val="en-US"/>
              </w:rPr>
              <w:t>b. Filters can be changed without shut down or open</w:t>
            </w:r>
            <w:r w:rsidR="000375A7">
              <w:rPr>
                <w:rFonts w:ascii="Arial" w:hAnsi="Arial" w:cs="Arial"/>
                <w:bCs/>
                <w:iCs/>
                <w:sz w:val="20"/>
                <w:szCs w:val="20"/>
                <w:lang w:val="en-US"/>
              </w:rPr>
              <w:t>ing</w:t>
            </w:r>
            <w:r>
              <w:rPr>
                <w:rFonts w:ascii="Arial" w:hAnsi="Arial" w:cs="Arial"/>
                <w:bCs/>
                <w:iCs/>
                <w:sz w:val="20"/>
                <w:szCs w:val="20"/>
                <w:lang w:val="en-US"/>
              </w:rPr>
              <w:t xml:space="preserve"> instrument. </w:t>
            </w:r>
          </w:p>
        </w:tc>
        <w:tc>
          <w:tcPr>
            <w:tcW w:w="1530" w:type="dxa"/>
            <w:vAlign w:val="center"/>
          </w:tcPr>
          <w:p w14:paraId="49C66E2A" w14:textId="7AB4AD79" w:rsidR="00D65B9A" w:rsidRDefault="00457149"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5C7D3026" w14:textId="77777777" w:rsidR="00D65B9A" w:rsidRPr="00411E77" w:rsidRDefault="00D65B9A" w:rsidP="00FB6F86">
            <w:pPr>
              <w:pStyle w:val="DefaultText14"/>
              <w:rPr>
                <w:rFonts w:ascii="Arial" w:hAnsi="Arial" w:cs="Arial"/>
                <w:b/>
                <w:sz w:val="20"/>
                <w:szCs w:val="20"/>
              </w:rPr>
            </w:pPr>
          </w:p>
        </w:tc>
        <w:tc>
          <w:tcPr>
            <w:tcW w:w="2788" w:type="dxa"/>
            <w:vAlign w:val="center"/>
          </w:tcPr>
          <w:p w14:paraId="49AD1B6A" w14:textId="77777777" w:rsidR="00D65B9A" w:rsidRPr="00411E77" w:rsidRDefault="00D65B9A" w:rsidP="00FB6F86">
            <w:pPr>
              <w:pStyle w:val="DefaultText14"/>
              <w:rPr>
                <w:rFonts w:ascii="Arial" w:hAnsi="Arial" w:cs="Arial"/>
                <w:b/>
                <w:sz w:val="20"/>
                <w:szCs w:val="20"/>
              </w:rPr>
            </w:pPr>
          </w:p>
        </w:tc>
      </w:tr>
      <w:tr w:rsidR="00FB6F86" w:rsidRPr="00411E77" w14:paraId="1DF66CB5" w14:textId="77777777" w:rsidTr="0058252E">
        <w:trPr>
          <w:trHeight w:val="1034"/>
          <w:jc w:val="center"/>
        </w:trPr>
        <w:tc>
          <w:tcPr>
            <w:tcW w:w="844" w:type="dxa"/>
            <w:vAlign w:val="center"/>
          </w:tcPr>
          <w:p w14:paraId="15F8258B" w14:textId="73D30015" w:rsidR="00FB6F86" w:rsidRDefault="00FB6F86" w:rsidP="00FB6F86">
            <w:pPr>
              <w:pStyle w:val="DefaultText14"/>
              <w:jc w:val="center"/>
              <w:rPr>
                <w:rFonts w:ascii="Arial" w:hAnsi="Arial" w:cs="Arial"/>
                <w:sz w:val="20"/>
                <w:szCs w:val="20"/>
              </w:rPr>
            </w:pPr>
            <w:r>
              <w:rPr>
                <w:rFonts w:ascii="Arial" w:hAnsi="Arial" w:cs="Arial"/>
                <w:sz w:val="20"/>
                <w:szCs w:val="20"/>
              </w:rPr>
              <w:t>1</w:t>
            </w:r>
            <w:r w:rsidR="00D65B9A">
              <w:rPr>
                <w:rFonts w:ascii="Arial" w:hAnsi="Arial" w:cs="Arial"/>
                <w:sz w:val="20"/>
                <w:szCs w:val="20"/>
              </w:rPr>
              <w:t>6</w:t>
            </w:r>
          </w:p>
        </w:tc>
        <w:tc>
          <w:tcPr>
            <w:tcW w:w="3111" w:type="dxa"/>
            <w:vAlign w:val="center"/>
          </w:tcPr>
          <w:p w14:paraId="6BC50149" w14:textId="7E6BEB7B" w:rsidR="00FB6F86" w:rsidRPr="00EC1AD4" w:rsidRDefault="00D65B9A" w:rsidP="00FB6F86">
            <w:pPr>
              <w:pStyle w:val="DefaultText14"/>
              <w:rPr>
                <w:rFonts w:ascii="Arial" w:hAnsi="Arial" w:cs="Arial"/>
                <w:bCs/>
                <w:iCs/>
                <w:sz w:val="20"/>
                <w:szCs w:val="20"/>
                <w:lang w:val="en-US"/>
              </w:rPr>
            </w:pPr>
            <w:r>
              <w:rPr>
                <w:rFonts w:ascii="Arial" w:hAnsi="Arial" w:cs="Arial"/>
                <w:bCs/>
                <w:iCs/>
                <w:sz w:val="20"/>
                <w:szCs w:val="20"/>
                <w:lang w:val="en-US"/>
              </w:rPr>
              <w:t>Instrument must come with stand-alone</w:t>
            </w:r>
            <w:r w:rsidR="00FB6F86" w:rsidRPr="0024308A">
              <w:rPr>
                <w:rFonts w:ascii="Arial" w:hAnsi="Arial" w:cs="Arial"/>
                <w:bCs/>
                <w:iCs/>
                <w:sz w:val="20"/>
                <w:szCs w:val="20"/>
                <w:lang w:val="en-US"/>
              </w:rPr>
              <w:t xml:space="preserve"> computer to operate the software and communicate with the instrument.</w:t>
            </w:r>
          </w:p>
        </w:tc>
        <w:tc>
          <w:tcPr>
            <w:tcW w:w="1530" w:type="dxa"/>
            <w:vAlign w:val="center"/>
          </w:tcPr>
          <w:p w14:paraId="7FCF4BC5"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4E9AC751" w14:textId="77777777" w:rsidR="00FB6F86" w:rsidRPr="00411E77" w:rsidRDefault="00FB6F86" w:rsidP="00FB6F86">
            <w:pPr>
              <w:pStyle w:val="DefaultText14"/>
              <w:rPr>
                <w:rFonts w:ascii="Arial" w:hAnsi="Arial" w:cs="Arial"/>
                <w:b/>
                <w:sz w:val="20"/>
                <w:szCs w:val="20"/>
              </w:rPr>
            </w:pPr>
          </w:p>
        </w:tc>
        <w:tc>
          <w:tcPr>
            <w:tcW w:w="2788" w:type="dxa"/>
            <w:vAlign w:val="center"/>
          </w:tcPr>
          <w:p w14:paraId="22DD46EB" w14:textId="77777777" w:rsidR="00FB6F86" w:rsidRPr="00411E77" w:rsidRDefault="00FB6F86" w:rsidP="00FB6F86">
            <w:pPr>
              <w:pStyle w:val="DefaultText14"/>
              <w:rPr>
                <w:rFonts w:ascii="Arial" w:hAnsi="Arial" w:cs="Arial"/>
                <w:b/>
                <w:sz w:val="20"/>
                <w:szCs w:val="20"/>
              </w:rPr>
            </w:pPr>
          </w:p>
        </w:tc>
      </w:tr>
      <w:tr w:rsidR="00FB6F86" w:rsidRPr="00411E77" w14:paraId="3E49EE72" w14:textId="77777777" w:rsidTr="0058252E">
        <w:trPr>
          <w:trHeight w:val="872"/>
          <w:jc w:val="center"/>
        </w:trPr>
        <w:tc>
          <w:tcPr>
            <w:tcW w:w="844" w:type="dxa"/>
            <w:vAlign w:val="center"/>
          </w:tcPr>
          <w:p w14:paraId="11B50C3C" w14:textId="08E7AFA2" w:rsidR="00FB6F86" w:rsidRDefault="00FB6F86" w:rsidP="00FB6F86">
            <w:pPr>
              <w:pStyle w:val="DefaultText14"/>
              <w:jc w:val="center"/>
              <w:rPr>
                <w:rFonts w:ascii="Arial" w:hAnsi="Arial" w:cs="Arial"/>
                <w:sz w:val="20"/>
                <w:szCs w:val="20"/>
              </w:rPr>
            </w:pPr>
            <w:r>
              <w:rPr>
                <w:rFonts w:ascii="Arial" w:hAnsi="Arial" w:cs="Arial"/>
                <w:sz w:val="20"/>
                <w:szCs w:val="20"/>
              </w:rPr>
              <w:t>1</w:t>
            </w:r>
            <w:r w:rsidR="00D65B9A">
              <w:rPr>
                <w:rFonts w:ascii="Arial" w:hAnsi="Arial" w:cs="Arial"/>
                <w:sz w:val="20"/>
                <w:szCs w:val="20"/>
              </w:rPr>
              <w:t>7</w:t>
            </w:r>
          </w:p>
        </w:tc>
        <w:tc>
          <w:tcPr>
            <w:tcW w:w="3111" w:type="dxa"/>
            <w:vAlign w:val="center"/>
          </w:tcPr>
          <w:p w14:paraId="69A32147" w14:textId="23AAA149" w:rsidR="00FB6F86" w:rsidRPr="0024308A" w:rsidRDefault="000375A7" w:rsidP="00FB6F86">
            <w:pPr>
              <w:pStyle w:val="DefaultText14"/>
              <w:rPr>
                <w:rFonts w:ascii="Arial" w:hAnsi="Arial" w:cs="Arial"/>
                <w:bCs/>
                <w:iCs/>
                <w:sz w:val="20"/>
                <w:szCs w:val="20"/>
                <w:lang w:val="en-US"/>
              </w:rPr>
            </w:pPr>
            <w:r>
              <w:rPr>
                <w:rFonts w:ascii="Arial" w:hAnsi="Arial" w:cs="Arial"/>
                <w:bCs/>
                <w:iCs/>
                <w:sz w:val="20"/>
                <w:szCs w:val="20"/>
              </w:rPr>
              <w:t>E</w:t>
            </w:r>
            <w:r w:rsidRPr="007A7537">
              <w:rPr>
                <w:rFonts w:ascii="Arial" w:hAnsi="Arial" w:cs="Arial"/>
                <w:bCs/>
                <w:iCs/>
                <w:sz w:val="20"/>
                <w:szCs w:val="20"/>
                <w:lang w:val="en-US"/>
              </w:rPr>
              <w:t>quipment</w:t>
            </w:r>
            <w:r w:rsidR="00FB6F86" w:rsidRPr="007A7537">
              <w:rPr>
                <w:rFonts w:ascii="Arial" w:hAnsi="Arial" w:cs="Arial"/>
                <w:bCs/>
                <w:iCs/>
                <w:sz w:val="20"/>
                <w:szCs w:val="20"/>
                <w:lang w:val="en-US"/>
              </w:rPr>
              <w:t xml:space="preserve"> must have demonstrated industry acceptability by having been manufactured, marketed and sold on the commercial market for at least one (1) year. Equipment must be new, not a loaner unit, demo model or remanufactured.</w:t>
            </w:r>
          </w:p>
        </w:tc>
        <w:tc>
          <w:tcPr>
            <w:tcW w:w="1530" w:type="dxa"/>
            <w:vAlign w:val="center"/>
          </w:tcPr>
          <w:p w14:paraId="32408593" w14:textId="77777777" w:rsidR="00FB6F86" w:rsidRDefault="00FB6F86" w:rsidP="00FB6F86">
            <w:pPr>
              <w:pStyle w:val="DefaultText14"/>
              <w:jc w:val="center"/>
              <w:rPr>
                <w:rFonts w:ascii="Arial" w:hAnsi="Arial" w:cs="Arial"/>
                <w:b/>
                <w:sz w:val="20"/>
                <w:szCs w:val="20"/>
              </w:rPr>
            </w:pPr>
            <w:r>
              <w:rPr>
                <w:rFonts w:ascii="Arial" w:hAnsi="Arial" w:cs="Arial"/>
                <w:b/>
                <w:sz w:val="20"/>
                <w:szCs w:val="20"/>
              </w:rPr>
              <w:t>M</w:t>
            </w:r>
          </w:p>
        </w:tc>
        <w:tc>
          <w:tcPr>
            <w:tcW w:w="2700" w:type="dxa"/>
            <w:vAlign w:val="center"/>
          </w:tcPr>
          <w:p w14:paraId="705117A4" w14:textId="77777777" w:rsidR="00FB6F86" w:rsidRPr="00411E77" w:rsidRDefault="00FB6F86" w:rsidP="00FB6F86">
            <w:pPr>
              <w:pStyle w:val="DefaultText14"/>
              <w:rPr>
                <w:rFonts w:ascii="Arial" w:hAnsi="Arial" w:cs="Arial"/>
                <w:b/>
                <w:sz w:val="20"/>
                <w:szCs w:val="20"/>
              </w:rPr>
            </w:pPr>
          </w:p>
        </w:tc>
        <w:tc>
          <w:tcPr>
            <w:tcW w:w="2788" w:type="dxa"/>
            <w:vAlign w:val="center"/>
          </w:tcPr>
          <w:p w14:paraId="7204D41A" w14:textId="77777777" w:rsidR="00FB6F86" w:rsidRPr="00411E77" w:rsidRDefault="00FB6F86" w:rsidP="00FB6F86">
            <w:pPr>
              <w:pStyle w:val="DefaultText14"/>
              <w:rPr>
                <w:rFonts w:ascii="Arial" w:hAnsi="Arial" w:cs="Arial"/>
                <w:b/>
                <w:sz w:val="20"/>
                <w:szCs w:val="20"/>
              </w:rPr>
            </w:pPr>
          </w:p>
        </w:tc>
      </w:tr>
    </w:tbl>
    <w:p w14:paraId="47F36064" w14:textId="77777777" w:rsidR="00F36499" w:rsidRPr="00615556" w:rsidRDefault="00F36499" w:rsidP="0034339D">
      <w:pPr>
        <w:pStyle w:val="DefaultText"/>
        <w:rPr>
          <w:rFonts w:cs="Arial"/>
        </w:rPr>
      </w:pPr>
    </w:p>
    <w:sectPr w:rsidR="00F36499" w:rsidRPr="00615556" w:rsidSect="0050389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19C9" w14:textId="77777777" w:rsidR="004E5A18" w:rsidRDefault="004E5A18" w:rsidP="0037158A">
      <w:r>
        <w:separator/>
      </w:r>
    </w:p>
  </w:endnote>
  <w:endnote w:type="continuationSeparator" w:id="0">
    <w:p w14:paraId="1BB2E33F" w14:textId="77777777" w:rsidR="004E5A18" w:rsidRDefault="004E5A18" w:rsidP="0037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36EF" w14:textId="77777777" w:rsidR="00D13D31" w:rsidRPr="00FB48E5" w:rsidRDefault="00D13D31" w:rsidP="005172FF">
    <w:pPr>
      <w:pStyle w:val="BodyText"/>
      <w:jc w:val="center"/>
      <w:rPr>
        <w:lang w:val="fr-CA"/>
      </w:rPr>
    </w:pPr>
    <w:r w:rsidRPr="00FB48E5">
      <w:rPr>
        <w:rFonts w:ascii="Arial" w:hAnsi="Arial"/>
        <w:b/>
        <w:sz w:val="16"/>
        <w:lang w:val="fr-CA"/>
      </w:rPr>
      <w:t xml:space="preserve">Page </w:t>
    </w:r>
    <w:r>
      <w:rPr>
        <w:rFonts w:ascii="Arial" w:hAnsi="Arial"/>
        <w:b/>
        <w:sz w:val="16"/>
      </w:rPr>
      <w:fldChar w:fldCharType="begin"/>
    </w:r>
    <w:r w:rsidRPr="00FB48E5">
      <w:rPr>
        <w:rFonts w:ascii="Arial" w:hAnsi="Arial"/>
        <w:b/>
        <w:sz w:val="16"/>
        <w:lang w:val="fr-CA"/>
      </w:rPr>
      <w:instrText>page  \* MERGEFORMAT</w:instrText>
    </w:r>
    <w:r>
      <w:rPr>
        <w:rFonts w:ascii="Arial" w:hAnsi="Arial"/>
        <w:b/>
        <w:sz w:val="16"/>
      </w:rPr>
      <w:fldChar w:fldCharType="separate"/>
    </w:r>
    <w:r>
      <w:rPr>
        <w:rFonts w:ascii="Arial" w:hAnsi="Arial"/>
        <w:b/>
        <w:noProof/>
        <w:sz w:val="16"/>
        <w:lang w:val="fr-CA"/>
      </w:rPr>
      <w:t>21</w:t>
    </w:r>
    <w:r>
      <w:rPr>
        <w:rFonts w:ascii="Arial" w:hAnsi="Arial"/>
        <w:b/>
        <w:sz w:val="16"/>
      </w:rPr>
      <w:fldChar w:fldCharType="end"/>
    </w:r>
    <w:r w:rsidRPr="00FB48E5">
      <w:rPr>
        <w:rFonts w:ascii="Arial" w:hAnsi="Arial"/>
        <w:b/>
        <w:sz w:val="16"/>
        <w:lang w:val="fr-CA"/>
      </w:rPr>
      <w:t xml:space="preserve"> of - de </w:t>
    </w:r>
    <w:r>
      <w:rPr>
        <w:rFonts w:ascii="Arial" w:hAnsi="Arial"/>
        <w:b/>
        <w:noProof/>
        <w:sz w:val="16"/>
        <w:lang w:val="fr-CA"/>
      </w:rPr>
      <w:fldChar w:fldCharType="begin"/>
    </w:r>
    <w:r>
      <w:rPr>
        <w:rFonts w:ascii="Arial" w:hAnsi="Arial"/>
        <w:b/>
        <w:noProof/>
        <w:sz w:val="16"/>
        <w:lang w:val="fr-CA"/>
      </w:rPr>
      <w:instrText>numpages  \* MERGEFORMAT</w:instrText>
    </w:r>
    <w:r>
      <w:rPr>
        <w:rFonts w:ascii="Arial" w:hAnsi="Arial"/>
        <w:b/>
        <w:noProof/>
        <w:sz w:val="16"/>
        <w:lang w:val="fr-CA"/>
      </w:rPr>
      <w:fldChar w:fldCharType="separate"/>
    </w:r>
    <w:r>
      <w:rPr>
        <w:rFonts w:ascii="Arial" w:hAnsi="Arial"/>
        <w:b/>
        <w:noProof/>
        <w:sz w:val="16"/>
        <w:lang w:val="fr-CA"/>
      </w:rPr>
      <w:t>38</w:t>
    </w:r>
    <w:r>
      <w:rPr>
        <w:rFonts w:ascii="Arial" w:hAnsi="Arial"/>
        <w:b/>
        <w:noProof/>
        <w:sz w:val="16"/>
        <w:lang w:val="fr-CA"/>
      </w:rPr>
      <w:fldChar w:fldCharType="end"/>
    </w:r>
  </w:p>
  <w:p w14:paraId="4E164E48" w14:textId="77777777" w:rsidR="00D13D31" w:rsidRDefault="00D13D31">
    <w:pPr>
      <w:pStyle w:val="Footer"/>
    </w:pPr>
  </w:p>
  <w:p w14:paraId="48C609BB" w14:textId="77777777" w:rsidR="00D13D31" w:rsidRDefault="00D1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1587" w14:textId="77777777" w:rsidR="004E5A18" w:rsidRDefault="004E5A18" w:rsidP="0037158A">
      <w:r>
        <w:separator/>
      </w:r>
    </w:p>
  </w:footnote>
  <w:footnote w:type="continuationSeparator" w:id="0">
    <w:p w14:paraId="6CB06D8E" w14:textId="77777777" w:rsidR="004E5A18" w:rsidRDefault="004E5A18" w:rsidP="0037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51A0" w14:textId="083E3784" w:rsidR="0034339D" w:rsidRPr="00C12A7D" w:rsidRDefault="0034339D" w:rsidP="0034339D">
    <w:pPr>
      <w:pStyle w:val="Header"/>
      <w:rPr>
        <w:rFonts w:ascii="Arial Narrow" w:hAnsi="Arial Narrow"/>
      </w:rPr>
    </w:pPr>
    <w:r>
      <w:rPr>
        <w:noProof/>
        <w:lang w:eastAsia="en-CA"/>
      </w:rPr>
      <w:drawing>
        <wp:anchor distT="0" distB="0" distL="114300" distR="114300" simplePos="0" relativeHeight="251659264" behindDoc="1" locked="0" layoutInCell="1" allowOverlap="1" wp14:anchorId="7D0ADB59" wp14:editId="248DE2D7">
          <wp:simplePos x="0" y="0"/>
          <wp:positionH relativeFrom="margin">
            <wp:align>left</wp:align>
          </wp:positionH>
          <wp:positionV relativeFrom="paragraph">
            <wp:posOffset>-405076</wp:posOffset>
          </wp:positionV>
          <wp:extent cx="1634837" cy="1020608"/>
          <wp:effectExtent l="0" t="0" r="3810" b="0"/>
          <wp:wrapNone/>
          <wp:docPr id="3" name="Picture 3" descr="Image result for 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vernment of canad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837" cy="1020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D3A">
      <w:ptab w:relativeTo="margin" w:alignment="center" w:leader="none"/>
    </w:r>
    <w:r w:rsidRPr="00C12A7D">
      <w:rPr>
        <w:rFonts w:ascii="Arial Narrow" w:hAnsi="Arial Narrow"/>
      </w:rPr>
      <w:tab/>
      <w:t xml:space="preserve"> </w:t>
    </w:r>
  </w:p>
  <w:p w14:paraId="637E3D84" w14:textId="42927924" w:rsidR="0034339D" w:rsidRPr="008B296C" w:rsidRDefault="0034339D" w:rsidP="0034339D">
    <w:pPr>
      <w:pStyle w:val="Header"/>
      <w:rPr>
        <w:rFonts w:ascii="Arial Narrow" w:hAnsi="Arial Narrow"/>
        <w:szCs w:val="18"/>
        <w:lang w:val="es-419"/>
      </w:rPr>
    </w:pPr>
    <w:r w:rsidRPr="00C12A7D">
      <w:rPr>
        <w:rFonts w:ascii="Arial Narrow" w:hAnsi="Arial Narrow"/>
      </w:rPr>
      <w:tab/>
    </w:r>
  </w:p>
  <w:p w14:paraId="06564D52" w14:textId="7FC1823D" w:rsidR="00D13D31" w:rsidRPr="0034339D" w:rsidRDefault="00D13D31" w:rsidP="0034339D">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A38"/>
    <w:multiLevelType w:val="multilevel"/>
    <w:tmpl w:val="4672EF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D9071F9"/>
    <w:multiLevelType w:val="multilevel"/>
    <w:tmpl w:val="5D8E7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01739"/>
    <w:multiLevelType w:val="hybridMultilevel"/>
    <w:tmpl w:val="460C9004"/>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426AB4"/>
    <w:multiLevelType w:val="hybridMultilevel"/>
    <w:tmpl w:val="9208B264"/>
    <w:lvl w:ilvl="0" w:tplc="DE4CC10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796954"/>
    <w:multiLevelType w:val="hybridMultilevel"/>
    <w:tmpl w:val="494A1DC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6D6159"/>
    <w:multiLevelType w:val="hybridMultilevel"/>
    <w:tmpl w:val="BA502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1F6A42"/>
    <w:multiLevelType w:val="multilevel"/>
    <w:tmpl w:val="5D8E7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BC42EC"/>
    <w:multiLevelType w:val="hybridMultilevel"/>
    <w:tmpl w:val="63760B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69B782C"/>
    <w:multiLevelType w:val="multilevel"/>
    <w:tmpl w:val="F59C2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6472455"/>
    <w:multiLevelType w:val="multilevel"/>
    <w:tmpl w:val="3496E482"/>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720" w:hanging="360"/>
      </w:pPr>
      <w:rPr>
        <w:rFonts w:hint="default"/>
        <w:color w:val="auto"/>
        <w:sz w:val="20"/>
        <w:szCs w:val="20"/>
      </w:rPr>
    </w:lvl>
    <w:lvl w:ilvl="2">
      <w:start w:val="1"/>
      <w:numFmt w:val="decimal"/>
      <w:lvlText w:val="%1.%2.%3."/>
      <w:lvlJc w:val="left"/>
      <w:pPr>
        <w:ind w:left="792" w:hanging="432"/>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40" w:hanging="360"/>
      </w:pPr>
      <w:rPr>
        <w:rFonts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15:restartNumberingAfterBreak="0">
    <w:nsid w:val="59C40F09"/>
    <w:multiLevelType w:val="hybridMultilevel"/>
    <w:tmpl w:val="E55C9C8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67488881">
    <w:abstractNumId w:val="10"/>
  </w:num>
  <w:num w:numId="2" w16cid:durableId="429203824">
    <w:abstractNumId w:val="5"/>
  </w:num>
  <w:num w:numId="3" w16cid:durableId="1225751211">
    <w:abstractNumId w:val="3"/>
  </w:num>
  <w:num w:numId="4" w16cid:durableId="938103521">
    <w:abstractNumId w:val="8"/>
    <w:lvlOverride w:ilvl="0">
      <w:startOverride w:val="1"/>
    </w:lvlOverride>
  </w:num>
  <w:num w:numId="5" w16cid:durableId="1000160220">
    <w:abstractNumId w:val="8"/>
    <w:lvlOverride w:ilvl="0">
      <w:startOverride w:val="2"/>
    </w:lvlOverride>
  </w:num>
  <w:num w:numId="6" w16cid:durableId="859319706">
    <w:abstractNumId w:val="8"/>
    <w:lvlOverride w:ilvl="0">
      <w:startOverride w:val="3"/>
    </w:lvlOverride>
  </w:num>
  <w:num w:numId="7" w16cid:durableId="1877739352">
    <w:abstractNumId w:val="6"/>
    <w:lvlOverride w:ilvl="0">
      <w:startOverride w:val="1"/>
    </w:lvlOverride>
  </w:num>
  <w:num w:numId="8" w16cid:durableId="516969593">
    <w:abstractNumId w:val="6"/>
    <w:lvlOverride w:ilvl="0">
      <w:startOverride w:val="2"/>
    </w:lvlOverride>
    <w:lvlOverride w:ilvl="1"/>
  </w:num>
  <w:num w:numId="9" w16cid:durableId="539515215">
    <w:abstractNumId w:val="6"/>
    <w:lvlOverride w:ilvl="0"/>
    <w:lvlOverride w:ilvl="1">
      <w:startOverride w:val="1"/>
    </w:lvlOverride>
  </w:num>
  <w:num w:numId="10" w16cid:durableId="2070683829">
    <w:abstractNumId w:val="6"/>
    <w:lvlOverride w:ilvl="0"/>
    <w:lvlOverride w:ilvl="1">
      <w:startOverride w:val="2"/>
    </w:lvlOverride>
  </w:num>
  <w:num w:numId="11" w16cid:durableId="560793050">
    <w:abstractNumId w:val="1"/>
  </w:num>
  <w:num w:numId="12" w16cid:durableId="294801727">
    <w:abstractNumId w:val="9"/>
  </w:num>
  <w:num w:numId="13" w16cid:durableId="875000021">
    <w:abstractNumId w:val="4"/>
  </w:num>
  <w:num w:numId="14" w16cid:durableId="92553993">
    <w:abstractNumId w:val="2"/>
  </w:num>
  <w:num w:numId="15" w16cid:durableId="781654363">
    <w:abstractNumId w:val="7"/>
  </w:num>
  <w:num w:numId="16" w16cid:durableId="132060981">
    <w:abstractNumId w:val="0"/>
  </w:num>
  <w:num w:numId="17" w16cid:durableId="1581020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53"/>
    <w:rsid w:val="00000EB3"/>
    <w:rsid w:val="00001E9E"/>
    <w:rsid w:val="0000266E"/>
    <w:rsid w:val="00002E37"/>
    <w:rsid w:val="0000338B"/>
    <w:rsid w:val="000041DB"/>
    <w:rsid w:val="0000488C"/>
    <w:rsid w:val="000051D0"/>
    <w:rsid w:val="00006C9F"/>
    <w:rsid w:val="000071D9"/>
    <w:rsid w:val="00010697"/>
    <w:rsid w:val="000106CF"/>
    <w:rsid w:val="00010C90"/>
    <w:rsid w:val="000124B5"/>
    <w:rsid w:val="00012B03"/>
    <w:rsid w:val="000142D7"/>
    <w:rsid w:val="000144CD"/>
    <w:rsid w:val="0001478F"/>
    <w:rsid w:val="00014987"/>
    <w:rsid w:val="00015200"/>
    <w:rsid w:val="0001674A"/>
    <w:rsid w:val="00017B41"/>
    <w:rsid w:val="00020AE1"/>
    <w:rsid w:val="00022FD9"/>
    <w:rsid w:val="000232A6"/>
    <w:rsid w:val="00023568"/>
    <w:rsid w:val="000237A6"/>
    <w:rsid w:val="00023AC5"/>
    <w:rsid w:val="00025535"/>
    <w:rsid w:val="0002628D"/>
    <w:rsid w:val="00032E6E"/>
    <w:rsid w:val="000332C4"/>
    <w:rsid w:val="00033AC0"/>
    <w:rsid w:val="00033B17"/>
    <w:rsid w:val="00034C7A"/>
    <w:rsid w:val="0003676C"/>
    <w:rsid w:val="0003718E"/>
    <w:rsid w:val="000375A7"/>
    <w:rsid w:val="00040B5D"/>
    <w:rsid w:val="000416B9"/>
    <w:rsid w:val="00043EE9"/>
    <w:rsid w:val="0004480F"/>
    <w:rsid w:val="000449D9"/>
    <w:rsid w:val="0004553B"/>
    <w:rsid w:val="00046E61"/>
    <w:rsid w:val="00047952"/>
    <w:rsid w:val="00047D03"/>
    <w:rsid w:val="00050042"/>
    <w:rsid w:val="00061CAA"/>
    <w:rsid w:val="0006310B"/>
    <w:rsid w:val="0007059E"/>
    <w:rsid w:val="00070BB5"/>
    <w:rsid w:val="000721D9"/>
    <w:rsid w:val="0007444C"/>
    <w:rsid w:val="00074890"/>
    <w:rsid w:val="000756D9"/>
    <w:rsid w:val="00076696"/>
    <w:rsid w:val="00077154"/>
    <w:rsid w:val="00084E45"/>
    <w:rsid w:val="000861FB"/>
    <w:rsid w:val="000904C0"/>
    <w:rsid w:val="0009050C"/>
    <w:rsid w:val="00091B0E"/>
    <w:rsid w:val="00093FFE"/>
    <w:rsid w:val="00094981"/>
    <w:rsid w:val="00095E6E"/>
    <w:rsid w:val="000967C4"/>
    <w:rsid w:val="00096BF5"/>
    <w:rsid w:val="000A2B0B"/>
    <w:rsid w:val="000A5A9B"/>
    <w:rsid w:val="000A6AED"/>
    <w:rsid w:val="000A754B"/>
    <w:rsid w:val="000A7A2B"/>
    <w:rsid w:val="000B074E"/>
    <w:rsid w:val="000B0B57"/>
    <w:rsid w:val="000B1828"/>
    <w:rsid w:val="000B196C"/>
    <w:rsid w:val="000B1AC4"/>
    <w:rsid w:val="000B1E1C"/>
    <w:rsid w:val="000B2A6F"/>
    <w:rsid w:val="000B4667"/>
    <w:rsid w:val="000B531A"/>
    <w:rsid w:val="000B5699"/>
    <w:rsid w:val="000C08A9"/>
    <w:rsid w:val="000C11D8"/>
    <w:rsid w:val="000C120D"/>
    <w:rsid w:val="000C1578"/>
    <w:rsid w:val="000C18EC"/>
    <w:rsid w:val="000C4358"/>
    <w:rsid w:val="000D04FD"/>
    <w:rsid w:val="000D0C3D"/>
    <w:rsid w:val="000D0ED5"/>
    <w:rsid w:val="000D178D"/>
    <w:rsid w:val="000D3A3B"/>
    <w:rsid w:val="000E00FA"/>
    <w:rsid w:val="000E07C9"/>
    <w:rsid w:val="000E105D"/>
    <w:rsid w:val="000E2952"/>
    <w:rsid w:val="000E4F85"/>
    <w:rsid w:val="000E6176"/>
    <w:rsid w:val="000F13F5"/>
    <w:rsid w:val="000F3135"/>
    <w:rsid w:val="000F4A62"/>
    <w:rsid w:val="000F615E"/>
    <w:rsid w:val="000F662D"/>
    <w:rsid w:val="000F71D4"/>
    <w:rsid w:val="00107BCD"/>
    <w:rsid w:val="0011002A"/>
    <w:rsid w:val="001115D6"/>
    <w:rsid w:val="00112834"/>
    <w:rsid w:val="001131F0"/>
    <w:rsid w:val="00115935"/>
    <w:rsid w:val="00116F08"/>
    <w:rsid w:val="00117652"/>
    <w:rsid w:val="00120013"/>
    <w:rsid w:val="0012006E"/>
    <w:rsid w:val="0012131C"/>
    <w:rsid w:val="00122730"/>
    <w:rsid w:val="00123AA1"/>
    <w:rsid w:val="00124F74"/>
    <w:rsid w:val="0012642F"/>
    <w:rsid w:val="00126CAD"/>
    <w:rsid w:val="001277C4"/>
    <w:rsid w:val="0013182C"/>
    <w:rsid w:val="00132A94"/>
    <w:rsid w:val="001353A4"/>
    <w:rsid w:val="00137B1C"/>
    <w:rsid w:val="00140402"/>
    <w:rsid w:val="00140473"/>
    <w:rsid w:val="00141902"/>
    <w:rsid w:val="00141B69"/>
    <w:rsid w:val="0014254A"/>
    <w:rsid w:val="001427FB"/>
    <w:rsid w:val="0014318E"/>
    <w:rsid w:val="00143A9A"/>
    <w:rsid w:val="00143F32"/>
    <w:rsid w:val="0014523F"/>
    <w:rsid w:val="00145D5B"/>
    <w:rsid w:val="0014694E"/>
    <w:rsid w:val="00150CB9"/>
    <w:rsid w:val="00150DE7"/>
    <w:rsid w:val="001534E7"/>
    <w:rsid w:val="00154374"/>
    <w:rsid w:val="001566C0"/>
    <w:rsid w:val="00157741"/>
    <w:rsid w:val="00157EFD"/>
    <w:rsid w:val="00161D95"/>
    <w:rsid w:val="0016387E"/>
    <w:rsid w:val="001642DE"/>
    <w:rsid w:val="00165E2A"/>
    <w:rsid w:val="00165E60"/>
    <w:rsid w:val="0016689E"/>
    <w:rsid w:val="00167BCF"/>
    <w:rsid w:val="001701A7"/>
    <w:rsid w:val="00170219"/>
    <w:rsid w:val="00171DAB"/>
    <w:rsid w:val="00174350"/>
    <w:rsid w:val="00174A0C"/>
    <w:rsid w:val="00176170"/>
    <w:rsid w:val="00177E25"/>
    <w:rsid w:val="001800B6"/>
    <w:rsid w:val="00180F3A"/>
    <w:rsid w:val="00181AF0"/>
    <w:rsid w:val="00182828"/>
    <w:rsid w:val="00183701"/>
    <w:rsid w:val="00191023"/>
    <w:rsid w:val="001910C6"/>
    <w:rsid w:val="0019190E"/>
    <w:rsid w:val="0019424D"/>
    <w:rsid w:val="00194290"/>
    <w:rsid w:val="001951BC"/>
    <w:rsid w:val="001960D8"/>
    <w:rsid w:val="00196FCD"/>
    <w:rsid w:val="001A0E25"/>
    <w:rsid w:val="001A2A04"/>
    <w:rsid w:val="001A3118"/>
    <w:rsid w:val="001A6545"/>
    <w:rsid w:val="001A6DBC"/>
    <w:rsid w:val="001A6E73"/>
    <w:rsid w:val="001A6F7E"/>
    <w:rsid w:val="001A715A"/>
    <w:rsid w:val="001B032F"/>
    <w:rsid w:val="001B2297"/>
    <w:rsid w:val="001B45EA"/>
    <w:rsid w:val="001B487F"/>
    <w:rsid w:val="001B7543"/>
    <w:rsid w:val="001C0D96"/>
    <w:rsid w:val="001C24FB"/>
    <w:rsid w:val="001C5E69"/>
    <w:rsid w:val="001C6AF3"/>
    <w:rsid w:val="001D43FB"/>
    <w:rsid w:val="001D7558"/>
    <w:rsid w:val="001D79B4"/>
    <w:rsid w:val="001E1984"/>
    <w:rsid w:val="001E3094"/>
    <w:rsid w:val="001E3119"/>
    <w:rsid w:val="001E37D1"/>
    <w:rsid w:val="001E5E02"/>
    <w:rsid w:val="001F287C"/>
    <w:rsid w:val="001F383E"/>
    <w:rsid w:val="0020004F"/>
    <w:rsid w:val="0020073A"/>
    <w:rsid w:val="002014CF"/>
    <w:rsid w:val="002021B3"/>
    <w:rsid w:val="002035F9"/>
    <w:rsid w:val="0020565A"/>
    <w:rsid w:val="0021172A"/>
    <w:rsid w:val="00212B08"/>
    <w:rsid w:val="002153DD"/>
    <w:rsid w:val="0021590C"/>
    <w:rsid w:val="00217A8B"/>
    <w:rsid w:val="0022060D"/>
    <w:rsid w:val="00221183"/>
    <w:rsid w:val="002215BE"/>
    <w:rsid w:val="00223089"/>
    <w:rsid w:val="0022361B"/>
    <w:rsid w:val="00225CBA"/>
    <w:rsid w:val="00226074"/>
    <w:rsid w:val="00226872"/>
    <w:rsid w:val="00227F91"/>
    <w:rsid w:val="00230187"/>
    <w:rsid w:val="002305A7"/>
    <w:rsid w:val="002320B3"/>
    <w:rsid w:val="00232ED3"/>
    <w:rsid w:val="00233145"/>
    <w:rsid w:val="002351ED"/>
    <w:rsid w:val="00236212"/>
    <w:rsid w:val="002370E0"/>
    <w:rsid w:val="00237451"/>
    <w:rsid w:val="002374F7"/>
    <w:rsid w:val="00247186"/>
    <w:rsid w:val="0024781D"/>
    <w:rsid w:val="0025279E"/>
    <w:rsid w:val="00252922"/>
    <w:rsid w:val="0025310D"/>
    <w:rsid w:val="0025324E"/>
    <w:rsid w:val="00254AAA"/>
    <w:rsid w:val="00254F36"/>
    <w:rsid w:val="0025533F"/>
    <w:rsid w:val="0025566C"/>
    <w:rsid w:val="00260EE4"/>
    <w:rsid w:val="00262D0D"/>
    <w:rsid w:val="002644D6"/>
    <w:rsid w:val="002646EA"/>
    <w:rsid w:val="00264C3F"/>
    <w:rsid w:val="00264FFD"/>
    <w:rsid w:val="0027167B"/>
    <w:rsid w:val="00272676"/>
    <w:rsid w:val="0027284D"/>
    <w:rsid w:val="00273597"/>
    <w:rsid w:val="002738D8"/>
    <w:rsid w:val="00273943"/>
    <w:rsid w:val="00275871"/>
    <w:rsid w:val="00277253"/>
    <w:rsid w:val="0027756A"/>
    <w:rsid w:val="00280007"/>
    <w:rsid w:val="0028186D"/>
    <w:rsid w:val="00281E86"/>
    <w:rsid w:val="00282968"/>
    <w:rsid w:val="00282EFB"/>
    <w:rsid w:val="00283323"/>
    <w:rsid w:val="00283A61"/>
    <w:rsid w:val="002841DA"/>
    <w:rsid w:val="002844BA"/>
    <w:rsid w:val="00286310"/>
    <w:rsid w:val="00286431"/>
    <w:rsid w:val="00287ADF"/>
    <w:rsid w:val="00287B92"/>
    <w:rsid w:val="00287DE1"/>
    <w:rsid w:val="0029296F"/>
    <w:rsid w:val="002933DE"/>
    <w:rsid w:val="002939EF"/>
    <w:rsid w:val="00294273"/>
    <w:rsid w:val="00295449"/>
    <w:rsid w:val="0029549B"/>
    <w:rsid w:val="002956F5"/>
    <w:rsid w:val="00296936"/>
    <w:rsid w:val="002A030B"/>
    <w:rsid w:val="002A16CB"/>
    <w:rsid w:val="002A19BB"/>
    <w:rsid w:val="002A35F3"/>
    <w:rsid w:val="002A7B41"/>
    <w:rsid w:val="002A7E45"/>
    <w:rsid w:val="002B1205"/>
    <w:rsid w:val="002B4BC0"/>
    <w:rsid w:val="002B4D58"/>
    <w:rsid w:val="002B5AFB"/>
    <w:rsid w:val="002B7072"/>
    <w:rsid w:val="002B7FD5"/>
    <w:rsid w:val="002C0E9C"/>
    <w:rsid w:val="002C21DF"/>
    <w:rsid w:val="002C387C"/>
    <w:rsid w:val="002C48CA"/>
    <w:rsid w:val="002C5621"/>
    <w:rsid w:val="002C7132"/>
    <w:rsid w:val="002D0ABF"/>
    <w:rsid w:val="002D14F4"/>
    <w:rsid w:val="002D2653"/>
    <w:rsid w:val="002D42B6"/>
    <w:rsid w:val="002D550F"/>
    <w:rsid w:val="002E016B"/>
    <w:rsid w:val="002E0607"/>
    <w:rsid w:val="002E0E18"/>
    <w:rsid w:val="002E1B90"/>
    <w:rsid w:val="002E1C6F"/>
    <w:rsid w:val="002E3C5F"/>
    <w:rsid w:val="002E6387"/>
    <w:rsid w:val="002E6AB4"/>
    <w:rsid w:val="002E6E7B"/>
    <w:rsid w:val="002E7010"/>
    <w:rsid w:val="002F0382"/>
    <w:rsid w:val="002F1593"/>
    <w:rsid w:val="002F1F00"/>
    <w:rsid w:val="002F21A2"/>
    <w:rsid w:val="002F456C"/>
    <w:rsid w:val="002F46AB"/>
    <w:rsid w:val="002F5B78"/>
    <w:rsid w:val="002F610B"/>
    <w:rsid w:val="002F6A12"/>
    <w:rsid w:val="002F6D2B"/>
    <w:rsid w:val="00305B08"/>
    <w:rsid w:val="003061E7"/>
    <w:rsid w:val="0030620C"/>
    <w:rsid w:val="003064BF"/>
    <w:rsid w:val="00311F50"/>
    <w:rsid w:val="00312A0E"/>
    <w:rsid w:val="00313421"/>
    <w:rsid w:val="0031342B"/>
    <w:rsid w:val="00315FEF"/>
    <w:rsid w:val="003222C8"/>
    <w:rsid w:val="00322F2D"/>
    <w:rsid w:val="00323D45"/>
    <w:rsid w:val="00324574"/>
    <w:rsid w:val="003260EE"/>
    <w:rsid w:val="003262AF"/>
    <w:rsid w:val="0032725A"/>
    <w:rsid w:val="003300F0"/>
    <w:rsid w:val="00330406"/>
    <w:rsid w:val="00331E29"/>
    <w:rsid w:val="00332866"/>
    <w:rsid w:val="00333A8D"/>
    <w:rsid w:val="003345FE"/>
    <w:rsid w:val="003357F4"/>
    <w:rsid w:val="00336552"/>
    <w:rsid w:val="003402E5"/>
    <w:rsid w:val="00340698"/>
    <w:rsid w:val="00342EFE"/>
    <w:rsid w:val="0034339D"/>
    <w:rsid w:val="00345239"/>
    <w:rsid w:val="00350D58"/>
    <w:rsid w:val="003516AC"/>
    <w:rsid w:val="00354C67"/>
    <w:rsid w:val="00356373"/>
    <w:rsid w:val="00356C35"/>
    <w:rsid w:val="00361AA1"/>
    <w:rsid w:val="00361EAD"/>
    <w:rsid w:val="003624DC"/>
    <w:rsid w:val="003651B0"/>
    <w:rsid w:val="003657E1"/>
    <w:rsid w:val="003702A4"/>
    <w:rsid w:val="00370CA8"/>
    <w:rsid w:val="00370F40"/>
    <w:rsid w:val="0037158A"/>
    <w:rsid w:val="00371DDF"/>
    <w:rsid w:val="0037213F"/>
    <w:rsid w:val="00372DD5"/>
    <w:rsid w:val="0037559A"/>
    <w:rsid w:val="003762BB"/>
    <w:rsid w:val="00376776"/>
    <w:rsid w:val="00376996"/>
    <w:rsid w:val="00376ADD"/>
    <w:rsid w:val="0037784B"/>
    <w:rsid w:val="00381012"/>
    <w:rsid w:val="003811AD"/>
    <w:rsid w:val="00383208"/>
    <w:rsid w:val="00383278"/>
    <w:rsid w:val="003842D7"/>
    <w:rsid w:val="003846FD"/>
    <w:rsid w:val="003847FE"/>
    <w:rsid w:val="003854BD"/>
    <w:rsid w:val="003854CD"/>
    <w:rsid w:val="003858E7"/>
    <w:rsid w:val="00391B97"/>
    <w:rsid w:val="003928E1"/>
    <w:rsid w:val="00393263"/>
    <w:rsid w:val="00393569"/>
    <w:rsid w:val="00393EC7"/>
    <w:rsid w:val="00395AF3"/>
    <w:rsid w:val="00395FCC"/>
    <w:rsid w:val="003963E7"/>
    <w:rsid w:val="00396419"/>
    <w:rsid w:val="0039766C"/>
    <w:rsid w:val="00397773"/>
    <w:rsid w:val="003A1F6B"/>
    <w:rsid w:val="003A62B9"/>
    <w:rsid w:val="003A63ED"/>
    <w:rsid w:val="003A6606"/>
    <w:rsid w:val="003A6ED3"/>
    <w:rsid w:val="003A7B6D"/>
    <w:rsid w:val="003B0D7B"/>
    <w:rsid w:val="003B2C96"/>
    <w:rsid w:val="003B34F5"/>
    <w:rsid w:val="003B5CD7"/>
    <w:rsid w:val="003B5F9E"/>
    <w:rsid w:val="003B6CED"/>
    <w:rsid w:val="003C068E"/>
    <w:rsid w:val="003C0B43"/>
    <w:rsid w:val="003C404E"/>
    <w:rsid w:val="003C5121"/>
    <w:rsid w:val="003C62BD"/>
    <w:rsid w:val="003C70ED"/>
    <w:rsid w:val="003D03AC"/>
    <w:rsid w:val="003D0A44"/>
    <w:rsid w:val="003D1228"/>
    <w:rsid w:val="003D1A21"/>
    <w:rsid w:val="003D27BA"/>
    <w:rsid w:val="003D3057"/>
    <w:rsid w:val="003D360C"/>
    <w:rsid w:val="003D5DB3"/>
    <w:rsid w:val="003D656E"/>
    <w:rsid w:val="003D6E65"/>
    <w:rsid w:val="003D6F9C"/>
    <w:rsid w:val="003D75EF"/>
    <w:rsid w:val="003E02A7"/>
    <w:rsid w:val="003E0C78"/>
    <w:rsid w:val="003E0E3B"/>
    <w:rsid w:val="003E28F3"/>
    <w:rsid w:val="003E617B"/>
    <w:rsid w:val="003F2443"/>
    <w:rsid w:val="003F298C"/>
    <w:rsid w:val="003F3806"/>
    <w:rsid w:val="003F3D65"/>
    <w:rsid w:val="003F3DC1"/>
    <w:rsid w:val="003F5429"/>
    <w:rsid w:val="003F55F3"/>
    <w:rsid w:val="003F570A"/>
    <w:rsid w:val="003F60D0"/>
    <w:rsid w:val="003F7CE0"/>
    <w:rsid w:val="004032ED"/>
    <w:rsid w:val="004069CB"/>
    <w:rsid w:val="00411935"/>
    <w:rsid w:val="00412D0F"/>
    <w:rsid w:val="00412F88"/>
    <w:rsid w:val="00416FBF"/>
    <w:rsid w:val="00421AA2"/>
    <w:rsid w:val="00422A0F"/>
    <w:rsid w:val="00422B37"/>
    <w:rsid w:val="0042547A"/>
    <w:rsid w:val="004267FF"/>
    <w:rsid w:val="0042797A"/>
    <w:rsid w:val="004307EF"/>
    <w:rsid w:val="00431603"/>
    <w:rsid w:val="004318C9"/>
    <w:rsid w:val="0043227B"/>
    <w:rsid w:val="004337E5"/>
    <w:rsid w:val="00433CE3"/>
    <w:rsid w:val="004351A7"/>
    <w:rsid w:val="00436143"/>
    <w:rsid w:val="00440234"/>
    <w:rsid w:val="0044299B"/>
    <w:rsid w:val="00443A8B"/>
    <w:rsid w:val="00444696"/>
    <w:rsid w:val="00446170"/>
    <w:rsid w:val="00446E9B"/>
    <w:rsid w:val="00447A59"/>
    <w:rsid w:val="00447A7C"/>
    <w:rsid w:val="00447F3B"/>
    <w:rsid w:val="00451568"/>
    <w:rsid w:val="00453BF6"/>
    <w:rsid w:val="004555E8"/>
    <w:rsid w:val="00456638"/>
    <w:rsid w:val="00456F46"/>
    <w:rsid w:val="00457149"/>
    <w:rsid w:val="004572F8"/>
    <w:rsid w:val="0046129E"/>
    <w:rsid w:val="004618DD"/>
    <w:rsid w:val="00462638"/>
    <w:rsid w:val="00464E9B"/>
    <w:rsid w:val="00465C93"/>
    <w:rsid w:val="00465FEF"/>
    <w:rsid w:val="00466DB1"/>
    <w:rsid w:val="00471F3F"/>
    <w:rsid w:val="004748EA"/>
    <w:rsid w:val="00476521"/>
    <w:rsid w:val="004768A4"/>
    <w:rsid w:val="00476DB8"/>
    <w:rsid w:val="00477252"/>
    <w:rsid w:val="00477541"/>
    <w:rsid w:val="00481326"/>
    <w:rsid w:val="00481A4D"/>
    <w:rsid w:val="00482086"/>
    <w:rsid w:val="00485492"/>
    <w:rsid w:val="004869F9"/>
    <w:rsid w:val="00486AFA"/>
    <w:rsid w:val="00486E88"/>
    <w:rsid w:val="004878B7"/>
    <w:rsid w:val="00493FCD"/>
    <w:rsid w:val="00494355"/>
    <w:rsid w:val="00494869"/>
    <w:rsid w:val="00494F69"/>
    <w:rsid w:val="004957AC"/>
    <w:rsid w:val="00495B6F"/>
    <w:rsid w:val="00496F68"/>
    <w:rsid w:val="00496FD0"/>
    <w:rsid w:val="004A0413"/>
    <w:rsid w:val="004A1C48"/>
    <w:rsid w:val="004A298C"/>
    <w:rsid w:val="004A2EA5"/>
    <w:rsid w:val="004A4D65"/>
    <w:rsid w:val="004A57F7"/>
    <w:rsid w:val="004A646A"/>
    <w:rsid w:val="004B0194"/>
    <w:rsid w:val="004B01AA"/>
    <w:rsid w:val="004B0250"/>
    <w:rsid w:val="004B151B"/>
    <w:rsid w:val="004B2378"/>
    <w:rsid w:val="004B2711"/>
    <w:rsid w:val="004B27A3"/>
    <w:rsid w:val="004B29CD"/>
    <w:rsid w:val="004B6379"/>
    <w:rsid w:val="004C08FE"/>
    <w:rsid w:val="004C19EF"/>
    <w:rsid w:val="004C1C34"/>
    <w:rsid w:val="004C24BD"/>
    <w:rsid w:val="004C32A1"/>
    <w:rsid w:val="004C5567"/>
    <w:rsid w:val="004C6778"/>
    <w:rsid w:val="004D19CA"/>
    <w:rsid w:val="004D50EE"/>
    <w:rsid w:val="004D644C"/>
    <w:rsid w:val="004D67B1"/>
    <w:rsid w:val="004E0B44"/>
    <w:rsid w:val="004E0C95"/>
    <w:rsid w:val="004E181D"/>
    <w:rsid w:val="004E2107"/>
    <w:rsid w:val="004E23FD"/>
    <w:rsid w:val="004E325C"/>
    <w:rsid w:val="004E4566"/>
    <w:rsid w:val="004E4E9A"/>
    <w:rsid w:val="004E5A18"/>
    <w:rsid w:val="004E5CF4"/>
    <w:rsid w:val="004E6EB4"/>
    <w:rsid w:val="004F06F5"/>
    <w:rsid w:val="004F5A58"/>
    <w:rsid w:val="004F6B39"/>
    <w:rsid w:val="0050389B"/>
    <w:rsid w:val="005044B8"/>
    <w:rsid w:val="005064A5"/>
    <w:rsid w:val="00506D88"/>
    <w:rsid w:val="005102C1"/>
    <w:rsid w:val="005104CC"/>
    <w:rsid w:val="00510D7A"/>
    <w:rsid w:val="00511440"/>
    <w:rsid w:val="00511D18"/>
    <w:rsid w:val="0051456A"/>
    <w:rsid w:val="005146FE"/>
    <w:rsid w:val="005151B0"/>
    <w:rsid w:val="005172FF"/>
    <w:rsid w:val="00522831"/>
    <w:rsid w:val="005235A6"/>
    <w:rsid w:val="005239D7"/>
    <w:rsid w:val="005244F9"/>
    <w:rsid w:val="00525492"/>
    <w:rsid w:val="00525A6F"/>
    <w:rsid w:val="00526EF8"/>
    <w:rsid w:val="00530D47"/>
    <w:rsid w:val="00530DEC"/>
    <w:rsid w:val="005319BF"/>
    <w:rsid w:val="00532D1F"/>
    <w:rsid w:val="005353C1"/>
    <w:rsid w:val="00536D43"/>
    <w:rsid w:val="00537B5E"/>
    <w:rsid w:val="005418C1"/>
    <w:rsid w:val="00543135"/>
    <w:rsid w:val="0054547F"/>
    <w:rsid w:val="005468E8"/>
    <w:rsid w:val="00550B0D"/>
    <w:rsid w:val="00551539"/>
    <w:rsid w:val="00551D08"/>
    <w:rsid w:val="00551D8D"/>
    <w:rsid w:val="005523CF"/>
    <w:rsid w:val="00552477"/>
    <w:rsid w:val="00555218"/>
    <w:rsid w:val="00560CA9"/>
    <w:rsid w:val="005641E0"/>
    <w:rsid w:val="00565712"/>
    <w:rsid w:val="005707B4"/>
    <w:rsid w:val="00572C86"/>
    <w:rsid w:val="00576CE1"/>
    <w:rsid w:val="00577E1B"/>
    <w:rsid w:val="00577EEB"/>
    <w:rsid w:val="005810F4"/>
    <w:rsid w:val="00581F2E"/>
    <w:rsid w:val="0058252E"/>
    <w:rsid w:val="00583863"/>
    <w:rsid w:val="00584CA5"/>
    <w:rsid w:val="00585159"/>
    <w:rsid w:val="00585FBD"/>
    <w:rsid w:val="00586559"/>
    <w:rsid w:val="00586BD6"/>
    <w:rsid w:val="00586BFA"/>
    <w:rsid w:val="005876A3"/>
    <w:rsid w:val="005903DC"/>
    <w:rsid w:val="00591152"/>
    <w:rsid w:val="00591AA9"/>
    <w:rsid w:val="00592157"/>
    <w:rsid w:val="00593237"/>
    <w:rsid w:val="00595ED9"/>
    <w:rsid w:val="00596BE1"/>
    <w:rsid w:val="00597AE3"/>
    <w:rsid w:val="005A1E72"/>
    <w:rsid w:val="005A1E9C"/>
    <w:rsid w:val="005A2E09"/>
    <w:rsid w:val="005A469B"/>
    <w:rsid w:val="005A7647"/>
    <w:rsid w:val="005A765D"/>
    <w:rsid w:val="005A7792"/>
    <w:rsid w:val="005A7832"/>
    <w:rsid w:val="005B0B3A"/>
    <w:rsid w:val="005B0F94"/>
    <w:rsid w:val="005B2823"/>
    <w:rsid w:val="005B28C8"/>
    <w:rsid w:val="005B3014"/>
    <w:rsid w:val="005B363A"/>
    <w:rsid w:val="005B36DD"/>
    <w:rsid w:val="005B4B57"/>
    <w:rsid w:val="005B6B5C"/>
    <w:rsid w:val="005B6E7E"/>
    <w:rsid w:val="005B7CAD"/>
    <w:rsid w:val="005C05CC"/>
    <w:rsid w:val="005C0B85"/>
    <w:rsid w:val="005C0F9B"/>
    <w:rsid w:val="005C550F"/>
    <w:rsid w:val="005C5D7C"/>
    <w:rsid w:val="005C64B2"/>
    <w:rsid w:val="005C6E20"/>
    <w:rsid w:val="005D20E6"/>
    <w:rsid w:val="005D2DD6"/>
    <w:rsid w:val="005D5054"/>
    <w:rsid w:val="005D6E7E"/>
    <w:rsid w:val="005D70AA"/>
    <w:rsid w:val="005E19B5"/>
    <w:rsid w:val="005E4010"/>
    <w:rsid w:val="005E4F4A"/>
    <w:rsid w:val="005F217E"/>
    <w:rsid w:val="005F28A8"/>
    <w:rsid w:val="005F46BF"/>
    <w:rsid w:val="005F4F24"/>
    <w:rsid w:val="005F65A8"/>
    <w:rsid w:val="005F769D"/>
    <w:rsid w:val="005F77A2"/>
    <w:rsid w:val="0060012B"/>
    <w:rsid w:val="006009F5"/>
    <w:rsid w:val="00600A69"/>
    <w:rsid w:val="0060119F"/>
    <w:rsid w:val="00603367"/>
    <w:rsid w:val="006049E8"/>
    <w:rsid w:val="00604DDA"/>
    <w:rsid w:val="006064FD"/>
    <w:rsid w:val="00606889"/>
    <w:rsid w:val="00606F47"/>
    <w:rsid w:val="00607E92"/>
    <w:rsid w:val="00611654"/>
    <w:rsid w:val="006116D0"/>
    <w:rsid w:val="00612627"/>
    <w:rsid w:val="0061266F"/>
    <w:rsid w:val="0061317D"/>
    <w:rsid w:val="00613AD2"/>
    <w:rsid w:val="006143D3"/>
    <w:rsid w:val="00614A01"/>
    <w:rsid w:val="00615556"/>
    <w:rsid w:val="006213CF"/>
    <w:rsid w:val="00624C38"/>
    <w:rsid w:val="00626DFB"/>
    <w:rsid w:val="006301FF"/>
    <w:rsid w:val="00630508"/>
    <w:rsid w:val="00630D2A"/>
    <w:rsid w:val="00631726"/>
    <w:rsid w:val="00634649"/>
    <w:rsid w:val="0063527F"/>
    <w:rsid w:val="00635A35"/>
    <w:rsid w:val="006363D5"/>
    <w:rsid w:val="006364C5"/>
    <w:rsid w:val="006379F0"/>
    <w:rsid w:val="00640279"/>
    <w:rsid w:val="00641A8C"/>
    <w:rsid w:val="00642F6A"/>
    <w:rsid w:val="00644E31"/>
    <w:rsid w:val="00645E66"/>
    <w:rsid w:val="00650285"/>
    <w:rsid w:val="006525FC"/>
    <w:rsid w:val="00652F73"/>
    <w:rsid w:val="00654931"/>
    <w:rsid w:val="006552A7"/>
    <w:rsid w:val="0065546D"/>
    <w:rsid w:val="00655BE6"/>
    <w:rsid w:val="006566FD"/>
    <w:rsid w:val="00656930"/>
    <w:rsid w:val="006569A1"/>
    <w:rsid w:val="00656EA6"/>
    <w:rsid w:val="00657D9F"/>
    <w:rsid w:val="006602AF"/>
    <w:rsid w:val="00667BD7"/>
    <w:rsid w:val="00670A39"/>
    <w:rsid w:val="00671748"/>
    <w:rsid w:val="006740E0"/>
    <w:rsid w:val="00676546"/>
    <w:rsid w:val="006778B3"/>
    <w:rsid w:val="00677940"/>
    <w:rsid w:val="006815F6"/>
    <w:rsid w:val="0068416A"/>
    <w:rsid w:val="0068493A"/>
    <w:rsid w:val="00684B26"/>
    <w:rsid w:val="00685422"/>
    <w:rsid w:val="00687A7B"/>
    <w:rsid w:val="00690984"/>
    <w:rsid w:val="0069195C"/>
    <w:rsid w:val="006929F5"/>
    <w:rsid w:val="00694B9F"/>
    <w:rsid w:val="00696653"/>
    <w:rsid w:val="00697334"/>
    <w:rsid w:val="00697A70"/>
    <w:rsid w:val="006A098D"/>
    <w:rsid w:val="006A2383"/>
    <w:rsid w:val="006A24D5"/>
    <w:rsid w:val="006A2851"/>
    <w:rsid w:val="006A5447"/>
    <w:rsid w:val="006A6CD4"/>
    <w:rsid w:val="006A6ECE"/>
    <w:rsid w:val="006A7847"/>
    <w:rsid w:val="006B1841"/>
    <w:rsid w:val="006B2FF7"/>
    <w:rsid w:val="006B35BD"/>
    <w:rsid w:val="006B3722"/>
    <w:rsid w:val="006B40DA"/>
    <w:rsid w:val="006B64F8"/>
    <w:rsid w:val="006C0A8D"/>
    <w:rsid w:val="006C14DC"/>
    <w:rsid w:val="006C49C8"/>
    <w:rsid w:val="006C56EC"/>
    <w:rsid w:val="006C7451"/>
    <w:rsid w:val="006C7C7A"/>
    <w:rsid w:val="006D174B"/>
    <w:rsid w:val="006D5348"/>
    <w:rsid w:val="006D53BF"/>
    <w:rsid w:val="006D5BD4"/>
    <w:rsid w:val="006E01D4"/>
    <w:rsid w:val="006E1B68"/>
    <w:rsid w:val="006E2A72"/>
    <w:rsid w:val="006E2E60"/>
    <w:rsid w:val="006E3146"/>
    <w:rsid w:val="006E3619"/>
    <w:rsid w:val="006E56F0"/>
    <w:rsid w:val="006F2D87"/>
    <w:rsid w:val="006F3792"/>
    <w:rsid w:val="006F4750"/>
    <w:rsid w:val="006F4FD4"/>
    <w:rsid w:val="00702061"/>
    <w:rsid w:val="00702AA5"/>
    <w:rsid w:val="00704FC4"/>
    <w:rsid w:val="00705BFD"/>
    <w:rsid w:val="00707948"/>
    <w:rsid w:val="0071135F"/>
    <w:rsid w:val="00711AA8"/>
    <w:rsid w:val="00713547"/>
    <w:rsid w:val="00713BCE"/>
    <w:rsid w:val="007149EF"/>
    <w:rsid w:val="007158BC"/>
    <w:rsid w:val="00716049"/>
    <w:rsid w:val="00717607"/>
    <w:rsid w:val="00717F6D"/>
    <w:rsid w:val="007205A4"/>
    <w:rsid w:val="007256F8"/>
    <w:rsid w:val="00727A17"/>
    <w:rsid w:val="007305B7"/>
    <w:rsid w:val="007364DF"/>
    <w:rsid w:val="00740814"/>
    <w:rsid w:val="00740F1D"/>
    <w:rsid w:val="00741391"/>
    <w:rsid w:val="007438AC"/>
    <w:rsid w:val="00745494"/>
    <w:rsid w:val="00750B2A"/>
    <w:rsid w:val="007525F5"/>
    <w:rsid w:val="007535C8"/>
    <w:rsid w:val="00753EF4"/>
    <w:rsid w:val="00754258"/>
    <w:rsid w:val="00757067"/>
    <w:rsid w:val="00760260"/>
    <w:rsid w:val="00763996"/>
    <w:rsid w:val="00764265"/>
    <w:rsid w:val="00764AF5"/>
    <w:rsid w:val="007652FB"/>
    <w:rsid w:val="00770923"/>
    <w:rsid w:val="0077096F"/>
    <w:rsid w:val="00770B8D"/>
    <w:rsid w:val="0077161F"/>
    <w:rsid w:val="00774E5E"/>
    <w:rsid w:val="00776058"/>
    <w:rsid w:val="00776BB3"/>
    <w:rsid w:val="007772BE"/>
    <w:rsid w:val="007800DD"/>
    <w:rsid w:val="007822B3"/>
    <w:rsid w:val="00782454"/>
    <w:rsid w:val="00785B33"/>
    <w:rsid w:val="00786480"/>
    <w:rsid w:val="007866D6"/>
    <w:rsid w:val="0079139E"/>
    <w:rsid w:val="007952B5"/>
    <w:rsid w:val="0079638F"/>
    <w:rsid w:val="007A253E"/>
    <w:rsid w:val="007A41E3"/>
    <w:rsid w:val="007A590E"/>
    <w:rsid w:val="007A5BD6"/>
    <w:rsid w:val="007B1102"/>
    <w:rsid w:val="007B110C"/>
    <w:rsid w:val="007B1208"/>
    <w:rsid w:val="007B2C3E"/>
    <w:rsid w:val="007B3858"/>
    <w:rsid w:val="007B38B5"/>
    <w:rsid w:val="007B3C2E"/>
    <w:rsid w:val="007B4741"/>
    <w:rsid w:val="007B6B71"/>
    <w:rsid w:val="007B7041"/>
    <w:rsid w:val="007C1C77"/>
    <w:rsid w:val="007C2DB9"/>
    <w:rsid w:val="007C5F09"/>
    <w:rsid w:val="007C67A2"/>
    <w:rsid w:val="007C69B0"/>
    <w:rsid w:val="007D100D"/>
    <w:rsid w:val="007D14D9"/>
    <w:rsid w:val="007D2485"/>
    <w:rsid w:val="007D3119"/>
    <w:rsid w:val="007D4198"/>
    <w:rsid w:val="007D6236"/>
    <w:rsid w:val="007E035A"/>
    <w:rsid w:val="007E0DC1"/>
    <w:rsid w:val="007E3986"/>
    <w:rsid w:val="007E5670"/>
    <w:rsid w:val="007E65FD"/>
    <w:rsid w:val="007F25B3"/>
    <w:rsid w:val="007F44F7"/>
    <w:rsid w:val="008000B5"/>
    <w:rsid w:val="00800C61"/>
    <w:rsid w:val="00802165"/>
    <w:rsid w:val="00803268"/>
    <w:rsid w:val="00805461"/>
    <w:rsid w:val="00806EE4"/>
    <w:rsid w:val="008128F7"/>
    <w:rsid w:val="00812A62"/>
    <w:rsid w:val="0081471B"/>
    <w:rsid w:val="00822185"/>
    <w:rsid w:val="008221A7"/>
    <w:rsid w:val="0082309D"/>
    <w:rsid w:val="00823B59"/>
    <w:rsid w:val="008300F4"/>
    <w:rsid w:val="0083078D"/>
    <w:rsid w:val="00832EDE"/>
    <w:rsid w:val="00833151"/>
    <w:rsid w:val="008337C7"/>
    <w:rsid w:val="0083414B"/>
    <w:rsid w:val="00834B73"/>
    <w:rsid w:val="00834F72"/>
    <w:rsid w:val="00835D1E"/>
    <w:rsid w:val="00836B4B"/>
    <w:rsid w:val="0083785D"/>
    <w:rsid w:val="0084038B"/>
    <w:rsid w:val="00841633"/>
    <w:rsid w:val="008420AC"/>
    <w:rsid w:val="00844F46"/>
    <w:rsid w:val="00845117"/>
    <w:rsid w:val="00845E23"/>
    <w:rsid w:val="00847429"/>
    <w:rsid w:val="008474EE"/>
    <w:rsid w:val="00847BD8"/>
    <w:rsid w:val="00847DDA"/>
    <w:rsid w:val="008508C0"/>
    <w:rsid w:val="008514F7"/>
    <w:rsid w:val="008536C2"/>
    <w:rsid w:val="00853CDC"/>
    <w:rsid w:val="00854547"/>
    <w:rsid w:val="0085466C"/>
    <w:rsid w:val="00854C60"/>
    <w:rsid w:val="00856656"/>
    <w:rsid w:val="0085694D"/>
    <w:rsid w:val="00856A79"/>
    <w:rsid w:val="00856BD0"/>
    <w:rsid w:val="008577EA"/>
    <w:rsid w:val="00857DC9"/>
    <w:rsid w:val="00863CCA"/>
    <w:rsid w:val="00864F32"/>
    <w:rsid w:val="008666F4"/>
    <w:rsid w:val="00870132"/>
    <w:rsid w:val="00870D54"/>
    <w:rsid w:val="008733C8"/>
    <w:rsid w:val="008737FE"/>
    <w:rsid w:val="00877DF7"/>
    <w:rsid w:val="0088251E"/>
    <w:rsid w:val="00883ED5"/>
    <w:rsid w:val="00885CE7"/>
    <w:rsid w:val="008868BD"/>
    <w:rsid w:val="00890360"/>
    <w:rsid w:val="00890585"/>
    <w:rsid w:val="008905F2"/>
    <w:rsid w:val="008916EC"/>
    <w:rsid w:val="008919C5"/>
    <w:rsid w:val="008925BD"/>
    <w:rsid w:val="008930DA"/>
    <w:rsid w:val="0089319F"/>
    <w:rsid w:val="008949EA"/>
    <w:rsid w:val="008963A3"/>
    <w:rsid w:val="00896B94"/>
    <w:rsid w:val="008976F1"/>
    <w:rsid w:val="008A0850"/>
    <w:rsid w:val="008A1792"/>
    <w:rsid w:val="008A1F0A"/>
    <w:rsid w:val="008A397D"/>
    <w:rsid w:val="008A3C3E"/>
    <w:rsid w:val="008A41FA"/>
    <w:rsid w:val="008A4D1A"/>
    <w:rsid w:val="008A5772"/>
    <w:rsid w:val="008A609D"/>
    <w:rsid w:val="008A7D2B"/>
    <w:rsid w:val="008A7D34"/>
    <w:rsid w:val="008B0D08"/>
    <w:rsid w:val="008B564A"/>
    <w:rsid w:val="008B5B1E"/>
    <w:rsid w:val="008B6F4B"/>
    <w:rsid w:val="008B7D60"/>
    <w:rsid w:val="008C026A"/>
    <w:rsid w:val="008C0ECB"/>
    <w:rsid w:val="008C27D0"/>
    <w:rsid w:val="008C3DB9"/>
    <w:rsid w:val="008C3E9A"/>
    <w:rsid w:val="008C749E"/>
    <w:rsid w:val="008D0AC7"/>
    <w:rsid w:val="008D0AF2"/>
    <w:rsid w:val="008D0E90"/>
    <w:rsid w:val="008D14F6"/>
    <w:rsid w:val="008D15E2"/>
    <w:rsid w:val="008D160D"/>
    <w:rsid w:val="008D1CC0"/>
    <w:rsid w:val="008D2AB0"/>
    <w:rsid w:val="008D5841"/>
    <w:rsid w:val="008D66E1"/>
    <w:rsid w:val="008D68AA"/>
    <w:rsid w:val="008D7032"/>
    <w:rsid w:val="008E139B"/>
    <w:rsid w:val="008E2F25"/>
    <w:rsid w:val="008E396D"/>
    <w:rsid w:val="008E3F50"/>
    <w:rsid w:val="008E46F0"/>
    <w:rsid w:val="008E5AE3"/>
    <w:rsid w:val="008E5AF9"/>
    <w:rsid w:val="008E6C0F"/>
    <w:rsid w:val="008F1667"/>
    <w:rsid w:val="008F34C8"/>
    <w:rsid w:val="008F5326"/>
    <w:rsid w:val="008F6485"/>
    <w:rsid w:val="00900003"/>
    <w:rsid w:val="0090182C"/>
    <w:rsid w:val="00902117"/>
    <w:rsid w:val="0090257A"/>
    <w:rsid w:val="009032F1"/>
    <w:rsid w:val="0090373C"/>
    <w:rsid w:val="00903CA3"/>
    <w:rsid w:val="009052C9"/>
    <w:rsid w:val="00907F1F"/>
    <w:rsid w:val="00910BC6"/>
    <w:rsid w:val="00910CF2"/>
    <w:rsid w:val="00910ECA"/>
    <w:rsid w:val="009138B3"/>
    <w:rsid w:val="0091576F"/>
    <w:rsid w:val="00915F39"/>
    <w:rsid w:val="00921581"/>
    <w:rsid w:val="00921756"/>
    <w:rsid w:val="00922767"/>
    <w:rsid w:val="009278B9"/>
    <w:rsid w:val="00932006"/>
    <w:rsid w:val="0093227E"/>
    <w:rsid w:val="00932328"/>
    <w:rsid w:val="00934DF6"/>
    <w:rsid w:val="00935546"/>
    <w:rsid w:val="00937A5D"/>
    <w:rsid w:val="00937F83"/>
    <w:rsid w:val="0094039B"/>
    <w:rsid w:val="009411CC"/>
    <w:rsid w:val="0094259C"/>
    <w:rsid w:val="009436DC"/>
    <w:rsid w:val="0094436C"/>
    <w:rsid w:val="0094513D"/>
    <w:rsid w:val="00947A00"/>
    <w:rsid w:val="00950987"/>
    <w:rsid w:val="00952732"/>
    <w:rsid w:val="00952DFE"/>
    <w:rsid w:val="00954DA3"/>
    <w:rsid w:val="00954ECB"/>
    <w:rsid w:val="00955DAE"/>
    <w:rsid w:val="0095643D"/>
    <w:rsid w:val="009565B0"/>
    <w:rsid w:val="009604C0"/>
    <w:rsid w:val="00961B0A"/>
    <w:rsid w:val="009626C2"/>
    <w:rsid w:val="009638CC"/>
    <w:rsid w:val="00965737"/>
    <w:rsid w:val="00966CB8"/>
    <w:rsid w:val="00971223"/>
    <w:rsid w:val="0097455F"/>
    <w:rsid w:val="00975391"/>
    <w:rsid w:val="0097625D"/>
    <w:rsid w:val="00976B70"/>
    <w:rsid w:val="00980C97"/>
    <w:rsid w:val="00981F2A"/>
    <w:rsid w:val="0098265D"/>
    <w:rsid w:val="00983A73"/>
    <w:rsid w:val="00984A7D"/>
    <w:rsid w:val="00985D1C"/>
    <w:rsid w:val="009862D8"/>
    <w:rsid w:val="009924B7"/>
    <w:rsid w:val="00993B85"/>
    <w:rsid w:val="00993E61"/>
    <w:rsid w:val="009947EC"/>
    <w:rsid w:val="009952B0"/>
    <w:rsid w:val="00996CD6"/>
    <w:rsid w:val="009A2414"/>
    <w:rsid w:val="009A5397"/>
    <w:rsid w:val="009B3803"/>
    <w:rsid w:val="009B43C3"/>
    <w:rsid w:val="009B4A92"/>
    <w:rsid w:val="009B5FFF"/>
    <w:rsid w:val="009B77FE"/>
    <w:rsid w:val="009C0EC1"/>
    <w:rsid w:val="009C2F33"/>
    <w:rsid w:val="009C442E"/>
    <w:rsid w:val="009C58AE"/>
    <w:rsid w:val="009C5FE1"/>
    <w:rsid w:val="009C72CA"/>
    <w:rsid w:val="009C7371"/>
    <w:rsid w:val="009C7FE6"/>
    <w:rsid w:val="009D270A"/>
    <w:rsid w:val="009D313A"/>
    <w:rsid w:val="009D34FA"/>
    <w:rsid w:val="009D3FE2"/>
    <w:rsid w:val="009D4082"/>
    <w:rsid w:val="009D446E"/>
    <w:rsid w:val="009D60D3"/>
    <w:rsid w:val="009E112C"/>
    <w:rsid w:val="009E1524"/>
    <w:rsid w:val="009E23B3"/>
    <w:rsid w:val="009E2466"/>
    <w:rsid w:val="009E2D25"/>
    <w:rsid w:val="009E5B28"/>
    <w:rsid w:val="009E7BA1"/>
    <w:rsid w:val="009F00F1"/>
    <w:rsid w:val="009F0138"/>
    <w:rsid w:val="009F1B6D"/>
    <w:rsid w:val="009F5900"/>
    <w:rsid w:val="009F60B8"/>
    <w:rsid w:val="009F6326"/>
    <w:rsid w:val="009F645E"/>
    <w:rsid w:val="009F7B21"/>
    <w:rsid w:val="00A00F07"/>
    <w:rsid w:val="00A029C1"/>
    <w:rsid w:val="00A0516E"/>
    <w:rsid w:val="00A055D8"/>
    <w:rsid w:val="00A07C96"/>
    <w:rsid w:val="00A13462"/>
    <w:rsid w:val="00A1674E"/>
    <w:rsid w:val="00A1711D"/>
    <w:rsid w:val="00A175CD"/>
    <w:rsid w:val="00A17649"/>
    <w:rsid w:val="00A204BE"/>
    <w:rsid w:val="00A207C7"/>
    <w:rsid w:val="00A20BC3"/>
    <w:rsid w:val="00A23068"/>
    <w:rsid w:val="00A2364E"/>
    <w:rsid w:val="00A2450A"/>
    <w:rsid w:val="00A2521A"/>
    <w:rsid w:val="00A25D2B"/>
    <w:rsid w:val="00A2626B"/>
    <w:rsid w:val="00A30385"/>
    <w:rsid w:val="00A31D1E"/>
    <w:rsid w:val="00A31E9F"/>
    <w:rsid w:val="00A3316D"/>
    <w:rsid w:val="00A364B6"/>
    <w:rsid w:val="00A3703D"/>
    <w:rsid w:val="00A371AB"/>
    <w:rsid w:val="00A37D01"/>
    <w:rsid w:val="00A401B1"/>
    <w:rsid w:val="00A41EB0"/>
    <w:rsid w:val="00A42A6E"/>
    <w:rsid w:val="00A43147"/>
    <w:rsid w:val="00A44A70"/>
    <w:rsid w:val="00A504EC"/>
    <w:rsid w:val="00A527DB"/>
    <w:rsid w:val="00A529E2"/>
    <w:rsid w:val="00A52B05"/>
    <w:rsid w:val="00A52F77"/>
    <w:rsid w:val="00A56B35"/>
    <w:rsid w:val="00A57130"/>
    <w:rsid w:val="00A57648"/>
    <w:rsid w:val="00A60158"/>
    <w:rsid w:val="00A60581"/>
    <w:rsid w:val="00A607ED"/>
    <w:rsid w:val="00A60BD2"/>
    <w:rsid w:val="00A60F80"/>
    <w:rsid w:val="00A6104A"/>
    <w:rsid w:val="00A654DC"/>
    <w:rsid w:val="00A71BD4"/>
    <w:rsid w:val="00A72283"/>
    <w:rsid w:val="00A72529"/>
    <w:rsid w:val="00A740AD"/>
    <w:rsid w:val="00A74F5D"/>
    <w:rsid w:val="00A75BCB"/>
    <w:rsid w:val="00A8068E"/>
    <w:rsid w:val="00A819D3"/>
    <w:rsid w:val="00A82893"/>
    <w:rsid w:val="00A8355E"/>
    <w:rsid w:val="00A84437"/>
    <w:rsid w:val="00A84467"/>
    <w:rsid w:val="00A8463E"/>
    <w:rsid w:val="00A84E5D"/>
    <w:rsid w:val="00A952DA"/>
    <w:rsid w:val="00A956F5"/>
    <w:rsid w:val="00A972A7"/>
    <w:rsid w:val="00AA13F3"/>
    <w:rsid w:val="00AA29FE"/>
    <w:rsid w:val="00AA2F51"/>
    <w:rsid w:val="00AA32D5"/>
    <w:rsid w:val="00AA34EB"/>
    <w:rsid w:val="00AA5040"/>
    <w:rsid w:val="00AA6E76"/>
    <w:rsid w:val="00AA7E91"/>
    <w:rsid w:val="00AB0D2F"/>
    <w:rsid w:val="00AB0F3E"/>
    <w:rsid w:val="00AB2D0C"/>
    <w:rsid w:val="00AB377B"/>
    <w:rsid w:val="00AB4EF9"/>
    <w:rsid w:val="00AB5724"/>
    <w:rsid w:val="00AB6073"/>
    <w:rsid w:val="00AC062D"/>
    <w:rsid w:val="00AC3688"/>
    <w:rsid w:val="00AC3B29"/>
    <w:rsid w:val="00AC50FB"/>
    <w:rsid w:val="00AC7FA1"/>
    <w:rsid w:val="00AD1F7B"/>
    <w:rsid w:val="00AD2741"/>
    <w:rsid w:val="00AD27DC"/>
    <w:rsid w:val="00AD2D74"/>
    <w:rsid w:val="00AD49B8"/>
    <w:rsid w:val="00AD506A"/>
    <w:rsid w:val="00AD61DF"/>
    <w:rsid w:val="00AD630B"/>
    <w:rsid w:val="00AD729C"/>
    <w:rsid w:val="00AD77AD"/>
    <w:rsid w:val="00AE0262"/>
    <w:rsid w:val="00AE2B51"/>
    <w:rsid w:val="00AE3381"/>
    <w:rsid w:val="00AF3185"/>
    <w:rsid w:val="00AF388D"/>
    <w:rsid w:val="00AF4557"/>
    <w:rsid w:val="00AF7A5A"/>
    <w:rsid w:val="00B01C8D"/>
    <w:rsid w:val="00B050A0"/>
    <w:rsid w:val="00B05C50"/>
    <w:rsid w:val="00B0714A"/>
    <w:rsid w:val="00B07435"/>
    <w:rsid w:val="00B076FF"/>
    <w:rsid w:val="00B07D83"/>
    <w:rsid w:val="00B10582"/>
    <w:rsid w:val="00B11323"/>
    <w:rsid w:val="00B1237E"/>
    <w:rsid w:val="00B130AC"/>
    <w:rsid w:val="00B13A93"/>
    <w:rsid w:val="00B149DC"/>
    <w:rsid w:val="00B15279"/>
    <w:rsid w:val="00B154A9"/>
    <w:rsid w:val="00B16C5A"/>
    <w:rsid w:val="00B1779D"/>
    <w:rsid w:val="00B17DCA"/>
    <w:rsid w:val="00B20D60"/>
    <w:rsid w:val="00B22B23"/>
    <w:rsid w:val="00B27348"/>
    <w:rsid w:val="00B30BC0"/>
    <w:rsid w:val="00B31612"/>
    <w:rsid w:val="00B32EC9"/>
    <w:rsid w:val="00B3347C"/>
    <w:rsid w:val="00B338F9"/>
    <w:rsid w:val="00B373BE"/>
    <w:rsid w:val="00B423B4"/>
    <w:rsid w:val="00B425F1"/>
    <w:rsid w:val="00B43E6B"/>
    <w:rsid w:val="00B4421C"/>
    <w:rsid w:val="00B4524B"/>
    <w:rsid w:val="00B455A1"/>
    <w:rsid w:val="00B50A81"/>
    <w:rsid w:val="00B50C95"/>
    <w:rsid w:val="00B510F5"/>
    <w:rsid w:val="00B54154"/>
    <w:rsid w:val="00B54356"/>
    <w:rsid w:val="00B54CA2"/>
    <w:rsid w:val="00B568DF"/>
    <w:rsid w:val="00B603F2"/>
    <w:rsid w:val="00B62304"/>
    <w:rsid w:val="00B63060"/>
    <w:rsid w:val="00B64089"/>
    <w:rsid w:val="00B65D4D"/>
    <w:rsid w:val="00B706D6"/>
    <w:rsid w:val="00B70E46"/>
    <w:rsid w:val="00B7377D"/>
    <w:rsid w:val="00B74692"/>
    <w:rsid w:val="00B75829"/>
    <w:rsid w:val="00B76951"/>
    <w:rsid w:val="00B80DE7"/>
    <w:rsid w:val="00B827F9"/>
    <w:rsid w:val="00B82DBD"/>
    <w:rsid w:val="00B82F15"/>
    <w:rsid w:val="00B83A20"/>
    <w:rsid w:val="00B84443"/>
    <w:rsid w:val="00B847C0"/>
    <w:rsid w:val="00B84D06"/>
    <w:rsid w:val="00B8755E"/>
    <w:rsid w:val="00B902A6"/>
    <w:rsid w:val="00B90971"/>
    <w:rsid w:val="00B91937"/>
    <w:rsid w:val="00B940C9"/>
    <w:rsid w:val="00B94551"/>
    <w:rsid w:val="00B96B1C"/>
    <w:rsid w:val="00B973C6"/>
    <w:rsid w:val="00BA490B"/>
    <w:rsid w:val="00BA61B2"/>
    <w:rsid w:val="00BB01A7"/>
    <w:rsid w:val="00BB1039"/>
    <w:rsid w:val="00BB450C"/>
    <w:rsid w:val="00BB59DA"/>
    <w:rsid w:val="00BB6199"/>
    <w:rsid w:val="00BB6208"/>
    <w:rsid w:val="00BB63EA"/>
    <w:rsid w:val="00BB6E15"/>
    <w:rsid w:val="00BC20E9"/>
    <w:rsid w:val="00BD02F0"/>
    <w:rsid w:val="00BD053E"/>
    <w:rsid w:val="00BD0E4D"/>
    <w:rsid w:val="00BD2A77"/>
    <w:rsid w:val="00BD3272"/>
    <w:rsid w:val="00BD7767"/>
    <w:rsid w:val="00BE059A"/>
    <w:rsid w:val="00BE0D1D"/>
    <w:rsid w:val="00BE1FAC"/>
    <w:rsid w:val="00BE2013"/>
    <w:rsid w:val="00BE2CA2"/>
    <w:rsid w:val="00BE35A4"/>
    <w:rsid w:val="00BE5F5B"/>
    <w:rsid w:val="00BE6BC3"/>
    <w:rsid w:val="00BF04E7"/>
    <w:rsid w:val="00BF1075"/>
    <w:rsid w:val="00BF258B"/>
    <w:rsid w:val="00BF29AA"/>
    <w:rsid w:val="00BF3F8B"/>
    <w:rsid w:val="00BF4ABE"/>
    <w:rsid w:val="00BF5E8C"/>
    <w:rsid w:val="00BF799B"/>
    <w:rsid w:val="00C04EF2"/>
    <w:rsid w:val="00C05FEC"/>
    <w:rsid w:val="00C109CB"/>
    <w:rsid w:val="00C10C8E"/>
    <w:rsid w:val="00C10DE9"/>
    <w:rsid w:val="00C12BC9"/>
    <w:rsid w:val="00C167D7"/>
    <w:rsid w:val="00C20D51"/>
    <w:rsid w:val="00C23833"/>
    <w:rsid w:val="00C25385"/>
    <w:rsid w:val="00C25731"/>
    <w:rsid w:val="00C279B0"/>
    <w:rsid w:val="00C316D6"/>
    <w:rsid w:val="00C3295B"/>
    <w:rsid w:val="00C34D08"/>
    <w:rsid w:val="00C351F6"/>
    <w:rsid w:val="00C373B8"/>
    <w:rsid w:val="00C404BC"/>
    <w:rsid w:val="00C40B07"/>
    <w:rsid w:val="00C41B97"/>
    <w:rsid w:val="00C4391B"/>
    <w:rsid w:val="00C44606"/>
    <w:rsid w:val="00C4521F"/>
    <w:rsid w:val="00C45495"/>
    <w:rsid w:val="00C464A0"/>
    <w:rsid w:val="00C50680"/>
    <w:rsid w:val="00C51D89"/>
    <w:rsid w:val="00C53F9E"/>
    <w:rsid w:val="00C54BEC"/>
    <w:rsid w:val="00C55C42"/>
    <w:rsid w:val="00C571DD"/>
    <w:rsid w:val="00C600B1"/>
    <w:rsid w:val="00C60400"/>
    <w:rsid w:val="00C60C9F"/>
    <w:rsid w:val="00C61A88"/>
    <w:rsid w:val="00C61B60"/>
    <w:rsid w:val="00C6368C"/>
    <w:rsid w:val="00C6691B"/>
    <w:rsid w:val="00C70C6D"/>
    <w:rsid w:val="00C70CAB"/>
    <w:rsid w:val="00C70D93"/>
    <w:rsid w:val="00C71F2D"/>
    <w:rsid w:val="00C74963"/>
    <w:rsid w:val="00C75C15"/>
    <w:rsid w:val="00C75C6B"/>
    <w:rsid w:val="00C76404"/>
    <w:rsid w:val="00C81134"/>
    <w:rsid w:val="00C815D3"/>
    <w:rsid w:val="00C82453"/>
    <w:rsid w:val="00C830C5"/>
    <w:rsid w:val="00C837D1"/>
    <w:rsid w:val="00C83F61"/>
    <w:rsid w:val="00C875F7"/>
    <w:rsid w:val="00C87B8D"/>
    <w:rsid w:val="00C90AD1"/>
    <w:rsid w:val="00C91DB2"/>
    <w:rsid w:val="00C9426C"/>
    <w:rsid w:val="00C94539"/>
    <w:rsid w:val="00C95461"/>
    <w:rsid w:val="00C95995"/>
    <w:rsid w:val="00C97F3E"/>
    <w:rsid w:val="00CA033C"/>
    <w:rsid w:val="00CA0F86"/>
    <w:rsid w:val="00CA1E52"/>
    <w:rsid w:val="00CA2972"/>
    <w:rsid w:val="00CA51FC"/>
    <w:rsid w:val="00CA5666"/>
    <w:rsid w:val="00CA64BC"/>
    <w:rsid w:val="00CB091B"/>
    <w:rsid w:val="00CB0BF0"/>
    <w:rsid w:val="00CB0E50"/>
    <w:rsid w:val="00CB1228"/>
    <w:rsid w:val="00CB1FCA"/>
    <w:rsid w:val="00CB3071"/>
    <w:rsid w:val="00CB46DD"/>
    <w:rsid w:val="00CB4852"/>
    <w:rsid w:val="00CC5AE8"/>
    <w:rsid w:val="00CC6307"/>
    <w:rsid w:val="00CD0870"/>
    <w:rsid w:val="00CD20D6"/>
    <w:rsid w:val="00CD23CC"/>
    <w:rsid w:val="00CD3813"/>
    <w:rsid w:val="00CD4753"/>
    <w:rsid w:val="00CD58FA"/>
    <w:rsid w:val="00CD66D3"/>
    <w:rsid w:val="00CD6A3A"/>
    <w:rsid w:val="00CE0B35"/>
    <w:rsid w:val="00CE1B49"/>
    <w:rsid w:val="00CE29B9"/>
    <w:rsid w:val="00CE2D3A"/>
    <w:rsid w:val="00CE471D"/>
    <w:rsid w:val="00CE5A46"/>
    <w:rsid w:val="00CE69C5"/>
    <w:rsid w:val="00CF035B"/>
    <w:rsid w:val="00CF0934"/>
    <w:rsid w:val="00CF1352"/>
    <w:rsid w:val="00CF3025"/>
    <w:rsid w:val="00CF4CBC"/>
    <w:rsid w:val="00CF5E7D"/>
    <w:rsid w:val="00D019D5"/>
    <w:rsid w:val="00D01DA4"/>
    <w:rsid w:val="00D02AEA"/>
    <w:rsid w:val="00D038B9"/>
    <w:rsid w:val="00D04901"/>
    <w:rsid w:val="00D073BC"/>
    <w:rsid w:val="00D07ABD"/>
    <w:rsid w:val="00D10E9D"/>
    <w:rsid w:val="00D10F54"/>
    <w:rsid w:val="00D11457"/>
    <w:rsid w:val="00D11FC7"/>
    <w:rsid w:val="00D13D31"/>
    <w:rsid w:val="00D1482E"/>
    <w:rsid w:val="00D16363"/>
    <w:rsid w:val="00D172FF"/>
    <w:rsid w:val="00D173F8"/>
    <w:rsid w:val="00D20CBF"/>
    <w:rsid w:val="00D2159F"/>
    <w:rsid w:val="00D21C97"/>
    <w:rsid w:val="00D22746"/>
    <w:rsid w:val="00D22D98"/>
    <w:rsid w:val="00D22F28"/>
    <w:rsid w:val="00D25255"/>
    <w:rsid w:val="00D26E6E"/>
    <w:rsid w:val="00D30C24"/>
    <w:rsid w:val="00D31082"/>
    <w:rsid w:val="00D31A5F"/>
    <w:rsid w:val="00D33908"/>
    <w:rsid w:val="00D34B06"/>
    <w:rsid w:val="00D34FD2"/>
    <w:rsid w:val="00D376C8"/>
    <w:rsid w:val="00D37709"/>
    <w:rsid w:val="00D418F3"/>
    <w:rsid w:val="00D43253"/>
    <w:rsid w:val="00D4488F"/>
    <w:rsid w:val="00D44D6F"/>
    <w:rsid w:val="00D47E3C"/>
    <w:rsid w:val="00D508BE"/>
    <w:rsid w:val="00D51208"/>
    <w:rsid w:val="00D51CAE"/>
    <w:rsid w:val="00D54145"/>
    <w:rsid w:val="00D5431F"/>
    <w:rsid w:val="00D55711"/>
    <w:rsid w:val="00D5769A"/>
    <w:rsid w:val="00D65171"/>
    <w:rsid w:val="00D651A0"/>
    <w:rsid w:val="00D65B9A"/>
    <w:rsid w:val="00D67A8B"/>
    <w:rsid w:val="00D709F8"/>
    <w:rsid w:val="00D70EDD"/>
    <w:rsid w:val="00D7221E"/>
    <w:rsid w:val="00D742EA"/>
    <w:rsid w:val="00D7498E"/>
    <w:rsid w:val="00D76C5F"/>
    <w:rsid w:val="00D772BA"/>
    <w:rsid w:val="00D8009D"/>
    <w:rsid w:val="00D8169E"/>
    <w:rsid w:val="00D81807"/>
    <w:rsid w:val="00D819EB"/>
    <w:rsid w:val="00D82FAF"/>
    <w:rsid w:val="00D84976"/>
    <w:rsid w:val="00D8518A"/>
    <w:rsid w:val="00D8632C"/>
    <w:rsid w:val="00D877AD"/>
    <w:rsid w:val="00D91312"/>
    <w:rsid w:val="00D96F0A"/>
    <w:rsid w:val="00D978A4"/>
    <w:rsid w:val="00D97A18"/>
    <w:rsid w:val="00DA05DB"/>
    <w:rsid w:val="00DA11C7"/>
    <w:rsid w:val="00DA1CA0"/>
    <w:rsid w:val="00DA1D75"/>
    <w:rsid w:val="00DA343D"/>
    <w:rsid w:val="00DA4730"/>
    <w:rsid w:val="00DA5E06"/>
    <w:rsid w:val="00DA690A"/>
    <w:rsid w:val="00DA72C9"/>
    <w:rsid w:val="00DA7DC7"/>
    <w:rsid w:val="00DB6A16"/>
    <w:rsid w:val="00DB7F21"/>
    <w:rsid w:val="00DC02CA"/>
    <w:rsid w:val="00DC26FB"/>
    <w:rsid w:val="00DC31B7"/>
    <w:rsid w:val="00DC3685"/>
    <w:rsid w:val="00DC5F21"/>
    <w:rsid w:val="00DC7416"/>
    <w:rsid w:val="00DD08C3"/>
    <w:rsid w:val="00DD27BB"/>
    <w:rsid w:val="00DD430C"/>
    <w:rsid w:val="00DD56CB"/>
    <w:rsid w:val="00DD5FD6"/>
    <w:rsid w:val="00DE150E"/>
    <w:rsid w:val="00DE2B28"/>
    <w:rsid w:val="00DE559F"/>
    <w:rsid w:val="00DE6B1A"/>
    <w:rsid w:val="00DF082F"/>
    <w:rsid w:val="00DF1112"/>
    <w:rsid w:val="00DF1C61"/>
    <w:rsid w:val="00DF50D7"/>
    <w:rsid w:val="00DF5198"/>
    <w:rsid w:val="00DF6640"/>
    <w:rsid w:val="00DF73B4"/>
    <w:rsid w:val="00DF7EA4"/>
    <w:rsid w:val="00E0123A"/>
    <w:rsid w:val="00E013D3"/>
    <w:rsid w:val="00E04E9A"/>
    <w:rsid w:val="00E06732"/>
    <w:rsid w:val="00E067AD"/>
    <w:rsid w:val="00E07655"/>
    <w:rsid w:val="00E1068E"/>
    <w:rsid w:val="00E10A31"/>
    <w:rsid w:val="00E10C7C"/>
    <w:rsid w:val="00E14B16"/>
    <w:rsid w:val="00E17CBD"/>
    <w:rsid w:val="00E20AE3"/>
    <w:rsid w:val="00E224E4"/>
    <w:rsid w:val="00E23983"/>
    <w:rsid w:val="00E259D8"/>
    <w:rsid w:val="00E31712"/>
    <w:rsid w:val="00E40D1B"/>
    <w:rsid w:val="00E4185F"/>
    <w:rsid w:val="00E420C6"/>
    <w:rsid w:val="00E427DA"/>
    <w:rsid w:val="00E42E4C"/>
    <w:rsid w:val="00E45598"/>
    <w:rsid w:val="00E460D6"/>
    <w:rsid w:val="00E47606"/>
    <w:rsid w:val="00E507A6"/>
    <w:rsid w:val="00E51332"/>
    <w:rsid w:val="00E51565"/>
    <w:rsid w:val="00E560AF"/>
    <w:rsid w:val="00E56B96"/>
    <w:rsid w:val="00E57CBB"/>
    <w:rsid w:val="00E60BC8"/>
    <w:rsid w:val="00E6446C"/>
    <w:rsid w:val="00E64DF8"/>
    <w:rsid w:val="00E65BD2"/>
    <w:rsid w:val="00E66C70"/>
    <w:rsid w:val="00E72C2C"/>
    <w:rsid w:val="00E7549C"/>
    <w:rsid w:val="00E75967"/>
    <w:rsid w:val="00E761AC"/>
    <w:rsid w:val="00E81B29"/>
    <w:rsid w:val="00E86777"/>
    <w:rsid w:val="00E904F2"/>
    <w:rsid w:val="00E9084D"/>
    <w:rsid w:val="00E9321B"/>
    <w:rsid w:val="00E94574"/>
    <w:rsid w:val="00E956EB"/>
    <w:rsid w:val="00E96745"/>
    <w:rsid w:val="00E9684E"/>
    <w:rsid w:val="00E96D05"/>
    <w:rsid w:val="00E973B3"/>
    <w:rsid w:val="00E9775B"/>
    <w:rsid w:val="00EA01F1"/>
    <w:rsid w:val="00EA0471"/>
    <w:rsid w:val="00EA5748"/>
    <w:rsid w:val="00EA5AB6"/>
    <w:rsid w:val="00EA611A"/>
    <w:rsid w:val="00EA710E"/>
    <w:rsid w:val="00EA7998"/>
    <w:rsid w:val="00EB2518"/>
    <w:rsid w:val="00EB2B5D"/>
    <w:rsid w:val="00EB37F4"/>
    <w:rsid w:val="00EB41E8"/>
    <w:rsid w:val="00EB5BB7"/>
    <w:rsid w:val="00EB765E"/>
    <w:rsid w:val="00EC26E8"/>
    <w:rsid w:val="00EC2C24"/>
    <w:rsid w:val="00EC3D4B"/>
    <w:rsid w:val="00EC412F"/>
    <w:rsid w:val="00ED05E7"/>
    <w:rsid w:val="00ED21C8"/>
    <w:rsid w:val="00ED266F"/>
    <w:rsid w:val="00ED2BB7"/>
    <w:rsid w:val="00ED3268"/>
    <w:rsid w:val="00ED3BEF"/>
    <w:rsid w:val="00ED450E"/>
    <w:rsid w:val="00ED6CA6"/>
    <w:rsid w:val="00EE0691"/>
    <w:rsid w:val="00EE135D"/>
    <w:rsid w:val="00EE29CB"/>
    <w:rsid w:val="00EE2BFF"/>
    <w:rsid w:val="00EE2D7C"/>
    <w:rsid w:val="00EE3A9A"/>
    <w:rsid w:val="00EE67F9"/>
    <w:rsid w:val="00EF260C"/>
    <w:rsid w:val="00EF2DBE"/>
    <w:rsid w:val="00EF70EE"/>
    <w:rsid w:val="00F004F3"/>
    <w:rsid w:val="00F036DA"/>
    <w:rsid w:val="00F04336"/>
    <w:rsid w:val="00F04BF1"/>
    <w:rsid w:val="00F06087"/>
    <w:rsid w:val="00F071B5"/>
    <w:rsid w:val="00F149C9"/>
    <w:rsid w:val="00F15016"/>
    <w:rsid w:val="00F23DF5"/>
    <w:rsid w:val="00F26ECF"/>
    <w:rsid w:val="00F30389"/>
    <w:rsid w:val="00F32E5E"/>
    <w:rsid w:val="00F34831"/>
    <w:rsid w:val="00F36499"/>
    <w:rsid w:val="00F371B0"/>
    <w:rsid w:val="00F377EE"/>
    <w:rsid w:val="00F37F51"/>
    <w:rsid w:val="00F42EEA"/>
    <w:rsid w:val="00F43C1E"/>
    <w:rsid w:val="00F456F3"/>
    <w:rsid w:val="00F46C27"/>
    <w:rsid w:val="00F50360"/>
    <w:rsid w:val="00F506EA"/>
    <w:rsid w:val="00F51B74"/>
    <w:rsid w:val="00F529B7"/>
    <w:rsid w:val="00F52F46"/>
    <w:rsid w:val="00F56201"/>
    <w:rsid w:val="00F61D46"/>
    <w:rsid w:val="00F63077"/>
    <w:rsid w:val="00F66AF4"/>
    <w:rsid w:val="00F672C9"/>
    <w:rsid w:val="00F70009"/>
    <w:rsid w:val="00F705C1"/>
    <w:rsid w:val="00F7154B"/>
    <w:rsid w:val="00F7203E"/>
    <w:rsid w:val="00F73463"/>
    <w:rsid w:val="00F746B6"/>
    <w:rsid w:val="00F772AB"/>
    <w:rsid w:val="00F81B67"/>
    <w:rsid w:val="00F83266"/>
    <w:rsid w:val="00F8441E"/>
    <w:rsid w:val="00F84C39"/>
    <w:rsid w:val="00F866ED"/>
    <w:rsid w:val="00F91925"/>
    <w:rsid w:val="00F95994"/>
    <w:rsid w:val="00F96382"/>
    <w:rsid w:val="00F96CAD"/>
    <w:rsid w:val="00F9782A"/>
    <w:rsid w:val="00FA0E6A"/>
    <w:rsid w:val="00FA4787"/>
    <w:rsid w:val="00FB0381"/>
    <w:rsid w:val="00FB04C0"/>
    <w:rsid w:val="00FB2075"/>
    <w:rsid w:val="00FB493E"/>
    <w:rsid w:val="00FB5277"/>
    <w:rsid w:val="00FB6F86"/>
    <w:rsid w:val="00FC089B"/>
    <w:rsid w:val="00FC0D59"/>
    <w:rsid w:val="00FC339D"/>
    <w:rsid w:val="00FC3E0B"/>
    <w:rsid w:val="00FC67AE"/>
    <w:rsid w:val="00FC7746"/>
    <w:rsid w:val="00FD02F7"/>
    <w:rsid w:val="00FD1B6B"/>
    <w:rsid w:val="00FD1C81"/>
    <w:rsid w:val="00FD34F1"/>
    <w:rsid w:val="00FD3A79"/>
    <w:rsid w:val="00FD6530"/>
    <w:rsid w:val="00FD7F9A"/>
    <w:rsid w:val="00FE0E26"/>
    <w:rsid w:val="00FE1D8A"/>
    <w:rsid w:val="00FE22D8"/>
    <w:rsid w:val="00FE24B4"/>
    <w:rsid w:val="00FE2AB8"/>
    <w:rsid w:val="00FE2F5C"/>
    <w:rsid w:val="00FE3859"/>
    <w:rsid w:val="00FE4028"/>
    <w:rsid w:val="00FE6138"/>
    <w:rsid w:val="00FE61B0"/>
    <w:rsid w:val="00FF1657"/>
    <w:rsid w:val="00FF2DFB"/>
    <w:rsid w:val="00FF33D3"/>
    <w:rsid w:val="00FF3AB0"/>
    <w:rsid w:val="00FF62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492CA"/>
  <w15:docId w15:val="{C9A0FB7B-C1CD-4B41-B4BD-1846E5F4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4B"/>
    <w:rPr>
      <w:rFonts w:ascii="Arial" w:hAnsi="Arial" w:cs="Arial"/>
      <w:szCs w:val="24"/>
      <w:lang w:val="en-US" w:eastAsia="en-US"/>
    </w:rPr>
  </w:style>
  <w:style w:type="paragraph" w:styleId="Heading1">
    <w:name w:val="heading 1"/>
    <w:basedOn w:val="Normal"/>
    <w:link w:val="Heading1Char"/>
    <w:uiPriority w:val="9"/>
    <w:qFormat/>
    <w:rsid w:val="004A298C"/>
    <w:pPr>
      <w:spacing w:before="100" w:beforeAutospacing="1" w:after="100" w:afterAutospacing="1"/>
      <w:outlineLvl w:val="0"/>
    </w:pPr>
    <w:rPr>
      <w:rFonts w:ascii="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4D6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6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58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8C"/>
    <w:rPr>
      <w:b/>
      <w:bCs/>
      <w:kern w:val="36"/>
      <w:sz w:val="48"/>
      <w:szCs w:val="48"/>
    </w:rPr>
  </w:style>
  <w:style w:type="character" w:customStyle="1" w:styleId="Heading2Char">
    <w:name w:val="Heading 2 Char"/>
    <w:basedOn w:val="DefaultParagraphFont"/>
    <w:link w:val="Heading2"/>
    <w:uiPriority w:val="9"/>
    <w:rsid w:val="004D644C"/>
    <w:rPr>
      <w:rFonts w:asciiTheme="majorHAnsi" w:eastAsiaTheme="majorEastAsia" w:hAnsiTheme="majorHAnsi" w:cstheme="majorBidi"/>
      <w:b/>
      <w:bCs/>
      <w:color w:val="4F81BD" w:themeColor="accent1"/>
      <w:sz w:val="26"/>
      <w:szCs w:val="26"/>
      <w:lang w:val="en-US" w:eastAsia="en-US"/>
    </w:rPr>
  </w:style>
  <w:style w:type="paragraph" w:customStyle="1" w:styleId="DefaultText">
    <w:name w:val="Default Text"/>
    <w:basedOn w:val="Normal"/>
    <w:link w:val="DefaultTextChar"/>
    <w:rsid w:val="00B27348"/>
    <w:pPr>
      <w:autoSpaceDE w:val="0"/>
      <w:autoSpaceDN w:val="0"/>
      <w:adjustRightInd w:val="0"/>
    </w:pPr>
    <w:rPr>
      <w:rFonts w:cs="Times New Roman"/>
      <w:szCs w:val="20"/>
    </w:rPr>
  </w:style>
  <w:style w:type="character" w:customStyle="1" w:styleId="InitialStyle">
    <w:name w:val="InitialStyle"/>
    <w:rsid w:val="0037784B"/>
    <w:rPr>
      <w:rFonts w:ascii="Arial" w:hAnsi="Arial" w:cs="Arial"/>
      <w:sz w:val="20"/>
      <w:szCs w:val="20"/>
    </w:rPr>
  </w:style>
  <w:style w:type="character" w:customStyle="1" w:styleId="AnchorA">
    <w:name w:val="Anchor (A)"/>
    <w:rsid w:val="00DD27BB"/>
    <w:rPr>
      <w:rFonts w:ascii="Arial" w:hAnsi="Arial"/>
      <w:color w:val="800000"/>
      <w:sz w:val="20"/>
      <w:u w:val="single"/>
    </w:rPr>
  </w:style>
  <w:style w:type="character" w:customStyle="1" w:styleId="ViewedAnchorA">
    <w:name w:val="Viewed Anchor (A)"/>
    <w:rsid w:val="0037784B"/>
    <w:rPr>
      <w:color w:val="800000"/>
      <w:u w:val="single"/>
    </w:rPr>
  </w:style>
  <w:style w:type="paragraph" w:styleId="BalloonText">
    <w:name w:val="Balloon Text"/>
    <w:basedOn w:val="Normal"/>
    <w:link w:val="BalloonTextChar"/>
    <w:uiPriority w:val="99"/>
    <w:semiHidden/>
    <w:unhideWhenUsed/>
    <w:rsid w:val="00CD4753"/>
    <w:rPr>
      <w:rFonts w:ascii="Tahoma" w:hAnsi="Tahoma" w:cs="Tahoma"/>
      <w:sz w:val="16"/>
      <w:szCs w:val="16"/>
    </w:rPr>
  </w:style>
  <w:style w:type="character" w:customStyle="1" w:styleId="BalloonTextChar">
    <w:name w:val="Balloon Text Char"/>
    <w:basedOn w:val="DefaultParagraphFont"/>
    <w:link w:val="BalloonText"/>
    <w:uiPriority w:val="99"/>
    <w:semiHidden/>
    <w:rsid w:val="00CD4753"/>
    <w:rPr>
      <w:rFonts w:ascii="Tahoma" w:hAnsi="Tahoma" w:cs="Tahoma"/>
      <w:sz w:val="16"/>
      <w:szCs w:val="16"/>
      <w:lang w:val="en-US" w:eastAsia="en-US"/>
    </w:rPr>
  </w:style>
  <w:style w:type="paragraph" w:styleId="DocumentMap">
    <w:name w:val="Document Map"/>
    <w:basedOn w:val="Normal"/>
    <w:link w:val="DocumentMapChar"/>
    <w:uiPriority w:val="99"/>
    <w:semiHidden/>
    <w:unhideWhenUsed/>
    <w:rsid w:val="00A654DC"/>
    <w:rPr>
      <w:rFonts w:ascii="Tahoma" w:hAnsi="Tahoma" w:cs="Tahoma"/>
      <w:sz w:val="16"/>
      <w:szCs w:val="16"/>
    </w:rPr>
  </w:style>
  <w:style w:type="character" w:customStyle="1" w:styleId="DocumentMapChar">
    <w:name w:val="Document Map Char"/>
    <w:basedOn w:val="DefaultParagraphFont"/>
    <w:link w:val="DocumentMap"/>
    <w:uiPriority w:val="99"/>
    <w:semiHidden/>
    <w:rsid w:val="00A654DC"/>
    <w:rPr>
      <w:rFonts w:ascii="Tahoma" w:hAnsi="Tahoma" w:cs="Tahoma"/>
      <w:sz w:val="16"/>
      <w:szCs w:val="16"/>
      <w:lang w:val="en-US" w:eastAsia="en-US"/>
    </w:rPr>
  </w:style>
  <w:style w:type="paragraph" w:styleId="Header">
    <w:name w:val="header"/>
    <w:basedOn w:val="Normal"/>
    <w:link w:val="HeaderChar"/>
    <w:uiPriority w:val="99"/>
    <w:unhideWhenUsed/>
    <w:rsid w:val="0037158A"/>
    <w:pPr>
      <w:tabs>
        <w:tab w:val="center" w:pos="4680"/>
        <w:tab w:val="right" w:pos="9360"/>
      </w:tabs>
    </w:pPr>
  </w:style>
  <w:style w:type="character" w:customStyle="1" w:styleId="HeaderChar">
    <w:name w:val="Header Char"/>
    <w:basedOn w:val="DefaultParagraphFont"/>
    <w:link w:val="Header"/>
    <w:uiPriority w:val="99"/>
    <w:rsid w:val="0037158A"/>
    <w:rPr>
      <w:rFonts w:ascii="Arial" w:hAnsi="Arial" w:cs="Arial"/>
      <w:szCs w:val="24"/>
      <w:lang w:val="en-US" w:eastAsia="en-US"/>
    </w:rPr>
  </w:style>
  <w:style w:type="paragraph" w:styleId="Footer">
    <w:name w:val="footer"/>
    <w:basedOn w:val="Normal"/>
    <w:link w:val="FooterChar"/>
    <w:uiPriority w:val="99"/>
    <w:unhideWhenUsed/>
    <w:rsid w:val="0037158A"/>
    <w:pPr>
      <w:tabs>
        <w:tab w:val="center" w:pos="4680"/>
        <w:tab w:val="right" w:pos="9360"/>
      </w:tabs>
    </w:pPr>
  </w:style>
  <w:style w:type="character" w:customStyle="1" w:styleId="FooterChar">
    <w:name w:val="Footer Char"/>
    <w:basedOn w:val="DefaultParagraphFont"/>
    <w:link w:val="Footer"/>
    <w:uiPriority w:val="99"/>
    <w:rsid w:val="0037158A"/>
    <w:rPr>
      <w:rFonts w:ascii="Arial" w:hAnsi="Arial" w:cs="Arial"/>
      <w:szCs w:val="24"/>
      <w:lang w:val="en-US" w:eastAsia="en-US"/>
    </w:rPr>
  </w:style>
  <w:style w:type="paragraph" w:styleId="Revision">
    <w:name w:val="Revision"/>
    <w:hidden/>
    <w:uiPriority w:val="99"/>
    <w:semiHidden/>
    <w:rsid w:val="00236212"/>
    <w:rPr>
      <w:rFonts w:ascii="Arial" w:hAnsi="Arial" w:cs="Arial"/>
      <w:szCs w:val="24"/>
      <w:lang w:val="en-US" w:eastAsia="en-US"/>
    </w:rPr>
  </w:style>
  <w:style w:type="character" w:styleId="Hyperlink">
    <w:name w:val="Hyperlink"/>
    <w:basedOn w:val="DefaultParagraphFont"/>
    <w:uiPriority w:val="99"/>
    <w:unhideWhenUsed/>
    <w:rsid w:val="000C18EC"/>
    <w:rPr>
      <w:rFonts w:ascii="Arial" w:hAnsi="Arial"/>
      <w:color w:val="800000"/>
      <w:sz w:val="20"/>
      <w:u w:val="single"/>
    </w:rPr>
  </w:style>
  <w:style w:type="paragraph" w:styleId="TOC1">
    <w:name w:val="toc 1"/>
    <w:basedOn w:val="Normal"/>
    <w:next w:val="Normal"/>
    <w:autoRedefine/>
    <w:uiPriority w:val="39"/>
    <w:unhideWhenUsed/>
    <w:rsid w:val="00764265"/>
    <w:pPr>
      <w:spacing w:before="120" w:after="120"/>
    </w:pPr>
    <w:rPr>
      <w:rFonts w:asciiTheme="minorHAnsi" w:hAnsiTheme="minorHAnsi" w:cstheme="minorHAnsi"/>
      <w:b/>
      <w:bCs/>
      <w:caps/>
      <w:szCs w:val="20"/>
    </w:rPr>
  </w:style>
  <w:style w:type="paragraph" w:customStyle="1" w:styleId="TemplateHeading1">
    <w:name w:val="Template Heading 1"/>
    <w:basedOn w:val="Heading1"/>
    <w:link w:val="TemplateHeading1Char"/>
    <w:qFormat/>
    <w:rsid w:val="004D644C"/>
    <w:rPr>
      <w:rFonts w:ascii="Arial" w:hAnsi="Arial" w:cs="Arial"/>
      <w:sz w:val="20"/>
      <w:szCs w:val="20"/>
    </w:rPr>
  </w:style>
  <w:style w:type="character" w:customStyle="1" w:styleId="TemplateHeading1Char">
    <w:name w:val="Template Heading 1 Char"/>
    <w:basedOn w:val="Heading1Char"/>
    <w:link w:val="TemplateHeading1"/>
    <w:rsid w:val="004D644C"/>
    <w:rPr>
      <w:rFonts w:ascii="Arial" w:hAnsi="Arial" w:cs="Arial"/>
      <w:b/>
      <w:bCs/>
      <w:kern w:val="36"/>
      <w:sz w:val="48"/>
      <w:szCs w:val="48"/>
    </w:rPr>
  </w:style>
  <w:style w:type="paragraph" w:customStyle="1" w:styleId="TemplateHeading2">
    <w:name w:val="Template Heading 2"/>
    <w:basedOn w:val="Heading2"/>
    <w:link w:val="TemplateHeading2Char"/>
    <w:qFormat/>
    <w:rsid w:val="008E396D"/>
    <w:rPr>
      <w:rFonts w:ascii="Arial" w:hAnsi="Arial" w:cs="Arial"/>
      <w:color w:val="auto"/>
      <w:sz w:val="20"/>
      <w:szCs w:val="20"/>
      <w:lang w:val="en-CA"/>
    </w:rPr>
  </w:style>
  <w:style w:type="character" w:customStyle="1" w:styleId="TemplateHeading2Char">
    <w:name w:val="Template Heading 2 Char"/>
    <w:basedOn w:val="Heading2Char"/>
    <w:link w:val="TemplateHeading2"/>
    <w:rsid w:val="008E396D"/>
    <w:rPr>
      <w:rFonts w:ascii="Arial" w:eastAsiaTheme="majorEastAsia" w:hAnsi="Arial" w:cs="Arial"/>
      <w:b/>
      <w:bCs/>
      <w:color w:val="4F81BD" w:themeColor="accent1"/>
      <w:sz w:val="26"/>
      <w:szCs w:val="26"/>
      <w:lang w:val="en-US" w:eastAsia="en-US"/>
    </w:rPr>
  </w:style>
  <w:style w:type="paragraph" w:styleId="TOC2">
    <w:name w:val="toc 2"/>
    <w:basedOn w:val="Normal"/>
    <w:next w:val="Normal"/>
    <w:autoRedefine/>
    <w:uiPriority w:val="39"/>
    <w:unhideWhenUsed/>
    <w:rsid w:val="009E23B3"/>
    <w:pPr>
      <w:tabs>
        <w:tab w:val="left" w:pos="800"/>
        <w:tab w:val="right" w:leader="dot" w:pos="9350"/>
      </w:tabs>
      <w:ind w:left="200"/>
    </w:pPr>
    <w:rPr>
      <w:rFonts w:asciiTheme="minorHAnsi" w:hAnsiTheme="minorHAnsi" w:cstheme="minorHAnsi"/>
      <w:smallCaps/>
      <w:szCs w:val="20"/>
    </w:rPr>
  </w:style>
  <w:style w:type="character" w:styleId="FollowedHyperlink">
    <w:name w:val="FollowedHyperlink"/>
    <w:basedOn w:val="DefaultParagraphFont"/>
    <w:uiPriority w:val="99"/>
    <w:semiHidden/>
    <w:unhideWhenUsed/>
    <w:rsid w:val="00525A6F"/>
    <w:rPr>
      <w:color w:val="800080" w:themeColor="followedHyperlink"/>
      <w:u w:val="single"/>
    </w:rPr>
  </w:style>
  <w:style w:type="character" w:customStyle="1" w:styleId="Heading3Char">
    <w:name w:val="Heading 3 Char"/>
    <w:basedOn w:val="DefaultParagraphFont"/>
    <w:link w:val="Heading3"/>
    <w:uiPriority w:val="9"/>
    <w:rsid w:val="00E86777"/>
    <w:rPr>
      <w:rFonts w:asciiTheme="majorHAnsi" w:eastAsiaTheme="majorEastAsia" w:hAnsiTheme="majorHAnsi" w:cstheme="majorBidi"/>
      <w:b/>
      <w:bCs/>
      <w:color w:val="4F81BD" w:themeColor="accent1"/>
      <w:szCs w:val="24"/>
      <w:lang w:val="en-US" w:eastAsia="en-US"/>
    </w:rPr>
  </w:style>
  <w:style w:type="paragraph" w:styleId="TOC3">
    <w:name w:val="toc 3"/>
    <w:basedOn w:val="Normal"/>
    <w:next w:val="Normal"/>
    <w:autoRedefine/>
    <w:uiPriority w:val="39"/>
    <w:unhideWhenUsed/>
    <w:rsid w:val="00E86777"/>
    <w:pPr>
      <w:ind w:left="400"/>
    </w:pPr>
    <w:rPr>
      <w:rFonts w:asciiTheme="minorHAnsi" w:hAnsiTheme="minorHAnsi" w:cstheme="minorHAnsi"/>
      <w:i/>
      <w:iCs/>
      <w:szCs w:val="20"/>
    </w:rPr>
  </w:style>
  <w:style w:type="paragraph" w:styleId="TOC4">
    <w:name w:val="toc 4"/>
    <w:basedOn w:val="Normal"/>
    <w:next w:val="Normal"/>
    <w:autoRedefine/>
    <w:uiPriority w:val="39"/>
    <w:unhideWhenUsed/>
    <w:rsid w:val="00E86777"/>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86777"/>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86777"/>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86777"/>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86777"/>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86777"/>
    <w:pPr>
      <w:ind w:left="1600"/>
    </w:pPr>
    <w:rPr>
      <w:rFonts w:asciiTheme="minorHAnsi" w:hAnsiTheme="minorHAnsi" w:cstheme="minorHAnsi"/>
      <w:sz w:val="18"/>
      <w:szCs w:val="18"/>
    </w:rPr>
  </w:style>
  <w:style w:type="paragraph" w:styleId="BodyText">
    <w:name w:val="Body Text"/>
    <w:basedOn w:val="Normal"/>
    <w:link w:val="BodyTextChar"/>
    <w:semiHidden/>
    <w:rsid w:val="00BB450C"/>
    <w:pPr>
      <w:overflowPunct w:val="0"/>
      <w:autoSpaceDE w:val="0"/>
      <w:autoSpaceDN w:val="0"/>
      <w:adjustRightInd w:val="0"/>
      <w:textAlignment w:val="baseline"/>
    </w:pPr>
    <w:rPr>
      <w:rFonts w:ascii="Times New Roman" w:hAnsi="Times New Roman" w:cs="Times New Roman"/>
      <w:color w:val="000000"/>
      <w:sz w:val="24"/>
      <w:szCs w:val="20"/>
      <w:lang w:eastAsia="en-CA"/>
    </w:rPr>
  </w:style>
  <w:style w:type="character" w:customStyle="1" w:styleId="BodyTextChar">
    <w:name w:val="Body Text Char"/>
    <w:basedOn w:val="DefaultParagraphFont"/>
    <w:link w:val="BodyText"/>
    <w:semiHidden/>
    <w:rsid w:val="00BB450C"/>
    <w:rPr>
      <w:color w:val="000000"/>
      <w:sz w:val="24"/>
      <w:lang w:val="en-US"/>
    </w:rPr>
  </w:style>
  <w:style w:type="character" w:customStyle="1" w:styleId="apple-converted-space">
    <w:name w:val="apple-converted-space"/>
    <w:basedOn w:val="DefaultParagraphFont"/>
    <w:rsid w:val="00047952"/>
  </w:style>
  <w:style w:type="paragraph" w:customStyle="1" w:styleId="CATextgreenarialnarrow10">
    <w:name w:val="CA Text (green+arial narrow10)"/>
    <w:link w:val="CATextgreenarialnarrow10Char"/>
    <w:uiPriority w:val="99"/>
    <w:rsid w:val="004A0413"/>
    <w:rPr>
      <w:rFonts w:ascii="Arial Narrow" w:hAnsi="Arial Narrow" w:cstheme="majorHAnsi"/>
      <w:color w:val="00A500"/>
      <w:lang w:val="en-US" w:eastAsia="en-US"/>
    </w:rPr>
  </w:style>
  <w:style w:type="character" w:customStyle="1" w:styleId="CATextgreenarialnarrow10Char">
    <w:name w:val="CA Text (green+arial narrow10) Char"/>
    <w:basedOn w:val="DefaultParagraphFont"/>
    <w:link w:val="CATextgreenarialnarrow10"/>
    <w:uiPriority w:val="99"/>
    <w:rsid w:val="004A0413"/>
    <w:rPr>
      <w:rFonts w:ascii="Arial Narrow" w:hAnsi="Arial Narrow" w:cstheme="majorHAnsi"/>
      <w:color w:val="00A500"/>
      <w:lang w:val="en-US" w:eastAsia="en-US"/>
    </w:rPr>
  </w:style>
  <w:style w:type="character" w:customStyle="1" w:styleId="CAInstructionsgreenarialnarrow10Char">
    <w:name w:val="CA (Instructions) (green+arial narrow10) Char"/>
    <w:basedOn w:val="DefaultParagraphFont"/>
    <w:link w:val="CAInstructionsgreenarialnarrow10"/>
    <w:uiPriority w:val="99"/>
    <w:locked/>
    <w:rsid w:val="00014987"/>
    <w:rPr>
      <w:rFonts w:ascii="Arial Narrow" w:hAnsi="Arial Narrow" w:cs="Cambria"/>
      <w:color w:val="00A500"/>
      <w:lang w:val="en-US"/>
    </w:rPr>
  </w:style>
  <w:style w:type="paragraph" w:customStyle="1" w:styleId="CAInstructionsgreenarialnarrow10">
    <w:name w:val="CA (Instructions) (green+arial narrow10)"/>
    <w:link w:val="CAInstructionsgreenarialnarrow10Char"/>
    <w:uiPriority w:val="99"/>
    <w:qFormat/>
    <w:rsid w:val="00014987"/>
    <w:rPr>
      <w:rFonts w:ascii="Arial Narrow" w:hAnsi="Arial Narrow" w:cs="Cambria"/>
      <w:color w:val="00A500"/>
      <w:lang w:val="en-US"/>
    </w:rPr>
  </w:style>
  <w:style w:type="character" w:styleId="HTMLDefinition">
    <w:name w:val="HTML Definition"/>
    <w:basedOn w:val="DefaultParagraphFont"/>
    <w:uiPriority w:val="99"/>
    <w:semiHidden/>
    <w:unhideWhenUsed/>
    <w:rsid w:val="008300F4"/>
    <w:rPr>
      <w:i w:val="0"/>
      <w:iCs w:val="0"/>
    </w:rPr>
  </w:style>
  <w:style w:type="paragraph" w:styleId="NormalWeb">
    <w:name w:val="Normal (Web)"/>
    <w:basedOn w:val="Normal"/>
    <w:uiPriority w:val="99"/>
    <w:unhideWhenUsed/>
    <w:rsid w:val="001E5E02"/>
    <w:pPr>
      <w:spacing w:before="150" w:after="150"/>
      <w:ind w:left="150" w:right="150"/>
    </w:pPr>
    <w:rPr>
      <w:rFonts w:ascii="Times New Roman" w:hAnsi="Times New Roman" w:cs="Times New Roman"/>
      <w:sz w:val="24"/>
      <w:lang w:val="en-CA" w:eastAsia="en-CA"/>
    </w:rPr>
  </w:style>
  <w:style w:type="character" w:customStyle="1" w:styleId="Heading4Char">
    <w:name w:val="Heading 4 Char"/>
    <w:basedOn w:val="DefaultParagraphFont"/>
    <w:link w:val="Heading4"/>
    <w:uiPriority w:val="9"/>
    <w:rsid w:val="00CD58FA"/>
    <w:rPr>
      <w:rFonts w:asciiTheme="majorHAnsi" w:eastAsiaTheme="majorEastAsia" w:hAnsiTheme="majorHAnsi" w:cstheme="majorBidi"/>
      <w:i/>
      <w:iCs/>
      <w:color w:val="365F91" w:themeColor="accent1" w:themeShade="BF"/>
      <w:szCs w:val="24"/>
      <w:lang w:val="en-US" w:eastAsia="en-US"/>
    </w:rPr>
  </w:style>
  <w:style w:type="character" w:styleId="HTMLVariable">
    <w:name w:val="HTML Variable"/>
    <w:basedOn w:val="DefaultParagraphFont"/>
    <w:uiPriority w:val="99"/>
    <w:semiHidden/>
    <w:unhideWhenUsed/>
    <w:rsid w:val="0016387E"/>
    <w:rPr>
      <w:i w:val="0"/>
      <w:iCs w:val="0"/>
    </w:rPr>
  </w:style>
  <w:style w:type="paragraph" w:styleId="NoSpacing">
    <w:name w:val="No Spacing"/>
    <w:link w:val="NoSpacingChar"/>
    <w:uiPriority w:val="1"/>
    <w:qFormat/>
    <w:rsid w:val="0016387E"/>
    <w:rPr>
      <w:rFonts w:asciiTheme="minorHAnsi" w:eastAsiaTheme="minorHAnsi" w:hAnsiTheme="minorHAnsi" w:cstheme="minorBidi"/>
      <w:sz w:val="22"/>
      <w:szCs w:val="22"/>
      <w:lang w:eastAsia="en-US"/>
    </w:rPr>
  </w:style>
  <w:style w:type="paragraph" w:styleId="ListParagraph">
    <w:name w:val="List Paragraph"/>
    <w:basedOn w:val="Normal"/>
    <w:link w:val="ListParagraphChar"/>
    <w:uiPriority w:val="34"/>
    <w:qFormat/>
    <w:rsid w:val="0016387E"/>
    <w:pPr>
      <w:spacing w:after="200" w:line="276" w:lineRule="auto"/>
      <w:ind w:left="720"/>
      <w:contextualSpacing/>
    </w:pPr>
    <w:rPr>
      <w:rFonts w:asciiTheme="minorHAnsi" w:eastAsiaTheme="minorHAnsi" w:hAnsiTheme="minorHAnsi" w:cstheme="minorBidi"/>
      <w:sz w:val="22"/>
      <w:szCs w:val="22"/>
      <w:lang w:val="en-CA"/>
    </w:rPr>
  </w:style>
  <w:style w:type="character" w:styleId="Emphasis">
    <w:name w:val="Emphasis"/>
    <w:basedOn w:val="DefaultParagraphFont"/>
    <w:uiPriority w:val="20"/>
    <w:qFormat/>
    <w:rsid w:val="003402E5"/>
    <w:rPr>
      <w:i/>
      <w:iCs/>
    </w:rPr>
  </w:style>
  <w:style w:type="character" w:styleId="CommentReference">
    <w:name w:val="annotation reference"/>
    <w:basedOn w:val="DefaultParagraphFont"/>
    <w:uiPriority w:val="99"/>
    <w:semiHidden/>
    <w:unhideWhenUsed/>
    <w:rsid w:val="003F60D0"/>
    <w:rPr>
      <w:sz w:val="16"/>
      <w:szCs w:val="16"/>
    </w:rPr>
  </w:style>
  <w:style w:type="paragraph" w:styleId="CommentText">
    <w:name w:val="annotation text"/>
    <w:basedOn w:val="Normal"/>
    <w:link w:val="CommentTextChar"/>
    <w:uiPriority w:val="99"/>
    <w:unhideWhenUsed/>
    <w:rsid w:val="003F60D0"/>
    <w:rPr>
      <w:szCs w:val="20"/>
    </w:rPr>
  </w:style>
  <w:style w:type="character" w:customStyle="1" w:styleId="CommentTextChar">
    <w:name w:val="Comment Text Char"/>
    <w:basedOn w:val="DefaultParagraphFont"/>
    <w:link w:val="CommentText"/>
    <w:uiPriority w:val="99"/>
    <w:rsid w:val="003F60D0"/>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3F60D0"/>
    <w:rPr>
      <w:b/>
      <w:bCs/>
    </w:rPr>
  </w:style>
  <w:style w:type="character" w:customStyle="1" w:styleId="CommentSubjectChar">
    <w:name w:val="Comment Subject Char"/>
    <w:basedOn w:val="CommentTextChar"/>
    <w:link w:val="CommentSubject"/>
    <w:uiPriority w:val="99"/>
    <w:semiHidden/>
    <w:rsid w:val="003F60D0"/>
    <w:rPr>
      <w:rFonts w:ascii="Arial" w:hAnsi="Arial" w:cs="Arial"/>
      <w:b/>
      <w:bCs/>
      <w:lang w:val="en-US" w:eastAsia="en-US"/>
    </w:rPr>
  </w:style>
  <w:style w:type="character" w:customStyle="1" w:styleId="DefaultTextChar">
    <w:name w:val="Default Text Char"/>
    <w:link w:val="DefaultText"/>
    <w:rsid w:val="00A972A7"/>
    <w:rPr>
      <w:rFonts w:ascii="Arial" w:hAnsi="Arial"/>
      <w:lang w:val="en-US" w:eastAsia="en-US"/>
    </w:rPr>
  </w:style>
  <w:style w:type="character" w:customStyle="1" w:styleId="CharChar5">
    <w:name w:val="Char Char5"/>
    <w:semiHidden/>
    <w:rsid w:val="00FC3E0B"/>
    <w:rPr>
      <w:i/>
      <w:caps/>
      <w:spacing w:val="10"/>
      <w:sz w:val="18"/>
      <w:szCs w:val="18"/>
    </w:rPr>
  </w:style>
  <w:style w:type="character" w:customStyle="1" w:styleId="NoSpacingChar">
    <w:name w:val="No Spacing Char"/>
    <w:link w:val="NoSpacing"/>
    <w:uiPriority w:val="1"/>
    <w:locked/>
    <w:rsid w:val="00745494"/>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21C97"/>
    <w:rPr>
      <w:color w:val="605E5C"/>
      <w:shd w:val="clear" w:color="auto" w:fill="E1DFDD"/>
    </w:rPr>
  </w:style>
  <w:style w:type="character" w:customStyle="1" w:styleId="ListParagraphChar">
    <w:name w:val="List Paragraph Char"/>
    <w:link w:val="ListParagraph"/>
    <w:uiPriority w:val="34"/>
    <w:rsid w:val="0094513D"/>
    <w:rPr>
      <w:rFonts w:asciiTheme="minorHAnsi" w:eastAsiaTheme="minorHAnsi" w:hAnsiTheme="minorHAnsi" w:cstheme="minorBidi"/>
      <w:sz w:val="22"/>
      <w:szCs w:val="22"/>
      <w:lang w:eastAsia="en-US"/>
    </w:rPr>
  </w:style>
  <w:style w:type="character" w:customStyle="1" w:styleId="description">
    <w:name w:val="description"/>
    <w:basedOn w:val="DefaultParagraphFont"/>
    <w:rsid w:val="003842D7"/>
  </w:style>
  <w:style w:type="character" w:styleId="Strong">
    <w:name w:val="Strong"/>
    <w:basedOn w:val="DefaultParagraphFont"/>
    <w:uiPriority w:val="22"/>
    <w:qFormat/>
    <w:rsid w:val="003842D7"/>
    <w:rPr>
      <w:b/>
      <w:bCs/>
    </w:rPr>
  </w:style>
  <w:style w:type="character" w:customStyle="1" w:styleId="input-required">
    <w:name w:val="input-required"/>
    <w:basedOn w:val="DefaultParagraphFont"/>
    <w:rsid w:val="003842D7"/>
  </w:style>
  <w:style w:type="character" w:styleId="HTMLKeyboard">
    <w:name w:val="HTML Keyboard"/>
    <w:basedOn w:val="DefaultParagraphFont"/>
    <w:uiPriority w:val="99"/>
    <w:semiHidden/>
    <w:unhideWhenUsed/>
    <w:rsid w:val="003842D7"/>
    <w:rPr>
      <w:rFonts w:ascii="Courier New" w:eastAsia="Times New Roman" w:hAnsi="Courier New" w:cs="Courier New"/>
      <w:sz w:val="20"/>
      <w:szCs w:val="20"/>
    </w:rPr>
  </w:style>
  <w:style w:type="paragraph" w:customStyle="1" w:styleId="DefaultText14">
    <w:name w:val="Default Text:1:4"/>
    <w:basedOn w:val="Normal"/>
    <w:uiPriority w:val="99"/>
    <w:rsid w:val="00F36499"/>
    <w:pPr>
      <w:autoSpaceDE w:val="0"/>
      <w:autoSpaceDN w:val="0"/>
      <w:adjustRightInd w:val="0"/>
    </w:pPr>
    <w:rPr>
      <w:rFonts w:ascii="Times New Roman" w:hAnsi="Times New Roman" w:cs="Times New Roman"/>
      <w:sz w:val="24"/>
      <w:lang w:val="en-CA" w:eastAsia="en-CA"/>
    </w:rPr>
  </w:style>
  <w:style w:type="table" w:styleId="TableGrid">
    <w:name w:val="Table Grid"/>
    <w:basedOn w:val="TableNormal"/>
    <w:uiPriority w:val="39"/>
    <w:rsid w:val="00F364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8513">
      <w:bodyDiv w:val="1"/>
      <w:marLeft w:val="0"/>
      <w:marRight w:val="0"/>
      <w:marTop w:val="0"/>
      <w:marBottom w:val="0"/>
      <w:divBdr>
        <w:top w:val="none" w:sz="0" w:space="0" w:color="auto"/>
        <w:left w:val="none" w:sz="0" w:space="0" w:color="auto"/>
        <w:bottom w:val="none" w:sz="0" w:space="0" w:color="auto"/>
        <w:right w:val="none" w:sz="0" w:space="0" w:color="auto"/>
      </w:divBdr>
    </w:div>
    <w:div w:id="624851556">
      <w:bodyDiv w:val="1"/>
      <w:marLeft w:val="0"/>
      <w:marRight w:val="0"/>
      <w:marTop w:val="0"/>
      <w:marBottom w:val="0"/>
      <w:divBdr>
        <w:top w:val="none" w:sz="0" w:space="0" w:color="auto"/>
        <w:left w:val="none" w:sz="0" w:space="0" w:color="auto"/>
        <w:bottom w:val="none" w:sz="0" w:space="0" w:color="auto"/>
        <w:right w:val="none" w:sz="0" w:space="0" w:color="auto"/>
      </w:divBdr>
    </w:div>
    <w:div w:id="734545771">
      <w:bodyDiv w:val="1"/>
      <w:marLeft w:val="0"/>
      <w:marRight w:val="0"/>
      <w:marTop w:val="0"/>
      <w:marBottom w:val="0"/>
      <w:divBdr>
        <w:top w:val="none" w:sz="0" w:space="0" w:color="auto"/>
        <w:left w:val="none" w:sz="0" w:space="0" w:color="auto"/>
        <w:bottom w:val="none" w:sz="0" w:space="0" w:color="auto"/>
        <w:right w:val="none" w:sz="0" w:space="0" w:color="auto"/>
      </w:divBdr>
    </w:div>
    <w:div w:id="924805065">
      <w:bodyDiv w:val="1"/>
      <w:marLeft w:val="0"/>
      <w:marRight w:val="0"/>
      <w:marTop w:val="0"/>
      <w:marBottom w:val="0"/>
      <w:divBdr>
        <w:top w:val="none" w:sz="0" w:space="0" w:color="auto"/>
        <w:left w:val="none" w:sz="0" w:space="0" w:color="auto"/>
        <w:bottom w:val="none" w:sz="0" w:space="0" w:color="auto"/>
        <w:right w:val="none" w:sz="0" w:space="0" w:color="auto"/>
      </w:divBdr>
    </w:div>
    <w:div w:id="1047224506">
      <w:bodyDiv w:val="1"/>
      <w:marLeft w:val="0"/>
      <w:marRight w:val="0"/>
      <w:marTop w:val="0"/>
      <w:marBottom w:val="0"/>
      <w:divBdr>
        <w:top w:val="none" w:sz="0" w:space="0" w:color="auto"/>
        <w:left w:val="none" w:sz="0" w:space="0" w:color="auto"/>
        <w:bottom w:val="none" w:sz="0" w:space="0" w:color="auto"/>
        <w:right w:val="none" w:sz="0" w:space="0" w:color="auto"/>
      </w:divBdr>
    </w:div>
    <w:div w:id="1053383050">
      <w:bodyDiv w:val="1"/>
      <w:marLeft w:val="0"/>
      <w:marRight w:val="0"/>
      <w:marTop w:val="0"/>
      <w:marBottom w:val="0"/>
      <w:divBdr>
        <w:top w:val="none" w:sz="0" w:space="0" w:color="auto"/>
        <w:left w:val="none" w:sz="0" w:space="0" w:color="auto"/>
        <w:bottom w:val="none" w:sz="0" w:space="0" w:color="auto"/>
        <w:right w:val="none" w:sz="0" w:space="0" w:color="auto"/>
      </w:divBdr>
    </w:div>
    <w:div w:id="1153525656">
      <w:bodyDiv w:val="1"/>
      <w:marLeft w:val="0"/>
      <w:marRight w:val="0"/>
      <w:marTop w:val="0"/>
      <w:marBottom w:val="0"/>
      <w:divBdr>
        <w:top w:val="none" w:sz="0" w:space="0" w:color="auto"/>
        <w:left w:val="none" w:sz="0" w:space="0" w:color="auto"/>
        <w:bottom w:val="none" w:sz="0" w:space="0" w:color="auto"/>
        <w:right w:val="none" w:sz="0" w:space="0" w:color="auto"/>
      </w:divBdr>
    </w:div>
    <w:div w:id="1327441977">
      <w:bodyDiv w:val="1"/>
      <w:marLeft w:val="0"/>
      <w:marRight w:val="0"/>
      <w:marTop w:val="0"/>
      <w:marBottom w:val="0"/>
      <w:divBdr>
        <w:top w:val="none" w:sz="0" w:space="0" w:color="auto"/>
        <w:left w:val="none" w:sz="0" w:space="0" w:color="auto"/>
        <w:bottom w:val="none" w:sz="0" w:space="0" w:color="auto"/>
        <w:right w:val="none" w:sz="0" w:space="0" w:color="auto"/>
      </w:divBdr>
    </w:div>
    <w:div w:id="1429620082">
      <w:bodyDiv w:val="1"/>
      <w:marLeft w:val="0"/>
      <w:marRight w:val="0"/>
      <w:marTop w:val="0"/>
      <w:marBottom w:val="0"/>
      <w:divBdr>
        <w:top w:val="none" w:sz="0" w:space="0" w:color="auto"/>
        <w:left w:val="none" w:sz="0" w:space="0" w:color="auto"/>
        <w:bottom w:val="none" w:sz="0" w:space="0" w:color="auto"/>
        <w:right w:val="none" w:sz="0" w:space="0" w:color="auto"/>
      </w:divBdr>
    </w:div>
    <w:div w:id="1431007048">
      <w:bodyDiv w:val="1"/>
      <w:marLeft w:val="0"/>
      <w:marRight w:val="0"/>
      <w:marTop w:val="0"/>
      <w:marBottom w:val="0"/>
      <w:divBdr>
        <w:top w:val="none" w:sz="0" w:space="0" w:color="auto"/>
        <w:left w:val="none" w:sz="0" w:space="0" w:color="auto"/>
        <w:bottom w:val="none" w:sz="0" w:space="0" w:color="auto"/>
        <w:right w:val="none" w:sz="0" w:space="0" w:color="auto"/>
      </w:divBdr>
    </w:div>
    <w:div w:id="1441536109">
      <w:bodyDiv w:val="1"/>
      <w:marLeft w:val="0"/>
      <w:marRight w:val="0"/>
      <w:marTop w:val="0"/>
      <w:marBottom w:val="0"/>
      <w:divBdr>
        <w:top w:val="none" w:sz="0" w:space="0" w:color="auto"/>
        <w:left w:val="none" w:sz="0" w:space="0" w:color="auto"/>
        <w:bottom w:val="none" w:sz="0" w:space="0" w:color="auto"/>
        <w:right w:val="none" w:sz="0" w:space="0" w:color="auto"/>
      </w:divBdr>
    </w:div>
    <w:div w:id="1510636066">
      <w:bodyDiv w:val="1"/>
      <w:marLeft w:val="0"/>
      <w:marRight w:val="0"/>
      <w:marTop w:val="0"/>
      <w:marBottom w:val="0"/>
      <w:divBdr>
        <w:top w:val="none" w:sz="0" w:space="0" w:color="auto"/>
        <w:left w:val="none" w:sz="0" w:space="0" w:color="auto"/>
        <w:bottom w:val="none" w:sz="0" w:space="0" w:color="auto"/>
        <w:right w:val="none" w:sz="0" w:space="0" w:color="auto"/>
      </w:divBdr>
    </w:div>
    <w:div w:id="1643079168">
      <w:bodyDiv w:val="1"/>
      <w:marLeft w:val="0"/>
      <w:marRight w:val="0"/>
      <w:marTop w:val="0"/>
      <w:marBottom w:val="0"/>
      <w:divBdr>
        <w:top w:val="none" w:sz="0" w:space="0" w:color="auto"/>
        <w:left w:val="none" w:sz="0" w:space="0" w:color="auto"/>
        <w:bottom w:val="none" w:sz="0" w:space="0" w:color="auto"/>
        <w:right w:val="none" w:sz="0" w:space="0" w:color="auto"/>
      </w:divBdr>
    </w:div>
    <w:div w:id="1981154857">
      <w:bodyDiv w:val="1"/>
      <w:marLeft w:val="0"/>
      <w:marRight w:val="0"/>
      <w:marTop w:val="0"/>
      <w:marBottom w:val="0"/>
      <w:divBdr>
        <w:top w:val="none" w:sz="0" w:space="0" w:color="auto"/>
        <w:left w:val="none" w:sz="0" w:space="0" w:color="auto"/>
        <w:bottom w:val="none" w:sz="0" w:space="0" w:color="auto"/>
        <w:right w:val="none" w:sz="0" w:space="0" w:color="auto"/>
      </w:divBdr>
      <w:divsChild>
        <w:div w:id="2003046294">
          <w:marLeft w:val="0"/>
          <w:marRight w:val="0"/>
          <w:marTop w:val="0"/>
          <w:marBottom w:val="0"/>
          <w:divBdr>
            <w:top w:val="none" w:sz="0" w:space="0" w:color="auto"/>
            <w:left w:val="none" w:sz="0" w:space="0" w:color="auto"/>
            <w:bottom w:val="none" w:sz="0" w:space="0" w:color="auto"/>
            <w:right w:val="none" w:sz="0" w:space="0" w:color="auto"/>
          </w:divBdr>
          <w:divsChild>
            <w:div w:id="1836455307">
              <w:marLeft w:val="0"/>
              <w:marRight w:val="0"/>
              <w:marTop w:val="0"/>
              <w:marBottom w:val="0"/>
              <w:divBdr>
                <w:top w:val="none" w:sz="0" w:space="0" w:color="auto"/>
                <w:left w:val="none" w:sz="0" w:space="0" w:color="auto"/>
                <w:bottom w:val="none" w:sz="0" w:space="0" w:color="auto"/>
                <w:right w:val="none" w:sz="0" w:space="0" w:color="auto"/>
              </w:divBdr>
              <w:divsChild>
                <w:div w:id="906451924">
                  <w:marLeft w:val="0"/>
                  <w:marRight w:val="0"/>
                  <w:marTop w:val="0"/>
                  <w:marBottom w:val="0"/>
                  <w:divBdr>
                    <w:top w:val="none" w:sz="0" w:space="0" w:color="auto"/>
                    <w:left w:val="none" w:sz="0" w:space="0" w:color="auto"/>
                    <w:bottom w:val="none" w:sz="0" w:space="0" w:color="auto"/>
                    <w:right w:val="none" w:sz="0" w:space="0" w:color="auto"/>
                  </w:divBdr>
                  <w:divsChild>
                    <w:div w:id="255015514">
                      <w:marLeft w:val="0"/>
                      <w:marRight w:val="0"/>
                      <w:marTop w:val="0"/>
                      <w:marBottom w:val="0"/>
                      <w:divBdr>
                        <w:top w:val="none" w:sz="0" w:space="0" w:color="auto"/>
                        <w:left w:val="none" w:sz="0" w:space="0" w:color="auto"/>
                        <w:bottom w:val="none" w:sz="0" w:space="0" w:color="auto"/>
                        <w:right w:val="none" w:sz="0" w:space="0" w:color="auto"/>
                      </w:divBdr>
                      <w:divsChild>
                        <w:div w:id="1525896595">
                          <w:marLeft w:val="0"/>
                          <w:marRight w:val="0"/>
                          <w:marTop w:val="0"/>
                          <w:marBottom w:val="0"/>
                          <w:divBdr>
                            <w:top w:val="none" w:sz="0" w:space="0" w:color="auto"/>
                            <w:left w:val="none" w:sz="0" w:space="0" w:color="auto"/>
                            <w:bottom w:val="none" w:sz="0" w:space="0" w:color="auto"/>
                            <w:right w:val="none" w:sz="0" w:space="0" w:color="auto"/>
                          </w:divBdr>
                          <w:divsChild>
                            <w:div w:id="364212257">
                              <w:marLeft w:val="0"/>
                              <w:marRight w:val="0"/>
                              <w:marTop w:val="0"/>
                              <w:marBottom w:val="0"/>
                              <w:divBdr>
                                <w:top w:val="none" w:sz="0" w:space="0" w:color="auto"/>
                                <w:left w:val="none" w:sz="0" w:space="0" w:color="auto"/>
                                <w:bottom w:val="none" w:sz="0" w:space="0" w:color="auto"/>
                                <w:right w:val="none" w:sz="0" w:space="0" w:color="auto"/>
                              </w:divBdr>
                              <w:divsChild>
                                <w:div w:id="1673290412">
                                  <w:marLeft w:val="0"/>
                                  <w:marRight w:val="0"/>
                                  <w:marTop w:val="0"/>
                                  <w:marBottom w:val="0"/>
                                  <w:divBdr>
                                    <w:top w:val="none" w:sz="0" w:space="0" w:color="auto"/>
                                    <w:left w:val="none" w:sz="0" w:space="0" w:color="auto"/>
                                    <w:bottom w:val="none" w:sz="0" w:space="0" w:color="auto"/>
                                    <w:right w:val="none" w:sz="0" w:space="0" w:color="auto"/>
                                  </w:divBdr>
                                  <w:divsChild>
                                    <w:div w:id="10385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055DA-8C17-4185-A695-2A79B271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March 2014</vt:lpstr>
    </vt:vector>
  </TitlesOfParts>
  <Company>PWGSC/TPSGC</Company>
  <LinksUpToDate>false</LinksUpToDate>
  <CharactersWithSpaces>13760</CharactersWithSpaces>
  <SharedDoc>false</SharedDoc>
  <HLinks>
    <vt:vector size="1560" baseType="variant">
      <vt:variant>
        <vt:i4>7143534</vt:i4>
      </vt:variant>
      <vt:variant>
        <vt:i4>777</vt:i4>
      </vt:variant>
      <vt:variant>
        <vt:i4>0</vt:i4>
      </vt:variant>
      <vt:variant>
        <vt:i4>5</vt:i4>
      </vt:variant>
      <vt:variant>
        <vt:lpwstr>http://www.servicecanada.gc.ca/cgi-bin/search/eforms/index.cgi?app=prfl&amp;frm=lab1168&amp;ln=eng</vt:lpwstr>
      </vt:variant>
      <vt:variant>
        <vt:lpwstr/>
      </vt:variant>
      <vt:variant>
        <vt:i4>7143534</vt:i4>
      </vt:variant>
      <vt:variant>
        <vt:i4>774</vt:i4>
      </vt:variant>
      <vt:variant>
        <vt:i4>0</vt:i4>
      </vt:variant>
      <vt:variant>
        <vt:i4>5</vt:i4>
      </vt:variant>
      <vt:variant>
        <vt:lpwstr>http://www.servicecanada.gc.ca/cgi-bin/search/eforms/index.cgi?app=prfl&amp;frm=lab1168&amp;ln=eng</vt:lpwstr>
      </vt:variant>
      <vt:variant>
        <vt:lpwstr/>
      </vt:variant>
      <vt:variant>
        <vt:i4>1572951</vt:i4>
      </vt:variant>
      <vt:variant>
        <vt:i4>771</vt:i4>
      </vt:variant>
      <vt:variant>
        <vt:i4>0</vt:i4>
      </vt:variant>
      <vt:variant>
        <vt:i4>5</vt:i4>
      </vt:variant>
      <vt:variant>
        <vt:lpwstr>http://laws-lois.justice.gc.ca/eng/acts/E-5.401/</vt:lpwstr>
      </vt:variant>
      <vt:variant>
        <vt:lpwstr/>
      </vt:variant>
      <vt:variant>
        <vt:i4>3080296</vt:i4>
      </vt:variant>
      <vt:variant>
        <vt:i4>768</vt:i4>
      </vt:variant>
      <vt:variant>
        <vt:i4>0</vt:i4>
      </vt:variant>
      <vt:variant>
        <vt:i4>5</vt:i4>
      </vt:variant>
      <vt:variant>
        <vt:lpwstr>http://www.labour.gc.ca/eng/regulated.shtml</vt:lpwstr>
      </vt:variant>
      <vt:variant>
        <vt:lpwstr/>
      </vt:variant>
      <vt:variant>
        <vt:i4>5570618</vt:i4>
      </vt:variant>
      <vt:variant>
        <vt:i4>765</vt:i4>
      </vt:variant>
      <vt:variant>
        <vt:i4>0</vt:i4>
      </vt:variant>
      <vt:variant>
        <vt:i4>5</vt:i4>
      </vt:variant>
      <vt:variant>
        <vt:lpwstr>http://www.labour.gc.ca/eng/standards_equity/eq/emp/fcp/index.shtml</vt:lpwstr>
      </vt:variant>
      <vt:variant>
        <vt:lpwstr/>
      </vt:variant>
      <vt:variant>
        <vt:i4>7864355</vt:i4>
      </vt:variant>
      <vt:variant>
        <vt:i4>762</vt:i4>
      </vt:variant>
      <vt:variant>
        <vt:i4>0</vt:i4>
      </vt:variant>
      <vt:variant>
        <vt:i4>5</vt:i4>
      </vt:variant>
      <vt:variant>
        <vt:lpwstr>https://buyandsell.gc.ca/policy-and-guidelines/supply-manual/annex/5/1</vt:lpwstr>
      </vt:variant>
      <vt:variant>
        <vt:lpwstr/>
      </vt:variant>
      <vt:variant>
        <vt:i4>5767189</vt:i4>
      </vt:variant>
      <vt:variant>
        <vt:i4>759</vt:i4>
      </vt:variant>
      <vt:variant>
        <vt:i4>0</vt:i4>
      </vt:variant>
      <vt:variant>
        <vt:i4>5</vt:i4>
      </vt:variant>
      <vt:variant>
        <vt:lpwstr>https://buyandsell.gc.ca/policy-and-guidelines/standard-acquisition-clauses-and-conditions-manual/5/E</vt:lpwstr>
      </vt:variant>
      <vt:variant>
        <vt:lpwstr/>
      </vt:variant>
      <vt:variant>
        <vt:i4>1835029</vt:i4>
      </vt:variant>
      <vt:variant>
        <vt:i4>756</vt:i4>
      </vt:variant>
      <vt:variant>
        <vt:i4>0</vt:i4>
      </vt:variant>
      <vt:variant>
        <vt:i4>5</vt:i4>
      </vt:variant>
      <vt:variant>
        <vt:lpwstr>https://buyandsell.gc.ca/policy-and-guidelines/standard-acquisition-clauses-and-conditions-manual/5/E/E8000C/</vt:lpwstr>
      </vt:variant>
      <vt:variant>
        <vt:lpwstr/>
      </vt:variant>
      <vt:variant>
        <vt:i4>1835029</vt:i4>
      </vt:variant>
      <vt:variant>
        <vt:i4>753</vt:i4>
      </vt:variant>
      <vt:variant>
        <vt:i4>0</vt:i4>
      </vt:variant>
      <vt:variant>
        <vt:i4>5</vt:i4>
      </vt:variant>
      <vt:variant>
        <vt:lpwstr>https://buyandsell.gc.ca/policy-and-guidelines/standard-acquisition-clauses-and-conditions-manual/5/E/E8000C/</vt:lpwstr>
      </vt:variant>
      <vt:variant>
        <vt:lpwstr/>
      </vt:variant>
      <vt:variant>
        <vt:i4>1114133</vt:i4>
      </vt:variant>
      <vt:variant>
        <vt:i4>750</vt:i4>
      </vt:variant>
      <vt:variant>
        <vt:i4>0</vt:i4>
      </vt:variant>
      <vt:variant>
        <vt:i4>5</vt:i4>
      </vt:variant>
      <vt:variant>
        <vt:lpwstr>https://buyandsell.gc.ca/policy-and-guidelines/standard-acquisition-clauses-and-conditions-manual/5/E/E5000C/</vt:lpwstr>
      </vt:variant>
      <vt:variant>
        <vt:lpwstr/>
      </vt:variant>
      <vt:variant>
        <vt:i4>1310738</vt:i4>
      </vt:variant>
      <vt:variant>
        <vt:i4>747</vt:i4>
      </vt:variant>
      <vt:variant>
        <vt:i4>0</vt:i4>
      </vt:variant>
      <vt:variant>
        <vt:i4>5</vt:i4>
      </vt:variant>
      <vt:variant>
        <vt:lpwstr>https://buyandsell.gc.ca/policy-and-guidelines/standard-acquisition-clauses-and-conditions-manual/5/E/E0007C/</vt:lpwstr>
      </vt:variant>
      <vt:variant>
        <vt:lpwstr/>
      </vt:variant>
      <vt:variant>
        <vt:i4>1310736</vt:i4>
      </vt:variant>
      <vt:variant>
        <vt:i4>744</vt:i4>
      </vt:variant>
      <vt:variant>
        <vt:i4>0</vt:i4>
      </vt:variant>
      <vt:variant>
        <vt:i4>5</vt:i4>
      </vt:variant>
      <vt:variant>
        <vt:lpwstr>https://buyandsell.gc.ca/policy-and-guidelines/standard-acquisition-clauses-and-conditions-manual/5/E/E0005C/</vt:lpwstr>
      </vt:variant>
      <vt:variant>
        <vt:lpwstr/>
      </vt:variant>
      <vt:variant>
        <vt:i4>2424889</vt:i4>
      </vt:variant>
      <vt:variant>
        <vt:i4>741</vt:i4>
      </vt:variant>
      <vt:variant>
        <vt:i4>0</vt:i4>
      </vt:variant>
      <vt:variant>
        <vt:i4>5</vt:i4>
      </vt:variant>
      <vt:variant>
        <vt:lpwstr>https://buyandsell.gc.ca/policy-and-guidelines/standard-acquisition-clauses-and-conditions-manual/5/N/N0003C/1</vt:lpwstr>
      </vt:variant>
      <vt:variant>
        <vt:lpwstr/>
      </vt:variant>
      <vt:variant>
        <vt:i4>5242892</vt:i4>
      </vt:variant>
      <vt:variant>
        <vt:i4>738</vt:i4>
      </vt:variant>
      <vt:variant>
        <vt:i4>0</vt:i4>
      </vt:variant>
      <vt:variant>
        <vt:i4>5</vt:i4>
      </vt:variant>
      <vt:variant>
        <vt:lpwstr>http://buyandsell.gc.ca/policy-and-guidelines/standard-acquisition-clauses-and-conditions-manual/5/N/N0001C/1</vt:lpwstr>
      </vt:variant>
      <vt:variant>
        <vt:lpwstr/>
      </vt:variant>
      <vt:variant>
        <vt:i4>5308428</vt:i4>
      </vt:variant>
      <vt:variant>
        <vt:i4>735</vt:i4>
      </vt:variant>
      <vt:variant>
        <vt:i4>0</vt:i4>
      </vt:variant>
      <vt:variant>
        <vt:i4>5</vt:i4>
      </vt:variant>
      <vt:variant>
        <vt:lpwstr>http://buyandsell.gc.ca/policy-and-guidelines/standard-acquisition-clauses-and-conditions-manual/5/N/N0000C/4</vt:lpwstr>
      </vt:variant>
      <vt:variant>
        <vt:lpwstr/>
      </vt:variant>
      <vt:variant>
        <vt:i4>5308422</vt:i4>
      </vt:variant>
      <vt:variant>
        <vt:i4>732</vt:i4>
      </vt:variant>
      <vt:variant>
        <vt:i4>0</vt:i4>
      </vt:variant>
      <vt:variant>
        <vt:i4>5</vt:i4>
      </vt:variant>
      <vt:variant>
        <vt:lpwstr>http://buyandsell.gc.ca/policy-and-guidelines/standard-acquisition-clauses-and-conditions-manual/5/A/A9131C/6</vt:lpwstr>
      </vt:variant>
      <vt:variant>
        <vt:lpwstr/>
      </vt:variant>
      <vt:variant>
        <vt:i4>5308430</vt:i4>
      </vt:variant>
      <vt:variant>
        <vt:i4>729</vt:i4>
      </vt:variant>
      <vt:variant>
        <vt:i4>0</vt:i4>
      </vt:variant>
      <vt:variant>
        <vt:i4>5</vt:i4>
      </vt:variant>
      <vt:variant>
        <vt:lpwstr>http://buyandsell.gc.ca/policy-and-guidelines/standard-acquisition-clauses-and-conditions-manual/5/B/B4060C/3</vt:lpwstr>
      </vt:variant>
      <vt:variant>
        <vt:lpwstr/>
      </vt:variant>
      <vt:variant>
        <vt:i4>5308422</vt:i4>
      </vt:variant>
      <vt:variant>
        <vt:i4>726</vt:i4>
      </vt:variant>
      <vt:variant>
        <vt:i4>0</vt:i4>
      </vt:variant>
      <vt:variant>
        <vt:i4>5</vt:i4>
      </vt:variant>
      <vt:variant>
        <vt:lpwstr>http://buyandsell.gc.ca/policy-and-guidelines/standard-acquisition-clauses-and-conditions-manual/5/A/A9131C/6</vt:lpwstr>
      </vt:variant>
      <vt:variant>
        <vt:lpwstr/>
      </vt:variant>
      <vt:variant>
        <vt:i4>1376276</vt:i4>
      </vt:variant>
      <vt:variant>
        <vt:i4>723</vt:i4>
      </vt:variant>
      <vt:variant>
        <vt:i4>0</vt:i4>
      </vt:variant>
      <vt:variant>
        <vt:i4>5</vt:i4>
      </vt:variant>
      <vt:variant>
        <vt:lpwstr>https://buyandsell.gc.ca/policy-and-guidelines/standard-acquisition-clauses-and-conditions-manual/5/G/G1001C/</vt:lpwstr>
      </vt:variant>
      <vt:variant>
        <vt:lpwstr/>
      </vt:variant>
      <vt:variant>
        <vt:i4>1376272</vt:i4>
      </vt:variant>
      <vt:variant>
        <vt:i4>720</vt:i4>
      </vt:variant>
      <vt:variant>
        <vt:i4>0</vt:i4>
      </vt:variant>
      <vt:variant>
        <vt:i4>5</vt:i4>
      </vt:variant>
      <vt:variant>
        <vt:lpwstr>https://buyandsell.gc.ca/policy-and-guidelines/standard-acquisition-clauses-and-conditions-manual/5/G/G1005C/</vt:lpwstr>
      </vt:variant>
      <vt:variant>
        <vt:lpwstr/>
      </vt:variant>
      <vt:variant>
        <vt:i4>1376276</vt:i4>
      </vt:variant>
      <vt:variant>
        <vt:i4>717</vt:i4>
      </vt:variant>
      <vt:variant>
        <vt:i4>0</vt:i4>
      </vt:variant>
      <vt:variant>
        <vt:i4>5</vt:i4>
      </vt:variant>
      <vt:variant>
        <vt:lpwstr>https://buyandsell.gc.ca/policy-and-guidelines/standard-acquisition-clauses-and-conditions-manual/5/G/G1001C/</vt:lpwstr>
      </vt:variant>
      <vt:variant>
        <vt:lpwstr/>
      </vt:variant>
      <vt:variant>
        <vt:i4>1376272</vt:i4>
      </vt:variant>
      <vt:variant>
        <vt:i4>714</vt:i4>
      </vt:variant>
      <vt:variant>
        <vt:i4>0</vt:i4>
      </vt:variant>
      <vt:variant>
        <vt:i4>5</vt:i4>
      </vt:variant>
      <vt:variant>
        <vt:lpwstr>https://buyandsell.gc.ca/policy-and-guidelines/standard-acquisition-clauses-and-conditions-manual/5/G/G1005C/</vt:lpwstr>
      </vt:variant>
      <vt:variant>
        <vt:lpwstr/>
      </vt:variant>
      <vt:variant>
        <vt:i4>5242894</vt:i4>
      </vt:variant>
      <vt:variant>
        <vt:i4>711</vt:i4>
      </vt:variant>
      <vt:variant>
        <vt:i4>0</vt:i4>
      </vt:variant>
      <vt:variant>
        <vt:i4>5</vt:i4>
      </vt:variant>
      <vt:variant>
        <vt:lpwstr>http://buyandsell.gc.ca/policy-and-guidelines/standard-acquisition-clauses-and-conditions-manual/5/A/A2001C/1</vt:lpwstr>
      </vt:variant>
      <vt:variant>
        <vt:lpwstr/>
      </vt:variant>
      <vt:variant>
        <vt:i4>5308430</vt:i4>
      </vt:variant>
      <vt:variant>
        <vt:i4>708</vt:i4>
      </vt:variant>
      <vt:variant>
        <vt:i4>0</vt:i4>
      </vt:variant>
      <vt:variant>
        <vt:i4>5</vt:i4>
      </vt:variant>
      <vt:variant>
        <vt:lpwstr>http://buyandsell.gc.ca/policy-and-guidelines/standard-acquisition-clauses-and-conditions-manual/5/A/A2000C/1</vt:lpwstr>
      </vt:variant>
      <vt:variant>
        <vt:lpwstr/>
      </vt:variant>
      <vt:variant>
        <vt:i4>5242894</vt:i4>
      </vt:variant>
      <vt:variant>
        <vt:i4>705</vt:i4>
      </vt:variant>
      <vt:variant>
        <vt:i4>0</vt:i4>
      </vt:variant>
      <vt:variant>
        <vt:i4>5</vt:i4>
      </vt:variant>
      <vt:variant>
        <vt:lpwstr>http://buyandsell.gc.ca/policy-and-guidelines/standard-acquisition-clauses-and-conditions-manual/5/A/A2001C/1</vt:lpwstr>
      </vt:variant>
      <vt:variant>
        <vt:lpwstr/>
      </vt:variant>
      <vt:variant>
        <vt:i4>5308430</vt:i4>
      </vt:variant>
      <vt:variant>
        <vt:i4>702</vt:i4>
      </vt:variant>
      <vt:variant>
        <vt:i4>0</vt:i4>
      </vt:variant>
      <vt:variant>
        <vt:i4>5</vt:i4>
      </vt:variant>
      <vt:variant>
        <vt:lpwstr>http://buyandsell.gc.ca/policy-and-guidelines/standard-acquisition-clauses-and-conditions-manual/5/A/A2000C/1</vt:lpwstr>
      </vt:variant>
      <vt:variant>
        <vt:lpwstr/>
      </vt:variant>
      <vt:variant>
        <vt:i4>5242894</vt:i4>
      </vt:variant>
      <vt:variant>
        <vt:i4>699</vt:i4>
      </vt:variant>
      <vt:variant>
        <vt:i4>0</vt:i4>
      </vt:variant>
      <vt:variant>
        <vt:i4>5</vt:i4>
      </vt:variant>
      <vt:variant>
        <vt:lpwstr>http://buyandsell.gc.ca/policy-and-guidelines/standard-acquisition-clauses-and-conditions-manual/5/A/A2001C/1</vt:lpwstr>
      </vt:variant>
      <vt:variant>
        <vt:lpwstr/>
      </vt:variant>
      <vt:variant>
        <vt:i4>5308430</vt:i4>
      </vt:variant>
      <vt:variant>
        <vt:i4>696</vt:i4>
      </vt:variant>
      <vt:variant>
        <vt:i4>0</vt:i4>
      </vt:variant>
      <vt:variant>
        <vt:i4>5</vt:i4>
      </vt:variant>
      <vt:variant>
        <vt:lpwstr>http://buyandsell.gc.ca/policy-and-guidelines/standard-acquisition-clauses-and-conditions-manual/5/A/A2000C/1</vt:lpwstr>
      </vt:variant>
      <vt:variant>
        <vt:lpwstr/>
      </vt:variant>
      <vt:variant>
        <vt:i4>5505035</vt:i4>
      </vt:variant>
      <vt:variant>
        <vt:i4>693</vt:i4>
      </vt:variant>
      <vt:variant>
        <vt:i4>0</vt:i4>
      </vt:variant>
      <vt:variant>
        <vt:i4>5</vt:i4>
      </vt:variant>
      <vt:variant>
        <vt:lpwstr>http://buyandsell.gc.ca/policy-and-guidelines/standard-acquisition-clauses-and-conditions-manual/5/B/B7500C/1</vt:lpwstr>
      </vt:variant>
      <vt:variant>
        <vt:lpwstr/>
      </vt:variant>
      <vt:variant>
        <vt:i4>5242891</vt:i4>
      </vt:variant>
      <vt:variant>
        <vt:i4>690</vt:i4>
      </vt:variant>
      <vt:variant>
        <vt:i4>0</vt:i4>
      </vt:variant>
      <vt:variant>
        <vt:i4>5</vt:i4>
      </vt:variant>
      <vt:variant>
        <vt:lpwstr>http://buyandsell.gc.ca/policy-and-guidelines/standard-acquisition-clauses-and-conditions-manual/5/B/B4031C/1</vt:lpwstr>
      </vt:variant>
      <vt:variant>
        <vt:lpwstr/>
      </vt:variant>
      <vt:variant>
        <vt:i4>5308427</vt:i4>
      </vt:variant>
      <vt:variant>
        <vt:i4>687</vt:i4>
      </vt:variant>
      <vt:variant>
        <vt:i4>0</vt:i4>
      </vt:variant>
      <vt:variant>
        <vt:i4>5</vt:i4>
      </vt:variant>
      <vt:variant>
        <vt:lpwstr>http://buyandsell.gc.ca/policy-and-guidelines/standard-acquisition-clauses-and-conditions-manual/5/B/B4030C/1</vt:lpwstr>
      </vt:variant>
      <vt:variant>
        <vt:lpwstr/>
      </vt:variant>
      <vt:variant>
        <vt:i4>5570573</vt:i4>
      </vt:variant>
      <vt:variant>
        <vt:i4>684</vt:i4>
      </vt:variant>
      <vt:variant>
        <vt:i4>0</vt:i4>
      </vt:variant>
      <vt:variant>
        <vt:i4>5</vt:i4>
      </vt:variant>
      <vt:variant>
        <vt:lpwstr>http://buyandsell.gc.ca/policy-and-guidelines/standard-acquisition-clauses-and-conditions-manual/5/B/B1501C/1</vt:lpwstr>
      </vt:variant>
      <vt:variant>
        <vt:lpwstr/>
      </vt:variant>
      <vt:variant>
        <vt:i4>5439491</vt:i4>
      </vt:variant>
      <vt:variant>
        <vt:i4>681</vt:i4>
      </vt:variant>
      <vt:variant>
        <vt:i4>0</vt:i4>
      </vt:variant>
      <vt:variant>
        <vt:i4>5</vt:i4>
      </vt:variant>
      <vt:variant>
        <vt:lpwstr>http://buyandsell.gc.ca/policy-and-guidelines/standard-acquisition-clauses-and-conditions-manual/5/A/A9062C/4</vt:lpwstr>
      </vt:variant>
      <vt:variant>
        <vt:lpwstr/>
      </vt:variant>
      <vt:variant>
        <vt:i4>5701637</vt:i4>
      </vt:variant>
      <vt:variant>
        <vt:i4>678</vt:i4>
      </vt:variant>
      <vt:variant>
        <vt:i4>0</vt:i4>
      </vt:variant>
      <vt:variant>
        <vt:i4>5</vt:i4>
      </vt:variant>
      <vt:variant>
        <vt:lpwstr>http://buyandsell.gc.ca/policy-and-guidelines/standard-acquisition-clauses-and-conditions-manual/5/A/A9006C/5</vt:lpwstr>
      </vt:variant>
      <vt:variant>
        <vt:lpwstr/>
      </vt:variant>
      <vt:variant>
        <vt:i4>393303</vt:i4>
      </vt:variant>
      <vt:variant>
        <vt:i4>675</vt:i4>
      </vt:variant>
      <vt:variant>
        <vt:i4>0</vt:i4>
      </vt:variant>
      <vt:variant>
        <vt:i4>5</vt:i4>
      </vt:variant>
      <vt:variant>
        <vt:lpwstr>http://laws-lois.justice.gc.ca/eng/acts/d-1/</vt:lpwstr>
      </vt:variant>
      <vt:variant>
        <vt:lpwstr/>
      </vt:variant>
      <vt:variant>
        <vt:i4>5308425</vt:i4>
      </vt:variant>
      <vt:variant>
        <vt:i4>672</vt:i4>
      </vt:variant>
      <vt:variant>
        <vt:i4>0</vt:i4>
      </vt:variant>
      <vt:variant>
        <vt:i4>5</vt:i4>
      </vt:variant>
      <vt:variant>
        <vt:lpwstr>http://buyandsell.gc.ca/policy-and-guidelines/standard-acquisition-clauses-and-conditions-manual/5/A/A3060C/1</vt:lpwstr>
      </vt:variant>
      <vt:variant>
        <vt:lpwstr/>
      </vt:variant>
      <vt:variant>
        <vt:i4>5308431</vt:i4>
      </vt:variant>
      <vt:variant>
        <vt:i4>669</vt:i4>
      </vt:variant>
      <vt:variant>
        <vt:i4>0</vt:i4>
      </vt:variant>
      <vt:variant>
        <vt:i4>5</vt:i4>
      </vt:variant>
      <vt:variant>
        <vt:lpwstr>http://buyandsell.gc.ca/policy-and-guidelines/standard-acquisition-clauses-and-conditions-manual/5/A/A3000C/4</vt:lpwstr>
      </vt:variant>
      <vt:variant>
        <vt:lpwstr/>
      </vt:variant>
      <vt:variant>
        <vt:i4>2490394</vt:i4>
      </vt:variant>
      <vt:variant>
        <vt:i4>666</vt:i4>
      </vt:variant>
      <vt:variant>
        <vt:i4>0</vt:i4>
      </vt:variant>
      <vt:variant>
        <vt:i4>5</vt:i4>
      </vt:variant>
      <vt:variant>
        <vt:lpwstr>http://www.labour.gc.ca/eng/standards_equity/eq/emp/fcp/list/inelig.shtml</vt:lpwstr>
      </vt:variant>
      <vt:variant>
        <vt:lpwstr/>
      </vt:variant>
      <vt:variant>
        <vt:i4>5242889</vt:i4>
      </vt:variant>
      <vt:variant>
        <vt:i4>663</vt:i4>
      </vt:variant>
      <vt:variant>
        <vt:i4>0</vt:i4>
      </vt:variant>
      <vt:variant>
        <vt:i4>5</vt:i4>
      </vt:variant>
      <vt:variant>
        <vt:lpwstr>http://buyandsell.gc.ca/policy-and-guidelines/standard-acquisition-clauses-and-conditions-manual/5/H/H5001C/3</vt:lpwstr>
      </vt:variant>
      <vt:variant>
        <vt:lpwstr/>
      </vt:variant>
      <vt:variant>
        <vt:i4>5570573</vt:i4>
      </vt:variant>
      <vt:variant>
        <vt:i4>660</vt:i4>
      </vt:variant>
      <vt:variant>
        <vt:i4>0</vt:i4>
      </vt:variant>
      <vt:variant>
        <vt:i4>5</vt:i4>
      </vt:variant>
      <vt:variant>
        <vt:lpwstr>http://buyandsell.gc.ca/policy-and-guidelines/standard-acquisition-clauses-and-conditions-manual/5/H/H3024C/4</vt:lpwstr>
      </vt:variant>
      <vt:variant>
        <vt:lpwstr/>
      </vt:variant>
      <vt:variant>
        <vt:i4>8257598</vt:i4>
      </vt:variant>
      <vt:variant>
        <vt:i4>657</vt:i4>
      </vt:variant>
      <vt:variant>
        <vt:i4>0</vt:i4>
      </vt:variant>
      <vt:variant>
        <vt:i4>5</vt:i4>
      </vt:variant>
      <vt:variant>
        <vt:lpwstr>http://buyandsell.gc.ca/policy-and-guidelines/standard-acquisition-clauses-and-conditions-manual/5/H/H3022C/3-0</vt:lpwstr>
      </vt:variant>
      <vt:variant>
        <vt:lpwstr/>
      </vt:variant>
      <vt:variant>
        <vt:i4>5308429</vt:i4>
      </vt:variant>
      <vt:variant>
        <vt:i4>654</vt:i4>
      </vt:variant>
      <vt:variant>
        <vt:i4>0</vt:i4>
      </vt:variant>
      <vt:variant>
        <vt:i4>5</vt:i4>
      </vt:variant>
      <vt:variant>
        <vt:lpwstr>http://buyandsell.gc.ca/policy-and-guidelines/standard-acquisition-clauses-and-conditions-manual/5/H/H3020C/2</vt:lpwstr>
      </vt:variant>
      <vt:variant>
        <vt:lpwstr/>
      </vt:variant>
      <vt:variant>
        <vt:i4>5701645</vt:i4>
      </vt:variant>
      <vt:variant>
        <vt:i4>651</vt:i4>
      </vt:variant>
      <vt:variant>
        <vt:i4>0</vt:i4>
      </vt:variant>
      <vt:variant>
        <vt:i4>5</vt:i4>
      </vt:variant>
      <vt:variant>
        <vt:lpwstr>http://buyandsell.gc.ca/policy-and-guidelines/standard-acquisition-clauses-and-conditions-manual/5/C/C0711C/2</vt:lpwstr>
      </vt:variant>
      <vt:variant>
        <vt:lpwstr/>
      </vt:variant>
      <vt:variant>
        <vt:i4>5308428</vt:i4>
      </vt:variant>
      <vt:variant>
        <vt:i4>648</vt:i4>
      </vt:variant>
      <vt:variant>
        <vt:i4>0</vt:i4>
      </vt:variant>
      <vt:variant>
        <vt:i4>5</vt:i4>
      </vt:variant>
      <vt:variant>
        <vt:lpwstr>http://buyandsell.gc.ca/policy-and-guidelines/standard-acquisition-clauses-and-conditions-manual/5/C/C0101C/2</vt:lpwstr>
      </vt:variant>
      <vt:variant>
        <vt:lpwstr/>
      </vt:variant>
      <vt:variant>
        <vt:i4>5242892</vt:i4>
      </vt:variant>
      <vt:variant>
        <vt:i4>645</vt:i4>
      </vt:variant>
      <vt:variant>
        <vt:i4>0</vt:i4>
      </vt:variant>
      <vt:variant>
        <vt:i4>5</vt:i4>
      </vt:variant>
      <vt:variant>
        <vt:lpwstr>http://buyandsell.gc.ca/policy-and-guidelines/standard-acquisition-clauses-and-conditions-manual/5/C/C0100C/2</vt:lpwstr>
      </vt:variant>
      <vt:variant>
        <vt:lpwstr/>
      </vt:variant>
      <vt:variant>
        <vt:i4>1507347</vt:i4>
      </vt:variant>
      <vt:variant>
        <vt:i4>642</vt:i4>
      </vt:variant>
      <vt:variant>
        <vt:i4>0</vt:i4>
      </vt:variant>
      <vt:variant>
        <vt:i4>5</vt:i4>
      </vt:variant>
      <vt:variant>
        <vt:lpwstr>https://buyandsell.gc.ca/policy-and-guidelines/standard-acquisition-clauses-and-conditions-manual/5/C/C2610C/</vt:lpwstr>
      </vt:variant>
      <vt:variant>
        <vt:lpwstr/>
      </vt:variant>
      <vt:variant>
        <vt:i4>6225934</vt:i4>
      </vt:variant>
      <vt:variant>
        <vt:i4>639</vt:i4>
      </vt:variant>
      <vt:variant>
        <vt:i4>0</vt:i4>
      </vt:variant>
      <vt:variant>
        <vt:i4>5</vt:i4>
      </vt:variant>
      <vt:variant>
        <vt:lpwstr>http://buyandsell.gc.ca/policy-and-guidelines/standard-acquisition-clauses-and-conditions-manual/5/C/C2608C/4</vt:lpwstr>
      </vt:variant>
      <vt:variant>
        <vt:lpwstr/>
      </vt:variant>
      <vt:variant>
        <vt:i4>5373966</vt:i4>
      </vt:variant>
      <vt:variant>
        <vt:i4>636</vt:i4>
      </vt:variant>
      <vt:variant>
        <vt:i4>0</vt:i4>
      </vt:variant>
      <vt:variant>
        <vt:i4>5</vt:i4>
      </vt:variant>
      <vt:variant>
        <vt:lpwstr>http://buyandsell.gc.ca/policy-and-guidelines/standard-acquisition-clauses-and-conditions-manual/5/C/C2605C/1</vt:lpwstr>
      </vt:variant>
      <vt:variant>
        <vt:lpwstr/>
      </vt:variant>
      <vt:variant>
        <vt:i4>5308430</vt:i4>
      </vt:variant>
      <vt:variant>
        <vt:i4>633</vt:i4>
      </vt:variant>
      <vt:variant>
        <vt:i4>0</vt:i4>
      </vt:variant>
      <vt:variant>
        <vt:i4>5</vt:i4>
      </vt:variant>
      <vt:variant>
        <vt:lpwstr>http://buyandsell.gc.ca/policy-and-guidelines/standard-acquisition-clauses-and-conditions-manual/5/C/C2000C/1</vt:lpwstr>
      </vt:variant>
      <vt:variant>
        <vt:lpwstr/>
      </vt:variant>
      <vt:variant>
        <vt:i4>5701636</vt:i4>
      </vt:variant>
      <vt:variant>
        <vt:i4>630</vt:i4>
      </vt:variant>
      <vt:variant>
        <vt:i4>0</vt:i4>
      </vt:variant>
      <vt:variant>
        <vt:i4>5</vt:i4>
      </vt:variant>
      <vt:variant>
        <vt:lpwstr>http://buyandsell.gc.ca/policy-and-guidelines/standard-acquisition-clauses-and-conditions-manual/5/A/A9117C/2</vt:lpwstr>
      </vt:variant>
      <vt:variant>
        <vt:lpwstr/>
      </vt:variant>
      <vt:variant>
        <vt:i4>5308429</vt:i4>
      </vt:variant>
      <vt:variant>
        <vt:i4>627</vt:i4>
      </vt:variant>
      <vt:variant>
        <vt:i4>0</vt:i4>
      </vt:variant>
      <vt:variant>
        <vt:i4>5</vt:i4>
      </vt:variant>
      <vt:variant>
        <vt:lpwstr>http://buyandsell.gc.ca/policy-and-guidelines/standard-acquisition-clauses-and-conditions-manual/5/H/H1000C/2</vt:lpwstr>
      </vt:variant>
      <vt:variant>
        <vt:lpwstr/>
      </vt:variant>
      <vt:variant>
        <vt:i4>5832717</vt:i4>
      </vt:variant>
      <vt:variant>
        <vt:i4>624</vt:i4>
      </vt:variant>
      <vt:variant>
        <vt:i4>0</vt:i4>
      </vt:variant>
      <vt:variant>
        <vt:i4>5</vt:i4>
      </vt:variant>
      <vt:variant>
        <vt:lpwstr>http://buyandsell.gc.ca/policy-and-guidelines/standard-acquisition-clauses-and-conditions-manual/5/H/H3028C/3</vt:lpwstr>
      </vt:variant>
      <vt:variant>
        <vt:lpwstr/>
      </vt:variant>
      <vt:variant>
        <vt:i4>5308430</vt:i4>
      </vt:variant>
      <vt:variant>
        <vt:i4>621</vt:i4>
      </vt:variant>
      <vt:variant>
        <vt:i4>0</vt:i4>
      </vt:variant>
      <vt:variant>
        <vt:i4>5</vt:i4>
      </vt:variant>
      <vt:variant>
        <vt:lpwstr>http://buyandsell.gc.ca/policy-and-guidelines/standard-acquisition-clauses-and-conditions-manual/5/H/H3010C/3</vt:lpwstr>
      </vt:variant>
      <vt:variant>
        <vt:lpwstr/>
      </vt:variant>
      <vt:variant>
        <vt:i4>5832717</vt:i4>
      </vt:variant>
      <vt:variant>
        <vt:i4>618</vt:i4>
      </vt:variant>
      <vt:variant>
        <vt:i4>0</vt:i4>
      </vt:variant>
      <vt:variant>
        <vt:i4>5</vt:i4>
      </vt:variant>
      <vt:variant>
        <vt:lpwstr>http://buyandsell.gc.ca/policy-and-guidelines/standard-acquisition-clauses-and-conditions-manual/5/H/H1008C/2</vt:lpwstr>
      </vt:variant>
      <vt:variant>
        <vt:lpwstr/>
      </vt:variant>
      <vt:variant>
        <vt:i4>5242893</vt:i4>
      </vt:variant>
      <vt:variant>
        <vt:i4>615</vt:i4>
      </vt:variant>
      <vt:variant>
        <vt:i4>0</vt:i4>
      </vt:variant>
      <vt:variant>
        <vt:i4>5</vt:i4>
      </vt:variant>
      <vt:variant>
        <vt:lpwstr>http://buyandsell.gc.ca/policy-and-guidelines/standard-acquisition-clauses-and-conditions-manual/5/H/H1001C/2</vt:lpwstr>
      </vt:variant>
      <vt:variant>
        <vt:lpwstr/>
      </vt:variant>
      <vt:variant>
        <vt:i4>5308429</vt:i4>
      </vt:variant>
      <vt:variant>
        <vt:i4>612</vt:i4>
      </vt:variant>
      <vt:variant>
        <vt:i4>0</vt:i4>
      </vt:variant>
      <vt:variant>
        <vt:i4>5</vt:i4>
      </vt:variant>
      <vt:variant>
        <vt:lpwstr>http://buyandsell.gc.ca/policy-and-guidelines/standard-acquisition-clauses-and-conditions-manual/5/H/H1000C/2</vt:lpwstr>
      </vt:variant>
      <vt:variant>
        <vt:lpwstr/>
      </vt:variant>
      <vt:variant>
        <vt:i4>5439497</vt:i4>
      </vt:variant>
      <vt:variant>
        <vt:i4>609</vt:i4>
      </vt:variant>
      <vt:variant>
        <vt:i4>0</vt:i4>
      </vt:variant>
      <vt:variant>
        <vt:i4>5</vt:i4>
      </vt:variant>
      <vt:variant>
        <vt:lpwstr>http://buyandsell.gc.ca/policy-and-guidelines/standard-acquisition-clauses-and-conditions-manual/5/H/H4012C/2</vt:lpwstr>
      </vt:variant>
      <vt:variant>
        <vt:lpwstr/>
      </vt:variant>
      <vt:variant>
        <vt:i4>5767183</vt:i4>
      </vt:variant>
      <vt:variant>
        <vt:i4>606</vt:i4>
      </vt:variant>
      <vt:variant>
        <vt:i4>0</vt:i4>
      </vt:variant>
      <vt:variant>
        <vt:i4>5</vt:i4>
      </vt:variant>
      <vt:variant>
        <vt:lpwstr>http://buyandsell.gc.ca/policy-and-guidelines/standard-acquisition-clauses-and-conditions-manual/5/H/H3009C/3</vt:lpwstr>
      </vt:variant>
      <vt:variant>
        <vt:lpwstr/>
      </vt:variant>
      <vt:variant>
        <vt:i4>5373965</vt:i4>
      </vt:variant>
      <vt:variant>
        <vt:i4>603</vt:i4>
      </vt:variant>
      <vt:variant>
        <vt:i4>0</vt:i4>
      </vt:variant>
      <vt:variant>
        <vt:i4>5</vt:i4>
      </vt:variant>
      <vt:variant>
        <vt:lpwstr>http://buyandsell.gc.ca/policy-and-guidelines/standard-acquisition-clauses-and-conditions-manual/5/H/H1003C/3</vt:lpwstr>
      </vt:variant>
      <vt:variant>
        <vt:lpwstr/>
      </vt:variant>
      <vt:variant>
        <vt:i4>5308426</vt:i4>
      </vt:variant>
      <vt:variant>
        <vt:i4>600</vt:i4>
      </vt:variant>
      <vt:variant>
        <vt:i4>0</vt:i4>
      </vt:variant>
      <vt:variant>
        <vt:i4>5</vt:i4>
      </vt:variant>
      <vt:variant>
        <vt:lpwstr>http://buyandsell.gc.ca/policy-and-guidelines/standard-acquisition-clauses-and-conditions-manual/5/C/C6000C/6</vt:lpwstr>
      </vt:variant>
      <vt:variant>
        <vt:lpwstr/>
      </vt:variant>
      <vt:variant>
        <vt:i4>5308420</vt:i4>
      </vt:variant>
      <vt:variant>
        <vt:i4>597</vt:i4>
      </vt:variant>
      <vt:variant>
        <vt:i4>0</vt:i4>
      </vt:variant>
      <vt:variant>
        <vt:i4>5</vt:i4>
      </vt:variant>
      <vt:variant>
        <vt:lpwstr>http://buyandsell.gc.ca/policy-and-guidelines/standard-acquisition-clauses-and-conditions-manual/5/C/C9010C/2</vt:lpwstr>
      </vt:variant>
      <vt:variant>
        <vt:lpwstr/>
      </vt:variant>
      <vt:variant>
        <vt:i4>720900</vt:i4>
      </vt:variant>
      <vt:variant>
        <vt:i4>594</vt:i4>
      </vt:variant>
      <vt:variant>
        <vt:i4>0</vt:i4>
      </vt:variant>
      <vt:variant>
        <vt:i4>5</vt:i4>
      </vt:variant>
      <vt:variant>
        <vt:lpwstr>http://buyandsell.gc.ca/policy-and-guidelines/supply-manual/section/3/35/1/20</vt:lpwstr>
      </vt:variant>
      <vt:variant>
        <vt:lpwstr/>
      </vt:variant>
      <vt:variant>
        <vt:i4>5308420</vt:i4>
      </vt:variant>
      <vt:variant>
        <vt:i4>591</vt:i4>
      </vt:variant>
      <vt:variant>
        <vt:i4>0</vt:i4>
      </vt:variant>
      <vt:variant>
        <vt:i4>5</vt:i4>
      </vt:variant>
      <vt:variant>
        <vt:lpwstr>http://buyandsell.gc.ca/policy-and-guidelines/standard-acquisition-clauses-and-conditions-manual/5/C/C9010C/2</vt:lpwstr>
      </vt:variant>
      <vt:variant>
        <vt:lpwstr/>
      </vt:variant>
      <vt:variant>
        <vt:i4>5242890</vt:i4>
      </vt:variant>
      <vt:variant>
        <vt:i4>588</vt:i4>
      </vt:variant>
      <vt:variant>
        <vt:i4>0</vt:i4>
      </vt:variant>
      <vt:variant>
        <vt:i4>5</vt:i4>
      </vt:variant>
      <vt:variant>
        <vt:lpwstr>http://buyandsell.gc.ca/policy-and-guidelines/standard-acquisition-clauses-and-conditions-manual/5/C/C6001C/9</vt:lpwstr>
      </vt:variant>
      <vt:variant>
        <vt:lpwstr/>
      </vt:variant>
      <vt:variant>
        <vt:i4>5242890</vt:i4>
      </vt:variant>
      <vt:variant>
        <vt:i4>585</vt:i4>
      </vt:variant>
      <vt:variant>
        <vt:i4>0</vt:i4>
      </vt:variant>
      <vt:variant>
        <vt:i4>5</vt:i4>
      </vt:variant>
      <vt:variant>
        <vt:lpwstr>http://buyandsell.gc.ca/policy-and-guidelines/standard-acquisition-clauses-and-conditions-manual/5/C/C6001C/9</vt:lpwstr>
      </vt:variant>
      <vt:variant>
        <vt:lpwstr/>
      </vt:variant>
      <vt:variant>
        <vt:i4>5898252</vt:i4>
      </vt:variant>
      <vt:variant>
        <vt:i4>582</vt:i4>
      </vt:variant>
      <vt:variant>
        <vt:i4>0</vt:i4>
      </vt:variant>
      <vt:variant>
        <vt:i4>5</vt:i4>
      </vt:variant>
      <vt:variant>
        <vt:lpwstr>http://buyandsell.gc.ca/policy-and-guidelines/standard-acquisition-clauses-and-conditions-manual/5/C/C0209C/2</vt:lpwstr>
      </vt:variant>
      <vt:variant>
        <vt:lpwstr/>
      </vt:variant>
      <vt:variant>
        <vt:i4>5701644</vt:i4>
      </vt:variant>
      <vt:variant>
        <vt:i4>579</vt:i4>
      </vt:variant>
      <vt:variant>
        <vt:i4>0</vt:i4>
      </vt:variant>
      <vt:variant>
        <vt:i4>5</vt:i4>
      </vt:variant>
      <vt:variant>
        <vt:lpwstr>http://buyandsell.gc.ca/policy-and-guidelines/standard-acquisition-clauses-and-conditions-manual/5/C/C0204C/2</vt:lpwstr>
      </vt:variant>
      <vt:variant>
        <vt:lpwstr/>
      </vt:variant>
      <vt:variant>
        <vt:i4>4915264</vt:i4>
      </vt:variant>
      <vt:variant>
        <vt:i4>576</vt:i4>
      </vt:variant>
      <vt:variant>
        <vt:i4>0</vt:i4>
      </vt:variant>
      <vt:variant>
        <vt:i4>5</vt:i4>
      </vt:variant>
      <vt:variant>
        <vt:lpwstr>http://buyandsell.gc.ca/policy-and-guidelines/standard-acquisition-clauses-and-conditions-manual</vt:lpwstr>
      </vt:variant>
      <vt:variant>
        <vt:lpwstr/>
      </vt:variant>
      <vt:variant>
        <vt:i4>4915264</vt:i4>
      </vt:variant>
      <vt:variant>
        <vt:i4>573</vt:i4>
      </vt:variant>
      <vt:variant>
        <vt:i4>0</vt:i4>
      </vt:variant>
      <vt:variant>
        <vt:i4>5</vt:i4>
      </vt:variant>
      <vt:variant>
        <vt:lpwstr>http://buyandsell.gc.ca/policy-and-guidelines/standard-acquisition-clauses-and-conditions-manual</vt:lpwstr>
      </vt:variant>
      <vt:variant>
        <vt:lpwstr/>
      </vt:variant>
      <vt:variant>
        <vt:i4>1376272</vt:i4>
      </vt:variant>
      <vt:variant>
        <vt:i4>570</vt:i4>
      </vt:variant>
      <vt:variant>
        <vt:i4>0</vt:i4>
      </vt:variant>
      <vt:variant>
        <vt:i4>5</vt:i4>
      </vt:variant>
      <vt:variant>
        <vt:lpwstr>https://buyandsell.gc.ca/policy-and-guidelines/standard-acquisition-clauses-and-conditions-manual/5/A/A3025C/</vt:lpwstr>
      </vt:variant>
      <vt:variant>
        <vt:lpwstr/>
      </vt:variant>
      <vt:variant>
        <vt:i4>5308430</vt:i4>
      </vt:variant>
      <vt:variant>
        <vt:i4>567</vt:i4>
      </vt:variant>
      <vt:variant>
        <vt:i4>0</vt:i4>
      </vt:variant>
      <vt:variant>
        <vt:i4>5</vt:i4>
      </vt:variant>
      <vt:variant>
        <vt:lpwstr>http://buyandsell.gc.ca/policy-and-guidelines/standard-acquisition-clauses-and-conditions-manual/5/A/A1030C/3</vt:lpwstr>
      </vt:variant>
      <vt:variant>
        <vt:lpwstr/>
      </vt:variant>
      <vt:variant>
        <vt:i4>5767173</vt:i4>
      </vt:variant>
      <vt:variant>
        <vt:i4>564</vt:i4>
      </vt:variant>
      <vt:variant>
        <vt:i4>0</vt:i4>
      </vt:variant>
      <vt:variant>
        <vt:i4>5</vt:i4>
      </vt:variant>
      <vt:variant>
        <vt:lpwstr>http://buyandsell.gc.ca/policy-and-guidelines/standard-acquisition-clauses-and-conditions-manual/5/A/A9009C/6</vt:lpwstr>
      </vt:variant>
      <vt:variant>
        <vt:lpwstr/>
      </vt:variant>
      <vt:variant>
        <vt:i4>5767173</vt:i4>
      </vt:variant>
      <vt:variant>
        <vt:i4>561</vt:i4>
      </vt:variant>
      <vt:variant>
        <vt:i4>0</vt:i4>
      </vt:variant>
      <vt:variant>
        <vt:i4>5</vt:i4>
      </vt:variant>
      <vt:variant>
        <vt:lpwstr>http://buyandsell.gc.ca/policy-and-guidelines/standard-acquisition-clauses-and-conditions-manual/5/A/A9009C/6</vt:lpwstr>
      </vt:variant>
      <vt:variant>
        <vt:lpwstr/>
      </vt:variant>
      <vt:variant>
        <vt:i4>5439495</vt:i4>
      </vt:variant>
      <vt:variant>
        <vt:i4>558</vt:i4>
      </vt:variant>
      <vt:variant>
        <vt:i4>0</vt:i4>
      </vt:variant>
      <vt:variant>
        <vt:i4>5</vt:i4>
      </vt:variant>
      <vt:variant>
        <vt:lpwstr>http://buyandsell.gc.ca/policy-and-guidelines/standard-acquisition-clauses-and-conditions-manual/5/A/A9022C/2</vt:lpwstr>
      </vt:variant>
      <vt:variant>
        <vt:lpwstr/>
      </vt:variant>
      <vt:variant>
        <vt:i4>6357031</vt:i4>
      </vt:variant>
      <vt:variant>
        <vt:i4>555</vt:i4>
      </vt:variant>
      <vt:variant>
        <vt:i4>0</vt:i4>
      </vt:variant>
      <vt:variant>
        <vt:i4>5</vt:i4>
      </vt:variant>
      <vt:variant>
        <vt:lpwstr>http://ssi-iss.tpsgc-pwgsc.gc.ca/index-eng.html</vt:lpwstr>
      </vt:variant>
      <vt:variant>
        <vt:lpwstr/>
      </vt:variant>
      <vt:variant>
        <vt:i4>7798816</vt:i4>
      </vt:variant>
      <vt:variant>
        <vt:i4>552</vt:i4>
      </vt:variant>
      <vt:variant>
        <vt:i4>0</vt:i4>
      </vt:variant>
      <vt:variant>
        <vt:i4>5</vt:i4>
      </vt:variant>
      <vt:variant>
        <vt:lpwstr>https://buyandsell.gc.ca/policy-and-guidelines/standard-acquisition-clauses-and-conditions-manual/4</vt:lpwstr>
      </vt:variant>
      <vt:variant>
        <vt:lpwstr/>
      </vt:variant>
      <vt:variant>
        <vt:i4>5767189</vt:i4>
      </vt:variant>
      <vt:variant>
        <vt:i4>549</vt:i4>
      </vt:variant>
      <vt:variant>
        <vt:i4>0</vt:i4>
      </vt:variant>
      <vt:variant>
        <vt:i4>5</vt:i4>
      </vt:variant>
      <vt:variant>
        <vt:lpwstr>https://buyandsell.gc.ca/policy-and-guidelines/standard-acquisition-clauses-and-conditions-manual/3/2040/</vt:lpwstr>
      </vt:variant>
      <vt:variant>
        <vt:lpwstr/>
      </vt:variant>
      <vt:variant>
        <vt:i4>6094866</vt:i4>
      </vt:variant>
      <vt:variant>
        <vt:i4>546</vt:i4>
      </vt:variant>
      <vt:variant>
        <vt:i4>0</vt:i4>
      </vt:variant>
      <vt:variant>
        <vt:i4>5</vt:i4>
      </vt:variant>
      <vt:variant>
        <vt:lpwstr>https://buyandsell.gc.ca/policy-and-guidelines/standard-acquisition-clauses-and-conditions-manual/3/2035/</vt:lpwstr>
      </vt:variant>
      <vt:variant>
        <vt:lpwstr/>
      </vt:variant>
      <vt:variant>
        <vt:i4>5767186</vt:i4>
      </vt:variant>
      <vt:variant>
        <vt:i4>543</vt:i4>
      </vt:variant>
      <vt:variant>
        <vt:i4>0</vt:i4>
      </vt:variant>
      <vt:variant>
        <vt:i4>5</vt:i4>
      </vt:variant>
      <vt:variant>
        <vt:lpwstr>https://buyandsell.gc.ca/policy-and-guidelines/standard-acquisition-clauses-and-conditions-manual/3/2030/</vt:lpwstr>
      </vt:variant>
      <vt:variant>
        <vt:lpwstr/>
      </vt:variant>
      <vt:variant>
        <vt:i4>5767244</vt:i4>
      </vt:variant>
      <vt:variant>
        <vt:i4>540</vt:i4>
      </vt:variant>
      <vt:variant>
        <vt:i4>0</vt:i4>
      </vt:variant>
      <vt:variant>
        <vt:i4>5</vt:i4>
      </vt:variant>
      <vt:variant>
        <vt:lpwstr>https://buyandsell.gc.ca/policy-and-guidelines/standard-acquisition-clauses-and-conditions-manual</vt:lpwstr>
      </vt:variant>
      <vt:variant>
        <vt:lpwstr/>
      </vt:variant>
      <vt:variant>
        <vt:i4>720900</vt:i4>
      </vt:variant>
      <vt:variant>
        <vt:i4>537</vt:i4>
      </vt:variant>
      <vt:variant>
        <vt:i4>0</vt:i4>
      </vt:variant>
      <vt:variant>
        <vt:i4>5</vt:i4>
      </vt:variant>
      <vt:variant>
        <vt:lpwstr>http://buyandsell.gc.ca/policy-and-guidelines/supply-manual/section/3/35/1/20</vt:lpwstr>
      </vt:variant>
      <vt:variant>
        <vt:lpwstr/>
      </vt:variant>
      <vt:variant>
        <vt:i4>5242880</vt:i4>
      </vt:variant>
      <vt:variant>
        <vt:i4>534</vt:i4>
      </vt:variant>
      <vt:variant>
        <vt:i4>0</vt:i4>
      </vt:variant>
      <vt:variant>
        <vt:i4>5</vt:i4>
      </vt:variant>
      <vt:variant>
        <vt:lpwstr>http://buyandsell.gc.ca/policy-and-guidelines/standard-acquisition-clauses-and-conditions-manual/5/B/B9051C/1</vt:lpwstr>
      </vt:variant>
      <vt:variant>
        <vt:lpwstr/>
      </vt:variant>
      <vt:variant>
        <vt:i4>720900</vt:i4>
      </vt:variant>
      <vt:variant>
        <vt:i4>531</vt:i4>
      </vt:variant>
      <vt:variant>
        <vt:i4>0</vt:i4>
      </vt:variant>
      <vt:variant>
        <vt:i4>5</vt:i4>
      </vt:variant>
      <vt:variant>
        <vt:lpwstr>http://buyandsell.gc.ca/policy-and-guidelines/supply-manual/section/3/35/1/20</vt:lpwstr>
      </vt:variant>
      <vt:variant>
        <vt:lpwstr/>
      </vt:variant>
      <vt:variant>
        <vt:i4>5701632</vt:i4>
      </vt:variant>
      <vt:variant>
        <vt:i4>528</vt:i4>
      </vt:variant>
      <vt:variant>
        <vt:i4>0</vt:i4>
      </vt:variant>
      <vt:variant>
        <vt:i4>5</vt:i4>
      </vt:variant>
      <vt:variant>
        <vt:lpwstr>http://buyandsell.gc.ca/policy-and-guidelines/standard-acquisition-clauses-and-conditions-manual/5/B/B9056C/2</vt:lpwstr>
      </vt:variant>
      <vt:variant>
        <vt:lpwstr/>
      </vt:variant>
      <vt:variant>
        <vt:i4>720900</vt:i4>
      </vt:variant>
      <vt:variant>
        <vt:i4>525</vt:i4>
      </vt:variant>
      <vt:variant>
        <vt:i4>0</vt:i4>
      </vt:variant>
      <vt:variant>
        <vt:i4>5</vt:i4>
      </vt:variant>
      <vt:variant>
        <vt:lpwstr>http://buyandsell.gc.ca/policy-and-guidelines/supply-manual/section/3/35/1/20</vt:lpwstr>
      </vt:variant>
      <vt:variant>
        <vt:lpwstr/>
      </vt:variant>
      <vt:variant>
        <vt:i4>5242886</vt:i4>
      </vt:variant>
      <vt:variant>
        <vt:i4>522</vt:i4>
      </vt:variant>
      <vt:variant>
        <vt:i4>0</vt:i4>
      </vt:variant>
      <vt:variant>
        <vt:i4>5</vt:i4>
      </vt:variant>
      <vt:variant>
        <vt:lpwstr>http://buyandsell.gc.ca/policy-and-guidelines/standard-acquisition-clauses-and-conditions-manual/5/B/B9031C/1</vt:lpwstr>
      </vt:variant>
      <vt:variant>
        <vt:lpwstr/>
      </vt:variant>
      <vt:variant>
        <vt:i4>720900</vt:i4>
      </vt:variant>
      <vt:variant>
        <vt:i4>519</vt:i4>
      </vt:variant>
      <vt:variant>
        <vt:i4>0</vt:i4>
      </vt:variant>
      <vt:variant>
        <vt:i4>5</vt:i4>
      </vt:variant>
      <vt:variant>
        <vt:lpwstr>http://buyandsell.gc.ca/policy-and-guidelines/supply-manual/section/3/35/1/20</vt:lpwstr>
      </vt:variant>
      <vt:variant>
        <vt:lpwstr/>
      </vt:variant>
      <vt:variant>
        <vt:i4>5308422</vt:i4>
      </vt:variant>
      <vt:variant>
        <vt:i4>516</vt:i4>
      </vt:variant>
      <vt:variant>
        <vt:i4>0</vt:i4>
      </vt:variant>
      <vt:variant>
        <vt:i4>5</vt:i4>
      </vt:variant>
      <vt:variant>
        <vt:lpwstr>http://buyandsell.gc.ca/policy-and-guidelines/standard-acquisition-clauses-and-conditions-manual/5/B/B9030C/3</vt:lpwstr>
      </vt:variant>
      <vt:variant>
        <vt:lpwstr/>
      </vt:variant>
      <vt:variant>
        <vt:i4>720900</vt:i4>
      </vt:variant>
      <vt:variant>
        <vt:i4>513</vt:i4>
      </vt:variant>
      <vt:variant>
        <vt:i4>0</vt:i4>
      </vt:variant>
      <vt:variant>
        <vt:i4>5</vt:i4>
      </vt:variant>
      <vt:variant>
        <vt:lpwstr>http://buyandsell.gc.ca/policy-and-guidelines/supply-manual/section/3/35/1/20</vt:lpwstr>
      </vt:variant>
      <vt:variant>
        <vt:lpwstr/>
      </vt:variant>
      <vt:variant>
        <vt:i4>5373952</vt:i4>
      </vt:variant>
      <vt:variant>
        <vt:i4>510</vt:i4>
      </vt:variant>
      <vt:variant>
        <vt:i4>0</vt:i4>
      </vt:variant>
      <vt:variant>
        <vt:i4>5</vt:i4>
      </vt:variant>
      <vt:variant>
        <vt:lpwstr>http://buyandsell.gc.ca/policy-and-guidelines/standard-acquisition-clauses-and-conditions-manual/5/B/B9053C/1</vt:lpwstr>
      </vt:variant>
      <vt:variant>
        <vt:lpwstr/>
      </vt:variant>
      <vt:variant>
        <vt:i4>720900</vt:i4>
      </vt:variant>
      <vt:variant>
        <vt:i4>507</vt:i4>
      </vt:variant>
      <vt:variant>
        <vt:i4>0</vt:i4>
      </vt:variant>
      <vt:variant>
        <vt:i4>5</vt:i4>
      </vt:variant>
      <vt:variant>
        <vt:lpwstr>http://buyandsell.gc.ca/policy-and-guidelines/supply-manual/section/3/35/1/20</vt:lpwstr>
      </vt:variant>
      <vt:variant>
        <vt:lpwstr/>
      </vt:variant>
      <vt:variant>
        <vt:i4>5242884</vt:i4>
      </vt:variant>
      <vt:variant>
        <vt:i4>504</vt:i4>
      </vt:variant>
      <vt:variant>
        <vt:i4>0</vt:i4>
      </vt:variant>
      <vt:variant>
        <vt:i4>5</vt:i4>
      </vt:variant>
      <vt:variant>
        <vt:lpwstr>http://buyandsell.gc.ca/policy-and-guidelines/standard-acquisition-clauses-and-conditions-manual/5/C/C9011C/2</vt:lpwstr>
      </vt:variant>
      <vt:variant>
        <vt:lpwstr/>
      </vt:variant>
      <vt:variant>
        <vt:i4>720900</vt:i4>
      </vt:variant>
      <vt:variant>
        <vt:i4>501</vt:i4>
      </vt:variant>
      <vt:variant>
        <vt:i4>0</vt:i4>
      </vt:variant>
      <vt:variant>
        <vt:i4>5</vt:i4>
      </vt:variant>
      <vt:variant>
        <vt:lpwstr>http://buyandsell.gc.ca/policy-and-guidelines/supply-manual/section/3/35/1/20</vt:lpwstr>
      </vt:variant>
      <vt:variant>
        <vt:lpwstr/>
      </vt:variant>
      <vt:variant>
        <vt:i4>5570560</vt:i4>
      </vt:variant>
      <vt:variant>
        <vt:i4>498</vt:i4>
      </vt:variant>
      <vt:variant>
        <vt:i4>0</vt:i4>
      </vt:variant>
      <vt:variant>
        <vt:i4>5</vt:i4>
      </vt:variant>
      <vt:variant>
        <vt:lpwstr>http://buyandsell.gc.ca/policy-and-guidelines/standard-acquisition-clauses-and-conditions-manual/5/B/B9054C/1</vt:lpwstr>
      </vt:variant>
      <vt:variant>
        <vt:lpwstr/>
      </vt:variant>
      <vt:variant>
        <vt:i4>4718679</vt:i4>
      </vt:variant>
      <vt:variant>
        <vt:i4>495</vt:i4>
      </vt:variant>
      <vt:variant>
        <vt:i4>0</vt:i4>
      </vt:variant>
      <vt:variant>
        <vt:i4>5</vt:i4>
      </vt:variant>
      <vt:variant>
        <vt:lpwstr>http://buyandsell.gc.ca/policy-and-guidelines/supply-manual/annex/3/4</vt:lpwstr>
      </vt:variant>
      <vt:variant>
        <vt:lpwstr/>
      </vt:variant>
      <vt:variant>
        <vt:i4>3735595</vt:i4>
      </vt:variant>
      <vt:variant>
        <vt:i4>492</vt:i4>
      </vt:variant>
      <vt:variant>
        <vt:i4>0</vt:i4>
      </vt:variant>
      <vt:variant>
        <vt:i4>5</vt:i4>
      </vt:variant>
      <vt:variant>
        <vt:lpwstr>http://buyandsell.gc.ca/policy-and-guidelines/supply-manual/section/3/35/1</vt:lpwstr>
      </vt:variant>
      <vt:variant>
        <vt:lpwstr/>
      </vt:variant>
      <vt:variant>
        <vt:i4>5308427</vt:i4>
      </vt:variant>
      <vt:variant>
        <vt:i4>489</vt:i4>
      </vt:variant>
      <vt:variant>
        <vt:i4>0</vt:i4>
      </vt:variant>
      <vt:variant>
        <vt:i4>5</vt:i4>
      </vt:variant>
      <vt:variant>
        <vt:lpwstr>http://buyandsell.gc.ca/policy-and-guidelines/standard-acquisition-clauses-and-conditions-manual/5/A/A0070C/2</vt:lpwstr>
      </vt:variant>
      <vt:variant>
        <vt:lpwstr/>
      </vt:variant>
      <vt:variant>
        <vt:i4>5439493</vt:i4>
      </vt:variant>
      <vt:variant>
        <vt:i4>486</vt:i4>
      </vt:variant>
      <vt:variant>
        <vt:i4>0</vt:i4>
      </vt:variant>
      <vt:variant>
        <vt:i4>5</vt:i4>
      </vt:variant>
      <vt:variant>
        <vt:lpwstr>http://buyandsell.gc.ca/policy-and-guidelines/standard-acquisition-clauses-and-conditions-manual/5/A/A8012C/1</vt:lpwstr>
      </vt:variant>
      <vt:variant>
        <vt:lpwstr/>
      </vt:variant>
      <vt:variant>
        <vt:i4>5832712</vt:i4>
      </vt:variant>
      <vt:variant>
        <vt:i4>483</vt:i4>
      </vt:variant>
      <vt:variant>
        <vt:i4>0</vt:i4>
      </vt:variant>
      <vt:variant>
        <vt:i4>5</vt:i4>
      </vt:variant>
      <vt:variant>
        <vt:lpwstr>http://buyandsell.gc.ca/policy-and-guidelines/standard-acquisition-clauses-and-conditions-manual/5/B/B4008C/3</vt:lpwstr>
      </vt:variant>
      <vt:variant>
        <vt:lpwstr/>
      </vt:variant>
      <vt:variant>
        <vt:i4>5636104</vt:i4>
      </vt:variant>
      <vt:variant>
        <vt:i4>480</vt:i4>
      </vt:variant>
      <vt:variant>
        <vt:i4>0</vt:i4>
      </vt:variant>
      <vt:variant>
        <vt:i4>5</vt:i4>
      </vt:variant>
      <vt:variant>
        <vt:lpwstr>http://buyandsell.gc.ca/policy-and-guidelines/standard-acquisition-clauses-and-conditions-manual/5/B/B4007C/2</vt:lpwstr>
      </vt:variant>
      <vt:variant>
        <vt:lpwstr/>
      </vt:variant>
      <vt:variant>
        <vt:i4>131090</vt:i4>
      </vt:variant>
      <vt:variant>
        <vt:i4>477</vt:i4>
      </vt:variant>
      <vt:variant>
        <vt:i4>0</vt:i4>
      </vt:variant>
      <vt:variant>
        <vt:i4>5</vt:i4>
      </vt:variant>
      <vt:variant>
        <vt:lpwstr>https://buyandsell.gc.ca/policy-and-guidelines/standard-acquisition-clauses-and-conditions-manual/5/G/G1007T/</vt:lpwstr>
      </vt:variant>
      <vt:variant>
        <vt:lpwstr/>
      </vt:variant>
      <vt:variant>
        <vt:i4>5242897</vt:i4>
      </vt:variant>
      <vt:variant>
        <vt:i4>474</vt:i4>
      </vt:variant>
      <vt:variant>
        <vt:i4>0</vt:i4>
      </vt:variant>
      <vt:variant>
        <vt:i4>5</vt:i4>
      </vt:variant>
      <vt:variant>
        <vt:lpwstr>http://buyandsell.gc.ca/policy-and-guidelines/standard-acquisition-clauses-and-conditions-manual/5/A/A9130T/7</vt:lpwstr>
      </vt:variant>
      <vt:variant>
        <vt:lpwstr/>
      </vt:variant>
      <vt:variant>
        <vt:i4>5308422</vt:i4>
      </vt:variant>
      <vt:variant>
        <vt:i4>471</vt:i4>
      </vt:variant>
      <vt:variant>
        <vt:i4>0</vt:i4>
      </vt:variant>
      <vt:variant>
        <vt:i4>5</vt:i4>
      </vt:variant>
      <vt:variant>
        <vt:lpwstr>http://buyandsell.gc.ca/policy-and-guidelines/standard-acquisition-clauses-and-conditions-manual/5/A/A9131C/6</vt:lpwstr>
      </vt:variant>
      <vt:variant>
        <vt:lpwstr/>
      </vt:variant>
      <vt:variant>
        <vt:i4>5242897</vt:i4>
      </vt:variant>
      <vt:variant>
        <vt:i4>468</vt:i4>
      </vt:variant>
      <vt:variant>
        <vt:i4>0</vt:i4>
      </vt:variant>
      <vt:variant>
        <vt:i4>5</vt:i4>
      </vt:variant>
      <vt:variant>
        <vt:lpwstr>http://buyandsell.gc.ca/policy-and-guidelines/standard-acquisition-clauses-and-conditions-manual/5/A/A9130T/7</vt:lpwstr>
      </vt:variant>
      <vt:variant>
        <vt:lpwstr/>
      </vt:variant>
      <vt:variant>
        <vt:i4>196637</vt:i4>
      </vt:variant>
      <vt:variant>
        <vt:i4>465</vt:i4>
      </vt:variant>
      <vt:variant>
        <vt:i4>0</vt:i4>
      </vt:variant>
      <vt:variant>
        <vt:i4>5</vt:i4>
      </vt:variant>
      <vt:variant>
        <vt:lpwstr>https://buyandsell.gc.ca/policy-and-guidelines/standard-acquisition-clauses-and-conditions-manual/5/E/E0008T/</vt:lpwstr>
      </vt:variant>
      <vt:variant>
        <vt:lpwstr/>
      </vt:variant>
      <vt:variant>
        <vt:i4>196630</vt:i4>
      </vt:variant>
      <vt:variant>
        <vt:i4>462</vt:i4>
      </vt:variant>
      <vt:variant>
        <vt:i4>0</vt:i4>
      </vt:variant>
      <vt:variant>
        <vt:i4>5</vt:i4>
      </vt:variant>
      <vt:variant>
        <vt:lpwstr>https://buyandsell.gc.ca/policy-and-guidelines/standard-acquisition-clauses-and-conditions-manual/5/E/E0003T/</vt:lpwstr>
      </vt:variant>
      <vt:variant>
        <vt:lpwstr/>
      </vt:variant>
      <vt:variant>
        <vt:i4>196625</vt:i4>
      </vt:variant>
      <vt:variant>
        <vt:i4>459</vt:i4>
      </vt:variant>
      <vt:variant>
        <vt:i4>0</vt:i4>
      </vt:variant>
      <vt:variant>
        <vt:i4>5</vt:i4>
      </vt:variant>
      <vt:variant>
        <vt:lpwstr>https://buyandsell.gc.ca/policy-and-guidelines/standard-acquisition-clauses-and-conditions-manual/5/E/E0004T/</vt:lpwstr>
      </vt:variant>
      <vt:variant>
        <vt:lpwstr/>
      </vt:variant>
      <vt:variant>
        <vt:i4>5373969</vt:i4>
      </vt:variant>
      <vt:variant>
        <vt:i4>456</vt:i4>
      </vt:variant>
      <vt:variant>
        <vt:i4>0</vt:i4>
      </vt:variant>
      <vt:variant>
        <vt:i4>5</vt:i4>
      </vt:variant>
      <vt:variant>
        <vt:lpwstr>http://buyandsell.gc.ca/policy-and-guidelines/standard-acquisition-clauses-and-conditions-manual/5/A/A9033T/8</vt:lpwstr>
      </vt:variant>
      <vt:variant>
        <vt:lpwstr/>
      </vt:variant>
      <vt:variant>
        <vt:i4>5373969</vt:i4>
      </vt:variant>
      <vt:variant>
        <vt:i4>453</vt:i4>
      </vt:variant>
      <vt:variant>
        <vt:i4>0</vt:i4>
      </vt:variant>
      <vt:variant>
        <vt:i4>5</vt:i4>
      </vt:variant>
      <vt:variant>
        <vt:lpwstr>http://buyandsell.gc.ca/policy-and-guidelines/standard-acquisition-clauses-and-conditions-manual/5/A/A9033T/8</vt:lpwstr>
      </vt:variant>
      <vt:variant>
        <vt:lpwstr/>
      </vt:variant>
      <vt:variant>
        <vt:i4>4915264</vt:i4>
      </vt:variant>
      <vt:variant>
        <vt:i4>450</vt:i4>
      </vt:variant>
      <vt:variant>
        <vt:i4>0</vt:i4>
      </vt:variant>
      <vt:variant>
        <vt:i4>5</vt:i4>
      </vt:variant>
      <vt:variant>
        <vt:lpwstr>http://buyandsell.gc.ca/policy-and-guidelines/standard-acquisition-clauses-and-conditions-manual</vt:lpwstr>
      </vt:variant>
      <vt:variant>
        <vt:lpwstr/>
      </vt:variant>
      <vt:variant>
        <vt:i4>6357031</vt:i4>
      </vt:variant>
      <vt:variant>
        <vt:i4>447</vt:i4>
      </vt:variant>
      <vt:variant>
        <vt:i4>0</vt:i4>
      </vt:variant>
      <vt:variant>
        <vt:i4>5</vt:i4>
      </vt:variant>
      <vt:variant>
        <vt:lpwstr>http://ssi-iss.tpsgc-pwgsc.gc.ca/index-eng.html</vt:lpwstr>
      </vt:variant>
      <vt:variant>
        <vt:lpwstr/>
      </vt:variant>
      <vt:variant>
        <vt:i4>6357031</vt:i4>
      </vt:variant>
      <vt:variant>
        <vt:i4>444</vt:i4>
      </vt:variant>
      <vt:variant>
        <vt:i4>0</vt:i4>
      </vt:variant>
      <vt:variant>
        <vt:i4>5</vt:i4>
      </vt:variant>
      <vt:variant>
        <vt:lpwstr>http://ssi-iss.tpsgc-pwgsc.gc.ca/index-eng.html</vt:lpwstr>
      </vt:variant>
      <vt:variant>
        <vt:lpwstr/>
      </vt:variant>
      <vt:variant>
        <vt:i4>7209018</vt:i4>
      </vt:variant>
      <vt:variant>
        <vt:i4>441</vt:i4>
      </vt:variant>
      <vt:variant>
        <vt:i4>0</vt:i4>
      </vt:variant>
      <vt:variant>
        <vt:i4>5</vt:i4>
      </vt:variant>
      <vt:variant>
        <vt:lpwstr>http://buyandsell.gc.ca/policy-and-guidelines/supply-manual/section/4</vt:lpwstr>
      </vt:variant>
      <vt:variant>
        <vt:lpwstr>section-4.30.10</vt:lpwstr>
      </vt:variant>
      <vt:variant>
        <vt:i4>2424953</vt:i4>
      </vt:variant>
      <vt:variant>
        <vt:i4>438</vt:i4>
      </vt:variant>
      <vt:variant>
        <vt:i4>0</vt:i4>
      </vt:variant>
      <vt:variant>
        <vt:i4>5</vt:i4>
      </vt:variant>
      <vt:variant>
        <vt:lpwstr>https://buyandsell.gc.ca/policy-and-guidelines/supply-manual/section/9</vt:lpwstr>
      </vt:variant>
      <vt:variant>
        <vt:lpwstr/>
      </vt:variant>
      <vt:variant>
        <vt:i4>5308431</vt:i4>
      </vt:variant>
      <vt:variant>
        <vt:i4>435</vt:i4>
      </vt:variant>
      <vt:variant>
        <vt:i4>0</vt:i4>
      </vt:variant>
      <vt:variant>
        <vt:i4>5</vt:i4>
      </vt:variant>
      <vt:variant>
        <vt:lpwstr>http://buyandsell.gc.ca/policy-and-guidelines/standard-acquisition-clauses-and-conditions-manual/5/A/A3000C/4</vt:lpwstr>
      </vt:variant>
      <vt:variant>
        <vt:lpwstr/>
      </vt:variant>
      <vt:variant>
        <vt:i4>5439512</vt:i4>
      </vt:variant>
      <vt:variant>
        <vt:i4>432</vt:i4>
      </vt:variant>
      <vt:variant>
        <vt:i4>0</vt:i4>
      </vt:variant>
      <vt:variant>
        <vt:i4>5</vt:i4>
      </vt:variant>
      <vt:variant>
        <vt:lpwstr>http://buyandsell.gc.ca/policy-and-guidelines/standard-acquisition-clauses-and-conditions-manual/5/A/A3002T/3</vt:lpwstr>
      </vt:variant>
      <vt:variant>
        <vt:lpwstr/>
      </vt:variant>
      <vt:variant>
        <vt:i4>5242904</vt:i4>
      </vt:variant>
      <vt:variant>
        <vt:i4>429</vt:i4>
      </vt:variant>
      <vt:variant>
        <vt:i4>0</vt:i4>
      </vt:variant>
      <vt:variant>
        <vt:i4>5</vt:i4>
      </vt:variant>
      <vt:variant>
        <vt:lpwstr>http://buyandsell.gc.ca/policy-and-guidelines/standard-acquisition-clauses-and-conditions-manual/5/A/A3001T/2</vt:lpwstr>
      </vt:variant>
      <vt:variant>
        <vt:lpwstr/>
      </vt:variant>
      <vt:variant>
        <vt:i4>5308440</vt:i4>
      </vt:variant>
      <vt:variant>
        <vt:i4>426</vt:i4>
      </vt:variant>
      <vt:variant>
        <vt:i4>0</vt:i4>
      </vt:variant>
      <vt:variant>
        <vt:i4>5</vt:i4>
      </vt:variant>
      <vt:variant>
        <vt:lpwstr>http://buyandsell.gc.ca/policy-and-guidelines/standard-acquisition-clauses-and-conditions-manual/5/A/A3000T/4</vt:lpwstr>
      </vt:variant>
      <vt:variant>
        <vt:lpwstr/>
      </vt:variant>
      <vt:variant>
        <vt:i4>5308445</vt:i4>
      </vt:variant>
      <vt:variant>
        <vt:i4>423</vt:i4>
      </vt:variant>
      <vt:variant>
        <vt:i4>0</vt:i4>
      </vt:variant>
      <vt:variant>
        <vt:i4>5</vt:i4>
      </vt:variant>
      <vt:variant>
        <vt:lpwstr>http://buyandsell.gc.ca/policy-and-guidelines/standard-acquisition-clauses-and-conditions-manual/5/A/A3050T/2</vt:lpwstr>
      </vt:variant>
      <vt:variant>
        <vt:lpwstr/>
      </vt:variant>
      <vt:variant>
        <vt:i4>5308425</vt:i4>
      </vt:variant>
      <vt:variant>
        <vt:i4>420</vt:i4>
      </vt:variant>
      <vt:variant>
        <vt:i4>0</vt:i4>
      </vt:variant>
      <vt:variant>
        <vt:i4>5</vt:i4>
      </vt:variant>
      <vt:variant>
        <vt:lpwstr>http://buyandsell.gc.ca/policy-and-guidelines/standard-acquisition-clauses-and-conditions-manual/5/A/A3060C/1</vt:lpwstr>
      </vt:variant>
      <vt:variant>
        <vt:lpwstr/>
      </vt:variant>
      <vt:variant>
        <vt:i4>5308445</vt:i4>
      </vt:variant>
      <vt:variant>
        <vt:i4>417</vt:i4>
      </vt:variant>
      <vt:variant>
        <vt:i4>0</vt:i4>
      </vt:variant>
      <vt:variant>
        <vt:i4>5</vt:i4>
      </vt:variant>
      <vt:variant>
        <vt:lpwstr>http://buyandsell.gc.ca/policy-and-guidelines/standard-acquisition-clauses-and-conditions-manual/5/A/A3050T/2</vt:lpwstr>
      </vt:variant>
      <vt:variant>
        <vt:lpwstr/>
      </vt:variant>
      <vt:variant>
        <vt:i4>5767197</vt:i4>
      </vt:variant>
      <vt:variant>
        <vt:i4>414</vt:i4>
      </vt:variant>
      <vt:variant>
        <vt:i4>0</vt:i4>
      </vt:variant>
      <vt:variant>
        <vt:i4>5</vt:i4>
      </vt:variant>
      <vt:variant>
        <vt:lpwstr>http://buyandsell.gc.ca/policy-and-guidelines/standard-acquisition-clauses-and-conditions-manual/5/A/A3059T/2</vt:lpwstr>
      </vt:variant>
      <vt:variant>
        <vt:lpwstr/>
      </vt:variant>
      <vt:variant>
        <vt:i4>5701661</vt:i4>
      </vt:variant>
      <vt:variant>
        <vt:i4>411</vt:i4>
      </vt:variant>
      <vt:variant>
        <vt:i4>0</vt:i4>
      </vt:variant>
      <vt:variant>
        <vt:i4>5</vt:i4>
      </vt:variant>
      <vt:variant>
        <vt:lpwstr>http://buyandsell.gc.ca/policy-and-guidelines/standard-acquisition-clauses-and-conditions-manual/5/A/A3056T/3</vt:lpwstr>
      </vt:variant>
      <vt:variant>
        <vt:lpwstr/>
      </vt:variant>
      <vt:variant>
        <vt:i4>5505053</vt:i4>
      </vt:variant>
      <vt:variant>
        <vt:i4>408</vt:i4>
      </vt:variant>
      <vt:variant>
        <vt:i4>0</vt:i4>
      </vt:variant>
      <vt:variant>
        <vt:i4>5</vt:i4>
      </vt:variant>
      <vt:variant>
        <vt:lpwstr>http://buyandsell.gc.ca/policy-and-guidelines/standard-acquisition-clauses-and-conditions-manual/5/A/A3055T/2</vt:lpwstr>
      </vt:variant>
      <vt:variant>
        <vt:lpwstr/>
      </vt:variant>
      <vt:variant>
        <vt:i4>5373981</vt:i4>
      </vt:variant>
      <vt:variant>
        <vt:i4>405</vt:i4>
      </vt:variant>
      <vt:variant>
        <vt:i4>0</vt:i4>
      </vt:variant>
      <vt:variant>
        <vt:i4>5</vt:i4>
      </vt:variant>
      <vt:variant>
        <vt:lpwstr>http://buyandsell.gc.ca/policy-and-guidelines/standard-acquisition-clauses-and-conditions-manual/5/A/A3053T/2</vt:lpwstr>
      </vt:variant>
      <vt:variant>
        <vt:lpwstr/>
      </vt:variant>
      <vt:variant>
        <vt:i4>5439517</vt:i4>
      </vt:variant>
      <vt:variant>
        <vt:i4>402</vt:i4>
      </vt:variant>
      <vt:variant>
        <vt:i4>0</vt:i4>
      </vt:variant>
      <vt:variant>
        <vt:i4>5</vt:i4>
      </vt:variant>
      <vt:variant>
        <vt:lpwstr>http://buyandsell.gc.ca/policy-and-guidelines/standard-acquisition-clauses-and-conditions-manual/5/A/A3052T/2</vt:lpwstr>
      </vt:variant>
      <vt:variant>
        <vt:lpwstr/>
      </vt:variant>
      <vt:variant>
        <vt:i4>5242909</vt:i4>
      </vt:variant>
      <vt:variant>
        <vt:i4>399</vt:i4>
      </vt:variant>
      <vt:variant>
        <vt:i4>0</vt:i4>
      </vt:variant>
      <vt:variant>
        <vt:i4>5</vt:i4>
      </vt:variant>
      <vt:variant>
        <vt:lpwstr>http://buyandsell.gc.ca/policy-and-guidelines/standard-acquisition-clauses-and-conditions-manual/5/A/A3051T/2</vt:lpwstr>
      </vt:variant>
      <vt:variant>
        <vt:lpwstr/>
      </vt:variant>
      <vt:variant>
        <vt:i4>5767198</vt:i4>
      </vt:variant>
      <vt:variant>
        <vt:i4>396</vt:i4>
      </vt:variant>
      <vt:variant>
        <vt:i4>0</vt:i4>
      </vt:variant>
      <vt:variant>
        <vt:i4>5</vt:i4>
      </vt:variant>
      <vt:variant>
        <vt:lpwstr>http://buyandsell.gc.ca/policy-and-guidelines/standard-acquisition-clauses-and-conditions-manual/5/A/A3069T/2</vt:lpwstr>
      </vt:variant>
      <vt:variant>
        <vt:lpwstr/>
      </vt:variant>
      <vt:variant>
        <vt:i4>5701662</vt:i4>
      </vt:variant>
      <vt:variant>
        <vt:i4>393</vt:i4>
      </vt:variant>
      <vt:variant>
        <vt:i4>0</vt:i4>
      </vt:variant>
      <vt:variant>
        <vt:i4>5</vt:i4>
      </vt:variant>
      <vt:variant>
        <vt:lpwstr>http://buyandsell.gc.ca/policy-and-guidelines/standard-acquisition-clauses-and-conditions-manual/5/A/A3066T/2</vt:lpwstr>
      </vt:variant>
      <vt:variant>
        <vt:lpwstr/>
      </vt:variant>
      <vt:variant>
        <vt:i4>5505054</vt:i4>
      </vt:variant>
      <vt:variant>
        <vt:i4>390</vt:i4>
      </vt:variant>
      <vt:variant>
        <vt:i4>0</vt:i4>
      </vt:variant>
      <vt:variant>
        <vt:i4>5</vt:i4>
      </vt:variant>
      <vt:variant>
        <vt:lpwstr>http://buyandsell.gc.ca/policy-and-guidelines/standard-acquisition-clauses-and-conditions-manual/5/A/A3065T/2</vt:lpwstr>
      </vt:variant>
      <vt:variant>
        <vt:lpwstr/>
      </vt:variant>
      <vt:variant>
        <vt:i4>5373982</vt:i4>
      </vt:variant>
      <vt:variant>
        <vt:i4>387</vt:i4>
      </vt:variant>
      <vt:variant>
        <vt:i4>0</vt:i4>
      </vt:variant>
      <vt:variant>
        <vt:i4>5</vt:i4>
      </vt:variant>
      <vt:variant>
        <vt:lpwstr>http://buyandsell.gc.ca/policy-and-guidelines/standard-acquisition-clauses-and-conditions-manual/5/A/A3063T/2</vt:lpwstr>
      </vt:variant>
      <vt:variant>
        <vt:lpwstr/>
      </vt:variant>
      <vt:variant>
        <vt:i4>5439518</vt:i4>
      </vt:variant>
      <vt:variant>
        <vt:i4>384</vt:i4>
      </vt:variant>
      <vt:variant>
        <vt:i4>0</vt:i4>
      </vt:variant>
      <vt:variant>
        <vt:i4>5</vt:i4>
      </vt:variant>
      <vt:variant>
        <vt:lpwstr>http://buyandsell.gc.ca/policy-and-guidelines/standard-acquisition-clauses-and-conditions-manual/5/A/A3062T/1</vt:lpwstr>
      </vt:variant>
      <vt:variant>
        <vt:lpwstr/>
      </vt:variant>
      <vt:variant>
        <vt:i4>5242910</vt:i4>
      </vt:variant>
      <vt:variant>
        <vt:i4>381</vt:i4>
      </vt:variant>
      <vt:variant>
        <vt:i4>0</vt:i4>
      </vt:variant>
      <vt:variant>
        <vt:i4>5</vt:i4>
      </vt:variant>
      <vt:variant>
        <vt:lpwstr>http://buyandsell.gc.ca/policy-and-guidelines/standard-acquisition-clauses-and-conditions-manual/5/A/A3061T/2</vt:lpwstr>
      </vt:variant>
      <vt:variant>
        <vt:lpwstr/>
      </vt:variant>
      <vt:variant>
        <vt:i4>8192122</vt:i4>
      </vt:variant>
      <vt:variant>
        <vt:i4>378</vt:i4>
      </vt:variant>
      <vt:variant>
        <vt:i4>0</vt:i4>
      </vt:variant>
      <vt:variant>
        <vt:i4>5</vt:i4>
      </vt:variant>
      <vt:variant>
        <vt:lpwstr/>
      </vt:variant>
      <vt:variant>
        <vt:lpwstr>Body:Federal Contractors Program Certification1</vt:lpwstr>
      </vt:variant>
      <vt:variant>
        <vt:i4>2490394</vt:i4>
      </vt:variant>
      <vt:variant>
        <vt:i4>375</vt:i4>
      </vt:variant>
      <vt:variant>
        <vt:i4>0</vt:i4>
      </vt:variant>
      <vt:variant>
        <vt:i4>5</vt:i4>
      </vt:variant>
      <vt:variant>
        <vt:lpwstr>http://www.labour.gc.ca/eng/standards_equity/eq/emp/fcp/list/inelig.shtml</vt:lpwstr>
      </vt:variant>
      <vt:variant>
        <vt:lpwstr/>
      </vt:variant>
      <vt:variant>
        <vt:i4>8192122</vt:i4>
      </vt:variant>
      <vt:variant>
        <vt:i4>372</vt:i4>
      </vt:variant>
      <vt:variant>
        <vt:i4>0</vt:i4>
      </vt:variant>
      <vt:variant>
        <vt:i4>5</vt:i4>
      </vt:variant>
      <vt:variant>
        <vt:lpwstr/>
      </vt:variant>
      <vt:variant>
        <vt:lpwstr>Body:Federal Contractors Program Certification1</vt:lpwstr>
      </vt:variant>
      <vt:variant>
        <vt:i4>1704006</vt:i4>
      </vt:variant>
      <vt:variant>
        <vt:i4>369</vt:i4>
      </vt:variant>
      <vt:variant>
        <vt:i4>0</vt:i4>
      </vt:variant>
      <vt:variant>
        <vt:i4>5</vt:i4>
      </vt:variant>
      <vt:variant>
        <vt:lpwstr>http://buyandsell.gc.ca/policy-and-guidelines/supply-manual/section/5</vt:lpwstr>
      </vt:variant>
      <vt:variant>
        <vt:lpwstr>annex-5.1</vt:lpwstr>
      </vt:variant>
      <vt:variant>
        <vt:i4>2490394</vt:i4>
      </vt:variant>
      <vt:variant>
        <vt:i4>366</vt:i4>
      </vt:variant>
      <vt:variant>
        <vt:i4>0</vt:i4>
      </vt:variant>
      <vt:variant>
        <vt:i4>5</vt:i4>
      </vt:variant>
      <vt:variant>
        <vt:lpwstr>http://www.labour.gc.ca/eng/standards_equity/eq/emp/fcp/list/inelig.shtml</vt:lpwstr>
      </vt:variant>
      <vt:variant>
        <vt:lpwstr/>
      </vt:variant>
      <vt:variant>
        <vt:i4>5570618</vt:i4>
      </vt:variant>
      <vt:variant>
        <vt:i4>363</vt:i4>
      </vt:variant>
      <vt:variant>
        <vt:i4>0</vt:i4>
      </vt:variant>
      <vt:variant>
        <vt:i4>5</vt:i4>
      </vt:variant>
      <vt:variant>
        <vt:lpwstr>http://www.labour.gc.ca/eng/standards_equity/eq/emp/fcp/index.shtml</vt:lpwstr>
      </vt:variant>
      <vt:variant>
        <vt:lpwstr/>
      </vt:variant>
      <vt:variant>
        <vt:i4>2490394</vt:i4>
      </vt:variant>
      <vt:variant>
        <vt:i4>360</vt:i4>
      </vt:variant>
      <vt:variant>
        <vt:i4>0</vt:i4>
      </vt:variant>
      <vt:variant>
        <vt:i4>5</vt:i4>
      </vt:variant>
      <vt:variant>
        <vt:lpwstr>http://www.labour.gc.ca/eng/standards_equity/eq/emp/fcp/list/inelig.shtml</vt:lpwstr>
      </vt:variant>
      <vt:variant>
        <vt:lpwstr/>
      </vt:variant>
      <vt:variant>
        <vt:i4>1704006</vt:i4>
      </vt:variant>
      <vt:variant>
        <vt:i4>357</vt:i4>
      </vt:variant>
      <vt:variant>
        <vt:i4>0</vt:i4>
      </vt:variant>
      <vt:variant>
        <vt:i4>5</vt:i4>
      </vt:variant>
      <vt:variant>
        <vt:lpwstr>http://buyandsell.gc.ca/policy-and-guidelines/supply-manual/section/5</vt:lpwstr>
      </vt:variant>
      <vt:variant>
        <vt:lpwstr>annex-5.1</vt:lpwstr>
      </vt:variant>
      <vt:variant>
        <vt:i4>6029331</vt:i4>
      </vt:variant>
      <vt:variant>
        <vt:i4>354</vt:i4>
      </vt:variant>
      <vt:variant>
        <vt:i4>0</vt:i4>
      </vt:variant>
      <vt:variant>
        <vt:i4>5</vt:i4>
      </vt:variant>
      <vt:variant>
        <vt:lpwstr>https://buyandsell.gc.ca/policy-and-guidelines/standard-acquisition-clauses-and-conditions-manual/1/2004/</vt:lpwstr>
      </vt:variant>
      <vt:variant>
        <vt:lpwstr/>
      </vt:variant>
      <vt:variant>
        <vt:i4>5963795</vt:i4>
      </vt:variant>
      <vt:variant>
        <vt:i4>351</vt:i4>
      </vt:variant>
      <vt:variant>
        <vt:i4>0</vt:i4>
      </vt:variant>
      <vt:variant>
        <vt:i4>5</vt:i4>
      </vt:variant>
      <vt:variant>
        <vt:lpwstr>https://buyandsell.gc.ca/policy-and-guidelines/standard-acquisition-clauses-and-conditions-manual/1/2003/</vt:lpwstr>
      </vt:variant>
      <vt:variant>
        <vt:lpwstr/>
      </vt:variant>
      <vt:variant>
        <vt:i4>5308441</vt:i4>
      </vt:variant>
      <vt:variant>
        <vt:i4>348</vt:i4>
      </vt:variant>
      <vt:variant>
        <vt:i4>0</vt:i4>
      </vt:variant>
      <vt:variant>
        <vt:i4>5</vt:i4>
      </vt:variant>
      <vt:variant>
        <vt:lpwstr>http://buyandsell.gc.ca/policy-and-guidelines/standard-acquisition-clauses-and-conditions-manual/5/A/A3010T/4</vt:lpwstr>
      </vt:variant>
      <vt:variant>
        <vt:lpwstr/>
      </vt:variant>
      <vt:variant>
        <vt:i4>5505038</vt:i4>
      </vt:variant>
      <vt:variant>
        <vt:i4>345</vt:i4>
      </vt:variant>
      <vt:variant>
        <vt:i4>0</vt:i4>
      </vt:variant>
      <vt:variant>
        <vt:i4>5</vt:i4>
      </vt:variant>
      <vt:variant>
        <vt:lpwstr>http://buyandsell.gc.ca/policy-and-guidelines/standard-acquisition-clauses-and-conditions-manual/5/A/A3015C/3</vt:lpwstr>
      </vt:variant>
      <vt:variant>
        <vt:lpwstr/>
      </vt:variant>
      <vt:variant>
        <vt:i4>4915264</vt:i4>
      </vt:variant>
      <vt:variant>
        <vt:i4>342</vt:i4>
      </vt:variant>
      <vt:variant>
        <vt:i4>0</vt:i4>
      </vt:variant>
      <vt:variant>
        <vt:i4>5</vt:i4>
      </vt:variant>
      <vt:variant>
        <vt:lpwstr>http://buyandsell.gc.ca/policy-and-guidelines/standard-acquisition-clauses-and-conditions-manual</vt:lpwstr>
      </vt:variant>
      <vt:variant>
        <vt:lpwstr/>
      </vt:variant>
      <vt:variant>
        <vt:i4>5505048</vt:i4>
      </vt:variant>
      <vt:variant>
        <vt:i4>339</vt:i4>
      </vt:variant>
      <vt:variant>
        <vt:i4>0</vt:i4>
      </vt:variant>
      <vt:variant>
        <vt:i4>5</vt:i4>
      </vt:variant>
      <vt:variant>
        <vt:lpwstr>http://buyandsell.gc.ca/policy-and-guidelines/standard-acquisition-clauses-and-conditions-manual/5/A/A3005T/4</vt:lpwstr>
      </vt:variant>
      <vt:variant>
        <vt:lpwstr/>
      </vt:variant>
      <vt:variant>
        <vt:i4>5308445</vt:i4>
      </vt:variant>
      <vt:variant>
        <vt:i4>336</vt:i4>
      </vt:variant>
      <vt:variant>
        <vt:i4>0</vt:i4>
      </vt:variant>
      <vt:variant>
        <vt:i4>5</vt:i4>
      </vt:variant>
      <vt:variant>
        <vt:lpwstr>http://buyandsell.gc.ca/policy-and-guidelines/standard-acquisition-clauses-and-conditions-manual/5/A/A3050T/2</vt:lpwstr>
      </vt:variant>
      <vt:variant>
        <vt:lpwstr/>
      </vt:variant>
      <vt:variant>
        <vt:i4>5308425</vt:i4>
      </vt:variant>
      <vt:variant>
        <vt:i4>333</vt:i4>
      </vt:variant>
      <vt:variant>
        <vt:i4>0</vt:i4>
      </vt:variant>
      <vt:variant>
        <vt:i4>5</vt:i4>
      </vt:variant>
      <vt:variant>
        <vt:lpwstr>http://buyandsell.gc.ca/policy-and-guidelines/standard-acquisition-clauses-and-conditions-manual/5/A/A3060C/1</vt:lpwstr>
      </vt:variant>
      <vt:variant>
        <vt:lpwstr/>
      </vt:variant>
      <vt:variant>
        <vt:i4>5308445</vt:i4>
      </vt:variant>
      <vt:variant>
        <vt:i4>330</vt:i4>
      </vt:variant>
      <vt:variant>
        <vt:i4>0</vt:i4>
      </vt:variant>
      <vt:variant>
        <vt:i4>5</vt:i4>
      </vt:variant>
      <vt:variant>
        <vt:lpwstr>http://buyandsell.gc.ca/policy-and-guidelines/standard-acquisition-clauses-and-conditions-manual/5/A/A3050T/2</vt:lpwstr>
      </vt:variant>
      <vt:variant>
        <vt:lpwstr/>
      </vt:variant>
      <vt:variant>
        <vt:i4>7078015</vt:i4>
      </vt:variant>
      <vt:variant>
        <vt:i4>327</vt:i4>
      </vt:variant>
      <vt:variant>
        <vt:i4>0</vt:i4>
      </vt:variant>
      <vt:variant>
        <vt:i4>5</vt:i4>
      </vt:variant>
      <vt:variant>
        <vt:lpwstr>http://buyandsell.gc.ca/policy-and-guidelines/Supply-Manual</vt:lpwstr>
      </vt:variant>
      <vt:variant>
        <vt:lpwstr/>
      </vt:variant>
      <vt:variant>
        <vt:i4>5767197</vt:i4>
      </vt:variant>
      <vt:variant>
        <vt:i4>324</vt:i4>
      </vt:variant>
      <vt:variant>
        <vt:i4>0</vt:i4>
      </vt:variant>
      <vt:variant>
        <vt:i4>5</vt:i4>
      </vt:variant>
      <vt:variant>
        <vt:lpwstr>http://buyandsell.gc.ca/policy-and-guidelines/standard-acquisition-clauses-and-conditions-manual/5/A/A3059T/2</vt:lpwstr>
      </vt:variant>
      <vt:variant>
        <vt:lpwstr/>
      </vt:variant>
      <vt:variant>
        <vt:i4>5701661</vt:i4>
      </vt:variant>
      <vt:variant>
        <vt:i4>321</vt:i4>
      </vt:variant>
      <vt:variant>
        <vt:i4>0</vt:i4>
      </vt:variant>
      <vt:variant>
        <vt:i4>5</vt:i4>
      </vt:variant>
      <vt:variant>
        <vt:lpwstr>http://buyandsell.gc.ca/policy-and-guidelines/standard-acquisition-clauses-and-conditions-manual/5/A/A3056T/3</vt:lpwstr>
      </vt:variant>
      <vt:variant>
        <vt:lpwstr/>
      </vt:variant>
      <vt:variant>
        <vt:i4>5505053</vt:i4>
      </vt:variant>
      <vt:variant>
        <vt:i4>318</vt:i4>
      </vt:variant>
      <vt:variant>
        <vt:i4>0</vt:i4>
      </vt:variant>
      <vt:variant>
        <vt:i4>5</vt:i4>
      </vt:variant>
      <vt:variant>
        <vt:lpwstr>http://buyandsell.gc.ca/policy-and-guidelines/standard-acquisition-clauses-and-conditions-manual/5/A/A3055T/2</vt:lpwstr>
      </vt:variant>
      <vt:variant>
        <vt:lpwstr/>
      </vt:variant>
      <vt:variant>
        <vt:i4>5373981</vt:i4>
      </vt:variant>
      <vt:variant>
        <vt:i4>315</vt:i4>
      </vt:variant>
      <vt:variant>
        <vt:i4>0</vt:i4>
      </vt:variant>
      <vt:variant>
        <vt:i4>5</vt:i4>
      </vt:variant>
      <vt:variant>
        <vt:lpwstr>http://buyandsell.gc.ca/policy-and-guidelines/standard-acquisition-clauses-and-conditions-manual/5/A/A3053T/2</vt:lpwstr>
      </vt:variant>
      <vt:variant>
        <vt:lpwstr/>
      </vt:variant>
      <vt:variant>
        <vt:i4>5439517</vt:i4>
      </vt:variant>
      <vt:variant>
        <vt:i4>312</vt:i4>
      </vt:variant>
      <vt:variant>
        <vt:i4>0</vt:i4>
      </vt:variant>
      <vt:variant>
        <vt:i4>5</vt:i4>
      </vt:variant>
      <vt:variant>
        <vt:lpwstr>http://buyandsell.gc.ca/policy-and-guidelines/standard-acquisition-clauses-and-conditions-manual/5/A/A3052T/2</vt:lpwstr>
      </vt:variant>
      <vt:variant>
        <vt:lpwstr/>
      </vt:variant>
      <vt:variant>
        <vt:i4>5242909</vt:i4>
      </vt:variant>
      <vt:variant>
        <vt:i4>309</vt:i4>
      </vt:variant>
      <vt:variant>
        <vt:i4>0</vt:i4>
      </vt:variant>
      <vt:variant>
        <vt:i4>5</vt:i4>
      </vt:variant>
      <vt:variant>
        <vt:lpwstr>http://buyandsell.gc.ca/policy-and-guidelines/standard-acquisition-clauses-and-conditions-manual/5/A/A3051T/2</vt:lpwstr>
      </vt:variant>
      <vt:variant>
        <vt:lpwstr/>
      </vt:variant>
      <vt:variant>
        <vt:i4>8192122</vt:i4>
      </vt:variant>
      <vt:variant>
        <vt:i4>306</vt:i4>
      </vt:variant>
      <vt:variant>
        <vt:i4>0</vt:i4>
      </vt:variant>
      <vt:variant>
        <vt:i4>5</vt:i4>
      </vt:variant>
      <vt:variant>
        <vt:lpwstr/>
      </vt:variant>
      <vt:variant>
        <vt:lpwstr>Body:Federal Contractors Program Certification1</vt:lpwstr>
      </vt:variant>
      <vt:variant>
        <vt:i4>2490394</vt:i4>
      </vt:variant>
      <vt:variant>
        <vt:i4>303</vt:i4>
      </vt:variant>
      <vt:variant>
        <vt:i4>0</vt:i4>
      </vt:variant>
      <vt:variant>
        <vt:i4>5</vt:i4>
      </vt:variant>
      <vt:variant>
        <vt:lpwstr>http://www.labour.gc.ca/eng/standards_equity/eq/emp/fcp/list/inelig.shtml</vt:lpwstr>
      </vt:variant>
      <vt:variant>
        <vt:lpwstr/>
      </vt:variant>
      <vt:variant>
        <vt:i4>8192122</vt:i4>
      </vt:variant>
      <vt:variant>
        <vt:i4>300</vt:i4>
      </vt:variant>
      <vt:variant>
        <vt:i4>0</vt:i4>
      </vt:variant>
      <vt:variant>
        <vt:i4>5</vt:i4>
      </vt:variant>
      <vt:variant>
        <vt:lpwstr/>
      </vt:variant>
      <vt:variant>
        <vt:lpwstr>Body:Federal Contractors Program Certification1</vt:lpwstr>
      </vt:variant>
      <vt:variant>
        <vt:i4>1704006</vt:i4>
      </vt:variant>
      <vt:variant>
        <vt:i4>297</vt:i4>
      </vt:variant>
      <vt:variant>
        <vt:i4>0</vt:i4>
      </vt:variant>
      <vt:variant>
        <vt:i4>5</vt:i4>
      </vt:variant>
      <vt:variant>
        <vt:lpwstr>http://buyandsell.gc.ca/policy-and-guidelines/supply-manual/section/5</vt:lpwstr>
      </vt:variant>
      <vt:variant>
        <vt:lpwstr>annex-5.1</vt:lpwstr>
      </vt:variant>
      <vt:variant>
        <vt:i4>2490394</vt:i4>
      </vt:variant>
      <vt:variant>
        <vt:i4>294</vt:i4>
      </vt:variant>
      <vt:variant>
        <vt:i4>0</vt:i4>
      </vt:variant>
      <vt:variant>
        <vt:i4>5</vt:i4>
      </vt:variant>
      <vt:variant>
        <vt:lpwstr>http://www.labour.gc.ca/eng/standards_equity/eq/emp/fcp/list/inelig.shtml</vt:lpwstr>
      </vt:variant>
      <vt:variant>
        <vt:lpwstr/>
      </vt:variant>
      <vt:variant>
        <vt:i4>5570618</vt:i4>
      </vt:variant>
      <vt:variant>
        <vt:i4>291</vt:i4>
      </vt:variant>
      <vt:variant>
        <vt:i4>0</vt:i4>
      </vt:variant>
      <vt:variant>
        <vt:i4>5</vt:i4>
      </vt:variant>
      <vt:variant>
        <vt:lpwstr>http://www.labour.gc.ca/eng/standards_equity/eq/emp/fcp/index.shtml</vt:lpwstr>
      </vt:variant>
      <vt:variant>
        <vt:lpwstr/>
      </vt:variant>
      <vt:variant>
        <vt:i4>2490394</vt:i4>
      </vt:variant>
      <vt:variant>
        <vt:i4>288</vt:i4>
      </vt:variant>
      <vt:variant>
        <vt:i4>0</vt:i4>
      </vt:variant>
      <vt:variant>
        <vt:i4>5</vt:i4>
      </vt:variant>
      <vt:variant>
        <vt:lpwstr>http://www.labour.gc.ca/eng/standards_equity/eq/emp/fcp/list/inelig.shtml</vt:lpwstr>
      </vt:variant>
      <vt:variant>
        <vt:lpwstr/>
      </vt:variant>
      <vt:variant>
        <vt:i4>1704006</vt:i4>
      </vt:variant>
      <vt:variant>
        <vt:i4>285</vt:i4>
      </vt:variant>
      <vt:variant>
        <vt:i4>0</vt:i4>
      </vt:variant>
      <vt:variant>
        <vt:i4>5</vt:i4>
      </vt:variant>
      <vt:variant>
        <vt:lpwstr>http://buyandsell.gc.ca/policy-and-guidelines/supply-manual/section/5</vt:lpwstr>
      </vt:variant>
      <vt:variant>
        <vt:lpwstr>annex-5.1</vt:lpwstr>
      </vt:variant>
      <vt:variant>
        <vt:i4>6029331</vt:i4>
      </vt:variant>
      <vt:variant>
        <vt:i4>282</vt:i4>
      </vt:variant>
      <vt:variant>
        <vt:i4>0</vt:i4>
      </vt:variant>
      <vt:variant>
        <vt:i4>5</vt:i4>
      </vt:variant>
      <vt:variant>
        <vt:lpwstr>https://buyandsell.gc.ca/policy-and-guidelines/standard-acquisition-clauses-and-conditions-manual/1/2004/</vt:lpwstr>
      </vt:variant>
      <vt:variant>
        <vt:lpwstr/>
      </vt:variant>
      <vt:variant>
        <vt:i4>5963795</vt:i4>
      </vt:variant>
      <vt:variant>
        <vt:i4>279</vt:i4>
      </vt:variant>
      <vt:variant>
        <vt:i4>0</vt:i4>
      </vt:variant>
      <vt:variant>
        <vt:i4>5</vt:i4>
      </vt:variant>
      <vt:variant>
        <vt:lpwstr>https://buyandsell.gc.ca/policy-and-guidelines/standard-acquisition-clauses-and-conditions-manual/1/2003/</vt:lpwstr>
      </vt:variant>
      <vt:variant>
        <vt:lpwstr/>
      </vt:variant>
      <vt:variant>
        <vt:i4>3932262</vt:i4>
      </vt:variant>
      <vt:variant>
        <vt:i4>276</vt:i4>
      </vt:variant>
      <vt:variant>
        <vt:i4>0</vt:i4>
      </vt:variant>
      <vt:variant>
        <vt:i4>5</vt:i4>
      </vt:variant>
      <vt:variant>
        <vt:lpwstr>https://buyandsell.gc.ca/policy-and-guidelines/supply-manual/section/8/70/2</vt:lpwstr>
      </vt:variant>
      <vt:variant>
        <vt:lpwstr/>
      </vt:variant>
      <vt:variant>
        <vt:i4>720896</vt:i4>
      </vt:variant>
      <vt:variant>
        <vt:i4>273</vt:i4>
      </vt:variant>
      <vt:variant>
        <vt:i4>0</vt:i4>
      </vt:variant>
      <vt:variant>
        <vt:i4>5</vt:i4>
      </vt:variant>
      <vt:variant>
        <vt:lpwstr>http://buyandsell.gc.ca/policy-and-guidelines/supply-manual/section/5/16</vt:lpwstr>
      </vt:variant>
      <vt:variant>
        <vt:lpwstr/>
      </vt:variant>
      <vt:variant>
        <vt:i4>1704022</vt:i4>
      </vt:variant>
      <vt:variant>
        <vt:i4>270</vt:i4>
      </vt:variant>
      <vt:variant>
        <vt:i4>0</vt:i4>
      </vt:variant>
      <vt:variant>
        <vt:i4>5</vt:i4>
      </vt:variant>
      <vt:variant>
        <vt:lpwstr>https://buyandsell.gc.ca/policy-and-guidelines/supply-manual/section/4/21</vt:lpwstr>
      </vt:variant>
      <vt:variant>
        <vt:lpwstr/>
      </vt:variant>
      <vt:variant>
        <vt:i4>6029331</vt:i4>
      </vt:variant>
      <vt:variant>
        <vt:i4>267</vt:i4>
      </vt:variant>
      <vt:variant>
        <vt:i4>0</vt:i4>
      </vt:variant>
      <vt:variant>
        <vt:i4>5</vt:i4>
      </vt:variant>
      <vt:variant>
        <vt:lpwstr>https://buyandsell.gc.ca/policy-and-guidelines/standard-acquisition-clauses-and-conditions-manual/1/2004/</vt:lpwstr>
      </vt:variant>
      <vt:variant>
        <vt:lpwstr/>
      </vt:variant>
      <vt:variant>
        <vt:i4>5963795</vt:i4>
      </vt:variant>
      <vt:variant>
        <vt:i4>264</vt:i4>
      </vt:variant>
      <vt:variant>
        <vt:i4>0</vt:i4>
      </vt:variant>
      <vt:variant>
        <vt:i4>5</vt:i4>
      </vt:variant>
      <vt:variant>
        <vt:lpwstr>https://buyandsell.gc.ca/policy-and-guidelines/standard-acquisition-clauses-and-conditions-manual/1/2003/</vt:lpwstr>
      </vt:variant>
      <vt:variant>
        <vt:lpwstr/>
      </vt:variant>
      <vt:variant>
        <vt:i4>5701656</vt:i4>
      </vt:variant>
      <vt:variant>
        <vt:i4>261</vt:i4>
      </vt:variant>
      <vt:variant>
        <vt:i4>0</vt:i4>
      </vt:variant>
      <vt:variant>
        <vt:i4>5</vt:i4>
      </vt:variant>
      <vt:variant>
        <vt:lpwstr>http://buyandsell.gc.ca/policy-and-guidelines/standard-acquisition-clauses-and-conditions-manual/5/A/A0036T/4</vt:lpwstr>
      </vt:variant>
      <vt:variant>
        <vt:lpwstr/>
      </vt:variant>
      <vt:variant>
        <vt:i4>5505048</vt:i4>
      </vt:variant>
      <vt:variant>
        <vt:i4>258</vt:i4>
      </vt:variant>
      <vt:variant>
        <vt:i4>0</vt:i4>
      </vt:variant>
      <vt:variant>
        <vt:i4>5</vt:i4>
      </vt:variant>
      <vt:variant>
        <vt:lpwstr>http://buyandsell.gc.ca/policy-and-guidelines/standard-acquisition-clauses-and-conditions-manual/5/A/A0035T/4</vt:lpwstr>
      </vt:variant>
      <vt:variant>
        <vt:lpwstr/>
      </vt:variant>
      <vt:variant>
        <vt:i4>5570584</vt:i4>
      </vt:variant>
      <vt:variant>
        <vt:i4>255</vt:i4>
      </vt:variant>
      <vt:variant>
        <vt:i4>0</vt:i4>
      </vt:variant>
      <vt:variant>
        <vt:i4>5</vt:i4>
      </vt:variant>
      <vt:variant>
        <vt:lpwstr>http://buyandsell.gc.ca/policy-and-guidelines/standard-acquisition-clauses-and-conditions-manual/5/A/A0034T/4</vt:lpwstr>
      </vt:variant>
      <vt:variant>
        <vt:lpwstr/>
      </vt:variant>
      <vt:variant>
        <vt:i4>5636121</vt:i4>
      </vt:variant>
      <vt:variant>
        <vt:i4>252</vt:i4>
      </vt:variant>
      <vt:variant>
        <vt:i4>0</vt:i4>
      </vt:variant>
      <vt:variant>
        <vt:i4>5</vt:i4>
      </vt:variant>
      <vt:variant>
        <vt:lpwstr>http://buyandsell.gc.ca/policy-and-guidelines/standard-acquisition-clauses-and-conditions-manual/5/A/A0027T/2</vt:lpwstr>
      </vt:variant>
      <vt:variant>
        <vt:lpwstr/>
      </vt:variant>
      <vt:variant>
        <vt:i4>5701656</vt:i4>
      </vt:variant>
      <vt:variant>
        <vt:i4>249</vt:i4>
      </vt:variant>
      <vt:variant>
        <vt:i4>0</vt:i4>
      </vt:variant>
      <vt:variant>
        <vt:i4>5</vt:i4>
      </vt:variant>
      <vt:variant>
        <vt:lpwstr>http://buyandsell.gc.ca/policy-and-guidelines/standard-acquisition-clauses-and-conditions-manual/5/A/A0036T/4</vt:lpwstr>
      </vt:variant>
      <vt:variant>
        <vt:lpwstr/>
      </vt:variant>
      <vt:variant>
        <vt:i4>5505048</vt:i4>
      </vt:variant>
      <vt:variant>
        <vt:i4>246</vt:i4>
      </vt:variant>
      <vt:variant>
        <vt:i4>0</vt:i4>
      </vt:variant>
      <vt:variant>
        <vt:i4>5</vt:i4>
      </vt:variant>
      <vt:variant>
        <vt:lpwstr>http://buyandsell.gc.ca/policy-and-guidelines/standard-acquisition-clauses-and-conditions-manual/5/A/A0035T/4</vt:lpwstr>
      </vt:variant>
      <vt:variant>
        <vt:lpwstr/>
      </vt:variant>
      <vt:variant>
        <vt:i4>5570584</vt:i4>
      </vt:variant>
      <vt:variant>
        <vt:i4>243</vt:i4>
      </vt:variant>
      <vt:variant>
        <vt:i4>0</vt:i4>
      </vt:variant>
      <vt:variant>
        <vt:i4>5</vt:i4>
      </vt:variant>
      <vt:variant>
        <vt:lpwstr>http://buyandsell.gc.ca/policy-and-guidelines/standard-acquisition-clauses-and-conditions-manual/5/A/A0034T/4</vt:lpwstr>
      </vt:variant>
      <vt:variant>
        <vt:lpwstr/>
      </vt:variant>
      <vt:variant>
        <vt:i4>5636121</vt:i4>
      </vt:variant>
      <vt:variant>
        <vt:i4>240</vt:i4>
      </vt:variant>
      <vt:variant>
        <vt:i4>0</vt:i4>
      </vt:variant>
      <vt:variant>
        <vt:i4>5</vt:i4>
      </vt:variant>
      <vt:variant>
        <vt:lpwstr>http://buyandsell.gc.ca/policy-and-guidelines/standard-acquisition-clauses-and-conditions-manual/5/A/A0027T/2</vt:lpwstr>
      </vt:variant>
      <vt:variant>
        <vt:lpwstr/>
      </vt:variant>
      <vt:variant>
        <vt:i4>5701656</vt:i4>
      </vt:variant>
      <vt:variant>
        <vt:i4>237</vt:i4>
      </vt:variant>
      <vt:variant>
        <vt:i4>0</vt:i4>
      </vt:variant>
      <vt:variant>
        <vt:i4>5</vt:i4>
      </vt:variant>
      <vt:variant>
        <vt:lpwstr>http://buyandsell.gc.ca/policy-and-guidelines/standard-acquisition-clauses-and-conditions-manual/5/A/A0036T/4</vt:lpwstr>
      </vt:variant>
      <vt:variant>
        <vt:lpwstr/>
      </vt:variant>
      <vt:variant>
        <vt:i4>5505048</vt:i4>
      </vt:variant>
      <vt:variant>
        <vt:i4>234</vt:i4>
      </vt:variant>
      <vt:variant>
        <vt:i4>0</vt:i4>
      </vt:variant>
      <vt:variant>
        <vt:i4>5</vt:i4>
      </vt:variant>
      <vt:variant>
        <vt:lpwstr>http://buyandsell.gc.ca/policy-and-guidelines/standard-acquisition-clauses-and-conditions-manual/5/A/A0035T/4</vt:lpwstr>
      </vt:variant>
      <vt:variant>
        <vt:lpwstr/>
      </vt:variant>
      <vt:variant>
        <vt:i4>5570584</vt:i4>
      </vt:variant>
      <vt:variant>
        <vt:i4>231</vt:i4>
      </vt:variant>
      <vt:variant>
        <vt:i4>0</vt:i4>
      </vt:variant>
      <vt:variant>
        <vt:i4>5</vt:i4>
      </vt:variant>
      <vt:variant>
        <vt:lpwstr>http://buyandsell.gc.ca/policy-and-guidelines/standard-acquisition-clauses-and-conditions-manual/5/A/A0034T/4</vt:lpwstr>
      </vt:variant>
      <vt:variant>
        <vt:lpwstr/>
      </vt:variant>
      <vt:variant>
        <vt:i4>5636121</vt:i4>
      </vt:variant>
      <vt:variant>
        <vt:i4>228</vt:i4>
      </vt:variant>
      <vt:variant>
        <vt:i4>0</vt:i4>
      </vt:variant>
      <vt:variant>
        <vt:i4>5</vt:i4>
      </vt:variant>
      <vt:variant>
        <vt:lpwstr>http://buyandsell.gc.ca/policy-and-guidelines/standard-acquisition-clauses-and-conditions-manual/5/A/A0027T/2</vt:lpwstr>
      </vt:variant>
      <vt:variant>
        <vt:lpwstr/>
      </vt:variant>
      <vt:variant>
        <vt:i4>5701656</vt:i4>
      </vt:variant>
      <vt:variant>
        <vt:i4>225</vt:i4>
      </vt:variant>
      <vt:variant>
        <vt:i4>0</vt:i4>
      </vt:variant>
      <vt:variant>
        <vt:i4>5</vt:i4>
      </vt:variant>
      <vt:variant>
        <vt:lpwstr>http://buyandsell.gc.ca/policy-and-guidelines/standard-acquisition-clauses-and-conditions-manual/5/A/A0036T/4</vt:lpwstr>
      </vt:variant>
      <vt:variant>
        <vt:lpwstr/>
      </vt:variant>
      <vt:variant>
        <vt:i4>5505048</vt:i4>
      </vt:variant>
      <vt:variant>
        <vt:i4>222</vt:i4>
      </vt:variant>
      <vt:variant>
        <vt:i4>0</vt:i4>
      </vt:variant>
      <vt:variant>
        <vt:i4>5</vt:i4>
      </vt:variant>
      <vt:variant>
        <vt:lpwstr>http://buyandsell.gc.ca/policy-and-guidelines/standard-acquisition-clauses-and-conditions-manual/5/A/A0035T/4</vt:lpwstr>
      </vt:variant>
      <vt:variant>
        <vt:lpwstr/>
      </vt:variant>
      <vt:variant>
        <vt:i4>5570584</vt:i4>
      </vt:variant>
      <vt:variant>
        <vt:i4>219</vt:i4>
      </vt:variant>
      <vt:variant>
        <vt:i4>0</vt:i4>
      </vt:variant>
      <vt:variant>
        <vt:i4>5</vt:i4>
      </vt:variant>
      <vt:variant>
        <vt:lpwstr>http://buyandsell.gc.ca/policy-and-guidelines/standard-acquisition-clauses-and-conditions-manual/5/A/A0034T/4</vt:lpwstr>
      </vt:variant>
      <vt:variant>
        <vt:lpwstr/>
      </vt:variant>
      <vt:variant>
        <vt:i4>5636121</vt:i4>
      </vt:variant>
      <vt:variant>
        <vt:i4>216</vt:i4>
      </vt:variant>
      <vt:variant>
        <vt:i4>0</vt:i4>
      </vt:variant>
      <vt:variant>
        <vt:i4>5</vt:i4>
      </vt:variant>
      <vt:variant>
        <vt:lpwstr>http://buyandsell.gc.ca/policy-and-guidelines/standard-acquisition-clauses-and-conditions-manual/5/A/A0027T/2</vt:lpwstr>
      </vt:variant>
      <vt:variant>
        <vt:lpwstr/>
      </vt:variant>
      <vt:variant>
        <vt:i4>5242904</vt:i4>
      </vt:variant>
      <vt:variant>
        <vt:i4>213</vt:i4>
      </vt:variant>
      <vt:variant>
        <vt:i4>0</vt:i4>
      </vt:variant>
      <vt:variant>
        <vt:i4>5</vt:i4>
      </vt:variant>
      <vt:variant>
        <vt:lpwstr>http://buyandsell.gc.ca/policy-and-guidelines/standard-acquisition-clauses-and-conditions-manual/5/A/A0031T/6</vt:lpwstr>
      </vt:variant>
      <vt:variant>
        <vt:lpwstr/>
      </vt:variant>
      <vt:variant>
        <vt:i4>5242904</vt:i4>
      </vt:variant>
      <vt:variant>
        <vt:i4>210</vt:i4>
      </vt:variant>
      <vt:variant>
        <vt:i4>0</vt:i4>
      </vt:variant>
      <vt:variant>
        <vt:i4>5</vt:i4>
      </vt:variant>
      <vt:variant>
        <vt:lpwstr>http://buyandsell.gc.ca/policy-and-guidelines/standard-acquisition-clauses-and-conditions-manual/5/A/A0031T/6</vt:lpwstr>
      </vt:variant>
      <vt:variant>
        <vt:lpwstr/>
      </vt:variant>
      <vt:variant>
        <vt:i4>5308441</vt:i4>
      </vt:variant>
      <vt:variant>
        <vt:i4>207</vt:i4>
      </vt:variant>
      <vt:variant>
        <vt:i4>0</vt:i4>
      </vt:variant>
      <vt:variant>
        <vt:i4>5</vt:i4>
      </vt:variant>
      <vt:variant>
        <vt:lpwstr>http://buyandsell.gc.ca/policy-and-guidelines/standard-acquisition-clauses-and-conditions-manual/5/A/A0222T/3</vt:lpwstr>
      </vt:variant>
      <vt:variant>
        <vt:lpwstr/>
      </vt:variant>
      <vt:variant>
        <vt:i4>5439513</vt:i4>
      </vt:variant>
      <vt:variant>
        <vt:i4>204</vt:i4>
      </vt:variant>
      <vt:variant>
        <vt:i4>0</vt:i4>
      </vt:variant>
      <vt:variant>
        <vt:i4>5</vt:i4>
      </vt:variant>
      <vt:variant>
        <vt:lpwstr>http://buyandsell.gc.ca/policy-and-guidelines/standard-acquisition-clauses-and-conditions-manual/5/A/A0220T/6</vt:lpwstr>
      </vt:variant>
      <vt:variant>
        <vt:lpwstr/>
      </vt:variant>
      <vt:variant>
        <vt:i4>3735596</vt:i4>
      </vt:variant>
      <vt:variant>
        <vt:i4>201</vt:i4>
      </vt:variant>
      <vt:variant>
        <vt:i4>0</vt:i4>
      </vt:variant>
      <vt:variant>
        <vt:i4>5</vt:i4>
      </vt:variant>
      <vt:variant>
        <vt:lpwstr>http://buyandsell.gc.ca/policy-and-guidelines/supply-manual/section/4/35/1</vt:lpwstr>
      </vt:variant>
      <vt:variant>
        <vt:lpwstr/>
      </vt:variant>
      <vt:variant>
        <vt:i4>5963795</vt:i4>
      </vt:variant>
      <vt:variant>
        <vt:i4>198</vt:i4>
      </vt:variant>
      <vt:variant>
        <vt:i4>0</vt:i4>
      </vt:variant>
      <vt:variant>
        <vt:i4>5</vt:i4>
      </vt:variant>
      <vt:variant>
        <vt:lpwstr>https://buyandsell.gc.ca/policy-and-guidelines/standard-acquisition-clauses-and-conditions-manual/1/2003/</vt:lpwstr>
      </vt:variant>
      <vt:variant>
        <vt:lpwstr/>
      </vt:variant>
      <vt:variant>
        <vt:i4>3932204</vt:i4>
      </vt:variant>
      <vt:variant>
        <vt:i4>195</vt:i4>
      </vt:variant>
      <vt:variant>
        <vt:i4>0</vt:i4>
      </vt:variant>
      <vt:variant>
        <vt:i4>5</vt:i4>
      </vt:variant>
      <vt:variant>
        <vt:lpwstr>http://buyandsell.gc.ca/policy-and-guidelines/supply-manual/section/4/30/15</vt:lpwstr>
      </vt:variant>
      <vt:variant>
        <vt:lpwstr/>
      </vt:variant>
      <vt:variant>
        <vt:i4>65556</vt:i4>
      </vt:variant>
      <vt:variant>
        <vt:i4>192</vt:i4>
      </vt:variant>
      <vt:variant>
        <vt:i4>0</vt:i4>
      </vt:variant>
      <vt:variant>
        <vt:i4>5</vt:i4>
      </vt:variant>
      <vt:variant>
        <vt:lpwstr>https://buyandsell.gc.ca/policy-and-guidelines/standard-acquisition-clauses-and-conditions-manual/5/C/C3011T/</vt:lpwstr>
      </vt:variant>
      <vt:variant>
        <vt:lpwstr/>
      </vt:variant>
      <vt:variant>
        <vt:i4>65557</vt:i4>
      </vt:variant>
      <vt:variant>
        <vt:i4>189</vt:i4>
      </vt:variant>
      <vt:variant>
        <vt:i4>0</vt:i4>
      </vt:variant>
      <vt:variant>
        <vt:i4>5</vt:i4>
      </vt:variant>
      <vt:variant>
        <vt:lpwstr>https://buyandsell.gc.ca/policy-and-guidelines/standard-acquisition-clauses-and-conditions-manual/5/C/C3010T/</vt:lpwstr>
      </vt:variant>
      <vt:variant>
        <vt:lpwstr/>
      </vt:variant>
      <vt:variant>
        <vt:i4>524294</vt:i4>
      </vt:variant>
      <vt:variant>
        <vt:i4>186</vt:i4>
      </vt:variant>
      <vt:variant>
        <vt:i4>0</vt:i4>
      </vt:variant>
      <vt:variant>
        <vt:i4>5</vt:i4>
      </vt:variant>
      <vt:variant>
        <vt:lpwstr>http://buyandsell.gc.ca/policy-and-guidelines/supply-manual/section/4/65</vt:lpwstr>
      </vt:variant>
      <vt:variant>
        <vt:lpwstr/>
      </vt:variant>
      <vt:variant>
        <vt:i4>65556</vt:i4>
      </vt:variant>
      <vt:variant>
        <vt:i4>183</vt:i4>
      </vt:variant>
      <vt:variant>
        <vt:i4>0</vt:i4>
      </vt:variant>
      <vt:variant>
        <vt:i4>5</vt:i4>
      </vt:variant>
      <vt:variant>
        <vt:lpwstr>https://buyandsell.gc.ca/policy-and-guidelines/standard-acquisition-clauses-and-conditions-manual/5/C/C3011T/</vt:lpwstr>
      </vt:variant>
      <vt:variant>
        <vt:lpwstr/>
      </vt:variant>
      <vt:variant>
        <vt:i4>65557</vt:i4>
      </vt:variant>
      <vt:variant>
        <vt:i4>180</vt:i4>
      </vt:variant>
      <vt:variant>
        <vt:i4>0</vt:i4>
      </vt:variant>
      <vt:variant>
        <vt:i4>5</vt:i4>
      </vt:variant>
      <vt:variant>
        <vt:lpwstr>https://buyandsell.gc.ca/policy-and-guidelines/standard-acquisition-clauses-and-conditions-manual/5/C/C3010T/</vt:lpwstr>
      </vt:variant>
      <vt:variant>
        <vt:lpwstr/>
      </vt:variant>
      <vt:variant>
        <vt:i4>5636123</vt:i4>
      </vt:variant>
      <vt:variant>
        <vt:i4>177</vt:i4>
      </vt:variant>
      <vt:variant>
        <vt:i4>0</vt:i4>
      </vt:variant>
      <vt:variant>
        <vt:i4>5</vt:i4>
      </vt:variant>
      <vt:variant>
        <vt:lpwstr>http://buyandsell.gc.ca/policy-and-guidelines/standard-acquisition-clauses-and-conditions-manual/5/A/A9097T/2</vt:lpwstr>
      </vt:variant>
      <vt:variant>
        <vt:lpwstr/>
      </vt:variant>
      <vt:variant>
        <vt:i4>4915264</vt:i4>
      </vt:variant>
      <vt:variant>
        <vt:i4>174</vt:i4>
      </vt:variant>
      <vt:variant>
        <vt:i4>0</vt:i4>
      </vt:variant>
      <vt:variant>
        <vt:i4>5</vt:i4>
      </vt:variant>
      <vt:variant>
        <vt:lpwstr>http://buyandsell.gc.ca/policy-and-guidelines/standard-acquisition-clauses-and-conditions-manual</vt:lpwstr>
      </vt:variant>
      <vt:variant>
        <vt:lpwstr/>
      </vt:variant>
      <vt:variant>
        <vt:i4>5046283</vt:i4>
      </vt:variant>
      <vt:variant>
        <vt:i4>171</vt:i4>
      </vt:variant>
      <vt:variant>
        <vt:i4>0</vt:i4>
      </vt:variant>
      <vt:variant>
        <vt:i4>5</vt:i4>
      </vt:variant>
      <vt:variant>
        <vt:lpwstr>http://www.tpsgc-pwgsc.gc.ca/ecologisation-greening/achats-procurement/politique-policy-eng.html</vt:lpwstr>
      </vt:variant>
      <vt:variant>
        <vt:lpwstr/>
      </vt:variant>
      <vt:variant>
        <vt:i4>6029331</vt:i4>
      </vt:variant>
      <vt:variant>
        <vt:i4>168</vt:i4>
      </vt:variant>
      <vt:variant>
        <vt:i4>0</vt:i4>
      </vt:variant>
      <vt:variant>
        <vt:i4>5</vt:i4>
      </vt:variant>
      <vt:variant>
        <vt:lpwstr>https://buyandsell.gc.ca/policy-and-guidelines/standard-acquisition-clauses-and-conditions-manual/1/2004/</vt:lpwstr>
      </vt:variant>
      <vt:variant>
        <vt:lpwstr/>
      </vt:variant>
      <vt:variant>
        <vt:i4>5963795</vt:i4>
      </vt:variant>
      <vt:variant>
        <vt:i4>165</vt:i4>
      </vt:variant>
      <vt:variant>
        <vt:i4>0</vt:i4>
      </vt:variant>
      <vt:variant>
        <vt:i4>5</vt:i4>
      </vt:variant>
      <vt:variant>
        <vt:lpwstr>https://buyandsell.gc.ca/policy-and-guidelines/standard-acquisition-clauses-and-conditions-manual/1/2003/</vt:lpwstr>
      </vt:variant>
      <vt:variant>
        <vt:lpwstr/>
      </vt:variant>
      <vt:variant>
        <vt:i4>5439512</vt:i4>
      </vt:variant>
      <vt:variant>
        <vt:i4>162</vt:i4>
      </vt:variant>
      <vt:variant>
        <vt:i4>0</vt:i4>
      </vt:variant>
      <vt:variant>
        <vt:i4>5</vt:i4>
      </vt:variant>
      <vt:variant>
        <vt:lpwstr>http://buyandsell.gc.ca/policy-and-guidelines/standard-acquisition-clauses-and-conditions-manual/5/K/K3200T/6</vt:lpwstr>
      </vt:variant>
      <vt:variant>
        <vt:lpwstr/>
      </vt:variant>
      <vt:variant>
        <vt:i4>5308438</vt:i4>
      </vt:variant>
      <vt:variant>
        <vt:i4>159</vt:i4>
      </vt:variant>
      <vt:variant>
        <vt:i4>0</vt:i4>
      </vt:variant>
      <vt:variant>
        <vt:i4>5</vt:i4>
      </vt:variant>
      <vt:variant>
        <vt:lpwstr>http://buyandsell.gc.ca/policy-and-guidelines/standard-acquisition-clauses-and-conditions-manual/5/A/A9040T/4</vt:lpwstr>
      </vt:variant>
      <vt:variant>
        <vt:lpwstr/>
      </vt:variant>
      <vt:variant>
        <vt:i4>5308438</vt:i4>
      </vt:variant>
      <vt:variant>
        <vt:i4>156</vt:i4>
      </vt:variant>
      <vt:variant>
        <vt:i4>0</vt:i4>
      </vt:variant>
      <vt:variant>
        <vt:i4>5</vt:i4>
      </vt:variant>
      <vt:variant>
        <vt:lpwstr>http://buyandsell.gc.ca/policy-and-guidelines/standard-acquisition-clauses-and-conditions-manual/5/A/A9040T/4</vt:lpwstr>
      </vt:variant>
      <vt:variant>
        <vt:lpwstr/>
      </vt:variant>
      <vt:variant>
        <vt:i4>5832721</vt:i4>
      </vt:variant>
      <vt:variant>
        <vt:i4>153</vt:i4>
      </vt:variant>
      <vt:variant>
        <vt:i4>0</vt:i4>
      </vt:variant>
      <vt:variant>
        <vt:i4>5</vt:i4>
      </vt:variant>
      <vt:variant>
        <vt:lpwstr>http://buyandsell.gc.ca/policy-and-guidelines/standard-acquisition-clauses-and-conditions-manual/5/A/A9038T/4</vt:lpwstr>
      </vt:variant>
      <vt:variant>
        <vt:lpwstr/>
      </vt:variant>
      <vt:variant>
        <vt:i4>5373978</vt:i4>
      </vt:variant>
      <vt:variant>
        <vt:i4>150</vt:i4>
      </vt:variant>
      <vt:variant>
        <vt:i4>0</vt:i4>
      </vt:variant>
      <vt:variant>
        <vt:i4>5</vt:i4>
      </vt:variant>
      <vt:variant>
        <vt:lpwstr>http://buyandsell.gc.ca/policy-and-guidelines/standard-acquisition-clauses-and-conditions-manual/5/A/A9083T/5</vt:lpwstr>
      </vt:variant>
      <vt:variant>
        <vt:lpwstr/>
      </vt:variant>
      <vt:variant>
        <vt:i4>5701653</vt:i4>
      </vt:variant>
      <vt:variant>
        <vt:i4>147</vt:i4>
      </vt:variant>
      <vt:variant>
        <vt:i4>0</vt:i4>
      </vt:variant>
      <vt:variant>
        <vt:i4>5</vt:i4>
      </vt:variant>
      <vt:variant>
        <vt:lpwstr>http://buyandsell.gc.ca/policy-and-guidelines/standard-acquisition-clauses-and-conditions-manual/5/A/A9076T/1</vt:lpwstr>
      </vt:variant>
      <vt:variant>
        <vt:lpwstr/>
      </vt:variant>
      <vt:variant>
        <vt:i4>4915264</vt:i4>
      </vt:variant>
      <vt:variant>
        <vt:i4>144</vt:i4>
      </vt:variant>
      <vt:variant>
        <vt:i4>0</vt:i4>
      </vt:variant>
      <vt:variant>
        <vt:i4>5</vt:i4>
      </vt:variant>
      <vt:variant>
        <vt:lpwstr>http://buyandsell.gc.ca/policy-and-guidelines/standard-acquisition-clauses-and-conditions-manual</vt:lpwstr>
      </vt:variant>
      <vt:variant>
        <vt:lpwstr/>
      </vt:variant>
      <vt:variant>
        <vt:i4>5963795</vt:i4>
      </vt:variant>
      <vt:variant>
        <vt:i4>141</vt:i4>
      </vt:variant>
      <vt:variant>
        <vt:i4>0</vt:i4>
      </vt:variant>
      <vt:variant>
        <vt:i4>5</vt:i4>
      </vt:variant>
      <vt:variant>
        <vt:lpwstr>https://buyandsell.gc.ca/policy-and-guidelines/standard-acquisition-clauses-and-conditions-manual/1/2003/</vt:lpwstr>
      </vt:variant>
      <vt:variant>
        <vt:lpwstr/>
      </vt:variant>
      <vt:variant>
        <vt:i4>131091</vt:i4>
      </vt:variant>
      <vt:variant>
        <vt:i4>138</vt:i4>
      </vt:variant>
      <vt:variant>
        <vt:i4>0</vt:i4>
      </vt:variant>
      <vt:variant>
        <vt:i4>5</vt:i4>
      </vt:variant>
      <vt:variant>
        <vt:lpwstr>https://buyandsell.gc.ca/policy-and-guidelines/standard-acquisition-clauses-and-conditions-manual/5/A/A3026T/</vt:lpwstr>
      </vt:variant>
      <vt:variant>
        <vt:lpwstr/>
      </vt:variant>
      <vt:variant>
        <vt:i4>131088</vt:i4>
      </vt:variant>
      <vt:variant>
        <vt:i4>135</vt:i4>
      </vt:variant>
      <vt:variant>
        <vt:i4>0</vt:i4>
      </vt:variant>
      <vt:variant>
        <vt:i4>5</vt:i4>
      </vt:variant>
      <vt:variant>
        <vt:lpwstr>https://buyandsell.gc.ca/policy-and-guidelines/standard-acquisition-clauses-and-conditions-manual/5/A/A3025T/</vt:lpwstr>
      </vt:variant>
      <vt:variant>
        <vt:lpwstr/>
      </vt:variant>
      <vt:variant>
        <vt:i4>4915264</vt:i4>
      </vt:variant>
      <vt:variant>
        <vt:i4>132</vt:i4>
      </vt:variant>
      <vt:variant>
        <vt:i4>0</vt:i4>
      </vt:variant>
      <vt:variant>
        <vt:i4>5</vt:i4>
      </vt:variant>
      <vt:variant>
        <vt:lpwstr>http://buyandsell.gc.ca/policy-and-guidelines/standard-acquisition-clauses-and-conditions-manual</vt:lpwstr>
      </vt:variant>
      <vt:variant>
        <vt:lpwstr/>
      </vt:variant>
      <vt:variant>
        <vt:i4>5963795</vt:i4>
      </vt:variant>
      <vt:variant>
        <vt:i4>129</vt:i4>
      </vt:variant>
      <vt:variant>
        <vt:i4>0</vt:i4>
      </vt:variant>
      <vt:variant>
        <vt:i4>5</vt:i4>
      </vt:variant>
      <vt:variant>
        <vt:lpwstr>https://buyandsell.gc.ca/policy-and-guidelines/standard-acquisition-clauses-and-conditions-manual/1/2003/</vt:lpwstr>
      </vt:variant>
      <vt:variant>
        <vt:lpwstr/>
      </vt:variant>
      <vt:variant>
        <vt:i4>5308440</vt:i4>
      </vt:variant>
      <vt:variant>
        <vt:i4>126</vt:i4>
      </vt:variant>
      <vt:variant>
        <vt:i4>0</vt:i4>
      </vt:variant>
      <vt:variant>
        <vt:i4>5</vt:i4>
      </vt:variant>
      <vt:variant>
        <vt:lpwstr>http://buyandsell.gc.ca/policy-and-guidelines/standard-acquisition-clauses-and-conditions-manual/5/B/B3000T/5</vt:lpwstr>
      </vt:variant>
      <vt:variant>
        <vt:lpwstr/>
      </vt:variant>
      <vt:variant>
        <vt:i4>5570589</vt:i4>
      </vt:variant>
      <vt:variant>
        <vt:i4>123</vt:i4>
      </vt:variant>
      <vt:variant>
        <vt:i4>0</vt:i4>
      </vt:variant>
      <vt:variant>
        <vt:i4>5</vt:i4>
      </vt:variant>
      <vt:variant>
        <vt:lpwstr>http://buyandsell.gc.ca/policy-and-guidelines/standard-acquisition-clauses-and-conditions-manual/5/B/B4024T/4</vt:lpwstr>
      </vt:variant>
      <vt:variant>
        <vt:lpwstr/>
      </vt:variant>
      <vt:variant>
        <vt:i4>4915264</vt:i4>
      </vt:variant>
      <vt:variant>
        <vt:i4>120</vt:i4>
      </vt:variant>
      <vt:variant>
        <vt:i4>0</vt:i4>
      </vt:variant>
      <vt:variant>
        <vt:i4>5</vt:i4>
      </vt:variant>
      <vt:variant>
        <vt:lpwstr>http://buyandsell.gc.ca/policy-and-guidelines/standard-acquisition-clauses-and-conditions-manual</vt:lpwstr>
      </vt:variant>
      <vt:variant>
        <vt:lpwstr/>
      </vt:variant>
      <vt:variant>
        <vt:i4>7995506</vt:i4>
      </vt:variant>
      <vt:variant>
        <vt:i4>117</vt:i4>
      </vt:variant>
      <vt:variant>
        <vt:i4>0</vt:i4>
      </vt:variant>
      <vt:variant>
        <vt:i4>5</vt:i4>
      </vt:variant>
      <vt:variant>
        <vt:lpwstr>http://buyandsell.gc.ca/policy-and-guidelines/standard-acquisition-clauses-and-conditions-manual/1/2003-1/1</vt:lpwstr>
      </vt:variant>
      <vt:variant>
        <vt:lpwstr/>
      </vt:variant>
      <vt:variant>
        <vt:i4>6357106</vt:i4>
      </vt:variant>
      <vt:variant>
        <vt:i4>114</vt:i4>
      </vt:variant>
      <vt:variant>
        <vt:i4>0</vt:i4>
      </vt:variant>
      <vt:variant>
        <vt:i4>5</vt:i4>
      </vt:variant>
      <vt:variant>
        <vt:lpwstr>http://buyandsell.gc.ca/policy-and-guidelines/standard-acquisition-clauses-and-conditions-manual/1/2003/16</vt:lpwstr>
      </vt:variant>
      <vt:variant>
        <vt:lpwstr/>
      </vt:variant>
      <vt:variant>
        <vt:i4>7995506</vt:i4>
      </vt:variant>
      <vt:variant>
        <vt:i4>111</vt:i4>
      </vt:variant>
      <vt:variant>
        <vt:i4>0</vt:i4>
      </vt:variant>
      <vt:variant>
        <vt:i4>5</vt:i4>
      </vt:variant>
      <vt:variant>
        <vt:lpwstr>http://buyandsell.gc.ca/policy-and-guidelines/standard-acquisition-clauses-and-conditions-manual/1/2003-1/1</vt:lpwstr>
      </vt:variant>
      <vt:variant>
        <vt:lpwstr/>
      </vt:variant>
      <vt:variant>
        <vt:i4>5963795</vt:i4>
      </vt:variant>
      <vt:variant>
        <vt:i4>108</vt:i4>
      </vt:variant>
      <vt:variant>
        <vt:i4>0</vt:i4>
      </vt:variant>
      <vt:variant>
        <vt:i4>5</vt:i4>
      </vt:variant>
      <vt:variant>
        <vt:lpwstr>https://buyandsell.gc.ca/policy-and-guidelines/standard-acquisition-clauses-and-conditions-manual/1/2003/</vt:lpwstr>
      </vt:variant>
      <vt:variant>
        <vt:lpwstr/>
      </vt:variant>
      <vt:variant>
        <vt:i4>5963795</vt:i4>
      </vt:variant>
      <vt:variant>
        <vt:i4>105</vt:i4>
      </vt:variant>
      <vt:variant>
        <vt:i4>0</vt:i4>
      </vt:variant>
      <vt:variant>
        <vt:i4>5</vt:i4>
      </vt:variant>
      <vt:variant>
        <vt:lpwstr>https://buyandsell.gc.ca/policy-and-guidelines/standard-acquisition-clauses-and-conditions-manual/1/2003/</vt:lpwstr>
      </vt:variant>
      <vt:variant>
        <vt:lpwstr/>
      </vt:variant>
      <vt:variant>
        <vt:i4>1310727</vt:i4>
      </vt:variant>
      <vt:variant>
        <vt:i4>102</vt:i4>
      </vt:variant>
      <vt:variant>
        <vt:i4>0</vt:i4>
      </vt:variant>
      <vt:variant>
        <vt:i4>5</vt:i4>
      </vt:variant>
      <vt:variant>
        <vt:lpwstr>http://www.tpsgc-pwgsc.gc.ca/app-acq/forms/formulaires-forms-eng.html</vt:lpwstr>
      </vt:variant>
      <vt:variant>
        <vt:lpwstr/>
      </vt:variant>
      <vt:variant>
        <vt:i4>6029331</vt:i4>
      </vt:variant>
      <vt:variant>
        <vt:i4>99</vt:i4>
      </vt:variant>
      <vt:variant>
        <vt:i4>0</vt:i4>
      </vt:variant>
      <vt:variant>
        <vt:i4>5</vt:i4>
      </vt:variant>
      <vt:variant>
        <vt:lpwstr>https://buyandsell.gc.ca/policy-and-guidelines/standard-acquisition-clauses-and-conditions-manual/1/2004/</vt:lpwstr>
      </vt:variant>
      <vt:variant>
        <vt:lpwstr/>
      </vt:variant>
      <vt:variant>
        <vt:i4>5963795</vt:i4>
      </vt:variant>
      <vt:variant>
        <vt:i4>96</vt:i4>
      </vt:variant>
      <vt:variant>
        <vt:i4>0</vt:i4>
      </vt:variant>
      <vt:variant>
        <vt:i4>5</vt:i4>
      </vt:variant>
      <vt:variant>
        <vt:lpwstr>https://buyandsell.gc.ca/policy-and-guidelines/standard-acquisition-clauses-and-conditions-manual/1/2003/</vt:lpwstr>
      </vt:variant>
      <vt:variant>
        <vt:lpwstr/>
      </vt:variant>
      <vt:variant>
        <vt:i4>6029331</vt:i4>
      </vt:variant>
      <vt:variant>
        <vt:i4>93</vt:i4>
      </vt:variant>
      <vt:variant>
        <vt:i4>0</vt:i4>
      </vt:variant>
      <vt:variant>
        <vt:i4>5</vt:i4>
      </vt:variant>
      <vt:variant>
        <vt:lpwstr>https://buyandsell.gc.ca/policy-and-guidelines/standard-acquisition-clauses-and-conditions-manual/1/2004/</vt:lpwstr>
      </vt:variant>
      <vt:variant>
        <vt:lpwstr/>
      </vt:variant>
      <vt:variant>
        <vt:i4>5963795</vt:i4>
      </vt:variant>
      <vt:variant>
        <vt:i4>90</vt:i4>
      </vt:variant>
      <vt:variant>
        <vt:i4>0</vt:i4>
      </vt:variant>
      <vt:variant>
        <vt:i4>5</vt:i4>
      </vt:variant>
      <vt:variant>
        <vt:lpwstr>https://buyandsell.gc.ca/policy-and-guidelines/standard-acquisition-clauses-and-conditions-manual/1/2003/</vt:lpwstr>
      </vt:variant>
      <vt:variant>
        <vt:lpwstr/>
      </vt:variant>
      <vt:variant>
        <vt:i4>6029331</vt:i4>
      </vt:variant>
      <vt:variant>
        <vt:i4>87</vt:i4>
      </vt:variant>
      <vt:variant>
        <vt:i4>0</vt:i4>
      </vt:variant>
      <vt:variant>
        <vt:i4>5</vt:i4>
      </vt:variant>
      <vt:variant>
        <vt:lpwstr>https://buyandsell.gc.ca/policy-and-guidelines/standard-acquisition-clauses-and-conditions-manual/1/2004/</vt:lpwstr>
      </vt:variant>
      <vt:variant>
        <vt:lpwstr/>
      </vt:variant>
      <vt:variant>
        <vt:i4>5963795</vt:i4>
      </vt:variant>
      <vt:variant>
        <vt:i4>84</vt:i4>
      </vt:variant>
      <vt:variant>
        <vt:i4>0</vt:i4>
      </vt:variant>
      <vt:variant>
        <vt:i4>5</vt:i4>
      </vt:variant>
      <vt:variant>
        <vt:lpwstr>https://buyandsell.gc.ca/policy-and-guidelines/standard-acquisition-clauses-and-conditions-manual/1/2003/</vt:lpwstr>
      </vt:variant>
      <vt:variant>
        <vt:lpwstr/>
      </vt:variant>
      <vt:variant>
        <vt:i4>6029331</vt:i4>
      </vt:variant>
      <vt:variant>
        <vt:i4>81</vt:i4>
      </vt:variant>
      <vt:variant>
        <vt:i4>0</vt:i4>
      </vt:variant>
      <vt:variant>
        <vt:i4>5</vt:i4>
      </vt:variant>
      <vt:variant>
        <vt:lpwstr>https://buyandsell.gc.ca/policy-and-guidelines/standard-acquisition-clauses-and-conditions-manual/1/2004/</vt:lpwstr>
      </vt:variant>
      <vt:variant>
        <vt:lpwstr/>
      </vt:variant>
      <vt:variant>
        <vt:i4>5963795</vt:i4>
      </vt:variant>
      <vt:variant>
        <vt:i4>78</vt:i4>
      </vt:variant>
      <vt:variant>
        <vt:i4>0</vt:i4>
      </vt:variant>
      <vt:variant>
        <vt:i4>5</vt:i4>
      </vt:variant>
      <vt:variant>
        <vt:lpwstr>https://buyandsell.gc.ca/policy-and-guidelines/standard-acquisition-clauses-and-conditions-manual/1/2003/</vt:lpwstr>
      </vt:variant>
      <vt:variant>
        <vt:lpwstr/>
      </vt:variant>
      <vt:variant>
        <vt:i4>5767244</vt:i4>
      </vt:variant>
      <vt:variant>
        <vt:i4>75</vt:i4>
      </vt:variant>
      <vt:variant>
        <vt:i4>0</vt:i4>
      </vt:variant>
      <vt:variant>
        <vt:i4>5</vt:i4>
      </vt:variant>
      <vt:variant>
        <vt:lpwstr>https://buyandsell.gc.ca/policy-and-guidelines/standard-acquisition-clauses-and-conditions-manual</vt:lpwstr>
      </vt:variant>
      <vt:variant>
        <vt:lpwstr/>
      </vt:variant>
      <vt:variant>
        <vt:i4>524295</vt:i4>
      </vt:variant>
      <vt:variant>
        <vt:i4>72</vt:i4>
      </vt:variant>
      <vt:variant>
        <vt:i4>0</vt:i4>
      </vt:variant>
      <vt:variant>
        <vt:i4>5</vt:i4>
      </vt:variant>
      <vt:variant>
        <vt:lpwstr>http://buyandsell.gc.ca/policy-and-guidelines/supply-manual/section/7/45</vt:lpwstr>
      </vt:variant>
      <vt:variant>
        <vt:lpwstr/>
      </vt:variant>
      <vt:variant>
        <vt:i4>851975</vt:i4>
      </vt:variant>
      <vt:variant>
        <vt:i4>69</vt:i4>
      </vt:variant>
      <vt:variant>
        <vt:i4>0</vt:i4>
      </vt:variant>
      <vt:variant>
        <vt:i4>5</vt:i4>
      </vt:variant>
      <vt:variant>
        <vt:lpwstr>http://buyandsell.gc.ca/policy-and-guidelines/supply-manual/section/7/40</vt:lpwstr>
      </vt:variant>
      <vt:variant>
        <vt:lpwstr/>
      </vt:variant>
      <vt:variant>
        <vt:i4>524288</vt:i4>
      </vt:variant>
      <vt:variant>
        <vt:i4>66</vt:i4>
      </vt:variant>
      <vt:variant>
        <vt:i4>0</vt:i4>
      </vt:variant>
      <vt:variant>
        <vt:i4>5</vt:i4>
      </vt:variant>
      <vt:variant>
        <vt:lpwstr>http://buyandsell.gc.ca/policy-and-guidelines/supply-manual/section/7/35</vt:lpwstr>
      </vt:variant>
      <vt:variant>
        <vt:lpwstr/>
      </vt:variant>
      <vt:variant>
        <vt:i4>8192122</vt:i4>
      </vt:variant>
      <vt:variant>
        <vt:i4>63</vt:i4>
      </vt:variant>
      <vt:variant>
        <vt:i4>0</vt:i4>
      </vt:variant>
      <vt:variant>
        <vt:i4>5</vt:i4>
      </vt:variant>
      <vt:variant>
        <vt:lpwstr/>
      </vt:variant>
      <vt:variant>
        <vt:lpwstr>Body:Federal Contractors Program Certification1</vt:lpwstr>
      </vt:variant>
      <vt:variant>
        <vt:i4>7405603</vt:i4>
      </vt:variant>
      <vt:variant>
        <vt:i4>60</vt:i4>
      </vt:variant>
      <vt:variant>
        <vt:i4>0</vt:i4>
      </vt:variant>
      <vt:variant>
        <vt:i4>5</vt:i4>
      </vt:variant>
      <vt:variant>
        <vt:lpwstr>https://buyandsell.gc.ca/policy-and-guidelines/supply-manual/annex/9/4</vt:lpwstr>
      </vt:variant>
      <vt:variant>
        <vt:lpwstr/>
      </vt:variant>
      <vt:variant>
        <vt:i4>5767197</vt:i4>
      </vt:variant>
      <vt:variant>
        <vt:i4>57</vt:i4>
      </vt:variant>
      <vt:variant>
        <vt:i4>0</vt:i4>
      </vt:variant>
      <vt:variant>
        <vt:i4>5</vt:i4>
      </vt:variant>
      <vt:variant>
        <vt:lpwstr>http://buyandsell.gc.ca/policy-and-guidelines/standard-acquisition-clauses-and-conditions-manual/5/A/A3059T/2</vt:lpwstr>
      </vt:variant>
      <vt:variant>
        <vt:lpwstr/>
      </vt:variant>
      <vt:variant>
        <vt:i4>5701661</vt:i4>
      </vt:variant>
      <vt:variant>
        <vt:i4>54</vt:i4>
      </vt:variant>
      <vt:variant>
        <vt:i4>0</vt:i4>
      </vt:variant>
      <vt:variant>
        <vt:i4>5</vt:i4>
      </vt:variant>
      <vt:variant>
        <vt:lpwstr>http://buyandsell.gc.ca/policy-and-guidelines/standard-acquisition-clauses-and-conditions-manual/5/A/A3056T/3</vt:lpwstr>
      </vt:variant>
      <vt:variant>
        <vt:lpwstr/>
      </vt:variant>
      <vt:variant>
        <vt:i4>5505053</vt:i4>
      </vt:variant>
      <vt:variant>
        <vt:i4>51</vt:i4>
      </vt:variant>
      <vt:variant>
        <vt:i4>0</vt:i4>
      </vt:variant>
      <vt:variant>
        <vt:i4>5</vt:i4>
      </vt:variant>
      <vt:variant>
        <vt:lpwstr>http://buyandsell.gc.ca/policy-and-guidelines/standard-acquisition-clauses-and-conditions-manual/5/A/A3055T/2</vt:lpwstr>
      </vt:variant>
      <vt:variant>
        <vt:lpwstr/>
      </vt:variant>
      <vt:variant>
        <vt:i4>5373981</vt:i4>
      </vt:variant>
      <vt:variant>
        <vt:i4>48</vt:i4>
      </vt:variant>
      <vt:variant>
        <vt:i4>0</vt:i4>
      </vt:variant>
      <vt:variant>
        <vt:i4>5</vt:i4>
      </vt:variant>
      <vt:variant>
        <vt:lpwstr>http://buyandsell.gc.ca/policy-and-guidelines/standard-acquisition-clauses-and-conditions-manual/5/A/A3053T/2</vt:lpwstr>
      </vt:variant>
      <vt:variant>
        <vt:lpwstr/>
      </vt:variant>
      <vt:variant>
        <vt:i4>5439517</vt:i4>
      </vt:variant>
      <vt:variant>
        <vt:i4>45</vt:i4>
      </vt:variant>
      <vt:variant>
        <vt:i4>0</vt:i4>
      </vt:variant>
      <vt:variant>
        <vt:i4>5</vt:i4>
      </vt:variant>
      <vt:variant>
        <vt:lpwstr>http://buyandsell.gc.ca/policy-and-guidelines/standard-acquisition-clauses-and-conditions-manual/5/A/A3052T/2</vt:lpwstr>
      </vt:variant>
      <vt:variant>
        <vt:lpwstr/>
      </vt:variant>
      <vt:variant>
        <vt:i4>5242909</vt:i4>
      </vt:variant>
      <vt:variant>
        <vt:i4>42</vt:i4>
      </vt:variant>
      <vt:variant>
        <vt:i4>0</vt:i4>
      </vt:variant>
      <vt:variant>
        <vt:i4>5</vt:i4>
      </vt:variant>
      <vt:variant>
        <vt:lpwstr>http://buyandsell.gc.ca/policy-and-guidelines/standard-acquisition-clauses-and-conditions-manual/5/A/A3051T/2</vt:lpwstr>
      </vt:variant>
      <vt:variant>
        <vt:lpwstr/>
      </vt:variant>
      <vt:variant>
        <vt:i4>5308447</vt:i4>
      </vt:variant>
      <vt:variant>
        <vt:i4>39</vt:i4>
      </vt:variant>
      <vt:variant>
        <vt:i4>0</vt:i4>
      </vt:variant>
      <vt:variant>
        <vt:i4>5</vt:i4>
      </vt:variant>
      <vt:variant>
        <vt:lpwstr>http://buyandsell.gc.ca/policy-and-guidelines/standard-acquisition-clauses-and-conditions-manual/5/A/A3070T/1</vt:lpwstr>
      </vt:variant>
      <vt:variant>
        <vt:lpwstr/>
      </vt:variant>
      <vt:variant>
        <vt:i4>5767198</vt:i4>
      </vt:variant>
      <vt:variant>
        <vt:i4>36</vt:i4>
      </vt:variant>
      <vt:variant>
        <vt:i4>0</vt:i4>
      </vt:variant>
      <vt:variant>
        <vt:i4>5</vt:i4>
      </vt:variant>
      <vt:variant>
        <vt:lpwstr>http://buyandsell.gc.ca/policy-and-guidelines/standard-acquisition-clauses-and-conditions-manual/5/A/A3069T/2</vt:lpwstr>
      </vt:variant>
      <vt:variant>
        <vt:lpwstr/>
      </vt:variant>
      <vt:variant>
        <vt:i4>5701662</vt:i4>
      </vt:variant>
      <vt:variant>
        <vt:i4>33</vt:i4>
      </vt:variant>
      <vt:variant>
        <vt:i4>0</vt:i4>
      </vt:variant>
      <vt:variant>
        <vt:i4>5</vt:i4>
      </vt:variant>
      <vt:variant>
        <vt:lpwstr>http://buyandsell.gc.ca/policy-and-guidelines/standard-acquisition-clauses-and-conditions-manual/5/A/A3066T/2</vt:lpwstr>
      </vt:variant>
      <vt:variant>
        <vt:lpwstr/>
      </vt:variant>
      <vt:variant>
        <vt:i4>5505054</vt:i4>
      </vt:variant>
      <vt:variant>
        <vt:i4>30</vt:i4>
      </vt:variant>
      <vt:variant>
        <vt:i4>0</vt:i4>
      </vt:variant>
      <vt:variant>
        <vt:i4>5</vt:i4>
      </vt:variant>
      <vt:variant>
        <vt:lpwstr>http://buyandsell.gc.ca/policy-and-guidelines/standard-acquisition-clauses-and-conditions-manual/5/A/A3065T/2</vt:lpwstr>
      </vt:variant>
      <vt:variant>
        <vt:lpwstr/>
      </vt:variant>
      <vt:variant>
        <vt:i4>5373982</vt:i4>
      </vt:variant>
      <vt:variant>
        <vt:i4>27</vt:i4>
      </vt:variant>
      <vt:variant>
        <vt:i4>0</vt:i4>
      </vt:variant>
      <vt:variant>
        <vt:i4>5</vt:i4>
      </vt:variant>
      <vt:variant>
        <vt:lpwstr>http://buyandsell.gc.ca/policy-and-guidelines/standard-acquisition-clauses-and-conditions-manual/5/A/A3063T/2</vt:lpwstr>
      </vt:variant>
      <vt:variant>
        <vt:lpwstr/>
      </vt:variant>
      <vt:variant>
        <vt:i4>5439518</vt:i4>
      </vt:variant>
      <vt:variant>
        <vt:i4>24</vt:i4>
      </vt:variant>
      <vt:variant>
        <vt:i4>0</vt:i4>
      </vt:variant>
      <vt:variant>
        <vt:i4>5</vt:i4>
      </vt:variant>
      <vt:variant>
        <vt:lpwstr>http://buyandsell.gc.ca/policy-and-guidelines/standard-acquisition-clauses-and-conditions-manual/5/A/A3062T/1</vt:lpwstr>
      </vt:variant>
      <vt:variant>
        <vt:lpwstr/>
      </vt:variant>
      <vt:variant>
        <vt:i4>5242910</vt:i4>
      </vt:variant>
      <vt:variant>
        <vt:i4>21</vt:i4>
      </vt:variant>
      <vt:variant>
        <vt:i4>0</vt:i4>
      </vt:variant>
      <vt:variant>
        <vt:i4>5</vt:i4>
      </vt:variant>
      <vt:variant>
        <vt:lpwstr>http://buyandsell.gc.ca/policy-and-guidelines/standard-acquisition-clauses-and-conditions-manual/5/A/A3061T/2</vt:lpwstr>
      </vt:variant>
      <vt:variant>
        <vt:lpwstr/>
      </vt:variant>
      <vt:variant>
        <vt:i4>6029331</vt:i4>
      </vt:variant>
      <vt:variant>
        <vt:i4>18</vt:i4>
      </vt:variant>
      <vt:variant>
        <vt:i4>0</vt:i4>
      </vt:variant>
      <vt:variant>
        <vt:i4>5</vt:i4>
      </vt:variant>
      <vt:variant>
        <vt:lpwstr>https://buyandsell.gc.ca/policy-and-guidelines/standard-acquisition-clauses-and-conditions-manual/1/2004/</vt:lpwstr>
      </vt:variant>
      <vt:variant>
        <vt:lpwstr/>
      </vt:variant>
      <vt:variant>
        <vt:i4>5963795</vt:i4>
      </vt:variant>
      <vt:variant>
        <vt:i4>15</vt:i4>
      </vt:variant>
      <vt:variant>
        <vt:i4>0</vt:i4>
      </vt:variant>
      <vt:variant>
        <vt:i4>5</vt:i4>
      </vt:variant>
      <vt:variant>
        <vt:lpwstr>https://buyandsell.gc.ca/policy-and-guidelines/standard-acquisition-clauses-and-conditions-manual/1/2003/</vt:lpwstr>
      </vt:variant>
      <vt:variant>
        <vt:lpwstr/>
      </vt:variant>
      <vt:variant>
        <vt:i4>6357031</vt:i4>
      </vt:variant>
      <vt:variant>
        <vt:i4>12</vt:i4>
      </vt:variant>
      <vt:variant>
        <vt:i4>0</vt:i4>
      </vt:variant>
      <vt:variant>
        <vt:i4>5</vt:i4>
      </vt:variant>
      <vt:variant>
        <vt:lpwstr>http://ssi-iss.tpsgc-pwgsc.gc.ca/index-eng.html</vt:lpwstr>
      </vt:variant>
      <vt:variant>
        <vt:lpwstr/>
      </vt:variant>
      <vt:variant>
        <vt:i4>196695</vt:i4>
      </vt:variant>
      <vt:variant>
        <vt:i4>9</vt:i4>
      </vt:variant>
      <vt:variant>
        <vt:i4>0</vt:i4>
      </vt:variant>
      <vt:variant>
        <vt:i4>5</vt:i4>
      </vt:variant>
      <vt:variant>
        <vt:lpwstr>https://buyandsell.gc.ca/policy-and-guidelines/supply-manual/section/1/10/10</vt:lpwstr>
      </vt:variant>
      <vt:variant>
        <vt:lpwstr/>
      </vt:variant>
      <vt:variant>
        <vt:i4>3539043</vt:i4>
      </vt:variant>
      <vt:variant>
        <vt:i4>6</vt:i4>
      </vt:variant>
      <vt:variant>
        <vt:i4>0</vt:i4>
      </vt:variant>
      <vt:variant>
        <vt:i4>5</vt:i4>
      </vt:variant>
      <vt:variant>
        <vt:lpwstr>https://buyandsell.gc.ca/policy-and-guidelines/supply-manual/section/4/15/1</vt:lpwstr>
      </vt:variant>
      <vt:variant>
        <vt:lpwstr/>
      </vt:variant>
      <vt:variant>
        <vt:i4>1638486</vt:i4>
      </vt:variant>
      <vt:variant>
        <vt:i4>3</vt:i4>
      </vt:variant>
      <vt:variant>
        <vt:i4>0</vt:i4>
      </vt:variant>
      <vt:variant>
        <vt:i4>5</vt:i4>
      </vt:variant>
      <vt:variant>
        <vt:lpwstr>https://buyandsell.gc.ca/policy-and-guidelines/supply-manual/section/4/10</vt:lpwstr>
      </vt:variant>
      <vt:variant>
        <vt:lpwstr/>
      </vt:variant>
      <vt:variant>
        <vt:i4>6225955</vt:i4>
      </vt:variant>
      <vt:variant>
        <vt:i4>0</vt:i4>
      </vt:variant>
      <vt:variant>
        <vt:i4>0</vt:i4>
      </vt:variant>
      <vt:variant>
        <vt:i4>5</vt:i4>
      </vt:variant>
      <vt:variant>
        <vt:lpwstr>http://www.gcpedia.gc.ca/wiki/Procurement_community/Tools/Solicitation_and_contract_templates/PWGSC_Standard_Procurement_Templates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2014</dc:title>
  <dc:creator>PWGSC-TPSGC</dc:creator>
  <cp:lastModifiedBy>Kozak, Tammy (SPAC/PSPC)</cp:lastModifiedBy>
  <cp:revision>2</cp:revision>
  <cp:lastPrinted>2022-12-14T19:42:00Z</cp:lastPrinted>
  <dcterms:created xsi:type="dcterms:W3CDTF">2023-12-18T14:16:00Z</dcterms:created>
  <dcterms:modified xsi:type="dcterms:W3CDTF">2023-12-18T14:16:00Z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che_id">
    <vt:lpwstr>3jfi1t5m.vsy</vt:lpwstr>
  </property>
  <property fmtid="{D5CDD505-2E9C-101B-9397-08002B2CF9AE}" pid="3" name="MSIP_Label_834ed4f5-eae4-40c7-82be-b1cdf720a1b9_Enabled">
    <vt:lpwstr>true</vt:lpwstr>
  </property>
  <property fmtid="{D5CDD505-2E9C-101B-9397-08002B2CF9AE}" pid="4" name="MSIP_Label_834ed4f5-eae4-40c7-82be-b1cdf720a1b9_SetDate">
    <vt:lpwstr>2023-11-03T14:51:14Z</vt:lpwstr>
  </property>
  <property fmtid="{D5CDD505-2E9C-101B-9397-08002B2CF9AE}" pid="5" name="MSIP_Label_834ed4f5-eae4-40c7-82be-b1cdf720a1b9_Method">
    <vt:lpwstr>Standard</vt:lpwstr>
  </property>
  <property fmtid="{D5CDD505-2E9C-101B-9397-08002B2CF9AE}" pid="6" name="MSIP_Label_834ed4f5-eae4-40c7-82be-b1cdf720a1b9_Name">
    <vt:lpwstr>Unclassified - Non classifié</vt:lpwstr>
  </property>
  <property fmtid="{D5CDD505-2E9C-101B-9397-08002B2CF9AE}" pid="7" name="MSIP_Label_834ed4f5-eae4-40c7-82be-b1cdf720a1b9_SiteId">
    <vt:lpwstr>e0d54a3c-7bbe-4a64-9d46-f9f84a41c833</vt:lpwstr>
  </property>
  <property fmtid="{D5CDD505-2E9C-101B-9397-08002B2CF9AE}" pid="8" name="MSIP_Label_834ed4f5-eae4-40c7-82be-b1cdf720a1b9_ActionId">
    <vt:lpwstr>85c9dc52-a654-42ba-9615-f4d3d610ab14</vt:lpwstr>
  </property>
  <property fmtid="{D5CDD505-2E9C-101B-9397-08002B2CF9AE}" pid="9" name="MSIP_Label_834ed4f5-eae4-40c7-82be-b1cdf720a1b9_ContentBits">
    <vt:lpwstr>0</vt:lpwstr>
  </property>
  <property fmtid="{D5CDD505-2E9C-101B-9397-08002B2CF9AE}" pid="10" name="_AdHocReviewCycleID">
    <vt:i4>1055254558</vt:i4>
  </property>
  <property fmtid="{D5CDD505-2E9C-101B-9397-08002B2CF9AE}" pid="11" name="_NewReviewCycle">
    <vt:lpwstr/>
  </property>
  <property fmtid="{D5CDD505-2E9C-101B-9397-08002B2CF9AE}" pid="12" name="_EmailSubject">
    <vt:lpwstr>Submitting Requirements to PSPC - Comments by Nov 6 please</vt:lpwstr>
  </property>
  <property fmtid="{D5CDD505-2E9C-101B-9397-08002B2CF9AE}" pid="13" name="_AuthorEmail">
    <vt:lpwstr>Erin.Kaiser@tpsgc-pwgsc.gc.ca</vt:lpwstr>
  </property>
  <property fmtid="{D5CDD505-2E9C-101B-9397-08002B2CF9AE}" pid="14" name="_AuthorEmailDisplayName">
    <vt:lpwstr>Kaiser, Erin (SPAC/PSPC) (elle-la / she-her)</vt:lpwstr>
  </property>
  <property fmtid="{D5CDD505-2E9C-101B-9397-08002B2CF9AE}" pid="15" name="_ReviewingToolsShownOnce">
    <vt:lpwstr/>
  </property>
</Properties>
</file>