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218" w:rsidRPr="006414FC" w:rsidRDefault="009F1218" w:rsidP="00AD2478">
      <w:pPr>
        <w:rPr>
          <w:rFonts w:cs="Arial"/>
          <w:b/>
        </w:rPr>
      </w:pPr>
      <w:r>
        <w:rPr>
          <w:b/>
        </w:rPr>
        <w:t>Contexte – Un partenariat novateur de formation horizontale</w:t>
      </w:r>
    </w:p>
    <w:p w:rsidR="009F1218" w:rsidRPr="006414FC" w:rsidRDefault="009F1218" w:rsidP="00AD2478">
      <w:pPr>
        <w:rPr>
          <w:rFonts w:cs="Arial"/>
        </w:rPr>
      </w:pPr>
    </w:p>
    <w:p w:rsidR="00C27ECC" w:rsidRDefault="00A524EE" w:rsidP="00633D9A">
      <w:pPr>
        <w:jc w:val="both"/>
        <w:rPr>
          <w:rFonts w:cs="Arial"/>
        </w:rPr>
      </w:pPr>
      <w:r>
        <w:t xml:space="preserve">Le Comité de coordination de l’évaluation du renseignement (CCER) du SMA a lancé le Programme d’apprentissage des analystes du renseignement (PAAR) comme partenariat de formation horizontale en 2006. Ses objectifs sont d’augmenter les ressources pour la formation, de faire la promotion des pratiques exemplaires en matière d’analyse du renseignement, et de renforcer la collectivité au moyen d’une formation intégrée, collaborative et rentable. Ce programme, qui repose sur un ensemble de compétences d’analyse approuvées par le CCER du SMA en 2009, est unique au Canada. </w:t>
      </w:r>
    </w:p>
    <w:p w:rsidR="008A2286" w:rsidRPr="006414FC" w:rsidRDefault="008A2286" w:rsidP="00633D9A">
      <w:pPr>
        <w:jc w:val="both"/>
        <w:rPr>
          <w:rFonts w:cs="Arial"/>
        </w:rPr>
      </w:pPr>
    </w:p>
    <w:p w:rsidR="00AD2478" w:rsidRPr="006414FC" w:rsidRDefault="00E854B7" w:rsidP="00633D9A">
      <w:pPr>
        <w:jc w:val="both"/>
        <w:rPr>
          <w:rFonts w:cs="Arial"/>
        </w:rPr>
      </w:pPr>
      <w:r>
        <w:t xml:space="preserve">Le PAAR, qui a commencé par son cours de base phare donné par un membre du personnel à quelques douzaines d’étudiants chaque année, a connu un essor rapide et naturel. </w:t>
      </w:r>
      <w:r w:rsidR="00B66A02" w:rsidRPr="00B66A02">
        <w:t>Au cours d</w:t>
      </w:r>
      <w:r w:rsidR="00A7714D">
        <w:t>e l’</w:t>
      </w:r>
      <w:r w:rsidR="00B66A02" w:rsidRPr="00B66A02">
        <w:t xml:space="preserve">année </w:t>
      </w:r>
      <w:r w:rsidR="00A7714D">
        <w:t>2021</w:t>
      </w:r>
      <w:r w:rsidR="00B66A02" w:rsidRPr="00B66A02">
        <w:t>-2</w:t>
      </w:r>
      <w:r w:rsidR="00A7714D">
        <w:t>2</w:t>
      </w:r>
      <w:r w:rsidR="00B66A02" w:rsidRPr="00B66A02">
        <w:t>), le programme propose un programme de 2</w:t>
      </w:r>
      <w:r w:rsidR="00A7714D">
        <w:t>3</w:t>
      </w:r>
      <w:r w:rsidR="00B66A02" w:rsidRPr="00B66A02">
        <w:t xml:space="preserve"> cours, formant plus de 1</w:t>
      </w:r>
      <w:r w:rsidR="00EF2BD5">
        <w:t>2</w:t>
      </w:r>
      <w:r w:rsidR="00B66A02" w:rsidRPr="00B66A02">
        <w:t xml:space="preserve">00 étudiants inscrits de plus de </w:t>
      </w:r>
      <w:r w:rsidR="00AD58BF">
        <w:t>40</w:t>
      </w:r>
      <w:r>
        <w:t xml:space="preserve"> organismes fédéraux, provinciaux et municipaux, faisant appel à un grand nombre de volontaires de partout au gouvernement pour donner nos cours réguliers et personnalisés. Et la demande continue d’augmenter. </w:t>
      </w:r>
    </w:p>
    <w:p w:rsidR="00AD2478" w:rsidRDefault="00AD2478" w:rsidP="00633D9A">
      <w:pPr>
        <w:jc w:val="both"/>
        <w:rPr>
          <w:rFonts w:cs="Arial"/>
        </w:rPr>
      </w:pPr>
    </w:p>
    <w:p w:rsidR="00823CB2" w:rsidRDefault="00FC7767" w:rsidP="00633D9A">
      <w:pPr>
        <w:jc w:val="both"/>
        <w:rPr>
          <w:rFonts w:cs="Arial"/>
        </w:rPr>
      </w:pPr>
      <w:r w:rsidRPr="00FC7767">
        <w:rPr>
          <w:rFonts w:cs="Arial"/>
        </w:rPr>
        <w:t>En janvier 2023, le Programme d’apprentissage des analystes du renseignement</w:t>
      </w:r>
      <w:r>
        <w:rPr>
          <w:rFonts w:cs="Arial"/>
        </w:rPr>
        <w:t xml:space="preserve"> est devenu l’Académie canadienne de l’analyse du renseignement (ACAR).</w:t>
      </w:r>
    </w:p>
    <w:p w:rsidR="005452F8" w:rsidRDefault="005452F8" w:rsidP="00633D9A">
      <w:pPr>
        <w:jc w:val="both"/>
        <w:rPr>
          <w:rFonts w:cs="Arial"/>
        </w:rPr>
      </w:pPr>
    </w:p>
    <w:p w:rsidR="00C27ECC" w:rsidRPr="006414FC" w:rsidRDefault="00294985" w:rsidP="00633D9A">
      <w:pPr>
        <w:jc w:val="both"/>
        <w:rPr>
          <w:rFonts w:cs="Arial"/>
          <w:b/>
        </w:rPr>
      </w:pPr>
      <w:r>
        <w:rPr>
          <w:b/>
        </w:rPr>
        <w:t>Structure actuelle – Un cas de réussite en matière de recouvrement des coûts</w:t>
      </w:r>
    </w:p>
    <w:p w:rsidR="00C27ECC" w:rsidRPr="006414FC" w:rsidRDefault="00C27ECC" w:rsidP="00633D9A">
      <w:pPr>
        <w:jc w:val="both"/>
        <w:rPr>
          <w:rFonts w:cs="Arial"/>
        </w:rPr>
      </w:pPr>
    </w:p>
    <w:p w:rsidR="00FA63DC" w:rsidRDefault="00823CB2" w:rsidP="00633D9A">
      <w:pPr>
        <w:jc w:val="both"/>
        <w:rPr>
          <w:rFonts w:cs="Arial"/>
        </w:rPr>
      </w:pPr>
      <w:r>
        <w:t>L’</w:t>
      </w:r>
      <w:r w:rsidR="008A3645">
        <w:t>a</w:t>
      </w:r>
      <w:r w:rsidR="008A3645" w:rsidRPr="008A3645">
        <w:t>cadémie</w:t>
      </w:r>
      <w:r w:rsidR="00AD2478">
        <w:t xml:space="preserve"> est un programme de recouvrement des coûts qui relève du Secrétariat de l’évaluation du renseignement (SER). Cela reflète la responsabilité du BCP de coordonner des activités pangouvernementales liées à la sécurité et au renseignement par l’entremise de la Direction du CSNR et de coordonner les évaluations au moyen du SER. </w:t>
      </w:r>
      <w:r w:rsidRPr="00823CB2">
        <w:t xml:space="preserve">L’ACAR </w:t>
      </w:r>
      <w:r w:rsidR="00AD2478">
        <w:t xml:space="preserve">est </w:t>
      </w:r>
      <w:r w:rsidR="005E4DD1" w:rsidRPr="005E4DD1">
        <w:t>conseillé par un conseil consultatif</w:t>
      </w:r>
      <w:r w:rsidR="00AD2478">
        <w:t xml:space="preserve"> formé de représentants de neuf organismes (ASFC, ARC, MDN, CST, SCRS, CIET, CANAFE, TC et GRC), mais ses services sont offerts à des douzaines d’autres </w:t>
      </w:r>
      <w:r w:rsidR="005E4DD1" w:rsidRPr="005E4DD1">
        <w:t>partenaires fédéraux, provinciaux et municipaux.</w:t>
      </w:r>
      <w:r w:rsidR="00AD2478">
        <w:t xml:space="preserve"> </w:t>
      </w:r>
    </w:p>
    <w:p w:rsidR="009248FD" w:rsidRDefault="009248FD" w:rsidP="00633D9A">
      <w:pPr>
        <w:jc w:val="both"/>
        <w:rPr>
          <w:rFonts w:cs="Arial"/>
          <w:b/>
        </w:rPr>
      </w:pPr>
    </w:p>
    <w:p w:rsidR="005452F8" w:rsidRDefault="005452F8" w:rsidP="00633D9A">
      <w:pPr>
        <w:jc w:val="both"/>
        <w:rPr>
          <w:rFonts w:cs="Arial"/>
          <w:b/>
        </w:rPr>
      </w:pPr>
    </w:p>
    <w:p w:rsidR="00633D9A" w:rsidRPr="00633D9A" w:rsidRDefault="00633D9A" w:rsidP="00633D9A">
      <w:pPr>
        <w:tabs>
          <w:tab w:val="num" w:pos="720"/>
        </w:tabs>
        <w:jc w:val="both"/>
        <w:rPr>
          <w:b/>
        </w:rPr>
      </w:pPr>
      <w:r>
        <w:rPr>
          <w:b/>
        </w:rPr>
        <w:t>Autres activités – Une méthode globale de formation</w:t>
      </w:r>
    </w:p>
    <w:p w:rsidR="00633D9A" w:rsidRDefault="00633D9A" w:rsidP="00633D9A">
      <w:pPr>
        <w:tabs>
          <w:tab w:val="num" w:pos="720"/>
        </w:tabs>
        <w:jc w:val="both"/>
      </w:pPr>
    </w:p>
    <w:p w:rsidR="00465AF4" w:rsidRPr="00B82324" w:rsidRDefault="00465AF4" w:rsidP="00633D9A">
      <w:pPr>
        <w:tabs>
          <w:tab w:val="num" w:pos="720"/>
        </w:tabs>
        <w:jc w:val="both"/>
      </w:pPr>
      <w:r>
        <w:t xml:space="preserve">En plus d’organiser des cours, </w:t>
      </w:r>
      <w:r w:rsidR="00823CB2">
        <w:t>l</w:t>
      </w:r>
      <w:r w:rsidR="00823CB2" w:rsidRPr="00823CB2">
        <w:t>’ACAR</w:t>
      </w:r>
      <w:r>
        <w:t xml:space="preserve"> facilite l’accès à des cours, des ateliers et des séminaires étrangers, fournit des conseils sur l’utilisation des techniques d’analyse structurées, tient à jour une liste de formateurs qualifiés et d’experts, assure la liaison avec des homologues étrangers, et contribue à la recherche visant à faire avancer la profession d’analyste.</w:t>
      </w:r>
    </w:p>
    <w:p w:rsidR="00465AF4" w:rsidRDefault="00465AF4" w:rsidP="00633D9A">
      <w:pPr>
        <w:jc w:val="both"/>
      </w:pPr>
    </w:p>
    <w:p w:rsidR="008A3645" w:rsidRDefault="008A3645" w:rsidP="00633D9A">
      <w:pPr>
        <w:jc w:val="both"/>
      </w:pPr>
      <w:r w:rsidRPr="008A3645">
        <w:t xml:space="preserve">En 2021, la CAIA est devenue un acteur central des travaux de développement d'une communauté de pratique </w:t>
      </w:r>
      <w:r>
        <w:t xml:space="preserve">des analystes </w:t>
      </w:r>
      <w:r>
        <w:t>du renseignement</w:t>
      </w:r>
      <w:r w:rsidRPr="008A3645">
        <w:t xml:space="preserve"> (</w:t>
      </w:r>
      <w:proofErr w:type="spellStart"/>
      <w:r w:rsidRPr="008A3645">
        <w:t>C</w:t>
      </w:r>
      <w:r>
        <w:t>d</w:t>
      </w:r>
      <w:r w:rsidRPr="008A3645">
        <w:t>P</w:t>
      </w:r>
      <w:bookmarkStart w:id="0" w:name="_GoBack"/>
      <w:bookmarkEnd w:id="0"/>
      <w:proofErr w:type="spellEnd"/>
      <w:r w:rsidRPr="008A3645">
        <w:t xml:space="preserve">). Grâce à l'implication du </w:t>
      </w:r>
      <w:r w:rsidRPr="008A3645">
        <w:lastRenderedPageBreak/>
        <w:t xml:space="preserve">responsable et des instructeurs, en </w:t>
      </w:r>
      <w:r>
        <w:t>collaboration avec une équipe d’é</w:t>
      </w:r>
      <w:r w:rsidRPr="008A3645">
        <w:t xml:space="preserve">cole de la fonction publique du Canada, l'académie a contribué au développement de la structure, des services et de la gouvernance du </w:t>
      </w:r>
      <w:proofErr w:type="spellStart"/>
      <w:r w:rsidRPr="008A3645">
        <w:t>C</w:t>
      </w:r>
      <w:r>
        <w:t>d</w:t>
      </w:r>
      <w:r w:rsidRPr="008A3645">
        <w:t>P</w:t>
      </w:r>
      <w:proofErr w:type="spellEnd"/>
      <w:r w:rsidRPr="008A3645">
        <w:t>.</w:t>
      </w:r>
    </w:p>
    <w:p w:rsidR="008A3645" w:rsidRDefault="008A3645" w:rsidP="00633D9A">
      <w:pPr>
        <w:jc w:val="both"/>
      </w:pPr>
    </w:p>
    <w:p w:rsidR="00E713C5" w:rsidRDefault="00EC678B" w:rsidP="00633D9A">
      <w:pPr>
        <w:jc w:val="both"/>
        <w:rPr>
          <w:rFonts w:cs="Arial"/>
          <w:b/>
        </w:rPr>
      </w:pPr>
      <w:r>
        <w:rPr>
          <w:b/>
        </w:rPr>
        <w:t>Prochaines étapes – Tirer parti du potentiel</w:t>
      </w:r>
    </w:p>
    <w:p w:rsidR="00E713C5" w:rsidRDefault="00E713C5" w:rsidP="00633D9A">
      <w:pPr>
        <w:jc w:val="both"/>
        <w:rPr>
          <w:rFonts w:cs="Arial"/>
        </w:rPr>
      </w:pPr>
    </w:p>
    <w:p w:rsidR="004C199B" w:rsidRDefault="004A3231" w:rsidP="005045AA">
      <w:pPr>
        <w:jc w:val="both"/>
        <w:rPr>
          <w:rFonts w:cs="Arial"/>
        </w:rPr>
      </w:pPr>
      <w:r>
        <w:t>L</w:t>
      </w:r>
      <w:r w:rsidR="00823CB2" w:rsidRPr="00823CB2">
        <w:t xml:space="preserve">’ACAR </w:t>
      </w:r>
      <w:r>
        <w:t xml:space="preserve">pourrait fort bien servir d’outil pour l’élaboration de normes en matière de produits analytiques et de pratiques d’assurance de la qualité à l’échelle de la collectivité, tout en coordonnant une approche commune visant le perfectionnement professionnel et la gestion des analystes. Il jouit d’un appui important dans toute la collectivité du renseignement, et propose un vocabulaire commun aux analystes et à leurs gestionnaires dans l’ensemble du Canada. Chez plusieurs partenaires, les cours </w:t>
      </w:r>
      <w:r w:rsidR="00823CB2">
        <w:t>d’</w:t>
      </w:r>
      <w:r w:rsidR="00823CB2" w:rsidRPr="00823CB2">
        <w:t>ACAR</w:t>
      </w:r>
      <w:r>
        <w:t xml:space="preserve"> sont obligatoires ou fortement recommandés pour les analystes.</w:t>
      </w:r>
    </w:p>
    <w:p w:rsidR="00444FAF" w:rsidRPr="005045AA" w:rsidRDefault="00444FAF" w:rsidP="005045AA">
      <w:pPr>
        <w:jc w:val="both"/>
        <w:rPr>
          <w:rFonts w:cs="Arial"/>
        </w:rPr>
      </w:pPr>
    </w:p>
    <w:p w:rsidR="004C199B" w:rsidRPr="004C199B" w:rsidRDefault="004C199B" w:rsidP="00FA63DC">
      <w:pPr>
        <w:jc w:val="both"/>
      </w:pPr>
      <w:r>
        <w:t xml:space="preserve">Pour plus d’information, communiquer avec Stephen Fourney, gestionnaire, à 613-612-4192 ou à stephen.fourney@pco-bcp.gc.ca. </w:t>
      </w:r>
    </w:p>
    <w:sectPr w:rsidR="004C199B" w:rsidRPr="004C199B" w:rsidSect="00444FAF">
      <w:headerReference w:type="default" r:id="rId8"/>
      <w:pgSz w:w="12240" w:h="15840"/>
      <w:pgMar w:top="864" w:right="1296" w:bottom="864" w:left="1296" w:header="288"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93A" w:rsidRDefault="000B293A" w:rsidP="00083311">
      <w:r>
        <w:separator/>
      </w:r>
    </w:p>
  </w:endnote>
  <w:endnote w:type="continuationSeparator" w:id="0">
    <w:p w:rsidR="000B293A" w:rsidRDefault="000B293A" w:rsidP="0008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93A" w:rsidRDefault="000B293A" w:rsidP="00083311">
      <w:r>
        <w:separator/>
      </w:r>
    </w:p>
  </w:footnote>
  <w:footnote w:type="continuationSeparator" w:id="0">
    <w:p w:rsidR="000B293A" w:rsidRDefault="000B293A" w:rsidP="0008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09" w:rsidRPr="00B77209" w:rsidRDefault="005452F8" w:rsidP="00B77209">
    <w:pPr>
      <w:pStyle w:val="Header"/>
      <w:jc w:val="right"/>
      <w:rPr>
        <w:b/>
      </w:rPr>
    </w:pPr>
    <w:r>
      <w:rPr>
        <w:b/>
      </w:rPr>
      <w:t xml:space="preserve">NON CLASSIFIÉ </w:t>
    </w:r>
  </w:p>
  <w:p w:rsidR="003E2FE9" w:rsidRDefault="00E70EB0" w:rsidP="00B77209">
    <w:pPr>
      <w:pStyle w:val="Header"/>
      <w:jc w:val="center"/>
    </w:pPr>
    <w:r>
      <w:rPr>
        <w:noProof/>
        <w:lang w:val="en-US" w:eastAsia="en-US"/>
      </w:rPr>
      <w:drawing>
        <wp:anchor distT="0" distB="0" distL="114300" distR="114300" simplePos="0" relativeHeight="251658240" behindDoc="1" locked="0" layoutInCell="1" allowOverlap="1">
          <wp:simplePos x="0" y="0"/>
          <wp:positionH relativeFrom="margin">
            <wp:align>center</wp:align>
          </wp:positionH>
          <wp:positionV relativeFrom="paragraph">
            <wp:posOffset>186690</wp:posOffset>
          </wp:positionV>
          <wp:extent cx="6730365" cy="1529715"/>
          <wp:effectExtent l="0" t="0" r="0" b="0"/>
          <wp:wrapTight wrapText="bothSides">
            <wp:wrapPolygon edited="0">
              <wp:start x="0" y="0"/>
              <wp:lineTo x="0" y="21250"/>
              <wp:lineTo x="21521" y="21250"/>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LP Logo 2023 Final_ACAR Logo 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0365" cy="1529715"/>
                  </a:xfrm>
                  <a:prstGeom prst="rect">
                    <a:avLst/>
                  </a:prstGeom>
                </pic:spPr>
              </pic:pic>
            </a:graphicData>
          </a:graphic>
          <wp14:sizeRelH relativeFrom="margin">
            <wp14:pctWidth>0</wp14:pctWidth>
          </wp14:sizeRelH>
          <wp14:sizeRelV relativeFrom="margin">
            <wp14:pctHeight>0</wp14:pctHeight>
          </wp14:sizeRelV>
        </wp:anchor>
      </w:drawing>
    </w:r>
  </w:p>
  <w:p w:rsidR="00AE7633" w:rsidRDefault="00AE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81B35"/>
    <w:multiLevelType w:val="hybridMultilevel"/>
    <w:tmpl w:val="99D40A9E"/>
    <w:lvl w:ilvl="0" w:tplc="38F21A6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0E3754"/>
    <w:multiLevelType w:val="hybridMultilevel"/>
    <w:tmpl w:val="C3F66864"/>
    <w:lvl w:ilvl="0" w:tplc="266A25C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5636F30"/>
    <w:multiLevelType w:val="hybridMultilevel"/>
    <w:tmpl w:val="BCDE20BA"/>
    <w:lvl w:ilvl="0" w:tplc="B8F63358">
      <w:start w:val="1"/>
      <w:numFmt w:val="bullet"/>
      <w:lvlText w:val=""/>
      <w:lvlJc w:val="left"/>
      <w:pPr>
        <w:tabs>
          <w:tab w:val="num" w:pos="720"/>
        </w:tabs>
        <w:ind w:left="720" w:hanging="360"/>
      </w:pPr>
      <w:rPr>
        <w:rFonts w:ascii="Symbol" w:hAnsi="Symbol" w:hint="default"/>
        <w:color w:val="auto"/>
      </w:rPr>
    </w:lvl>
    <w:lvl w:ilvl="1" w:tplc="10090001">
      <w:start w:val="1"/>
      <w:numFmt w:val="bullet"/>
      <w:lvlText w:val=""/>
      <w:lvlJc w:val="left"/>
      <w:pPr>
        <w:tabs>
          <w:tab w:val="num" w:pos="1440"/>
        </w:tabs>
        <w:ind w:left="1440" w:hanging="360"/>
      </w:pPr>
      <w:rPr>
        <w:rFonts w:ascii="Symbol" w:hAnsi="Symbol" w:hint="default"/>
        <w:color w:val="auto"/>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A543DA"/>
    <w:multiLevelType w:val="hybridMultilevel"/>
    <w:tmpl w:val="78D2A5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F62258B"/>
    <w:multiLevelType w:val="hybridMultilevel"/>
    <w:tmpl w:val="F77294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fr-CA" w:vendorID="64" w:dllVersion="131078"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78"/>
    <w:rsid w:val="00010D27"/>
    <w:rsid w:val="00010F9D"/>
    <w:rsid w:val="00021CF9"/>
    <w:rsid w:val="00022E70"/>
    <w:rsid w:val="00031E6D"/>
    <w:rsid w:val="00033608"/>
    <w:rsid w:val="000414CA"/>
    <w:rsid w:val="0005027F"/>
    <w:rsid w:val="00061189"/>
    <w:rsid w:val="0006148B"/>
    <w:rsid w:val="00062764"/>
    <w:rsid w:val="000639CE"/>
    <w:rsid w:val="00065237"/>
    <w:rsid w:val="00074C77"/>
    <w:rsid w:val="00083311"/>
    <w:rsid w:val="000A782F"/>
    <w:rsid w:val="000B293A"/>
    <w:rsid w:val="000C2722"/>
    <w:rsid w:val="000C3A17"/>
    <w:rsid w:val="000C7470"/>
    <w:rsid w:val="000D0EB7"/>
    <w:rsid w:val="000D4197"/>
    <w:rsid w:val="000E630A"/>
    <w:rsid w:val="000F1E11"/>
    <w:rsid w:val="000F4652"/>
    <w:rsid w:val="000F46EC"/>
    <w:rsid w:val="001439E1"/>
    <w:rsid w:val="00157D30"/>
    <w:rsid w:val="0016467A"/>
    <w:rsid w:val="00182994"/>
    <w:rsid w:val="001937FD"/>
    <w:rsid w:val="0019561F"/>
    <w:rsid w:val="001B70AB"/>
    <w:rsid w:val="001D00A7"/>
    <w:rsid w:val="001F5E0A"/>
    <w:rsid w:val="00216DDA"/>
    <w:rsid w:val="00217B9E"/>
    <w:rsid w:val="0023541E"/>
    <w:rsid w:val="00237C02"/>
    <w:rsid w:val="00252F20"/>
    <w:rsid w:val="00253122"/>
    <w:rsid w:val="002603BC"/>
    <w:rsid w:val="0026446E"/>
    <w:rsid w:val="002705AE"/>
    <w:rsid w:val="00274971"/>
    <w:rsid w:val="002776D0"/>
    <w:rsid w:val="0028493F"/>
    <w:rsid w:val="00284C91"/>
    <w:rsid w:val="00290068"/>
    <w:rsid w:val="00294985"/>
    <w:rsid w:val="002A440C"/>
    <w:rsid w:val="002A7C4C"/>
    <w:rsid w:val="002C0C29"/>
    <w:rsid w:val="002C339A"/>
    <w:rsid w:val="002D0195"/>
    <w:rsid w:val="002F3857"/>
    <w:rsid w:val="002F65FB"/>
    <w:rsid w:val="0030307E"/>
    <w:rsid w:val="003038FD"/>
    <w:rsid w:val="00352266"/>
    <w:rsid w:val="00373483"/>
    <w:rsid w:val="0038264C"/>
    <w:rsid w:val="00383E21"/>
    <w:rsid w:val="003A4BEA"/>
    <w:rsid w:val="003B16EE"/>
    <w:rsid w:val="003B7B4F"/>
    <w:rsid w:val="003D0727"/>
    <w:rsid w:val="003D4055"/>
    <w:rsid w:val="003E12ED"/>
    <w:rsid w:val="003E2FE9"/>
    <w:rsid w:val="003E7462"/>
    <w:rsid w:val="003F6791"/>
    <w:rsid w:val="00405BFB"/>
    <w:rsid w:val="004067BE"/>
    <w:rsid w:val="0042085D"/>
    <w:rsid w:val="004325FF"/>
    <w:rsid w:val="00436E5B"/>
    <w:rsid w:val="00440406"/>
    <w:rsid w:val="00444FAF"/>
    <w:rsid w:val="00460E98"/>
    <w:rsid w:val="00464C34"/>
    <w:rsid w:val="00465AF4"/>
    <w:rsid w:val="004678B7"/>
    <w:rsid w:val="0049152A"/>
    <w:rsid w:val="00496060"/>
    <w:rsid w:val="004A3231"/>
    <w:rsid w:val="004A3584"/>
    <w:rsid w:val="004B018B"/>
    <w:rsid w:val="004C199B"/>
    <w:rsid w:val="004C38A2"/>
    <w:rsid w:val="004D2619"/>
    <w:rsid w:val="004E4EED"/>
    <w:rsid w:val="0050057F"/>
    <w:rsid w:val="005045AA"/>
    <w:rsid w:val="0051466C"/>
    <w:rsid w:val="00522376"/>
    <w:rsid w:val="005328F5"/>
    <w:rsid w:val="005452F8"/>
    <w:rsid w:val="0054564F"/>
    <w:rsid w:val="005568BC"/>
    <w:rsid w:val="00571641"/>
    <w:rsid w:val="0057294D"/>
    <w:rsid w:val="00596635"/>
    <w:rsid w:val="005E4DD1"/>
    <w:rsid w:val="00606276"/>
    <w:rsid w:val="0060666F"/>
    <w:rsid w:val="00632D05"/>
    <w:rsid w:val="006331A7"/>
    <w:rsid w:val="00633D9A"/>
    <w:rsid w:val="006357E5"/>
    <w:rsid w:val="00635B44"/>
    <w:rsid w:val="006414FC"/>
    <w:rsid w:val="00643B10"/>
    <w:rsid w:val="0068782D"/>
    <w:rsid w:val="00696B1C"/>
    <w:rsid w:val="006B1042"/>
    <w:rsid w:val="006D3B5B"/>
    <w:rsid w:val="006E7233"/>
    <w:rsid w:val="006F0CF1"/>
    <w:rsid w:val="00703DDC"/>
    <w:rsid w:val="00723888"/>
    <w:rsid w:val="00725F1F"/>
    <w:rsid w:val="00741D28"/>
    <w:rsid w:val="00750A66"/>
    <w:rsid w:val="00763485"/>
    <w:rsid w:val="00776812"/>
    <w:rsid w:val="0078490C"/>
    <w:rsid w:val="00792256"/>
    <w:rsid w:val="007A1094"/>
    <w:rsid w:val="007A332C"/>
    <w:rsid w:val="007C4BD5"/>
    <w:rsid w:val="007D0ACC"/>
    <w:rsid w:val="007F0FF6"/>
    <w:rsid w:val="008230FF"/>
    <w:rsid w:val="00823CB2"/>
    <w:rsid w:val="00837894"/>
    <w:rsid w:val="0085636F"/>
    <w:rsid w:val="00861165"/>
    <w:rsid w:val="00864A20"/>
    <w:rsid w:val="00874920"/>
    <w:rsid w:val="008813DC"/>
    <w:rsid w:val="00886518"/>
    <w:rsid w:val="008951B4"/>
    <w:rsid w:val="00896995"/>
    <w:rsid w:val="008A2286"/>
    <w:rsid w:val="008A3645"/>
    <w:rsid w:val="008A4690"/>
    <w:rsid w:val="008B0D9F"/>
    <w:rsid w:val="008C2C85"/>
    <w:rsid w:val="008E00FD"/>
    <w:rsid w:val="008E2ADF"/>
    <w:rsid w:val="008E38F6"/>
    <w:rsid w:val="008F2AED"/>
    <w:rsid w:val="00911B82"/>
    <w:rsid w:val="00912B95"/>
    <w:rsid w:val="00912FB1"/>
    <w:rsid w:val="009248FD"/>
    <w:rsid w:val="009728EA"/>
    <w:rsid w:val="009A1129"/>
    <w:rsid w:val="009A4F33"/>
    <w:rsid w:val="009C1AA8"/>
    <w:rsid w:val="009D4FB7"/>
    <w:rsid w:val="009F047E"/>
    <w:rsid w:val="009F1218"/>
    <w:rsid w:val="00A01E75"/>
    <w:rsid w:val="00A02EAE"/>
    <w:rsid w:val="00A16997"/>
    <w:rsid w:val="00A23D3B"/>
    <w:rsid w:val="00A524EE"/>
    <w:rsid w:val="00A7714D"/>
    <w:rsid w:val="00A93702"/>
    <w:rsid w:val="00A94EF8"/>
    <w:rsid w:val="00A95736"/>
    <w:rsid w:val="00A96E9C"/>
    <w:rsid w:val="00AD2478"/>
    <w:rsid w:val="00AD3C7E"/>
    <w:rsid w:val="00AD58BF"/>
    <w:rsid w:val="00AE5B4A"/>
    <w:rsid w:val="00AE6D52"/>
    <w:rsid w:val="00AE7633"/>
    <w:rsid w:val="00AF5E52"/>
    <w:rsid w:val="00B03D90"/>
    <w:rsid w:val="00B14718"/>
    <w:rsid w:val="00B14953"/>
    <w:rsid w:val="00B21924"/>
    <w:rsid w:val="00B2241B"/>
    <w:rsid w:val="00B23C47"/>
    <w:rsid w:val="00B36710"/>
    <w:rsid w:val="00B53E1F"/>
    <w:rsid w:val="00B551AC"/>
    <w:rsid w:val="00B66A02"/>
    <w:rsid w:val="00B75AA3"/>
    <w:rsid w:val="00B77209"/>
    <w:rsid w:val="00B81C66"/>
    <w:rsid w:val="00B86426"/>
    <w:rsid w:val="00BA42D1"/>
    <w:rsid w:val="00BA6DCF"/>
    <w:rsid w:val="00BC43F5"/>
    <w:rsid w:val="00BD15F4"/>
    <w:rsid w:val="00C038C4"/>
    <w:rsid w:val="00C27ECC"/>
    <w:rsid w:val="00C32DCF"/>
    <w:rsid w:val="00C54C4C"/>
    <w:rsid w:val="00C55620"/>
    <w:rsid w:val="00C66D7A"/>
    <w:rsid w:val="00C70277"/>
    <w:rsid w:val="00C7164F"/>
    <w:rsid w:val="00C729C0"/>
    <w:rsid w:val="00CA1A9B"/>
    <w:rsid w:val="00CA208E"/>
    <w:rsid w:val="00CA767F"/>
    <w:rsid w:val="00CC03F2"/>
    <w:rsid w:val="00CC264F"/>
    <w:rsid w:val="00CD235A"/>
    <w:rsid w:val="00CD786F"/>
    <w:rsid w:val="00CF0F05"/>
    <w:rsid w:val="00CF78EE"/>
    <w:rsid w:val="00D02540"/>
    <w:rsid w:val="00D43AC3"/>
    <w:rsid w:val="00D629F9"/>
    <w:rsid w:val="00D62E0B"/>
    <w:rsid w:val="00D816F4"/>
    <w:rsid w:val="00D85F2B"/>
    <w:rsid w:val="00D92A6A"/>
    <w:rsid w:val="00D9585E"/>
    <w:rsid w:val="00DA0CF3"/>
    <w:rsid w:val="00DA49A4"/>
    <w:rsid w:val="00DC4247"/>
    <w:rsid w:val="00DD5A5E"/>
    <w:rsid w:val="00DD6768"/>
    <w:rsid w:val="00DD6A2B"/>
    <w:rsid w:val="00DE15FE"/>
    <w:rsid w:val="00DE5038"/>
    <w:rsid w:val="00DF439B"/>
    <w:rsid w:val="00DF458D"/>
    <w:rsid w:val="00DF4A04"/>
    <w:rsid w:val="00E12712"/>
    <w:rsid w:val="00E16764"/>
    <w:rsid w:val="00E25AF5"/>
    <w:rsid w:val="00E326A3"/>
    <w:rsid w:val="00E34810"/>
    <w:rsid w:val="00E4351C"/>
    <w:rsid w:val="00E60034"/>
    <w:rsid w:val="00E65712"/>
    <w:rsid w:val="00E70EB0"/>
    <w:rsid w:val="00E713C5"/>
    <w:rsid w:val="00E854B7"/>
    <w:rsid w:val="00EA46A6"/>
    <w:rsid w:val="00EB78DA"/>
    <w:rsid w:val="00EC2F47"/>
    <w:rsid w:val="00EC678B"/>
    <w:rsid w:val="00EE30B0"/>
    <w:rsid w:val="00EF2BD5"/>
    <w:rsid w:val="00EF4FD1"/>
    <w:rsid w:val="00F00AEA"/>
    <w:rsid w:val="00F027FA"/>
    <w:rsid w:val="00F0500C"/>
    <w:rsid w:val="00F070B7"/>
    <w:rsid w:val="00F10FFD"/>
    <w:rsid w:val="00F15691"/>
    <w:rsid w:val="00F16C93"/>
    <w:rsid w:val="00F219DC"/>
    <w:rsid w:val="00F23D60"/>
    <w:rsid w:val="00F3624B"/>
    <w:rsid w:val="00F41F9D"/>
    <w:rsid w:val="00F449D0"/>
    <w:rsid w:val="00F50A96"/>
    <w:rsid w:val="00FA63DC"/>
    <w:rsid w:val="00FC3FEB"/>
    <w:rsid w:val="00FC7767"/>
    <w:rsid w:val="00FD057C"/>
    <w:rsid w:val="00FE4C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F10224"/>
  <w15:docId w15:val="{F60B60E9-E66B-42D0-AF60-FDADF558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478"/>
    <w:pPr>
      <w:widowControl w:val="0"/>
      <w:autoSpaceDE w:val="0"/>
      <w:autoSpaceDN w:val="0"/>
      <w:adjustRightInd w:val="0"/>
      <w:spacing w:after="0" w:line="240" w:lineRule="auto"/>
    </w:pPr>
    <w:rPr>
      <w:rFonts w:ascii="Arial" w:eastAsia="Times New Roman" w:hAnsi="Arial"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712"/>
    <w:rPr>
      <w:rFonts w:ascii="Tahoma" w:hAnsi="Tahoma" w:cs="Tahoma"/>
      <w:sz w:val="16"/>
      <w:szCs w:val="16"/>
    </w:rPr>
  </w:style>
  <w:style w:type="character" w:customStyle="1" w:styleId="BalloonTextChar">
    <w:name w:val="Balloon Text Char"/>
    <w:basedOn w:val="DefaultParagraphFont"/>
    <w:link w:val="BalloonText"/>
    <w:uiPriority w:val="99"/>
    <w:semiHidden/>
    <w:rsid w:val="00E65712"/>
    <w:rPr>
      <w:rFonts w:ascii="Tahoma" w:eastAsia="Times New Roman" w:hAnsi="Tahoma" w:cs="Tahoma"/>
      <w:sz w:val="16"/>
      <w:szCs w:val="16"/>
      <w:lang w:val="fr-CA" w:eastAsia="en-CA"/>
    </w:rPr>
  </w:style>
  <w:style w:type="table" w:styleId="TableGrid">
    <w:name w:val="Table Grid"/>
    <w:basedOn w:val="TableNormal"/>
    <w:uiPriority w:val="59"/>
    <w:rsid w:val="00E6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1129"/>
    <w:pPr>
      <w:widowControl w:val="0"/>
      <w:autoSpaceDE w:val="0"/>
      <w:autoSpaceDN w:val="0"/>
      <w:adjustRightInd w:val="0"/>
      <w:spacing w:after="0" w:line="240" w:lineRule="auto"/>
    </w:pPr>
    <w:rPr>
      <w:rFonts w:ascii="Arial" w:eastAsia="Times New Roman" w:hAnsi="Arial" w:cs="Times New Roman"/>
      <w:sz w:val="24"/>
      <w:szCs w:val="24"/>
      <w:lang w:eastAsia="en-CA"/>
    </w:rPr>
  </w:style>
  <w:style w:type="table" w:styleId="MediumShading1">
    <w:name w:val="Medium Shading 1"/>
    <w:basedOn w:val="TableNormal"/>
    <w:uiPriority w:val="63"/>
    <w:rsid w:val="006B10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439E1"/>
    <w:pPr>
      <w:ind w:left="720"/>
      <w:contextualSpacing/>
    </w:pPr>
  </w:style>
  <w:style w:type="paragraph" w:styleId="Header">
    <w:name w:val="header"/>
    <w:basedOn w:val="Normal"/>
    <w:link w:val="HeaderChar"/>
    <w:unhideWhenUsed/>
    <w:rsid w:val="00083311"/>
    <w:pPr>
      <w:tabs>
        <w:tab w:val="center" w:pos="4680"/>
        <w:tab w:val="right" w:pos="9360"/>
      </w:tabs>
    </w:pPr>
  </w:style>
  <w:style w:type="character" w:customStyle="1" w:styleId="HeaderChar">
    <w:name w:val="Header Char"/>
    <w:basedOn w:val="DefaultParagraphFont"/>
    <w:link w:val="Header"/>
    <w:uiPriority w:val="99"/>
    <w:rsid w:val="00083311"/>
    <w:rPr>
      <w:rFonts w:ascii="Arial" w:eastAsia="Times New Roman" w:hAnsi="Arial" w:cs="Times New Roman"/>
      <w:sz w:val="24"/>
      <w:szCs w:val="24"/>
      <w:lang w:val="fr-CA" w:eastAsia="en-CA"/>
    </w:rPr>
  </w:style>
  <w:style w:type="paragraph" w:styleId="Footer">
    <w:name w:val="footer"/>
    <w:basedOn w:val="Normal"/>
    <w:link w:val="FooterChar"/>
    <w:unhideWhenUsed/>
    <w:rsid w:val="00083311"/>
    <w:pPr>
      <w:tabs>
        <w:tab w:val="center" w:pos="4680"/>
        <w:tab w:val="right" w:pos="9360"/>
      </w:tabs>
    </w:pPr>
  </w:style>
  <w:style w:type="character" w:customStyle="1" w:styleId="FooterChar">
    <w:name w:val="Footer Char"/>
    <w:basedOn w:val="DefaultParagraphFont"/>
    <w:link w:val="Footer"/>
    <w:uiPriority w:val="99"/>
    <w:rsid w:val="00083311"/>
    <w:rPr>
      <w:rFonts w:ascii="Arial" w:eastAsia="Times New Roman" w:hAnsi="Arial" w:cs="Times New Roman"/>
      <w:sz w:val="24"/>
      <w:szCs w:val="24"/>
      <w:lang w:val="fr-CA" w:eastAsia="en-CA"/>
    </w:rPr>
  </w:style>
  <w:style w:type="character" w:styleId="Hyperlink">
    <w:name w:val="Hyperlink"/>
    <w:unhideWhenUsed/>
    <w:rsid w:val="00B75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4689-6860-480F-A58B-975F9360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523</Words>
  <Characters>2986</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Privy Council Office/Bureau du Conseil privé</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Fourney, Stephen</cp:lastModifiedBy>
  <cp:revision>8</cp:revision>
  <cp:lastPrinted>2020-11-16T18:15:00Z</cp:lastPrinted>
  <dcterms:created xsi:type="dcterms:W3CDTF">2023-01-25T15:21:00Z</dcterms:created>
  <dcterms:modified xsi:type="dcterms:W3CDTF">2023-01-25T15:49:00Z</dcterms:modified>
</cp:coreProperties>
</file>