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8DD17" w14:textId="4043559E" w:rsidR="00CC5670" w:rsidRDefault="00CE526D">
      <w:pPr>
        <w:rPr>
          <w:b/>
          <w:u w:val="single"/>
        </w:rPr>
      </w:pPr>
      <w:r>
        <w:rPr>
          <w:b/>
          <w:u w:val="single"/>
        </w:rPr>
        <w:t>Notes de la réunion FPT – Le 10 mai 2022</w:t>
      </w:r>
    </w:p>
    <w:p w14:paraId="39969798" w14:textId="77777777" w:rsidR="00CC5670" w:rsidRDefault="00CC5670">
      <w:pPr>
        <w:rPr>
          <w:b/>
          <w:u w:val="single"/>
        </w:rPr>
      </w:pPr>
    </w:p>
    <w:p w14:paraId="61426CB2" w14:textId="7693F9E5" w:rsidR="00CC5670" w:rsidRPr="00C55858" w:rsidRDefault="00CE526D" w:rsidP="009D02BA">
      <w:pPr>
        <w:pStyle w:val="Heading2"/>
      </w:pPr>
      <w:r w:rsidRPr="00C55858">
        <w:t>Ukraine</w:t>
      </w:r>
    </w:p>
    <w:p w14:paraId="4C50D7A2" w14:textId="77777777" w:rsidR="00CC5670" w:rsidRDefault="00CC5670">
      <w:pPr>
        <w:rPr>
          <w:b/>
        </w:rPr>
      </w:pPr>
    </w:p>
    <w:p w14:paraId="546D3C10" w14:textId="1D50D0BD" w:rsidR="00CC5670" w:rsidRDefault="00CE526D">
      <w:pPr>
        <w:numPr>
          <w:ilvl w:val="0"/>
          <w:numId w:val="1"/>
        </w:numPr>
      </w:pPr>
      <w:r>
        <w:t>L’ambassade du Canada à Kiyv a été ouverte, mais à titre limité – le texte modifié sur le texte sur le site Web indique ce statut.</w:t>
      </w:r>
    </w:p>
    <w:p w14:paraId="7DA62653" w14:textId="4D742A1B" w:rsidR="00CC5670" w:rsidRDefault="00CE526D">
      <w:pPr>
        <w:numPr>
          <w:ilvl w:val="0"/>
          <w:numId w:val="1"/>
        </w:numPr>
      </w:pPr>
      <w:r w:rsidRPr="00CE526D">
        <w:t xml:space="preserve">Faits et désinformation – le ministère de la Défense nationale, d'Affaires mondiales Canada, du Centre de la sécurité des télécommunications Canada (CSTC) publient des renseignements déclassifiés sur les médias </w:t>
      </w:r>
      <w:r w:rsidR="00CB116A" w:rsidRPr="00CE526D">
        <w:t>sociaux</w:t>
      </w:r>
      <w:r w:rsidRPr="00CE526D">
        <w:t xml:space="preserve"> pour contribuer à des campagnes de lutte contre la désinformation.</w:t>
      </w:r>
    </w:p>
    <w:p w14:paraId="6A19294C" w14:textId="5574A0B5" w:rsidR="00CC5670" w:rsidRDefault="00CE526D">
      <w:pPr>
        <w:numPr>
          <w:ilvl w:val="0"/>
          <w:numId w:val="1"/>
        </w:numPr>
      </w:pPr>
      <w:r w:rsidRPr="00CE526D">
        <w:t xml:space="preserve"> </w:t>
      </w:r>
      <w:hyperlink r:id="rId7" w:history="1">
        <w:r w:rsidRPr="00C55858">
          <w:t>M</w:t>
        </w:r>
        <w:r w:rsidR="00CB116A">
          <w:t xml:space="preserve">ises </w:t>
        </w:r>
        <w:r w:rsidRPr="00C55858">
          <w:t xml:space="preserve">à jour de la page </w:t>
        </w:r>
        <w:r>
          <w:rPr>
            <w:color w:val="1155CC"/>
            <w:u w:val="single"/>
          </w:rPr>
          <w:t>Monter à bord d'avions</w:t>
        </w:r>
      </w:hyperlink>
      <w:r w:rsidRPr="00CE526D">
        <w:t xml:space="preserve"> pour préciser les exemptions aux exigences de vaccination pour les personnes qui utilisent le Programme d’exemption au titre de l’intérêt national (PEIN)</w:t>
      </w:r>
    </w:p>
    <w:p w14:paraId="62523F38" w14:textId="37F55BF0" w:rsidR="00CC5670" w:rsidRDefault="00CE526D">
      <w:pPr>
        <w:numPr>
          <w:ilvl w:val="0"/>
          <w:numId w:val="1"/>
        </w:numPr>
      </w:pPr>
      <w:r>
        <w:t>Continuer de mettre à jour le contenu Web en fonction de la rétroaction et des analyses.</w:t>
      </w:r>
    </w:p>
    <w:p w14:paraId="085035CB" w14:textId="77777777" w:rsidR="00CC5670" w:rsidRDefault="00CC5670"/>
    <w:p w14:paraId="082C562F" w14:textId="081DC203" w:rsidR="00CC5670" w:rsidRDefault="00CE526D" w:rsidP="009D02BA">
      <w:pPr>
        <w:pStyle w:val="Heading3"/>
      </w:pPr>
      <w:r>
        <w:t xml:space="preserve">Sites </w:t>
      </w:r>
      <w:r w:rsidR="006464A2">
        <w:t>sur l</w:t>
      </w:r>
      <w:r>
        <w:t>'Ukraine</w:t>
      </w:r>
    </w:p>
    <w:p w14:paraId="27F30DB6" w14:textId="10905D16" w:rsidR="00CC5670" w:rsidRDefault="00CE526D">
      <w:pPr>
        <w:numPr>
          <w:ilvl w:val="0"/>
          <w:numId w:val="1"/>
        </w:numPr>
      </w:pPr>
      <w:r w:rsidRPr="00CE526D">
        <w:t xml:space="preserve">Fédéral : </w:t>
      </w:r>
      <w:hyperlink r:id="rId8" w:history="1">
        <w:r>
          <w:rPr>
            <w:color w:val="1155CC"/>
            <w:u w:val="single"/>
          </w:rPr>
          <w:t>Réponse du Canada à l’invasion russe de l’Ukraine</w:t>
        </w:r>
      </w:hyperlink>
      <w:r w:rsidR="00912020">
        <w:t xml:space="preserve"> </w:t>
      </w:r>
    </w:p>
    <w:p w14:paraId="3261C148" w14:textId="2DCA452D" w:rsidR="00CC5670" w:rsidRPr="00CE526D" w:rsidRDefault="00CE526D">
      <w:pPr>
        <w:numPr>
          <w:ilvl w:val="0"/>
          <w:numId w:val="1"/>
        </w:numPr>
      </w:pPr>
      <w:r w:rsidRPr="00CE526D">
        <w:rPr>
          <w:rFonts w:ascii="Roboto" w:eastAsia="Roboto" w:hAnsi="Roboto" w:cs="Roboto"/>
          <w:sz w:val="20"/>
          <w:szCs w:val="20"/>
        </w:rPr>
        <w:t xml:space="preserve">Î.-E.-P. </w:t>
      </w:r>
      <w:hyperlink r:id="rId9" w:history="1">
        <w:r w:rsidR="0035713E">
          <w:rPr>
            <w:rFonts w:ascii="Roboto" w:eastAsia="Roboto" w:hAnsi="Roboto" w:cs="Roboto"/>
            <w:color w:val="1155CC"/>
            <w:sz w:val="20"/>
            <w:szCs w:val="20"/>
            <w:u w:val="single"/>
          </w:rPr>
          <w:t>S</w:t>
        </w:r>
        <w:r w:rsidRPr="00CE526D">
          <w:rPr>
            <w:rFonts w:ascii="Roboto" w:eastAsia="Roboto" w:hAnsi="Roboto" w:cs="Roboto"/>
            <w:color w:val="1155CC"/>
            <w:sz w:val="20"/>
            <w:szCs w:val="20"/>
            <w:u w:val="single"/>
          </w:rPr>
          <w:t xml:space="preserve">ite </w:t>
        </w:r>
        <w:r w:rsidR="0035713E">
          <w:rPr>
            <w:rFonts w:ascii="Roboto" w:eastAsia="Roboto" w:hAnsi="Roboto" w:cs="Roboto"/>
            <w:color w:val="1155CC"/>
            <w:sz w:val="20"/>
            <w:szCs w:val="20"/>
            <w:u w:val="single"/>
          </w:rPr>
          <w:t>pour le soutien aux U</w:t>
        </w:r>
        <w:r w:rsidRPr="00CE526D">
          <w:rPr>
            <w:rFonts w:ascii="Roboto" w:eastAsia="Roboto" w:hAnsi="Roboto" w:cs="Roboto"/>
            <w:color w:val="1155CC"/>
            <w:sz w:val="20"/>
            <w:szCs w:val="20"/>
            <w:u w:val="single"/>
          </w:rPr>
          <w:t>krainiens</w:t>
        </w:r>
      </w:hyperlink>
    </w:p>
    <w:p w14:paraId="6B40A98A" w14:textId="3D3FDAC9" w:rsidR="00CC5670" w:rsidRPr="00CE526D" w:rsidRDefault="00CE526D">
      <w:pPr>
        <w:numPr>
          <w:ilvl w:val="0"/>
          <w:numId w:val="1"/>
        </w:numPr>
      </w:pPr>
      <w:r w:rsidRPr="00CE526D">
        <w:rPr>
          <w:rFonts w:ascii="Roboto" w:eastAsia="Roboto" w:hAnsi="Roboto" w:cs="Roboto"/>
          <w:sz w:val="20"/>
          <w:szCs w:val="20"/>
        </w:rPr>
        <w:t xml:space="preserve">Nouvelle-Écosse : </w:t>
      </w:r>
      <w:hyperlink r:id="rId10" w:history="1">
        <w:r w:rsidRPr="00CE526D">
          <w:rPr>
            <w:rFonts w:ascii="Roboto" w:eastAsia="Roboto" w:hAnsi="Roboto" w:cs="Roboto"/>
            <w:color w:val="1155CC"/>
            <w:sz w:val="20"/>
            <w:szCs w:val="20"/>
            <w:u w:val="single"/>
          </w:rPr>
          <w:t>La Nouvelle-Écosse appuie l'Ukraine</w:t>
        </w:r>
      </w:hyperlink>
    </w:p>
    <w:p w14:paraId="2AB510CA" w14:textId="15D0B73F" w:rsidR="00CC5670" w:rsidRDefault="00CE526D">
      <w:pPr>
        <w:numPr>
          <w:ilvl w:val="0"/>
          <w:numId w:val="1"/>
        </w:numPr>
      </w:pPr>
      <w:r w:rsidRPr="00CE526D">
        <w:rPr>
          <w:rFonts w:ascii="Roboto" w:eastAsia="Roboto" w:hAnsi="Roboto" w:cs="Roboto"/>
          <w:sz w:val="20"/>
          <w:szCs w:val="20"/>
        </w:rPr>
        <w:t xml:space="preserve">Yukon : </w:t>
      </w:r>
      <w:hyperlink r:id="rId11" w:history="1">
        <w:r>
          <w:rPr>
            <w:rFonts w:ascii="Roboto" w:eastAsia="Roboto" w:hAnsi="Roboto" w:cs="Roboto"/>
            <w:color w:val="1155CC"/>
            <w:sz w:val="20"/>
            <w:szCs w:val="20"/>
            <w:u w:val="single"/>
          </w:rPr>
          <w:t>Communiquer avec le service de soutien aux familles ukrainiennes</w:t>
        </w:r>
      </w:hyperlink>
    </w:p>
    <w:p w14:paraId="7F51E062" w14:textId="501C95A1" w:rsidR="00CC5670" w:rsidRPr="00CE526D" w:rsidRDefault="00CE526D">
      <w:pPr>
        <w:numPr>
          <w:ilvl w:val="0"/>
          <w:numId w:val="1"/>
        </w:numPr>
      </w:pPr>
      <w:r w:rsidRPr="00CE526D">
        <w:rPr>
          <w:rFonts w:ascii="Roboto" w:eastAsia="Roboto" w:hAnsi="Roboto" w:cs="Roboto"/>
          <w:sz w:val="20"/>
          <w:szCs w:val="20"/>
        </w:rPr>
        <w:t xml:space="preserve">Ontario : </w:t>
      </w:r>
      <w:hyperlink r:id="rId12" w:history="1">
        <w:r w:rsidRPr="00CE526D">
          <w:rPr>
            <w:rFonts w:ascii="Roboto" w:eastAsia="Roboto" w:hAnsi="Roboto" w:cs="Roboto"/>
            <w:color w:val="1155CC"/>
            <w:sz w:val="20"/>
            <w:szCs w:val="20"/>
            <w:u w:val="single"/>
          </w:rPr>
          <w:t>Venir en Ontario depuis l'Ukraine</w:t>
        </w:r>
      </w:hyperlink>
      <w:r w:rsidRPr="00CE526D">
        <w:rPr>
          <w:rFonts w:ascii="Roboto" w:eastAsia="Roboto" w:hAnsi="Roboto" w:cs="Roboto"/>
          <w:sz w:val="20"/>
          <w:szCs w:val="20"/>
        </w:rPr>
        <w:t xml:space="preserve"> </w:t>
      </w:r>
    </w:p>
    <w:p w14:paraId="031A08FD" w14:textId="77777777" w:rsidR="00CC5670" w:rsidRDefault="00CC5670">
      <w:pPr>
        <w:rPr>
          <w:b/>
        </w:rPr>
      </w:pPr>
    </w:p>
    <w:p w14:paraId="18D78F47" w14:textId="5FA8A090" w:rsidR="00CC5670" w:rsidRPr="00C55858" w:rsidRDefault="00CE526D" w:rsidP="009D02BA">
      <w:pPr>
        <w:pStyle w:val="Heading2"/>
      </w:pPr>
      <w:r w:rsidRPr="00C55858">
        <w:t>COVID</w:t>
      </w:r>
    </w:p>
    <w:p w14:paraId="20A06792" w14:textId="0C03E4A1" w:rsidR="00CC5670" w:rsidRPr="00C55858" w:rsidRDefault="00CE526D" w:rsidP="009D02BA">
      <w:pPr>
        <w:pStyle w:val="Heading3"/>
      </w:pPr>
      <w:r w:rsidRPr="00C55858">
        <w:t>Voyages</w:t>
      </w:r>
    </w:p>
    <w:p w14:paraId="44B20F2D" w14:textId="590FE2DC" w:rsidR="00CC5670" w:rsidRDefault="00CE526D" w:rsidP="009D02BA">
      <w:pPr>
        <w:pStyle w:val="ListParagraph"/>
        <w:numPr>
          <w:ilvl w:val="0"/>
          <w:numId w:val="2"/>
        </w:numPr>
      </w:pPr>
      <w:r>
        <w:t>Transférer bientôt les pages ArrivéeCAN à la responsabilité de l’Agence des services frontaliers du Canada (ASFC)</w:t>
      </w:r>
    </w:p>
    <w:p w14:paraId="7DFD0198" w14:textId="0D528793" w:rsidR="009D02BA" w:rsidRPr="00C55858" w:rsidRDefault="00CE526D" w:rsidP="009D02BA">
      <w:pPr>
        <w:pStyle w:val="ListParagraph"/>
        <w:numPr>
          <w:ilvl w:val="0"/>
          <w:numId w:val="2"/>
        </w:numPr>
      </w:pPr>
      <w:r w:rsidRPr="00C55858">
        <w:t>Mises à jour aux pages suivantes :</w:t>
      </w:r>
    </w:p>
    <w:p w14:paraId="6E3312A9" w14:textId="574CC09B" w:rsidR="00CC5670" w:rsidRDefault="00CE526D" w:rsidP="009D02BA">
      <w:pPr>
        <w:pStyle w:val="ListParagraph"/>
        <w:numPr>
          <w:ilvl w:val="1"/>
          <w:numId w:val="2"/>
        </w:numPr>
      </w:pPr>
      <w:r>
        <w:t>Pages sur l'entrée pour des raisons compatissantes</w:t>
      </w:r>
    </w:p>
    <w:p w14:paraId="385FD3B5" w14:textId="21C16F99" w:rsidR="00CC5670" w:rsidRDefault="00CE526D" w:rsidP="009D02BA">
      <w:pPr>
        <w:pStyle w:val="ListParagraph"/>
        <w:numPr>
          <w:ilvl w:val="1"/>
          <w:numId w:val="2"/>
        </w:numPr>
      </w:pPr>
      <w:r>
        <w:t>Documents et infographies à l'intenti</w:t>
      </w:r>
      <w:r w:rsidR="00CB116A">
        <w:t>on</w:t>
      </w:r>
      <w:r>
        <w:t xml:space="preserve"> des voyageurs</w:t>
      </w:r>
    </w:p>
    <w:p w14:paraId="4F499966" w14:textId="70464DE8" w:rsidR="009D02BA" w:rsidRDefault="00CE526D" w:rsidP="009D02BA">
      <w:pPr>
        <w:pStyle w:val="ListParagraph"/>
        <w:numPr>
          <w:ilvl w:val="1"/>
          <w:numId w:val="2"/>
        </w:numPr>
      </w:pPr>
      <w:r>
        <w:t>Page Voyageurs vaccinés</w:t>
      </w:r>
    </w:p>
    <w:p w14:paraId="558EC54E" w14:textId="12162163" w:rsidR="009D02BA" w:rsidRDefault="00CE526D" w:rsidP="009D02BA">
      <w:pPr>
        <w:pStyle w:val="ListParagraph"/>
        <w:numPr>
          <w:ilvl w:val="1"/>
          <w:numId w:val="2"/>
        </w:numPr>
      </w:pPr>
      <w:r>
        <w:t>Tableau des écarts – deviendra un graphique interactif</w:t>
      </w:r>
    </w:p>
    <w:p w14:paraId="613426B6" w14:textId="3E0439EC" w:rsidR="00CC5670" w:rsidRDefault="00CE526D" w:rsidP="009D02BA">
      <w:pPr>
        <w:pStyle w:val="ListParagraph"/>
        <w:numPr>
          <w:ilvl w:val="1"/>
          <w:numId w:val="2"/>
        </w:numPr>
      </w:pPr>
      <w:r>
        <w:t>Métadonnées et autre promotion Arriv</w:t>
      </w:r>
      <w:r w:rsidR="00CB116A">
        <w:t>ée</w:t>
      </w:r>
      <w:r>
        <w:t>CAN</w:t>
      </w:r>
    </w:p>
    <w:p w14:paraId="28BE0B1B" w14:textId="4BE59CC4" w:rsidR="009D02BA" w:rsidRPr="00C55858" w:rsidRDefault="00CE526D" w:rsidP="009D02BA">
      <w:pPr>
        <w:pStyle w:val="ListParagraph"/>
        <w:numPr>
          <w:ilvl w:val="0"/>
          <w:numId w:val="2"/>
        </w:numPr>
      </w:pPr>
      <w:r w:rsidRPr="00C55858">
        <w:t>NOUVEAU!</w:t>
      </w:r>
    </w:p>
    <w:p w14:paraId="1DBCCF5F" w14:textId="29B3CDA5" w:rsidR="00CC5670" w:rsidRDefault="00C55858" w:rsidP="009D02BA">
      <w:pPr>
        <w:pStyle w:val="ListParagraph"/>
        <w:numPr>
          <w:ilvl w:val="1"/>
          <w:numId w:val="2"/>
        </w:numPr>
      </w:pPr>
      <w:r>
        <w:t>Document – voyageurs arrivant au Canada / résultats de tests positifs / non vaccinés</w:t>
      </w:r>
    </w:p>
    <w:p w14:paraId="6F6C2AB4" w14:textId="1EFC4A30" w:rsidR="00CC5670" w:rsidRDefault="00C55858" w:rsidP="009D02BA">
      <w:pPr>
        <w:pStyle w:val="ListParagraph"/>
        <w:numPr>
          <w:ilvl w:val="1"/>
          <w:numId w:val="2"/>
        </w:numPr>
      </w:pPr>
      <w:r>
        <w:t>Page pour les voyageurs non vaccinés</w:t>
      </w:r>
    </w:p>
    <w:p w14:paraId="23AF2843" w14:textId="32784AFE" w:rsidR="009D02BA" w:rsidRPr="00C55858" w:rsidRDefault="00C55858" w:rsidP="009D02BA">
      <w:pPr>
        <w:pStyle w:val="Heading3"/>
      </w:pPr>
      <w:r w:rsidRPr="00C55858">
        <w:lastRenderedPageBreak/>
        <w:t>Santé</w:t>
      </w:r>
    </w:p>
    <w:p w14:paraId="11A86956" w14:textId="2C21B718" w:rsidR="00310DC3" w:rsidRDefault="00C55858" w:rsidP="009D02BA">
      <w:pPr>
        <w:pStyle w:val="ListParagraph"/>
        <w:numPr>
          <w:ilvl w:val="0"/>
          <w:numId w:val="2"/>
        </w:numPr>
      </w:pPr>
      <w:r>
        <w:t>Mise à jour de la page sur l'approvisionnement en fourniture des tests</w:t>
      </w:r>
    </w:p>
    <w:p w14:paraId="04DDB74D" w14:textId="72457385" w:rsidR="00CC5670" w:rsidRPr="00C55858" w:rsidRDefault="00C55858" w:rsidP="00310DC3">
      <w:pPr>
        <w:pStyle w:val="ListParagraph"/>
        <w:numPr>
          <w:ilvl w:val="1"/>
          <w:numId w:val="2"/>
        </w:numPr>
      </w:pPr>
      <w:r w:rsidRPr="00C55858">
        <w:t>expédition et distribution de tests rapides</w:t>
      </w:r>
    </w:p>
    <w:p w14:paraId="48CDBB25" w14:textId="21026D4B" w:rsidR="00CC5670" w:rsidRDefault="00C55858" w:rsidP="00310DC3">
      <w:pPr>
        <w:pStyle w:val="ListParagraph"/>
        <w:numPr>
          <w:ilvl w:val="1"/>
          <w:numId w:val="2"/>
        </w:numPr>
      </w:pPr>
      <w:r>
        <w:t>la cible relative à la capacité de tests a été modifiée pour l’ensemble du Canada, plutôt qu’à l’échelle provinciale ou territoriale.</w:t>
      </w:r>
    </w:p>
    <w:p w14:paraId="179160CC" w14:textId="0E16D39E" w:rsidR="00CC5670" w:rsidRDefault="00C55858" w:rsidP="009D02BA">
      <w:pPr>
        <w:pStyle w:val="ListParagraph"/>
        <w:numPr>
          <w:ilvl w:val="0"/>
          <w:numId w:val="2"/>
        </w:numPr>
      </w:pPr>
      <w:r>
        <w:t>Nouveau site Web pancanadien sur la santé publique</w:t>
      </w:r>
    </w:p>
    <w:p w14:paraId="3F3B2A3B" w14:textId="33F072B4" w:rsidR="00CC5670" w:rsidRPr="00C55858" w:rsidRDefault="00912020" w:rsidP="009D02BA">
      <w:pPr>
        <w:pStyle w:val="ListParagraph"/>
        <w:numPr>
          <w:ilvl w:val="1"/>
          <w:numId w:val="2"/>
        </w:numPr>
        <w:rPr>
          <w:rFonts w:ascii="Roboto" w:eastAsia="Roboto" w:hAnsi="Roboto" w:cs="Roboto"/>
          <w:color w:val="202124"/>
          <w:sz w:val="20"/>
          <w:szCs w:val="20"/>
        </w:rPr>
      </w:pPr>
      <w:hyperlink r:id="rId13" w:history="1">
        <w:r w:rsidR="00C55858" w:rsidRPr="00C55858">
          <w:rPr>
            <w:rFonts w:ascii="Roboto" w:eastAsia="Roboto" w:hAnsi="Roboto" w:cs="Roboto"/>
            <w:color w:val="1967D2"/>
            <w:sz w:val="20"/>
            <w:szCs w:val="20"/>
            <w:u w:val="single"/>
          </w:rPr>
          <w:t>Anglais</w:t>
        </w:r>
      </w:hyperlink>
    </w:p>
    <w:p w14:paraId="5BCFF525" w14:textId="49B756BF" w:rsidR="00CC5670" w:rsidRPr="00C55858" w:rsidRDefault="00912020" w:rsidP="009D02BA">
      <w:pPr>
        <w:pStyle w:val="ListParagraph"/>
        <w:numPr>
          <w:ilvl w:val="1"/>
          <w:numId w:val="2"/>
        </w:numPr>
      </w:pPr>
      <w:hyperlink r:id="rId14" w:history="1">
        <w:r w:rsidR="00C55858" w:rsidRPr="00C55858">
          <w:rPr>
            <w:rFonts w:ascii="Roboto" w:eastAsia="Roboto" w:hAnsi="Roboto" w:cs="Roboto"/>
            <w:color w:val="1967D2"/>
            <w:sz w:val="20"/>
            <w:szCs w:val="20"/>
            <w:u w:val="single"/>
          </w:rPr>
          <w:t>Français</w:t>
        </w:r>
      </w:hyperlink>
      <w:r w:rsidR="009D02BA" w:rsidRPr="00C55858">
        <w:rPr>
          <w:rFonts w:ascii="Roboto" w:eastAsia="Roboto" w:hAnsi="Roboto" w:cs="Roboto"/>
          <w:color w:val="1967D2"/>
          <w:sz w:val="20"/>
          <w:szCs w:val="20"/>
          <w:u w:val="single"/>
        </w:rPr>
        <w:t xml:space="preserve"> </w:t>
      </w:r>
    </w:p>
    <w:p w14:paraId="53FC72DE" w14:textId="77777777" w:rsidR="00CC5670" w:rsidRDefault="00CC5670"/>
    <w:p w14:paraId="16CF941B" w14:textId="68C36BEF" w:rsidR="00CC5670" w:rsidRDefault="00C55858" w:rsidP="0044404E">
      <w:pPr>
        <w:pStyle w:val="Heading2"/>
      </w:pPr>
      <w:r>
        <w:t>Présentation et partage de la visualisation des données</w:t>
      </w:r>
    </w:p>
    <w:p w14:paraId="3471810A" w14:textId="77777777" w:rsidR="00CC5670" w:rsidRDefault="00CC5670">
      <w:pPr>
        <w:rPr>
          <w:b/>
        </w:rPr>
      </w:pPr>
    </w:p>
    <w:p w14:paraId="01701D13" w14:textId="012453F8" w:rsidR="00CC5670" w:rsidRDefault="00C55858">
      <w:r>
        <w:t>Le tableau de bord de la surveillance des eaux usées est entré en service le 6</w:t>
      </w:r>
      <w:r w:rsidR="00CB116A">
        <w:t> </w:t>
      </w:r>
      <w:r>
        <w:t>mai</w:t>
      </w:r>
      <w:r w:rsidR="00CB116A">
        <w:t> </w:t>
      </w:r>
      <w:r>
        <w:t>2022</w:t>
      </w:r>
    </w:p>
    <w:p w14:paraId="45181D78" w14:textId="3AFE1BAD" w:rsidR="00CC5670" w:rsidRPr="00C55858" w:rsidRDefault="00912020" w:rsidP="00310DC3">
      <w:pPr>
        <w:pStyle w:val="ListParagraph"/>
        <w:numPr>
          <w:ilvl w:val="0"/>
          <w:numId w:val="3"/>
        </w:numPr>
        <w:rPr>
          <w:rFonts w:ascii="Roboto" w:eastAsia="Roboto" w:hAnsi="Roboto" w:cs="Roboto"/>
          <w:color w:val="202124"/>
          <w:sz w:val="20"/>
          <w:szCs w:val="20"/>
        </w:rPr>
      </w:pPr>
      <w:hyperlink r:id="rId15" w:history="1">
        <w:r w:rsidR="00C55858" w:rsidRPr="00C55858">
          <w:rPr>
            <w:rFonts w:ascii="Roboto" w:eastAsia="Roboto" w:hAnsi="Roboto" w:cs="Roboto"/>
            <w:color w:val="1967D2"/>
            <w:sz w:val="20"/>
            <w:szCs w:val="20"/>
            <w:u w:val="single"/>
          </w:rPr>
          <w:t>Anglais</w:t>
        </w:r>
      </w:hyperlink>
    </w:p>
    <w:p w14:paraId="492F6DF2" w14:textId="08FFA18E" w:rsidR="00CC5670" w:rsidRPr="00C55858" w:rsidRDefault="00912020" w:rsidP="00310DC3">
      <w:pPr>
        <w:pStyle w:val="ListParagraph"/>
        <w:numPr>
          <w:ilvl w:val="0"/>
          <w:numId w:val="3"/>
        </w:numPr>
      </w:pPr>
      <w:hyperlink r:id="rId16" w:history="1">
        <w:r w:rsidR="00C55858" w:rsidRPr="00C55858">
          <w:rPr>
            <w:rFonts w:ascii="Roboto" w:eastAsia="Roboto" w:hAnsi="Roboto" w:cs="Roboto"/>
            <w:color w:val="1967D2"/>
            <w:sz w:val="20"/>
            <w:szCs w:val="20"/>
            <w:u w:val="single"/>
          </w:rPr>
          <w:t>Français</w:t>
        </w:r>
      </w:hyperlink>
    </w:p>
    <w:p w14:paraId="3B99AAB1" w14:textId="77777777" w:rsidR="00CC5670" w:rsidRDefault="00CC5670">
      <w:pPr>
        <w:rPr>
          <w:b/>
        </w:rPr>
      </w:pPr>
    </w:p>
    <w:p w14:paraId="1136109C" w14:textId="25F65C67" w:rsidR="00CC5670" w:rsidRDefault="00C55858" w:rsidP="0044404E">
      <w:pPr>
        <w:pStyle w:val="Heading2"/>
      </w:pPr>
      <w:r>
        <w:t>Avenir FPT  / Changements de format</w:t>
      </w:r>
    </w:p>
    <w:p w14:paraId="6227EF03" w14:textId="77777777" w:rsidR="00CC5670" w:rsidRDefault="00CC5670">
      <w:pPr>
        <w:rPr>
          <w:b/>
        </w:rPr>
      </w:pPr>
    </w:p>
    <w:p w14:paraId="310924BA" w14:textId="78575BA2" w:rsidR="00CC5670" w:rsidRDefault="00C55858" w:rsidP="00310DC3">
      <w:pPr>
        <w:pStyle w:val="ListParagraph"/>
        <w:numPr>
          <w:ilvl w:val="0"/>
          <w:numId w:val="4"/>
        </w:numPr>
      </w:pPr>
      <w:r>
        <w:t>La fréquence des réunions deviendra mensuelle.</w:t>
      </w:r>
    </w:p>
    <w:p w14:paraId="46D2B6DB" w14:textId="5E3FBBF9" w:rsidR="00CC5670" w:rsidRPr="00D56325" w:rsidRDefault="00C55858" w:rsidP="00D56325">
      <w:pPr>
        <w:pStyle w:val="ListParagraph"/>
        <w:numPr>
          <w:ilvl w:val="0"/>
          <w:numId w:val="4"/>
        </w:numPr>
      </w:pPr>
      <w:r>
        <w:t>Nous essaierons de modifier le programme pour entendre d’abord les provinces et les territoires afin de mettre davantage l’accent sur les mises à jour et les enjeux provinciaux et territoriaux.</w:t>
      </w:r>
    </w:p>
    <w:sectPr w:rsidR="00CC5670" w:rsidRPr="00D5632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E905F" w14:textId="77777777" w:rsidR="00000000" w:rsidRDefault="00912020">
      <w:pPr>
        <w:spacing w:line="240" w:lineRule="auto"/>
      </w:pPr>
      <w:r>
        <w:separator/>
      </w:r>
    </w:p>
  </w:endnote>
  <w:endnote w:type="continuationSeparator" w:id="0">
    <w:p w14:paraId="7AB01C29" w14:textId="77777777" w:rsidR="00000000" w:rsidRDefault="009120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9233" w14:textId="77777777" w:rsidR="00C55858" w:rsidRDefault="00C55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3B34" w14:textId="77777777" w:rsidR="00C55858" w:rsidRDefault="00C558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2F45F" w14:textId="77777777" w:rsidR="00C55858" w:rsidRDefault="00C55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DCDBF" w14:textId="77777777" w:rsidR="00000000" w:rsidRDefault="00912020">
      <w:pPr>
        <w:spacing w:line="240" w:lineRule="auto"/>
      </w:pPr>
      <w:r>
        <w:separator/>
      </w:r>
    </w:p>
  </w:footnote>
  <w:footnote w:type="continuationSeparator" w:id="0">
    <w:p w14:paraId="4195F99E" w14:textId="77777777" w:rsidR="00000000" w:rsidRDefault="009120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112E" w14:textId="77777777" w:rsidR="00C55858" w:rsidRDefault="00C558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8E00" w14:textId="77777777" w:rsidR="00B61F7F" w:rsidRDefault="0091202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DFCADFA" wp14:editId="01AB194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1" name="MSIPCM830944bd993e0cc45975de32" descr="{&quot;HashCode&quot;:-1880398799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F48664" w14:textId="010AE5C2" w:rsidR="00B61F7F" w:rsidRPr="00C55858" w:rsidRDefault="00C55858" w:rsidP="00B61F7F">
                          <w:pPr>
                            <w:jc w:val="right"/>
                            <w:rPr>
                              <w:color w:val="000000"/>
                              <w:sz w:val="24"/>
                            </w:rPr>
                          </w:pPr>
                          <w:r w:rsidRPr="00C55858">
                            <w:rPr>
                              <w:color w:val="000000"/>
                              <w:sz w:val="24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1DFCADFA" id="_x0000_t202" coordsize="21600,21600" o:spt="202" path="m,l,21600r21600,l21600,xe">
              <v:stroke joinstyle="miter"/>
              <v:path gradientshapeok="t" o:connecttype="rect"/>
            </v:shapetype>
            <v:shape id="MSIPCM830944bd993e0cc45975de32" o:spid="_x0000_s1026" type="#_x0000_t202" alt="{&quot;HashCode&quot;:-1880398799,&quot;Height&quot;:792.0,&quot;Width&quot;:612.0,&quot;Placement&quot;:&quot;Header&quot;,&quot;Index&quot;:&quot;Primary&quot;,&quot;Section&quot;:1,&quot;Top&quot;:0.0,&quot;Left&quot;:0.0}" style="position:absolute;margin-left:0;margin-top:15pt;width:612pt;height:19.8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XqRDgIAABcEAAAOAAAAZHJzL2Uyb0RvYy54bWysU1tv2jAUfp+0/2D5fSRkUNqIULFWTJNQ&#10;W4lOfTaOQyLZPp5tSNiv37GTwNTtadqLc245l+98Z3nfKUlOwroGdEGnk5QSoTmUjT4U9Pvr5tMt&#10;Jc4zXTIJWhT0LBy9X338sGxNLjKoQZbCEkyiXd6agtbemzxJHK+FYm4CRmh0VmAV86jaQ1Ja1mJ2&#10;JZMsTW+SFmxpLHDhHFofeyddxfxVJbh/rionPJEFxd58fG189+FNVkuWHywzdcOHNtg/dKFYo7Ho&#10;JdUj84wcbfNHKtVwCw4qP+GgEqiqhos4A04zTd9Ns6uZEXEWBMeZC0zu/6XlT6edebHEd1+gwwUG&#10;QFrjcofGME9XWRW+2ClBP0J4vsAmOk84GheLRTZL0cXRl82z9G4e0iTXv411/qsARYJQUItriWix&#10;09b5PnQMCcU0bBop42qkJm1Bbz7P0/jDxYPJpcYa116D5Lt9Nwywh/KMc1noV+4M3zRYfMucf2EW&#10;d4z9Im/9Mz6VBCwCg0RJDfbn3+whHqFHLyUtcqag7seRWUGJ/KZxKXfT2SyQLCoo2ChkcwQHtf1o&#10;1kf1AMjHKZ6G4VEMwV6OYmVBvSGv16EcupjmWLSgfhQffE9hvAsu1usYhHwyzG/1zvCQOuAYMH3t&#10;3pg1A/AeV/YEI61Y/g7/PnZAtQdwUJB9caHDpQR6/67HqOs9r34BAAD//wMAUEsDBBQABgAIAAAA&#10;IQD/FRco3AAAAAcBAAAPAAAAZHJzL2Rvd25yZXYueG1sTI9BT4NAEIXvJv6HzZh4s4vYVEtZmtaE&#10;m4mhanpd2BGI7CxhFwr/3ulJT/Mmb/LeN+l+tp2YcPCtIwWPqwgEUuVMS7WCz4/84QWED5qM7hyh&#10;ggU97LPbm1Qnxl2owOkUasEh5BOtoAmhT6T0VYNW+5Xrkdj7doPVgdehlmbQFw63nYyjaCOtbokb&#10;Gt3ja4PVz2m0Csb14VguLp7e3o/nr2LOaSnys1L3d/NhByLgHP6O4YrP6JAxU+lGMl50CviRoOAp&#10;4nl143jNqlSw2T6DzFL5nz/7BQAA//8DAFBLAQItABQABgAIAAAAIQC2gziS/gAAAOEBAAATAAAA&#10;AAAAAAAAAAAAAAAAAABbQ29udGVudF9UeXBlc10ueG1sUEsBAi0AFAAGAAgAAAAhADj9If/WAAAA&#10;lAEAAAsAAAAAAAAAAAAAAAAALwEAAF9yZWxzLy5yZWxzUEsBAi0AFAAGAAgAAAAhAJjhepEOAgAA&#10;FwQAAA4AAAAAAAAAAAAAAAAALgIAAGRycy9lMm9Eb2MueG1sUEsBAi0AFAAGAAgAAAAhAP8VFyjc&#10;AAAABwEAAA8AAAAAAAAAAAAAAAAAaAQAAGRycy9kb3ducmV2LnhtbFBLBQYAAAAABAAEAPMAAABx&#10;BQAAAAA=&#10;" o:allowincell="f" filled="f" stroked="f" strokeweight=".5pt">
              <v:textbox inset=",0,20pt,0">
                <w:txbxContent>
                  <w:p w14:paraId="1BF48664" w14:textId="010AE5C2" w:rsidR="00B61F7F" w:rsidRPr="00C55858" w:rsidRDefault="00C55858" w:rsidP="00B61F7F">
                    <w:pPr>
                      <w:jc w:val="right"/>
                      <w:rPr>
                        <w:color w:val="000000"/>
                        <w:sz w:val="24"/>
                      </w:rPr>
                    </w:pPr>
                    <w:r w:rsidRPr="00C55858">
                      <w:rPr>
                        <w:color w:val="000000"/>
                        <w:sz w:val="24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BFA4" w14:textId="77777777" w:rsidR="00C55858" w:rsidRDefault="00C558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40772"/>
    <w:multiLevelType w:val="multilevel"/>
    <w:tmpl w:val="891EAA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6C83490"/>
    <w:multiLevelType w:val="hybridMultilevel"/>
    <w:tmpl w:val="772E8188"/>
    <w:lvl w:ilvl="0" w:tplc="4BB26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6E60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AE68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ABB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A58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2E5A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F0A9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70AE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2A92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45BC0"/>
    <w:multiLevelType w:val="hybridMultilevel"/>
    <w:tmpl w:val="2EF4C1CA"/>
    <w:lvl w:ilvl="0" w:tplc="3C421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443A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684E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7465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4461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B83E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6E6A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8A96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2EE7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D2A1B"/>
    <w:multiLevelType w:val="hybridMultilevel"/>
    <w:tmpl w:val="1184520A"/>
    <w:lvl w:ilvl="0" w:tplc="ADFAD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BCD6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40AD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C06D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90CC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586F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20B0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F6D3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0C57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236255">
    <w:abstractNumId w:val="0"/>
  </w:num>
  <w:num w:numId="2" w16cid:durableId="897209448">
    <w:abstractNumId w:val="3"/>
  </w:num>
  <w:num w:numId="3" w16cid:durableId="126289119">
    <w:abstractNumId w:val="1"/>
  </w:num>
  <w:num w:numId="4" w16cid:durableId="870923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670"/>
    <w:rsid w:val="00310DC3"/>
    <w:rsid w:val="0035713E"/>
    <w:rsid w:val="0044404E"/>
    <w:rsid w:val="004552CC"/>
    <w:rsid w:val="005261F4"/>
    <w:rsid w:val="006464A2"/>
    <w:rsid w:val="00673356"/>
    <w:rsid w:val="00717E82"/>
    <w:rsid w:val="00912020"/>
    <w:rsid w:val="009D02BA"/>
    <w:rsid w:val="00AF0AD4"/>
    <w:rsid w:val="00B61F7F"/>
    <w:rsid w:val="00C55858"/>
    <w:rsid w:val="00CB116A"/>
    <w:rsid w:val="00CC5670"/>
    <w:rsid w:val="00CE526D"/>
    <w:rsid w:val="00D03734"/>
    <w:rsid w:val="00D5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D6263"/>
  <w15:docId w15:val="{BE51CD60-80FC-4B07-B723-A538259C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61F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F7F"/>
  </w:style>
  <w:style w:type="paragraph" w:styleId="Footer">
    <w:name w:val="footer"/>
    <w:basedOn w:val="Normal"/>
    <w:link w:val="FooterChar"/>
    <w:uiPriority w:val="99"/>
    <w:unhideWhenUsed/>
    <w:rsid w:val="00B61F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F7F"/>
  </w:style>
  <w:style w:type="paragraph" w:styleId="ListParagraph">
    <w:name w:val="List Paragraph"/>
    <w:basedOn w:val="Normal"/>
    <w:uiPriority w:val="34"/>
    <w:qFormat/>
    <w:rsid w:val="009D02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0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2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2B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10DC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0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national.gc.ca/world-monde/issues_development-enjeux_developpement/response_conflict-reponse_conflits/crisis-crises/ukraine.aspx?lang=fra" TargetMode="External"/><Relationship Id="rId13" Type="http://schemas.openxmlformats.org/officeDocument/2006/relationships/hyperlink" Target="https://www.phn-rsp.ca/en/index.html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voyage.gc.ca/voyage-covid/voyage-restrictions/voyager-interieur?_ga=2.8586166.2007327441.1653935501-783398178.1653935501" TargetMode="External"/><Relationship Id="rId12" Type="http://schemas.openxmlformats.org/officeDocument/2006/relationships/hyperlink" Target="https://www.ontario.ca/fr/page/venir-en-ontario-depuis-lukrain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ante-infobase.canada.ca/covid-19/eaux-usees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ukon.ca/fr/contact-ukrainian-family-support-desk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health-infobase.canada.ca/covid-19/wastewater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mcahfx.ca/ns-supports-ukraine/ukrainian-nationals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kraine.princeedwardisland.ca/FR" TargetMode="External"/><Relationship Id="rId14" Type="http://schemas.openxmlformats.org/officeDocument/2006/relationships/hyperlink" Target="https://www.phn-rsp.ca/fr/index.htm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Piper, Laura</dc:creator>
  <cp:lastModifiedBy>Pascal Buhayirwa</cp:lastModifiedBy>
  <cp:revision>9</cp:revision>
  <dcterms:created xsi:type="dcterms:W3CDTF">2022-05-30T18:03:00Z</dcterms:created>
  <dcterms:modified xsi:type="dcterms:W3CDTF">2022-05-30T19:11:00Z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d0ca00b-3f0e-465a-aac7-1a6a22fcea40_ActionId">
    <vt:lpwstr>c42f8e91-c881-48da-859c-09a2dfd4b84b</vt:lpwstr>
  </property>
  <property fmtid="{D5CDD505-2E9C-101B-9397-08002B2CF9AE}" pid="3" name="MSIP_Label_3d0ca00b-3f0e-465a-aac7-1a6a22fcea40_ContentBits">
    <vt:lpwstr>1</vt:lpwstr>
  </property>
  <property fmtid="{D5CDD505-2E9C-101B-9397-08002B2CF9AE}" pid="4" name="MSIP_Label_3d0ca00b-3f0e-465a-aac7-1a6a22fcea40_Enabled">
    <vt:lpwstr>true</vt:lpwstr>
  </property>
  <property fmtid="{D5CDD505-2E9C-101B-9397-08002B2CF9AE}" pid="5" name="MSIP_Label_3d0ca00b-3f0e-465a-aac7-1a6a22fcea40_Method">
    <vt:lpwstr>Privileged</vt:lpwstr>
  </property>
  <property fmtid="{D5CDD505-2E9C-101B-9397-08002B2CF9AE}" pid="6" name="MSIP_Label_3d0ca00b-3f0e-465a-aac7-1a6a22fcea40_Name">
    <vt:lpwstr>3d0ca00b-3f0e-465a-aac7-1a6a22fcea40</vt:lpwstr>
  </property>
  <property fmtid="{D5CDD505-2E9C-101B-9397-08002B2CF9AE}" pid="7" name="MSIP_Label_3d0ca00b-3f0e-465a-aac7-1a6a22fcea40_SetDate">
    <vt:lpwstr>2022-05-30T17:20:27Z</vt:lpwstr>
  </property>
  <property fmtid="{D5CDD505-2E9C-101B-9397-08002B2CF9AE}" pid="8" name="MSIP_Label_3d0ca00b-3f0e-465a-aac7-1a6a22fcea40_SiteId">
    <vt:lpwstr>6397df10-4595-4047-9c4f-03311282152b</vt:lpwstr>
  </property>
</Properties>
</file>