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CC668D" w:rsidRPr="007E1026" w:rsidTr="00686450">
        <w:trPr>
          <w:cantSplit/>
        </w:trPr>
        <w:tc>
          <w:tcPr>
            <w:tcW w:w="10188" w:type="dxa"/>
            <w:shd w:val="clear" w:color="auto" w:fill="F2F2F2"/>
          </w:tcPr>
          <w:p w:rsidR="00CC668D" w:rsidRPr="007E1026" w:rsidRDefault="002B3B45" w:rsidP="00D34885">
            <w:pPr>
              <w:spacing w:before="120" w:after="120" w:line="240" w:lineRule="auto"/>
              <w:jc w:val="both"/>
              <w:rPr>
                <w:sz w:val="20"/>
                <w:szCs w:val="20"/>
                <w:lang/>
              </w:rPr>
            </w:pPr>
            <w:r w:rsidRPr="00AF2B23">
              <w:rPr>
                <w:rFonts w:cs="Calibri"/>
                <w:sz w:val="20"/>
                <w:szCs w:val="20"/>
                <w:lang/>
              </w:rPr>
              <w:t>This Labour Market Bulletin provides an analysis of Labour Force Survey results for the province of Alberta, including the regions of Calgary, Edmonton, Central Alberta and Mountain Parks, Southern Alberta, and Northern Alberta.</w:t>
            </w:r>
          </w:p>
        </w:tc>
      </w:tr>
    </w:tbl>
    <w:p w:rsidR="00CC668D" w:rsidRDefault="00CC668D" w:rsidP="00CC668D">
      <w:pPr>
        <w:overflowPunct w:val="0"/>
        <w:autoSpaceDE w:val="0"/>
        <w:autoSpaceDN w:val="0"/>
        <w:adjustRightInd w:val="0"/>
        <w:spacing w:before="120" w:after="120" w:line="240" w:lineRule="auto"/>
        <w:jc w:val="both"/>
        <w:textAlignment w:val="baseline"/>
        <w:rPr>
          <w:rFonts w:eastAsia="Times New Roman" w:cs="Arial"/>
        </w:rPr>
      </w:pPr>
    </w:p>
    <w:tbl>
      <w:tblPr>
        <w:tblW w:w="10188" w:type="dxa"/>
        <w:tblLook w:val="04A0"/>
      </w:tblPr>
      <w:tblGrid>
        <w:gridCol w:w="10188"/>
      </w:tblGrid>
      <w:tr w:rsidR="00CC668D" w:rsidRPr="00DE0335" w:rsidTr="00686450">
        <w:trPr>
          <w:cantSplit/>
          <w:trHeight w:val="20"/>
        </w:trPr>
        <w:tc>
          <w:tcPr>
            <w:tcW w:w="10188" w:type="dxa"/>
            <w:shd w:val="clear" w:color="auto" w:fill="1F497D"/>
            <w:vAlign w:val="center"/>
          </w:tcPr>
          <w:p w:rsidR="00CC668D" w:rsidRPr="0000745B" w:rsidRDefault="00CC668D" w:rsidP="00686450">
            <w:pPr>
              <w:spacing w:before="120" w:after="120" w:line="240" w:lineRule="auto"/>
              <w:rPr>
                <w:b/>
                <w:caps/>
                <w:color w:val="FFFFFF"/>
                <w:sz w:val="24"/>
                <w:szCs w:val="24"/>
                <w:lang w:val="en-US"/>
              </w:rPr>
            </w:pPr>
            <w:r>
              <w:rPr>
                <w:b/>
                <w:caps/>
                <w:color w:val="FFFFFF"/>
                <w:sz w:val="24"/>
                <w:szCs w:val="24"/>
                <w:lang w:val="en-US"/>
              </w:rPr>
              <w:t>OVERVIEW</w:t>
            </w:r>
          </w:p>
        </w:tc>
      </w:tr>
    </w:tbl>
    <w:p w:rsidR="00E6142D" w:rsidRPr="00E6142D" w:rsidRDefault="00800FB2" w:rsidP="00771756">
      <w:pPr>
        <w:spacing w:before="240" w:after="240"/>
        <w:jc w:val="both"/>
      </w:pPr>
      <w:r>
        <w:t>E</w:t>
      </w:r>
      <w:r w:rsidR="00641FA1" w:rsidRPr="00E6142D">
        <w:t xml:space="preserve">mployment in Alberta </w:t>
      </w:r>
      <w:r w:rsidR="001E0083">
        <w:t xml:space="preserve">fell sharply </w:t>
      </w:r>
      <w:r w:rsidR="00E6142D" w:rsidRPr="00E6142D">
        <w:t xml:space="preserve">in </w:t>
      </w:r>
      <w:r w:rsidR="008A336A">
        <w:t>Novem</w:t>
      </w:r>
      <w:r>
        <w:t>ber</w:t>
      </w:r>
      <w:r w:rsidR="00B6742E">
        <w:t xml:space="preserve">, declining </w:t>
      </w:r>
      <w:r w:rsidR="000A156E">
        <w:t xml:space="preserve">by </w:t>
      </w:r>
      <w:r w:rsidR="00DE67D7">
        <w:t>18,2</w:t>
      </w:r>
      <w:r w:rsidR="00D332CA">
        <w:t>00</w:t>
      </w:r>
      <w:r w:rsidR="00DE67D7">
        <w:t xml:space="preserve"> (-0.8</w:t>
      </w:r>
      <w:r w:rsidR="00D332CA">
        <w:t>%</w:t>
      </w:r>
      <w:r w:rsidR="00B6742E">
        <w:t xml:space="preserve">) and erasing </w:t>
      </w:r>
      <w:r w:rsidR="00C62CDF">
        <w:t>the gains of the previous three</w:t>
      </w:r>
      <w:r w:rsidR="001E0083">
        <w:t xml:space="preserve"> months</w:t>
      </w:r>
      <w:r w:rsidR="002C22DA">
        <w:t xml:space="preserve">. </w:t>
      </w:r>
      <w:r w:rsidR="00A2277F">
        <w:t xml:space="preserve"> </w:t>
      </w:r>
      <w:r w:rsidR="00C62CDF">
        <w:t xml:space="preserve">Full-time </w:t>
      </w:r>
      <w:r w:rsidR="001E0083">
        <w:t>employment</w:t>
      </w:r>
      <w:r w:rsidR="00C62CDF">
        <w:t xml:space="preserve"> </w:t>
      </w:r>
      <w:r w:rsidR="00B6742E">
        <w:t>was down</w:t>
      </w:r>
      <w:r w:rsidR="00C62CDF">
        <w:t xml:space="preserve"> by </w:t>
      </w:r>
      <w:r w:rsidR="002C22DA">
        <w:t>1</w:t>
      </w:r>
      <w:r w:rsidR="00D332CA">
        <w:t>4</w:t>
      </w:r>
      <w:r w:rsidR="002C22DA">
        <w:t>,</w:t>
      </w:r>
      <w:r w:rsidR="00C62CDF">
        <w:t>1</w:t>
      </w:r>
      <w:r w:rsidR="0091693B">
        <w:t xml:space="preserve">00; </w:t>
      </w:r>
      <w:r w:rsidR="001E0083">
        <w:t xml:space="preserve">while the number of workers with </w:t>
      </w:r>
      <w:r w:rsidR="00A2277F">
        <w:t>one or</w:t>
      </w:r>
      <w:r w:rsidR="00AE60F2">
        <w:t xml:space="preserve"> more </w:t>
      </w:r>
      <w:r w:rsidR="00C62CDF">
        <w:t>p</w:t>
      </w:r>
      <w:r w:rsidR="002C22DA">
        <w:t xml:space="preserve">art-time </w:t>
      </w:r>
      <w:r w:rsidR="001E0083">
        <w:t>job</w:t>
      </w:r>
      <w:r w:rsidR="00C62CDF">
        <w:t xml:space="preserve">s </w:t>
      </w:r>
      <w:r w:rsidR="007E0F41">
        <w:t xml:space="preserve">slipped </w:t>
      </w:r>
      <w:r w:rsidR="00C62CDF">
        <w:t>by 4,100</w:t>
      </w:r>
      <w:r w:rsidR="00A2277F">
        <w:t xml:space="preserve"> </w:t>
      </w:r>
      <w:r w:rsidR="007E0F41">
        <w:t xml:space="preserve">in the private sector </w:t>
      </w:r>
      <w:r w:rsidR="00AE60F2">
        <w:t xml:space="preserve">on the month </w:t>
      </w:r>
      <w:r w:rsidR="007E0F41">
        <w:t>(-</w:t>
      </w:r>
      <w:r w:rsidR="004C149F">
        <w:t>23,000</w:t>
      </w:r>
      <w:r w:rsidR="007E0F41">
        <w:t>)</w:t>
      </w:r>
      <w:r w:rsidR="00AE60F2">
        <w:t>.</w:t>
      </w:r>
      <w:r w:rsidR="00A2277F">
        <w:t xml:space="preserve"> </w:t>
      </w:r>
      <w:r w:rsidR="00AE60F2">
        <w:t>Employment in the p</w:t>
      </w:r>
      <w:r w:rsidR="006211B2">
        <w:t xml:space="preserve">ublic sector </w:t>
      </w:r>
      <w:r w:rsidR="00AE60F2">
        <w:t>was</w:t>
      </w:r>
      <w:r w:rsidR="006211B2">
        <w:t xml:space="preserve"> little changed </w:t>
      </w:r>
      <w:r w:rsidR="007E0F41">
        <w:t>(-</w:t>
      </w:r>
      <w:r w:rsidR="004C149F">
        <w:t>400</w:t>
      </w:r>
      <w:r w:rsidR="009E7351" w:rsidRPr="009E7351">
        <w:t xml:space="preserve"> </w:t>
      </w:r>
      <w:r w:rsidR="009E7351">
        <w:t>z</w:t>
      </w:r>
      <w:r w:rsidR="007E0F41">
        <w:t>)</w:t>
      </w:r>
      <w:r w:rsidR="00015B59">
        <w:t>, while</w:t>
      </w:r>
      <w:r w:rsidR="00A2277F">
        <w:t xml:space="preserve"> </w:t>
      </w:r>
      <w:r w:rsidR="00015B59">
        <w:t>s</w:t>
      </w:r>
      <w:r w:rsidR="0089337D">
        <w:t>elf-employ</w:t>
      </w:r>
      <w:r w:rsidR="007E0F41">
        <w:t xml:space="preserve">ment increased </w:t>
      </w:r>
      <w:r w:rsidR="00AE60F2">
        <w:t xml:space="preserve">by </w:t>
      </w:r>
      <w:r w:rsidR="004C149F">
        <w:t>5,100</w:t>
      </w:r>
      <w:r w:rsidR="0089337D">
        <w:t>.</w:t>
      </w:r>
      <w:r w:rsidR="0089337D">
        <w:rPr>
          <w:rStyle w:val="EndnoteReference"/>
        </w:rPr>
        <w:endnoteReference w:id="2"/>
      </w:r>
    </w:p>
    <w:tbl>
      <w:tblPr>
        <w:tblW w:w="10120" w:type="dxa"/>
        <w:tblLook w:val="04A0"/>
      </w:tblPr>
      <w:tblGrid>
        <w:gridCol w:w="2600"/>
        <w:gridCol w:w="1380"/>
        <w:gridCol w:w="1420"/>
        <w:gridCol w:w="1340"/>
        <w:gridCol w:w="1200"/>
        <w:gridCol w:w="600"/>
        <w:gridCol w:w="1040"/>
        <w:gridCol w:w="540"/>
      </w:tblGrid>
      <w:tr w:rsidR="008A336A" w:rsidRPr="008A336A" w:rsidTr="008A336A">
        <w:trPr>
          <w:trHeight w:val="315"/>
        </w:trPr>
        <w:tc>
          <w:tcPr>
            <w:tcW w:w="10120" w:type="dxa"/>
            <w:gridSpan w:val="8"/>
            <w:tcBorders>
              <w:top w:val="nil"/>
              <w:left w:val="nil"/>
              <w:bottom w:val="nil"/>
              <w:right w:val="nil"/>
            </w:tcBorders>
            <w:shd w:val="clear" w:color="auto" w:fill="auto"/>
            <w:hideMark/>
          </w:tcPr>
          <w:p w:rsidR="008A336A" w:rsidRPr="008A336A" w:rsidRDefault="008A336A" w:rsidP="008A336A">
            <w:pPr>
              <w:spacing w:after="0" w:line="240" w:lineRule="auto"/>
              <w:jc w:val="center"/>
              <w:rPr>
                <w:rFonts w:eastAsia="Times New Roman" w:cs="Calibri"/>
                <w:b/>
                <w:bCs/>
                <w:color w:val="000000"/>
                <w:lang w:eastAsia="en-CA"/>
              </w:rPr>
            </w:pPr>
            <w:r w:rsidRPr="008A336A">
              <w:rPr>
                <w:rFonts w:eastAsia="Times New Roman" w:cs="Calibri"/>
                <w:b/>
                <w:bCs/>
                <w:color w:val="000000"/>
                <w:lang w:eastAsia="en-CA"/>
              </w:rPr>
              <w:t>Alberta Monthly Labour Force Statistics</w:t>
            </w:r>
          </w:p>
        </w:tc>
      </w:tr>
      <w:tr w:rsidR="008A336A" w:rsidRPr="008A336A" w:rsidTr="00A2277F">
        <w:trPr>
          <w:trHeight w:val="300"/>
        </w:trPr>
        <w:tc>
          <w:tcPr>
            <w:tcW w:w="2600" w:type="dxa"/>
            <w:tcBorders>
              <w:top w:val="single" w:sz="12" w:space="0" w:color="808080"/>
              <w:left w:val="single" w:sz="12" w:space="0" w:color="808080"/>
              <w:bottom w:val="nil"/>
              <w:right w:val="single" w:sz="12" w:space="0" w:color="808080"/>
            </w:tcBorders>
            <w:shd w:val="clear" w:color="000000" w:fill="1F497D"/>
            <w:vAlign w:val="center"/>
            <w:hideMark/>
          </w:tcPr>
          <w:p w:rsidR="008A336A" w:rsidRPr="008A336A" w:rsidRDefault="008A336A" w:rsidP="008A336A">
            <w:pPr>
              <w:spacing w:after="0" w:line="240" w:lineRule="auto"/>
              <w:jc w:val="center"/>
              <w:rPr>
                <w:rFonts w:eastAsia="Times New Roman" w:cs="Calibri"/>
                <w:b/>
                <w:bCs/>
                <w:color w:val="FFFFFF"/>
                <w:sz w:val="18"/>
                <w:szCs w:val="18"/>
                <w:lang w:eastAsia="en-CA"/>
              </w:rPr>
            </w:pPr>
            <w:r w:rsidRPr="008A336A">
              <w:rPr>
                <w:rFonts w:eastAsia="Times New Roman" w:cs="Calibri"/>
                <w:b/>
                <w:bCs/>
                <w:color w:val="FFFFFF"/>
                <w:sz w:val="18"/>
                <w:szCs w:val="18"/>
                <w:lang w:eastAsia="en-CA"/>
              </w:rPr>
              <w:t xml:space="preserve">Seasonally Adjusted </w:t>
            </w:r>
          </w:p>
        </w:tc>
        <w:tc>
          <w:tcPr>
            <w:tcW w:w="1380" w:type="dxa"/>
            <w:vMerge w:val="restart"/>
            <w:tcBorders>
              <w:top w:val="single" w:sz="12" w:space="0" w:color="808080"/>
              <w:left w:val="single" w:sz="12" w:space="0" w:color="808080"/>
              <w:bottom w:val="single" w:sz="12" w:space="0" w:color="808080"/>
              <w:right w:val="single" w:sz="8" w:space="0" w:color="808080"/>
            </w:tcBorders>
            <w:shd w:val="clear" w:color="000000" w:fill="1F497D"/>
            <w:vAlign w:val="center"/>
            <w:hideMark/>
          </w:tcPr>
          <w:p w:rsidR="008A336A" w:rsidRPr="008A336A" w:rsidRDefault="008A336A" w:rsidP="008A336A">
            <w:pPr>
              <w:spacing w:after="0" w:line="240" w:lineRule="auto"/>
              <w:jc w:val="center"/>
              <w:rPr>
                <w:rFonts w:eastAsia="Times New Roman" w:cs="Calibri"/>
                <w:b/>
                <w:bCs/>
                <w:color w:val="FFFFFF"/>
                <w:sz w:val="18"/>
                <w:szCs w:val="18"/>
                <w:lang w:eastAsia="en-CA"/>
              </w:rPr>
            </w:pPr>
            <w:r w:rsidRPr="008A336A">
              <w:rPr>
                <w:rFonts w:eastAsia="Times New Roman" w:cs="Calibri"/>
                <w:b/>
                <w:bCs/>
                <w:color w:val="FFFFFF"/>
                <w:sz w:val="18"/>
                <w:szCs w:val="18"/>
                <w:lang w:eastAsia="en-CA"/>
              </w:rPr>
              <w:t>November 2019</w:t>
            </w:r>
          </w:p>
        </w:tc>
        <w:tc>
          <w:tcPr>
            <w:tcW w:w="1420" w:type="dxa"/>
            <w:vMerge w:val="restart"/>
            <w:tcBorders>
              <w:top w:val="single" w:sz="12" w:space="0" w:color="808080"/>
              <w:left w:val="single" w:sz="8" w:space="0" w:color="808080"/>
              <w:bottom w:val="single" w:sz="12" w:space="0" w:color="808080"/>
              <w:right w:val="single" w:sz="8" w:space="0" w:color="808080"/>
            </w:tcBorders>
            <w:shd w:val="clear" w:color="000000" w:fill="1F497D"/>
            <w:vAlign w:val="center"/>
            <w:hideMark/>
          </w:tcPr>
          <w:p w:rsidR="008A336A" w:rsidRPr="008A336A" w:rsidRDefault="008A336A" w:rsidP="008A336A">
            <w:pPr>
              <w:spacing w:after="0" w:line="240" w:lineRule="auto"/>
              <w:jc w:val="center"/>
              <w:rPr>
                <w:rFonts w:eastAsia="Times New Roman" w:cs="Calibri"/>
                <w:b/>
                <w:bCs/>
                <w:color w:val="FFFFFF"/>
                <w:sz w:val="18"/>
                <w:szCs w:val="18"/>
                <w:lang w:eastAsia="en-CA"/>
              </w:rPr>
            </w:pPr>
            <w:r w:rsidRPr="008A336A">
              <w:rPr>
                <w:rFonts w:eastAsia="Times New Roman" w:cs="Calibri"/>
                <w:b/>
                <w:bCs/>
                <w:color w:val="FFFFFF"/>
                <w:sz w:val="18"/>
                <w:szCs w:val="18"/>
                <w:lang w:eastAsia="en-CA"/>
              </w:rPr>
              <w:t>October 2019</w:t>
            </w:r>
          </w:p>
        </w:tc>
        <w:tc>
          <w:tcPr>
            <w:tcW w:w="1340" w:type="dxa"/>
            <w:vMerge w:val="restart"/>
            <w:tcBorders>
              <w:top w:val="single" w:sz="12" w:space="0" w:color="808080"/>
              <w:left w:val="single" w:sz="8" w:space="0" w:color="808080"/>
              <w:bottom w:val="single" w:sz="12" w:space="0" w:color="808080"/>
              <w:right w:val="single" w:sz="12" w:space="0" w:color="808080"/>
            </w:tcBorders>
            <w:shd w:val="clear" w:color="000000" w:fill="1F497D"/>
            <w:vAlign w:val="center"/>
            <w:hideMark/>
          </w:tcPr>
          <w:p w:rsidR="008A336A" w:rsidRPr="008A336A" w:rsidRDefault="008A336A" w:rsidP="008A336A">
            <w:pPr>
              <w:spacing w:after="0" w:line="240" w:lineRule="auto"/>
              <w:jc w:val="center"/>
              <w:rPr>
                <w:rFonts w:eastAsia="Times New Roman" w:cs="Calibri"/>
                <w:b/>
                <w:bCs/>
                <w:color w:val="FFFFFF"/>
                <w:sz w:val="18"/>
                <w:szCs w:val="18"/>
                <w:lang w:eastAsia="en-CA"/>
              </w:rPr>
            </w:pPr>
            <w:r w:rsidRPr="008A336A">
              <w:rPr>
                <w:rFonts w:eastAsia="Times New Roman" w:cs="Calibri"/>
                <w:b/>
                <w:bCs/>
                <w:color w:val="FFFFFF"/>
                <w:sz w:val="18"/>
                <w:szCs w:val="18"/>
                <w:lang w:eastAsia="en-CA"/>
              </w:rPr>
              <w:t>November 2018</w:t>
            </w:r>
          </w:p>
        </w:tc>
        <w:tc>
          <w:tcPr>
            <w:tcW w:w="1800" w:type="dxa"/>
            <w:gridSpan w:val="2"/>
            <w:tcBorders>
              <w:top w:val="single" w:sz="12" w:space="0" w:color="808080"/>
              <w:left w:val="nil"/>
              <w:bottom w:val="nil"/>
              <w:right w:val="single" w:sz="12" w:space="0" w:color="808080"/>
            </w:tcBorders>
            <w:shd w:val="clear" w:color="000000" w:fill="1F497D"/>
            <w:vAlign w:val="center"/>
            <w:hideMark/>
          </w:tcPr>
          <w:p w:rsidR="008A336A" w:rsidRPr="008A336A" w:rsidRDefault="008A336A" w:rsidP="008A336A">
            <w:pPr>
              <w:spacing w:after="0" w:line="240" w:lineRule="auto"/>
              <w:jc w:val="center"/>
              <w:rPr>
                <w:rFonts w:eastAsia="Times New Roman" w:cs="Calibri"/>
                <w:b/>
                <w:bCs/>
                <w:color w:val="FFFFFF"/>
                <w:sz w:val="18"/>
                <w:szCs w:val="18"/>
                <w:lang w:eastAsia="en-CA"/>
              </w:rPr>
            </w:pPr>
            <w:r w:rsidRPr="008A336A">
              <w:rPr>
                <w:rFonts w:eastAsia="Times New Roman" w:cs="Calibri"/>
                <w:b/>
                <w:bCs/>
                <w:color w:val="FFFFFF"/>
                <w:sz w:val="18"/>
                <w:szCs w:val="18"/>
                <w:lang w:eastAsia="en-CA"/>
              </w:rPr>
              <w:t>Monthly Variation</w:t>
            </w:r>
          </w:p>
        </w:tc>
        <w:tc>
          <w:tcPr>
            <w:tcW w:w="1580" w:type="dxa"/>
            <w:gridSpan w:val="2"/>
            <w:tcBorders>
              <w:top w:val="single" w:sz="12" w:space="0" w:color="808080"/>
              <w:left w:val="nil"/>
              <w:bottom w:val="nil"/>
              <w:right w:val="single" w:sz="12" w:space="0" w:color="808080"/>
            </w:tcBorders>
            <w:shd w:val="clear" w:color="000000" w:fill="1F497D"/>
            <w:vAlign w:val="center"/>
            <w:hideMark/>
          </w:tcPr>
          <w:p w:rsidR="008A336A" w:rsidRPr="008A336A" w:rsidRDefault="008A336A" w:rsidP="008A336A">
            <w:pPr>
              <w:spacing w:after="0" w:line="240" w:lineRule="auto"/>
              <w:jc w:val="center"/>
              <w:rPr>
                <w:rFonts w:eastAsia="Times New Roman" w:cs="Calibri"/>
                <w:b/>
                <w:bCs/>
                <w:color w:val="FFFFFF"/>
                <w:sz w:val="18"/>
                <w:szCs w:val="18"/>
                <w:lang w:eastAsia="en-CA"/>
              </w:rPr>
            </w:pPr>
            <w:r w:rsidRPr="008A336A">
              <w:rPr>
                <w:rFonts w:eastAsia="Times New Roman" w:cs="Calibri"/>
                <w:b/>
                <w:bCs/>
                <w:color w:val="FFFFFF"/>
                <w:sz w:val="18"/>
                <w:szCs w:val="18"/>
                <w:lang w:eastAsia="en-CA"/>
              </w:rPr>
              <w:t>Yearly Variation</w:t>
            </w:r>
          </w:p>
        </w:tc>
      </w:tr>
      <w:tr w:rsidR="008A336A" w:rsidRPr="008A336A" w:rsidTr="00A2277F">
        <w:trPr>
          <w:trHeight w:val="255"/>
        </w:trPr>
        <w:tc>
          <w:tcPr>
            <w:tcW w:w="2600" w:type="dxa"/>
            <w:tcBorders>
              <w:top w:val="nil"/>
              <w:left w:val="single" w:sz="12" w:space="0" w:color="808080"/>
              <w:bottom w:val="single" w:sz="12" w:space="0" w:color="808080"/>
              <w:right w:val="single" w:sz="12" w:space="0" w:color="808080"/>
            </w:tcBorders>
            <w:shd w:val="clear" w:color="000000" w:fill="1F497D"/>
            <w:vAlign w:val="center"/>
            <w:hideMark/>
          </w:tcPr>
          <w:p w:rsidR="008A336A" w:rsidRPr="008A336A" w:rsidRDefault="008A336A" w:rsidP="008A336A">
            <w:pPr>
              <w:spacing w:after="0" w:line="240" w:lineRule="auto"/>
              <w:jc w:val="center"/>
              <w:rPr>
                <w:rFonts w:eastAsia="Times New Roman" w:cs="Calibri"/>
                <w:b/>
                <w:bCs/>
                <w:color w:val="FFFFFF"/>
                <w:sz w:val="18"/>
                <w:szCs w:val="18"/>
                <w:lang w:eastAsia="en-CA"/>
              </w:rPr>
            </w:pPr>
            <w:r w:rsidRPr="008A336A">
              <w:rPr>
                <w:rFonts w:eastAsia="Times New Roman" w:cs="Calibri"/>
                <w:b/>
                <w:bCs/>
                <w:color w:val="FFFFFF"/>
                <w:sz w:val="18"/>
                <w:szCs w:val="18"/>
                <w:lang w:eastAsia="en-CA"/>
              </w:rPr>
              <w:t>Monthly Data</w:t>
            </w:r>
          </w:p>
        </w:tc>
        <w:tc>
          <w:tcPr>
            <w:tcW w:w="1380" w:type="dxa"/>
            <w:vMerge/>
            <w:tcBorders>
              <w:top w:val="single" w:sz="12" w:space="0" w:color="808080"/>
              <w:left w:val="single" w:sz="12" w:space="0" w:color="808080"/>
              <w:bottom w:val="single" w:sz="12" w:space="0" w:color="808080"/>
              <w:right w:val="single" w:sz="8" w:space="0" w:color="808080"/>
            </w:tcBorders>
            <w:vAlign w:val="center"/>
            <w:hideMark/>
          </w:tcPr>
          <w:p w:rsidR="008A336A" w:rsidRPr="008A336A" w:rsidRDefault="008A336A" w:rsidP="008A336A">
            <w:pPr>
              <w:spacing w:after="0" w:line="240" w:lineRule="auto"/>
              <w:rPr>
                <w:rFonts w:eastAsia="Times New Roman" w:cs="Calibri"/>
                <w:b/>
                <w:bCs/>
                <w:color w:val="FFFFFF"/>
                <w:sz w:val="18"/>
                <w:szCs w:val="18"/>
                <w:lang w:eastAsia="en-CA"/>
              </w:rPr>
            </w:pPr>
          </w:p>
        </w:tc>
        <w:tc>
          <w:tcPr>
            <w:tcW w:w="1420" w:type="dxa"/>
            <w:vMerge/>
            <w:tcBorders>
              <w:top w:val="single" w:sz="12" w:space="0" w:color="808080"/>
              <w:left w:val="single" w:sz="8" w:space="0" w:color="808080"/>
              <w:bottom w:val="single" w:sz="12" w:space="0" w:color="808080"/>
              <w:right w:val="single" w:sz="8" w:space="0" w:color="808080"/>
            </w:tcBorders>
            <w:vAlign w:val="center"/>
            <w:hideMark/>
          </w:tcPr>
          <w:p w:rsidR="008A336A" w:rsidRPr="008A336A" w:rsidRDefault="008A336A" w:rsidP="008A336A">
            <w:pPr>
              <w:spacing w:after="0" w:line="240" w:lineRule="auto"/>
              <w:rPr>
                <w:rFonts w:eastAsia="Times New Roman" w:cs="Calibri"/>
                <w:b/>
                <w:bCs/>
                <w:color w:val="FFFFFF"/>
                <w:sz w:val="18"/>
                <w:szCs w:val="18"/>
                <w:lang w:eastAsia="en-CA"/>
              </w:rPr>
            </w:pPr>
          </w:p>
        </w:tc>
        <w:tc>
          <w:tcPr>
            <w:tcW w:w="1340" w:type="dxa"/>
            <w:vMerge/>
            <w:tcBorders>
              <w:top w:val="single" w:sz="12" w:space="0" w:color="808080"/>
              <w:left w:val="single" w:sz="8" w:space="0" w:color="808080"/>
              <w:bottom w:val="single" w:sz="12" w:space="0" w:color="808080"/>
              <w:right w:val="single" w:sz="12" w:space="0" w:color="808080"/>
            </w:tcBorders>
            <w:vAlign w:val="center"/>
            <w:hideMark/>
          </w:tcPr>
          <w:p w:rsidR="008A336A" w:rsidRPr="008A336A" w:rsidRDefault="008A336A" w:rsidP="008A336A">
            <w:pPr>
              <w:spacing w:after="0" w:line="240" w:lineRule="auto"/>
              <w:rPr>
                <w:rFonts w:eastAsia="Times New Roman" w:cs="Calibri"/>
                <w:b/>
                <w:bCs/>
                <w:color w:val="FFFFFF"/>
                <w:sz w:val="18"/>
                <w:szCs w:val="18"/>
                <w:lang w:eastAsia="en-CA"/>
              </w:rPr>
            </w:pPr>
          </w:p>
        </w:tc>
        <w:tc>
          <w:tcPr>
            <w:tcW w:w="1200" w:type="dxa"/>
            <w:tcBorders>
              <w:top w:val="single" w:sz="4" w:space="0" w:color="808080"/>
              <w:left w:val="nil"/>
              <w:bottom w:val="nil"/>
              <w:right w:val="nil"/>
            </w:tcBorders>
            <w:shd w:val="clear" w:color="000000" w:fill="1F497D"/>
            <w:hideMark/>
          </w:tcPr>
          <w:p w:rsidR="008A336A" w:rsidRPr="008A336A" w:rsidRDefault="008A336A" w:rsidP="008A336A">
            <w:pPr>
              <w:spacing w:after="0" w:line="240" w:lineRule="auto"/>
              <w:jc w:val="center"/>
              <w:rPr>
                <w:rFonts w:eastAsia="Times New Roman" w:cs="Calibri"/>
                <w:b/>
                <w:bCs/>
                <w:color w:val="FFFFFF"/>
                <w:sz w:val="18"/>
                <w:szCs w:val="18"/>
                <w:lang w:eastAsia="en-CA"/>
              </w:rPr>
            </w:pPr>
            <w:r w:rsidRPr="008A336A">
              <w:rPr>
                <w:rFonts w:eastAsia="Times New Roman" w:cs="Calibri"/>
                <w:b/>
                <w:bCs/>
                <w:color w:val="FFFFFF"/>
                <w:sz w:val="18"/>
                <w:szCs w:val="18"/>
                <w:lang w:eastAsia="en-CA"/>
              </w:rPr>
              <w:t>Number</w:t>
            </w:r>
          </w:p>
        </w:tc>
        <w:tc>
          <w:tcPr>
            <w:tcW w:w="600" w:type="dxa"/>
            <w:tcBorders>
              <w:top w:val="single" w:sz="4" w:space="0" w:color="808080"/>
              <w:left w:val="single" w:sz="4" w:space="0" w:color="808080"/>
              <w:bottom w:val="single" w:sz="12" w:space="0" w:color="808080"/>
              <w:right w:val="nil"/>
            </w:tcBorders>
            <w:shd w:val="clear" w:color="000000" w:fill="1F497D"/>
            <w:hideMark/>
          </w:tcPr>
          <w:p w:rsidR="008A336A" w:rsidRPr="008A336A" w:rsidRDefault="008A336A" w:rsidP="008A336A">
            <w:pPr>
              <w:spacing w:after="0" w:line="240" w:lineRule="auto"/>
              <w:jc w:val="center"/>
              <w:rPr>
                <w:rFonts w:eastAsia="Times New Roman" w:cs="Calibri"/>
                <w:b/>
                <w:bCs/>
                <w:color w:val="FFFFFF"/>
                <w:sz w:val="18"/>
                <w:szCs w:val="18"/>
                <w:lang w:eastAsia="en-CA"/>
              </w:rPr>
            </w:pPr>
            <w:r w:rsidRPr="008A336A">
              <w:rPr>
                <w:rFonts w:eastAsia="Times New Roman" w:cs="Calibri"/>
                <w:b/>
                <w:bCs/>
                <w:color w:val="FFFFFF"/>
                <w:sz w:val="18"/>
                <w:szCs w:val="18"/>
                <w:lang w:eastAsia="en-CA"/>
              </w:rPr>
              <w:t>%</w:t>
            </w:r>
          </w:p>
        </w:tc>
        <w:tc>
          <w:tcPr>
            <w:tcW w:w="1040" w:type="dxa"/>
            <w:tcBorders>
              <w:top w:val="single" w:sz="4" w:space="0" w:color="808080"/>
              <w:left w:val="single" w:sz="12" w:space="0" w:color="808080"/>
              <w:bottom w:val="nil"/>
              <w:right w:val="nil"/>
            </w:tcBorders>
            <w:shd w:val="clear" w:color="000000" w:fill="1F497D"/>
            <w:hideMark/>
          </w:tcPr>
          <w:p w:rsidR="008A336A" w:rsidRPr="008A336A" w:rsidRDefault="008A336A" w:rsidP="008A336A">
            <w:pPr>
              <w:spacing w:after="0" w:line="240" w:lineRule="auto"/>
              <w:jc w:val="center"/>
              <w:rPr>
                <w:rFonts w:eastAsia="Times New Roman" w:cs="Calibri"/>
                <w:b/>
                <w:bCs/>
                <w:color w:val="FFFFFF"/>
                <w:sz w:val="18"/>
                <w:szCs w:val="18"/>
                <w:lang w:eastAsia="en-CA"/>
              </w:rPr>
            </w:pPr>
            <w:r w:rsidRPr="008A336A">
              <w:rPr>
                <w:rFonts w:eastAsia="Times New Roman" w:cs="Calibri"/>
                <w:b/>
                <w:bCs/>
                <w:color w:val="FFFFFF"/>
                <w:sz w:val="18"/>
                <w:szCs w:val="18"/>
                <w:lang w:eastAsia="en-CA"/>
              </w:rPr>
              <w:t>Number</w:t>
            </w:r>
          </w:p>
        </w:tc>
        <w:tc>
          <w:tcPr>
            <w:tcW w:w="540" w:type="dxa"/>
            <w:tcBorders>
              <w:top w:val="single" w:sz="4" w:space="0" w:color="808080"/>
              <w:left w:val="single" w:sz="4" w:space="0" w:color="808080"/>
              <w:bottom w:val="single" w:sz="12" w:space="0" w:color="808080"/>
              <w:right w:val="single" w:sz="12" w:space="0" w:color="808080"/>
            </w:tcBorders>
            <w:shd w:val="clear" w:color="000000" w:fill="1F497D"/>
            <w:hideMark/>
          </w:tcPr>
          <w:p w:rsidR="008A336A" w:rsidRPr="008A336A" w:rsidRDefault="008A336A" w:rsidP="008A336A">
            <w:pPr>
              <w:spacing w:after="0" w:line="240" w:lineRule="auto"/>
              <w:jc w:val="center"/>
              <w:rPr>
                <w:rFonts w:eastAsia="Times New Roman" w:cs="Calibri"/>
                <w:b/>
                <w:bCs/>
                <w:color w:val="FFFFFF"/>
                <w:sz w:val="18"/>
                <w:szCs w:val="18"/>
                <w:lang w:eastAsia="en-CA"/>
              </w:rPr>
            </w:pPr>
            <w:r w:rsidRPr="008A336A">
              <w:rPr>
                <w:rFonts w:eastAsia="Times New Roman" w:cs="Calibri"/>
                <w:b/>
                <w:bCs/>
                <w:color w:val="FFFFFF"/>
                <w:sz w:val="18"/>
                <w:szCs w:val="18"/>
                <w:lang w:eastAsia="en-CA"/>
              </w:rPr>
              <w:t>%</w:t>
            </w:r>
          </w:p>
        </w:tc>
      </w:tr>
      <w:tr w:rsidR="008A336A" w:rsidRPr="008A336A" w:rsidTr="00A2277F">
        <w:trPr>
          <w:trHeight w:val="255"/>
        </w:trPr>
        <w:tc>
          <w:tcPr>
            <w:tcW w:w="2600" w:type="dxa"/>
            <w:tcBorders>
              <w:top w:val="nil"/>
              <w:left w:val="single" w:sz="12" w:space="0" w:color="808080"/>
              <w:bottom w:val="single" w:sz="4" w:space="0" w:color="808080"/>
              <w:right w:val="nil"/>
            </w:tcBorders>
            <w:shd w:val="clear" w:color="auto" w:fill="auto"/>
            <w:noWrap/>
            <w:hideMark/>
          </w:tcPr>
          <w:p w:rsidR="008A336A" w:rsidRPr="008A336A" w:rsidRDefault="008A336A" w:rsidP="008A336A">
            <w:pPr>
              <w:spacing w:after="0" w:line="240" w:lineRule="auto"/>
              <w:rPr>
                <w:rFonts w:eastAsia="Times New Roman" w:cs="Calibri"/>
                <w:b/>
                <w:bCs/>
                <w:color w:val="000000"/>
                <w:sz w:val="18"/>
                <w:szCs w:val="18"/>
                <w:lang w:eastAsia="en-CA"/>
              </w:rPr>
            </w:pPr>
            <w:r w:rsidRPr="008A336A">
              <w:rPr>
                <w:rFonts w:eastAsia="Times New Roman" w:cs="Calibri"/>
                <w:b/>
                <w:bCs/>
                <w:color w:val="000000"/>
                <w:sz w:val="18"/>
                <w:szCs w:val="18"/>
                <w:lang w:eastAsia="en-CA"/>
              </w:rPr>
              <w:t>Population 15 + ('000)</w:t>
            </w:r>
          </w:p>
        </w:tc>
        <w:tc>
          <w:tcPr>
            <w:tcW w:w="1380" w:type="dxa"/>
            <w:tcBorders>
              <w:top w:val="nil"/>
              <w:left w:val="single" w:sz="12" w:space="0" w:color="808080"/>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3,550.8</w:t>
            </w:r>
          </w:p>
        </w:tc>
        <w:tc>
          <w:tcPr>
            <w:tcW w:w="1420" w:type="dxa"/>
            <w:tcBorders>
              <w:top w:val="nil"/>
              <w:left w:val="single" w:sz="4"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3,545.9</w:t>
            </w:r>
          </w:p>
        </w:tc>
        <w:tc>
          <w:tcPr>
            <w:tcW w:w="1340" w:type="dxa"/>
            <w:tcBorders>
              <w:top w:val="nil"/>
              <w:left w:val="nil"/>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3,490.2</w:t>
            </w:r>
          </w:p>
        </w:tc>
        <w:tc>
          <w:tcPr>
            <w:tcW w:w="1200" w:type="dxa"/>
            <w:tcBorders>
              <w:top w:val="single" w:sz="12" w:space="0" w:color="808080"/>
              <w:left w:val="single" w:sz="12"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4.9</w:t>
            </w:r>
          </w:p>
        </w:tc>
        <w:tc>
          <w:tcPr>
            <w:tcW w:w="600" w:type="dxa"/>
            <w:tcBorders>
              <w:top w:val="nil"/>
              <w:left w:val="nil"/>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0.1</w:t>
            </w:r>
          </w:p>
        </w:tc>
        <w:tc>
          <w:tcPr>
            <w:tcW w:w="1040" w:type="dxa"/>
            <w:tcBorders>
              <w:top w:val="single" w:sz="12" w:space="0" w:color="808080"/>
              <w:left w:val="single" w:sz="12"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60.6</w:t>
            </w:r>
          </w:p>
        </w:tc>
        <w:tc>
          <w:tcPr>
            <w:tcW w:w="540" w:type="dxa"/>
            <w:tcBorders>
              <w:top w:val="nil"/>
              <w:left w:val="nil"/>
              <w:bottom w:val="single" w:sz="4" w:space="0" w:color="808080"/>
              <w:right w:val="single" w:sz="12"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1.7</w:t>
            </w:r>
          </w:p>
        </w:tc>
      </w:tr>
      <w:tr w:rsidR="008A336A" w:rsidRPr="008A336A" w:rsidTr="00A2277F">
        <w:trPr>
          <w:trHeight w:val="240"/>
        </w:trPr>
        <w:tc>
          <w:tcPr>
            <w:tcW w:w="2600" w:type="dxa"/>
            <w:tcBorders>
              <w:top w:val="nil"/>
              <w:left w:val="single" w:sz="12" w:space="0" w:color="808080"/>
              <w:bottom w:val="single" w:sz="4" w:space="0" w:color="808080"/>
              <w:right w:val="nil"/>
            </w:tcBorders>
            <w:shd w:val="clear" w:color="auto" w:fill="auto"/>
            <w:noWrap/>
            <w:hideMark/>
          </w:tcPr>
          <w:p w:rsidR="008A336A" w:rsidRPr="008A336A" w:rsidRDefault="008A336A" w:rsidP="008A336A">
            <w:pPr>
              <w:spacing w:after="0" w:line="240" w:lineRule="auto"/>
              <w:rPr>
                <w:rFonts w:eastAsia="Times New Roman" w:cs="Calibri"/>
                <w:b/>
                <w:bCs/>
                <w:color w:val="000000"/>
                <w:sz w:val="18"/>
                <w:szCs w:val="18"/>
                <w:lang w:eastAsia="en-CA"/>
              </w:rPr>
            </w:pPr>
            <w:r w:rsidRPr="008A336A">
              <w:rPr>
                <w:rFonts w:eastAsia="Times New Roman" w:cs="Calibri"/>
                <w:b/>
                <w:bCs/>
                <w:color w:val="000000"/>
                <w:sz w:val="18"/>
                <w:szCs w:val="18"/>
                <w:lang w:eastAsia="en-CA"/>
              </w:rPr>
              <w:t>Labour Force ('000)</w:t>
            </w:r>
          </w:p>
        </w:tc>
        <w:tc>
          <w:tcPr>
            <w:tcW w:w="1380" w:type="dxa"/>
            <w:tcBorders>
              <w:top w:val="nil"/>
              <w:left w:val="single" w:sz="12" w:space="0" w:color="808080"/>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2,521.2</w:t>
            </w:r>
          </w:p>
        </w:tc>
        <w:tc>
          <w:tcPr>
            <w:tcW w:w="1420" w:type="dxa"/>
            <w:tcBorders>
              <w:top w:val="nil"/>
              <w:left w:val="single" w:sz="4"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2,526.5</w:t>
            </w:r>
          </w:p>
        </w:tc>
        <w:tc>
          <w:tcPr>
            <w:tcW w:w="1340" w:type="dxa"/>
            <w:tcBorders>
              <w:top w:val="nil"/>
              <w:left w:val="nil"/>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2,513.7</w:t>
            </w:r>
          </w:p>
        </w:tc>
        <w:tc>
          <w:tcPr>
            <w:tcW w:w="1200" w:type="dxa"/>
            <w:tcBorders>
              <w:top w:val="nil"/>
              <w:left w:val="single" w:sz="12"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-5.3</w:t>
            </w:r>
          </w:p>
        </w:tc>
        <w:tc>
          <w:tcPr>
            <w:tcW w:w="600" w:type="dxa"/>
            <w:tcBorders>
              <w:top w:val="nil"/>
              <w:left w:val="nil"/>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-0.2</w:t>
            </w:r>
          </w:p>
        </w:tc>
        <w:tc>
          <w:tcPr>
            <w:tcW w:w="1040" w:type="dxa"/>
            <w:tcBorders>
              <w:top w:val="nil"/>
              <w:left w:val="single" w:sz="12"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7.5</w:t>
            </w:r>
          </w:p>
        </w:tc>
        <w:tc>
          <w:tcPr>
            <w:tcW w:w="540" w:type="dxa"/>
            <w:tcBorders>
              <w:top w:val="nil"/>
              <w:left w:val="nil"/>
              <w:bottom w:val="single" w:sz="4" w:space="0" w:color="808080"/>
              <w:right w:val="single" w:sz="12"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0.3</w:t>
            </w:r>
          </w:p>
        </w:tc>
      </w:tr>
      <w:tr w:rsidR="008A336A" w:rsidRPr="008A336A" w:rsidTr="00A2277F">
        <w:trPr>
          <w:trHeight w:val="240"/>
        </w:trPr>
        <w:tc>
          <w:tcPr>
            <w:tcW w:w="2600" w:type="dxa"/>
            <w:tcBorders>
              <w:top w:val="nil"/>
              <w:left w:val="single" w:sz="12" w:space="0" w:color="808080"/>
              <w:bottom w:val="single" w:sz="4" w:space="0" w:color="808080"/>
              <w:right w:val="nil"/>
            </w:tcBorders>
            <w:shd w:val="clear" w:color="auto" w:fill="auto"/>
            <w:noWrap/>
            <w:hideMark/>
          </w:tcPr>
          <w:p w:rsidR="008A336A" w:rsidRPr="008A336A" w:rsidRDefault="008A336A" w:rsidP="008A336A">
            <w:pPr>
              <w:spacing w:after="0" w:line="240" w:lineRule="auto"/>
              <w:rPr>
                <w:rFonts w:eastAsia="Times New Roman" w:cs="Calibri"/>
                <w:b/>
                <w:bCs/>
                <w:color w:val="000000"/>
                <w:sz w:val="18"/>
                <w:szCs w:val="18"/>
                <w:lang w:eastAsia="en-CA"/>
              </w:rPr>
            </w:pPr>
            <w:r w:rsidRPr="008A336A">
              <w:rPr>
                <w:rFonts w:eastAsia="Times New Roman" w:cs="Calibri"/>
                <w:b/>
                <w:bCs/>
                <w:color w:val="000000"/>
                <w:sz w:val="18"/>
                <w:szCs w:val="18"/>
                <w:lang w:eastAsia="en-CA"/>
              </w:rPr>
              <w:t>Employment ('000)</w:t>
            </w:r>
          </w:p>
        </w:tc>
        <w:tc>
          <w:tcPr>
            <w:tcW w:w="1380" w:type="dxa"/>
            <w:tcBorders>
              <w:top w:val="nil"/>
              <w:left w:val="single" w:sz="12" w:space="0" w:color="808080"/>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2,338.7</w:t>
            </w:r>
          </w:p>
        </w:tc>
        <w:tc>
          <w:tcPr>
            <w:tcW w:w="1420" w:type="dxa"/>
            <w:tcBorders>
              <w:top w:val="nil"/>
              <w:left w:val="single" w:sz="4"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2,356.9</w:t>
            </w:r>
          </w:p>
        </w:tc>
        <w:tc>
          <w:tcPr>
            <w:tcW w:w="1340" w:type="dxa"/>
            <w:tcBorders>
              <w:top w:val="nil"/>
              <w:left w:val="nil"/>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2,356.9</w:t>
            </w:r>
          </w:p>
        </w:tc>
        <w:tc>
          <w:tcPr>
            <w:tcW w:w="1200" w:type="dxa"/>
            <w:tcBorders>
              <w:top w:val="nil"/>
              <w:left w:val="single" w:sz="12" w:space="0" w:color="808080"/>
              <w:bottom w:val="single" w:sz="4" w:space="0" w:color="808080"/>
              <w:right w:val="single" w:sz="4" w:space="0" w:color="808080"/>
            </w:tcBorders>
            <w:shd w:val="clear" w:color="auto" w:fill="auto"/>
            <w:noWrap/>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-18.2</w:t>
            </w:r>
          </w:p>
        </w:tc>
        <w:tc>
          <w:tcPr>
            <w:tcW w:w="600" w:type="dxa"/>
            <w:tcBorders>
              <w:top w:val="nil"/>
              <w:left w:val="nil"/>
              <w:bottom w:val="single" w:sz="4" w:space="0" w:color="808080"/>
              <w:right w:val="nil"/>
            </w:tcBorders>
            <w:shd w:val="clear" w:color="auto" w:fill="auto"/>
            <w:noWrap/>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-0.8</w:t>
            </w:r>
          </w:p>
        </w:tc>
        <w:tc>
          <w:tcPr>
            <w:tcW w:w="1040" w:type="dxa"/>
            <w:tcBorders>
              <w:top w:val="nil"/>
              <w:left w:val="single" w:sz="12"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-18.2</w:t>
            </w:r>
          </w:p>
        </w:tc>
        <w:tc>
          <w:tcPr>
            <w:tcW w:w="540" w:type="dxa"/>
            <w:tcBorders>
              <w:top w:val="nil"/>
              <w:left w:val="nil"/>
              <w:bottom w:val="single" w:sz="4" w:space="0" w:color="808080"/>
              <w:right w:val="single" w:sz="12"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-0.8</w:t>
            </w:r>
          </w:p>
        </w:tc>
      </w:tr>
      <w:tr w:rsidR="008A336A" w:rsidRPr="008A336A" w:rsidTr="00A2277F">
        <w:trPr>
          <w:trHeight w:val="240"/>
        </w:trPr>
        <w:tc>
          <w:tcPr>
            <w:tcW w:w="2600" w:type="dxa"/>
            <w:tcBorders>
              <w:top w:val="nil"/>
              <w:left w:val="single" w:sz="12" w:space="0" w:color="808080"/>
              <w:bottom w:val="single" w:sz="4" w:space="0" w:color="808080"/>
              <w:right w:val="nil"/>
            </w:tcBorders>
            <w:shd w:val="clear" w:color="auto" w:fill="auto"/>
            <w:noWrap/>
            <w:hideMark/>
          </w:tcPr>
          <w:p w:rsidR="008A336A" w:rsidRPr="008A336A" w:rsidRDefault="008A336A" w:rsidP="008A336A">
            <w:pPr>
              <w:spacing w:after="0" w:line="240" w:lineRule="auto"/>
              <w:rPr>
                <w:rFonts w:eastAsia="Times New Roman" w:cs="Calibri"/>
                <w:color w:val="000000"/>
                <w:sz w:val="18"/>
                <w:szCs w:val="18"/>
                <w:lang w:eastAsia="en-CA"/>
              </w:rPr>
            </w:pPr>
            <w:r w:rsidRPr="008A336A">
              <w:rPr>
                <w:rFonts w:eastAsia="Times New Roman" w:cs="Calibri"/>
                <w:color w:val="000000"/>
                <w:sz w:val="18"/>
                <w:szCs w:val="18"/>
                <w:lang w:eastAsia="en-CA"/>
              </w:rPr>
              <w:t xml:space="preserve">   Full-Time ('000)</w:t>
            </w:r>
          </w:p>
        </w:tc>
        <w:tc>
          <w:tcPr>
            <w:tcW w:w="1380" w:type="dxa"/>
            <w:tcBorders>
              <w:top w:val="nil"/>
              <w:left w:val="single" w:sz="12" w:space="0" w:color="808080"/>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1,922.4</w:t>
            </w:r>
          </w:p>
        </w:tc>
        <w:tc>
          <w:tcPr>
            <w:tcW w:w="1420" w:type="dxa"/>
            <w:tcBorders>
              <w:top w:val="nil"/>
              <w:left w:val="single" w:sz="4"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1,936.5</w:t>
            </w:r>
          </w:p>
        </w:tc>
        <w:tc>
          <w:tcPr>
            <w:tcW w:w="1340" w:type="dxa"/>
            <w:tcBorders>
              <w:top w:val="nil"/>
              <w:left w:val="nil"/>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1,954.0</w:t>
            </w:r>
          </w:p>
        </w:tc>
        <w:tc>
          <w:tcPr>
            <w:tcW w:w="1200" w:type="dxa"/>
            <w:tcBorders>
              <w:top w:val="nil"/>
              <w:left w:val="single" w:sz="12" w:space="0" w:color="808080"/>
              <w:bottom w:val="single" w:sz="4" w:space="0" w:color="808080"/>
              <w:right w:val="single" w:sz="4" w:space="0" w:color="808080"/>
            </w:tcBorders>
            <w:shd w:val="clear" w:color="auto" w:fill="auto"/>
            <w:noWrap/>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-14.1</w:t>
            </w:r>
          </w:p>
        </w:tc>
        <w:tc>
          <w:tcPr>
            <w:tcW w:w="600" w:type="dxa"/>
            <w:tcBorders>
              <w:top w:val="nil"/>
              <w:left w:val="nil"/>
              <w:bottom w:val="single" w:sz="4" w:space="0" w:color="808080"/>
              <w:right w:val="nil"/>
            </w:tcBorders>
            <w:shd w:val="clear" w:color="auto" w:fill="auto"/>
            <w:noWrap/>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-0.7</w:t>
            </w:r>
          </w:p>
        </w:tc>
        <w:tc>
          <w:tcPr>
            <w:tcW w:w="1040" w:type="dxa"/>
            <w:tcBorders>
              <w:top w:val="nil"/>
              <w:left w:val="single" w:sz="12"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-31.6</w:t>
            </w:r>
          </w:p>
        </w:tc>
        <w:tc>
          <w:tcPr>
            <w:tcW w:w="540" w:type="dxa"/>
            <w:tcBorders>
              <w:top w:val="nil"/>
              <w:left w:val="nil"/>
              <w:bottom w:val="single" w:sz="4" w:space="0" w:color="808080"/>
              <w:right w:val="single" w:sz="12"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-1.6</w:t>
            </w:r>
          </w:p>
        </w:tc>
      </w:tr>
      <w:tr w:rsidR="008A336A" w:rsidRPr="008A336A" w:rsidTr="00A2277F">
        <w:trPr>
          <w:trHeight w:val="240"/>
        </w:trPr>
        <w:tc>
          <w:tcPr>
            <w:tcW w:w="2600" w:type="dxa"/>
            <w:tcBorders>
              <w:top w:val="nil"/>
              <w:left w:val="single" w:sz="12" w:space="0" w:color="808080"/>
              <w:bottom w:val="single" w:sz="4" w:space="0" w:color="808080"/>
              <w:right w:val="nil"/>
            </w:tcBorders>
            <w:shd w:val="clear" w:color="auto" w:fill="auto"/>
            <w:noWrap/>
            <w:hideMark/>
          </w:tcPr>
          <w:p w:rsidR="008A336A" w:rsidRPr="008A336A" w:rsidRDefault="008A336A" w:rsidP="008A336A">
            <w:pPr>
              <w:spacing w:after="0" w:line="240" w:lineRule="auto"/>
              <w:rPr>
                <w:rFonts w:eastAsia="Times New Roman" w:cs="Calibri"/>
                <w:color w:val="000000"/>
                <w:sz w:val="18"/>
                <w:szCs w:val="18"/>
                <w:lang w:eastAsia="en-CA"/>
              </w:rPr>
            </w:pPr>
            <w:r w:rsidRPr="008A336A">
              <w:rPr>
                <w:rFonts w:eastAsia="Times New Roman" w:cs="Calibri"/>
                <w:color w:val="000000"/>
                <w:sz w:val="18"/>
                <w:szCs w:val="18"/>
                <w:lang w:eastAsia="en-CA"/>
              </w:rPr>
              <w:t xml:space="preserve">   Part-Time ('000)</w:t>
            </w:r>
          </w:p>
        </w:tc>
        <w:tc>
          <w:tcPr>
            <w:tcW w:w="1380" w:type="dxa"/>
            <w:tcBorders>
              <w:top w:val="nil"/>
              <w:left w:val="single" w:sz="12" w:space="0" w:color="808080"/>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416.3</w:t>
            </w:r>
          </w:p>
        </w:tc>
        <w:tc>
          <w:tcPr>
            <w:tcW w:w="1420" w:type="dxa"/>
            <w:tcBorders>
              <w:top w:val="nil"/>
              <w:left w:val="single" w:sz="4"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420.4</w:t>
            </w:r>
          </w:p>
        </w:tc>
        <w:tc>
          <w:tcPr>
            <w:tcW w:w="1340" w:type="dxa"/>
            <w:tcBorders>
              <w:top w:val="nil"/>
              <w:left w:val="nil"/>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402.9</w:t>
            </w:r>
          </w:p>
        </w:tc>
        <w:tc>
          <w:tcPr>
            <w:tcW w:w="1200" w:type="dxa"/>
            <w:tcBorders>
              <w:top w:val="nil"/>
              <w:left w:val="single" w:sz="12" w:space="0" w:color="808080"/>
              <w:bottom w:val="single" w:sz="4" w:space="0" w:color="808080"/>
              <w:right w:val="single" w:sz="4" w:space="0" w:color="808080"/>
            </w:tcBorders>
            <w:shd w:val="clear" w:color="auto" w:fill="auto"/>
            <w:noWrap/>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-4.1</w:t>
            </w:r>
          </w:p>
        </w:tc>
        <w:tc>
          <w:tcPr>
            <w:tcW w:w="600" w:type="dxa"/>
            <w:tcBorders>
              <w:top w:val="nil"/>
              <w:left w:val="nil"/>
              <w:bottom w:val="single" w:sz="4" w:space="0" w:color="808080"/>
              <w:right w:val="nil"/>
            </w:tcBorders>
            <w:shd w:val="clear" w:color="auto" w:fill="auto"/>
            <w:noWrap/>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-1.0</w:t>
            </w:r>
          </w:p>
        </w:tc>
        <w:tc>
          <w:tcPr>
            <w:tcW w:w="1040" w:type="dxa"/>
            <w:tcBorders>
              <w:top w:val="nil"/>
              <w:left w:val="single" w:sz="12"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13.4</w:t>
            </w:r>
          </w:p>
        </w:tc>
        <w:tc>
          <w:tcPr>
            <w:tcW w:w="540" w:type="dxa"/>
            <w:tcBorders>
              <w:top w:val="nil"/>
              <w:left w:val="nil"/>
              <w:bottom w:val="single" w:sz="4" w:space="0" w:color="808080"/>
              <w:right w:val="single" w:sz="12"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3.3</w:t>
            </w:r>
          </w:p>
        </w:tc>
      </w:tr>
      <w:tr w:rsidR="008A336A" w:rsidRPr="008A336A" w:rsidTr="00A2277F">
        <w:trPr>
          <w:trHeight w:val="240"/>
        </w:trPr>
        <w:tc>
          <w:tcPr>
            <w:tcW w:w="2600" w:type="dxa"/>
            <w:tcBorders>
              <w:top w:val="nil"/>
              <w:left w:val="single" w:sz="12" w:space="0" w:color="808080"/>
              <w:bottom w:val="single" w:sz="4" w:space="0" w:color="808080"/>
              <w:right w:val="nil"/>
            </w:tcBorders>
            <w:shd w:val="clear" w:color="auto" w:fill="auto"/>
            <w:noWrap/>
            <w:hideMark/>
          </w:tcPr>
          <w:p w:rsidR="008A336A" w:rsidRPr="008A336A" w:rsidRDefault="008A336A" w:rsidP="008A336A">
            <w:pPr>
              <w:spacing w:after="0" w:line="240" w:lineRule="auto"/>
              <w:rPr>
                <w:rFonts w:eastAsia="Times New Roman" w:cs="Calibri"/>
                <w:b/>
                <w:bCs/>
                <w:color w:val="000000"/>
                <w:sz w:val="18"/>
                <w:szCs w:val="18"/>
                <w:lang w:eastAsia="en-CA"/>
              </w:rPr>
            </w:pPr>
            <w:r w:rsidRPr="008A336A">
              <w:rPr>
                <w:rFonts w:eastAsia="Times New Roman" w:cs="Calibri"/>
                <w:b/>
                <w:bCs/>
                <w:color w:val="000000"/>
                <w:sz w:val="18"/>
                <w:szCs w:val="18"/>
                <w:lang w:eastAsia="en-CA"/>
              </w:rPr>
              <w:t>Unemployment ('000)</w:t>
            </w:r>
          </w:p>
        </w:tc>
        <w:tc>
          <w:tcPr>
            <w:tcW w:w="1380" w:type="dxa"/>
            <w:tcBorders>
              <w:top w:val="nil"/>
              <w:left w:val="single" w:sz="12" w:space="0" w:color="808080"/>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182.5</w:t>
            </w:r>
          </w:p>
        </w:tc>
        <w:tc>
          <w:tcPr>
            <w:tcW w:w="1420" w:type="dxa"/>
            <w:tcBorders>
              <w:top w:val="nil"/>
              <w:left w:val="single" w:sz="4"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169.6</w:t>
            </w:r>
          </w:p>
        </w:tc>
        <w:tc>
          <w:tcPr>
            <w:tcW w:w="1340" w:type="dxa"/>
            <w:tcBorders>
              <w:top w:val="nil"/>
              <w:left w:val="nil"/>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156.8</w:t>
            </w:r>
          </w:p>
        </w:tc>
        <w:tc>
          <w:tcPr>
            <w:tcW w:w="1200" w:type="dxa"/>
            <w:tcBorders>
              <w:top w:val="nil"/>
              <w:left w:val="single" w:sz="12"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12.9</w:t>
            </w:r>
          </w:p>
        </w:tc>
        <w:tc>
          <w:tcPr>
            <w:tcW w:w="600" w:type="dxa"/>
            <w:tcBorders>
              <w:top w:val="nil"/>
              <w:left w:val="nil"/>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7.6</w:t>
            </w:r>
          </w:p>
        </w:tc>
        <w:tc>
          <w:tcPr>
            <w:tcW w:w="1040" w:type="dxa"/>
            <w:tcBorders>
              <w:top w:val="nil"/>
              <w:left w:val="single" w:sz="12"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25.7</w:t>
            </w:r>
          </w:p>
        </w:tc>
        <w:tc>
          <w:tcPr>
            <w:tcW w:w="540" w:type="dxa"/>
            <w:tcBorders>
              <w:top w:val="nil"/>
              <w:left w:val="nil"/>
              <w:bottom w:val="single" w:sz="4" w:space="0" w:color="808080"/>
              <w:right w:val="single" w:sz="12"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16.4</w:t>
            </w:r>
          </w:p>
        </w:tc>
      </w:tr>
      <w:tr w:rsidR="008A336A" w:rsidRPr="008A336A" w:rsidTr="00A2277F">
        <w:trPr>
          <w:trHeight w:val="240"/>
        </w:trPr>
        <w:tc>
          <w:tcPr>
            <w:tcW w:w="2600" w:type="dxa"/>
            <w:tcBorders>
              <w:top w:val="nil"/>
              <w:left w:val="single" w:sz="12" w:space="0" w:color="808080"/>
              <w:bottom w:val="single" w:sz="4" w:space="0" w:color="808080"/>
              <w:right w:val="nil"/>
            </w:tcBorders>
            <w:shd w:val="clear" w:color="auto" w:fill="auto"/>
            <w:noWrap/>
            <w:hideMark/>
          </w:tcPr>
          <w:p w:rsidR="008A336A" w:rsidRPr="008A336A" w:rsidRDefault="008A336A" w:rsidP="008A336A">
            <w:pPr>
              <w:spacing w:after="0" w:line="240" w:lineRule="auto"/>
              <w:rPr>
                <w:rFonts w:eastAsia="Times New Roman" w:cs="Calibri"/>
                <w:b/>
                <w:bCs/>
                <w:color w:val="000000"/>
                <w:sz w:val="18"/>
                <w:szCs w:val="18"/>
                <w:lang w:eastAsia="en-CA"/>
              </w:rPr>
            </w:pPr>
            <w:r w:rsidRPr="008A336A">
              <w:rPr>
                <w:rFonts w:eastAsia="Times New Roman" w:cs="Calibri"/>
                <w:b/>
                <w:bCs/>
                <w:color w:val="000000"/>
                <w:sz w:val="18"/>
                <w:szCs w:val="18"/>
                <w:lang w:eastAsia="en-CA"/>
              </w:rPr>
              <w:t>Unemployment Rate (%)</w:t>
            </w:r>
          </w:p>
        </w:tc>
        <w:tc>
          <w:tcPr>
            <w:tcW w:w="1380" w:type="dxa"/>
            <w:tcBorders>
              <w:top w:val="nil"/>
              <w:left w:val="single" w:sz="12" w:space="0" w:color="808080"/>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7.2</w:t>
            </w:r>
          </w:p>
        </w:tc>
        <w:tc>
          <w:tcPr>
            <w:tcW w:w="1420" w:type="dxa"/>
            <w:tcBorders>
              <w:top w:val="nil"/>
              <w:left w:val="single" w:sz="4"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6.7</w:t>
            </w:r>
          </w:p>
        </w:tc>
        <w:tc>
          <w:tcPr>
            <w:tcW w:w="1340" w:type="dxa"/>
            <w:tcBorders>
              <w:top w:val="nil"/>
              <w:left w:val="nil"/>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6.2</w:t>
            </w:r>
          </w:p>
        </w:tc>
        <w:tc>
          <w:tcPr>
            <w:tcW w:w="1200" w:type="dxa"/>
            <w:tcBorders>
              <w:top w:val="nil"/>
              <w:left w:val="single" w:sz="12"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0.5</w:t>
            </w:r>
          </w:p>
        </w:tc>
        <w:tc>
          <w:tcPr>
            <w:tcW w:w="600" w:type="dxa"/>
            <w:tcBorders>
              <w:top w:val="nil"/>
              <w:left w:val="nil"/>
              <w:bottom w:val="single" w:sz="4" w:space="0" w:color="808080"/>
              <w:right w:val="nil"/>
            </w:tcBorders>
            <w:shd w:val="clear" w:color="auto" w:fill="auto"/>
            <w:hideMark/>
          </w:tcPr>
          <w:p w:rsidR="008A336A" w:rsidRPr="008A336A" w:rsidRDefault="008A336A" w:rsidP="008A336A">
            <w:pPr>
              <w:spacing w:after="0" w:line="240" w:lineRule="auto"/>
              <w:jc w:val="center"/>
              <w:rPr>
                <w:rFonts w:eastAsia="Times New Roman" w:cs="Calibri"/>
                <w:color w:val="000000"/>
                <w:sz w:val="18"/>
                <w:szCs w:val="18"/>
                <w:lang w:eastAsia="en-CA"/>
              </w:rPr>
            </w:pPr>
            <w:r w:rsidRPr="008A336A">
              <w:rPr>
                <w:rFonts w:eastAsia="Times New Roman" w:cs="Calibri"/>
                <w:color w:val="000000"/>
                <w:sz w:val="18"/>
                <w:szCs w:val="18"/>
                <w:lang w:eastAsia="en-CA"/>
              </w:rPr>
              <w:t>-</w:t>
            </w:r>
          </w:p>
        </w:tc>
        <w:tc>
          <w:tcPr>
            <w:tcW w:w="1040" w:type="dxa"/>
            <w:tcBorders>
              <w:top w:val="nil"/>
              <w:left w:val="single" w:sz="12"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1.0</w:t>
            </w:r>
          </w:p>
        </w:tc>
        <w:tc>
          <w:tcPr>
            <w:tcW w:w="540" w:type="dxa"/>
            <w:tcBorders>
              <w:top w:val="nil"/>
              <w:left w:val="nil"/>
              <w:bottom w:val="single" w:sz="4" w:space="0" w:color="808080"/>
              <w:right w:val="single" w:sz="12" w:space="0" w:color="808080"/>
            </w:tcBorders>
            <w:shd w:val="clear" w:color="auto" w:fill="auto"/>
            <w:hideMark/>
          </w:tcPr>
          <w:p w:rsidR="008A336A" w:rsidRPr="008A336A" w:rsidRDefault="008A336A" w:rsidP="008A336A">
            <w:pPr>
              <w:spacing w:after="0" w:line="240" w:lineRule="auto"/>
              <w:jc w:val="center"/>
              <w:rPr>
                <w:rFonts w:eastAsia="Times New Roman" w:cs="Calibri"/>
                <w:color w:val="000000"/>
                <w:sz w:val="18"/>
                <w:szCs w:val="18"/>
                <w:lang w:eastAsia="en-CA"/>
              </w:rPr>
            </w:pPr>
            <w:r w:rsidRPr="008A336A">
              <w:rPr>
                <w:rFonts w:eastAsia="Times New Roman" w:cs="Calibri"/>
                <w:color w:val="000000"/>
                <w:sz w:val="18"/>
                <w:szCs w:val="18"/>
                <w:lang w:eastAsia="en-CA"/>
              </w:rPr>
              <w:t>-</w:t>
            </w:r>
          </w:p>
        </w:tc>
      </w:tr>
      <w:tr w:rsidR="008A336A" w:rsidRPr="008A336A" w:rsidTr="00A2277F">
        <w:trPr>
          <w:trHeight w:val="240"/>
        </w:trPr>
        <w:tc>
          <w:tcPr>
            <w:tcW w:w="2600" w:type="dxa"/>
            <w:tcBorders>
              <w:top w:val="nil"/>
              <w:left w:val="single" w:sz="12" w:space="0" w:color="808080"/>
              <w:bottom w:val="single" w:sz="4" w:space="0" w:color="808080"/>
              <w:right w:val="nil"/>
            </w:tcBorders>
            <w:shd w:val="clear" w:color="auto" w:fill="auto"/>
            <w:noWrap/>
            <w:hideMark/>
          </w:tcPr>
          <w:p w:rsidR="008A336A" w:rsidRPr="008A336A" w:rsidRDefault="008A336A" w:rsidP="008A336A">
            <w:pPr>
              <w:spacing w:after="0" w:line="240" w:lineRule="auto"/>
              <w:rPr>
                <w:rFonts w:eastAsia="Times New Roman" w:cs="Calibri"/>
                <w:b/>
                <w:bCs/>
                <w:color w:val="000000"/>
                <w:sz w:val="18"/>
                <w:szCs w:val="18"/>
                <w:lang w:eastAsia="en-CA"/>
              </w:rPr>
            </w:pPr>
            <w:r w:rsidRPr="008A336A">
              <w:rPr>
                <w:rFonts w:eastAsia="Times New Roman" w:cs="Calibri"/>
                <w:b/>
                <w:bCs/>
                <w:color w:val="000000"/>
                <w:sz w:val="18"/>
                <w:szCs w:val="18"/>
                <w:lang w:eastAsia="en-CA"/>
              </w:rPr>
              <w:t>Participation Rate (%)</w:t>
            </w:r>
          </w:p>
        </w:tc>
        <w:tc>
          <w:tcPr>
            <w:tcW w:w="1380" w:type="dxa"/>
            <w:tcBorders>
              <w:top w:val="nil"/>
              <w:left w:val="single" w:sz="12" w:space="0" w:color="808080"/>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71.0</w:t>
            </w:r>
          </w:p>
        </w:tc>
        <w:tc>
          <w:tcPr>
            <w:tcW w:w="1420" w:type="dxa"/>
            <w:tcBorders>
              <w:top w:val="nil"/>
              <w:left w:val="single" w:sz="4"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71.3</w:t>
            </w:r>
          </w:p>
        </w:tc>
        <w:tc>
          <w:tcPr>
            <w:tcW w:w="1340" w:type="dxa"/>
            <w:tcBorders>
              <w:top w:val="nil"/>
              <w:left w:val="nil"/>
              <w:bottom w:val="single" w:sz="4"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72.0</w:t>
            </w:r>
          </w:p>
        </w:tc>
        <w:tc>
          <w:tcPr>
            <w:tcW w:w="1200" w:type="dxa"/>
            <w:tcBorders>
              <w:top w:val="nil"/>
              <w:left w:val="single" w:sz="12"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-0.3</w:t>
            </w:r>
          </w:p>
        </w:tc>
        <w:tc>
          <w:tcPr>
            <w:tcW w:w="600" w:type="dxa"/>
            <w:tcBorders>
              <w:top w:val="nil"/>
              <w:left w:val="nil"/>
              <w:bottom w:val="single" w:sz="4" w:space="0" w:color="808080"/>
              <w:right w:val="nil"/>
            </w:tcBorders>
            <w:shd w:val="clear" w:color="auto" w:fill="auto"/>
            <w:hideMark/>
          </w:tcPr>
          <w:p w:rsidR="008A336A" w:rsidRPr="008A336A" w:rsidRDefault="008A336A" w:rsidP="008A336A">
            <w:pPr>
              <w:spacing w:after="0" w:line="240" w:lineRule="auto"/>
              <w:jc w:val="center"/>
              <w:rPr>
                <w:rFonts w:eastAsia="Times New Roman" w:cs="Calibri"/>
                <w:color w:val="000000"/>
                <w:sz w:val="18"/>
                <w:szCs w:val="18"/>
                <w:lang w:eastAsia="en-CA"/>
              </w:rPr>
            </w:pPr>
            <w:r w:rsidRPr="008A336A">
              <w:rPr>
                <w:rFonts w:eastAsia="Times New Roman" w:cs="Calibri"/>
                <w:color w:val="000000"/>
                <w:sz w:val="18"/>
                <w:szCs w:val="18"/>
                <w:lang w:eastAsia="en-CA"/>
              </w:rPr>
              <w:t>-</w:t>
            </w:r>
          </w:p>
        </w:tc>
        <w:tc>
          <w:tcPr>
            <w:tcW w:w="1040" w:type="dxa"/>
            <w:tcBorders>
              <w:top w:val="nil"/>
              <w:left w:val="single" w:sz="12" w:space="0" w:color="808080"/>
              <w:bottom w:val="single" w:sz="4"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-1.0</w:t>
            </w:r>
          </w:p>
        </w:tc>
        <w:tc>
          <w:tcPr>
            <w:tcW w:w="540" w:type="dxa"/>
            <w:tcBorders>
              <w:top w:val="nil"/>
              <w:left w:val="nil"/>
              <w:bottom w:val="single" w:sz="4" w:space="0" w:color="808080"/>
              <w:right w:val="single" w:sz="12" w:space="0" w:color="808080"/>
            </w:tcBorders>
            <w:shd w:val="clear" w:color="auto" w:fill="auto"/>
            <w:hideMark/>
          </w:tcPr>
          <w:p w:rsidR="008A336A" w:rsidRPr="008A336A" w:rsidRDefault="008A336A" w:rsidP="008A336A">
            <w:pPr>
              <w:spacing w:after="0" w:line="240" w:lineRule="auto"/>
              <w:jc w:val="center"/>
              <w:rPr>
                <w:rFonts w:eastAsia="Times New Roman" w:cs="Calibri"/>
                <w:color w:val="000000"/>
                <w:sz w:val="18"/>
                <w:szCs w:val="18"/>
                <w:lang w:eastAsia="en-CA"/>
              </w:rPr>
            </w:pPr>
            <w:r w:rsidRPr="008A336A">
              <w:rPr>
                <w:rFonts w:eastAsia="Times New Roman" w:cs="Calibri"/>
                <w:color w:val="000000"/>
                <w:sz w:val="18"/>
                <w:szCs w:val="18"/>
                <w:lang w:eastAsia="en-CA"/>
              </w:rPr>
              <w:t>-</w:t>
            </w:r>
          </w:p>
        </w:tc>
      </w:tr>
      <w:tr w:rsidR="008A336A" w:rsidRPr="008A336A" w:rsidTr="00A2277F">
        <w:trPr>
          <w:trHeight w:val="255"/>
        </w:trPr>
        <w:tc>
          <w:tcPr>
            <w:tcW w:w="2600" w:type="dxa"/>
            <w:tcBorders>
              <w:top w:val="nil"/>
              <w:left w:val="single" w:sz="12" w:space="0" w:color="808080"/>
              <w:bottom w:val="single" w:sz="12" w:space="0" w:color="808080"/>
              <w:right w:val="nil"/>
            </w:tcBorders>
            <w:shd w:val="clear" w:color="auto" w:fill="auto"/>
            <w:noWrap/>
            <w:hideMark/>
          </w:tcPr>
          <w:p w:rsidR="008A336A" w:rsidRPr="008A336A" w:rsidRDefault="008A336A" w:rsidP="008A336A">
            <w:pPr>
              <w:spacing w:after="0" w:line="240" w:lineRule="auto"/>
              <w:rPr>
                <w:rFonts w:eastAsia="Times New Roman" w:cs="Calibri"/>
                <w:b/>
                <w:bCs/>
                <w:color w:val="000000"/>
                <w:sz w:val="18"/>
                <w:szCs w:val="18"/>
                <w:lang w:eastAsia="en-CA"/>
              </w:rPr>
            </w:pPr>
            <w:r w:rsidRPr="008A336A">
              <w:rPr>
                <w:rFonts w:eastAsia="Times New Roman" w:cs="Calibri"/>
                <w:b/>
                <w:bCs/>
                <w:color w:val="000000"/>
                <w:sz w:val="18"/>
                <w:szCs w:val="18"/>
                <w:lang w:eastAsia="en-CA"/>
              </w:rPr>
              <w:t>Employment Rate (%)</w:t>
            </w:r>
          </w:p>
        </w:tc>
        <w:tc>
          <w:tcPr>
            <w:tcW w:w="1380" w:type="dxa"/>
            <w:tcBorders>
              <w:top w:val="nil"/>
              <w:left w:val="single" w:sz="12" w:space="0" w:color="808080"/>
              <w:bottom w:val="single" w:sz="12"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65.9</w:t>
            </w:r>
          </w:p>
        </w:tc>
        <w:tc>
          <w:tcPr>
            <w:tcW w:w="1420" w:type="dxa"/>
            <w:tcBorders>
              <w:top w:val="nil"/>
              <w:left w:val="single" w:sz="4" w:space="0" w:color="808080"/>
              <w:bottom w:val="single" w:sz="12" w:space="0" w:color="808080"/>
              <w:right w:val="single" w:sz="4" w:space="0" w:color="808080"/>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66.5</w:t>
            </w:r>
          </w:p>
        </w:tc>
        <w:tc>
          <w:tcPr>
            <w:tcW w:w="1340" w:type="dxa"/>
            <w:tcBorders>
              <w:top w:val="nil"/>
              <w:left w:val="nil"/>
              <w:bottom w:val="single" w:sz="12" w:space="0" w:color="808080"/>
              <w:right w:val="nil"/>
            </w:tcBorders>
            <w:shd w:val="clear" w:color="auto" w:fill="auto"/>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67.5</w:t>
            </w:r>
          </w:p>
        </w:tc>
        <w:tc>
          <w:tcPr>
            <w:tcW w:w="1200" w:type="dxa"/>
            <w:tcBorders>
              <w:top w:val="nil"/>
              <w:left w:val="single" w:sz="12" w:space="0" w:color="808080"/>
              <w:bottom w:val="single" w:sz="12" w:space="0" w:color="808080"/>
              <w:right w:val="single" w:sz="4" w:space="0" w:color="808080"/>
            </w:tcBorders>
            <w:shd w:val="clear" w:color="auto" w:fill="auto"/>
            <w:noWrap/>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-0.6</w:t>
            </w:r>
          </w:p>
        </w:tc>
        <w:tc>
          <w:tcPr>
            <w:tcW w:w="600" w:type="dxa"/>
            <w:tcBorders>
              <w:top w:val="nil"/>
              <w:left w:val="nil"/>
              <w:bottom w:val="single" w:sz="12" w:space="0" w:color="808080"/>
              <w:right w:val="nil"/>
            </w:tcBorders>
            <w:shd w:val="clear" w:color="auto" w:fill="auto"/>
            <w:hideMark/>
          </w:tcPr>
          <w:p w:rsidR="008A336A" w:rsidRPr="008A336A" w:rsidRDefault="008A336A" w:rsidP="008A336A">
            <w:pPr>
              <w:spacing w:after="0" w:line="240" w:lineRule="auto"/>
              <w:jc w:val="center"/>
              <w:rPr>
                <w:rFonts w:eastAsia="Times New Roman" w:cs="Calibri"/>
                <w:color w:val="000000"/>
                <w:sz w:val="18"/>
                <w:szCs w:val="18"/>
                <w:lang w:eastAsia="en-CA"/>
              </w:rPr>
            </w:pPr>
            <w:r w:rsidRPr="008A336A">
              <w:rPr>
                <w:rFonts w:eastAsia="Times New Roman" w:cs="Calibri"/>
                <w:color w:val="000000"/>
                <w:sz w:val="18"/>
                <w:szCs w:val="18"/>
                <w:lang w:eastAsia="en-CA"/>
              </w:rPr>
              <w:t>-</w:t>
            </w:r>
          </w:p>
        </w:tc>
        <w:tc>
          <w:tcPr>
            <w:tcW w:w="1040" w:type="dxa"/>
            <w:tcBorders>
              <w:top w:val="nil"/>
              <w:left w:val="single" w:sz="12" w:space="0" w:color="808080"/>
              <w:bottom w:val="single" w:sz="12" w:space="0" w:color="808080"/>
              <w:right w:val="single" w:sz="4" w:space="0" w:color="808080"/>
            </w:tcBorders>
            <w:shd w:val="clear" w:color="auto" w:fill="auto"/>
            <w:noWrap/>
            <w:hideMark/>
          </w:tcPr>
          <w:p w:rsidR="008A336A" w:rsidRPr="008A336A" w:rsidRDefault="008A336A" w:rsidP="008A336A">
            <w:pPr>
              <w:spacing w:after="0" w:line="240" w:lineRule="auto"/>
              <w:jc w:val="right"/>
              <w:rPr>
                <w:rFonts w:eastAsia="Times New Roman" w:cs="Calibri"/>
                <w:color w:val="000000"/>
                <w:sz w:val="18"/>
                <w:szCs w:val="18"/>
                <w:lang w:eastAsia="en-CA"/>
              </w:rPr>
            </w:pPr>
            <w:r w:rsidRPr="008A336A">
              <w:rPr>
                <w:rFonts w:eastAsia="Times New Roman" w:cs="Calibri"/>
                <w:color w:val="000000"/>
                <w:sz w:val="18"/>
                <w:szCs w:val="18"/>
                <w:lang w:eastAsia="en-CA"/>
              </w:rPr>
              <w:t>-1.6</w:t>
            </w:r>
          </w:p>
        </w:tc>
        <w:tc>
          <w:tcPr>
            <w:tcW w:w="540" w:type="dxa"/>
            <w:tcBorders>
              <w:top w:val="nil"/>
              <w:left w:val="nil"/>
              <w:bottom w:val="single" w:sz="12" w:space="0" w:color="808080"/>
              <w:right w:val="single" w:sz="12" w:space="0" w:color="808080"/>
            </w:tcBorders>
            <w:shd w:val="clear" w:color="auto" w:fill="auto"/>
            <w:hideMark/>
          </w:tcPr>
          <w:p w:rsidR="008A336A" w:rsidRPr="008A336A" w:rsidRDefault="008A336A" w:rsidP="008A336A">
            <w:pPr>
              <w:spacing w:after="0" w:line="240" w:lineRule="auto"/>
              <w:jc w:val="center"/>
              <w:rPr>
                <w:rFonts w:eastAsia="Times New Roman" w:cs="Calibri"/>
                <w:color w:val="000000"/>
                <w:sz w:val="18"/>
                <w:szCs w:val="18"/>
                <w:lang w:eastAsia="en-CA"/>
              </w:rPr>
            </w:pPr>
            <w:r w:rsidRPr="008A336A">
              <w:rPr>
                <w:rFonts w:eastAsia="Times New Roman" w:cs="Calibri"/>
                <w:color w:val="000000"/>
                <w:sz w:val="18"/>
                <w:szCs w:val="18"/>
                <w:lang w:eastAsia="en-CA"/>
              </w:rPr>
              <w:t>-</w:t>
            </w:r>
          </w:p>
        </w:tc>
      </w:tr>
      <w:tr w:rsidR="008A336A" w:rsidRPr="008A336A" w:rsidTr="008A336A">
        <w:trPr>
          <w:trHeight w:val="240"/>
        </w:trPr>
        <w:tc>
          <w:tcPr>
            <w:tcW w:w="10120" w:type="dxa"/>
            <w:gridSpan w:val="8"/>
            <w:tcBorders>
              <w:top w:val="single" w:sz="12" w:space="0" w:color="808080"/>
              <w:left w:val="nil"/>
              <w:bottom w:val="nil"/>
              <w:right w:val="nil"/>
            </w:tcBorders>
            <w:shd w:val="clear" w:color="auto" w:fill="auto"/>
            <w:noWrap/>
            <w:vAlign w:val="bottom"/>
            <w:hideMark/>
          </w:tcPr>
          <w:p w:rsidR="008A336A" w:rsidRPr="008A336A" w:rsidRDefault="008A336A" w:rsidP="008A336A">
            <w:pPr>
              <w:spacing w:after="0" w:line="240" w:lineRule="auto"/>
              <w:rPr>
                <w:rFonts w:eastAsia="Times New Roman" w:cs="Calibri"/>
                <w:i/>
                <w:iCs/>
                <w:color w:val="000000"/>
                <w:sz w:val="16"/>
                <w:szCs w:val="16"/>
                <w:lang w:eastAsia="en-CA"/>
              </w:rPr>
            </w:pPr>
            <w:r w:rsidRPr="008A336A">
              <w:rPr>
                <w:rFonts w:eastAsia="Times New Roman" w:cs="Calibri"/>
                <w:i/>
                <w:iCs/>
                <w:color w:val="000000"/>
                <w:sz w:val="16"/>
                <w:szCs w:val="16"/>
                <w:lang w:eastAsia="en-CA"/>
              </w:rPr>
              <w:t>Note: Totals may not add due to rounding</w:t>
            </w:r>
          </w:p>
        </w:tc>
      </w:tr>
      <w:tr w:rsidR="008A336A" w:rsidRPr="008A336A" w:rsidTr="008A336A">
        <w:trPr>
          <w:trHeight w:val="225"/>
        </w:trPr>
        <w:tc>
          <w:tcPr>
            <w:tcW w:w="10120" w:type="dxa"/>
            <w:gridSpan w:val="8"/>
            <w:tcBorders>
              <w:top w:val="nil"/>
              <w:left w:val="nil"/>
              <w:bottom w:val="nil"/>
              <w:right w:val="nil"/>
            </w:tcBorders>
            <w:shd w:val="clear" w:color="auto" w:fill="auto"/>
            <w:noWrap/>
            <w:vAlign w:val="bottom"/>
            <w:hideMark/>
          </w:tcPr>
          <w:p w:rsidR="008A336A" w:rsidRPr="008A336A" w:rsidRDefault="008A336A" w:rsidP="008A336A">
            <w:pPr>
              <w:spacing w:after="0" w:line="240" w:lineRule="auto"/>
              <w:rPr>
                <w:rFonts w:eastAsia="Times New Roman" w:cs="Calibri"/>
                <w:i/>
                <w:iCs/>
                <w:color w:val="000000"/>
                <w:sz w:val="16"/>
                <w:szCs w:val="16"/>
                <w:lang w:eastAsia="en-CA"/>
              </w:rPr>
            </w:pPr>
            <w:r w:rsidRPr="008A336A">
              <w:rPr>
                <w:rFonts w:eastAsia="Times New Roman" w:cs="Calibri"/>
                <w:i/>
                <w:iCs/>
                <w:color w:val="000000"/>
                <w:sz w:val="16"/>
                <w:szCs w:val="16"/>
                <w:lang w:eastAsia="en-CA"/>
              </w:rPr>
              <w:t>Source: Statistics Canada Labour Force Survey – Table 14-10-0287, formerly CANSIM 282-0087</w:t>
            </w:r>
          </w:p>
        </w:tc>
      </w:tr>
    </w:tbl>
    <w:p w:rsidR="00BC621D" w:rsidRDefault="009E7351" w:rsidP="00771756">
      <w:pPr>
        <w:spacing w:before="240" w:after="240"/>
        <w:jc w:val="both"/>
      </w:pPr>
      <w:r>
        <w:t>Year-</w:t>
      </w:r>
      <w:r w:rsidR="004C149F">
        <w:t>over</w:t>
      </w:r>
      <w:r>
        <w:t>-</w:t>
      </w:r>
      <w:r w:rsidR="004A7EEB" w:rsidRPr="00CC3121">
        <w:t>year</w:t>
      </w:r>
      <w:r w:rsidR="002A0C82" w:rsidRPr="00CC3121">
        <w:t xml:space="preserve"> </w:t>
      </w:r>
      <w:r w:rsidR="00CC3121" w:rsidRPr="00CC3121">
        <w:t>employmen</w:t>
      </w:r>
      <w:r w:rsidR="004C149F">
        <w:t xml:space="preserve">t in Alberta </w:t>
      </w:r>
      <w:r w:rsidR="002C5001">
        <w:t>fell</w:t>
      </w:r>
      <w:r w:rsidR="00A2277F">
        <w:t xml:space="preserve"> </w:t>
      </w:r>
      <w:r w:rsidR="004C149F">
        <w:t xml:space="preserve">by </w:t>
      </w:r>
      <w:r w:rsidR="004A7EEB">
        <w:t>18,200,</w:t>
      </w:r>
      <w:r w:rsidR="00A2277F">
        <w:t xml:space="preserve"> which was</w:t>
      </w:r>
      <w:r w:rsidR="004A7EEB">
        <w:t xml:space="preserve"> the same </w:t>
      </w:r>
      <w:r w:rsidR="004C149F">
        <w:t>loss as seen month</w:t>
      </w:r>
      <w:r w:rsidR="000C31A5">
        <w:t xml:space="preserve"> over month</w:t>
      </w:r>
      <w:r w:rsidR="004C149F">
        <w:t>. However, c</w:t>
      </w:r>
      <w:r w:rsidR="00D332CA">
        <w:t>ompared to</w:t>
      </w:r>
      <w:r>
        <w:t xml:space="preserve"> </w:t>
      </w:r>
      <w:r w:rsidR="006211B2">
        <w:t>November</w:t>
      </w:r>
      <w:r w:rsidR="00B6742E">
        <w:t xml:space="preserve"> </w:t>
      </w:r>
      <w:r w:rsidR="004C149F">
        <w:t xml:space="preserve">2018, </w:t>
      </w:r>
      <w:r w:rsidR="00353914">
        <w:t xml:space="preserve">employment </w:t>
      </w:r>
      <w:r w:rsidR="002C5001">
        <w:t>was up</w:t>
      </w:r>
      <w:r>
        <w:t xml:space="preserve"> </w:t>
      </w:r>
      <w:r w:rsidR="00353914">
        <w:t xml:space="preserve">in both the </w:t>
      </w:r>
      <w:r w:rsidR="00BC621D">
        <w:t xml:space="preserve">public </w:t>
      </w:r>
      <w:r>
        <w:t>and</w:t>
      </w:r>
      <w:r w:rsidR="00353914">
        <w:t xml:space="preserve"> private sector</w:t>
      </w:r>
      <w:r w:rsidR="004C149F">
        <w:t xml:space="preserve">s </w:t>
      </w:r>
      <w:r w:rsidR="00353914">
        <w:t>(</w:t>
      </w:r>
      <w:r w:rsidR="004C149F">
        <w:t xml:space="preserve">+1.7% and </w:t>
      </w:r>
      <w:r w:rsidR="00353914">
        <w:t>+0.4%</w:t>
      </w:r>
      <w:r w:rsidR="004C149F">
        <w:t xml:space="preserve"> respectively</w:t>
      </w:r>
      <w:r w:rsidR="00353914">
        <w:t>)</w:t>
      </w:r>
      <w:r w:rsidR="002C5001">
        <w:t xml:space="preserve"> – with the net drop entirely due to a steep decline in the </w:t>
      </w:r>
      <w:r w:rsidR="00BC621D">
        <w:t>self-employ</w:t>
      </w:r>
      <w:r w:rsidR="002C5001">
        <w:t>ed</w:t>
      </w:r>
      <w:r w:rsidR="00BC621D">
        <w:t xml:space="preserve"> (-</w:t>
      </w:r>
      <w:r w:rsidR="002C5001">
        <w:t>8.1%</w:t>
      </w:r>
      <w:r w:rsidR="00BC621D">
        <w:t>).</w:t>
      </w:r>
      <w:r w:rsidR="002C1DDF">
        <w:rPr>
          <w:rStyle w:val="EndnoteReference"/>
        </w:rPr>
        <w:endnoteReference w:id="3"/>
      </w:r>
    </w:p>
    <w:p w:rsidR="00AE60F2" w:rsidRDefault="009E7351" w:rsidP="00CD388B">
      <w:pPr>
        <w:spacing w:before="120" w:after="120"/>
        <w:jc w:val="both"/>
      </w:pPr>
      <w:r>
        <w:lastRenderedPageBreak/>
        <w:t>W</w:t>
      </w:r>
      <w:r w:rsidR="00015B59">
        <w:t>omen</w:t>
      </w:r>
      <w:r>
        <w:t xml:space="preserve"> in Alberta</w:t>
      </w:r>
      <w:r w:rsidR="00204B2E">
        <w:t xml:space="preserve"> had</w:t>
      </w:r>
      <w:r w:rsidR="00015B59">
        <w:t xml:space="preserve"> </w:t>
      </w:r>
      <w:r w:rsidR="00204B2E">
        <w:t xml:space="preserve">a disproportionate share </w:t>
      </w:r>
      <w:r>
        <w:t>of</w:t>
      </w:r>
      <w:r w:rsidR="00204B2E">
        <w:t xml:space="preserve"> the</w:t>
      </w:r>
      <w:r w:rsidR="00015B59">
        <w:t xml:space="preserve"> job loss on the month. Of the 18,200 </w:t>
      </w:r>
      <w:r w:rsidR="00D15C71">
        <w:t>positions</w:t>
      </w:r>
      <w:r w:rsidR="00015B59">
        <w:t xml:space="preserve"> lost between mid-October and mid-November, 15,800 of them were held by women. </w:t>
      </w:r>
      <w:r w:rsidR="00F66EAE">
        <w:t>L</w:t>
      </w:r>
      <w:r w:rsidR="008E3927">
        <w:t xml:space="preserve">osses were </w:t>
      </w:r>
      <w:r w:rsidR="00F66EAE">
        <w:t>concentrated</w:t>
      </w:r>
      <w:r w:rsidR="008E3927">
        <w:t xml:space="preserve"> in n</w:t>
      </w:r>
      <w:r w:rsidR="008E3927" w:rsidRPr="008E3927">
        <w:t>atural resources, agriculture and related production occupations</w:t>
      </w:r>
      <w:r w:rsidR="00F66EAE">
        <w:t xml:space="preserve">, </w:t>
      </w:r>
      <w:r w:rsidR="008E3927">
        <w:t>o</w:t>
      </w:r>
      <w:r w:rsidR="008E3927" w:rsidRPr="008E3927">
        <w:t>ccupations in education, law and social, community and government services</w:t>
      </w:r>
      <w:r w:rsidR="00F66EAE">
        <w:t>, and in technical occupations in health.</w:t>
      </w:r>
      <w:r w:rsidR="002E6830">
        <w:rPr>
          <w:rStyle w:val="EndnoteReference"/>
        </w:rPr>
        <w:endnoteReference w:id="4"/>
      </w:r>
    </w:p>
    <w:p w:rsidR="00AC6739" w:rsidRPr="00EC6CD4" w:rsidRDefault="004A28D2" w:rsidP="00CD388B">
      <w:pPr>
        <w:spacing w:before="120" w:after="120"/>
        <w:jc w:val="both"/>
      </w:pPr>
      <w:r w:rsidRPr="00EC6CD4">
        <w:t>Hourly paid Albertans worked 31.</w:t>
      </w:r>
      <w:r w:rsidR="00354B22">
        <w:t>4</w:t>
      </w:r>
      <w:r w:rsidRPr="00EC6CD4">
        <w:t xml:space="preserve"> hours </w:t>
      </w:r>
      <w:r w:rsidR="003E017E">
        <w:t xml:space="preserve">per week </w:t>
      </w:r>
      <w:r w:rsidRPr="00EC6CD4">
        <w:t xml:space="preserve">on average in </w:t>
      </w:r>
      <w:r w:rsidR="00354B22">
        <w:t>September</w:t>
      </w:r>
      <w:r w:rsidR="000C31A5">
        <w:t xml:space="preserve"> 2019</w:t>
      </w:r>
      <w:r w:rsidRPr="00EC6CD4">
        <w:t xml:space="preserve"> (the most recent data available). This was the third </w:t>
      </w:r>
      <w:r w:rsidR="006C33B2">
        <w:t xml:space="preserve">highest </w:t>
      </w:r>
      <w:r w:rsidRPr="00EC6CD4">
        <w:t xml:space="preserve">among provinces and </w:t>
      </w:r>
      <w:r w:rsidR="006C33B2">
        <w:t>well above</w:t>
      </w:r>
      <w:r w:rsidRPr="00EC6CD4">
        <w:t xml:space="preserve"> the </w:t>
      </w:r>
      <w:r w:rsidR="003E017E">
        <w:t>national average</w:t>
      </w:r>
      <w:r w:rsidR="00F15EA5">
        <w:t xml:space="preserve"> of </w:t>
      </w:r>
      <w:r w:rsidR="00017FD4">
        <w:t>30</w:t>
      </w:r>
      <w:r w:rsidR="00EC6CD4" w:rsidRPr="00EC6CD4">
        <w:t>.</w:t>
      </w:r>
      <w:r w:rsidR="00F15EA5">
        <w:t>5 hours</w:t>
      </w:r>
      <w:r w:rsidRPr="00EC6CD4">
        <w:t xml:space="preserve">. </w:t>
      </w:r>
      <w:r w:rsidR="003E017E">
        <w:t xml:space="preserve">However, while all provinces </w:t>
      </w:r>
      <w:r w:rsidR="00F15EA5">
        <w:t>post</w:t>
      </w:r>
      <w:r w:rsidR="003E017E">
        <w:t xml:space="preserve">ed </w:t>
      </w:r>
      <w:r w:rsidR="000F54A1">
        <w:t>longer</w:t>
      </w:r>
      <w:r w:rsidR="003E017E">
        <w:t xml:space="preserve"> work</w:t>
      </w:r>
      <w:r w:rsidR="009E7351">
        <w:t xml:space="preserve"> </w:t>
      </w:r>
      <w:r w:rsidR="003E017E">
        <w:t>week</w:t>
      </w:r>
      <w:r w:rsidR="000F54A1">
        <w:t>s</w:t>
      </w:r>
      <w:r w:rsidR="009E7351">
        <w:t xml:space="preserve"> </w:t>
      </w:r>
      <w:r w:rsidR="000F54A1">
        <w:t xml:space="preserve">compared to September 2018, Alberta’s increased the least: up 0.6% versus 1.7% nationwide. </w:t>
      </w:r>
      <w:r w:rsidRPr="00EC6CD4">
        <w:t>Meanwhile</w:t>
      </w:r>
      <w:r w:rsidR="009E7351">
        <w:t xml:space="preserve"> </w:t>
      </w:r>
      <w:r w:rsidR="00EC6CD4" w:rsidRPr="00EC6CD4">
        <w:t>at $1,1</w:t>
      </w:r>
      <w:r w:rsidR="00A1670E">
        <w:t>78</w:t>
      </w:r>
      <w:r w:rsidR="00EC6CD4" w:rsidRPr="00EC6CD4">
        <w:t xml:space="preserve"> per week, </w:t>
      </w:r>
      <w:r w:rsidRPr="00EC6CD4">
        <w:t xml:space="preserve">average </w:t>
      </w:r>
      <w:r w:rsidR="00F15EA5">
        <w:t xml:space="preserve">weekly </w:t>
      </w:r>
      <w:r w:rsidRPr="00EC6CD4">
        <w:t>earnings in Alberta</w:t>
      </w:r>
      <w:r w:rsidR="00EC6CD4" w:rsidRPr="00EC6CD4">
        <w:t xml:space="preserve"> remain the highest among provinces, despite </w:t>
      </w:r>
      <w:r w:rsidR="00F15EA5">
        <w:t xml:space="preserve">posting </w:t>
      </w:r>
      <w:r w:rsidR="00A1670E">
        <w:t>four</w:t>
      </w:r>
      <w:r w:rsidR="009E7351">
        <w:t xml:space="preserve"> </w:t>
      </w:r>
      <w:r w:rsidR="00A1670E">
        <w:t>monthly declines through the first nine months of 2019</w:t>
      </w:r>
      <w:r w:rsidR="00E71DEA" w:rsidRPr="00EC6CD4">
        <w:t>.</w:t>
      </w:r>
      <w:r w:rsidR="00737B74">
        <w:rPr>
          <w:rStyle w:val="EndnoteReference"/>
        </w:rPr>
        <w:endnoteReference w:id="5"/>
      </w:r>
    </w:p>
    <w:p w:rsidR="00BB5954" w:rsidRPr="0079417E" w:rsidRDefault="000F10AE" w:rsidP="00CD388B">
      <w:pPr>
        <w:spacing w:before="120" w:after="120"/>
        <w:jc w:val="both"/>
      </w:pPr>
      <w:r w:rsidRPr="004E349B">
        <w:t xml:space="preserve">In </w:t>
      </w:r>
      <w:r w:rsidR="00A1670E">
        <w:t>September</w:t>
      </w:r>
      <w:r w:rsidR="009E7351">
        <w:t xml:space="preserve"> </w:t>
      </w:r>
      <w:r w:rsidR="000A73D0">
        <w:t>(again the most recent data available)</w:t>
      </w:r>
      <w:r w:rsidRPr="004E349B">
        <w:t xml:space="preserve">, the number of regular Employment Insurance beneficiaries </w:t>
      </w:r>
      <w:r w:rsidR="00F15EA5">
        <w:t>declined</w:t>
      </w:r>
      <w:r w:rsidR="009E7351">
        <w:t xml:space="preserve"> </w:t>
      </w:r>
      <w:r w:rsidR="00F15EA5">
        <w:t>for a second consecutive mont</w:t>
      </w:r>
      <w:r w:rsidR="00234789">
        <w:t>h</w:t>
      </w:r>
      <w:r w:rsidR="00BB5954" w:rsidRPr="004E349B">
        <w:t xml:space="preserve">. </w:t>
      </w:r>
      <w:r w:rsidR="00F15EA5">
        <w:t>Compared to September 2018, beneficiaries</w:t>
      </w:r>
      <w:r w:rsidR="00BE2D97">
        <w:t xml:space="preserve"> in Alberta were</w:t>
      </w:r>
      <w:r w:rsidR="009E7351">
        <w:t xml:space="preserve"> </w:t>
      </w:r>
      <w:r w:rsidR="00BE2D97">
        <w:t xml:space="preserve">down 6.3% versus a </w:t>
      </w:r>
      <w:r w:rsidR="00E11B2A" w:rsidRPr="0079417E">
        <w:t xml:space="preserve">decline </w:t>
      </w:r>
      <w:r w:rsidR="00BE2D97">
        <w:t xml:space="preserve">of 1.1% </w:t>
      </w:r>
      <w:r w:rsidR="00E11B2A" w:rsidRPr="0079417E">
        <w:t>nationwide.</w:t>
      </w:r>
      <w:r w:rsidR="00BA57A1" w:rsidRPr="0079417E">
        <w:rPr>
          <w:rStyle w:val="EndnoteReference"/>
        </w:rPr>
        <w:endnoteReference w:id="6"/>
      </w:r>
    </w:p>
    <w:p w:rsidR="008C6F61" w:rsidRDefault="00237EDD" w:rsidP="00CD388B">
      <w:pPr>
        <w:spacing w:before="120" w:after="120"/>
        <w:jc w:val="both"/>
      </w:pPr>
      <w:r>
        <w:t>U</w:t>
      </w:r>
      <w:r w:rsidR="001C5F45" w:rsidRPr="00EA7071">
        <w:t>nemploy</w:t>
      </w:r>
      <w:r w:rsidR="006C33B2">
        <w:t>ment</w:t>
      </w:r>
      <w:r w:rsidR="009E7351">
        <w:t xml:space="preserve"> </w:t>
      </w:r>
      <w:r w:rsidR="00B31BFE">
        <w:t>jumped</w:t>
      </w:r>
      <w:r w:rsidR="009E7351">
        <w:t xml:space="preserve"> </w:t>
      </w:r>
      <w:r w:rsidR="008C6F61" w:rsidRPr="00EA7071">
        <w:t xml:space="preserve">in </w:t>
      </w:r>
      <w:r>
        <w:t>Novem</w:t>
      </w:r>
      <w:r w:rsidR="00125E09">
        <w:t>ber</w:t>
      </w:r>
      <w:r w:rsidR="008C6F61" w:rsidRPr="00EA7071">
        <w:t xml:space="preserve">, </w:t>
      </w:r>
      <w:r w:rsidR="0079417E" w:rsidRPr="00EA7071">
        <w:t>u</w:t>
      </w:r>
      <w:r w:rsidR="008C6F61" w:rsidRPr="00EA7071">
        <w:t xml:space="preserve">p </w:t>
      </w:r>
      <w:r>
        <w:t>by 12</w:t>
      </w:r>
      <w:r w:rsidR="0079417E" w:rsidRPr="00EA7071">
        <w:t>,</w:t>
      </w:r>
      <w:r>
        <w:t>9</w:t>
      </w:r>
      <w:r w:rsidR="0079417E" w:rsidRPr="00EA7071">
        <w:t>00</w:t>
      </w:r>
      <w:r>
        <w:t>.</w:t>
      </w:r>
      <w:r w:rsidR="00B6742E">
        <w:t xml:space="preserve"> </w:t>
      </w:r>
      <w:r w:rsidR="00234789">
        <w:t>A</w:t>
      </w:r>
      <w:r w:rsidR="00130B88" w:rsidRPr="00EA7071">
        <w:t>t 1</w:t>
      </w:r>
      <w:r w:rsidR="00234789">
        <w:t>82</w:t>
      </w:r>
      <w:r w:rsidR="0079417E" w:rsidRPr="00EA7071">
        <w:t>,</w:t>
      </w:r>
      <w:r w:rsidR="00234789">
        <w:t>5</w:t>
      </w:r>
      <w:r w:rsidR="0079417E" w:rsidRPr="00EA7071">
        <w:t>00</w:t>
      </w:r>
      <w:r w:rsidR="00130B88" w:rsidRPr="00EA7071">
        <w:t xml:space="preserve">, </w:t>
      </w:r>
      <w:r w:rsidR="00234789">
        <w:t xml:space="preserve">the number of </w:t>
      </w:r>
      <w:r w:rsidR="002C4A8A">
        <w:t>unemployed</w:t>
      </w:r>
      <w:r w:rsidR="009E7351">
        <w:t xml:space="preserve"> </w:t>
      </w:r>
      <w:r w:rsidR="002C4A8A">
        <w:t>in the province</w:t>
      </w:r>
      <w:r w:rsidR="009E7351">
        <w:t xml:space="preserve"> </w:t>
      </w:r>
      <w:r w:rsidR="00DA54C0">
        <w:t>was</w:t>
      </w:r>
      <w:r w:rsidR="009E7351">
        <w:t xml:space="preserve"> </w:t>
      </w:r>
      <w:r w:rsidR="00DA54C0">
        <w:t>25,700 higher than in November 2018</w:t>
      </w:r>
      <w:r w:rsidR="00130B88" w:rsidRPr="00EA7071">
        <w:t>. A</w:t>
      </w:r>
      <w:r w:rsidR="00CE0C82">
        <w:t>lberta’s</w:t>
      </w:r>
      <w:r w:rsidR="00130B88" w:rsidRPr="00B530F7">
        <w:t xml:space="preserve"> unemployment rate</w:t>
      </w:r>
      <w:r w:rsidR="00CE0C82">
        <w:t>, increased to 7</w:t>
      </w:r>
      <w:r w:rsidR="00CE0C82" w:rsidRPr="00EA7071">
        <w:t>.</w:t>
      </w:r>
      <w:r w:rsidR="00CE0C82">
        <w:t>2</w:t>
      </w:r>
      <w:r w:rsidR="00CE0C82" w:rsidRPr="00B530F7">
        <w:t>%</w:t>
      </w:r>
      <w:r w:rsidR="00CE0C82">
        <w:t xml:space="preserve">, </w:t>
      </w:r>
      <w:r w:rsidR="00130B88" w:rsidRPr="00B530F7">
        <w:t xml:space="preserve">the highest </w:t>
      </w:r>
      <w:r w:rsidR="00CE0C82">
        <w:t xml:space="preserve">rate </w:t>
      </w:r>
      <w:r w:rsidR="00130B88" w:rsidRPr="00B530F7">
        <w:t>west of New Brunswic</w:t>
      </w:r>
      <w:r w:rsidR="006216EE">
        <w:t>k</w:t>
      </w:r>
      <w:r w:rsidR="00130B88" w:rsidRPr="00B530F7">
        <w:t xml:space="preserve">. </w:t>
      </w:r>
      <w:r w:rsidR="00CE0C82">
        <w:t xml:space="preserve">On average, </w:t>
      </w:r>
      <w:r w:rsidR="00CE0C82" w:rsidRPr="00B530F7">
        <w:t>unemplo</w:t>
      </w:r>
      <w:r w:rsidR="00CE0C82">
        <w:t>yed</w:t>
      </w:r>
      <w:r w:rsidR="00CE0C82" w:rsidRPr="00B530F7">
        <w:t xml:space="preserve"> Alberta</w:t>
      </w:r>
      <w:r w:rsidR="00CE0C82">
        <w:t>ns went</w:t>
      </w:r>
      <w:r w:rsidR="00B6742E">
        <w:t xml:space="preserve"> </w:t>
      </w:r>
      <w:r w:rsidR="006C33B2">
        <w:t>1</w:t>
      </w:r>
      <w:r w:rsidR="00B31BFE">
        <w:t>9</w:t>
      </w:r>
      <w:r w:rsidR="006C33B2">
        <w:t>.</w:t>
      </w:r>
      <w:r w:rsidR="00B31BFE">
        <w:t>8</w:t>
      </w:r>
      <w:r w:rsidR="008C6F61" w:rsidRPr="00B530F7">
        <w:t xml:space="preserve"> weeks</w:t>
      </w:r>
      <w:r w:rsidR="009E7351">
        <w:t xml:space="preserve"> </w:t>
      </w:r>
      <w:r w:rsidR="00CE0C82">
        <w:t xml:space="preserve">before finding a job </w:t>
      </w:r>
      <w:r w:rsidR="00CD4E41">
        <w:t xml:space="preserve">in </w:t>
      </w:r>
      <w:r w:rsidR="00B31BFE">
        <w:t>Novem</w:t>
      </w:r>
      <w:r w:rsidR="00CD4E41">
        <w:t>ber</w:t>
      </w:r>
      <w:r w:rsidR="008C6F61" w:rsidRPr="00B530F7">
        <w:t xml:space="preserve">, </w:t>
      </w:r>
      <w:r w:rsidR="00B31BFE">
        <w:t>second</w:t>
      </w:r>
      <w:r w:rsidR="009E7351">
        <w:t xml:space="preserve"> </w:t>
      </w:r>
      <w:r w:rsidR="00393E6A">
        <w:t xml:space="preserve">longest </w:t>
      </w:r>
      <w:r w:rsidR="006C33B2">
        <w:t xml:space="preserve">among provinces and </w:t>
      </w:r>
      <w:r w:rsidR="00B31BFE">
        <w:t>3</w:t>
      </w:r>
      <w:r w:rsidR="006C33B2">
        <w:t>.</w:t>
      </w:r>
      <w:r w:rsidR="00B31BFE">
        <w:t>4</w:t>
      </w:r>
      <w:r w:rsidR="006C33B2">
        <w:t xml:space="preserve"> weeks </w:t>
      </w:r>
      <w:r w:rsidR="00393E6A">
        <w:t>above</w:t>
      </w:r>
      <w:r w:rsidR="006C33B2">
        <w:t xml:space="preserve"> the national average</w:t>
      </w:r>
      <w:r w:rsidR="008C6F61" w:rsidRPr="00B530F7">
        <w:t>.</w:t>
      </w:r>
      <w:r w:rsidR="00574A25">
        <w:rPr>
          <w:rStyle w:val="EndnoteReference"/>
        </w:rPr>
        <w:endnoteReference w:id="7"/>
      </w:r>
      <w:r w:rsidR="009E7351">
        <w:t xml:space="preserve"> </w:t>
      </w:r>
      <w:r w:rsidR="00393E6A">
        <w:t xml:space="preserve">Surprisingly, </w:t>
      </w:r>
    </w:p>
    <w:p w:rsidR="006C0AAD" w:rsidRPr="000B6848" w:rsidRDefault="008A336A" w:rsidP="006A2F14">
      <w:pPr>
        <w:spacing w:before="240" w:after="240"/>
        <w:jc w:val="center"/>
        <w:rPr>
          <w:highlight w:val="yellow"/>
        </w:rPr>
      </w:pPr>
      <w:r>
        <w:rPr>
          <w:noProof/>
          <w:lang w:val="en-US"/>
        </w:rPr>
        <w:drawing>
          <wp:inline distT="0" distB="0" distL="0" distR="0">
            <wp:extent cx="4524375" cy="34290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6739" w:rsidRPr="001F0BAE" w:rsidRDefault="00FD6079" w:rsidP="002B3B45">
      <w:pPr>
        <w:spacing w:before="240" w:after="240"/>
        <w:rPr>
          <w:b/>
        </w:rPr>
      </w:pPr>
      <w:r w:rsidRPr="001F0BAE">
        <w:rPr>
          <w:b/>
        </w:rPr>
        <w:t>Unemployment by major demographic grouping</w:t>
      </w:r>
    </w:p>
    <w:p w:rsidR="001F0BAE" w:rsidRPr="001F0BAE" w:rsidRDefault="00FD6079" w:rsidP="00771756">
      <w:pPr>
        <w:spacing w:before="240" w:after="240"/>
        <w:jc w:val="both"/>
      </w:pPr>
      <w:r w:rsidRPr="001F0BAE">
        <w:t xml:space="preserve">At </w:t>
      </w:r>
      <w:r w:rsidR="00D172F3">
        <w:t>7</w:t>
      </w:r>
      <w:r w:rsidRPr="001F0BAE">
        <w:t>.</w:t>
      </w:r>
      <w:r w:rsidR="00D172F3">
        <w:t>2</w:t>
      </w:r>
      <w:r w:rsidR="00CD388B">
        <w:t xml:space="preserve">%, Alberta’s overall </w:t>
      </w:r>
      <w:r w:rsidRPr="001F0BAE">
        <w:t xml:space="preserve">unemployment rate </w:t>
      </w:r>
      <w:r w:rsidR="00D172F3">
        <w:t>increased by</w:t>
      </w:r>
      <w:r w:rsidR="009E7351">
        <w:t xml:space="preserve"> </w:t>
      </w:r>
      <w:r w:rsidR="00D172F3">
        <w:t>a</w:t>
      </w:r>
      <w:r w:rsidR="009E7351">
        <w:t xml:space="preserve"> </w:t>
      </w:r>
      <w:r w:rsidR="00D172F3">
        <w:t xml:space="preserve">full </w:t>
      </w:r>
      <w:r w:rsidRPr="001F0BAE">
        <w:t xml:space="preserve">percentage point (pp) </w:t>
      </w:r>
      <w:r w:rsidR="00D172F3">
        <w:t>compared to November 2018</w:t>
      </w:r>
      <w:r w:rsidRPr="001F0BAE">
        <w:t xml:space="preserve">. </w:t>
      </w:r>
      <w:r w:rsidR="00D172F3">
        <w:t>Y</w:t>
      </w:r>
      <w:r w:rsidR="001F0BAE" w:rsidRPr="001F0BAE">
        <w:t>oung workers fared the worst, with young men facing an unemployment rate of 1</w:t>
      </w:r>
      <w:r w:rsidR="00D172F3">
        <w:t>9</w:t>
      </w:r>
      <w:r w:rsidR="001F0BAE" w:rsidRPr="001F0BAE">
        <w:t>.</w:t>
      </w:r>
      <w:r w:rsidR="00D172F3">
        <w:t>4</w:t>
      </w:r>
      <w:r w:rsidR="001F0BAE" w:rsidRPr="001F0BAE">
        <w:t xml:space="preserve">% compared to </w:t>
      </w:r>
      <w:r w:rsidR="00231AAF">
        <w:t>a rate of</w:t>
      </w:r>
      <w:r w:rsidR="00D172F3">
        <w:t>10</w:t>
      </w:r>
      <w:r w:rsidR="001F0BAE" w:rsidRPr="001F0BAE">
        <w:t>.</w:t>
      </w:r>
      <w:r w:rsidR="00CD4E41">
        <w:t>8</w:t>
      </w:r>
      <w:r w:rsidR="001F0BAE" w:rsidRPr="001F0BAE">
        <w:t xml:space="preserve">% </w:t>
      </w:r>
      <w:r w:rsidR="00231AAF">
        <w:t>for</w:t>
      </w:r>
      <w:r w:rsidR="001F0BAE" w:rsidRPr="001F0BAE">
        <w:t xml:space="preserve"> their female co</w:t>
      </w:r>
      <w:r w:rsidR="000750EF">
        <w:t>ntemporaries</w:t>
      </w:r>
      <w:r w:rsidR="001F0BAE" w:rsidRPr="001F0BAE">
        <w:t>.</w:t>
      </w:r>
      <w:r w:rsidR="007D30AF">
        <w:t xml:space="preserve"> The outlook facing older men </w:t>
      </w:r>
      <w:r w:rsidR="000750EF">
        <w:t xml:space="preserve">somewhat </w:t>
      </w:r>
      <w:r w:rsidR="007D30AF">
        <w:t xml:space="preserve">mirrored that of their </w:t>
      </w:r>
      <w:r w:rsidR="007D30AF">
        <w:lastRenderedPageBreak/>
        <w:t>younger counterparts</w:t>
      </w:r>
      <w:r w:rsidR="00F328EF">
        <w:t>, with the unemployment rate for m</w:t>
      </w:r>
      <w:r w:rsidR="007D30AF">
        <w:t>en 25 years and older</w:t>
      </w:r>
      <w:r w:rsidR="00CD388B">
        <w:t xml:space="preserve"> </w:t>
      </w:r>
      <w:r w:rsidR="00D172F3">
        <w:t>0.5 pp</w:t>
      </w:r>
      <w:r w:rsidR="00F328EF">
        <w:t xml:space="preserve"> higher than that of women </w:t>
      </w:r>
      <w:r w:rsidR="000A156E">
        <w:t>from the same age group</w:t>
      </w:r>
      <w:r w:rsidR="00F328EF">
        <w:t>.</w:t>
      </w:r>
    </w:p>
    <w:tbl>
      <w:tblPr>
        <w:tblW w:w="10188" w:type="dxa"/>
        <w:tblLook w:val="04A0"/>
      </w:tblPr>
      <w:tblGrid>
        <w:gridCol w:w="2600"/>
        <w:gridCol w:w="1300"/>
        <w:gridCol w:w="1300"/>
        <w:gridCol w:w="1300"/>
        <w:gridCol w:w="1460"/>
        <w:gridCol w:w="1300"/>
        <w:gridCol w:w="928"/>
      </w:tblGrid>
      <w:tr w:rsidR="00593D8B" w:rsidRPr="00593D8B" w:rsidTr="00AD3252">
        <w:trPr>
          <w:gridAfter w:val="1"/>
          <w:wAfter w:w="928" w:type="dxa"/>
          <w:trHeight w:val="315"/>
        </w:trPr>
        <w:tc>
          <w:tcPr>
            <w:tcW w:w="9260" w:type="dxa"/>
            <w:gridSpan w:val="6"/>
            <w:tcBorders>
              <w:top w:val="nil"/>
              <w:left w:val="nil"/>
              <w:bottom w:val="nil"/>
              <w:right w:val="nil"/>
            </w:tcBorders>
            <w:shd w:val="clear" w:color="auto" w:fill="auto"/>
            <w:hideMark/>
          </w:tcPr>
          <w:p w:rsidR="00593D8B" w:rsidRPr="00593D8B" w:rsidRDefault="00593D8B" w:rsidP="00593D8B">
            <w:pPr>
              <w:spacing w:after="0" w:line="240" w:lineRule="auto"/>
              <w:jc w:val="center"/>
              <w:rPr>
                <w:rFonts w:eastAsia="Times New Roman" w:cs="Calibri"/>
                <w:b/>
                <w:bCs/>
                <w:color w:val="000000"/>
                <w:lang w:eastAsia="en-CA"/>
              </w:rPr>
            </w:pPr>
            <w:r w:rsidRPr="00593D8B">
              <w:rPr>
                <w:rFonts w:eastAsia="Times New Roman" w:cs="Calibri"/>
                <w:b/>
                <w:bCs/>
                <w:color w:val="000000"/>
                <w:lang w:eastAsia="en-CA"/>
              </w:rPr>
              <w:t>Alberta Monthly Unemployment Rates, by Gender and Age</w:t>
            </w:r>
          </w:p>
        </w:tc>
      </w:tr>
      <w:tr w:rsidR="00593D8B" w:rsidRPr="00593D8B" w:rsidTr="00AD3252">
        <w:trPr>
          <w:gridAfter w:val="1"/>
          <w:wAfter w:w="928" w:type="dxa"/>
          <w:trHeight w:val="255"/>
        </w:trPr>
        <w:tc>
          <w:tcPr>
            <w:tcW w:w="2600" w:type="dxa"/>
            <w:vMerge w:val="restart"/>
            <w:tcBorders>
              <w:top w:val="single" w:sz="12" w:space="0" w:color="808080"/>
              <w:left w:val="single" w:sz="12" w:space="0" w:color="808080"/>
              <w:bottom w:val="nil"/>
              <w:right w:val="nil"/>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Seasonally Adjusted Data</w:t>
            </w:r>
          </w:p>
        </w:tc>
        <w:tc>
          <w:tcPr>
            <w:tcW w:w="1300" w:type="dxa"/>
            <w:tcBorders>
              <w:top w:val="single" w:sz="12" w:space="0" w:color="808080"/>
              <w:left w:val="single" w:sz="12" w:space="0" w:color="808080"/>
              <w:bottom w:val="nil"/>
              <w:right w:val="single" w:sz="8"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November 2019</w:t>
            </w:r>
          </w:p>
        </w:tc>
        <w:tc>
          <w:tcPr>
            <w:tcW w:w="1300" w:type="dxa"/>
            <w:tcBorders>
              <w:top w:val="single" w:sz="12" w:space="0" w:color="808080"/>
              <w:left w:val="nil"/>
              <w:bottom w:val="nil"/>
              <w:right w:val="single" w:sz="8"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October 2019</w:t>
            </w:r>
          </w:p>
        </w:tc>
        <w:tc>
          <w:tcPr>
            <w:tcW w:w="1300" w:type="dxa"/>
            <w:tcBorders>
              <w:top w:val="single" w:sz="12" w:space="0" w:color="808080"/>
              <w:left w:val="nil"/>
              <w:bottom w:val="nil"/>
              <w:right w:val="single" w:sz="12"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November 2018</w:t>
            </w:r>
          </w:p>
        </w:tc>
        <w:tc>
          <w:tcPr>
            <w:tcW w:w="1460" w:type="dxa"/>
            <w:tcBorders>
              <w:top w:val="single" w:sz="12" w:space="0" w:color="808080"/>
              <w:left w:val="nil"/>
              <w:bottom w:val="single" w:sz="4" w:space="0" w:color="808080"/>
              <w:right w:val="single" w:sz="4"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Monthly Variation</w:t>
            </w:r>
          </w:p>
        </w:tc>
        <w:tc>
          <w:tcPr>
            <w:tcW w:w="1300" w:type="dxa"/>
            <w:tcBorders>
              <w:top w:val="single" w:sz="12" w:space="0" w:color="808080"/>
              <w:left w:val="nil"/>
              <w:bottom w:val="single" w:sz="4" w:space="0" w:color="808080"/>
              <w:right w:val="single" w:sz="12"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Yearly Variation</w:t>
            </w:r>
          </w:p>
        </w:tc>
      </w:tr>
      <w:tr w:rsidR="00593D8B" w:rsidRPr="00593D8B" w:rsidTr="00AD3252">
        <w:trPr>
          <w:gridAfter w:val="1"/>
          <w:wAfter w:w="928" w:type="dxa"/>
          <w:trHeight w:val="255"/>
        </w:trPr>
        <w:tc>
          <w:tcPr>
            <w:tcW w:w="2600" w:type="dxa"/>
            <w:vMerge/>
            <w:tcBorders>
              <w:top w:val="single" w:sz="12" w:space="0" w:color="808080"/>
              <w:left w:val="single" w:sz="12" w:space="0" w:color="808080"/>
              <w:bottom w:val="nil"/>
              <w:right w:val="nil"/>
            </w:tcBorders>
            <w:vAlign w:val="center"/>
            <w:hideMark/>
          </w:tcPr>
          <w:p w:rsidR="00593D8B" w:rsidRPr="00593D8B" w:rsidRDefault="00593D8B" w:rsidP="00593D8B">
            <w:pPr>
              <w:spacing w:after="0" w:line="240" w:lineRule="auto"/>
              <w:rPr>
                <w:rFonts w:eastAsia="Times New Roman" w:cs="Calibri"/>
                <w:b/>
                <w:bCs/>
                <w:color w:val="FFFFFF"/>
                <w:sz w:val="18"/>
                <w:szCs w:val="18"/>
                <w:lang w:eastAsia="en-CA"/>
              </w:rPr>
            </w:pPr>
          </w:p>
        </w:tc>
        <w:tc>
          <w:tcPr>
            <w:tcW w:w="1300" w:type="dxa"/>
            <w:tcBorders>
              <w:top w:val="nil"/>
              <w:left w:val="single" w:sz="12" w:space="0" w:color="808080"/>
              <w:bottom w:val="single" w:sz="12" w:space="0" w:color="808080"/>
              <w:right w:val="single" w:sz="8"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w:t>
            </w:r>
          </w:p>
        </w:tc>
        <w:tc>
          <w:tcPr>
            <w:tcW w:w="1300" w:type="dxa"/>
            <w:tcBorders>
              <w:top w:val="nil"/>
              <w:left w:val="nil"/>
              <w:bottom w:val="single" w:sz="12" w:space="0" w:color="808080"/>
              <w:right w:val="single" w:sz="8"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w:t>
            </w:r>
          </w:p>
        </w:tc>
        <w:tc>
          <w:tcPr>
            <w:tcW w:w="1300" w:type="dxa"/>
            <w:tcBorders>
              <w:top w:val="nil"/>
              <w:left w:val="nil"/>
              <w:bottom w:val="single" w:sz="12" w:space="0" w:color="808080"/>
              <w:right w:val="single" w:sz="12"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w:t>
            </w:r>
          </w:p>
        </w:tc>
        <w:tc>
          <w:tcPr>
            <w:tcW w:w="1460" w:type="dxa"/>
            <w:tcBorders>
              <w:top w:val="nil"/>
              <w:left w:val="nil"/>
              <w:bottom w:val="nil"/>
              <w:right w:val="single" w:sz="4"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 points)</w:t>
            </w:r>
          </w:p>
        </w:tc>
        <w:tc>
          <w:tcPr>
            <w:tcW w:w="1300" w:type="dxa"/>
            <w:tcBorders>
              <w:top w:val="nil"/>
              <w:left w:val="nil"/>
              <w:bottom w:val="nil"/>
              <w:right w:val="single" w:sz="12"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 points)</w:t>
            </w:r>
          </w:p>
        </w:tc>
      </w:tr>
      <w:tr w:rsidR="00593D8B" w:rsidRPr="00593D8B" w:rsidTr="00AD3252">
        <w:trPr>
          <w:gridAfter w:val="1"/>
          <w:wAfter w:w="928" w:type="dxa"/>
          <w:trHeight w:val="255"/>
        </w:trPr>
        <w:tc>
          <w:tcPr>
            <w:tcW w:w="2600" w:type="dxa"/>
            <w:tcBorders>
              <w:top w:val="single" w:sz="12" w:space="0" w:color="808080"/>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b/>
                <w:bCs/>
                <w:color w:val="000000"/>
                <w:sz w:val="18"/>
                <w:szCs w:val="18"/>
                <w:lang w:eastAsia="en-CA"/>
              </w:rPr>
            </w:pPr>
            <w:r w:rsidRPr="00593D8B">
              <w:rPr>
                <w:rFonts w:eastAsia="Times New Roman" w:cs="Calibri"/>
                <w:b/>
                <w:bCs/>
                <w:color w:val="000000"/>
                <w:sz w:val="18"/>
                <w:szCs w:val="18"/>
                <w:lang w:eastAsia="en-CA"/>
              </w:rPr>
              <w:t>Total</w:t>
            </w:r>
          </w:p>
        </w:tc>
        <w:tc>
          <w:tcPr>
            <w:tcW w:w="1300" w:type="dxa"/>
            <w:tcBorders>
              <w:top w:val="nil"/>
              <w:left w:val="single" w:sz="12"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7.2</w:t>
            </w:r>
          </w:p>
        </w:tc>
        <w:tc>
          <w:tcPr>
            <w:tcW w:w="1300" w:type="dxa"/>
            <w:tcBorders>
              <w:top w:val="nil"/>
              <w:left w:val="single" w:sz="4"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6.7</w:t>
            </w:r>
          </w:p>
        </w:tc>
        <w:tc>
          <w:tcPr>
            <w:tcW w:w="1300" w:type="dxa"/>
            <w:tcBorders>
              <w:top w:val="nil"/>
              <w:left w:val="single" w:sz="4"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6.2</w:t>
            </w:r>
          </w:p>
        </w:tc>
        <w:tc>
          <w:tcPr>
            <w:tcW w:w="1460" w:type="dxa"/>
            <w:tcBorders>
              <w:top w:val="single" w:sz="12" w:space="0" w:color="808080"/>
              <w:left w:val="single" w:sz="12" w:space="0" w:color="808080"/>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0.5</w:t>
            </w:r>
          </w:p>
        </w:tc>
        <w:tc>
          <w:tcPr>
            <w:tcW w:w="1300" w:type="dxa"/>
            <w:tcBorders>
              <w:top w:val="single" w:sz="12" w:space="0" w:color="808080"/>
              <w:left w:val="nil"/>
              <w:bottom w:val="single" w:sz="4" w:space="0" w:color="808080"/>
              <w:right w:val="single" w:sz="12"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w:t>
            </w:r>
          </w:p>
        </w:tc>
      </w:tr>
      <w:tr w:rsidR="00593D8B" w:rsidRPr="00593D8B" w:rsidTr="00AD3252">
        <w:trPr>
          <w:gridAfter w:val="1"/>
          <w:wAfter w:w="928" w:type="dxa"/>
          <w:trHeight w:val="240"/>
        </w:trPr>
        <w:tc>
          <w:tcPr>
            <w:tcW w:w="260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b/>
                <w:bCs/>
                <w:color w:val="000000"/>
                <w:sz w:val="18"/>
                <w:szCs w:val="18"/>
                <w:lang w:eastAsia="en-CA"/>
              </w:rPr>
            </w:pPr>
            <w:r w:rsidRPr="00593D8B">
              <w:rPr>
                <w:rFonts w:eastAsia="Times New Roman" w:cs="Calibri"/>
                <w:b/>
                <w:bCs/>
                <w:color w:val="000000"/>
                <w:sz w:val="18"/>
                <w:szCs w:val="18"/>
                <w:lang w:eastAsia="en-CA"/>
              </w:rPr>
              <w:t xml:space="preserve">  25 years and over</w:t>
            </w:r>
          </w:p>
        </w:tc>
        <w:tc>
          <w:tcPr>
            <w:tcW w:w="1300" w:type="dxa"/>
            <w:tcBorders>
              <w:top w:val="nil"/>
              <w:left w:val="single" w:sz="12"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6.0</w:t>
            </w:r>
          </w:p>
        </w:tc>
        <w:tc>
          <w:tcPr>
            <w:tcW w:w="1300" w:type="dxa"/>
            <w:tcBorders>
              <w:top w:val="nil"/>
              <w:left w:val="single" w:sz="4"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5.7</w:t>
            </w:r>
          </w:p>
        </w:tc>
        <w:tc>
          <w:tcPr>
            <w:tcW w:w="1300" w:type="dxa"/>
            <w:tcBorders>
              <w:top w:val="nil"/>
              <w:left w:val="single" w:sz="4"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5.7</w:t>
            </w:r>
          </w:p>
        </w:tc>
        <w:tc>
          <w:tcPr>
            <w:tcW w:w="1460" w:type="dxa"/>
            <w:tcBorders>
              <w:top w:val="nil"/>
              <w:left w:val="single" w:sz="12" w:space="0" w:color="808080"/>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0.3</w:t>
            </w:r>
          </w:p>
        </w:tc>
        <w:tc>
          <w:tcPr>
            <w:tcW w:w="1300" w:type="dxa"/>
            <w:tcBorders>
              <w:top w:val="nil"/>
              <w:left w:val="nil"/>
              <w:bottom w:val="single" w:sz="4" w:space="0" w:color="808080"/>
              <w:right w:val="single" w:sz="12"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0.3</w:t>
            </w:r>
          </w:p>
        </w:tc>
      </w:tr>
      <w:tr w:rsidR="00593D8B" w:rsidRPr="00593D8B" w:rsidTr="00AD3252">
        <w:trPr>
          <w:gridAfter w:val="1"/>
          <w:wAfter w:w="928" w:type="dxa"/>
          <w:trHeight w:val="240"/>
        </w:trPr>
        <w:tc>
          <w:tcPr>
            <w:tcW w:w="260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Men - 25 years and over</w:t>
            </w:r>
          </w:p>
        </w:tc>
        <w:tc>
          <w:tcPr>
            <w:tcW w:w="1300" w:type="dxa"/>
            <w:tcBorders>
              <w:top w:val="nil"/>
              <w:left w:val="single" w:sz="12"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6.2</w:t>
            </w:r>
          </w:p>
        </w:tc>
        <w:tc>
          <w:tcPr>
            <w:tcW w:w="1300" w:type="dxa"/>
            <w:tcBorders>
              <w:top w:val="nil"/>
              <w:left w:val="single" w:sz="4"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6.1</w:t>
            </w:r>
          </w:p>
        </w:tc>
        <w:tc>
          <w:tcPr>
            <w:tcW w:w="1300" w:type="dxa"/>
            <w:tcBorders>
              <w:top w:val="nil"/>
              <w:left w:val="single" w:sz="4"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6.1</w:t>
            </w:r>
          </w:p>
        </w:tc>
        <w:tc>
          <w:tcPr>
            <w:tcW w:w="1460" w:type="dxa"/>
            <w:tcBorders>
              <w:top w:val="nil"/>
              <w:left w:val="single" w:sz="12" w:space="0" w:color="808080"/>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0.1</w:t>
            </w:r>
          </w:p>
        </w:tc>
        <w:tc>
          <w:tcPr>
            <w:tcW w:w="1300" w:type="dxa"/>
            <w:tcBorders>
              <w:top w:val="nil"/>
              <w:left w:val="nil"/>
              <w:bottom w:val="single" w:sz="4" w:space="0" w:color="808080"/>
              <w:right w:val="single" w:sz="12"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0.1</w:t>
            </w:r>
          </w:p>
        </w:tc>
      </w:tr>
      <w:tr w:rsidR="00593D8B" w:rsidRPr="00593D8B" w:rsidTr="00AD3252">
        <w:trPr>
          <w:gridAfter w:val="1"/>
          <w:wAfter w:w="928" w:type="dxa"/>
          <w:trHeight w:val="240"/>
        </w:trPr>
        <w:tc>
          <w:tcPr>
            <w:tcW w:w="260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Women - 25 years and over</w:t>
            </w:r>
          </w:p>
        </w:tc>
        <w:tc>
          <w:tcPr>
            <w:tcW w:w="1300" w:type="dxa"/>
            <w:tcBorders>
              <w:top w:val="nil"/>
              <w:left w:val="single" w:sz="12"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5.7</w:t>
            </w:r>
          </w:p>
        </w:tc>
        <w:tc>
          <w:tcPr>
            <w:tcW w:w="1300" w:type="dxa"/>
            <w:tcBorders>
              <w:top w:val="nil"/>
              <w:left w:val="single" w:sz="4"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5.2</w:t>
            </w:r>
          </w:p>
        </w:tc>
        <w:tc>
          <w:tcPr>
            <w:tcW w:w="1300" w:type="dxa"/>
            <w:tcBorders>
              <w:top w:val="nil"/>
              <w:left w:val="single" w:sz="4"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5.1</w:t>
            </w:r>
          </w:p>
        </w:tc>
        <w:tc>
          <w:tcPr>
            <w:tcW w:w="1460" w:type="dxa"/>
            <w:tcBorders>
              <w:top w:val="nil"/>
              <w:left w:val="single" w:sz="12" w:space="0" w:color="808080"/>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0.5</w:t>
            </w:r>
          </w:p>
        </w:tc>
        <w:tc>
          <w:tcPr>
            <w:tcW w:w="1300" w:type="dxa"/>
            <w:tcBorders>
              <w:top w:val="nil"/>
              <w:left w:val="nil"/>
              <w:bottom w:val="single" w:sz="4" w:space="0" w:color="808080"/>
              <w:right w:val="single" w:sz="12"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0.6</w:t>
            </w:r>
          </w:p>
        </w:tc>
      </w:tr>
      <w:tr w:rsidR="00593D8B" w:rsidRPr="00593D8B" w:rsidTr="00AD3252">
        <w:trPr>
          <w:gridAfter w:val="1"/>
          <w:wAfter w:w="928" w:type="dxa"/>
          <w:trHeight w:val="240"/>
        </w:trPr>
        <w:tc>
          <w:tcPr>
            <w:tcW w:w="260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b/>
                <w:bCs/>
                <w:color w:val="000000"/>
                <w:sz w:val="18"/>
                <w:szCs w:val="18"/>
                <w:lang w:eastAsia="en-CA"/>
              </w:rPr>
            </w:pPr>
            <w:r w:rsidRPr="00593D8B">
              <w:rPr>
                <w:rFonts w:eastAsia="Times New Roman" w:cs="Calibri"/>
                <w:b/>
                <w:bCs/>
                <w:color w:val="000000"/>
                <w:sz w:val="18"/>
                <w:szCs w:val="18"/>
                <w:lang w:eastAsia="en-CA"/>
              </w:rPr>
              <w:t xml:space="preserve">  15 to 24 years</w:t>
            </w:r>
          </w:p>
        </w:tc>
        <w:tc>
          <w:tcPr>
            <w:tcW w:w="1300" w:type="dxa"/>
            <w:tcBorders>
              <w:top w:val="nil"/>
              <w:left w:val="single" w:sz="12"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15.2</w:t>
            </w:r>
          </w:p>
        </w:tc>
        <w:tc>
          <w:tcPr>
            <w:tcW w:w="1300" w:type="dxa"/>
            <w:tcBorders>
              <w:top w:val="nil"/>
              <w:left w:val="single" w:sz="4"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13.2</w:t>
            </w:r>
          </w:p>
        </w:tc>
        <w:tc>
          <w:tcPr>
            <w:tcW w:w="1300" w:type="dxa"/>
            <w:tcBorders>
              <w:top w:val="nil"/>
              <w:left w:val="single" w:sz="4"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10.2</w:t>
            </w:r>
          </w:p>
        </w:tc>
        <w:tc>
          <w:tcPr>
            <w:tcW w:w="1460" w:type="dxa"/>
            <w:tcBorders>
              <w:top w:val="nil"/>
              <w:left w:val="single" w:sz="12" w:space="0" w:color="808080"/>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2.0</w:t>
            </w:r>
          </w:p>
        </w:tc>
        <w:tc>
          <w:tcPr>
            <w:tcW w:w="1300" w:type="dxa"/>
            <w:tcBorders>
              <w:top w:val="nil"/>
              <w:left w:val="nil"/>
              <w:bottom w:val="single" w:sz="4" w:space="0" w:color="808080"/>
              <w:right w:val="single" w:sz="12"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5.0</w:t>
            </w:r>
          </w:p>
        </w:tc>
      </w:tr>
      <w:tr w:rsidR="00593D8B" w:rsidRPr="00593D8B" w:rsidTr="00AD3252">
        <w:trPr>
          <w:gridAfter w:val="1"/>
          <w:wAfter w:w="928" w:type="dxa"/>
          <w:trHeight w:val="240"/>
        </w:trPr>
        <w:tc>
          <w:tcPr>
            <w:tcW w:w="260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Men - 15 to 24 years</w:t>
            </w:r>
          </w:p>
        </w:tc>
        <w:tc>
          <w:tcPr>
            <w:tcW w:w="1300" w:type="dxa"/>
            <w:tcBorders>
              <w:top w:val="nil"/>
              <w:left w:val="single" w:sz="12"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19.4</w:t>
            </w:r>
          </w:p>
        </w:tc>
        <w:tc>
          <w:tcPr>
            <w:tcW w:w="1300" w:type="dxa"/>
            <w:tcBorders>
              <w:top w:val="nil"/>
              <w:left w:val="single" w:sz="4"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16.5</w:t>
            </w:r>
          </w:p>
        </w:tc>
        <w:tc>
          <w:tcPr>
            <w:tcW w:w="1300" w:type="dxa"/>
            <w:tcBorders>
              <w:top w:val="nil"/>
              <w:left w:val="single" w:sz="4" w:space="0" w:color="808080"/>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12.9</w:t>
            </w:r>
          </w:p>
        </w:tc>
        <w:tc>
          <w:tcPr>
            <w:tcW w:w="1460" w:type="dxa"/>
            <w:tcBorders>
              <w:top w:val="nil"/>
              <w:left w:val="single" w:sz="12" w:space="0" w:color="808080"/>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2.9</w:t>
            </w:r>
          </w:p>
        </w:tc>
        <w:tc>
          <w:tcPr>
            <w:tcW w:w="1300" w:type="dxa"/>
            <w:tcBorders>
              <w:top w:val="nil"/>
              <w:left w:val="nil"/>
              <w:bottom w:val="single" w:sz="4" w:space="0" w:color="808080"/>
              <w:right w:val="single" w:sz="12"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6.5</w:t>
            </w:r>
          </w:p>
        </w:tc>
      </w:tr>
      <w:tr w:rsidR="00593D8B" w:rsidRPr="00593D8B" w:rsidTr="00AD3252">
        <w:trPr>
          <w:gridAfter w:val="1"/>
          <w:wAfter w:w="928" w:type="dxa"/>
          <w:trHeight w:val="315"/>
        </w:trPr>
        <w:tc>
          <w:tcPr>
            <w:tcW w:w="2600" w:type="dxa"/>
            <w:tcBorders>
              <w:top w:val="nil"/>
              <w:left w:val="single" w:sz="12" w:space="0" w:color="808080"/>
              <w:bottom w:val="single" w:sz="12"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Women - 15 to 24 years</w:t>
            </w:r>
          </w:p>
        </w:tc>
        <w:tc>
          <w:tcPr>
            <w:tcW w:w="1300" w:type="dxa"/>
            <w:tcBorders>
              <w:top w:val="nil"/>
              <w:left w:val="single" w:sz="12" w:space="0" w:color="808080"/>
              <w:bottom w:val="single" w:sz="12"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10.8</w:t>
            </w:r>
          </w:p>
        </w:tc>
        <w:tc>
          <w:tcPr>
            <w:tcW w:w="1300" w:type="dxa"/>
            <w:tcBorders>
              <w:top w:val="nil"/>
              <w:left w:val="single" w:sz="4" w:space="0" w:color="808080"/>
              <w:bottom w:val="single" w:sz="12"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9.8</w:t>
            </w:r>
          </w:p>
        </w:tc>
        <w:tc>
          <w:tcPr>
            <w:tcW w:w="1300" w:type="dxa"/>
            <w:tcBorders>
              <w:top w:val="nil"/>
              <w:left w:val="single" w:sz="4" w:space="0" w:color="808080"/>
              <w:bottom w:val="single" w:sz="12"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7.2</w:t>
            </w:r>
          </w:p>
        </w:tc>
        <w:tc>
          <w:tcPr>
            <w:tcW w:w="1460" w:type="dxa"/>
            <w:tcBorders>
              <w:top w:val="nil"/>
              <w:left w:val="single" w:sz="12" w:space="0" w:color="808080"/>
              <w:bottom w:val="single" w:sz="12"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w:t>
            </w:r>
          </w:p>
        </w:tc>
        <w:tc>
          <w:tcPr>
            <w:tcW w:w="1300" w:type="dxa"/>
            <w:tcBorders>
              <w:top w:val="nil"/>
              <w:left w:val="nil"/>
              <w:bottom w:val="single" w:sz="12" w:space="0" w:color="808080"/>
              <w:right w:val="single" w:sz="12"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3.6</w:t>
            </w:r>
          </w:p>
        </w:tc>
      </w:tr>
      <w:tr w:rsidR="00593D8B" w:rsidRPr="00593D8B" w:rsidTr="00AD3252">
        <w:trPr>
          <w:gridAfter w:val="1"/>
          <w:wAfter w:w="928" w:type="dxa"/>
          <w:trHeight w:val="255"/>
        </w:trPr>
        <w:tc>
          <w:tcPr>
            <w:tcW w:w="9260" w:type="dxa"/>
            <w:gridSpan w:val="6"/>
            <w:tcBorders>
              <w:top w:val="single" w:sz="12" w:space="0" w:color="808080"/>
              <w:left w:val="nil"/>
              <w:bottom w:val="nil"/>
              <w:right w:val="nil"/>
            </w:tcBorders>
            <w:shd w:val="clear" w:color="auto" w:fill="auto"/>
            <w:noWrap/>
            <w:vAlign w:val="bottom"/>
            <w:hideMark/>
          </w:tcPr>
          <w:p w:rsidR="00593D8B" w:rsidRPr="00593D8B" w:rsidRDefault="00593D8B" w:rsidP="00593D8B">
            <w:pPr>
              <w:spacing w:after="0" w:line="240" w:lineRule="auto"/>
              <w:rPr>
                <w:rFonts w:eastAsia="Times New Roman" w:cs="Calibri"/>
                <w:i/>
                <w:iCs/>
                <w:color w:val="000000"/>
                <w:sz w:val="16"/>
                <w:szCs w:val="16"/>
                <w:lang w:eastAsia="en-CA"/>
              </w:rPr>
            </w:pPr>
            <w:r w:rsidRPr="00593D8B">
              <w:rPr>
                <w:rFonts w:eastAsia="Times New Roman" w:cs="Calibri"/>
                <w:i/>
                <w:iCs/>
                <w:color w:val="000000"/>
                <w:sz w:val="16"/>
                <w:szCs w:val="16"/>
                <w:lang w:eastAsia="en-CA"/>
              </w:rPr>
              <w:t>Note: Totals may not add due to rounding</w:t>
            </w:r>
          </w:p>
        </w:tc>
      </w:tr>
      <w:tr w:rsidR="00593D8B" w:rsidRPr="00593D8B" w:rsidTr="00AD3252">
        <w:trPr>
          <w:gridAfter w:val="1"/>
          <w:wAfter w:w="928" w:type="dxa"/>
          <w:trHeight w:val="225"/>
        </w:trPr>
        <w:tc>
          <w:tcPr>
            <w:tcW w:w="9260" w:type="dxa"/>
            <w:gridSpan w:val="6"/>
            <w:tcBorders>
              <w:top w:val="nil"/>
              <w:left w:val="nil"/>
              <w:bottom w:val="nil"/>
              <w:right w:val="nil"/>
            </w:tcBorders>
            <w:shd w:val="clear" w:color="auto" w:fill="auto"/>
            <w:noWrap/>
            <w:vAlign w:val="bottom"/>
            <w:hideMark/>
          </w:tcPr>
          <w:p w:rsidR="00593D8B" w:rsidRPr="00593D8B" w:rsidRDefault="00593D8B" w:rsidP="00593D8B">
            <w:pPr>
              <w:spacing w:after="0" w:line="240" w:lineRule="auto"/>
              <w:rPr>
                <w:rFonts w:eastAsia="Times New Roman" w:cs="Calibri"/>
                <w:i/>
                <w:iCs/>
                <w:color w:val="000000"/>
                <w:sz w:val="16"/>
                <w:szCs w:val="16"/>
                <w:lang w:eastAsia="en-CA"/>
              </w:rPr>
            </w:pPr>
            <w:r w:rsidRPr="00593D8B">
              <w:rPr>
                <w:rFonts w:eastAsia="Times New Roman" w:cs="Calibri"/>
                <w:i/>
                <w:iCs/>
                <w:color w:val="000000"/>
                <w:sz w:val="16"/>
                <w:szCs w:val="16"/>
                <w:lang w:eastAsia="en-CA"/>
              </w:rPr>
              <w:t>Source: Statistics Canada Labour Force Survey – Table 14-10-0287, formerly CANSIM 282-0087</w:t>
            </w:r>
          </w:p>
        </w:tc>
      </w:tr>
      <w:tr w:rsidR="00AD3252" w:rsidRPr="00593D8B" w:rsidTr="00AD3252">
        <w:trPr>
          <w:gridAfter w:val="1"/>
          <w:wAfter w:w="928" w:type="dxa"/>
          <w:trHeight w:val="225"/>
        </w:trPr>
        <w:tc>
          <w:tcPr>
            <w:tcW w:w="9260" w:type="dxa"/>
            <w:gridSpan w:val="6"/>
            <w:tcBorders>
              <w:top w:val="nil"/>
              <w:left w:val="nil"/>
              <w:bottom w:val="nil"/>
              <w:right w:val="nil"/>
            </w:tcBorders>
            <w:shd w:val="clear" w:color="auto" w:fill="auto"/>
            <w:noWrap/>
            <w:vAlign w:val="bottom"/>
            <w:hideMark/>
          </w:tcPr>
          <w:p w:rsidR="00AD3252" w:rsidRPr="00593D8B" w:rsidRDefault="00AD3252" w:rsidP="00593D8B">
            <w:pPr>
              <w:spacing w:after="0" w:line="240" w:lineRule="auto"/>
              <w:rPr>
                <w:rFonts w:eastAsia="Times New Roman" w:cs="Calibri"/>
                <w:i/>
                <w:iCs/>
                <w:color w:val="000000"/>
                <w:sz w:val="16"/>
                <w:szCs w:val="16"/>
                <w:lang w:eastAsia="en-CA"/>
              </w:rPr>
            </w:pPr>
          </w:p>
        </w:tc>
      </w:tr>
      <w:tr w:rsidR="008C1573" w:rsidRPr="00E94AE7" w:rsidTr="00AD32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188" w:type="dxa"/>
            <w:gridSpan w:val="7"/>
            <w:tcBorders>
              <w:top w:val="nil"/>
              <w:left w:val="nil"/>
              <w:bottom w:val="nil"/>
              <w:right w:val="nil"/>
            </w:tcBorders>
            <w:shd w:val="clear" w:color="auto" w:fill="1F497D"/>
            <w:vAlign w:val="center"/>
          </w:tcPr>
          <w:p w:rsidR="008C1573" w:rsidRPr="00E94AE7" w:rsidRDefault="00BB7827" w:rsidP="00686450">
            <w:pPr>
              <w:spacing w:before="120" w:after="120" w:line="240" w:lineRule="auto"/>
              <w:rPr>
                <w:b/>
                <w:caps/>
                <w:color w:val="FFFFFF"/>
                <w:sz w:val="24"/>
                <w:szCs w:val="24"/>
                <w:lang w:val="en-US"/>
              </w:rPr>
            </w:pPr>
            <w:r>
              <w:br w:type="page"/>
            </w:r>
            <w:r w:rsidR="008C1573" w:rsidRPr="00E94AE7">
              <w:rPr>
                <w:b/>
                <w:caps/>
                <w:color w:val="FFFFFF"/>
                <w:sz w:val="24"/>
                <w:szCs w:val="24"/>
                <w:lang w:val="en-US"/>
              </w:rPr>
              <w:t>employment by industry</w:t>
            </w:r>
          </w:p>
        </w:tc>
      </w:tr>
    </w:tbl>
    <w:p w:rsidR="000A156E" w:rsidRDefault="00705FDC" w:rsidP="00B6742E">
      <w:pPr>
        <w:spacing w:before="240" w:after="120"/>
        <w:jc w:val="both"/>
        <w:rPr>
          <w:lang w:val="en-US"/>
        </w:rPr>
      </w:pPr>
      <w:r>
        <w:rPr>
          <w:lang w:val="en-US"/>
        </w:rPr>
        <w:t xml:space="preserve">Turning to employment by industry, the province’s </w:t>
      </w:r>
      <w:r w:rsidR="00CB5474">
        <w:rPr>
          <w:lang w:val="en-US"/>
        </w:rPr>
        <w:t>goods</w:t>
      </w:r>
      <w:r>
        <w:rPr>
          <w:lang w:val="en-US"/>
        </w:rPr>
        <w:t xml:space="preserve">-producing sector </w:t>
      </w:r>
      <w:r w:rsidR="00B26B90">
        <w:rPr>
          <w:lang w:val="en-US"/>
        </w:rPr>
        <w:t xml:space="preserve">(e.g. </w:t>
      </w:r>
      <w:r w:rsidR="00CB5474">
        <w:rPr>
          <w:lang w:val="en-US"/>
        </w:rPr>
        <w:t>construction</w:t>
      </w:r>
      <w:r w:rsidR="00B26B90">
        <w:rPr>
          <w:lang w:val="en-US"/>
        </w:rPr>
        <w:t xml:space="preserve">) </w:t>
      </w:r>
      <w:r>
        <w:rPr>
          <w:lang w:val="en-US"/>
        </w:rPr>
        <w:t xml:space="preserve">saw job </w:t>
      </w:r>
      <w:r w:rsidR="00CB5474">
        <w:rPr>
          <w:lang w:val="en-US"/>
        </w:rPr>
        <w:t>losses</w:t>
      </w:r>
      <w:r w:rsidR="009E7351">
        <w:rPr>
          <w:lang w:val="en-US"/>
        </w:rPr>
        <w:t xml:space="preserve"> </w:t>
      </w:r>
      <w:r w:rsidR="00CB5474">
        <w:rPr>
          <w:lang w:val="en-US"/>
        </w:rPr>
        <w:t xml:space="preserve">both </w:t>
      </w:r>
      <w:r>
        <w:rPr>
          <w:lang w:val="en-US"/>
        </w:rPr>
        <w:t xml:space="preserve">on the month and year over year. </w:t>
      </w:r>
      <w:r w:rsidR="000A156E">
        <w:rPr>
          <w:lang w:val="en-US"/>
        </w:rPr>
        <w:t xml:space="preserve">By contrast, the </w:t>
      </w:r>
      <w:r w:rsidR="00CB5474">
        <w:rPr>
          <w:lang w:val="en-US"/>
        </w:rPr>
        <w:t>services</w:t>
      </w:r>
      <w:r w:rsidR="000A156E">
        <w:rPr>
          <w:lang w:val="en-US"/>
        </w:rPr>
        <w:t xml:space="preserve">-producing </w:t>
      </w:r>
      <w:r w:rsidR="00B26B90">
        <w:rPr>
          <w:lang w:val="en-US"/>
        </w:rPr>
        <w:t xml:space="preserve">sector (e.g. </w:t>
      </w:r>
      <w:r w:rsidR="00CB5474">
        <w:rPr>
          <w:lang w:val="en-US"/>
        </w:rPr>
        <w:t>wholesale and retail trade</w:t>
      </w:r>
      <w:r w:rsidR="00B26B90">
        <w:rPr>
          <w:lang w:val="en-US"/>
        </w:rPr>
        <w:t>)</w:t>
      </w:r>
      <w:r w:rsidR="000A156E">
        <w:rPr>
          <w:lang w:val="en-US"/>
        </w:rPr>
        <w:t xml:space="preserve"> saw employment </w:t>
      </w:r>
      <w:r w:rsidR="00CB5474">
        <w:rPr>
          <w:lang w:val="en-US"/>
        </w:rPr>
        <w:t>contract</w:t>
      </w:r>
      <w:r w:rsidR="009E7351">
        <w:rPr>
          <w:lang w:val="en-US"/>
        </w:rPr>
        <w:t xml:space="preserve"> </w:t>
      </w:r>
      <w:r w:rsidR="00B26B90">
        <w:rPr>
          <w:lang w:val="en-US"/>
        </w:rPr>
        <w:t>on the month (</w:t>
      </w:r>
      <w:r w:rsidR="00CB5474">
        <w:rPr>
          <w:lang w:val="en-US"/>
        </w:rPr>
        <w:t>-13,000</w:t>
      </w:r>
      <w:r w:rsidR="000A156E">
        <w:rPr>
          <w:lang w:val="en-US"/>
        </w:rPr>
        <w:t>)</w:t>
      </w:r>
      <w:r w:rsidR="009E7351">
        <w:rPr>
          <w:lang w:val="en-US"/>
        </w:rPr>
        <w:t xml:space="preserve"> </w:t>
      </w:r>
      <w:r w:rsidR="00842C2F">
        <w:rPr>
          <w:lang w:val="en-US"/>
        </w:rPr>
        <w:t xml:space="preserve">but </w:t>
      </w:r>
      <w:r w:rsidR="00CB5474">
        <w:rPr>
          <w:lang w:val="en-US"/>
        </w:rPr>
        <w:t>expand</w:t>
      </w:r>
      <w:r w:rsidR="00B26B90">
        <w:rPr>
          <w:lang w:val="en-US"/>
        </w:rPr>
        <w:t xml:space="preserve"> compar</w:t>
      </w:r>
      <w:r w:rsidR="004E35A1">
        <w:rPr>
          <w:lang w:val="en-US"/>
        </w:rPr>
        <w:t xml:space="preserve">ed to </w:t>
      </w:r>
      <w:r w:rsidR="00CB5474">
        <w:rPr>
          <w:lang w:val="en-US"/>
        </w:rPr>
        <w:t>Novem</w:t>
      </w:r>
      <w:r w:rsidR="004E35A1">
        <w:rPr>
          <w:lang w:val="en-US"/>
        </w:rPr>
        <w:t>ber of last year (</w:t>
      </w:r>
      <w:r w:rsidR="00CB5474">
        <w:rPr>
          <w:lang w:val="en-US"/>
        </w:rPr>
        <w:t>+5</w:t>
      </w:r>
      <w:r w:rsidR="004E35A1">
        <w:rPr>
          <w:lang w:val="en-US"/>
        </w:rPr>
        <w:t>,</w:t>
      </w:r>
      <w:r w:rsidR="00CB5474">
        <w:rPr>
          <w:lang w:val="en-US"/>
        </w:rPr>
        <w:t>0</w:t>
      </w:r>
      <w:r w:rsidR="004E35A1">
        <w:rPr>
          <w:lang w:val="en-US"/>
        </w:rPr>
        <w:t>00).</w:t>
      </w:r>
    </w:p>
    <w:p w:rsidR="00B26B90" w:rsidRDefault="00B26B90" w:rsidP="00B6742E">
      <w:pPr>
        <w:spacing w:before="120" w:after="120"/>
        <w:jc w:val="both"/>
        <w:rPr>
          <w:rFonts w:cs="Arial"/>
          <w:iCs/>
        </w:rPr>
      </w:pPr>
      <w:r>
        <w:rPr>
          <w:rFonts w:cs="Arial"/>
          <w:iCs/>
        </w:rPr>
        <w:t xml:space="preserve">Notably, Alberta’s goods-producing sector represents a far larger share of the economy than it does in other </w:t>
      </w:r>
      <w:r w:rsidR="00C310F2">
        <w:rPr>
          <w:rFonts w:cs="Arial"/>
          <w:iCs/>
        </w:rPr>
        <w:t xml:space="preserve">major </w:t>
      </w:r>
      <w:r>
        <w:rPr>
          <w:rFonts w:cs="Arial"/>
          <w:iCs/>
        </w:rPr>
        <w:t xml:space="preserve">provinces. Despite </w:t>
      </w:r>
      <w:r w:rsidR="004E71D4">
        <w:rPr>
          <w:rFonts w:cs="Arial"/>
          <w:iCs/>
        </w:rPr>
        <w:t xml:space="preserve">ongoing </w:t>
      </w:r>
      <w:r>
        <w:rPr>
          <w:rFonts w:cs="Arial"/>
          <w:iCs/>
        </w:rPr>
        <w:t xml:space="preserve">job losses, the outsized sector’s share still accounted for </w:t>
      </w:r>
      <w:r w:rsidR="004E71D4">
        <w:rPr>
          <w:rFonts w:cs="Arial"/>
          <w:iCs/>
        </w:rPr>
        <w:t xml:space="preserve">almost </w:t>
      </w:r>
      <w:r>
        <w:rPr>
          <w:rFonts w:cs="Arial"/>
          <w:iCs/>
        </w:rPr>
        <w:t>one-quarter of total employment in the province, 4.</w:t>
      </w:r>
      <w:r w:rsidR="004E71D4">
        <w:rPr>
          <w:rFonts w:cs="Arial"/>
          <w:iCs/>
        </w:rPr>
        <w:t>5</w:t>
      </w:r>
      <w:r>
        <w:rPr>
          <w:rFonts w:cs="Arial"/>
          <w:iCs/>
        </w:rPr>
        <w:t xml:space="preserve"> percentage points above the national average.</w:t>
      </w:r>
    </w:p>
    <w:p w:rsidR="00B26B90" w:rsidRPr="00A70C77" w:rsidRDefault="002E0131" w:rsidP="00B6742E">
      <w:pPr>
        <w:spacing w:before="120" w:after="240"/>
        <w:jc w:val="both"/>
        <w:rPr>
          <w:rFonts w:cs="Arial"/>
          <w:iCs/>
        </w:rPr>
      </w:pPr>
      <w:r>
        <w:rPr>
          <w:rFonts w:cs="Arial"/>
          <w:iCs/>
        </w:rPr>
        <w:t>In November</w:t>
      </w:r>
      <w:r w:rsidR="00B26B90" w:rsidRPr="00A70C77">
        <w:rPr>
          <w:rFonts w:cs="Arial"/>
          <w:iCs/>
        </w:rPr>
        <w:t xml:space="preserve">, the combined employment in forestry, fishing, mining, quarrying, oil and gas </w:t>
      </w:r>
      <w:r>
        <w:rPr>
          <w:rFonts w:cs="Arial"/>
          <w:iCs/>
        </w:rPr>
        <w:t>(138,2</w:t>
      </w:r>
      <w:r w:rsidRPr="00E9447E">
        <w:rPr>
          <w:rFonts w:cs="Arial"/>
          <w:iCs/>
        </w:rPr>
        <w:t>00</w:t>
      </w:r>
      <w:r>
        <w:rPr>
          <w:rFonts w:cs="Arial"/>
          <w:iCs/>
        </w:rPr>
        <w:t xml:space="preserve">) </w:t>
      </w:r>
      <w:r w:rsidR="00C310F2">
        <w:rPr>
          <w:rFonts w:cs="Arial"/>
          <w:iCs/>
        </w:rPr>
        <w:t>was</w:t>
      </w:r>
      <w:r w:rsidR="009E7351">
        <w:rPr>
          <w:rFonts w:cs="Arial"/>
          <w:iCs/>
        </w:rPr>
        <w:t xml:space="preserve"> </w:t>
      </w:r>
      <w:r w:rsidR="004E71D4">
        <w:rPr>
          <w:rFonts w:cs="Arial"/>
          <w:iCs/>
        </w:rPr>
        <w:t>close to</w:t>
      </w:r>
      <w:r w:rsidR="00B26B90">
        <w:rPr>
          <w:rFonts w:cs="Arial"/>
          <w:iCs/>
        </w:rPr>
        <w:t xml:space="preserve"> 25% </w:t>
      </w:r>
      <w:r w:rsidR="004E71D4">
        <w:rPr>
          <w:rFonts w:cs="Arial"/>
          <w:iCs/>
        </w:rPr>
        <w:t>lower than</w:t>
      </w:r>
      <w:r w:rsidR="00B26B90">
        <w:rPr>
          <w:rFonts w:cs="Arial"/>
          <w:iCs/>
        </w:rPr>
        <w:t xml:space="preserve"> the 183,6</w:t>
      </w:r>
      <w:r w:rsidR="00B26B90" w:rsidRPr="00A70C77">
        <w:rPr>
          <w:rFonts w:cs="Arial"/>
          <w:iCs/>
        </w:rPr>
        <w:t xml:space="preserve">00 posted in September 2014. </w:t>
      </w:r>
    </w:p>
    <w:tbl>
      <w:tblPr>
        <w:tblW w:w="10200" w:type="dxa"/>
        <w:tblLook w:val="04A0"/>
      </w:tblPr>
      <w:tblGrid>
        <w:gridCol w:w="3220"/>
        <w:gridCol w:w="1300"/>
        <w:gridCol w:w="1231"/>
        <w:gridCol w:w="1300"/>
        <w:gridCol w:w="829"/>
        <w:gridCol w:w="700"/>
        <w:gridCol w:w="1020"/>
        <w:gridCol w:w="600"/>
      </w:tblGrid>
      <w:tr w:rsidR="00593D8B" w:rsidRPr="00593D8B" w:rsidTr="00593D8B">
        <w:trPr>
          <w:trHeight w:val="315"/>
        </w:trPr>
        <w:tc>
          <w:tcPr>
            <w:tcW w:w="10200" w:type="dxa"/>
            <w:gridSpan w:val="8"/>
            <w:tcBorders>
              <w:top w:val="nil"/>
              <w:left w:val="nil"/>
              <w:bottom w:val="nil"/>
              <w:right w:val="nil"/>
            </w:tcBorders>
            <w:shd w:val="clear" w:color="auto" w:fill="auto"/>
            <w:hideMark/>
          </w:tcPr>
          <w:p w:rsidR="00593D8B" w:rsidRPr="00593D8B" w:rsidRDefault="00593D8B" w:rsidP="00593D8B">
            <w:pPr>
              <w:spacing w:after="0" w:line="240" w:lineRule="auto"/>
              <w:jc w:val="center"/>
              <w:rPr>
                <w:rFonts w:eastAsia="Times New Roman" w:cs="Calibri"/>
                <w:b/>
                <w:bCs/>
                <w:color w:val="000000"/>
                <w:lang w:eastAsia="en-CA"/>
              </w:rPr>
            </w:pPr>
            <w:r w:rsidRPr="00593D8B">
              <w:rPr>
                <w:rFonts w:eastAsia="Times New Roman" w:cs="Calibri"/>
                <w:b/>
                <w:bCs/>
                <w:color w:val="000000"/>
                <w:lang w:eastAsia="en-CA"/>
              </w:rPr>
              <w:t>Alberta Monthly Labour Force Statistics, by Industry</w:t>
            </w:r>
          </w:p>
        </w:tc>
      </w:tr>
      <w:tr w:rsidR="00593D8B" w:rsidRPr="00593D8B" w:rsidTr="00593D8B">
        <w:trPr>
          <w:trHeight w:val="300"/>
        </w:trPr>
        <w:tc>
          <w:tcPr>
            <w:tcW w:w="3220" w:type="dxa"/>
            <w:tcBorders>
              <w:top w:val="single" w:sz="12" w:space="0" w:color="808080"/>
              <w:left w:val="single" w:sz="12" w:space="0" w:color="808080"/>
              <w:bottom w:val="nil"/>
              <w:right w:val="single" w:sz="12"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 xml:space="preserve">Seasonally Adjusted </w:t>
            </w:r>
          </w:p>
        </w:tc>
        <w:tc>
          <w:tcPr>
            <w:tcW w:w="1300" w:type="dxa"/>
            <w:vMerge w:val="restart"/>
            <w:tcBorders>
              <w:top w:val="single" w:sz="12" w:space="0" w:color="808080"/>
              <w:left w:val="single" w:sz="12" w:space="0" w:color="808080"/>
              <w:bottom w:val="single" w:sz="12" w:space="0" w:color="808080"/>
              <w:right w:val="single" w:sz="8"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November 2019</w:t>
            </w:r>
          </w:p>
        </w:tc>
        <w:tc>
          <w:tcPr>
            <w:tcW w:w="1300" w:type="dxa"/>
            <w:vMerge w:val="restart"/>
            <w:tcBorders>
              <w:top w:val="single" w:sz="12" w:space="0" w:color="808080"/>
              <w:left w:val="single" w:sz="8" w:space="0" w:color="808080"/>
              <w:bottom w:val="single" w:sz="12" w:space="0" w:color="808080"/>
              <w:right w:val="single" w:sz="8"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October 2019</w:t>
            </w:r>
          </w:p>
        </w:tc>
        <w:tc>
          <w:tcPr>
            <w:tcW w:w="1300" w:type="dxa"/>
            <w:vMerge w:val="restart"/>
            <w:tcBorders>
              <w:top w:val="single" w:sz="12" w:space="0" w:color="808080"/>
              <w:left w:val="single" w:sz="8" w:space="0" w:color="808080"/>
              <w:bottom w:val="single" w:sz="12" w:space="0" w:color="808080"/>
              <w:right w:val="single" w:sz="12"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November 2018</w:t>
            </w:r>
          </w:p>
        </w:tc>
        <w:tc>
          <w:tcPr>
            <w:tcW w:w="1460" w:type="dxa"/>
            <w:gridSpan w:val="2"/>
            <w:tcBorders>
              <w:top w:val="single" w:sz="12" w:space="0" w:color="808080"/>
              <w:left w:val="nil"/>
              <w:bottom w:val="single" w:sz="4" w:space="0" w:color="808080"/>
              <w:right w:val="single" w:sz="12"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Monthly Variation</w:t>
            </w:r>
          </w:p>
        </w:tc>
        <w:tc>
          <w:tcPr>
            <w:tcW w:w="1620" w:type="dxa"/>
            <w:gridSpan w:val="2"/>
            <w:tcBorders>
              <w:top w:val="single" w:sz="12" w:space="0" w:color="808080"/>
              <w:left w:val="nil"/>
              <w:bottom w:val="nil"/>
              <w:right w:val="single" w:sz="12"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Yearly Variation</w:t>
            </w:r>
          </w:p>
        </w:tc>
      </w:tr>
      <w:tr w:rsidR="00593D8B" w:rsidRPr="00593D8B" w:rsidTr="00593D8B">
        <w:trPr>
          <w:trHeight w:val="255"/>
        </w:trPr>
        <w:tc>
          <w:tcPr>
            <w:tcW w:w="3220" w:type="dxa"/>
            <w:tcBorders>
              <w:top w:val="nil"/>
              <w:left w:val="single" w:sz="12" w:space="0" w:color="808080"/>
              <w:bottom w:val="single" w:sz="12" w:space="0" w:color="808080"/>
              <w:right w:val="single" w:sz="12"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Data ('000)</w:t>
            </w:r>
          </w:p>
        </w:tc>
        <w:tc>
          <w:tcPr>
            <w:tcW w:w="1300" w:type="dxa"/>
            <w:vMerge/>
            <w:tcBorders>
              <w:top w:val="single" w:sz="12" w:space="0" w:color="808080"/>
              <w:left w:val="single" w:sz="12" w:space="0" w:color="808080"/>
              <w:bottom w:val="single" w:sz="12" w:space="0" w:color="808080"/>
              <w:right w:val="single" w:sz="8" w:space="0" w:color="808080"/>
            </w:tcBorders>
            <w:vAlign w:val="center"/>
            <w:hideMark/>
          </w:tcPr>
          <w:p w:rsidR="00593D8B" w:rsidRPr="00593D8B" w:rsidRDefault="00593D8B" w:rsidP="00593D8B">
            <w:pPr>
              <w:spacing w:after="0" w:line="240" w:lineRule="auto"/>
              <w:rPr>
                <w:rFonts w:eastAsia="Times New Roman" w:cs="Calibri"/>
                <w:b/>
                <w:bCs/>
                <w:color w:val="FFFFFF"/>
                <w:sz w:val="18"/>
                <w:szCs w:val="18"/>
                <w:lang w:eastAsia="en-CA"/>
              </w:rPr>
            </w:pPr>
          </w:p>
        </w:tc>
        <w:tc>
          <w:tcPr>
            <w:tcW w:w="1300" w:type="dxa"/>
            <w:vMerge/>
            <w:tcBorders>
              <w:top w:val="single" w:sz="12" w:space="0" w:color="808080"/>
              <w:left w:val="single" w:sz="8" w:space="0" w:color="808080"/>
              <w:bottom w:val="single" w:sz="12" w:space="0" w:color="808080"/>
              <w:right w:val="single" w:sz="8" w:space="0" w:color="808080"/>
            </w:tcBorders>
            <w:vAlign w:val="center"/>
            <w:hideMark/>
          </w:tcPr>
          <w:p w:rsidR="00593D8B" w:rsidRPr="00593D8B" w:rsidRDefault="00593D8B" w:rsidP="00593D8B">
            <w:pPr>
              <w:spacing w:after="0" w:line="240" w:lineRule="auto"/>
              <w:rPr>
                <w:rFonts w:eastAsia="Times New Roman" w:cs="Calibri"/>
                <w:b/>
                <w:bCs/>
                <w:color w:val="FFFFFF"/>
                <w:sz w:val="18"/>
                <w:szCs w:val="18"/>
                <w:lang w:eastAsia="en-CA"/>
              </w:rPr>
            </w:pPr>
          </w:p>
        </w:tc>
        <w:tc>
          <w:tcPr>
            <w:tcW w:w="1300" w:type="dxa"/>
            <w:vMerge/>
            <w:tcBorders>
              <w:top w:val="single" w:sz="12" w:space="0" w:color="808080"/>
              <w:left w:val="single" w:sz="8" w:space="0" w:color="808080"/>
              <w:bottom w:val="single" w:sz="12" w:space="0" w:color="808080"/>
              <w:right w:val="single" w:sz="12" w:space="0" w:color="808080"/>
            </w:tcBorders>
            <w:vAlign w:val="center"/>
            <w:hideMark/>
          </w:tcPr>
          <w:p w:rsidR="00593D8B" w:rsidRPr="00593D8B" w:rsidRDefault="00593D8B" w:rsidP="00593D8B">
            <w:pPr>
              <w:spacing w:after="0" w:line="240" w:lineRule="auto"/>
              <w:rPr>
                <w:rFonts w:eastAsia="Times New Roman" w:cs="Calibri"/>
                <w:b/>
                <w:bCs/>
                <w:color w:val="FFFFFF"/>
                <w:sz w:val="18"/>
                <w:szCs w:val="18"/>
                <w:lang w:eastAsia="en-CA"/>
              </w:rPr>
            </w:pPr>
          </w:p>
        </w:tc>
        <w:tc>
          <w:tcPr>
            <w:tcW w:w="760" w:type="dxa"/>
            <w:tcBorders>
              <w:top w:val="nil"/>
              <w:left w:val="nil"/>
              <w:bottom w:val="single" w:sz="12" w:space="0" w:color="808080"/>
              <w:right w:val="single" w:sz="4"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Number</w:t>
            </w:r>
          </w:p>
        </w:tc>
        <w:tc>
          <w:tcPr>
            <w:tcW w:w="700" w:type="dxa"/>
            <w:tcBorders>
              <w:top w:val="nil"/>
              <w:left w:val="nil"/>
              <w:bottom w:val="single" w:sz="12" w:space="0" w:color="808080"/>
              <w:right w:val="single" w:sz="12"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w:t>
            </w:r>
          </w:p>
        </w:tc>
        <w:tc>
          <w:tcPr>
            <w:tcW w:w="1020" w:type="dxa"/>
            <w:tcBorders>
              <w:top w:val="single" w:sz="4" w:space="0" w:color="808080"/>
              <w:left w:val="nil"/>
              <w:bottom w:val="single" w:sz="12" w:space="0" w:color="808080"/>
              <w:right w:val="single" w:sz="4"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Number</w:t>
            </w:r>
          </w:p>
        </w:tc>
        <w:tc>
          <w:tcPr>
            <w:tcW w:w="600" w:type="dxa"/>
            <w:tcBorders>
              <w:top w:val="single" w:sz="4" w:space="0" w:color="808080"/>
              <w:left w:val="nil"/>
              <w:bottom w:val="single" w:sz="12" w:space="0" w:color="808080"/>
              <w:right w:val="single" w:sz="12"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w:t>
            </w:r>
          </w:p>
        </w:tc>
      </w:tr>
      <w:tr w:rsidR="00593D8B" w:rsidRPr="00593D8B" w:rsidTr="00593D8B">
        <w:trPr>
          <w:trHeight w:val="255"/>
        </w:trPr>
        <w:tc>
          <w:tcPr>
            <w:tcW w:w="322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b/>
                <w:bCs/>
                <w:color w:val="000000"/>
                <w:sz w:val="18"/>
                <w:szCs w:val="18"/>
                <w:lang w:eastAsia="en-CA"/>
              </w:rPr>
            </w:pPr>
            <w:r w:rsidRPr="00593D8B">
              <w:rPr>
                <w:rFonts w:eastAsia="Times New Roman" w:cs="Calibri"/>
                <w:b/>
                <w:bCs/>
                <w:color w:val="000000"/>
                <w:sz w:val="18"/>
                <w:szCs w:val="18"/>
                <w:lang w:eastAsia="en-CA"/>
              </w:rPr>
              <w:t>Total employed, all industries</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2,338.7</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2,356.9</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2,356.9</w:t>
            </w:r>
          </w:p>
        </w:tc>
        <w:tc>
          <w:tcPr>
            <w:tcW w:w="760" w:type="dxa"/>
            <w:tcBorders>
              <w:top w:val="nil"/>
              <w:left w:val="single" w:sz="12" w:space="0" w:color="808080"/>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-18.2</w:t>
            </w:r>
          </w:p>
        </w:tc>
        <w:tc>
          <w:tcPr>
            <w:tcW w:w="7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-0.8</w:t>
            </w:r>
          </w:p>
        </w:tc>
        <w:tc>
          <w:tcPr>
            <w:tcW w:w="102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-18.2</w:t>
            </w:r>
          </w:p>
        </w:tc>
        <w:tc>
          <w:tcPr>
            <w:tcW w:w="6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-0.8</w:t>
            </w:r>
          </w:p>
        </w:tc>
      </w:tr>
      <w:tr w:rsidR="00593D8B" w:rsidRPr="00593D8B" w:rsidTr="00593D8B">
        <w:trPr>
          <w:trHeight w:val="240"/>
        </w:trPr>
        <w:tc>
          <w:tcPr>
            <w:tcW w:w="322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b/>
                <w:bCs/>
                <w:color w:val="000000"/>
                <w:sz w:val="18"/>
                <w:szCs w:val="18"/>
                <w:lang w:eastAsia="en-CA"/>
              </w:rPr>
            </w:pPr>
            <w:r w:rsidRPr="00593D8B">
              <w:rPr>
                <w:rFonts w:eastAsia="Times New Roman" w:cs="Calibri"/>
                <w:b/>
                <w:bCs/>
                <w:color w:val="000000"/>
                <w:sz w:val="18"/>
                <w:szCs w:val="18"/>
                <w:lang w:eastAsia="en-CA"/>
              </w:rPr>
              <w:t>Goods-producing sector</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583.3</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588.6</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606.7</w:t>
            </w:r>
          </w:p>
        </w:tc>
        <w:tc>
          <w:tcPr>
            <w:tcW w:w="760" w:type="dxa"/>
            <w:tcBorders>
              <w:top w:val="nil"/>
              <w:left w:val="single" w:sz="12" w:space="0" w:color="808080"/>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-5.3</w:t>
            </w:r>
          </w:p>
        </w:tc>
        <w:tc>
          <w:tcPr>
            <w:tcW w:w="7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-0.9</w:t>
            </w:r>
          </w:p>
        </w:tc>
        <w:tc>
          <w:tcPr>
            <w:tcW w:w="102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-23.4</w:t>
            </w:r>
          </w:p>
        </w:tc>
        <w:tc>
          <w:tcPr>
            <w:tcW w:w="6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-3.9</w:t>
            </w:r>
          </w:p>
        </w:tc>
      </w:tr>
      <w:tr w:rsidR="00593D8B" w:rsidRPr="00593D8B" w:rsidTr="00593D8B">
        <w:trPr>
          <w:trHeight w:val="240"/>
        </w:trPr>
        <w:tc>
          <w:tcPr>
            <w:tcW w:w="322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Agriculture</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50.2</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52.1</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48.3</w:t>
            </w:r>
          </w:p>
        </w:tc>
        <w:tc>
          <w:tcPr>
            <w:tcW w:w="76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-1.9</w:t>
            </w:r>
          </w:p>
        </w:tc>
        <w:tc>
          <w:tcPr>
            <w:tcW w:w="7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-3.6</w:t>
            </w:r>
          </w:p>
        </w:tc>
        <w:tc>
          <w:tcPr>
            <w:tcW w:w="102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1.9</w:t>
            </w:r>
          </w:p>
        </w:tc>
        <w:tc>
          <w:tcPr>
            <w:tcW w:w="6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3.9</w:t>
            </w:r>
          </w:p>
        </w:tc>
      </w:tr>
      <w:tr w:rsidR="00593D8B" w:rsidRPr="00593D8B" w:rsidTr="00593D8B">
        <w:trPr>
          <w:trHeight w:val="480"/>
        </w:trPr>
        <w:tc>
          <w:tcPr>
            <w:tcW w:w="3220" w:type="dxa"/>
            <w:tcBorders>
              <w:top w:val="nil"/>
              <w:left w:val="single" w:sz="12" w:space="0" w:color="808080"/>
              <w:bottom w:val="single" w:sz="4" w:space="0" w:color="808080"/>
              <w:right w:val="nil"/>
            </w:tcBorders>
            <w:shd w:val="clear" w:color="auto" w:fill="auto"/>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Forestry, fishing, mining, quarrying, </w:t>
            </w:r>
            <w:r w:rsidRPr="00593D8B">
              <w:rPr>
                <w:rFonts w:eastAsia="Times New Roman" w:cs="Calibri"/>
                <w:color w:val="000000"/>
                <w:sz w:val="18"/>
                <w:szCs w:val="18"/>
                <w:lang w:eastAsia="en-CA"/>
              </w:rPr>
              <w:br/>
              <w:t xml:space="preserve">  oil and gas</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138.4</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140.2</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153.1</w:t>
            </w:r>
          </w:p>
        </w:tc>
        <w:tc>
          <w:tcPr>
            <w:tcW w:w="760" w:type="dxa"/>
            <w:tcBorders>
              <w:top w:val="nil"/>
              <w:left w:val="single" w:sz="12" w:space="0" w:color="808080"/>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-1.8</w:t>
            </w:r>
          </w:p>
        </w:tc>
        <w:tc>
          <w:tcPr>
            <w:tcW w:w="7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-1.3</w:t>
            </w:r>
          </w:p>
        </w:tc>
        <w:tc>
          <w:tcPr>
            <w:tcW w:w="1020" w:type="dxa"/>
            <w:tcBorders>
              <w:top w:val="nil"/>
              <w:left w:val="nil"/>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-14.7</w:t>
            </w:r>
          </w:p>
        </w:tc>
        <w:tc>
          <w:tcPr>
            <w:tcW w:w="6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-9.6</w:t>
            </w:r>
          </w:p>
        </w:tc>
      </w:tr>
      <w:tr w:rsidR="00593D8B" w:rsidRPr="00593D8B" w:rsidTr="00593D8B">
        <w:trPr>
          <w:trHeight w:val="240"/>
        </w:trPr>
        <w:tc>
          <w:tcPr>
            <w:tcW w:w="322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Utilities</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24.3</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24.8</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25.3</w:t>
            </w:r>
          </w:p>
        </w:tc>
        <w:tc>
          <w:tcPr>
            <w:tcW w:w="76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-0.5</w:t>
            </w:r>
          </w:p>
        </w:tc>
        <w:tc>
          <w:tcPr>
            <w:tcW w:w="7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-2.0</w:t>
            </w:r>
          </w:p>
        </w:tc>
        <w:tc>
          <w:tcPr>
            <w:tcW w:w="1020" w:type="dxa"/>
            <w:tcBorders>
              <w:top w:val="nil"/>
              <w:left w:val="nil"/>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w:t>
            </w:r>
          </w:p>
        </w:tc>
        <w:tc>
          <w:tcPr>
            <w:tcW w:w="6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-4.0</w:t>
            </w:r>
          </w:p>
        </w:tc>
      </w:tr>
      <w:tr w:rsidR="00593D8B" w:rsidRPr="00593D8B" w:rsidTr="00593D8B">
        <w:trPr>
          <w:trHeight w:val="240"/>
        </w:trPr>
        <w:tc>
          <w:tcPr>
            <w:tcW w:w="322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Construction</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235.5</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236.6</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248.8</w:t>
            </w:r>
          </w:p>
        </w:tc>
        <w:tc>
          <w:tcPr>
            <w:tcW w:w="76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-1.1</w:t>
            </w:r>
          </w:p>
        </w:tc>
        <w:tc>
          <w:tcPr>
            <w:tcW w:w="7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-0.5</w:t>
            </w:r>
          </w:p>
        </w:tc>
        <w:tc>
          <w:tcPr>
            <w:tcW w:w="102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-13.3</w:t>
            </w:r>
          </w:p>
        </w:tc>
        <w:tc>
          <w:tcPr>
            <w:tcW w:w="6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-5.3</w:t>
            </w:r>
          </w:p>
        </w:tc>
      </w:tr>
      <w:tr w:rsidR="00593D8B" w:rsidRPr="00593D8B" w:rsidTr="00593D8B">
        <w:trPr>
          <w:trHeight w:val="240"/>
        </w:trPr>
        <w:tc>
          <w:tcPr>
            <w:tcW w:w="322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Manufacturing</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135.0</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134.8</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131.2</w:t>
            </w:r>
          </w:p>
        </w:tc>
        <w:tc>
          <w:tcPr>
            <w:tcW w:w="760" w:type="dxa"/>
            <w:tcBorders>
              <w:top w:val="nil"/>
              <w:left w:val="single" w:sz="12" w:space="0" w:color="808080"/>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0.2</w:t>
            </w:r>
          </w:p>
        </w:tc>
        <w:tc>
          <w:tcPr>
            <w:tcW w:w="7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0.1</w:t>
            </w:r>
          </w:p>
        </w:tc>
        <w:tc>
          <w:tcPr>
            <w:tcW w:w="1020" w:type="dxa"/>
            <w:tcBorders>
              <w:top w:val="nil"/>
              <w:left w:val="nil"/>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3.8</w:t>
            </w:r>
          </w:p>
        </w:tc>
        <w:tc>
          <w:tcPr>
            <w:tcW w:w="6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2.9</w:t>
            </w:r>
          </w:p>
        </w:tc>
      </w:tr>
      <w:tr w:rsidR="00593D8B" w:rsidRPr="00593D8B" w:rsidTr="00593D8B">
        <w:trPr>
          <w:trHeight w:val="240"/>
        </w:trPr>
        <w:tc>
          <w:tcPr>
            <w:tcW w:w="322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b/>
                <w:bCs/>
                <w:color w:val="000000"/>
                <w:sz w:val="18"/>
                <w:szCs w:val="18"/>
                <w:lang w:eastAsia="en-CA"/>
              </w:rPr>
            </w:pPr>
            <w:r w:rsidRPr="00593D8B">
              <w:rPr>
                <w:rFonts w:eastAsia="Times New Roman" w:cs="Calibri"/>
                <w:b/>
                <w:bCs/>
                <w:color w:val="000000"/>
                <w:sz w:val="18"/>
                <w:szCs w:val="18"/>
                <w:lang w:eastAsia="en-CA"/>
              </w:rPr>
              <w:t>Services-producing sector</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1,755.3</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1,768.3</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1,750.3</w:t>
            </w:r>
          </w:p>
        </w:tc>
        <w:tc>
          <w:tcPr>
            <w:tcW w:w="760" w:type="dxa"/>
            <w:tcBorders>
              <w:top w:val="nil"/>
              <w:left w:val="single" w:sz="12" w:space="0" w:color="808080"/>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-13.0</w:t>
            </w:r>
          </w:p>
        </w:tc>
        <w:tc>
          <w:tcPr>
            <w:tcW w:w="7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-0.7</w:t>
            </w:r>
          </w:p>
        </w:tc>
        <w:tc>
          <w:tcPr>
            <w:tcW w:w="102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5.0</w:t>
            </w:r>
          </w:p>
        </w:tc>
        <w:tc>
          <w:tcPr>
            <w:tcW w:w="6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0.3</w:t>
            </w:r>
          </w:p>
        </w:tc>
      </w:tr>
      <w:tr w:rsidR="00593D8B" w:rsidRPr="00593D8B" w:rsidTr="00593D8B">
        <w:trPr>
          <w:trHeight w:val="240"/>
        </w:trPr>
        <w:tc>
          <w:tcPr>
            <w:tcW w:w="322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Trade</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332.2</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337.8</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328.1</w:t>
            </w:r>
          </w:p>
        </w:tc>
        <w:tc>
          <w:tcPr>
            <w:tcW w:w="760" w:type="dxa"/>
            <w:tcBorders>
              <w:top w:val="nil"/>
              <w:left w:val="single" w:sz="12" w:space="0" w:color="808080"/>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-5.6</w:t>
            </w:r>
          </w:p>
        </w:tc>
        <w:tc>
          <w:tcPr>
            <w:tcW w:w="7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-1.7</w:t>
            </w:r>
          </w:p>
        </w:tc>
        <w:tc>
          <w:tcPr>
            <w:tcW w:w="1020" w:type="dxa"/>
            <w:tcBorders>
              <w:top w:val="nil"/>
              <w:left w:val="nil"/>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4.1</w:t>
            </w:r>
          </w:p>
        </w:tc>
        <w:tc>
          <w:tcPr>
            <w:tcW w:w="6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1.2</w:t>
            </w:r>
          </w:p>
        </w:tc>
      </w:tr>
      <w:tr w:rsidR="00593D8B" w:rsidRPr="00593D8B" w:rsidTr="00593D8B">
        <w:trPr>
          <w:trHeight w:val="240"/>
        </w:trPr>
        <w:tc>
          <w:tcPr>
            <w:tcW w:w="322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Transportation and warehousing</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135.6</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137.0</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139.8</w:t>
            </w:r>
          </w:p>
        </w:tc>
        <w:tc>
          <w:tcPr>
            <w:tcW w:w="76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-1.4</w:t>
            </w:r>
          </w:p>
        </w:tc>
        <w:tc>
          <w:tcPr>
            <w:tcW w:w="7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w:t>
            </w:r>
          </w:p>
        </w:tc>
        <w:tc>
          <w:tcPr>
            <w:tcW w:w="102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-4.2</w:t>
            </w:r>
          </w:p>
        </w:tc>
        <w:tc>
          <w:tcPr>
            <w:tcW w:w="6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-3.0</w:t>
            </w:r>
          </w:p>
        </w:tc>
      </w:tr>
      <w:tr w:rsidR="00593D8B" w:rsidRPr="00593D8B" w:rsidTr="00593D8B">
        <w:trPr>
          <w:trHeight w:val="480"/>
        </w:trPr>
        <w:tc>
          <w:tcPr>
            <w:tcW w:w="3220" w:type="dxa"/>
            <w:tcBorders>
              <w:top w:val="nil"/>
              <w:left w:val="single" w:sz="12" w:space="0" w:color="808080"/>
              <w:bottom w:val="single" w:sz="4" w:space="0" w:color="808080"/>
              <w:right w:val="nil"/>
            </w:tcBorders>
            <w:shd w:val="clear" w:color="auto" w:fill="auto"/>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Finance, insurance, real estate </w:t>
            </w:r>
            <w:r w:rsidRPr="00593D8B">
              <w:rPr>
                <w:rFonts w:eastAsia="Times New Roman" w:cs="Calibri"/>
                <w:color w:val="000000"/>
                <w:sz w:val="18"/>
                <w:szCs w:val="18"/>
                <w:lang w:eastAsia="en-CA"/>
              </w:rPr>
              <w:br/>
              <w:t xml:space="preserve">  and leasing</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106.1</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107.6</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107.5</w:t>
            </w:r>
          </w:p>
        </w:tc>
        <w:tc>
          <w:tcPr>
            <w:tcW w:w="760" w:type="dxa"/>
            <w:tcBorders>
              <w:top w:val="nil"/>
              <w:left w:val="single" w:sz="12" w:space="0" w:color="808080"/>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-1.5</w:t>
            </w:r>
          </w:p>
        </w:tc>
        <w:tc>
          <w:tcPr>
            <w:tcW w:w="7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-1.4</w:t>
            </w:r>
          </w:p>
        </w:tc>
        <w:tc>
          <w:tcPr>
            <w:tcW w:w="1020" w:type="dxa"/>
            <w:tcBorders>
              <w:top w:val="nil"/>
              <w:left w:val="nil"/>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-1.4</w:t>
            </w:r>
          </w:p>
        </w:tc>
        <w:tc>
          <w:tcPr>
            <w:tcW w:w="6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-1.3</w:t>
            </w:r>
          </w:p>
        </w:tc>
      </w:tr>
      <w:tr w:rsidR="00593D8B" w:rsidRPr="00593D8B" w:rsidTr="00593D8B">
        <w:trPr>
          <w:trHeight w:val="480"/>
        </w:trPr>
        <w:tc>
          <w:tcPr>
            <w:tcW w:w="3220" w:type="dxa"/>
            <w:tcBorders>
              <w:top w:val="nil"/>
              <w:left w:val="single" w:sz="12" w:space="0" w:color="808080"/>
              <w:bottom w:val="single" w:sz="4" w:space="0" w:color="808080"/>
              <w:right w:val="nil"/>
            </w:tcBorders>
            <w:shd w:val="clear" w:color="auto" w:fill="auto"/>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lastRenderedPageBreak/>
              <w:t xml:space="preserve">  Professional, scientific </w:t>
            </w:r>
            <w:r w:rsidRPr="00593D8B">
              <w:rPr>
                <w:rFonts w:eastAsia="Times New Roman" w:cs="Calibri"/>
                <w:color w:val="000000"/>
                <w:sz w:val="18"/>
                <w:szCs w:val="18"/>
                <w:lang w:eastAsia="en-CA"/>
              </w:rPr>
              <w:br/>
              <w:t xml:space="preserve">  and technical services</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192.7</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189.9</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181.9</w:t>
            </w:r>
          </w:p>
        </w:tc>
        <w:tc>
          <w:tcPr>
            <w:tcW w:w="760" w:type="dxa"/>
            <w:tcBorders>
              <w:top w:val="nil"/>
              <w:left w:val="single" w:sz="12" w:space="0" w:color="808080"/>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2.8</w:t>
            </w:r>
          </w:p>
        </w:tc>
        <w:tc>
          <w:tcPr>
            <w:tcW w:w="7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1.5</w:t>
            </w:r>
          </w:p>
        </w:tc>
        <w:tc>
          <w:tcPr>
            <w:tcW w:w="1020" w:type="dxa"/>
            <w:tcBorders>
              <w:top w:val="nil"/>
              <w:left w:val="nil"/>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10.8</w:t>
            </w:r>
          </w:p>
        </w:tc>
        <w:tc>
          <w:tcPr>
            <w:tcW w:w="6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5.9</w:t>
            </w:r>
          </w:p>
        </w:tc>
      </w:tr>
      <w:tr w:rsidR="00593D8B" w:rsidRPr="00593D8B" w:rsidTr="00593D8B">
        <w:trPr>
          <w:trHeight w:val="480"/>
        </w:trPr>
        <w:tc>
          <w:tcPr>
            <w:tcW w:w="3220" w:type="dxa"/>
            <w:tcBorders>
              <w:top w:val="nil"/>
              <w:left w:val="single" w:sz="12" w:space="0" w:color="808080"/>
              <w:bottom w:val="single" w:sz="4" w:space="0" w:color="808080"/>
              <w:right w:val="nil"/>
            </w:tcBorders>
            <w:shd w:val="clear" w:color="auto" w:fill="auto"/>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Business, building </w:t>
            </w:r>
            <w:r w:rsidRPr="00593D8B">
              <w:rPr>
                <w:rFonts w:eastAsia="Times New Roman" w:cs="Calibri"/>
                <w:color w:val="000000"/>
                <w:sz w:val="18"/>
                <w:szCs w:val="18"/>
                <w:lang w:eastAsia="en-CA"/>
              </w:rPr>
              <w:br/>
              <w:t xml:space="preserve">  and other support services</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78.4</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81.7</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91.3</w:t>
            </w:r>
          </w:p>
        </w:tc>
        <w:tc>
          <w:tcPr>
            <w:tcW w:w="760" w:type="dxa"/>
            <w:tcBorders>
              <w:top w:val="nil"/>
              <w:left w:val="single" w:sz="12" w:space="0" w:color="808080"/>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-3.3</w:t>
            </w:r>
          </w:p>
        </w:tc>
        <w:tc>
          <w:tcPr>
            <w:tcW w:w="7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-4.0</w:t>
            </w:r>
          </w:p>
        </w:tc>
        <w:tc>
          <w:tcPr>
            <w:tcW w:w="102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-12.9</w:t>
            </w:r>
          </w:p>
        </w:tc>
        <w:tc>
          <w:tcPr>
            <w:tcW w:w="6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-14.1</w:t>
            </w:r>
          </w:p>
        </w:tc>
      </w:tr>
      <w:tr w:rsidR="00593D8B" w:rsidRPr="00593D8B" w:rsidTr="00593D8B">
        <w:trPr>
          <w:trHeight w:val="240"/>
        </w:trPr>
        <w:tc>
          <w:tcPr>
            <w:tcW w:w="322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Educational services</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161.0</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159.1</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153.0</w:t>
            </w:r>
          </w:p>
        </w:tc>
        <w:tc>
          <w:tcPr>
            <w:tcW w:w="76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1.9</w:t>
            </w:r>
          </w:p>
        </w:tc>
        <w:tc>
          <w:tcPr>
            <w:tcW w:w="7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1.2</w:t>
            </w:r>
          </w:p>
        </w:tc>
        <w:tc>
          <w:tcPr>
            <w:tcW w:w="102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8.0</w:t>
            </w:r>
          </w:p>
        </w:tc>
        <w:tc>
          <w:tcPr>
            <w:tcW w:w="6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5.2</w:t>
            </w:r>
          </w:p>
        </w:tc>
      </w:tr>
      <w:tr w:rsidR="00593D8B" w:rsidRPr="00593D8B" w:rsidTr="00593D8B">
        <w:trPr>
          <w:trHeight w:val="240"/>
        </w:trPr>
        <w:tc>
          <w:tcPr>
            <w:tcW w:w="322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Health care and social assistance</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303.7</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304.7</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288.2</w:t>
            </w:r>
          </w:p>
        </w:tc>
        <w:tc>
          <w:tcPr>
            <w:tcW w:w="76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w:t>
            </w:r>
          </w:p>
        </w:tc>
        <w:tc>
          <w:tcPr>
            <w:tcW w:w="7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-0.3</w:t>
            </w:r>
          </w:p>
        </w:tc>
        <w:tc>
          <w:tcPr>
            <w:tcW w:w="102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15.5</w:t>
            </w:r>
          </w:p>
        </w:tc>
        <w:tc>
          <w:tcPr>
            <w:tcW w:w="6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5.4</w:t>
            </w:r>
          </w:p>
        </w:tc>
      </w:tr>
      <w:tr w:rsidR="00593D8B" w:rsidRPr="00593D8B" w:rsidTr="00593D8B">
        <w:trPr>
          <w:trHeight w:val="240"/>
        </w:trPr>
        <w:tc>
          <w:tcPr>
            <w:tcW w:w="322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Information, culture and recreation</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75.4</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75.4</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78.2</w:t>
            </w:r>
          </w:p>
        </w:tc>
        <w:tc>
          <w:tcPr>
            <w:tcW w:w="760" w:type="dxa"/>
            <w:tcBorders>
              <w:top w:val="nil"/>
              <w:left w:val="single" w:sz="12" w:space="0" w:color="808080"/>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0.0</w:t>
            </w:r>
          </w:p>
        </w:tc>
        <w:tc>
          <w:tcPr>
            <w:tcW w:w="7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0.0</w:t>
            </w:r>
          </w:p>
        </w:tc>
        <w:tc>
          <w:tcPr>
            <w:tcW w:w="1020" w:type="dxa"/>
            <w:tcBorders>
              <w:top w:val="nil"/>
              <w:left w:val="nil"/>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-2.8</w:t>
            </w:r>
          </w:p>
        </w:tc>
        <w:tc>
          <w:tcPr>
            <w:tcW w:w="6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-3.6</w:t>
            </w:r>
          </w:p>
        </w:tc>
      </w:tr>
      <w:tr w:rsidR="00593D8B" w:rsidRPr="00593D8B" w:rsidTr="00593D8B">
        <w:trPr>
          <w:trHeight w:val="240"/>
        </w:trPr>
        <w:tc>
          <w:tcPr>
            <w:tcW w:w="322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Accommodation and food services</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152.6</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149.0</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150.2</w:t>
            </w:r>
          </w:p>
        </w:tc>
        <w:tc>
          <w:tcPr>
            <w:tcW w:w="76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3.6</w:t>
            </w:r>
          </w:p>
        </w:tc>
        <w:tc>
          <w:tcPr>
            <w:tcW w:w="7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2.4</w:t>
            </w:r>
          </w:p>
        </w:tc>
        <w:tc>
          <w:tcPr>
            <w:tcW w:w="102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2.4</w:t>
            </w:r>
          </w:p>
        </w:tc>
        <w:tc>
          <w:tcPr>
            <w:tcW w:w="6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1.6</w:t>
            </w:r>
          </w:p>
        </w:tc>
      </w:tr>
      <w:tr w:rsidR="00593D8B" w:rsidRPr="00593D8B" w:rsidTr="00593D8B">
        <w:trPr>
          <w:trHeight w:val="240"/>
        </w:trPr>
        <w:tc>
          <w:tcPr>
            <w:tcW w:w="3220" w:type="dxa"/>
            <w:tcBorders>
              <w:top w:val="nil"/>
              <w:left w:val="single" w:sz="12" w:space="0" w:color="808080"/>
              <w:bottom w:val="single" w:sz="4"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Other services</w:t>
            </w:r>
          </w:p>
        </w:tc>
        <w:tc>
          <w:tcPr>
            <w:tcW w:w="130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108.4</w:t>
            </w:r>
          </w:p>
        </w:tc>
        <w:tc>
          <w:tcPr>
            <w:tcW w:w="130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112.9</w:t>
            </w:r>
          </w:p>
        </w:tc>
        <w:tc>
          <w:tcPr>
            <w:tcW w:w="1300" w:type="dxa"/>
            <w:tcBorders>
              <w:top w:val="nil"/>
              <w:left w:val="nil"/>
              <w:bottom w:val="single" w:sz="4"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116.8</w:t>
            </w:r>
          </w:p>
        </w:tc>
        <w:tc>
          <w:tcPr>
            <w:tcW w:w="760" w:type="dxa"/>
            <w:tcBorders>
              <w:top w:val="nil"/>
              <w:left w:val="single" w:sz="12" w:space="0" w:color="808080"/>
              <w:bottom w:val="single" w:sz="4"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-4.5</w:t>
            </w:r>
          </w:p>
        </w:tc>
        <w:tc>
          <w:tcPr>
            <w:tcW w:w="700" w:type="dxa"/>
            <w:tcBorders>
              <w:top w:val="nil"/>
              <w:left w:val="nil"/>
              <w:bottom w:val="single" w:sz="4"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-4.0</w:t>
            </w:r>
          </w:p>
        </w:tc>
        <w:tc>
          <w:tcPr>
            <w:tcW w:w="102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-8.4</w:t>
            </w:r>
          </w:p>
        </w:tc>
        <w:tc>
          <w:tcPr>
            <w:tcW w:w="60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-7.2</w:t>
            </w:r>
          </w:p>
        </w:tc>
      </w:tr>
      <w:tr w:rsidR="00593D8B" w:rsidRPr="00593D8B" w:rsidTr="00593D8B">
        <w:trPr>
          <w:trHeight w:val="255"/>
        </w:trPr>
        <w:tc>
          <w:tcPr>
            <w:tcW w:w="3220" w:type="dxa"/>
            <w:tcBorders>
              <w:top w:val="nil"/>
              <w:left w:val="single" w:sz="12" w:space="0" w:color="808080"/>
              <w:bottom w:val="single" w:sz="12" w:space="0" w:color="808080"/>
              <w:right w:val="nil"/>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Public administration</w:t>
            </w:r>
          </w:p>
        </w:tc>
        <w:tc>
          <w:tcPr>
            <w:tcW w:w="1300" w:type="dxa"/>
            <w:tcBorders>
              <w:top w:val="nil"/>
              <w:left w:val="single" w:sz="12" w:space="0" w:color="808080"/>
              <w:bottom w:val="single" w:sz="12"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109.3</w:t>
            </w:r>
          </w:p>
        </w:tc>
        <w:tc>
          <w:tcPr>
            <w:tcW w:w="1300" w:type="dxa"/>
            <w:tcBorders>
              <w:top w:val="nil"/>
              <w:left w:val="nil"/>
              <w:bottom w:val="single" w:sz="12"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113.2</w:t>
            </w:r>
          </w:p>
        </w:tc>
        <w:tc>
          <w:tcPr>
            <w:tcW w:w="1300" w:type="dxa"/>
            <w:tcBorders>
              <w:top w:val="nil"/>
              <w:left w:val="nil"/>
              <w:bottom w:val="single" w:sz="12" w:space="0" w:color="808080"/>
              <w:right w:val="nil"/>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115.4</w:t>
            </w:r>
          </w:p>
        </w:tc>
        <w:tc>
          <w:tcPr>
            <w:tcW w:w="760" w:type="dxa"/>
            <w:tcBorders>
              <w:top w:val="nil"/>
              <w:left w:val="single" w:sz="12" w:space="0" w:color="808080"/>
              <w:bottom w:val="single" w:sz="12"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-3.9</w:t>
            </w:r>
          </w:p>
        </w:tc>
        <w:tc>
          <w:tcPr>
            <w:tcW w:w="700" w:type="dxa"/>
            <w:tcBorders>
              <w:top w:val="nil"/>
              <w:left w:val="nil"/>
              <w:bottom w:val="single" w:sz="12"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-3.4</w:t>
            </w:r>
          </w:p>
        </w:tc>
        <w:tc>
          <w:tcPr>
            <w:tcW w:w="1020" w:type="dxa"/>
            <w:tcBorders>
              <w:top w:val="nil"/>
              <w:left w:val="nil"/>
              <w:bottom w:val="single" w:sz="12" w:space="0" w:color="808080"/>
              <w:right w:val="single" w:sz="4"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-6.1</w:t>
            </w:r>
          </w:p>
        </w:tc>
        <w:tc>
          <w:tcPr>
            <w:tcW w:w="600" w:type="dxa"/>
            <w:tcBorders>
              <w:top w:val="nil"/>
              <w:left w:val="nil"/>
              <w:bottom w:val="single" w:sz="12" w:space="0" w:color="808080"/>
              <w:right w:val="single" w:sz="12" w:space="0" w:color="808080"/>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-5.3</w:t>
            </w:r>
          </w:p>
        </w:tc>
      </w:tr>
      <w:tr w:rsidR="00593D8B" w:rsidRPr="00593D8B" w:rsidTr="00593D8B">
        <w:trPr>
          <w:trHeight w:val="240"/>
        </w:trPr>
        <w:tc>
          <w:tcPr>
            <w:tcW w:w="10200" w:type="dxa"/>
            <w:gridSpan w:val="8"/>
            <w:tcBorders>
              <w:top w:val="single" w:sz="12" w:space="0" w:color="808080"/>
              <w:left w:val="nil"/>
              <w:bottom w:val="nil"/>
              <w:right w:val="nil"/>
            </w:tcBorders>
            <w:shd w:val="clear" w:color="auto" w:fill="auto"/>
            <w:noWrap/>
            <w:vAlign w:val="bottom"/>
            <w:hideMark/>
          </w:tcPr>
          <w:p w:rsidR="00593D8B" w:rsidRPr="00593D8B" w:rsidRDefault="00593D8B" w:rsidP="00593D8B">
            <w:pPr>
              <w:spacing w:after="0" w:line="240" w:lineRule="auto"/>
              <w:rPr>
                <w:rFonts w:eastAsia="Times New Roman" w:cs="Calibri"/>
                <w:i/>
                <w:iCs/>
                <w:color w:val="000000"/>
                <w:sz w:val="16"/>
                <w:szCs w:val="16"/>
                <w:lang w:eastAsia="en-CA"/>
              </w:rPr>
            </w:pPr>
            <w:r w:rsidRPr="00593D8B">
              <w:rPr>
                <w:rFonts w:eastAsia="Times New Roman" w:cs="Calibri"/>
                <w:i/>
                <w:iCs/>
                <w:color w:val="000000"/>
                <w:sz w:val="16"/>
                <w:szCs w:val="16"/>
                <w:lang w:eastAsia="en-CA"/>
              </w:rPr>
              <w:t>Note: Totals may not add due to rounding</w:t>
            </w:r>
          </w:p>
        </w:tc>
      </w:tr>
      <w:tr w:rsidR="00593D8B" w:rsidRPr="00593D8B" w:rsidTr="00593D8B">
        <w:trPr>
          <w:trHeight w:val="225"/>
        </w:trPr>
        <w:tc>
          <w:tcPr>
            <w:tcW w:w="10200" w:type="dxa"/>
            <w:gridSpan w:val="8"/>
            <w:tcBorders>
              <w:top w:val="nil"/>
              <w:left w:val="nil"/>
              <w:bottom w:val="nil"/>
              <w:right w:val="nil"/>
            </w:tcBorders>
            <w:shd w:val="clear" w:color="auto" w:fill="auto"/>
            <w:noWrap/>
            <w:vAlign w:val="bottom"/>
            <w:hideMark/>
          </w:tcPr>
          <w:p w:rsidR="00593D8B" w:rsidRPr="00593D8B" w:rsidRDefault="00593D8B" w:rsidP="00593D8B">
            <w:pPr>
              <w:spacing w:after="0" w:line="240" w:lineRule="auto"/>
              <w:rPr>
                <w:rFonts w:eastAsia="Times New Roman" w:cs="Calibri"/>
                <w:i/>
                <w:iCs/>
                <w:color w:val="000000"/>
                <w:sz w:val="16"/>
                <w:szCs w:val="16"/>
                <w:lang w:eastAsia="en-CA"/>
              </w:rPr>
            </w:pPr>
            <w:r w:rsidRPr="00593D8B">
              <w:rPr>
                <w:rFonts w:eastAsia="Times New Roman" w:cs="Calibri"/>
                <w:i/>
                <w:iCs/>
                <w:color w:val="000000"/>
                <w:sz w:val="16"/>
                <w:szCs w:val="16"/>
                <w:lang w:eastAsia="en-CA"/>
              </w:rPr>
              <w:t>Source: Statistics Canada Labour Force Survey – Table 14-10-0355, formerly CANSIM 282-0088</w:t>
            </w:r>
          </w:p>
        </w:tc>
      </w:tr>
    </w:tbl>
    <w:p w:rsidR="000A156E" w:rsidRPr="0007392A" w:rsidRDefault="000A156E" w:rsidP="00B6742E">
      <w:pPr>
        <w:spacing w:before="240" w:after="120"/>
        <w:rPr>
          <w:b/>
        </w:rPr>
      </w:pPr>
      <w:r w:rsidRPr="0007392A">
        <w:rPr>
          <w:b/>
        </w:rPr>
        <w:t>Oil and gas</w:t>
      </w:r>
    </w:p>
    <w:p w:rsidR="000A156E" w:rsidRPr="00FB56C2" w:rsidRDefault="000A156E" w:rsidP="00B6742E">
      <w:pPr>
        <w:spacing w:before="120" w:after="120"/>
        <w:jc w:val="both"/>
        <w:rPr>
          <w:rFonts w:cs="Calibri"/>
          <w:color w:val="222222"/>
          <w:shd w:val="clear" w:color="auto" w:fill="FFFFFF"/>
        </w:rPr>
      </w:pPr>
      <w:r w:rsidRPr="00FB56C2">
        <w:rPr>
          <w:rFonts w:cs="Calibri"/>
          <w:color w:val="222222"/>
          <w:shd w:val="clear" w:color="auto" w:fill="FFFFFF"/>
        </w:rPr>
        <w:t xml:space="preserve">Oil production </w:t>
      </w:r>
      <w:r>
        <w:rPr>
          <w:rFonts w:cs="Calibri"/>
          <w:color w:val="222222"/>
          <w:shd w:val="clear" w:color="auto" w:fill="FFFFFF"/>
        </w:rPr>
        <w:t xml:space="preserve">in </w:t>
      </w:r>
      <w:r w:rsidR="004E71D4">
        <w:rPr>
          <w:rFonts w:cs="Calibri"/>
          <w:color w:val="222222"/>
          <w:shd w:val="clear" w:color="auto" w:fill="FFFFFF"/>
        </w:rPr>
        <w:t>Alberta</w:t>
      </w:r>
      <w:r w:rsidR="009E7351">
        <w:rPr>
          <w:rFonts w:cs="Calibri"/>
          <w:color w:val="222222"/>
          <w:shd w:val="clear" w:color="auto" w:fill="FFFFFF"/>
        </w:rPr>
        <w:t xml:space="preserve"> </w:t>
      </w:r>
      <w:r w:rsidRPr="00FB56C2">
        <w:rPr>
          <w:rFonts w:cs="Calibri"/>
          <w:color w:val="222222"/>
          <w:shd w:val="clear" w:color="auto" w:fill="FFFFFF"/>
        </w:rPr>
        <w:t xml:space="preserve">expanded sharply </w:t>
      </w:r>
      <w:r w:rsidR="004E71D4">
        <w:rPr>
          <w:rFonts w:cs="Calibri"/>
          <w:color w:val="222222"/>
          <w:shd w:val="clear" w:color="auto" w:fill="FFFFFF"/>
        </w:rPr>
        <w:t>in</w:t>
      </w:r>
      <w:r w:rsidRPr="00FB56C2">
        <w:rPr>
          <w:rFonts w:cs="Calibri"/>
          <w:color w:val="222222"/>
          <w:shd w:val="clear" w:color="auto" w:fill="FFFFFF"/>
        </w:rPr>
        <w:t xml:space="preserve"> 2018</w:t>
      </w:r>
      <w:r w:rsidR="004E71D4">
        <w:rPr>
          <w:rFonts w:cs="Calibri"/>
          <w:color w:val="222222"/>
          <w:shd w:val="clear" w:color="auto" w:fill="FFFFFF"/>
        </w:rPr>
        <w:t>,</w:t>
      </w:r>
      <w:r w:rsidRPr="00FB56C2">
        <w:rPr>
          <w:rFonts w:cs="Calibri"/>
          <w:color w:val="222222"/>
          <w:shd w:val="clear" w:color="auto" w:fill="FFFFFF"/>
        </w:rPr>
        <w:t xml:space="preserve"> the year in which oil production in </w:t>
      </w:r>
      <w:r w:rsidR="004E71D4">
        <w:rPr>
          <w:rFonts w:cs="Calibri"/>
          <w:color w:val="222222"/>
          <w:shd w:val="clear" w:color="auto" w:fill="FFFFFF"/>
        </w:rPr>
        <w:t>the province</w:t>
      </w:r>
      <w:r w:rsidR="009E7351">
        <w:rPr>
          <w:rFonts w:cs="Calibri"/>
          <w:color w:val="222222"/>
          <w:shd w:val="clear" w:color="auto" w:fill="FFFFFF"/>
        </w:rPr>
        <w:t xml:space="preserve"> </w:t>
      </w:r>
      <w:r w:rsidR="004E71D4">
        <w:rPr>
          <w:rFonts w:cs="Calibri"/>
          <w:color w:val="222222"/>
          <w:shd w:val="clear" w:color="auto" w:fill="FFFFFF"/>
        </w:rPr>
        <w:t xml:space="preserve">officially </w:t>
      </w:r>
      <w:r w:rsidRPr="00FB56C2">
        <w:rPr>
          <w:rFonts w:cs="Calibri"/>
          <w:color w:val="222222"/>
          <w:shd w:val="clear" w:color="auto" w:fill="FFFFFF"/>
        </w:rPr>
        <w:t xml:space="preserve">exceeded pipeline take away capacity. </w:t>
      </w:r>
      <w:r>
        <w:rPr>
          <w:rFonts w:cs="Calibri"/>
          <w:color w:val="222222"/>
          <w:shd w:val="clear" w:color="auto" w:fill="FFFFFF"/>
        </w:rPr>
        <w:t>While oil</w:t>
      </w:r>
      <w:r w:rsidR="009E7351">
        <w:rPr>
          <w:rFonts w:cs="Calibri"/>
          <w:color w:val="222222"/>
          <w:shd w:val="clear" w:color="auto" w:fill="FFFFFF"/>
        </w:rPr>
        <w:t xml:space="preserve"> </w:t>
      </w:r>
      <w:r w:rsidR="00A12C63">
        <w:rPr>
          <w:rFonts w:cs="Calibri"/>
          <w:color w:val="222222"/>
          <w:shd w:val="clear" w:color="auto" w:fill="FFFFFF"/>
        </w:rPr>
        <w:t>extraction occurs</w:t>
      </w:r>
      <w:r w:rsidR="009E7351">
        <w:rPr>
          <w:rFonts w:cs="Calibri"/>
          <w:color w:val="222222"/>
          <w:shd w:val="clear" w:color="auto" w:fill="FFFFFF"/>
        </w:rPr>
        <w:t xml:space="preserve"> </w:t>
      </w:r>
      <w:r w:rsidR="00A12C63">
        <w:rPr>
          <w:rFonts w:cs="Calibri"/>
          <w:color w:val="222222"/>
          <w:shd w:val="clear" w:color="auto" w:fill="FFFFFF"/>
        </w:rPr>
        <w:t>in</w:t>
      </w:r>
      <w:r>
        <w:rPr>
          <w:rFonts w:cs="Calibri"/>
          <w:color w:val="222222"/>
          <w:shd w:val="clear" w:color="auto" w:fill="FFFFFF"/>
        </w:rPr>
        <w:t xml:space="preserve"> every corner of </w:t>
      </w:r>
      <w:r w:rsidR="00A35692">
        <w:rPr>
          <w:rFonts w:cs="Calibri"/>
          <w:color w:val="222222"/>
          <w:shd w:val="clear" w:color="auto" w:fill="FFFFFF"/>
        </w:rPr>
        <w:t>the province</w:t>
      </w:r>
      <w:r>
        <w:rPr>
          <w:rFonts w:cs="Calibri"/>
          <w:color w:val="222222"/>
          <w:shd w:val="clear" w:color="auto" w:fill="FFFFFF"/>
        </w:rPr>
        <w:t xml:space="preserve">, the oilsands region </w:t>
      </w:r>
      <w:r w:rsidR="00A12C63">
        <w:rPr>
          <w:rFonts w:cs="Calibri"/>
          <w:color w:val="222222"/>
          <w:shd w:val="clear" w:color="auto" w:fill="FFFFFF"/>
        </w:rPr>
        <w:t>produces</w:t>
      </w:r>
      <w:r>
        <w:rPr>
          <w:rFonts w:cs="Calibri"/>
          <w:color w:val="222222"/>
          <w:shd w:val="clear" w:color="auto" w:fill="FFFFFF"/>
        </w:rPr>
        <w:t xml:space="preserve"> by far the </w:t>
      </w:r>
      <w:r w:rsidR="00FB2A6A">
        <w:rPr>
          <w:rFonts w:cs="Calibri"/>
          <w:color w:val="222222"/>
        </w:rPr>
        <w:t xml:space="preserve">largest </w:t>
      </w:r>
      <w:r w:rsidR="00A12C63">
        <w:rPr>
          <w:rFonts w:cs="Calibri"/>
          <w:color w:val="222222"/>
        </w:rPr>
        <w:t>provincial share.</w:t>
      </w:r>
      <w:r w:rsidR="009E7351">
        <w:rPr>
          <w:rFonts w:cs="Calibri"/>
          <w:color w:val="222222"/>
        </w:rPr>
        <w:t xml:space="preserve"> </w:t>
      </w:r>
      <w:r w:rsidR="00A12C63">
        <w:rPr>
          <w:rFonts w:cs="Calibri"/>
          <w:color w:val="222222"/>
        </w:rPr>
        <w:t>I</w:t>
      </w:r>
      <w:r>
        <w:rPr>
          <w:rFonts w:cs="Calibri"/>
          <w:color w:val="222222"/>
          <w:shd w:val="clear" w:color="auto" w:fill="FFFFFF"/>
        </w:rPr>
        <w:t xml:space="preserve">n </w:t>
      </w:r>
      <w:r w:rsidR="00C310F2">
        <w:rPr>
          <w:rFonts w:cs="Calibri"/>
          <w:color w:val="222222"/>
          <w:shd w:val="clear" w:color="auto" w:fill="FFFFFF"/>
        </w:rPr>
        <w:t>September</w:t>
      </w:r>
      <w:r>
        <w:rPr>
          <w:rFonts w:cs="Calibri"/>
          <w:color w:val="222222"/>
          <w:shd w:val="clear" w:color="auto" w:fill="FFFFFF"/>
        </w:rPr>
        <w:t xml:space="preserve"> 2019</w:t>
      </w:r>
      <w:r w:rsidR="00A12C63">
        <w:rPr>
          <w:rFonts w:cs="Calibri"/>
          <w:color w:val="222222"/>
          <w:shd w:val="clear" w:color="auto" w:fill="FFFFFF"/>
        </w:rPr>
        <w:t xml:space="preserve">, oilsands operations accounted for 84% of total oil production in </w:t>
      </w:r>
      <w:r w:rsidR="00A35692">
        <w:rPr>
          <w:rFonts w:cs="Calibri"/>
          <w:color w:val="222222"/>
          <w:shd w:val="clear" w:color="auto" w:fill="FFFFFF"/>
        </w:rPr>
        <w:t>Alberta</w:t>
      </w:r>
      <w:r>
        <w:rPr>
          <w:rFonts w:cs="Calibri"/>
          <w:color w:val="222222"/>
          <w:shd w:val="clear" w:color="auto" w:fill="FFFFFF"/>
        </w:rPr>
        <w:t xml:space="preserve">. </w:t>
      </w:r>
      <w:r w:rsidR="002E0131">
        <w:rPr>
          <w:rFonts w:cs="Calibri"/>
          <w:color w:val="222222"/>
          <w:shd w:val="clear" w:color="auto" w:fill="FFFFFF"/>
        </w:rPr>
        <w:t xml:space="preserve">And while direct employment in oil and gas extraction is down by as much as one-quarter since Q3-2014, </w:t>
      </w:r>
      <w:r w:rsidR="00E9428D">
        <w:rPr>
          <w:rFonts w:cs="Calibri"/>
          <w:color w:val="222222"/>
          <w:shd w:val="clear" w:color="auto" w:fill="FFFFFF"/>
        </w:rPr>
        <w:t>oil</w:t>
      </w:r>
      <w:r w:rsidR="002E0131">
        <w:rPr>
          <w:rFonts w:cs="Calibri"/>
          <w:color w:val="222222"/>
          <w:shd w:val="clear" w:color="auto" w:fill="FFFFFF"/>
        </w:rPr>
        <w:t xml:space="preserve"> production is up by about one-third.</w:t>
      </w:r>
      <w:r w:rsidR="00E9428D">
        <w:rPr>
          <w:rStyle w:val="EndnoteReference"/>
          <w:rFonts w:cs="Calibri"/>
          <w:color w:val="222222"/>
          <w:shd w:val="clear" w:color="auto" w:fill="FFFFFF"/>
        </w:rPr>
        <w:endnoteReference w:id="8"/>
      </w:r>
    </w:p>
    <w:p w:rsidR="000A156E" w:rsidRDefault="00A12C63" w:rsidP="00B6742E">
      <w:pPr>
        <w:spacing w:before="120" w:after="120"/>
        <w:jc w:val="both"/>
        <w:rPr>
          <w:rFonts w:cs="Calibri"/>
          <w:color w:val="222222"/>
          <w:shd w:val="clear" w:color="auto" w:fill="FFFFFF"/>
        </w:rPr>
      </w:pPr>
      <w:r>
        <w:rPr>
          <w:rFonts w:asciiTheme="minorHAnsi" w:hAnsiTheme="minorHAnsi" w:cstheme="minorHAnsi"/>
          <w:color w:val="222222"/>
          <w:shd w:val="clear" w:color="auto" w:fill="FFFFFF"/>
        </w:rPr>
        <w:t>I</w:t>
      </w:r>
      <w:r w:rsidRPr="00B64FD1">
        <w:rPr>
          <w:rFonts w:asciiTheme="minorHAnsi" w:hAnsiTheme="minorHAnsi" w:cstheme="minorHAnsi"/>
          <w:color w:val="222222"/>
          <w:shd w:val="clear" w:color="auto" w:fill="FFFFFF"/>
        </w:rPr>
        <w:t>n recent years</w:t>
      </w:r>
      <w:r>
        <w:rPr>
          <w:rFonts w:asciiTheme="minorHAnsi" w:hAnsiTheme="minorHAnsi" w:cstheme="minorHAnsi"/>
          <w:color w:val="222222"/>
          <w:shd w:val="clear" w:color="auto" w:fill="FFFFFF"/>
        </w:rPr>
        <w:t>,</w:t>
      </w:r>
      <w:r w:rsidR="009E7351">
        <w:rPr>
          <w:rFonts w:asciiTheme="minorHAnsi" w:hAnsiTheme="minorHAnsi" w:cstheme="minorHAnsi"/>
          <w:color w:val="222222"/>
          <w:shd w:val="clear" w:color="auto" w:fill="FFFFFF"/>
        </w:rPr>
        <w:t xml:space="preserve"> </w:t>
      </w:r>
      <w:r w:rsidR="000A156E" w:rsidRPr="00B64FD1">
        <w:rPr>
          <w:rFonts w:asciiTheme="minorHAnsi" w:hAnsiTheme="minorHAnsi" w:cstheme="minorHAnsi"/>
          <w:color w:val="222222"/>
          <w:shd w:val="clear" w:color="auto" w:fill="FFFFFF"/>
        </w:rPr>
        <w:t xml:space="preserve">Alberta’s oil and gas firms have struggled to remain competitive with their U.S. counterparts, particularly with respect to attracting investment capital. </w:t>
      </w:r>
      <w:r w:rsidR="00FB2A6A">
        <w:rPr>
          <w:rFonts w:asciiTheme="minorHAnsi" w:hAnsiTheme="minorHAnsi" w:cstheme="minorHAnsi"/>
          <w:color w:val="222222"/>
          <w:shd w:val="clear" w:color="auto" w:fill="FFFFFF"/>
        </w:rPr>
        <w:t xml:space="preserve">The draw down in </w:t>
      </w:r>
      <w:r>
        <w:rPr>
          <w:rFonts w:asciiTheme="minorHAnsi" w:hAnsiTheme="minorHAnsi" w:cstheme="minorHAnsi"/>
          <w:color w:val="222222"/>
          <w:shd w:val="clear" w:color="auto" w:fill="FFFFFF"/>
        </w:rPr>
        <w:t xml:space="preserve">oil and gas </w:t>
      </w:r>
      <w:r w:rsidR="00FB2A6A">
        <w:rPr>
          <w:rFonts w:asciiTheme="minorHAnsi" w:hAnsiTheme="minorHAnsi" w:cstheme="minorHAnsi"/>
          <w:color w:val="222222"/>
          <w:shd w:val="clear" w:color="auto" w:fill="FFFFFF"/>
        </w:rPr>
        <w:t xml:space="preserve">investment is not just limited to Alberta or Canada, however. </w:t>
      </w:r>
      <w:r w:rsidR="000A156E" w:rsidRPr="00B64FD1">
        <w:rPr>
          <w:rFonts w:asciiTheme="minorHAnsi" w:hAnsiTheme="minorHAnsi" w:cstheme="minorHAnsi"/>
          <w:color w:val="222222"/>
          <w:shd w:val="clear" w:color="auto" w:fill="FFFFFF"/>
        </w:rPr>
        <w:t>G</w:t>
      </w:r>
      <w:r w:rsidR="000A156E" w:rsidRPr="00B64FD1">
        <w:rPr>
          <w:rFonts w:asciiTheme="minorHAnsi" w:hAnsiTheme="minorHAnsi" w:cstheme="minorHAnsi"/>
          <w:color w:val="222222"/>
        </w:rPr>
        <w:t>lobally</w:t>
      </w:r>
      <w:r w:rsidR="00FB2A6A">
        <w:rPr>
          <w:rFonts w:asciiTheme="minorHAnsi" w:hAnsiTheme="minorHAnsi" w:cstheme="minorHAnsi"/>
          <w:color w:val="222222"/>
        </w:rPr>
        <w:t>,</w:t>
      </w:r>
      <w:r w:rsidR="000A156E" w:rsidRPr="00B64FD1">
        <w:rPr>
          <w:rFonts w:asciiTheme="minorHAnsi" w:hAnsiTheme="minorHAnsi" w:cstheme="minorHAnsi"/>
          <w:color w:val="222222"/>
        </w:rPr>
        <w:t> </w:t>
      </w:r>
      <w:r w:rsidR="000A156E" w:rsidRPr="00B64FD1">
        <w:rPr>
          <w:rFonts w:asciiTheme="minorHAnsi" w:hAnsiTheme="minorHAnsi" w:cstheme="minorHAnsi"/>
        </w:rPr>
        <w:t>investment in oil production</w:t>
      </w:r>
      <w:r w:rsidR="000A156E" w:rsidRPr="00B64FD1">
        <w:rPr>
          <w:rFonts w:asciiTheme="minorHAnsi" w:hAnsiTheme="minorHAnsi" w:cstheme="minorHAnsi"/>
          <w:color w:val="222222"/>
        </w:rPr>
        <w:t> fell by about 40% between 2014 and 2018.</w:t>
      </w:r>
      <w:r w:rsidR="000A156E">
        <w:rPr>
          <w:rStyle w:val="EndnoteReference"/>
          <w:rFonts w:cs="Calibri"/>
        </w:rPr>
        <w:endnoteReference w:id="9"/>
      </w:r>
    </w:p>
    <w:p w:rsidR="000A156E" w:rsidRPr="00FB56C2" w:rsidRDefault="00E9428D" w:rsidP="00B6742E">
      <w:pPr>
        <w:spacing w:before="120" w:after="120"/>
        <w:jc w:val="both"/>
        <w:rPr>
          <w:rFonts w:cs="Calibri"/>
          <w:color w:val="222222"/>
          <w:shd w:val="clear" w:color="auto" w:fill="FFFFFF"/>
        </w:rPr>
      </w:pPr>
      <w:r>
        <w:rPr>
          <w:rFonts w:cs="Calibri"/>
          <w:color w:val="222222"/>
          <w:shd w:val="clear" w:color="auto" w:fill="FFFFFF"/>
        </w:rPr>
        <w:t>In late 2018</w:t>
      </w:r>
      <w:r w:rsidR="000A156E">
        <w:rPr>
          <w:rFonts w:cs="Calibri"/>
          <w:color w:val="222222"/>
          <w:shd w:val="clear" w:color="auto" w:fill="FFFFFF"/>
        </w:rPr>
        <w:t xml:space="preserve">, </w:t>
      </w:r>
      <w:r w:rsidR="000A156E" w:rsidRPr="00FB56C2">
        <w:rPr>
          <w:rFonts w:cs="Calibri"/>
          <w:color w:val="222222"/>
          <w:shd w:val="clear" w:color="auto" w:fill="FFFFFF"/>
        </w:rPr>
        <w:t xml:space="preserve">a </w:t>
      </w:r>
      <w:r w:rsidR="00A12C63">
        <w:rPr>
          <w:rFonts w:cs="Calibri"/>
          <w:color w:val="222222"/>
          <w:shd w:val="clear" w:color="auto" w:fill="FFFFFF"/>
        </w:rPr>
        <w:t>combination</w:t>
      </w:r>
      <w:r w:rsidR="000A156E" w:rsidRPr="00FB56C2">
        <w:rPr>
          <w:rFonts w:cs="Calibri"/>
          <w:color w:val="222222"/>
          <w:shd w:val="clear" w:color="auto" w:fill="FFFFFF"/>
        </w:rPr>
        <w:t xml:space="preserve"> of pipeline constraints, refinery closures, and falling international oil prices </w:t>
      </w:r>
      <w:r w:rsidR="000A156E">
        <w:rPr>
          <w:rFonts w:cs="Calibri"/>
          <w:color w:val="222222"/>
          <w:shd w:val="clear" w:color="auto" w:fill="FFFFFF"/>
        </w:rPr>
        <w:t>threatened</w:t>
      </w:r>
      <w:r w:rsidR="009E7351">
        <w:rPr>
          <w:rFonts w:cs="Calibri"/>
          <w:color w:val="222222"/>
          <w:shd w:val="clear" w:color="auto" w:fill="FFFFFF"/>
        </w:rPr>
        <w:t xml:space="preserve"> </w:t>
      </w:r>
      <w:r w:rsidR="000A156E">
        <w:rPr>
          <w:rFonts w:cs="Calibri"/>
          <w:color w:val="222222"/>
          <w:shd w:val="clear" w:color="auto" w:fill="FFFFFF"/>
        </w:rPr>
        <w:t>the viability</w:t>
      </w:r>
      <w:r w:rsidR="009E7351">
        <w:rPr>
          <w:rFonts w:cs="Calibri"/>
          <w:color w:val="222222"/>
          <w:shd w:val="clear" w:color="auto" w:fill="FFFFFF"/>
        </w:rPr>
        <w:t xml:space="preserve"> </w:t>
      </w:r>
      <w:r w:rsidR="000A156E">
        <w:rPr>
          <w:rFonts w:cs="Calibri"/>
          <w:color w:val="222222"/>
          <w:shd w:val="clear" w:color="auto" w:fill="FFFFFF"/>
        </w:rPr>
        <w:t xml:space="preserve">of </w:t>
      </w:r>
      <w:r w:rsidR="000A156E" w:rsidRPr="00FB56C2">
        <w:rPr>
          <w:rFonts w:cs="Calibri"/>
          <w:color w:val="222222"/>
          <w:shd w:val="clear" w:color="auto" w:fill="FFFFFF"/>
        </w:rPr>
        <w:t xml:space="preserve">the provincial energy sector. </w:t>
      </w:r>
      <w:r>
        <w:rPr>
          <w:rFonts w:cs="Calibri"/>
          <w:color w:val="222222"/>
          <w:shd w:val="clear" w:color="auto" w:fill="FFFFFF"/>
        </w:rPr>
        <w:t>That</w:t>
      </w:r>
      <w:r w:rsidR="000A156E" w:rsidRPr="00FB56C2">
        <w:rPr>
          <w:rFonts w:cs="Calibri"/>
          <w:color w:val="222222"/>
          <w:shd w:val="clear" w:color="auto" w:fill="FFFFFF"/>
        </w:rPr>
        <w:t xml:space="preserve"> November, the price of Western Canada Select (WCS), Alberta’s benchmark bitumen crude, averaged just $18 USD per barrel </w:t>
      </w:r>
      <w:r w:rsidR="009A024C">
        <w:rPr>
          <w:rFonts w:cs="Calibri"/>
          <w:color w:val="222222"/>
          <w:shd w:val="clear" w:color="auto" w:fill="FFFFFF"/>
        </w:rPr>
        <w:t>over</w:t>
      </w:r>
      <w:r w:rsidR="009E7351">
        <w:rPr>
          <w:rFonts w:cs="Calibri"/>
          <w:color w:val="222222"/>
          <w:shd w:val="clear" w:color="auto" w:fill="FFFFFF"/>
        </w:rPr>
        <w:t xml:space="preserve"> </w:t>
      </w:r>
      <w:r w:rsidR="000A156E">
        <w:rPr>
          <w:rFonts w:cs="Calibri"/>
          <w:color w:val="222222"/>
          <w:shd w:val="clear" w:color="auto" w:fill="FFFFFF"/>
        </w:rPr>
        <w:t xml:space="preserve">the entire </w:t>
      </w:r>
      <w:r w:rsidR="000A156E" w:rsidRPr="00FB56C2">
        <w:rPr>
          <w:rFonts w:cs="Calibri"/>
          <w:color w:val="222222"/>
          <w:shd w:val="clear" w:color="auto" w:fill="FFFFFF"/>
        </w:rPr>
        <w:t>month</w:t>
      </w:r>
      <w:r w:rsidR="00A35692">
        <w:rPr>
          <w:rFonts w:cs="Calibri"/>
          <w:color w:val="222222"/>
          <w:shd w:val="clear" w:color="auto" w:fill="FFFFFF"/>
        </w:rPr>
        <w:t>, far below the cost of production</w:t>
      </w:r>
      <w:r w:rsidR="000A156E" w:rsidRPr="00FB56C2">
        <w:rPr>
          <w:rFonts w:cs="Calibri"/>
          <w:color w:val="222222"/>
          <w:shd w:val="clear" w:color="auto" w:fill="FFFFFF"/>
        </w:rPr>
        <w:t>.</w:t>
      </w:r>
    </w:p>
    <w:p w:rsidR="000A156E" w:rsidRPr="00FB56C2" w:rsidRDefault="000A156E" w:rsidP="00B6742E">
      <w:pPr>
        <w:spacing w:before="120" w:after="120"/>
        <w:jc w:val="both"/>
        <w:rPr>
          <w:rFonts w:cs="Calibri"/>
          <w:color w:val="222222"/>
          <w:shd w:val="clear" w:color="auto" w:fill="FFFFFF"/>
        </w:rPr>
      </w:pPr>
      <w:r>
        <w:rPr>
          <w:rFonts w:cs="Calibri"/>
          <w:color w:val="222222"/>
          <w:shd w:val="clear" w:color="auto" w:fill="FFFFFF"/>
        </w:rPr>
        <w:t>Attempting to limit job losses and bankruptcies</w:t>
      </w:r>
      <w:r w:rsidRPr="00FB56C2">
        <w:rPr>
          <w:rFonts w:cs="Calibri"/>
          <w:color w:val="222222"/>
          <w:shd w:val="clear" w:color="auto" w:fill="FFFFFF"/>
        </w:rPr>
        <w:t>, the Government of Alberta placed an overall cap (curtailment) on oil production</w:t>
      </w:r>
      <w:r>
        <w:rPr>
          <w:rFonts w:cs="Calibri"/>
          <w:color w:val="222222"/>
          <w:shd w:val="clear" w:color="auto" w:fill="FFFFFF"/>
        </w:rPr>
        <w:t xml:space="preserve"> in the province</w:t>
      </w:r>
      <w:r w:rsidRPr="00FB56C2">
        <w:rPr>
          <w:rFonts w:cs="Calibri"/>
          <w:color w:val="222222"/>
          <w:shd w:val="clear" w:color="auto" w:fill="FFFFFF"/>
        </w:rPr>
        <w:t xml:space="preserve">, effective January 2019. </w:t>
      </w:r>
      <w:r w:rsidR="00B46691">
        <w:rPr>
          <w:rFonts w:cs="Calibri"/>
          <w:color w:val="222222"/>
          <w:shd w:val="clear" w:color="auto" w:fill="FFFFFF"/>
        </w:rPr>
        <w:t>Initially</w:t>
      </w:r>
      <w:r w:rsidR="009E7351">
        <w:rPr>
          <w:rFonts w:cs="Calibri"/>
          <w:color w:val="222222"/>
          <w:shd w:val="clear" w:color="auto" w:fill="FFFFFF"/>
        </w:rPr>
        <w:t xml:space="preserve"> </w:t>
      </w:r>
      <w:r w:rsidR="00B46691">
        <w:rPr>
          <w:rFonts w:cs="Calibri"/>
          <w:color w:val="222222"/>
          <w:shd w:val="clear" w:color="auto" w:fill="FFFFFF"/>
        </w:rPr>
        <w:t>the policy</w:t>
      </w:r>
      <w:r w:rsidR="009E7351">
        <w:rPr>
          <w:rFonts w:cs="Calibri"/>
          <w:color w:val="222222"/>
          <w:shd w:val="clear" w:color="auto" w:fill="FFFFFF"/>
        </w:rPr>
        <w:t xml:space="preserve"> </w:t>
      </w:r>
      <w:r w:rsidR="00A12C63">
        <w:rPr>
          <w:rFonts w:cs="Calibri"/>
          <w:color w:val="222222"/>
          <w:shd w:val="clear" w:color="auto" w:fill="FFFFFF"/>
        </w:rPr>
        <w:t>raised</w:t>
      </w:r>
      <w:r w:rsidRPr="00FB56C2">
        <w:rPr>
          <w:rFonts w:cs="Calibri"/>
          <w:color w:val="222222"/>
          <w:shd w:val="clear" w:color="auto" w:fill="FFFFFF"/>
        </w:rPr>
        <w:t xml:space="preserve"> the </w:t>
      </w:r>
      <w:r>
        <w:rPr>
          <w:rFonts w:cs="Calibri"/>
          <w:color w:val="222222"/>
          <w:shd w:val="clear" w:color="auto" w:fill="FFFFFF"/>
        </w:rPr>
        <w:t>price of WCS, which touched $55 USD</w:t>
      </w:r>
      <w:r w:rsidRPr="00FB56C2">
        <w:rPr>
          <w:rFonts w:cs="Calibri"/>
          <w:color w:val="222222"/>
          <w:shd w:val="clear" w:color="auto" w:fill="FFFFFF"/>
        </w:rPr>
        <w:t xml:space="preserve"> per barrel </w:t>
      </w:r>
      <w:r>
        <w:rPr>
          <w:rFonts w:cs="Calibri"/>
          <w:color w:val="222222"/>
          <w:shd w:val="clear" w:color="auto" w:fill="FFFFFF"/>
        </w:rPr>
        <w:t xml:space="preserve">in April. Since then WCS has fallen along with </w:t>
      </w:r>
      <w:r w:rsidR="00110958">
        <w:rPr>
          <w:rFonts w:cs="Calibri"/>
          <w:color w:val="222222"/>
          <w:shd w:val="clear" w:color="auto" w:fill="FFFFFF"/>
        </w:rPr>
        <w:t xml:space="preserve">other </w:t>
      </w:r>
      <w:r>
        <w:rPr>
          <w:rFonts w:cs="Calibri"/>
          <w:color w:val="222222"/>
          <w:shd w:val="clear" w:color="auto" w:fill="FFFFFF"/>
        </w:rPr>
        <w:t xml:space="preserve">oil prices worldwide, as trade disruptions </w:t>
      </w:r>
      <w:r w:rsidR="00110958">
        <w:rPr>
          <w:rFonts w:cs="Calibri"/>
          <w:color w:val="222222"/>
          <w:shd w:val="clear" w:color="auto" w:fill="FFFFFF"/>
        </w:rPr>
        <w:t xml:space="preserve">and action on climate change – in countries other than Canada – </w:t>
      </w:r>
      <w:r>
        <w:rPr>
          <w:rFonts w:cs="Calibri"/>
          <w:color w:val="222222"/>
          <w:shd w:val="clear" w:color="auto" w:fill="FFFFFF"/>
        </w:rPr>
        <w:t>limit global oil demand growth</w:t>
      </w:r>
      <w:r w:rsidRPr="00FB56C2">
        <w:rPr>
          <w:rFonts w:cs="Calibri"/>
          <w:color w:val="222222"/>
          <w:shd w:val="clear" w:color="auto" w:fill="FFFFFF"/>
        </w:rPr>
        <w:t>.</w:t>
      </w:r>
      <w:r w:rsidR="009A7F8C">
        <w:rPr>
          <w:rStyle w:val="EndnoteReference"/>
          <w:rFonts w:cs="Calibri"/>
          <w:color w:val="222222"/>
          <w:shd w:val="clear" w:color="auto" w:fill="FFFFFF"/>
        </w:rPr>
        <w:endnoteReference w:id="10"/>
      </w:r>
      <w:r w:rsidR="00E9428D">
        <w:rPr>
          <w:rFonts w:cs="Calibri"/>
          <w:color w:val="222222"/>
          <w:shd w:val="clear" w:color="auto" w:fill="FFFFFF"/>
        </w:rPr>
        <w:t>At the time of writing, WCS was trading at about $39 USD, roughly $20 below the benchmark price of U.S. oil</w:t>
      </w:r>
      <w:r w:rsidR="00110958">
        <w:rPr>
          <w:rFonts w:cs="Calibri"/>
          <w:color w:val="222222"/>
          <w:shd w:val="clear" w:color="auto" w:fill="FFFFFF"/>
        </w:rPr>
        <w:t xml:space="preserve"> (WTI)</w:t>
      </w:r>
      <w:r w:rsidR="00E9428D">
        <w:rPr>
          <w:rFonts w:cs="Calibri"/>
          <w:color w:val="222222"/>
          <w:shd w:val="clear" w:color="auto" w:fill="FFFFFF"/>
        </w:rPr>
        <w:t xml:space="preserve">. </w:t>
      </w:r>
      <w:r w:rsidR="00875453">
        <w:rPr>
          <w:rFonts w:cs="Calibri"/>
          <w:color w:val="222222"/>
          <w:shd w:val="clear" w:color="auto" w:fill="FFFFFF"/>
        </w:rPr>
        <w:t xml:space="preserve">In November, OPEC </w:t>
      </w:r>
      <w:r w:rsidR="00901D05">
        <w:rPr>
          <w:rFonts w:cs="Calibri"/>
          <w:color w:val="222222"/>
          <w:shd w:val="clear" w:color="auto" w:fill="FFFFFF"/>
        </w:rPr>
        <w:t xml:space="preserve">(The Organization of Petroleum Exporting Countries) lowered its medium- and long-term oil demand </w:t>
      </w:r>
      <w:r w:rsidR="00875453">
        <w:rPr>
          <w:rFonts w:cs="Calibri"/>
          <w:color w:val="222222"/>
          <w:shd w:val="clear" w:color="auto" w:fill="FFFFFF"/>
        </w:rPr>
        <w:t>forecast</w:t>
      </w:r>
      <w:r w:rsidR="00901D05">
        <w:rPr>
          <w:rFonts w:cs="Calibri"/>
          <w:color w:val="222222"/>
          <w:shd w:val="clear" w:color="auto" w:fill="FFFFFF"/>
        </w:rPr>
        <w:t>s.</w:t>
      </w:r>
      <w:r w:rsidR="00901D05">
        <w:rPr>
          <w:rStyle w:val="EndnoteReference"/>
          <w:rFonts w:cs="Calibri"/>
          <w:color w:val="222222"/>
          <w:shd w:val="clear" w:color="auto" w:fill="FFFFFF"/>
        </w:rPr>
        <w:endnoteReference w:id="11"/>
      </w:r>
    </w:p>
    <w:p w:rsidR="000A156E" w:rsidRDefault="000A156E" w:rsidP="00B6742E">
      <w:pPr>
        <w:spacing w:before="120" w:after="120"/>
        <w:jc w:val="both"/>
        <w:rPr>
          <w:rFonts w:cs="Calibri"/>
          <w:color w:val="222222"/>
          <w:shd w:val="clear" w:color="auto" w:fill="FFFFFF"/>
        </w:rPr>
      </w:pPr>
      <w:r w:rsidRPr="00FB56C2">
        <w:rPr>
          <w:rFonts w:cs="Calibri"/>
          <w:color w:val="222222"/>
          <w:shd w:val="clear" w:color="auto" w:fill="FFFFFF"/>
        </w:rPr>
        <w:t xml:space="preserve">Despite the </w:t>
      </w:r>
      <w:r>
        <w:rPr>
          <w:rFonts w:cs="Calibri"/>
          <w:color w:val="222222"/>
          <w:shd w:val="clear" w:color="auto" w:fill="FFFFFF"/>
        </w:rPr>
        <w:t xml:space="preserve">WCS </w:t>
      </w:r>
      <w:r w:rsidRPr="00FB56C2">
        <w:rPr>
          <w:rFonts w:cs="Calibri"/>
          <w:color w:val="222222"/>
          <w:shd w:val="clear" w:color="auto" w:fill="FFFFFF"/>
        </w:rPr>
        <w:t xml:space="preserve">price hike, </w:t>
      </w:r>
      <w:r>
        <w:rPr>
          <w:rFonts w:cs="Calibri"/>
          <w:color w:val="222222"/>
          <w:shd w:val="clear" w:color="auto" w:fill="FFFFFF"/>
        </w:rPr>
        <w:t>Alberta’s</w:t>
      </w:r>
      <w:r w:rsidRPr="00FB56C2">
        <w:rPr>
          <w:rFonts w:cs="Calibri"/>
          <w:color w:val="222222"/>
          <w:shd w:val="clear" w:color="auto" w:fill="FFFFFF"/>
        </w:rPr>
        <w:t xml:space="preserve"> curtailment policy </w:t>
      </w:r>
      <w:r w:rsidR="00C310F2">
        <w:rPr>
          <w:rFonts w:cs="Calibri"/>
          <w:color w:val="222222"/>
          <w:shd w:val="clear" w:color="auto" w:fill="FFFFFF"/>
        </w:rPr>
        <w:t>remai</w:t>
      </w:r>
      <w:r w:rsidR="00E9428D">
        <w:rPr>
          <w:rFonts w:cs="Calibri"/>
          <w:color w:val="222222"/>
          <w:shd w:val="clear" w:color="auto" w:fill="FFFFFF"/>
        </w:rPr>
        <w:t>ns</w:t>
      </w:r>
      <w:r w:rsidR="009E7351">
        <w:rPr>
          <w:rFonts w:cs="Calibri"/>
          <w:color w:val="222222"/>
          <w:shd w:val="clear" w:color="auto" w:fill="FFFFFF"/>
        </w:rPr>
        <w:t xml:space="preserve"> </w:t>
      </w:r>
      <w:r>
        <w:rPr>
          <w:rFonts w:cs="Calibri"/>
          <w:color w:val="222222"/>
          <w:shd w:val="clear" w:color="auto" w:fill="FFFFFF"/>
        </w:rPr>
        <w:t xml:space="preserve">deeply </w:t>
      </w:r>
      <w:r w:rsidRPr="00FB56C2">
        <w:rPr>
          <w:rFonts w:cs="Calibri"/>
          <w:color w:val="222222"/>
          <w:shd w:val="clear" w:color="auto" w:fill="FFFFFF"/>
        </w:rPr>
        <w:t>unpopular with</w:t>
      </w:r>
      <w:r w:rsidR="009E7351">
        <w:rPr>
          <w:rFonts w:cs="Calibri"/>
          <w:color w:val="222222"/>
          <w:shd w:val="clear" w:color="auto" w:fill="FFFFFF"/>
        </w:rPr>
        <w:t xml:space="preserve"> </w:t>
      </w:r>
      <w:r w:rsidRPr="00FB56C2">
        <w:rPr>
          <w:rFonts w:cs="Calibri"/>
          <w:color w:val="222222"/>
          <w:shd w:val="clear" w:color="auto" w:fill="FFFFFF"/>
        </w:rPr>
        <w:t>the province’s lar</w:t>
      </w:r>
      <w:r>
        <w:rPr>
          <w:rFonts w:cs="Calibri"/>
          <w:color w:val="222222"/>
          <w:shd w:val="clear" w:color="auto" w:fill="FFFFFF"/>
        </w:rPr>
        <w:t>gest oil producers. Bec</w:t>
      </w:r>
      <w:r w:rsidRPr="00FB56C2">
        <w:rPr>
          <w:rFonts w:cs="Calibri"/>
          <w:color w:val="222222"/>
          <w:shd w:val="clear" w:color="auto" w:fill="FFFFFF"/>
        </w:rPr>
        <w:t>ause integrated firms with their own refiner</w:t>
      </w:r>
      <w:r>
        <w:rPr>
          <w:rFonts w:cs="Calibri"/>
          <w:color w:val="222222"/>
          <w:shd w:val="clear" w:color="auto" w:fill="FFFFFF"/>
        </w:rPr>
        <w:t>ie</w:t>
      </w:r>
      <w:r w:rsidRPr="00FB56C2">
        <w:rPr>
          <w:rFonts w:cs="Calibri"/>
          <w:color w:val="222222"/>
          <w:shd w:val="clear" w:color="auto" w:fill="FFFFFF"/>
        </w:rPr>
        <w:t xml:space="preserve">s can still make money when crude prices are low, </w:t>
      </w:r>
      <w:r>
        <w:rPr>
          <w:rFonts w:cs="Calibri"/>
          <w:color w:val="222222"/>
          <w:shd w:val="clear" w:color="auto" w:fill="FFFFFF"/>
        </w:rPr>
        <w:t>these</w:t>
      </w:r>
      <w:r w:rsidRPr="00FB56C2">
        <w:rPr>
          <w:rFonts w:cs="Calibri"/>
          <w:color w:val="222222"/>
          <w:shd w:val="clear" w:color="auto" w:fill="FFFFFF"/>
        </w:rPr>
        <w:t xml:space="preserve"> firms </w:t>
      </w:r>
      <w:r>
        <w:rPr>
          <w:rFonts w:cs="Calibri"/>
          <w:color w:val="222222"/>
          <w:shd w:val="clear" w:color="auto" w:fill="FFFFFF"/>
        </w:rPr>
        <w:t>tend to oppose government intervention</w:t>
      </w:r>
      <w:r w:rsidRPr="00FB56C2">
        <w:rPr>
          <w:rFonts w:cs="Calibri"/>
          <w:color w:val="222222"/>
          <w:shd w:val="clear" w:color="auto" w:fill="FFFFFF"/>
        </w:rPr>
        <w:t>.</w:t>
      </w:r>
      <w:r w:rsidR="009E7351">
        <w:rPr>
          <w:rFonts w:cs="Calibri"/>
          <w:color w:val="222222"/>
          <w:shd w:val="clear" w:color="auto" w:fill="FFFFFF"/>
        </w:rPr>
        <w:t xml:space="preserve"> </w:t>
      </w:r>
      <w:r w:rsidR="00B46691">
        <w:rPr>
          <w:rFonts w:cs="Calibri"/>
          <w:color w:val="222222"/>
          <w:shd w:val="clear" w:color="auto" w:fill="FFFFFF"/>
        </w:rPr>
        <w:t>Regardless</w:t>
      </w:r>
      <w:r w:rsidR="00C310F2">
        <w:rPr>
          <w:rFonts w:cs="Calibri"/>
          <w:color w:val="222222"/>
          <w:shd w:val="clear" w:color="auto" w:fill="FFFFFF"/>
        </w:rPr>
        <w:t>, although curtailment remains on the books,</w:t>
      </w:r>
      <w:r w:rsidR="00875453">
        <w:rPr>
          <w:rFonts w:cs="Calibri"/>
          <w:color w:val="222222"/>
          <w:shd w:val="clear" w:color="auto" w:fill="FFFFFF"/>
        </w:rPr>
        <w:t xml:space="preserve"> firms can</w:t>
      </w:r>
      <w:r w:rsidR="00C310F2">
        <w:rPr>
          <w:rFonts w:cs="Calibri"/>
          <w:color w:val="222222"/>
          <w:shd w:val="clear" w:color="auto" w:fill="FFFFFF"/>
        </w:rPr>
        <w:t xml:space="preserve"> now increase production as they see fit, providing they ship </w:t>
      </w:r>
      <w:r w:rsidR="00875453">
        <w:rPr>
          <w:rFonts w:cs="Calibri"/>
          <w:color w:val="222222"/>
          <w:shd w:val="clear" w:color="auto" w:fill="FFFFFF"/>
        </w:rPr>
        <w:t>extra barrels by rail and not by pipeline.</w:t>
      </w:r>
      <w:r w:rsidR="00875453">
        <w:rPr>
          <w:rStyle w:val="EndnoteReference"/>
          <w:rFonts w:cs="Calibri"/>
          <w:color w:val="222222"/>
          <w:shd w:val="clear" w:color="auto" w:fill="FFFFFF"/>
        </w:rPr>
        <w:endnoteReference w:id="12"/>
      </w:r>
    </w:p>
    <w:p w:rsidR="000A156E" w:rsidRPr="00AC35B6" w:rsidRDefault="000A156E" w:rsidP="00B6742E">
      <w:pPr>
        <w:spacing w:before="120" w:after="120"/>
        <w:jc w:val="both"/>
      </w:pPr>
      <w:r>
        <w:rPr>
          <w:rFonts w:cs="Calibri"/>
          <w:color w:val="222222"/>
          <w:shd w:val="clear" w:color="auto" w:fill="FFFFFF"/>
        </w:rPr>
        <w:t xml:space="preserve">While oil by rail continues to expand, industry is still pinning its hopes on the completion of any two of the three export pipeline projects currently in advanced stages: Trans Mountain Expansion (TMX); Keystone XL; and the Line 3 replacement project. Of these, Line 3 is most likely to first come on stream – although it may </w:t>
      </w:r>
      <w:r w:rsidR="009A024C">
        <w:rPr>
          <w:rFonts w:cs="Calibri"/>
          <w:color w:val="222222"/>
          <w:shd w:val="clear" w:color="auto" w:fill="FFFFFF"/>
        </w:rPr>
        <w:t xml:space="preserve">yet </w:t>
      </w:r>
      <w:r>
        <w:rPr>
          <w:rFonts w:cs="Calibri"/>
          <w:color w:val="222222"/>
          <w:shd w:val="clear" w:color="auto" w:fill="FFFFFF"/>
        </w:rPr>
        <w:t xml:space="preserve">again be delayed in Minnesota. </w:t>
      </w:r>
      <w:r w:rsidR="00B46691">
        <w:rPr>
          <w:rFonts w:cs="Calibri"/>
          <w:color w:val="222222"/>
          <w:shd w:val="clear" w:color="auto" w:fill="FFFFFF"/>
        </w:rPr>
        <w:t>In December, Enbridge</w:t>
      </w:r>
      <w:r w:rsidR="00734E1C">
        <w:rPr>
          <w:rFonts w:cs="Calibri"/>
          <w:color w:val="222222"/>
          <w:shd w:val="clear" w:color="auto" w:fill="FFFFFF"/>
        </w:rPr>
        <w:t xml:space="preserve"> completed the $5.3 billion Canadian portion of Line 3 </w:t>
      </w:r>
      <w:r w:rsidR="00734E1C">
        <w:rPr>
          <w:rFonts w:cs="Calibri"/>
          <w:color w:val="222222"/>
          <w:shd w:val="clear" w:color="auto" w:fill="FFFFFF"/>
        </w:rPr>
        <w:lastRenderedPageBreak/>
        <w:t>and began commercial operations</w:t>
      </w:r>
      <w:r w:rsidR="009E7351">
        <w:rPr>
          <w:rFonts w:cs="Calibri"/>
          <w:color w:val="222222"/>
          <w:shd w:val="clear" w:color="auto" w:fill="FFFFFF"/>
        </w:rPr>
        <w:t xml:space="preserve"> </w:t>
      </w:r>
      <w:r w:rsidR="00734E1C">
        <w:rPr>
          <w:rFonts w:cs="Calibri"/>
          <w:color w:val="222222"/>
          <w:shd w:val="clear" w:color="auto" w:fill="FFFFFF"/>
        </w:rPr>
        <w:t xml:space="preserve">between Alberta and Manitoba. </w:t>
      </w:r>
      <w:r w:rsidR="00901D05">
        <w:rPr>
          <w:rFonts w:cs="Calibri"/>
          <w:color w:val="222222"/>
          <w:shd w:val="clear" w:color="auto" w:fill="FFFFFF"/>
        </w:rPr>
        <w:t>Regarding TMX, in September</w:t>
      </w:r>
      <w:r>
        <w:rPr>
          <w:rFonts w:cs="Calibri"/>
          <w:color w:val="222222"/>
          <w:shd w:val="clear" w:color="auto" w:fill="FFFFFF"/>
        </w:rPr>
        <w:t xml:space="preserve"> the Federal Court of Appeal adjudicated on 12 further appeals of </w:t>
      </w:r>
      <w:r w:rsidR="00901D05">
        <w:rPr>
          <w:rFonts w:cs="Calibri"/>
          <w:color w:val="222222"/>
          <w:shd w:val="clear" w:color="auto" w:fill="FFFFFF"/>
        </w:rPr>
        <w:t>the project, dismissing</w:t>
      </w:r>
      <w:r>
        <w:rPr>
          <w:rFonts w:cs="Calibri"/>
          <w:color w:val="222222"/>
          <w:shd w:val="clear" w:color="auto" w:fill="FFFFFF"/>
        </w:rPr>
        <w:t xml:space="preserve"> six outright, while agreeing to hear the other six</w:t>
      </w:r>
      <w:r w:rsidR="009E7351">
        <w:rPr>
          <w:rFonts w:cs="Calibri"/>
          <w:color w:val="222222"/>
          <w:shd w:val="clear" w:color="auto" w:fill="FFFFFF"/>
        </w:rPr>
        <w:t xml:space="preserve"> </w:t>
      </w:r>
      <w:r>
        <w:rPr>
          <w:rFonts w:cs="Calibri"/>
          <w:color w:val="222222"/>
          <w:shd w:val="clear" w:color="auto" w:fill="FFFFFF"/>
        </w:rPr>
        <w:t>simultaneously and on an expedited basis.</w:t>
      </w:r>
      <w:r>
        <w:rPr>
          <w:rStyle w:val="EndnoteReference"/>
          <w:rFonts w:cs="Calibri"/>
          <w:color w:val="222222"/>
          <w:shd w:val="clear" w:color="auto" w:fill="FFFFFF"/>
        </w:rPr>
        <w:endnoteReference w:id="13"/>
      </w:r>
      <w:r w:rsidR="006306B5">
        <w:rPr>
          <w:rFonts w:cs="Calibri"/>
          <w:color w:val="222222"/>
          <w:shd w:val="clear" w:color="auto" w:fill="FFFFFF"/>
        </w:rPr>
        <w:t xml:space="preserve">In December, anticipating a positive outcome to the remaining court challenges, Trans Mountain began </w:t>
      </w:r>
      <w:r w:rsidR="00110958">
        <w:rPr>
          <w:rFonts w:cs="Calibri"/>
          <w:color w:val="222222"/>
          <w:shd w:val="clear" w:color="auto" w:fill="FFFFFF"/>
        </w:rPr>
        <w:t>putting</w:t>
      </w:r>
      <w:r w:rsidR="006306B5">
        <w:rPr>
          <w:rFonts w:cs="Calibri"/>
          <w:color w:val="222222"/>
          <w:shd w:val="clear" w:color="auto" w:fill="FFFFFF"/>
        </w:rPr>
        <w:t xml:space="preserve"> pipe in </w:t>
      </w:r>
      <w:r w:rsidR="00110958">
        <w:rPr>
          <w:rFonts w:cs="Calibri"/>
          <w:color w:val="222222"/>
          <w:shd w:val="clear" w:color="auto" w:fill="FFFFFF"/>
        </w:rPr>
        <w:t>the ground</w:t>
      </w:r>
      <w:r w:rsidR="006306B5">
        <w:rPr>
          <w:rFonts w:cs="Calibri"/>
          <w:color w:val="222222"/>
          <w:shd w:val="clear" w:color="auto" w:fill="FFFFFF"/>
        </w:rPr>
        <w:t>.</w:t>
      </w:r>
      <w:r w:rsidR="009A024C">
        <w:rPr>
          <w:rStyle w:val="EndnoteReference"/>
          <w:rFonts w:cs="Calibri"/>
          <w:color w:val="222222"/>
          <w:shd w:val="clear" w:color="auto" w:fill="FFFFFF"/>
        </w:rPr>
        <w:endnoteReference w:id="14"/>
      </w:r>
      <w:r w:rsidRPr="00043A80">
        <w:t xml:space="preserve">The project </w:t>
      </w:r>
      <w:r>
        <w:t>twin</w:t>
      </w:r>
      <w:r w:rsidR="006306B5">
        <w:t>s</w:t>
      </w:r>
      <w:r w:rsidR="009E7351">
        <w:t xml:space="preserve"> </w:t>
      </w:r>
      <w:r>
        <w:t xml:space="preserve">an </w:t>
      </w:r>
      <w:r w:rsidRPr="00043A80">
        <w:t xml:space="preserve">aging pipeline from Alberta to </w:t>
      </w:r>
      <w:r>
        <w:t>tidewater in Burnaby B.C.</w:t>
      </w:r>
      <w:r w:rsidRPr="00043A80">
        <w:t xml:space="preserve">, </w:t>
      </w:r>
      <w:r>
        <w:t>almost tripling capacity from 30</w:t>
      </w:r>
      <w:r w:rsidRPr="00043A80">
        <w:t xml:space="preserve">0,000 </w:t>
      </w:r>
      <w:r>
        <w:t>barrels per day (</w:t>
      </w:r>
      <w:r w:rsidRPr="00043A80">
        <w:t>bpd</w:t>
      </w:r>
      <w:r>
        <w:t>)</w:t>
      </w:r>
      <w:r w:rsidRPr="00043A80">
        <w:t xml:space="preserve"> to </w:t>
      </w:r>
      <w:r>
        <w:t>89</w:t>
      </w:r>
      <w:r w:rsidRPr="00043A80">
        <w:t>0,000 bpd.</w:t>
      </w:r>
      <w:r w:rsidRPr="00043A80">
        <w:rPr>
          <w:vertAlign w:val="superscript"/>
        </w:rPr>
        <w:endnoteReference w:id="15"/>
      </w:r>
    </w:p>
    <w:p w:rsidR="000A156E" w:rsidRPr="0007392A" w:rsidRDefault="000A156E" w:rsidP="00B6742E">
      <w:pPr>
        <w:spacing w:before="240" w:after="120"/>
        <w:rPr>
          <w:b/>
          <w:lang w:eastAsia="en-CA"/>
        </w:rPr>
      </w:pPr>
      <w:r w:rsidRPr="0007392A">
        <w:rPr>
          <w:b/>
          <w:lang w:eastAsia="en-CA"/>
        </w:rPr>
        <w:t>Other goods-producing industries</w:t>
      </w:r>
    </w:p>
    <w:p w:rsidR="000A156E" w:rsidRDefault="000A156E" w:rsidP="00B6742E">
      <w:pPr>
        <w:tabs>
          <w:tab w:val="left" w:pos="3075"/>
        </w:tabs>
        <w:spacing w:before="120" w:after="120"/>
        <w:jc w:val="both"/>
        <w:rPr>
          <w:rFonts w:cs="Calibri"/>
          <w:lang w:eastAsia="en-CA"/>
        </w:rPr>
      </w:pPr>
      <w:r>
        <w:rPr>
          <w:rFonts w:cs="Calibri"/>
          <w:lang w:eastAsia="en-CA"/>
        </w:rPr>
        <w:t xml:space="preserve">Looking at Alberta’s other goods-producing industries, </w:t>
      </w:r>
      <w:r w:rsidRPr="00155FCF">
        <w:rPr>
          <w:rFonts w:cs="Calibri"/>
          <w:b/>
          <w:lang w:eastAsia="en-CA"/>
        </w:rPr>
        <w:t>construction</w:t>
      </w:r>
      <w:r>
        <w:rPr>
          <w:rFonts w:cs="Calibri"/>
          <w:lang w:eastAsia="en-CA"/>
        </w:rPr>
        <w:t xml:space="preserve"> posted a </w:t>
      </w:r>
      <w:r w:rsidR="00FD4CDD">
        <w:rPr>
          <w:rFonts w:cs="Calibri"/>
          <w:lang w:eastAsia="en-CA"/>
        </w:rPr>
        <w:t>heavy</w:t>
      </w:r>
      <w:r>
        <w:rPr>
          <w:rFonts w:cs="Calibri"/>
          <w:lang w:eastAsia="en-CA"/>
        </w:rPr>
        <w:t xml:space="preserve"> year over year j</w:t>
      </w:r>
      <w:r w:rsidR="00810226">
        <w:rPr>
          <w:rFonts w:cs="Calibri"/>
          <w:lang w:eastAsia="en-CA"/>
        </w:rPr>
        <w:t xml:space="preserve">ob loss in </w:t>
      </w:r>
      <w:r w:rsidR="006306B5">
        <w:rPr>
          <w:rFonts w:cs="Calibri"/>
          <w:lang w:eastAsia="en-CA"/>
        </w:rPr>
        <w:t>November</w:t>
      </w:r>
      <w:r w:rsidR="009E7351">
        <w:rPr>
          <w:rFonts w:cs="Calibri"/>
          <w:lang w:eastAsia="en-CA"/>
        </w:rPr>
        <w:t xml:space="preserve"> </w:t>
      </w:r>
      <w:r w:rsidR="00FD4CDD">
        <w:rPr>
          <w:rFonts w:cs="Calibri"/>
          <w:lang w:eastAsia="en-CA"/>
        </w:rPr>
        <w:t>(-</w:t>
      </w:r>
      <w:r w:rsidR="006306B5">
        <w:rPr>
          <w:rFonts w:cs="Calibri"/>
          <w:lang w:eastAsia="en-CA"/>
        </w:rPr>
        <w:t>5</w:t>
      </w:r>
      <w:r w:rsidR="00FD4CDD">
        <w:rPr>
          <w:rFonts w:cs="Calibri"/>
          <w:lang w:eastAsia="en-CA"/>
        </w:rPr>
        <w:t>.</w:t>
      </w:r>
      <w:r w:rsidR="006306B5">
        <w:rPr>
          <w:rFonts w:cs="Calibri"/>
          <w:lang w:eastAsia="en-CA"/>
        </w:rPr>
        <w:t>3</w:t>
      </w:r>
      <w:r w:rsidR="00810226" w:rsidRPr="005139D9">
        <w:rPr>
          <w:rFonts w:cs="Calibri"/>
          <w:lang w:eastAsia="en-CA"/>
        </w:rPr>
        <w:t xml:space="preserve">%). </w:t>
      </w:r>
      <w:r w:rsidR="00810226" w:rsidRPr="00AE0A90">
        <w:rPr>
          <w:rFonts w:cs="Calibri"/>
          <w:lang w:eastAsia="en-CA"/>
        </w:rPr>
        <w:t xml:space="preserve">In </w:t>
      </w:r>
      <w:r w:rsidR="005139D9" w:rsidRPr="00AE0A90">
        <w:rPr>
          <w:rFonts w:cs="Calibri"/>
          <w:lang w:eastAsia="en-CA"/>
        </w:rPr>
        <w:t>October</w:t>
      </w:r>
      <w:r w:rsidRPr="00AE0A90">
        <w:rPr>
          <w:rFonts w:cs="Calibri"/>
          <w:lang w:eastAsia="en-CA"/>
        </w:rPr>
        <w:t xml:space="preserve"> (the most recent data available), the </w:t>
      </w:r>
      <w:r w:rsidR="00FD4CDD" w:rsidRPr="00AE0A90">
        <w:rPr>
          <w:rFonts w:cs="Calibri"/>
          <w:lang w:eastAsia="en-CA"/>
        </w:rPr>
        <w:t>seasonally-adjusted</w:t>
      </w:r>
      <w:r w:rsidRPr="00AE0A90">
        <w:rPr>
          <w:rFonts w:cs="Calibri"/>
          <w:lang w:eastAsia="en-CA"/>
        </w:rPr>
        <w:t xml:space="preserve"> value of building permits issued in the province – including both new product and renovations – </w:t>
      </w:r>
      <w:r w:rsidR="00AE0A90" w:rsidRPr="00AE0A90">
        <w:rPr>
          <w:rFonts w:cs="Calibri"/>
          <w:lang w:eastAsia="en-CA"/>
        </w:rPr>
        <w:t>declined, following three</w:t>
      </w:r>
      <w:r w:rsidR="00FD4CDD" w:rsidRPr="00AE0A90">
        <w:rPr>
          <w:rFonts w:cs="Calibri"/>
          <w:lang w:eastAsia="en-CA"/>
        </w:rPr>
        <w:t xml:space="preserve"> month</w:t>
      </w:r>
      <w:r w:rsidR="00AE0A90" w:rsidRPr="00AE0A90">
        <w:rPr>
          <w:rFonts w:cs="Calibri"/>
          <w:lang w:eastAsia="en-CA"/>
        </w:rPr>
        <w:t>ly gains</w:t>
      </w:r>
      <w:r w:rsidR="00FD4CDD" w:rsidRPr="00AE0A90">
        <w:rPr>
          <w:rFonts w:cs="Calibri"/>
          <w:lang w:eastAsia="en-CA"/>
        </w:rPr>
        <w:t>. At $</w:t>
      </w:r>
      <w:r w:rsidR="00AE0A90" w:rsidRPr="00AE0A90">
        <w:rPr>
          <w:rFonts w:cs="Calibri"/>
          <w:lang w:eastAsia="en-CA"/>
        </w:rPr>
        <w:t>960m</w:t>
      </w:r>
      <w:r w:rsidR="00FD4CDD" w:rsidRPr="00AE0A90">
        <w:rPr>
          <w:rFonts w:cs="Calibri"/>
          <w:lang w:eastAsia="en-CA"/>
        </w:rPr>
        <w:t xml:space="preserve">illion, building permits </w:t>
      </w:r>
      <w:r w:rsidR="00AE0A90" w:rsidRPr="00AE0A90">
        <w:rPr>
          <w:rFonts w:cs="Calibri"/>
          <w:lang w:eastAsia="en-CA"/>
        </w:rPr>
        <w:t>fell</w:t>
      </w:r>
      <w:r w:rsidR="009E7351">
        <w:rPr>
          <w:rFonts w:cs="Calibri"/>
          <w:lang w:eastAsia="en-CA"/>
        </w:rPr>
        <w:t xml:space="preserve"> </w:t>
      </w:r>
      <w:r w:rsidRPr="00AE0A90">
        <w:rPr>
          <w:rFonts w:cs="Calibri"/>
          <w:lang w:eastAsia="en-CA"/>
        </w:rPr>
        <w:t xml:space="preserve">by </w:t>
      </w:r>
      <w:r w:rsidR="00AE0A90" w:rsidRPr="00AE0A90">
        <w:rPr>
          <w:rFonts w:cs="Calibri"/>
          <w:lang w:eastAsia="en-CA"/>
        </w:rPr>
        <w:t>6.6</w:t>
      </w:r>
      <w:r w:rsidR="00810226" w:rsidRPr="00AE0A90">
        <w:rPr>
          <w:rFonts w:cs="Calibri"/>
          <w:lang w:eastAsia="en-CA"/>
        </w:rPr>
        <w:t xml:space="preserve">% compared to </w:t>
      </w:r>
      <w:r w:rsidR="00FD4CDD" w:rsidRPr="00AE0A90">
        <w:rPr>
          <w:rFonts w:cs="Calibri"/>
          <w:lang w:eastAsia="en-CA"/>
        </w:rPr>
        <w:t>September</w:t>
      </w:r>
      <w:r w:rsidRPr="00AE0A90">
        <w:rPr>
          <w:rFonts w:cs="Calibri"/>
          <w:lang w:eastAsia="en-CA"/>
        </w:rPr>
        <w:t xml:space="preserve"> 2018.</w:t>
      </w:r>
      <w:r w:rsidRPr="005139D9">
        <w:rPr>
          <w:rStyle w:val="EndnoteReference"/>
          <w:rFonts w:cs="Calibri"/>
          <w:lang w:eastAsia="en-CA"/>
        </w:rPr>
        <w:endnoteReference w:id="16"/>
      </w:r>
      <w:bookmarkStart w:id="0" w:name="_Hlk532342720"/>
      <w:r w:rsidR="002B6CD8">
        <w:rPr>
          <w:rFonts w:cs="Calibri"/>
          <w:lang w:eastAsia="en-CA"/>
        </w:rPr>
        <w:t>T</w:t>
      </w:r>
      <w:r w:rsidRPr="009768BB">
        <w:rPr>
          <w:rFonts w:cs="Calibri"/>
          <w:lang w:eastAsia="en-CA"/>
        </w:rPr>
        <w:t>here</w:t>
      </w:r>
      <w:r>
        <w:rPr>
          <w:rFonts w:cs="Calibri"/>
          <w:lang w:eastAsia="en-CA"/>
        </w:rPr>
        <w:t xml:space="preserve"> have </w:t>
      </w:r>
      <w:r w:rsidR="002B6CD8">
        <w:rPr>
          <w:rFonts w:cs="Calibri"/>
          <w:lang w:eastAsia="en-CA"/>
        </w:rPr>
        <w:t xml:space="preserve">also </w:t>
      </w:r>
      <w:r>
        <w:rPr>
          <w:rFonts w:cs="Calibri"/>
          <w:lang w:eastAsia="en-CA"/>
        </w:rPr>
        <w:t>been troubling signs of residential overbuilding</w:t>
      </w:r>
      <w:r w:rsidR="004C5080">
        <w:rPr>
          <w:rFonts w:cs="Calibri"/>
          <w:lang w:eastAsia="en-CA"/>
        </w:rPr>
        <w:t xml:space="preserve"> in the province</w:t>
      </w:r>
      <w:r>
        <w:rPr>
          <w:rFonts w:cs="Calibri"/>
          <w:lang w:eastAsia="en-CA"/>
        </w:rPr>
        <w:t xml:space="preserve">. In </w:t>
      </w:r>
      <w:r w:rsidR="005139D9">
        <w:rPr>
          <w:rFonts w:cs="Calibri"/>
          <w:lang w:eastAsia="en-CA"/>
        </w:rPr>
        <w:t>October</w:t>
      </w:r>
      <w:r>
        <w:rPr>
          <w:rFonts w:cs="Calibri"/>
          <w:lang w:eastAsia="en-CA"/>
        </w:rPr>
        <w:t>, completed and sold – i.e. absorbed – new housing units in Alberta’s two major centres of Calga</w:t>
      </w:r>
      <w:r w:rsidR="00FD4CDD">
        <w:rPr>
          <w:rFonts w:cs="Calibri"/>
          <w:lang w:eastAsia="en-CA"/>
        </w:rPr>
        <w:t>ry and Edmonton accounted for 2</w:t>
      </w:r>
      <w:r w:rsidR="00DF3F2D">
        <w:rPr>
          <w:rFonts w:cs="Calibri"/>
          <w:lang w:eastAsia="en-CA"/>
        </w:rPr>
        <w:t>4</w:t>
      </w:r>
      <w:r>
        <w:rPr>
          <w:rFonts w:cs="Calibri"/>
          <w:lang w:eastAsia="en-CA"/>
        </w:rPr>
        <w:t xml:space="preserve">% of all large-city units absorbed nation-wide. At the same time, however, the two cities accounted for 35% of all large-city </w:t>
      </w:r>
      <w:r w:rsidRPr="00320F5A">
        <w:rPr>
          <w:rFonts w:cs="Calibri"/>
          <w:i/>
          <w:lang w:eastAsia="en-CA"/>
        </w:rPr>
        <w:t>unabsorbed</w:t>
      </w:r>
      <w:r>
        <w:rPr>
          <w:rFonts w:cs="Calibri"/>
          <w:lang w:eastAsia="en-CA"/>
        </w:rPr>
        <w:t xml:space="preserve"> (completed and unsold) units.</w:t>
      </w:r>
      <w:r>
        <w:rPr>
          <w:rStyle w:val="EndnoteReference"/>
          <w:rFonts w:cs="Calibri"/>
          <w:lang w:eastAsia="en-CA"/>
        </w:rPr>
        <w:endnoteReference w:id="17"/>
      </w:r>
      <w:bookmarkEnd w:id="0"/>
    </w:p>
    <w:p w:rsidR="004C5080" w:rsidRDefault="000A156E" w:rsidP="00B6742E">
      <w:pPr>
        <w:tabs>
          <w:tab w:val="left" w:pos="3075"/>
        </w:tabs>
        <w:spacing w:before="120" w:after="120"/>
        <w:jc w:val="both"/>
        <w:rPr>
          <w:rFonts w:cs="Calibri"/>
          <w:lang w:eastAsia="en-CA"/>
        </w:rPr>
      </w:pPr>
      <w:r>
        <w:rPr>
          <w:rFonts w:cs="Calibri"/>
          <w:lang w:eastAsia="en-CA"/>
        </w:rPr>
        <w:t xml:space="preserve">After a poor 2018, Alberta’s </w:t>
      </w:r>
      <w:r w:rsidRPr="00155FCF">
        <w:rPr>
          <w:rFonts w:cs="Calibri"/>
          <w:b/>
          <w:lang w:eastAsia="en-CA"/>
        </w:rPr>
        <w:t>agriculture</w:t>
      </w:r>
      <w:r>
        <w:rPr>
          <w:rFonts w:cs="Calibri"/>
          <w:lang w:eastAsia="en-CA"/>
        </w:rPr>
        <w:t xml:space="preserve"> industry had hoped for a </w:t>
      </w:r>
      <w:r w:rsidR="00CC13AC">
        <w:rPr>
          <w:rFonts w:cs="Calibri"/>
          <w:lang w:eastAsia="en-CA"/>
        </w:rPr>
        <w:t>recovery</w:t>
      </w:r>
      <w:r>
        <w:rPr>
          <w:rFonts w:cs="Calibri"/>
          <w:lang w:eastAsia="en-CA"/>
        </w:rPr>
        <w:t xml:space="preserve"> year in 2019. However, starting in March, </w:t>
      </w:r>
      <w:r w:rsidR="00EC7AB0">
        <w:rPr>
          <w:rFonts w:cs="Calibri"/>
          <w:lang w:eastAsia="en-CA"/>
        </w:rPr>
        <w:t xml:space="preserve">trade issues came to the fore, as </w:t>
      </w:r>
      <w:r>
        <w:rPr>
          <w:rFonts w:cs="Calibri"/>
          <w:lang w:eastAsia="en-CA"/>
        </w:rPr>
        <w:t>China systematically revoked all licences to import Canadian canola.</w:t>
      </w:r>
      <w:r>
        <w:rPr>
          <w:rStyle w:val="EndnoteReference"/>
          <w:rFonts w:cs="Calibri"/>
          <w:lang w:eastAsia="en-CA"/>
        </w:rPr>
        <w:endnoteReference w:id="18"/>
      </w:r>
      <w:r w:rsidR="00EC7AB0">
        <w:rPr>
          <w:rFonts w:cs="Calibri"/>
          <w:lang w:eastAsia="en-CA"/>
        </w:rPr>
        <w:t>The country then</w:t>
      </w:r>
      <w:r w:rsidR="009E7351">
        <w:rPr>
          <w:rFonts w:cs="Calibri"/>
          <w:lang w:eastAsia="en-CA"/>
        </w:rPr>
        <w:t xml:space="preserve"> </w:t>
      </w:r>
      <w:r w:rsidR="004C5080">
        <w:rPr>
          <w:rFonts w:cs="Calibri"/>
          <w:lang w:eastAsia="en-CA"/>
        </w:rPr>
        <w:t xml:space="preserve">temporarily </w:t>
      </w:r>
      <w:r>
        <w:rPr>
          <w:rFonts w:cs="Calibri"/>
          <w:lang w:eastAsia="en-CA"/>
        </w:rPr>
        <w:t xml:space="preserve">halted the importation of all Canadian meat products, following </w:t>
      </w:r>
      <w:r w:rsidR="00EC7AB0">
        <w:rPr>
          <w:rFonts w:cs="Calibri"/>
          <w:lang w:eastAsia="en-CA"/>
        </w:rPr>
        <w:t>its</w:t>
      </w:r>
      <w:r>
        <w:rPr>
          <w:rFonts w:cs="Calibri"/>
          <w:lang w:eastAsia="en-CA"/>
        </w:rPr>
        <w:t xml:space="preserve"> discovery of counterfeit Canadian veterinary certificates.</w:t>
      </w:r>
      <w:r>
        <w:rPr>
          <w:rStyle w:val="EndnoteReference"/>
          <w:rFonts w:cs="Calibri"/>
          <w:lang w:eastAsia="en-CA"/>
        </w:rPr>
        <w:endnoteReference w:id="19"/>
      </w:r>
      <w:r w:rsidR="00EC7AB0">
        <w:rPr>
          <w:rFonts w:cs="Calibri"/>
          <w:lang w:eastAsia="en-CA"/>
        </w:rPr>
        <w:t>More recently, it became apparent that</w:t>
      </w:r>
      <w:r>
        <w:rPr>
          <w:rFonts w:cs="Calibri"/>
          <w:lang w:eastAsia="en-CA"/>
        </w:rPr>
        <w:t xml:space="preserve"> Ch</w:t>
      </w:r>
      <w:r w:rsidR="00EC7AB0">
        <w:rPr>
          <w:rFonts w:cs="Calibri"/>
          <w:lang w:eastAsia="en-CA"/>
        </w:rPr>
        <w:t xml:space="preserve">ina has in fact </w:t>
      </w:r>
      <w:r>
        <w:rPr>
          <w:rFonts w:cs="Calibri"/>
          <w:lang w:eastAsia="en-CA"/>
        </w:rPr>
        <w:t>accelerated importation of Canadian wheat year to date.</w:t>
      </w:r>
      <w:r>
        <w:rPr>
          <w:rStyle w:val="EndnoteReference"/>
          <w:rFonts w:cs="Calibri"/>
          <w:lang w:eastAsia="en-CA"/>
        </w:rPr>
        <w:endnoteReference w:id="20"/>
      </w:r>
    </w:p>
    <w:p w:rsidR="000A156E" w:rsidRDefault="00EC7AB0" w:rsidP="00B6742E">
      <w:pPr>
        <w:tabs>
          <w:tab w:val="left" w:pos="3075"/>
        </w:tabs>
        <w:spacing w:before="120" w:after="120"/>
        <w:jc w:val="both"/>
        <w:rPr>
          <w:rFonts w:cs="Calibri"/>
          <w:lang w:eastAsia="en-CA"/>
        </w:rPr>
      </w:pPr>
      <w:r>
        <w:rPr>
          <w:rFonts w:cs="Calibri"/>
          <w:lang w:eastAsia="en-CA"/>
        </w:rPr>
        <w:t xml:space="preserve">This year’s harvest did not go well, as winter </w:t>
      </w:r>
      <w:r w:rsidR="004C5080">
        <w:rPr>
          <w:rFonts w:cs="Calibri"/>
          <w:lang w:eastAsia="en-CA"/>
        </w:rPr>
        <w:t>arrived</w:t>
      </w:r>
      <w:r w:rsidR="00954CD8">
        <w:rPr>
          <w:rFonts w:cs="Calibri"/>
          <w:lang w:eastAsia="en-CA"/>
        </w:rPr>
        <w:t xml:space="preserve"> early in Alberta. As</w:t>
      </w:r>
      <w:r w:rsidR="009E7351">
        <w:rPr>
          <w:rFonts w:cs="Calibri"/>
          <w:lang w:eastAsia="en-CA"/>
        </w:rPr>
        <w:t xml:space="preserve"> </w:t>
      </w:r>
      <w:r w:rsidR="00954CD8">
        <w:rPr>
          <w:rFonts w:cs="Calibri"/>
          <w:lang w:eastAsia="en-CA"/>
        </w:rPr>
        <w:t>of December 3</w:t>
      </w:r>
      <w:r w:rsidR="00954CD8" w:rsidRPr="00954CD8">
        <w:rPr>
          <w:rFonts w:cs="Calibri"/>
          <w:vertAlign w:val="superscript"/>
          <w:lang w:eastAsia="en-CA"/>
        </w:rPr>
        <w:t>rd</w:t>
      </w:r>
      <w:r w:rsidR="00954CD8">
        <w:rPr>
          <w:rFonts w:cs="Calibri"/>
          <w:lang w:eastAsia="en-CA"/>
        </w:rPr>
        <w:t>, 90</w:t>
      </w:r>
      <w:r>
        <w:rPr>
          <w:rFonts w:cs="Calibri"/>
          <w:lang w:eastAsia="en-CA"/>
        </w:rPr>
        <w:t>% of crops had been harvested</w:t>
      </w:r>
      <w:r w:rsidR="009E7351">
        <w:rPr>
          <w:rFonts w:cs="Calibri"/>
          <w:lang w:eastAsia="en-CA"/>
        </w:rPr>
        <w:t xml:space="preserve"> </w:t>
      </w:r>
      <w:r w:rsidR="00954CD8">
        <w:rPr>
          <w:rFonts w:cs="Calibri"/>
          <w:lang w:eastAsia="en-CA"/>
        </w:rPr>
        <w:t>with little prospects of the remaining 10% being removed until spring 2020</w:t>
      </w:r>
      <w:r w:rsidR="00E56D11">
        <w:rPr>
          <w:rFonts w:cs="Calibri"/>
          <w:lang w:eastAsia="en-CA"/>
        </w:rPr>
        <w:t>.</w:t>
      </w:r>
      <w:r w:rsidR="004C5080">
        <w:rPr>
          <w:rStyle w:val="EndnoteReference"/>
          <w:rFonts w:cs="Calibri"/>
          <w:lang w:eastAsia="en-CA"/>
        </w:rPr>
        <w:endnoteReference w:id="21"/>
      </w:r>
    </w:p>
    <w:p w:rsidR="000A156E" w:rsidRDefault="000A156E" w:rsidP="00B6742E">
      <w:pPr>
        <w:tabs>
          <w:tab w:val="left" w:pos="3075"/>
        </w:tabs>
        <w:spacing w:before="120" w:after="120"/>
        <w:jc w:val="both"/>
        <w:rPr>
          <w:rFonts w:eastAsia="Times New Roman"/>
          <w:lang w:eastAsia="en-CA"/>
        </w:rPr>
      </w:pPr>
      <w:r>
        <w:rPr>
          <w:rFonts w:cs="Calibri"/>
          <w:lang w:eastAsia="en-CA"/>
        </w:rPr>
        <w:t xml:space="preserve">While low energy prices are a huge negative for resource extraction firms, they are a significant plus for the province’s </w:t>
      </w:r>
      <w:r w:rsidRPr="00F9454D">
        <w:rPr>
          <w:rFonts w:cs="Calibri"/>
          <w:lang w:eastAsia="en-CA"/>
        </w:rPr>
        <w:t>petrochemical</w:t>
      </w:r>
      <w:r w:rsidRPr="00B74AB5">
        <w:rPr>
          <w:rFonts w:cs="Calibri"/>
          <w:b/>
          <w:lang w:eastAsia="en-CA"/>
        </w:rPr>
        <w:t xml:space="preserve"> manufacturing</w:t>
      </w:r>
      <w:r>
        <w:rPr>
          <w:rFonts w:cs="Calibri"/>
          <w:lang w:eastAsia="en-CA"/>
        </w:rPr>
        <w:t xml:space="preserve"> industry. </w:t>
      </w:r>
      <w:r>
        <w:t>Inter</w:t>
      </w:r>
      <w:r w:rsidRPr="00CE2EDB">
        <w:t xml:space="preserve"> Pipeline</w:t>
      </w:r>
      <w:r>
        <w:t xml:space="preserve"> is currently building a</w:t>
      </w:r>
      <w:r w:rsidRPr="00CE2EDB">
        <w:t xml:space="preserve"> $3.5</w:t>
      </w:r>
      <w:r>
        <w:t xml:space="preserve"> billion</w:t>
      </w:r>
      <w:r w:rsidRPr="00CE2EDB">
        <w:t xml:space="preserve"> petrochemical complex</w:t>
      </w:r>
      <w:r>
        <w:t xml:space="preserve"> in Alberta’s Industrial Heartland, just outside </w:t>
      </w:r>
      <w:r w:rsidRPr="00CE2EDB">
        <w:t>Edmonton</w:t>
      </w:r>
      <w:r>
        <w:t xml:space="preserve">’s city limits. The project is a major undertaking for Inter. </w:t>
      </w:r>
      <w:r>
        <w:rPr>
          <w:rFonts w:eastAsia="Times New Roman"/>
          <w:lang w:eastAsia="en-CA"/>
        </w:rPr>
        <w:t xml:space="preserve">Calgary-based Pembina Pipeline Corporation’s $4.5 billion joint venture with </w:t>
      </w:r>
      <w:r w:rsidRPr="00367AAB">
        <w:rPr>
          <w:rFonts w:eastAsia="Times New Roman"/>
          <w:lang w:eastAsia="en-CA"/>
        </w:rPr>
        <w:t>Kuwait</w:t>
      </w:r>
      <w:r>
        <w:rPr>
          <w:rFonts w:eastAsia="Times New Roman"/>
          <w:lang w:eastAsia="en-CA"/>
        </w:rPr>
        <w:t>’s</w:t>
      </w:r>
      <w:r w:rsidR="009E7351">
        <w:rPr>
          <w:rFonts w:eastAsia="Times New Roman"/>
          <w:lang w:eastAsia="en-CA"/>
        </w:rPr>
        <w:t xml:space="preserve"> </w:t>
      </w:r>
      <w:r>
        <w:rPr>
          <w:rFonts w:eastAsia="Times New Roman"/>
          <w:lang w:eastAsia="en-CA"/>
        </w:rPr>
        <w:t>national p</w:t>
      </w:r>
      <w:r w:rsidRPr="00367AAB">
        <w:rPr>
          <w:rFonts w:eastAsia="Times New Roman"/>
          <w:lang w:eastAsia="en-CA"/>
        </w:rPr>
        <w:t xml:space="preserve">etrochemical </w:t>
      </w:r>
      <w:r>
        <w:rPr>
          <w:rFonts w:eastAsia="Times New Roman"/>
          <w:lang w:eastAsia="en-CA"/>
        </w:rPr>
        <w:t>c</w:t>
      </w:r>
      <w:r w:rsidRPr="00367AAB">
        <w:rPr>
          <w:rFonts w:eastAsia="Times New Roman"/>
          <w:lang w:eastAsia="en-CA"/>
        </w:rPr>
        <w:t>ompany</w:t>
      </w:r>
      <w:r>
        <w:rPr>
          <w:rFonts w:eastAsia="Times New Roman"/>
          <w:lang w:eastAsia="en-CA"/>
        </w:rPr>
        <w:t xml:space="preserve"> is also being built in the Industrial Heartland. In September, the Globe and Mail reported that Inter Pipeline had rejected an unsolicited takeover bid from </w:t>
      </w:r>
      <w:r w:rsidRPr="00CD077B">
        <w:rPr>
          <w:rFonts w:eastAsia="Times New Roman"/>
          <w:lang w:eastAsia="en-CA"/>
        </w:rPr>
        <w:t>Hong Kong billionaire Li Ka-Shing’s CK Infrastructure Holdings Ltd</w:t>
      </w:r>
      <w:r>
        <w:rPr>
          <w:rFonts w:eastAsia="Times New Roman"/>
          <w:lang w:eastAsia="en-CA"/>
        </w:rPr>
        <w:t>.</w:t>
      </w:r>
      <w:r>
        <w:rPr>
          <w:rStyle w:val="EndnoteReference"/>
          <w:rFonts w:eastAsia="Times New Roman"/>
          <w:lang w:eastAsia="en-CA"/>
        </w:rPr>
        <w:endnoteReference w:id="22"/>
      </w:r>
    </w:p>
    <w:p w:rsidR="000A156E" w:rsidRPr="00C94FE4" w:rsidRDefault="000A156E" w:rsidP="00B6742E">
      <w:pPr>
        <w:spacing w:before="240" w:after="120"/>
        <w:jc w:val="both"/>
        <w:rPr>
          <w:rFonts w:cs="Calibri"/>
          <w:b/>
          <w:lang w:eastAsia="en-CA"/>
        </w:rPr>
      </w:pPr>
      <w:r w:rsidRPr="00C94FE4">
        <w:rPr>
          <w:rFonts w:cs="Calibri"/>
          <w:b/>
          <w:lang w:eastAsia="en-CA"/>
        </w:rPr>
        <w:t>Services-producing industries</w:t>
      </w:r>
    </w:p>
    <w:p w:rsidR="000A156E" w:rsidRPr="007D7CA6" w:rsidRDefault="000A156E" w:rsidP="00B6742E">
      <w:pPr>
        <w:spacing w:before="120" w:after="120"/>
        <w:jc w:val="both"/>
        <w:rPr>
          <w:rFonts w:asciiTheme="minorHAnsi" w:hAnsiTheme="minorHAnsi" w:cstheme="minorHAnsi"/>
          <w:color w:val="333333"/>
          <w:lang/>
        </w:rPr>
      </w:pPr>
      <w:r>
        <w:rPr>
          <w:rFonts w:cs="Calibri"/>
        </w:rPr>
        <w:t>Turning to the services-producing sector, at 1.7</w:t>
      </w:r>
      <w:r w:rsidR="0051609C">
        <w:rPr>
          <w:rFonts w:cs="Calibri"/>
        </w:rPr>
        <w:t>55</w:t>
      </w:r>
      <w:r>
        <w:rPr>
          <w:rFonts w:cs="Calibri"/>
        </w:rPr>
        <w:t xml:space="preserve"> million, </w:t>
      </w:r>
      <w:r w:rsidR="0051609C">
        <w:rPr>
          <w:rFonts w:cs="Calibri"/>
        </w:rPr>
        <w:t>overall employment de</w:t>
      </w:r>
      <w:r>
        <w:rPr>
          <w:rFonts w:cs="Calibri"/>
        </w:rPr>
        <w:t xml:space="preserve">creased </w:t>
      </w:r>
      <w:r w:rsidR="0051609C">
        <w:rPr>
          <w:rFonts w:cs="Calibri"/>
        </w:rPr>
        <w:t>by 13,0</w:t>
      </w:r>
      <w:r w:rsidR="00B11972">
        <w:rPr>
          <w:rFonts w:cs="Calibri"/>
        </w:rPr>
        <w:t xml:space="preserve">00 in </w:t>
      </w:r>
      <w:r w:rsidR="0051609C">
        <w:rPr>
          <w:rFonts w:cs="Calibri"/>
        </w:rPr>
        <w:t>November, while remaining up</w:t>
      </w:r>
      <w:r w:rsidR="009E7351">
        <w:rPr>
          <w:rFonts w:cs="Calibri"/>
        </w:rPr>
        <w:t xml:space="preserve"> </w:t>
      </w:r>
      <w:r w:rsidR="0051609C">
        <w:rPr>
          <w:rFonts w:cs="Calibri"/>
        </w:rPr>
        <w:t xml:space="preserve">by just 5,000 on the year. </w:t>
      </w:r>
      <w:r w:rsidRPr="008F63F4">
        <w:rPr>
          <w:rFonts w:cs="Calibri"/>
          <w:b/>
        </w:rPr>
        <w:t>Wholesale</w:t>
      </w:r>
      <w:r w:rsidRPr="00151143">
        <w:rPr>
          <w:rFonts w:asciiTheme="minorHAnsi" w:hAnsiTheme="minorHAnsi" w:cstheme="minorHAnsi"/>
          <w:b/>
          <w:color w:val="333333"/>
          <w:lang/>
        </w:rPr>
        <w:t xml:space="preserve">and retail </w:t>
      </w:r>
      <w:r w:rsidR="009E7351">
        <w:rPr>
          <w:rFonts w:asciiTheme="minorHAnsi" w:hAnsiTheme="minorHAnsi" w:cstheme="minorHAnsi"/>
          <w:b/>
          <w:color w:val="333333"/>
          <w:lang/>
        </w:rPr>
        <w:t>trade</w:t>
      </w:r>
      <w:r>
        <w:rPr>
          <w:rFonts w:cs="Calibri"/>
        </w:rPr>
        <w:t>, Alberta’s largest indus</w:t>
      </w:r>
      <w:r w:rsidR="00B11972">
        <w:rPr>
          <w:rFonts w:cs="Calibri"/>
        </w:rPr>
        <w:t xml:space="preserve">try by employment, </w:t>
      </w:r>
      <w:r w:rsidR="0051609C">
        <w:rPr>
          <w:rFonts w:cs="Calibri"/>
        </w:rPr>
        <w:t xml:space="preserve">also </w:t>
      </w:r>
      <w:r w:rsidR="00B11972">
        <w:rPr>
          <w:rFonts w:cs="Calibri"/>
        </w:rPr>
        <w:t xml:space="preserve">saw job </w:t>
      </w:r>
      <w:r w:rsidR="0051609C">
        <w:rPr>
          <w:rFonts w:cs="Calibri"/>
        </w:rPr>
        <w:t>losses</w:t>
      </w:r>
      <w:r w:rsidR="009E7351">
        <w:rPr>
          <w:rFonts w:cs="Calibri"/>
        </w:rPr>
        <w:t xml:space="preserve"> </w:t>
      </w:r>
      <w:r w:rsidR="0051609C">
        <w:rPr>
          <w:rFonts w:cs="Calibri"/>
        </w:rPr>
        <w:t>on the month (-5,600</w:t>
      </w:r>
      <w:r>
        <w:rPr>
          <w:rFonts w:cs="Calibri"/>
        </w:rPr>
        <w:t xml:space="preserve">) </w:t>
      </w:r>
      <w:r w:rsidR="00B11972">
        <w:rPr>
          <w:rFonts w:cs="Calibri"/>
        </w:rPr>
        <w:t xml:space="preserve">and year over year </w:t>
      </w:r>
      <w:r w:rsidR="0051609C">
        <w:rPr>
          <w:rFonts w:cs="Calibri"/>
        </w:rPr>
        <w:t>gains (+4,1</w:t>
      </w:r>
      <w:r>
        <w:rPr>
          <w:rFonts w:cs="Calibri"/>
        </w:rPr>
        <w:t xml:space="preserve">00). </w:t>
      </w:r>
      <w:r>
        <w:rPr>
          <w:rFonts w:asciiTheme="minorHAnsi" w:hAnsiTheme="minorHAnsi" w:cstheme="minorHAnsi"/>
          <w:color w:val="333333"/>
          <w:lang/>
        </w:rPr>
        <w:t xml:space="preserve">In </w:t>
      </w:r>
      <w:r w:rsidR="007D7CA6">
        <w:rPr>
          <w:rFonts w:asciiTheme="minorHAnsi" w:hAnsiTheme="minorHAnsi" w:cstheme="minorHAnsi"/>
          <w:color w:val="333333"/>
          <w:lang/>
        </w:rPr>
        <w:t>September</w:t>
      </w:r>
      <w:r w:rsidR="00A60660">
        <w:rPr>
          <w:rFonts w:asciiTheme="minorHAnsi" w:hAnsiTheme="minorHAnsi" w:cstheme="minorHAnsi"/>
          <w:color w:val="333333"/>
          <w:lang/>
        </w:rPr>
        <w:t xml:space="preserve"> (the most recent data available)</w:t>
      </w:r>
      <w:r w:rsidRPr="00400331">
        <w:rPr>
          <w:rFonts w:asciiTheme="minorHAnsi" w:hAnsiTheme="minorHAnsi" w:cstheme="minorHAnsi"/>
          <w:color w:val="333333"/>
          <w:lang/>
        </w:rPr>
        <w:t xml:space="preserve">, total retail sales </w:t>
      </w:r>
      <w:r w:rsidR="007D7CA6">
        <w:rPr>
          <w:rFonts w:asciiTheme="minorHAnsi" w:hAnsiTheme="minorHAnsi" w:cstheme="minorHAnsi"/>
          <w:color w:val="333333"/>
          <w:lang/>
        </w:rPr>
        <w:t xml:space="preserve">slipped by </w:t>
      </w:r>
      <w:r w:rsidR="00B11972">
        <w:rPr>
          <w:rFonts w:asciiTheme="minorHAnsi" w:hAnsiTheme="minorHAnsi" w:cstheme="minorHAnsi"/>
          <w:color w:val="333333"/>
          <w:lang/>
        </w:rPr>
        <w:t>1</w:t>
      </w:r>
      <w:r w:rsidR="007D7CA6">
        <w:rPr>
          <w:rFonts w:asciiTheme="minorHAnsi" w:hAnsiTheme="minorHAnsi" w:cstheme="minorHAnsi"/>
          <w:color w:val="333333"/>
          <w:lang/>
        </w:rPr>
        <w:t>.6</w:t>
      </w:r>
      <w:r>
        <w:rPr>
          <w:rFonts w:asciiTheme="minorHAnsi" w:hAnsiTheme="minorHAnsi" w:cstheme="minorHAnsi"/>
          <w:color w:val="333333"/>
          <w:lang/>
        </w:rPr>
        <w:t xml:space="preserve">% </w:t>
      </w:r>
      <w:r w:rsidR="007D7CA6">
        <w:rPr>
          <w:rFonts w:asciiTheme="minorHAnsi" w:hAnsiTheme="minorHAnsi" w:cstheme="minorHAnsi"/>
          <w:color w:val="333333"/>
          <w:lang/>
        </w:rPr>
        <w:t>on the month, while down 2.7</w:t>
      </w:r>
      <w:r w:rsidR="00B11972">
        <w:rPr>
          <w:rFonts w:asciiTheme="minorHAnsi" w:hAnsiTheme="minorHAnsi" w:cstheme="minorHAnsi"/>
          <w:color w:val="333333"/>
          <w:lang/>
        </w:rPr>
        <w:t xml:space="preserve">% compared to </w:t>
      </w:r>
      <w:r w:rsidR="007D7CA6">
        <w:rPr>
          <w:rFonts w:asciiTheme="minorHAnsi" w:hAnsiTheme="minorHAnsi" w:cstheme="minorHAnsi"/>
          <w:color w:val="333333"/>
          <w:lang/>
        </w:rPr>
        <w:t>September</w:t>
      </w:r>
      <w:r w:rsidR="00B11972">
        <w:rPr>
          <w:rFonts w:asciiTheme="minorHAnsi" w:hAnsiTheme="minorHAnsi" w:cstheme="minorHAnsi"/>
          <w:color w:val="333333"/>
          <w:lang/>
        </w:rPr>
        <w:t xml:space="preserve"> 2018</w:t>
      </w:r>
      <w:r w:rsidRPr="00400331">
        <w:rPr>
          <w:rFonts w:asciiTheme="minorHAnsi" w:hAnsiTheme="minorHAnsi" w:cstheme="minorHAnsi"/>
          <w:color w:val="333333"/>
          <w:lang/>
        </w:rPr>
        <w:t>.</w:t>
      </w:r>
      <w:r>
        <w:rPr>
          <w:rStyle w:val="EndnoteReference"/>
          <w:rFonts w:asciiTheme="minorHAnsi" w:hAnsiTheme="minorHAnsi" w:cstheme="minorHAnsi"/>
          <w:color w:val="333333"/>
          <w:lang/>
        </w:rPr>
        <w:endnoteReference w:id="23"/>
      </w:r>
    </w:p>
    <w:p w:rsidR="000A156E" w:rsidRDefault="000A156E" w:rsidP="00B6742E">
      <w:pPr>
        <w:spacing w:before="120" w:after="120"/>
        <w:jc w:val="both"/>
        <w:rPr>
          <w:rFonts w:cs="Calibri"/>
        </w:rPr>
      </w:pPr>
      <w:r>
        <w:rPr>
          <w:rFonts w:asciiTheme="minorHAnsi" w:hAnsiTheme="minorHAnsi" w:cstheme="minorHAnsi"/>
          <w:color w:val="333333"/>
          <w:lang/>
        </w:rPr>
        <w:t xml:space="preserve">Wholesale and retail </w:t>
      </w:r>
      <w:r w:rsidR="009E7351">
        <w:rPr>
          <w:rFonts w:asciiTheme="minorHAnsi" w:hAnsiTheme="minorHAnsi" w:cstheme="minorHAnsi"/>
          <w:color w:val="333333"/>
          <w:lang/>
        </w:rPr>
        <w:t>trade</w:t>
      </w:r>
      <w:r>
        <w:rPr>
          <w:rFonts w:cs="Calibri"/>
        </w:rPr>
        <w:t xml:space="preserve"> </w:t>
      </w:r>
      <w:r w:rsidR="007D7CA6">
        <w:rPr>
          <w:rFonts w:cs="Calibri"/>
        </w:rPr>
        <w:t>is</w:t>
      </w:r>
      <w:r>
        <w:rPr>
          <w:rFonts w:cs="Calibri"/>
        </w:rPr>
        <w:t xml:space="preserve"> one of the service industries deeply hurt by the prolonged slump in the provincial energy sector. For example, over the five-year period from </w:t>
      </w:r>
      <w:r w:rsidR="007D7CA6">
        <w:rPr>
          <w:rFonts w:cs="Calibri"/>
        </w:rPr>
        <w:t>September</w:t>
      </w:r>
      <w:r>
        <w:rPr>
          <w:rFonts w:cs="Calibri"/>
        </w:rPr>
        <w:t xml:space="preserve"> 2014 to </w:t>
      </w:r>
      <w:r w:rsidR="007D7CA6">
        <w:rPr>
          <w:rFonts w:cs="Calibri"/>
        </w:rPr>
        <w:t>September</w:t>
      </w:r>
      <w:r>
        <w:rPr>
          <w:rFonts w:cs="Calibri"/>
        </w:rPr>
        <w:t xml:space="preserve"> 2019, the total value of retail sale</w:t>
      </w:r>
      <w:r w:rsidR="007D7CA6">
        <w:rPr>
          <w:rFonts w:cs="Calibri"/>
        </w:rPr>
        <w:t>s in Alberta de</w:t>
      </w:r>
      <w:r w:rsidR="00554310">
        <w:rPr>
          <w:rFonts w:cs="Calibri"/>
        </w:rPr>
        <w:t>creased by 0</w:t>
      </w:r>
      <w:r w:rsidR="007D7CA6">
        <w:rPr>
          <w:rFonts w:cs="Calibri"/>
        </w:rPr>
        <w:t>.4% – compared to an almost 20</w:t>
      </w:r>
      <w:r>
        <w:rPr>
          <w:rFonts w:cs="Calibri"/>
        </w:rPr>
        <w:t xml:space="preserve">% </w:t>
      </w:r>
      <w:r w:rsidR="007D7CA6">
        <w:rPr>
          <w:rFonts w:cs="Calibri"/>
        </w:rPr>
        <w:t xml:space="preserve">gain </w:t>
      </w:r>
      <w:r>
        <w:rPr>
          <w:rFonts w:cs="Calibri"/>
        </w:rPr>
        <w:t xml:space="preserve">Canada-wide.  Wholesale trade fared even worse; total sales in </w:t>
      </w:r>
      <w:r w:rsidR="007D7CA6">
        <w:rPr>
          <w:rFonts w:cs="Calibri"/>
        </w:rPr>
        <w:t>September 2019 were 4.6</w:t>
      </w:r>
      <w:r w:rsidRPr="003B1874">
        <w:rPr>
          <w:rFonts w:cs="Calibri"/>
        </w:rPr>
        <w:t xml:space="preserve">% </w:t>
      </w:r>
      <w:r w:rsidRPr="004E35A1">
        <w:rPr>
          <w:rFonts w:cs="Calibri"/>
          <w:bCs/>
        </w:rPr>
        <w:t>below</w:t>
      </w:r>
      <w:r>
        <w:rPr>
          <w:rFonts w:cs="Calibri"/>
        </w:rPr>
        <w:t xml:space="preserve"> the level of </w:t>
      </w:r>
      <w:r w:rsidR="007D7CA6">
        <w:rPr>
          <w:rFonts w:cs="Calibri"/>
        </w:rPr>
        <w:t>September</w:t>
      </w:r>
      <w:r>
        <w:rPr>
          <w:rFonts w:cs="Calibri"/>
        </w:rPr>
        <w:t xml:space="preserve"> 2014.</w:t>
      </w:r>
      <w:r>
        <w:rPr>
          <w:rStyle w:val="EndnoteReference"/>
          <w:rFonts w:cs="Calibri"/>
        </w:rPr>
        <w:endnoteReference w:id="24"/>
      </w:r>
    </w:p>
    <w:p w:rsidR="00A0474B" w:rsidRDefault="000A156E" w:rsidP="00B6742E">
      <w:pPr>
        <w:spacing w:before="120" w:after="120"/>
        <w:jc w:val="both"/>
        <w:rPr>
          <w:rFonts w:cs="Calibri"/>
        </w:rPr>
      </w:pPr>
      <w:r w:rsidRPr="001F713B">
        <w:rPr>
          <w:rFonts w:cs="Calibri"/>
        </w:rPr>
        <w:lastRenderedPageBreak/>
        <w:t xml:space="preserve">In </w:t>
      </w:r>
      <w:r w:rsidR="00A60660">
        <w:rPr>
          <w:rFonts w:cs="Calibri"/>
        </w:rPr>
        <w:t>October</w:t>
      </w:r>
      <w:r w:rsidRPr="001F713B">
        <w:rPr>
          <w:rFonts w:cs="Calibri"/>
        </w:rPr>
        <w:t xml:space="preserve">, </w:t>
      </w:r>
      <w:r w:rsidRPr="00151143">
        <w:rPr>
          <w:rFonts w:cs="Calibri"/>
          <w:b/>
        </w:rPr>
        <w:t>Health care and social assistance</w:t>
      </w:r>
      <w:r>
        <w:rPr>
          <w:rFonts w:cs="Calibri"/>
        </w:rPr>
        <w:t xml:space="preserve">, Alberta’s second largest industry by employee count, posted job gains on </w:t>
      </w:r>
      <w:r w:rsidR="002A435D">
        <w:rPr>
          <w:rFonts w:cs="Calibri"/>
        </w:rPr>
        <w:t xml:space="preserve">both </w:t>
      </w:r>
      <w:r w:rsidR="00BC16D0">
        <w:rPr>
          <w:rFonts w:cs="Calibri"/>
        </w:rPr>
        <w:t>the month (+1.9</w:t>
      </w:r>
      <w:r>
        <w:rPr>
          <w:rFonts w:cs="Calibri"/>
        </w:rPr>
        <w:t xml:space="preserve">%) </w:t>
      </w:r>
      <w:r w:rsidR="002A435D">
        <w:rPr>
          <w:rFonts w:cs="Calibri"/>
        </w:rPr>
        <w:t>and</w:t>
      </w:r>
      <w:r w:rsidR="00BC16D0">
        <w:rPr>
          <w:rFonts w:cs="Calibri"/>
        </w:rPr>
        <w:t xml:space="preserve"> on the year (+8.5</w:t>
      </w:r>
      <w:r>
        <w:rPr>
          <w:rFonts w:cs="Calibri"/>
        </w:rPr>
        <w:t>%). Health care, along with educational services, and public administration are </w:t>
      </w:r>
      <w:r>
        <w:rPr>
          <w:rFonts w:cs="Calibri"/>
          <w:b/>
          <w:bCs/>
        </w:rPr>
        <w:t>public sector</w:t>
      </w:r>
      <w:r>
        <w:rPr>
          <w:rFonts w:cs="Calibri"/>
        </w:rPr>
        <w:t xml:space="preserve"> industries. In general, public sector job growth tends to </w:t>
      </w:r>
      <w:r w:rsidR="002A435D">
        <w:rPr>
          <w:rFonts w:cs="Calibri"/>
        </w:rPr>
        <w:t>reflect</w:t>
      </w:r>
      <w:r>
        <w:rPr>
          <w:rFonts w:cs="Calibri"/>
        </w:rPr>
        <w:t xml:space="preserve"> population increase, somewhat independent of economic conditions. As such, these industries have been less affected by the oil and gas downturn than have private sector industries such as trade. That being said, </w:t>
      </w:r>
      <w:r w:rsidR="00E56D11">
        <w:rPr>
          <w:rFonts w:cs="Calibri"/>
        </w:rPr>
        <w:t>in its first Budget</w:t>
      </w:r>
      <w:r w:rsidR="004E322A">
        <w:rPr>
          <w:rFonts w:cs="Calibri"/>
        </w:rPr>
        <w:t>,</w:t>
      </w:r>
      <w:r w:rsidR="00E56D11" w:rsidRPr="00E56D11">
        <w:rPr>
          <w:rFonts w:cs="Calibri"/>
        </w:rPr>
        <w:t xml:space="preserve"> Alberta</w:t>
      </w:r>
      <w:r w:rsidR="00E56D11">
        <w:rPr>
          <w:rFonts w:cs="Calibri"/>
        </w:rPr>
        <w:t xml:space="preserve">’s new government </w:t>
      </w:r>
      <w:r w:rsidR="00E56D11" w:rsidRPr="00E56D11">
        <w:rPr>
          <w:rFonts w:cs="Calibri"/>
        </w:rPr>
        <w:t xml:space="preserve">proposes a </w:t>
      </w:r>
      <w:r w:rsidR="00E56D11">
        <w:rPr>
          <w:rFonts w:cs="Calibri"/>
        </w:rPr>
        <w:t xml:space="preserve">course change and a </w:t>
      </w:r>
      <w:r w:rsidR="00E56D11" w:rsidRPr="00E56D11">
        <w:rPr>
          <w:rFonts w:cs="Calibri"/>
        </w:rPr>
        <w:t xml:space="preserve">2.8% reduction in provincial operating expenses. The Province </w:t>
      </w:r>
      <w:r w:rsidR="00E56D11">
        <w:rPr>
          <w:rFonts w:cs="Calibri"/>
        </w:rPr>
        <w:t>intends to reduce</w:t>
      </w:r>
      <w:r w:rsidR="00E56D11" w:rsidRPr="00E56D11">
        <w:rPr>
          <w:rFonts w:cs="Calibri"/>
        </w:rPr>
        <w:t xml:space="preserve"> its public service by 7.7% over four years through hiring restraints and attrition, and </w:t>
      </w:r>
      <w:r w:rsidR="00E56D11">
        <w:rPr>
          <w:rFonts w:cs="Calibri"/>
        </w:rPr>
        <w:t>to reduce</w:t>
      </w:r>
      <w:r w:rsidR="00E56D11" w:rsidRPr="00E56D11">
        <w:rPr>
          <w:rFonts w:cs="Calibri"/>
        </w:rPr>
        <w:t xml:space="preserve"> post-secondary institutions’ operating grants by up to 7.9%.</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242E37" w:rsidRPr="0000745B" w:rsidTr="00686450">
        <w:trPr>
          <w:cantSplit/>
          <w:trHeight w:val="20"/>
        </w:trPr>
        <w:tc>
          <w:tcPr>
            <w:tcW w:w="10188" w:type="dxa"/>
            <w:tcBorders>
              <w:top w:val="nil"/>
              <w:left w:val="nil"/>
              <w:bottom w:val="nil"/>
              <w:right w:val="nil"/>
            </w:tcBorders>
            <w:shd w:val="clear" w:color="auto" w:fill="1F497D"/>
            <w:vAlign w:val="center"/>
          </w:tcPr>
          <w:p w:rsidR="00242E37" w:rsidRPr="00402265" w:rsidRDefault="00242E37" w:rsidP="00B6742E">
            <w:pPr>
              <w:spacing w:before="120" w:after="120" w:line="240" w:lineRule="auto"/>
              <w:rPr>
                <w:b/>
                <w:caps/>
                <w:color w:val="FFFFFF"/>
                <w:sz w:val="24"/>
                <w:szCs w:val="24"/>
              </w:rPr>
            </w:pPr>
            <w:r w:rsidRPr="0000745B">
              <w:rPr>
                <w:b/>
                <w:caps/>
                <w:color w:val="FFFFFF"/>
                <w:sz w:val="24"/>
                <w:szCs w:val="24"/>
                <w:lang w:val="en-US"/>
              </w:rPr>
              <w:t>Regional Analysis</w:t>
            </w:r>
          </w:p>
        </w:tc>
      </w:tr>
    </w:tbl>
    <w:p w:rsidR="00BC16D0" w:rsidRDefault="004460B0" w:rsidP="00B6742E">
      <w:pPr>
        <w:spacing w:before="240" w:after="240"/>
        <w:jc w:val="both"/>
      </w:pPr>
      <w:r w:rsidRPr="00F20042">
        <w:rPr>
          <w:rFonts w:asciiTheme="minorHAnsi" w:hAnsiTheme="minorHAnsi" w:cs="Calibri"/>
          <w:lang w:eastAsia="en-CA"/>
        </w:rPr>
        <w:t xml:space="preserve">Over the past year, employment increased in </w:t>
      </w:r>
      <w:r>
        <w:rPr>
          <w:rFonts w:asciiTheme="minorHAnsi" w:hAnsiTheme="minorHAnsi" w:cs="Calibri"/>
          <w:lang w:eastAsia="en-CA"/>
        </w:rPr>
        <w:t>three</w:t>
      </w:r>
      <w:r w:rsidRPr="00F20042">
        <w:rPr>
          <w:rFonts w:asciiTheme="minorHAnsi" w:hAnsiTheme="minorHAnsi" w:cs="Calibri"/>
          <w:lang w:eastAsia="en-CA"/>
        </w:rPr>
        <w:t xml:space="preserve"> of seven Alberta regions. On a percentage basis, </w:t>
      </w:r>
      <w:r>
        <w:rPr>
          <w:rFonts w:asciiTheme="minorHAnsi" w:hAnsiTheme="minorHAnsi" w:cs="Calibri"/>
          <w:lang w:eastAsia="en-CA"/>
        </w:rPr>
        <w:t>Calgary</w:t>
      </w:r>
      <w:r w:rsidRPr="008654B1">
        <w:rPr>
          <w:rFonts w:asciiTheme="minorHAnsi" w:hAnsiTheme="minorHAnsi" w:cs="Calibri"/>
          <w:lang w:eastAsia="en-CA"/>
        </w:rPr>
        <w:t xml:space="preserve"> led the province in job growth (+</w:t>
      </w:r>
      <w:r>
        <w:rPr>
          <w:rFonts w:asciiTheme="minorHAnsi" w:hAnsiTheme="minorHAnsi" w:cs="Calibri"/>
          <w:lang w:eastAsia="en-CA"/>
        </w:rPr>
        <w:t>3.4</w:t>
      </w:r>
      <w:r w:rsidRPr="008654B1">
        <w:rPr>
          <w:rFonts w:asciiTheme="minorHAnsi" w:hAnsiTheme="minorHAnsi" w:cs="Calibri"/>
          <w:lang w:eastAsia="en-CA"/>
        </w:rPr>
        <w:t xml:space="preserve">%), </w:t>
      </w:r>
      <w:r>
        <w:rPr>
          <w:rFonts w:asciiTheme="minorHAnsi" w:hAnsiTheme="minorHAnsi" w:cs="Calibri"/>
          <w:lang w:eastAsia="en-CA"/>
        </w:rPr>
        <w:t>while</w:t>
      </w:r>
      <w:r w:rsidR="00AD3252">
        <w:rPr>
          <w:rFonts w:asciiTheme="minorHAnsi" w:hAnsiTheme="minorHAnsi" w:cs="Calibri"/>
          <w:lang w:eastAsia="en-CA"/>
        </w:rPr>
        <w:t xml:space="preserve"> </w:t>
      </w:r>
      <w:r>
        <w:rPr>
          <w:rFonts w:asciiTheme="minorHAnsi" w:hAnsiTheme="minorHAnsi" w:cs="Calibri"/>
          <w:lang w:eastAsia="en-CA"/>
        </w:rPr>
        <w:t xml:space="preserve">Red Deer was the worst performing region </w:t>
      </w:r>
      <w:r>
        <w:rPr>
          <w:rFonts w:eastAsia="Times New Roman"/>
          <w:color w:val="000000"/>
          <w:lang w:eastAsia="en-CA"/>
        </w:rPr>
        <w:t>(-8.14%)</w:t>
      </w:r>
      <w:r>
        <w:rPr>
          <w:rFonts w:asciiTheme="minorHAnsi" w:hAnsiTheme="minorHAnsi" w:cs="Calibri"/>
          <w:lang w:eastAsia="en-CA"/>
        </w:rPr>
        <w:t>. On the whole, the seasonally unadjusted employment numbers in the table below indicate that there was a year over year gain of 0.3%, which is a contrast from the seasonally adjusted numbers discussed earlier in the bulletin. It is important to note that the figures shown in the table below are based upon a three month moving average, where strong employment performance in September and October offsets the weak November numbers. Three month moving averages are used to smooth the results of the highly volatile Labour Force Survey and are reported when we are not able to calculate seasonally adjusted values.</w:t>
      </w:r>
    </w:p>
    <w:tbl>
      <w:tblPr>
        <w:tblW w:w="10120" w:type="dxa"/>
        <w:tblLook w:val="04A0"/>
      </w:tblPr>
      <w:tblGrid>
        <w:gridCol w:w="3640"/>
        <w:gridCol w:w="1080"/>
        <w:gridCol w:w="1080"/>
        <w:gridCol w:w="1080"/>
        <w:gridCol w:w="1080"/>
        <w:gridCol w:w="1080"/>
        <w:gridCol w:w="1080"/>
      </w:tblGrid>
      <w:tr w:rsidR="00593D8B" w:rsidRPr="00593D8B" w:rsidTr="00593D8B">
        <w:trPr>
          <w:trHeight w:val="315"/>
        </w:trPr>
        <w:tc>
          <w:tcPr>
            <w:tcW w:w="10120" w:type="dxa"/>
            <w:gridSpan w:val="7"/>
            <w:tcBorders>
              <w:top w:val="nil"/>
              <w:left w:val="nil"/>
              <w:bottom w:val="nil"/>
              <w:right w:val="nil"/>
            </w:tcBorders>
            <w:shd w:val="clear" w:color="auto" w:fill="auto"/>
            <w:hideMark/>
          </w:tcPr>
          <w:p w:rsidR="00593D8B" w:rsidRPr="00593D8B" w:rsidRDefault="00593D8B" w:rsidP="00593D8B">
            <w:pPr>
              <w:spacing w:after="0" w:line="240" w:lineRule="auto"/>
              <w:jc w:val="center"/>
              <w:rPr>
                <w:rFonts w:eastAsia="Times New Roman" w:cs="Calibri"/>
                <w:b/>
                <w:bCs/>
                <w:color w:val="000000"/>
                <w:lang w:eastAsia="en-CA"/>
              </w:rPr>
            </w:pPr>
            <w:r w:rsidRPr="00593D8B">
              <w:rPr>
                <w:rFonts w:eastAsia="Times New Roman" w:cs="Calibri"/>
                <w:b/>
                <w:bCs/>
                <w:color w:val="000000"/>
                <w:lang w:eastAsia="en-CA"/>
              </w:rPr>
              <w:t>Alberta Monthly Labour Force Statistics, by Economic Region</w:t>
            </w:r>
          </w:p>
        </w:tc>
      </w:tr>
      <w:tr w:rsidR="00593D8B" w:rsidRPr="00593D8B" w:rsidTr="00593D8B">
        <w:trPr>
          <w:trHeight w:val="300"/>
        </w:trPr>
        <w:tc>
          <w:tcPr>
            <w:tcW w:w="3640" w:type="dxa"/>
            <w:tcBorders>
              <w:top w:val="single" w:sz="12" w:space="0" w:color="808080"/>
              <w:left w:val="single" w:sz="12" w:space="0" w:color="808080"/>
              <w:bottom w:val="nil"/>
              <w:right w:val="single" w:sz="12" w:space="0" w:color="808080"/>
            </w:tcBorders>
            <w:shd w:val="clear" w:color="000000" w:fill="1F497D"/>
            <w:vAlign w:val="center"/>
            <w:hideMark/>
          </w:tcPr>
          <w:p w:rsidR="00593D8B" w:rsidRPr="00593D8B" w:rsidRDefault="00593D8B" w:rsidP="00593D8B">
            <w:pPr>
              <w:spacing w:after="0" w:line="240" w:lineRule="auto"/>
              <w:rPr>
                <w:rFonts w:eastAsia="Times New Roman" w:cs="Calibri"/>
                <w:b/>
                <w:bCs/>
                <w:color w:val="FFFFFF"/>
                <w:sz w:val="18"/>
                <w:szCs w:val="18"/>
                <w:lang w:eastAsia="en-CA"/>
              </w:rPr>
            </w:pPr>
            <w:r w:rsidRPr="00593D8B">
              <w:rPr>
                <w:rFonts w:eastAsia="Times New Roman" w:cs="Calibri"/>
                <w:b/>
                <w:bCs/>
                <w:color w:val="FFFFFF"/>
                <w:sz w:val="18"/>
                <w:szCs w:val="18"/>
                <w:lang w:eastAsia="en-CA"/>
              </w:rPr>
              <w:t> </w:t>
            </w:r>
          </w:p>
        </w:tc>
        <w:tc>
          <w:tcPr>
            <w:tcW w:w="3240" w:type="dxa"/>
            <w:gridSpan w:val="3"/>
            <w:tcBorders>
              <w:top w:val="single" w:sz="12" w:space="0" w:color="808080"/>
              <w:left w:val="nil"/>
              <w:bottom w:val="nil"/>
              <w:right w:val="single" w:sz="12"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Employment</w:t>
            </w:r>
          </w:p>
        </w:tc>
        <w:tc>
          <w:tcPr>
            <w:tcW w:w="3240" w:type="dxa"/>
            <w:gridSpan w:val="3"/>
            <w:tcBorders>
              <w:top w:val="single" w:sz="12" w:space="0" w:color="808080"/>
              <w:left w:val="nil"/>
              <w:bottom w:val="nil"/>
              <w:right w:val="single" w:sz="12"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Unemployment Rate</w:t>
            </w:r>
          </w:p>
        </w:tc>
      </w:tr>
      <w:tr w:rsidR="00593D8B" w:rsidRPr="00593D8B" w:rsidTr="00593D8B">
        <w:trPr>
          <w:trHeight w:val="240"/>
        </w:trPr>
        <w:tc>
          <w:tcPr>
            <w:tcW w:w="3640" w:type="dxa"/>
            <w:tcBorders>
              <w:top w:val="nil"/>
              <w:left w:val="single" w:sz="12" w:space="0" w:color="808080"/>
              <w:bottom w:val="nil"/>
              <w:right w:val="single" w:sz="12"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3-Month Moving Averages</w:t>
            </w:r>
          </w:p>
        </w:tc>
        <w:tc>
          <w:tcPr>
            <w:tcW w:w="1080" w:type="dxa"/>
            <w:tcBorders>
              <w:top w:val="single" w:sz="4" w:space="0" w:color="808080"/>
              <w:left w:val="nil"/>
              <w:bottom w:val="nil"/>
              <w:right w:val="single" w:sz="8"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November</w:t>
            </w:r>
          </w:p>
        </w:tc>
        <w:tc>
          <w:tcPr>
            <w:tcW w:w="1080" w:type="dxa"/>
            <w:tcBorders>
              <w:top w:val="single" w:sz="4" w:space="0" w:color="808080"/>
              <w:left w:val="nil"/>
              <w:bottom w:val="nil"/>
              <w:right w:val="single" w:sz="8"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November</w:t>
            </w:r>
          </w:p>
        </w:tc>
        <w:tc>
          <w:tcPr>
            <w:tcW w:w="1080" w:type="dxa"/>
            <w:tcBorders>
              <w:top w:val="single" w:sz="4" w:space="0" w:color="808080"/>
              <w:left w:val="nil"/>
              <w:bottom w:val="nil"/>
              <w:right w:val="single" w:sz="12"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 xml:space="preserve">Yearly </w:t>
            </w:r>
          </w:p>
        </w:tc>
        <w:tc>
          <w:tcPr>
            <w:tcW w:w="1080" w:type="dxa"/>
            <w:tcBorders>
              <w:top w:val="single" w:sz="4" w:space="0" w:color="808080"/>
              <w:left w:val="nil"/>
              <w:bottom w:val="nil"/>
              <w:right w:val="single" w:sz="8"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November</w:t>
            </w:r>
          </w:p>
        </w:tc>
        <w:tc>
          <w:tcPr>
            <w:tcW w:w="1080" w:type="dxa"/>
            <w:tcBorders>
              <w:top w:val="single" w:sz="4" w:space="0" w:color="808080"/>
              <w:left w:val="nil"/>
              <w:bottom w:val="nil"/>
              <w:right w:val="single" w:sz="8"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November</w:t>
            </w:r>
          </w:p>
        </w:tc>
        <w:tc>
          <w:tcPr>
            <w:tcW w:w="1080" w:type="dxa"/>
            <w:tcBorders>
              <w:top w:val="single" w:sz="4" w:space="0" w:color="808080"/>
              <w:left w:val="nil"/>
              <w:bottom w:val="nil"/>
              <w:right w:val="single" w:sz="12"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 xml:space="preserve">Yearly </w:t>
            </w:r>
          </w:p>
        </w:tc>
      </w:tr>
      <w:tr w:rsidR="00593D8B" w:rsidRPr="00593D8B" w:rsidTr="00593D8B">
        <w:trPr>
          <w:trHeight w:val="240"/>
        </w:trPr>
        <w:tc>
          <w:tcPr>
            <w:tcW w:w="3640" w:type="dxa"/>
            <w:tcBorders>
              <w:top w:val="nil"/>
              <w:left w:val="single" w:sz="12" w:space="0" w:color="808080"/>
              <w:bottom w:val="nil"/>
              <w:right w:val="single" w:sz="12"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 xml:space="preserve"> Seasonally Unadjusted Data</w:t>
            </w:r>
          </w:p>
        </w:tc>
        <w:tc>
          <w:tcPr>
            <w:tcW w:w="1080" w:type="dxa"/>
            <w:tcBorders>
              <w:top w:val="nil"/>
              <w:left w:val="nil"/>
              <w:bottom w:val="nil"/>
              <w:right w:val="single" w:sz="8"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2019</w:t>
            </w:r>
          </w:p>
        </w:tc>
        <w:tc>
          <w:tcPr>
            <w:tcW w:w="1080" w:type="dxa"/>
            <w:tcBorders>
              <w:top w:val="nil"/>
              <w:left w:val="nil"/>
              <w:bottom w:val="nil"/>
              <w:right w:val="single" w:sz="8"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2018</w:t>
            </w:r>
          </w:p>
        </w:tc>
        <w:tc>
          <w:tcPr>
            <w:tcW w:w="1080" w:type="dxa"/>
            <w:tcBorders>
              <w:top w:val="nil"/>
              <w:left w:val="nil"/>
              <w:bottom w:val="nil"/>
              <w:right w:val="single" w:sz="12"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Variation</w:t>
            </w:r>
          </w:p>
        </w:tc>
        <w:tc>
          <w:tcPr>
            <w:tcW w:w="1080" w:type="dxa"/>
            <w:tcBorders>
              <w:top w:val="nil"/>
              <w:left w:val="nil"/>
              <w:bottom w:val="nil"/>
              <w:right w:val="single" w:sz="8"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2019</w:t>
            </w:r>
          </w:p>
        </w:tc>
        <w:tc>
          <w:tcPr>
            <w:tcW w:w="1080" w:type="dxa"/>
            <w:tcBorders>
              <w:top w:val="nil"/>
              <w:left w:val="nil"/>
              <w:bottom w:val="nil"/>
              <w:right w:val="single" w:sz="8"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2018</w:t>
            </w:r>
          </w:p>
        </w:tc>
        <w:tc>
          <w:tcPr>
            <w:tcW w:w="1080" w:type="dxa"/>
            <w:tcBorders>
              <w:top w:val="nil"/>
              <w:left w:val="nil"/>
              <w:bottom w:val="nil"/>
              <w:right w:val="single" w:sz="12"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Variation</w:t>
            </w:r>
          </w:p>
        </w:tc>
      </w:tr>
      <w:tr w:rsidR="00593D8B" w:rsidRPr="00593D8B" w:rsidTr="00593D8B">
        <w:trPr>
          <w:trHeight w:val="255"/>
        </w:trPr>
        <w:tc>
          <w:tcPr>
            <w:tcW w:w="3640" w:type="dxa"/>
            <w:tcBorders>
              <w:top w:val="nil"/>
              <w:left w:val="single" w:sz="12" w:space="0" w:color="808080"/>
              <w:bottom w:val="single" w:sz="12" w:space="0" w:color="808080"/>
              <w:right w:val="single" w:sz="12" w:space="0" w:color="808080"/>
            </w:tcBorders>
            <w:shd w:val="clear" w:color="000000" w:fill="1F497D"/>
            <w:vAlign w:val="center"/>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 </w:t>
            </w:r>
          </w:p>
        </w:tc>
        <w:tc>
          <w:tcPr>
            <w:tcW w:w="1080" w:type="dxa"/>
            <w:tcBorders>
              <w:top w:val="nil"/>
              <w:left w:val="single" w:sz="8" w:space="0" w:color="808080"/>
              <w:bottom w:val="single" w:sz="12" w:space="0" w:color="808080"/>
              <w:right w:val="single" w:sz="8"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('000)</w:t>
            </w:r>
          </w:p>
        </w:tc>
        <w:tc>
          <w:tcPr>
            <w:tcW w:w="1080" w:type="dxa"/>
            <w:tcBorders>
              <w:top w:val="nil"/>
              <w:left w:val="nil"/>
              <w:bottom w:val="single" w:sz="12" w:space="0" w:color="808080"/>
              <w:right w:val="single" w:sz="8"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('000)</w:t>
            </w:r>
          </w:p>
        </w:tc>
        <w:tc>
          <w:tcPr>
            <w:tcW w:w="1080" w:type="dxa"/>
            <w:tcBorders>
              <w:top w:val="nil"/>
              <w:left w:val="nil"/>
              <w:bottom w:val="single" w:sz="12" w:space="0" w:color="808080"/>
              <w:right w:val="single" w:sz="12"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w:t>
            </w:r>
          </w:p>
        </w:tc>
        <w:tc>
          <w:tcPr>
            <w:tcW w:w="1080" w:type="dxa"/>
            <w:tcBorders>
              <w:top w:val="nil"/>
              <w:left w:val="single" w:sz="8" w:space="0" w:color="808080"/>
              <w:bottom w:val="single" w:sz="12" w:space="0" w:color="808080"/>
              <w:right w:val="single" w:sz="8"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w:t>
            </w:r>
          </w:p>
        </w:tc>
        <w:tc>
          <w:tcPr>
            <w:tcW w:w="1080" w:type="dxa"/>
            <w:tcBorders>
              <w:top w:val="nil"/>
              <w:left w:val="nil"/>
              <w:bottom w:val="single" w:sz="12" w:space="0" w:color="808080"/>
              <w:right w:val="single" w:sz="8"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w:t>
            </w:r>
          </w:p>
        </w:tc>
        <w:tc>
          <w:tcPr>
            <w:tcW w:w="1080" w:type="dxa"/>
            <w:tcBorders>
              <w:top w:val="nil"/>
              <w:left w:val="nil"/>
              <w:bottom w:val="single" w:sz="12" w:space="0" w:color="808080"/>
              <w:right w:val="single" w:sz="12" w:space="0" w:color="808080"/>
            </w:tcBorders>
            <w:shd w:val="clear" w:color="000000" w:fill="1F497D"/>
            <w:hideMark/>
          </w:tcPr>
          <w:p w:rsidR="00593D8B" w:rsidRPr="00593D8B" w:rsidRDefault="00593D8B" w:rsidP="00593D8B">
            <w:pPr>
              <w:spacing w:after="0" w:line="240" w:lineRule="auto"/>
              <w:jc w:val="center"/>
              <w:rPr>
                <w:rFonts w:eastAsia="Times New Roman" w:cs="Calibri"/>
                <w:b/>
                <w:bCs/>
                <w:color w:val="FFFFFF"/>
                <w:sz w:val="18"/>
                <w:szCs w:val="18"/>
                <w:lang w:eastAsia="en-CA"/>
              </w:rPr>
            </w:pPr>
            <w:r w:rsidRPr="00593D8B">
              <w:rPr>
                <w:rFonts w:eastAsia="Times New Roman" w:cs="Calibri"/>
                <w:b/>
                <w:bCs/>
                <w:color w:val="FFFFFF"/>
                <w:sz w:val="18"/>
                <w:szCs w:val="18"/>
                <w:lang w:eastAsia="en-CA"/>
              </w:rPr>
              <w:t>(% points)</w:t>
            </w:r>
          </w:p>
        </w:tc>
      </w:tr>
      <w:tr w:rsidR="00593D8B" w:rsidRPr="00593D8B" w:rsidTr="00593D8B">
        <w:trPr>
          <w:trHeight w:val="255"/>
        </w:trPr>
        <w:tc>
          <w:tcPr>
            <w:tcW w:w="3640" w:type="dxa"/>
            <w:tcBorders>
              <w:top w:val="nil"/>
              <w:left w:val="single" w:sz="12" w:space="0" w:color="808080"/>
              <w:bottom w:val="single" w:sz="4" w:space="0" w:color="808080"/>
              <w:right w:val="single" w:sz="12" w:space="0" w:color="808080"/>
            </w:tcBorders>
            <w:shd w:val="clear" w:color="auto" w:fill="auto"/>
            <w:noWrap/>
            <w:hideMark/>
          </w:tcPr>
          <w:p w:rsidR="00593D8B" w:rsidRPr="00593D8B" w:rsidRDefault="00593D8B" w:rsidP="00593D8B">
            <w:pPr>
              <w:spacing w:after="0" w:line="240" w:lineRule="auto"/>
              <w:rPr>
                <w:rFonts w:eastAsia="Times New Roman" w:cs="Calibri"/>
                <w:b/>
                <w:bCs/>
                <w:color w:val="000000"/>
                <w:sz w:val="18"/>
                <w:szCs w:val="18"/>
                <w:lang w:eastAsia="en-CA"/>
              </w:rPr>
            </w:pPr>
            <w:r w:rsidRPr="00593D8B">
              <w:rPr>
                <w:rFonts w:eastAsia="Times New Roman" w:cs="Calibri"/>
                <w:b/>
                <w:bCs/>
                <w:color w:val="000000"/>
                <w:sz w:val="18"/>
                <w:szCs w:val="18"/>
                <w:lang w:eastAsia="en-CA"/>
              </w:rPr>
              <w:t>Alberta</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2,352.8</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2,346.7</w:t>
            </w:r>
          </w:p>
        </w:tc>
        <w:tc>
          <w:tcPr>
            <w:tcW w:w="1080" w:type="dxa"/>
            <w:tcBorders>
              <w:top w:val="nil"/>
              <w:left w:val="nil"/>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0.3</w:t>
            </w:r>
          </w:p>
        </w:tc>
        <w:tc>
          <w:tcPr>
            <w:tcW w:w="1080" w:type="dxa"/>
            <w:tcBorders>
              <w:top w:val="nil"/>
              <w:left w:val="single" w:sz="12" w:space="0" w:color="808080"/>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6.4</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6.2</w:t>
            </w:r>
          </w:p>
        </w:tc>
        <w:tc>
          <w:tcPr>
            <w:tcW w:w="1080" w:type="dxa"/>
            <w:tcBorders>
              <w:top w:val="nil"/>
              <w:left w:val="nil"/>
              <w:bottom w:val="single" w:sz="4" w:space="0" w:color="808080"/>
              <w:right w:val="single" w:sz="12"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0.2</w:t>
            </w:r>
          </w:p>
        </w:tc>
      </w:tr>
      <w:tr w:rsidR="00593D8B" w:rsidRPr="00593D8B" w:rsidTr="00593D8B">
        <w:trPr>
          <w:trHeight w:val="240"/>
        </w:trPr>
        <w:tc>
          <w:tcPr>
            <w:tcW w:w="3640" w:type="dxa"/>
            <w:tcBorders>
              <w:top w:val="nil"/>
              <w:left w:val="single" w:sz="12" w:space="0" w:color="808080"/>
              <w:bottom w:val="single" w:sz="4" w:space="0" w:color="808080"/>
              <w:right w:val="single" w:sz="12" w:space="0" w:color="808080"/>
            </w:tcBorders>
            <w:shd w:val="clear" w:color="auto" w:fill="auto"/>
            <w:noWrap/>
            <w:hideMark/>
          </w:tcPr>
          <w:p w:rsidR="00593D8B" w:rsidRPr="00593D8B" w:rsidRDefault="00593D8B" w:rsidP="00593D8B">
            <w:pPr>
              <w:spacing w:after="0" w:line="240" w:lineRule="auto"/>
              <w:rPr>
                <w:rFonts w:eastAsia="Times New Roman" w:cs="Calibri"/>
                <w:b/>
                <w:bCs/>
                <w:color w:val="000000"/>
                <w:sz w:val="18"/>
                <w:szCs w:val="18"/>
                <w:lang w:eastAsia="en-CA"/>
              </w:rPr>
            </w:pPr>
            <w:r w:rsidRPr="00593D8B">
              <w:rPr>
                <w:rFonts w:eastAsia="Times New Roman" w:cs="Calibri"/>
                <w:b/>
                <w:bCs/>
                <w:color w:val="000000"/>
                <w:sz w:val="18"/>
                <w:szCs w:val="18"/>
                <w:lang w:eastAsia="en-CA"/>
              </w:rPr>
              <w:t>Economic Regions</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 </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 </w:t>
            </w:r>
          </w:p>
        </w:tc>
        <w:tc>
          <w:tcPr>
            <w:tcW w:w="1080" w:type="dxa"/>
            <w:tcBorders>
              <w:top w:val="nil"/>
              <w:left w:val="nil"/>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 </w:t>
            </w:r>
          </w:p>
        </w:tc>
        <w:tc>
          <w:tcPr>
            <w:tcW w:w="1080" w:type="dxa"/>
            <w:tcBorders>
              <w:top w:val="nil"/>
              <w:left w:val="single" w:sz="12" w:space="0" w:color="808080"/>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 </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 </w:t>
            </w:r>
          </w:p>
        </w:tc>
        <w:tc>
          <w:tcPr>
            <w:tcW w:w="1080" w:type="dxa"/>
            <w:tcBorders>
              <w:top w:val="nil"/>
              <w:left w:val="nil"/>
              <w:bottom w:val="single" w:sz="4" w:space="0" w:color="808080"/>
              <w:right w:val="single" w:sz="12"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 </w:t>
            </w:r>
          </w:p>
        </w:tc>
      </w:tr>
      <w:tr w:rsidR="00593D8B" w:rsidRPr="00593D8B" w:rsidTr="00593D8B">
        <w:trPr>
          <w:trHeight w:val="240"/>
        </w:trPr>
        <w:tc>
          <w:tcPr>
            <w:tcW w:w="3640" w:type="dxa"/>
            <w:tcBorders>
              <w:top w:val="nil"/>
              <w:left w:val="single" w:sz="12" w:space="0" w:color="808080"/>
              <w:bottom w:val="single" w:sz="4" w:space="0" w:color="808080"/>
              <w:right w:val="single" w:sz="12" w:space="0" w:color="808080"/>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Lethbridge - Medicine Hat</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146.1</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144.5</w:t>
            </w:r>
          </w:p>
        </w:tc>
        <w:tc>
          <w:tcPr>
            <w:tcW w:w="1080" w:type="dxa"/>
            <w:tcBorders>
              <w:top w:val="nil"/>
              <w:left w:val="nil"/>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1.1</w:t>
            </w:r>
          </w:p>
        </w:tc>
        <w:tc>
          <w:tcPr>
            <w:tcW w:w="1080" w:type="dxa"/>
            <w:tcBorders>
              <w:top w:val="nil"/>
              <w:left w:val="single" w:sz="12" w:space="0" w:color="808080"/>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4.9</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3.9</w:t>
            </w:r>
          </w:p>
        </w:tc>
        <w:tc>
          <w:tcPr>
            <w:tcW w:w="1080" w:type="dxa"/>
            <w:tcBorders>
              <w:top w:val="nil"/>
              <w:left w:val="nil"/>
              <w:bottom w:val="single" w:sz="4" w:space="0" w:color="808080"/>
              <w:right w:val="single" w:sz="12"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w:t>
            </w:r>
          </w:p>
        </w:tc>
      </w:tr>
      <w:tr w:rsidR="00593D8B" w:rsidRPr="00593D8B" w:rsidTr="00593D8B">
        <w:trPr>
          <w:trHeight w:val="240"/>
        </w:trPr>
        <w:tc>
          <w:tcPr>
            <w:tcW w:w="3640" w:type="dxa"/>
            <w:tcBorders>
              <w:top w:val="nil"/>
              <w:left w:val="single" w:sz="12" w:space="0" w:color="808080"/>
              <w:bottom w:val="single" w:sz="4" w:space="0" w:color="808080"/>
              <w:right w:val="single" w:sz="12" w:space="0" w:color="808080"/>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Camrose - Drumheller</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97.3</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98.3</w:t>
            </w:r>
          </w:p>
        </w:tc>
        <w:tc>
          <w:tcPr>
            <w:tcW w:w="1080" w:type="dxa"/>
            <w:tcBorders>
              <w:top w:val="nil"/>
              <w:left w:val="nil"/>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w:t>
            </w:r>
          </w:p>
        </w:tc>
        <w:tc>
          <w:tcPr>
            <w:tcW w:w="1080" w:type="dxa"/>
            <w:tcBorders>
              <w:top w:val="nil"/>
              <w:left w:val="single" w:sz="12" w:space="0" w:color="808080"/>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3.7</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6.9</w:t>
            </w:r>
          </w:p>
        </w:tc>
        <w:tc>
          <w:tcPr>
            <w:tcW w:w="1080" w:type="dxa"/>
            <w:tcBorders>
              <w:top w:val="nil"/>
              <w:left w:val="nil"/>
              <w:bottom w:val="single" w:sz="4" w:space="0" w:color="808080"/>
              <w:right w:val="single" w:sz="12"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-3.2</w:t>
            </w:r>
          </w:p>
        </w:tc>
      </w:tr>
      <w:tr w:rsidR="00593D8B" w:rsidRPr="00593D8B" w:rsidTr="00593D8B">
        <w:trPr>
          <w:trHeight w:val="240"/>
        </w:trPr>
        <w:tc>
          <w:tcPr>
            <w:tcW w:w="3640" w:type="dxa"/>
            <w:tcBorders>
              <w:top w:val="nil"/>
              <w:left w:val="single" w:sz="12" w:space="0" w:color="808080"/>
              <w:bottom w:val="single" w:sz="4" w:space="0" w:color="808080"/>
              <w:right w:val="single" w:sz="12" w:space="0" w:color="808080"/>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Calgary</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924.3</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893.9</w:t>
            </w:r>
          </w:p>
        </w:tc>
        <w:tc>
          <w:tcPr>
            <w:tcW w:w="1080" w:type="dxa"/>
            <w:tcBorders>
              <w:top w:val="nil"/>
              <w:left w:val="nil"/>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3.4</w:t>
            </w:r>
          </w:p>
        </w:tc>
        <w:tc>
          <w:tcPr>
            <w:tcW w:w="1080" w:type="dxa"/>
            <w:tcBorders>
              <w:top w:val="nil"/>
              <w:left w:val="single" w:sz="12" w:space="0" w:color="808080"/>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6.7</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7.5</w:t>
            </w:r>
          </w:p>
        </w:tc>
        <w:tc>
          <w:tcPr>
            <w:tcW w:w="1080" w:type="dxa"/>
            <w:tcBorders>
              <w:top w:val="nil"/>
              <w:left w:val="nil"/>
              <w:bottom w:val="single" w:sz="4" w:space="0" w:color="808080"/>
              <w:right w:val="single" w:sz="12"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-0.8</w:t>
            </w:r>
          </w:p>
        </w:tc>
      </w:tr>
      <w:tr w:rsidR="00593D8B" w:rsidRPr="00593D8B" w:rsidTr="00593D8B">
        <w:trPr>
          <w:trHeight w:val="480"/>
        </w:trPr>
        <w:tc>
          <w:tcPr>
            <w:tcW w:w="3640" w:type="dxa"/>
            <w:tcBorders>
              <w:top w:val="nil"/>
              <w:left w:val="single" w:sz="12" w:space="0" w:color="808080"/>
              <w:bottom w:val="single" w:sz="4" w:space="0" w:color="808080"/>
              <w:right w:val="single" w:sz="12" w:space="0" w:color="808080"/>
            </w:tcBorders>
            <w:shd w:val="clear" w:color="auto" w:fill="auto"/>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Banff - Jasper - Rocky Mountain House and Athabasca - Grand Prairie - Peace River </w:t>
            </w:r>
          </w:p>
        </w:tc>
        <w:tc>
          <w:tcPr>
            <w:tcW w:w="108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186.4</w:t>
            </w:r>
          </w:p>
        </w:tc>
        <w:tc>
          <w:tcPr>
            <w:tcW w:w="108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185.9</w:t>
            </w:r>
          </w:p>
        </w:tc>
        <w:tc>
          <w:tcPr>
            <w:tcW w:w="1080" w:type="dxa"/>
            <w:tcBorders>
              <w:top w:val="nil"/>
              <w:left w:val="nil"/>
              <w:bottom w:val="single" w:sz="4" w:space="0" w:color="808080"/>
              <w:right w:val="nil"/>
            </w:tcBorders>
            <w:shd w:val="clear" w:color="auto" w:fill="auto"/>
            <w:noWrap/>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0.3</w:t>
            </w:r>
          </w:p>
        </w:tc>
        <w:tc>
          <w:tcPr>
            <w:tcW w:w="1080" w:type="dxa"/>
            <w:tcBorders>
              <w:top w:val="nil"/>
              <w:left w:val="single" w:sz="12" w:space="0" w:color="808080"/>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5.7</w:t>
            </w:r>
          </w:p>
        </w:tc>
        <w:tc>
          <w:tcPr>
            <w:tcW w:w="1080" w:type="dxa"/>
            <w:tcBorders>
              <w:top w:val="nil"/>
              <w:left w:val="nil"/>
              <w:bottom w:val="single" w:sz="4" w:space="0" w:color="808080"/>
              <w:right w:val="single" w:sz="4"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4.6</w:t>
            </w:r>
          </w:p>
        </w:tc>
        <w:tc>
          <w:tcPr>
            <w:tcW w:w="1080" w:type="dxa"/>
            <w:tcBorders>
              <w:top w:val="nil"/>
              <w:left w:val="nil"/>
              <w:bottom w:val="single" w:sz="4" w:space="0" w:color="808080"/>
              <w:right w:val="single" w:sz="12" w:space="0" w:color="808080"/>
            </w:tcBorders>
            <w:shd w:val="clear" w:color="auto" w:fill="auto"/>
            <w:vAlign w:val="bottom"/>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1.1</w:t>
            </w:r>
          </w:p>
        </w:tc>
      </w:tr>
      <w:tr w:rsidR="00593D8B" w:rsidRPr="00593D8B" w:rsidTr="00593D8B">
        <w:trPr>
          <w:trHeight w:val="240"/>
        </w:trPr>
        <w:tc>
          <w:tcPr>
            <w:tcW w:w="3640" w:type="dxa"/>
            <w:tcBorders>
              <w:top w:val="nil"/>
              <w:left w:val="single" w:sz="12" w:space="0" w:color="808080"/>
              <w:bottom w:val="single" w:sz="4" w:space="0" w:color="808080"/>
              <w:right w:val="single" w:sz="12" w:space="0" w:color="808080"/>
            </w:tcBorders>
            <w:shd w:val="clear" w:color="auto" w:fill="auto"/>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Red Deer</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111.7</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121.6</w:t>
            </w:r>
          </w:p>
        </w:tc>
        <w:tc>
          <w:tcPr>
            <w:tcW w:w="1080" w:type="dxa"/>
            <w:tcBorders>
              <w:top w:val="nil"/>
              <w:left w:val="nil"/>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-8.1</w:t>
            </w:r>
          </w:p>
        </w:tc>
        <w:tc>
          <w:tcPr>
            <w:tcW w:w="1080" w:type="dxa"/>
            <w:tcBorders>
              <w:top w:val="nil"/>
              <w:left w:val="single" w:sz="12" w:space="0" w:color="808080"/>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6.5</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5.4</w:t>
            </w:r>
          </w:p>
        </w:tc>
        <w:tc>
          <w:tcPr>
            <w:tcW w:w="1080" w:type="dxa"/>
            <w:tcBorders>
              <w:top w:val="nil"/>
              <w:left w:val="nil"/>
              <w:bottom w:val="single" w:sz="4" w:space="0" w:color="808080"/>
              <w:right w:val="single" w:sz="12"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1.1</w:t>
            </w:r>
          </w:p>
        </w:tc>
      </w:tr>
      <w:tr w:rsidR="00593D8B" w:rsidRPr="00593D8B" w:rsidTr="00593D8B">
        <w:trPr>
          <w:trHeight w:val="240"/>
        </w:trPr>
        <w:tc>
          <w:tcPr>
            <w:tcW w:w="3640" w:type="dxa"/>
            <w:tcBorders>
              <w:top w:val="nil"/>
              <w:left w:val="single" w:sz="12" w:space="0" w:color="808080"/>
              <w:bottom w:val="single" w:sz="4" w:space="0" w:color="808080"/>
              <w:right w:val="single" w:sz="12" w:space="0" w:color="808080"/>
            </w:tcBorders>
            <w:shd w:val="clear" w:color="auto" w:fill="auto"/>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Edmonton</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806.8</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821.1</w:t>
            </w:r>
          </w:p>
        </w:tc>
        <w:tc>
          <w:tcPr>
            <w:tcW w:w="1080" w:type="dxa"/>
            <w:tcBorders>
              <w:top w:val="nil"/>
              <w:left w:val="nil"/>
              <w:bottom w:val="single" w:sz="4"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-1.7</w:t>
            </w:r>
          </w:p>
        </w:tc>
        <w:tc>
          <w:tcPr>
            <w:tcW w:w="1080" w:type="dxa"/>
            <w:tcBorders>
              <w:top w:val="nil"/>
              <w:left w:val="single" w:sz="12" w:space="0" w:color="808080"/>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7.0</w:t>
            </w:r>
          </w:p>
        </w:tc>
        <w:tc>
          <w:tcPr>
            <w:tcW w:w="1080" w:type="dxa"/>
            <w:tcBorders>
              <w:top w:val="nil"/>
              <w:left w:val="nil"/>
              <w:bottom w:val="single" w:sz="4"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5.6</w:t>
            </w:r>
          </w:p>
        </w:tc>
        <w:tc>
          <w:tcPr>
            <w:tcW w:w="1080" w:type="dxa"/>
            <w:tcBorders>
              <w:top w:val="nil"/>
              <w:left w:val="nil"/>
              <w:bottom w:val="single" w:sz="4" w:space="0" w:color="808080"/>
              <w:right w:val="single" w:sz="12"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1.4</w:t>
            </w:r>
          </w:p>
        </w:tc>
      </w:tr>
      <w:tr w:rsidR="00593D8B" w:rsidRPr="00593D8B" w:rsidTr="00593D8B">
        <w:trPr>
          <w:trHeight w:val="255"/>
        </w:trPr>
        <w:tc>
          <w:tcPr>
            <w:tcW w:w="3640" w:type="dxa"/>
            <w:tcBorders>
              <w:top w:val="nil"/>
              <w:left w:val="single" w:sz="12" w:space="0" w:color="808080"/>
              <w:bottom w:val="single" w:sz="12" w:space="0" w:color="808080"/>
              <w:right w:val="single" w:sz="12" w:space="0" w:color="808080"/>
            </w:tcBorders>
            <w:shd w:val="clear" w:color="auto" w:fill="auto"/>
            <w:noWrap/>
            <w:hideMark/>
          </w:tcPr>
          <w:p w:rsidR="00593D8B" w:rsidRPr="00593D8B" w:rsidRDefault="00593D8B" w:rsidP="00593D8B">
            <w:pPr>
              <w:spacing w:after="0" w:line="240" w:lineRule="auto"/>
              <w:rPr>
                <w:rFonts w:eastAsia="Times New Roman" w:cs="Calibri"/>
                <w:color w:val="000000"/>
                <w:sz w:val="18"/>
                <w:szCs w:val="18"/>
                <w:lang w:eastAsia="en-CA"/>
              </w:rPr>
            </w:pPr>
            <w:r w:rsidRPr="00593D8B">
              <w:rPr>
                <w:rFonts w:eastAsia="Times New Roman" w:cs="Calibri"/>
                <w:color w:val="000000"/>
                <w:sz w:val="18"/>
                <w:szCs w:val="18"/>
                <w:lang w:eastAsia="en-CA"/>
              </w:rPr>
              <w:t xml:space="preserve">  Wood Buffalo - Cold Lake </w:t>
            </w:r>
          </w:p>
        </w:tc>
        <w:tc>
          <w:tcPr>
            <w:tcW w:w="1080" w:type="dxa"/>
            <w:tcBorders>
              <w:top w:val="nil"/>
              <w:left w:val="nil"/>
              <w:bottom w:val="single" w:sz="12"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80.2</w:t>
            </w:r>
          </w:p>
        </w:tc>
        <w:tc>
          <w:tcPr>
            <w:tcW w:w="1080" w:type="dxa"/>
            <w:tcBorders>
              <w:top w:val="nil"/>
              <w:left w:val="nil"/>
              <w:bottom w:val="single" w:sz="12"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81.4</w:t>
            </w:r>
          </w:p>
        </w:tc>
        <w:tc>
          <w:tcPr>
            <w:tcW w:w="1080" w:type="dxa"/>
            <w:tcBorders>
              <w:top w:val="nil"/>
              <w:left w:val="nil"/>
              <w:bottom w:val="single" w:sz="12" w:space="0" w:color="808080"/>
              <w:right w:val="nil"/>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-1.5</w:t>
            </w:r>
          </w:p>
        </w:tc>
        <w:tc>
          <w:tcPr>
            <w:tcW w:w="1080" w:type="dxa"/>
            <w:tcBorders>
              <w:top w:val="nil"/>
              <w:left w:val="single" w:sz="12" w:space="0" w:color="808080"/>
              <w:bottom w:val="single" w:sz="12"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4.3</w:t>
            </w:r>
          </w:p>
        </w:tc>
        <w:tc>
          <w:tcPr>
            <w:tcW w:w="1080" w:type="dxa"/>
            <w:tcBorders>
              <w:top w:val="nil"/>
              <w:left w:val="nil"/>
              <w:bottom w:val="single" w:sz="12" w:space="0" w:color="808080"/>
              <w:right w:val="single" w:sz="4"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5.3</w:t>
            </w:r>
          </w:p>
        </w:tc>
        <w:tc>
          <w:tcPr>
            <w:tcW w:w="1080" w:type="dxa"/>
            <w:tcBorders>
              <w:top w:val="nil"/>
              <w:left w:val="nil"/>
              <w:bottom w:val="single" w:sz="12" w:space="0" w:color="808080"/>
              <w:right w:val="single" w:sz="12" w:space="0" w:color="808080"/>
            </w:tcBorders>
            <w:shd w:val="clear" w:color="auto" w:fill="auto"/>
            <w:hideMark/>
          </w:tcPr>
          <w:p w:rsidR="00593D8B" w:rsidRPr="00593D8B" w:rsidRDefault="00593D8B" w:rsidP="00593D8B">
            <w:pPr>
              <w:spacing w:after="0" w:line="240" w:lineRule="auto"/>
              <w:jc w:val="right"/>
              <w:rPr>
                <w:rFonts w:eastAsia="Times New Roman" w:cs="Calibri"/>
                <w:color w:val="000000"/>
                <w:sz w:val="18"/>
                <w:szCs w:val="18"/>
                <w:lang w:eastAsia="en-CA"/>
              </w:rPr>
            </w:pPr>
            <w:r w:rsidRPr="00593D8B">
              <w:rPr>
                <w:rFonts w:eastAsia="Times New Roman" w:cs="Calibri"/>
                <w:color w:val="000000"/>
                <w:sz w:val="18"/>
                <w:szCs w:val="18"/>
                <w:lang w:eastAsia="en-CA"/>
              </w:rPr>
              <w:t>-1.0</w:t>
            </w:r>
          </w:p>
        </w:tc>
      </w:tr>
      <w:tr w:rsidR="00593D8B" w:rsidRPr="00593D8B" w:rsidTr="00593D8B">
        <w:trPr>
          <w:trHeight w:val="255"/>
        </w:trPr>
        <w:tc>
          <w:tcPr>
            <w:tcW w:w="10120" w:type="dxa"/>
            <w:gridSpan w:val="7"/>
            <w:tcBorders>
              <w:top w:val="nil"/>
              <w:left w:val="nil"/>
              <w:bottom w:val="nil"/>
              <w:right w:val="nil"/>
            </w:tcBorders>
            <w:shd w:val="clear" w:color="auto" w:fill="auto"/>
            <w:noWrap/>
            <w:vAlign w:val="bottom"/>
            <w:hideMark/>
          </w:tcPr>
          <w:p w:rsidR="00593D8B" w:rsidRPr="00593D8B" w:rsidRDefault="00593D8B" w:rsidP="00593D8B">
            <w:pPr>
              <w:spacing w:after="0" w:line="240" w:lineRule="auto"/>
              <w:rPr>
                <w:rFonts w:eastAsia="Times New Roman" w:cs="Calibri"/>
                <w:i/>
                <w:iCs/>
                <w:color w:val="000000"/>
                <w:sz w:val="16"/>
                <w:szCs w:val="16"/>
                <w:lang w:eastAsia="en-CA"/>
              </w:rPr>
            </w:pPr>
            <w:r w:rsidRPr="00593D8B">
              <w:rPr>
                <w:rFonts w:eastAsia="Times New Roman" w:cs="Calibri"/>
                <w:i/>
                <w:iCs/>
                <w:color w:val="000000"/>
                <w:sz w:val="16"/>
                <w:szCs w:val="16"/>
                <w:lang w:eastAsia="en-CA"/>
              </w:rPr>
              <w:t>Note: Totals may not add due to rounding</w:t>
            </w:r>
          </w:p>
        </w:tc>
      </w:tr>
      <w:tr w:rsidR="00593D8B" w:rsidRPr="00593D8B" w:rsidTr="00593D8B">
        <w:trPr>
          <w:trHeight w:val="240"/>
        </w:trPr>
        <w:tc>
          <w:tcPr>
            <w:tcW w:w="10120" w:type="dxa"/>
            <w:gridSpan w:val="7"/>
            <w:tcBorders>
              <w:top w:val="nil"/>
              <w:left w:val="nil"/>
              <w:bottom w:val="nil"/>
              <w:right w:val="nil"/>
            </w:tcBorders>
            <w:shd w:val="clear" w:color="auto" w:fill="auto"/>
            <w:noWrap/>
            <w:vAlign w:val="bottom"/>
            <w:hideMark/>
          </w:tcPr>
          <w:p w:rsidR="00593D8B" w:rsidRPr="00593D8B" w:rsidRDefault="00593D8B" w:rsidP="00593D8B">
            <w:pPr>
              <w:spacing w:after="0" w:line="240" w:lineRule="auto"/>
              <w:rPr>
                <w:rFonts w:eastAsia="Times New Roman" w:cs="Calibri"/>
                <w:i/>
                <w:iCs/>
                <w:color w:val="000000"/>
                <w:sz w:val="16"/>
                <w:szCs w:val="16"/>
                <w:lang w:eastAsia="en-CA"/>
              </w:rPr>
            </w:pPr>
            <w:r w:rsidRPr="00593D8B">
              <w:rPr>
                <w:rFonts w:eastAsia="Times New Roman" w:cs="Calibri"/>
                <w:i/>
                <w:iCs/>
                <w:color w:val="000000"/>
                <w:sz w:val="16"/>
                <w:szCs w:val="16"/>
                <w:lang w:eastAsia="en-CA"/>
              </w:rPr>
              <w:t>Source: Statistics Canada Labour Force Survey – Table 14-10-0293, formerly CANSIM 282-0122</w:t>
            </w:r>
          </w:p>
        </w:tc>
      </w:tr>
    </w:tbl>
    <w:p w:rsidR="004460B0" w:rsidRDefault="004460B0" w:rsidP="00B6742E">
      <w:pPr>
        <w:spacing w:before="240" w:after="120"/>
        <w:jc w:val="both"/>
        <w:rPr>
          <w:rFonts w:cs="Arial"/>
          <w:iCs/>
        </w:rPr>
      </w:pPr>
      <w:r w:rsidRPr="00714657">
        <w:rPr>
          <w:rFonts w:cs="Arial"/>
          <w:iCs/>
        </w:rPr>
        <w:t xml:space="preserve">In </w:t>
      </w:r>
      <w:r w:rsidRPr="00427310">
        <w:rPr>
          <w:rFonts w:cs="Arial"/>
          <w:b/>
          <w:iCs/>
        </w:rPr>
        <w:t>Lethbridge-Medicine Hat</w:t>
      </w:r>
      <w:r w:rsidRPr="00714657">
        <w:rPr>
          <w:rFonts w:cs="Arial"/>
          <w:iCs/>
        </w:rPr>
        <w:t xml:space="preserve">, employment was </w:t>
      </w:r>
      <w:r>
        <w:rPr>
          <w:rFonts w:cs="Arial"/>
          <w:iCs/>
        </w:rPr>
        <w:t>up</w:t>
      </w:r>
      <w:r w:rsidR="00AD3252">
        <w:rPr>
          <w:rFonts w:cs="Arial"/>
          <w:iCs/>
        </w:rPr>
        <w:t xml:space="preserve"> </w:t>
      </w:r>
      <w:r>
        <w:rPr>
          <w:rFonts w:cs="Arial"/>
          <w:iCs/>
        </w:rPr>
        <w:t xml:space="preserve">1.1% </w:t>
      </w:r>
      <w:r w:rsidRPr="00714657">
        <w:rPr>
          <w:rFonts w:cs="Arial"/>
          <w:iCs/>
        </w:rPr>
        <w:t xml:space="preserve">compared to </w:t>
      </w:r>
      <w:r>
        <w:rPr>
          <w:rFonts w:cs="Arial"/>
          <w:iCs/>
        </w:rPr>
        <w:t>November</w:t>
      </w:r>
      <w:r w:rsidRPr="00714657">
        <w:rPr>
          <w:rFonts w:cs="Arial"/>
          <w:iCs/>
        </w:rPr>
        <w:t xml:space="preserve"> 201</w:t>
      </w:r>
      <w:r>
        <w:rPr>
          <w:rFonts w:cs="Arial"/>
          <w:iCs/>
        </w:rPr>
        <w:t>8</w:t>
      </w:r>
      <w:r w:rsidRPr="00714657">
        <w:rPr>
          <w:rFonts w:cs="Arial"/>
          <w:iCs/>
        </w:rPr>
        <w:t xml:space="preserve">, </w:t>
      </w:r>
      <w:r>
        <w:rPr>
          <w:rFonts w:cs="Arial"/>
          <w:iCs/>
        </w:rPr>
        <w:t>however</w:t>
      </w:r>
      <w:r w:rsidRPr="00714657">
        <w:rPr>
          <w:rFonts w:cs="Arial"/>
          <w:iCs/>
        </w:rPr>
        <w:t xml:space="preserve"> the unemployment rate </w:t>
      </w:r>
      <w:r>
        <w:rPr>
          <w:rFonts w:cs="Arial"/>
          <w:iCs/>
        </w:rPr>
        <w:t>edged up by 1 percentage point to 4.9% as labour force growth (+2.2%) outpaced employment growth.</w:t>
      </w:r>
    </w:p>
    <w:p w:rsidR="004460B0" w:rsidRDefault="004460B0" w:rsidP="00B6742E">
      <w:pPr>
        <w:spacing w:before="120" w:after="120"/>
        <w:jc w:val="both"/>
        <w:rPr>
          <w:rFonts w:cs="Calibri"/>
          <w:lang w:eastAsia="en-CA"/>
        </w:rPr>
      </w:pPr>
      <w:r>
        <w:rPr>
          <w:rFonts w:cs="Arial"/>
          <w:iCs/>
        </w:rPr>
        <w:t xml:space="preserve">Growth was </w:t>
      </w:r>
      <w:r w:rsidR="00AD3252">
        <w:rPr>
          <w:rFonts w:cs="Arial"/>
          <w:iCs/>
        </w:rPr>
        <w:t>fuelled</w:t>
      </w:r>
      <w:r>
        <w:rPr>
          <w:rFonts w:cs="Arial"/>
          <w:iCs/>
        </w:rPr>
        <w:t xml:space="preserve"> by a strong services-producing sector which offset job losses in the goods-producing sector. Looking forward, there is optimism that the goods-producing sector will strengthen in 2020 as a number of renewable energy projects slated to begin construction. This includes the first phase Suncor Energy’s Forty Mile </w:t>
      </w:r>
      <w:r>
        <w:rPr>
          <w:rFonts w:cs="Arial"/>
          <w:iCs/>
        </w:rPr>
        <w:lastRenderedPageBreak/>
        <w:t>wind farm, located on 50,000 acres of land between Lethbridge and Medicine Hat</w:t>
      </w:r>
      <w:r>
        <w:rPr>
          <w:rStyle w:val="EndnoteReference"/>
          <w:rFonts w:cs="Arial"/>
          <w:iCs/>
        </w:rPr>
        <w:endnoteReference w:id="25"/>
      </w:r>
      <w:r>
        <w:rPr>
          <w:rFonts w:cs="Arial"/>
          <w:iCs/>
        </w:rPr>
        <w:t>. Two additional wind farms near Medicine Hat are expected to begin construction next summer as they clear regulatory hurdles</w:t>
      </w:r>
      <w:r>
        <w:rPr>
          <w:rStyle w:val="EndnoteReference"/>
          <w:rFonts w:cs="Arial"/>
          <w:iCs/>
        </w:rPr>
        <w:endnoteReference w:id="26"/>
      </w:r>
      <w:r>
        <w:rPr>
          <w:rFonts w:cs="Arial"/>
          <w:iCs/>
        </w:rPr>
        <w:t>.</w:t>
      </w:r>
    </w:p>
    <w:p w:rsidR="004460B0" w:rsidRDefault="00AD3252" w:rsidP="00B6742E">
      <w:pPr>
        <w:spacing w:before="120" w:after="120"/>
        <w:jc w:val="both"/>
      </w:pPr>
      <w:r>
        <w:rPr>
          <w:rFonts w:cs="Arial"/>
          <w:iCs/>
        </w:rPr>
        <w:t>In November, e</w:t>
      </w:r>
      <w:r w:rsidRPr="00714657">
        <w:rPr>
          <w:rFonts w:cs="Arial"/>
          <w:iCs/>
        </w:rPr>
        <w:t>mployment</w:t>
      </w:r>
      <w:r w:rsidR="004460B0" w:rsidRPr="00714657">
        <w:rPr>
          <w:rFonts w:cs="Arial"/>
          <w:iCs/>
        </w:rPr>
        <w:t xml:space="preserve"> </w:t>
      </w:r>
      <w:r w:rsidR="004460B0">
        <w:rPr>
          <w:rFonts w:cs="Arial"/>
          <w:iCs/>
        </w:rPr>
        <w:t>de</w:t>
      </w:r>
      <w:r w:rsidR="004460B0" w:rsidRPr="00714657">
        <w:rPr>
          <w:rFonts w:cs="Arial"/>
          <w:iCs/>
        </w:rPr>
        <w:t xml:space="preserve">creased </w:t>
      </w:r>
      <w:r>
        <w:rPr>
          <w:rFonts w:cs="Arial"/>
          <w:iCs/>
        </w:rPr>
        <w:t xml:space="preserve">year-over year </w:t>
      </w:r>
      <w:r w:rsidR="004460B0">
        <w:rPr>
          <w:rFonts w:cs="Arial"/>
          <w:iCs/>
        </w:rPr>
        <w:t>by 1</w:t>
      </w:r>
      <w:r w:rsidR="004460B0" w:rsidRPr="00714657">
        <w:rPr>
          <w:rFonts w:cs="Arial"/>
          <w:iCs/>
        </w:rPr>
        <w:t>%</w:t>
      </w:r>
      <w:r w:rsidR="004460B0">
        <w:rPr>
          <w:rFonts w:cs="Arial"/>
          <w:iCs/>
        </w:rPr>
        <w:t xml:space="preserve"> to approximately 97,300</w:t>
      </w:r>
      <w:r w:rsidR="004460B0" w:rsidRPr="00714657">
        <w:rPr>
          <w:rFonts w:cs="Arial"/>
          <w:iCs/>
        </w:rPr>
        <w:t xml:space="preserve"> in </w:t>
      </w:r>
      <w:r w:rsidR="004460B0" w:rsidRPr="00427310">
        <w:rPr>
          <w:rFonts w:cs="Arial"/>
          <w:b/>
          <w:iCs/>
        </w:rPr>
        <w:t>Camrose-Drumheller</w:t>
      </w:r>
      <w:r w:rsidR="004460B0" w:rsidRPr="00714657">
        <w:rPr>
          <w:rFonts w:cs="Arial"/>
          <w:iCs/>
        </w:rPr>
        <w:t xml:space="preserve">. </w:t>
      </w:r>
      <w:r w:rsidR="004460B0">
        <w:rPr>
          <w:rFonts w:cs="Arial"/>
          <w:iCs/>
        </w:rPr>
        <w:t xml:space="preserve">At 3.7%, the region has the lowest unemployment rate in the province. </w:t>
      </w:r>
      <w:r w:rsidR="004460B0" w:rsidRPr="00023D5E">
        <w:rPr>
          <w:rFonts w:cs="Arial"/>
          <w:iCs/>
        </w:rPr>
        <w:t xml:space="preserve">On an industry basis, job gains in construction and in manufacturing were offset a decline in agriculture and wholesale and retail trade. </w:t>
      </w:r>
      <w:r w:rsidR="004460B0">
        <w:rPr>
          <w:rFonts w:cs="Arial"/>
          <w:iCs/>
        </w:rPr>
        <w:t xml:space="preserve">Healthcare and social assistance posted strong job numbers, in part thanks to the recently opened supportive living facility for area seniors with complex care needs in Wetaskiwin, 70 kilometres south of Edmonton. The care facility adds 82 supportive living spaces to the city, bringing the total to 304, an increase of 27%. Phase two of the development is planned and will see the construction of </w:t>
      </w:r>
      <w:r>
        <w:rPr>
          <w:rFonts w:cs="Arial"/>
          <w:iCs/>
        </w:rPr>
        <w:t>seniors’</w:t>
      </w:r>
      <w:r w:rsidR="004460B0">
        <w:rPr>
          <w:rFonts w:cs="Arial"/>
          <w:iCs/>
        </w:rPr>
        <w:t xml:space="preserve"> apartments for those who are still able to live independently but require assistance</w:t>
      </w:r>
      <w:r w:rsidR="004460B0">
        <w:rPr>
          <w:rStyle w:val="EndnoteReference"/>
          <w:rFonts w:cs="Arial"/>
          <w:iCs/>
        </w:rPr>
        <w:endnoteReference w:id="27"/>
      </w:r>
      <w:r w:rsidR="004460B0">
        <w:rPr>
          <w:rFonts w:cs="Arial"/>
          <w:iCs/>
        </w:rPr>
        <w:t>.</w:t>
      </w:r>
    </w:p>
    <w:p w:rsidR="004460B0" w:rsidRDefault="004460B0" w:rsidP="00B6742E">
      <w:pPr>
        <w:spacing w:before="120" w:after="120"/>
        <w:jc w:val="both"/>
        <w:rPr>
          <w:lang w:eastAsia="en-CA"/>
        </w:rPr>
      </w:pPr>
      <w:r>
        <w:rPr>
          <w:lang w:eastAsia="en-CA"/>
        </w:rPr>
        <w:t>E</w:t>
      </w:r>
      <w:r w:rsidRPr="00714657">
        <w:rPr>
          <w:lang w:eastAsia="en-CA"/>
        </w:rPr>
        <w:t xml:space="preserve">mployment increased in </w:t>
      </w:r>
      <w:r w:rsidRPr="00427310">
        <w:rPr>
          <w:b/>
          <w:lang w:eastAsia="en-CA"/>
        </w:rPr>
        <w:t>Banff-Jasper-Rocky-Mountain House and Athabasca-Grande Prairie-Peace River</w:t>
      </w:r>
      <w:r w:rsidR="00AD3252">
        <w:rPr>
          <w:b/>
          <w:lang w:eastAsia="en-CA"/>
        </w:rPr>
        <w:t xml:space="preserve"> </w:t>
      </w:r>
      <w:r>
        <w:rPr>
          <w:lang w:eastAsia="en-CA"/>
        </w:rPr>
        <w:t>by a moderate 0.3% from November 2018</w:t>
      </w:r>
      <w:r w:rsidRPr="00714657">
        <w:rPr>
          <w:lang w:eastAsia="en-CA"/>
        </w:rPr>
        <w:t>.</w:t>
      </w:r>
      <w:r w:rsidRPr="00753726">
        <w:rPr>
          <w:lang w:eastAsia="en-CA"/>
        </w:rPr>
        <w:t>The regio</w:t>
      </w:r>
      <w:r>
        <w:rPr>
          <w:lang w:eastAsia="en-CA"/>
        </w:rPr>
        <w:t xml:space="preserve">n’s unemployment rate jumped 1.1 percentage points to 5.7% </w:t>
      </w:r>
      <w:r w:rsidRPr="00753726">
        <w:rPr>
          <w:lang w:eastAsia="en-CA"/>
        </w:rPr>
        <w:t xml:space="preserve">as </w:t>
      </w:r>
      <w:r>
        <w:rPr>
          <w:lang w:eastAsia="en-CA"/>
        </w:rPr>
        <w:t xml:space="preserve">more people entered the labour market. The construction industry, which has had flat growth throughout 2019, shows promise looking ahead as two projects are given the green light. The first is the Cascade Power station, located 12 kilometres southwest of Edson. </w:t>
      </w:r>
      <w:r w:rsidRPr="006C0CE0">
        <w:rPr>
          <w:lang w:eastAsia="en-CA"/>
        </w:rPr>
        <w:t>Now that it has received approval from the Alberta Utilities Commission,</w:t>
      </w:r>
      <w:r>
        <w:rPr>
          <w:lang w:eastAsia="en-CA"/>
        </w:rPr>
        <w:t xml:space="preserve"> construction is targeted to begin in the spring of 2020. At the peak of construction approximately 500 people will be employed. The second project is the widening and upgrading of Highway 1A between Cochrane and Canmore, which the Government of Alberta has allotted $26.5 million to, over the next four years, with an additional $50 million in future years. The project is estimated to take two to three years to complete, once a contracted is awarded </w:t>
      </w:r>
      <w:r>
        <w:rPr>
          <w:rStyle w:val="EndnoteReference"/>
          <w:lang w:eastAsia="en-CA"/>
        </w:rPr>
        <w:endnoteReference w:id="28"/>
      </w:r>
      <w:r>
        <w:rPr>
          <w:lang w:eastAsia="en-CA"/>
        </w:rPr>
        <w:t xml:space="preserve">. </w:t>
      </w:r>
    </w:p>
    <w:p w:rsidR="004460B0" w:rsidRPr="00714657" w:rsidRDefault="004460B0" w:rsidP="00B6742E">
      <w:pPr>
        <w:suppressAutoHyphens/>
        <w:spacing w:before="120" w:after="120"/>
        <w:jc w:val="both"/>
        <w:rPr>
          <w:rFonts w:cs="Calibri"/>
          <w:lang w:eastAsia="en-CA"/>
        </w:rPr>
      </w:pPr>
      <w:r w:rsidRPr="00905314">
        <w:rPr>
          <w:rFonts w:cs="Arial"/>
          <w:iCs/>
        </w:rPr>
        <w:t>On a year over year basis,</w:t>
      </w:r>
      <w:r w:rsidR="00AD3252">
        <w:rPr>
          <w:rFonts w:cs="Arial"/>
          <w:iCs/>
        </w:rPr>
        <w:t xml:space="preserve"> </w:t>
      </w:r>
      <w:r w:rsidRPr="00427310">
        <w:rPr>
          <w:rFonts w:cs="Arial"/>
          <w:b/>
          <w:iCs/>
        </w:rPr>
        <w:t>Red Deer</w:t>
      </w:r>
      <w:r w:rsidR="00AD3252">
        <w:rPr>
          <w:rFonts w:cs="Arial"/>
          <w:b/>
          <w:iCs/>
        </w:rPr>
        <w:t xml:space="preserve"> </w:t>
      </w:r>
      <w:r>
        <w:rPr>
          <w:rFonts w:cs="Arial"/>
          <w:iCs/>
        </w:rPr>
        <w:t>posted negative</w:t>
      </w:r>
      <w:r w:rsidRPr="00714657">
        <w:rPr>
          <w:rFonts w:cs="Arial"/>
          <w:iCs/>
        </w:rPr>
        <w:t xml:space="preserve"> job growth in </w:t>
      </w:r>
      <w:r>
        <w:rPr>
          <w:rFonts w:cs="Arial"/>
          <w:iCs/>
        </w:rPr>
        <w:t>November (-8.1</w:t>
      </w:r>
      <w:r w:rsidRPr="00714657">
        <w:rPr>
          <w:rFonts w:cs="Arial"/>
          <w:iCs/>
        </w:rPr>
        <w:t>%)</w:t>
      </w:r>
      <w:r>
        <w:rPr>
          <w:rFonts w:cs="Arial"/>
          <w:iCs/>
        </w:rPr>
        <w:t xml:space="preserve"> and the unemployment rate increased by 1.1 percentage points to 6.5%. The construction industry, which was one of the worst performing on an annual basis, might be getting a boost as the city allocated $10 million to build a new railway overpass over highway 11A. No word yet on when shovels are expected to hit the ground for the latest project in the city.</w:t>
      </w:r>
    </w:p>
    <w:p w:rsidR="004460B0" w:rsidRPr="006469F0" w:rsidRDefault="004460B0" w:rsidP="00B6742E">
      <w:pPr>
        <w:spacing w:before="120" w:after="120"/>
        <w:jc w:val="both"/>
        <w:rPr>
          <w:rFonts w:cs="Arial"/>
          <w:iCs/>
        </w:rPr>
      </w:pPr>
      <w:r w:rsidRPr="00714657">
        <w:rPr>
          <w:rFonts w:cs="Arial"/>
          <w:iCs/>
        </w:rPr>
        <w:t xml:space="preserve">To the northeast, </w:t>
      </w:r>
      <w:r w:rsidRPr="00427310">
        <w:rPr>
          <w:rFonts w:cs="Arial"/>
          <w:b/>
          <w:iCs/>
        </w:rPr>
        <w:t>Wood Buffalo-Cold Lake</w:t>
      </w:r>
      <w:r w:rsidR="00AD3252">
        <w:rPr>
          <w:rFonts w:cs="Arial"/>
          <w:b/>
          <w:iCs/>
        </w:rPr>
        <w:t xml:space="preserve"> </w:t>
      </w:r>
      <w:r>
        <w:rPr>
          <w:rFonts w:cs="Arial"/>
          <w:iCs/>
        </w:rPr>
        <w:t xml:space="preserve">employment stood at approximately 80,200, down 1.5% on the year. </w:t>
      </w:r>
      <w:r w:rsidRPr="00714657">
        <w:rPr>
          <w:rFonts w:cs="Arial"/>
          <w:iCs/>
        </w:rPr>
        <w:t xml:space="preserve">Over the same period, the regional unemployment rate declined </w:t>
      </w:r>
      <w:r>
        <w:rPr>
          <w:rFonts w:cs="Arial"/>
          <w:iCs/>
        </w:rPr>
        <w:t>by one percentage point</w:t>
      </w:r>
      <w:r w:rsidRPr="00714657">
        <w:rPr>
          <w:rFonts w:cs="Arial"/>
          <w:iCs/>
        </w:rPr>
        <w:t xml:space="preserve"> to </w:t>
      </w:r>
      <w:r>
        <w:rPr>
          <w:rFonts w:cs="Arial"/>
          <w:iCs/>
        </w:rPr>
        <w:t>4</w:t>
      </w:r>
      <w:r w:rsidRPr="00714657">
        <w:rPr>
          <w:rFonts w:cs="Arial"/>
          <w:iCs/>
        </w:rPr>
        <w:t>.</w:t>
      </w:r>
      <w:r>
        <w:rPr>
          <w:rFonts w:cs="Arial"/>
          <w:iCs/>
        </w:rPr>
        <w:t>3</w:t>
      </w:r>
      <w:r w:rsidRPr="00753726">
        <w:rPr>
          <w:rFonts w:cs="Arial"/>
          <w:iCs/>
        </w:rPr>
        <w:t>% as around 2,200 people left the labour force (-2.</w:t>
      </w:r>
      <w:r>
        <w:rPr>
          <w:rFonts w:cs="Arial"/>
          <w:iCs/>
        </w:rPr>
        <w:t>6</w:t>
      </w:r>
      <w:r w:rsidRPr="00753726">
        <w:rPr>
          <w:rFonts w:cs="Arial"/>
          <w:iCs/>
        </w:rPr>
        <w:t xml:space="preserve">%). </w:t>
      </w:r>
      <w:r>
        <w:rPr>
          <w:rFonts w:cs="Arial"/>
          <w:iCs/>
        </w:rPr>
        <w:t>From an industry perspective, job increases in the services-producing sector were counteracted by job losses in the goods-producing sector. The oil and gas sector, which posted modest annual employment gains, had a tumultuous month. It was announced that the current oil production quotas will stay in place throughout January 2020 to deal with a lingering backlog caused by the Canadian National Railway Co. strike, earlier in the month. The curtailment program, introduced by the previous NDP government, was set to expire at the end of 2019 but the current United Conservative government expanded the program through 2020, while gradually increasing the amount that can be produced</w:t>
      </w:r>
      <w:r>
        <w:rPr>
          <w:rStyle w:val="EndnoteReference"/>
          <w:rFonts w:cs="Arial"/>
          <w:iCs/>
        </w:rPr>
        <w:endnoteReference w:id="29"/>
      </w:r>
      <w:r>
        <w:rPr>
          <w:rFonts w:cs="Arial"/>
          <w:iCs/>
        </w:rPr>
        <w:t>. However, the government has added provisions to the policy that allows companies to produce more than the current quota, given they are shipping it out of the province by rail. In addition, the province announced that all new conventional oil wells drilled will be exempt from the curtailment policy, in efforts to drive up drilling activity. The wells drilled this winter season are expected to come online in late 2020 and early 2021 when the province expects the Enbridge Line 3 pipeline to be fully operational, so not to add to current capacity issues.</w:t>
      </w:r>
    </w:p>
    <w:p w:rsidR="004460B0" w:rsidRPr="00714657" w:rsidRDefault="004460B0" w:rsidP="00B6742E">
      <w:pPr>
        <w:suppressAutoHyphens/>
        <w:spacing w:before="120" w:after="120"/>
        <w:jc w:val="both"/>
        <w:rPr>
          <w:rFonts w:cs="Arial"/>
          <w:iCs/>
        </w:rPr>
      </w:pPr>
      <w:r>
        <w:rPr>
          <w:rFonts w:cs="Arial"/>
          <w:iCs/>
        </w:rPr>
        <w:lastRenderedPageBreak/>
        <w:t xml:space="preserve">The </w:t>
      </w:r>
      <w:r w:rsidRPr="00427310">
        <w:rPr>
          <w:rFonts w:cs="Arial"/>
          <w:b/>
          <w:iCs/>
        </w:rPr>
        <w:t>Edmonton</w:t>
      </w:r>
      <w:r w:rsidR="00AD3252">
        <w:rPr>
          <w:rFonts w:cs="Arial"/>
          <w:b/>
          <w:iCs/>
        </w:rPr>
        <w:t xml:space="preserve"> </w:t>
      </w:r>
      <w:r>
        <w:rPr>
          <w:rFonts w:cs="Arial"/>
          <w:iCs/>
        </w:rPr>
        <w:t>region’s labour market cont</w:t>
      </w:r>
      <w:r w:rsidR="00AD3252">
        <w:rPr>
          <w:rFonts w:cs="Arial"/>
          <w:iCs/>
        </w:rPr>
        <w:t xml:space="preserve">inued to slow in November. Year-over-year </w:t>
      </w:r>
      <w:r>
        <w:rPr>
          <w:rFonts w:cs="Arial"/>
          <w:iCs/>
        </w:rPr>
        <w:t xml:space="preserve">employment across the region decreased by 1.75% (-14,300) to roughly 806,800, </w:t>
      </w:r>
      <w:r w:rsidRPr="003674BA">
        <w:rPr>
          <w:rFonts w:cs="Arial"/>
          <w:iCs/>
        </w:rPr>
        <w:t>with job losses in both the goods-producing and the services-producing sectors.</w:t>
      </w:r>
      <w:r>
        <w:rPr>
          <w:rFonts w:cs="Arial"/>
          <w:iCs/>
        </w:rPr>
        <w:t xml:space="preserve"> Employment in the public administration and educational services industries fared the worst in the region. As more information is shared about the proposed job cuts outlined in the Government of Alberta’s 2019 budget, released on October 24, it is likely that these two industries will continue to struggle in 2020. It is projected that 764 full-time equivalent provincial public administration jobs will be lost by April 2020</w:t>
      </w:r>
      <w:r>
        <w:rPr>
          <w:rStyle w:val="EndnoteReference"/>
          <w:rFonts w:cs="Arial"/>
          <w:iCs/>
        </w:rPr>
        <w:endnoteReference w:id="30"/>
      </w:r>
      <w:r>
        <w:rPr>
          <w:rFonts w:cs="Arial"/>
          <w:iCs/>
        </w:rPr>
        <w:t>, with many of them expected to be based in Edmonton, the province’s capital.</w:t>
      </w:r>
    </w:p>
    <w:p w:rsidR="0046266D" w:rsidRDefault="004460B0" w:rsidP="00B6742E">
      <w:pPr>
        <w:spacing w:before="120" w:after="120"/>
        <w:jc w:val="both"/>
      </w:pPr>
      <w:r>
        <w:rPr>
          <w:rFonts w:cs="Arial"/>
          <w:iCs/>
        </w:rPr>
        <w:t xml:space="preserve">Unemployment in the </w:t>
      </w:r>
      <w:r w:rsidRPr="004D7FD4">
        <w:rPr>
          <w:rFonts w:cs="Arial"/>
          <w:b/>
          <w:iCs/>
        </w:rPr>
        <w:t>Calgary</w:t>
      </w:r>
      <w:r>
        <w:rPr>
          <w:rFonts w:cs="Arial"/>
          <w:iCs/>
        </w:rPr>
        <w:t xml:space="preserve"> area labour market fell in November thanks to employment growth of 3.4% on the year. The unemployment rate in the region stands at 6.8% which is an improvement of 0.8 percentage points from November 2018 and brings it close to the provincial average of 6.7%. Major employment gains were seen in agriculture and in health care and social assistance. The construction industry, which posted a mild decline in employment for November, is getting a boost as building The Dorian hotel in downtown Calgary commences. The luxury hotel will employ 120 crew members at the peak of construction and will create 150 new jobs when it opens in the spring of 2022</w:t>
      </w:r>
      <w:r>
        <w:rPr>
          <w:rStyle w:val="EndnoteReference"/>
          <w:rFonts w:cs="Arial"/>
          <w:iCs/>
        </w:rPr>
        <w:endnoteReference w:id="31"/>
      </w:r>
      <w:r>
        <w:rPr>
          <w:rFonts w:cs="Arial"/>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CC668D" w:rsidRPr="007F0485" w:rsidTr="00931A9D">
        <w:tc>
          <w:tcPr>
            <w:tcW w:w="9962" w:type="dxa"/>
            <w:shd w:val="clear" w:color="auto" w:fill="F2F2F2"/>
            <w:vAlign w:val="center"/>
          </w:tcPr>
          <w:p w:rsidR="00CC668D" w:rsidRPr="0038551F" w:rsidRDefault="00CC668D" w:rsidP="00686450">
            <w:pPr>
              <w:spacing w:before="120" w:after="120" w:line="240" w:lineRule="auto"/>
              <w:jc w:val="both"/>
              <w:rPr>
                <w:i/>
                <w:sz w:val="20"/>
                <w:szCs w:val="20"/>
              </w:rPr>
            </w:pPr>
            <w:r w:rsidRPr="0038551F">
              <w:rPr>
                <w:b/>
                <w:i/>
                <w:sz w:val="20"/>
                <w:szCs w:val="20"/>
              </w:rPr>
              <w:t>Note:</w:t>
            </w:r>
            <w:r w:rsidRPr="00E86B8D">
              <w:rPr>
                <w:i/>
                <w:sz w:val="20"/>
                <w:szCs w:val="20"/>
              </w:rPr>
              <w:t>In preparing this document, the authors have taken care to provide clients with labour market information that is timely and accurate at the time of publication. Since labour market conditions are dynamic, some of the information presented here may have changed since this document was published. Users are encouraged to also refer to other sources for additional information on the local economy and labour market. Information contained in this document does not necessarily reflect official policies of Employment and Social Development Canada.</w:t>
            </w:r>
          </w:p>
        </w:tc>
      </w:tr>
    </w:tbl>
    <w:p w:rsidR="00CC668D" w:rsidRDefault="00CC668D" w:rsidP="00CC668D">
      <w:pPr>
        <w:spacing w:after="0" w:line="240" w:lineRule="auto"/>
        <w:jc w:val="both"/>
        <w:rPr>
          <w:b/>
          <w:bCs/>
          <w:i/>
          <w:iCs/>
        </w:rPr>
      </w:pPr>
    </w:p>
    <w:p w:rsidR="00CC668D" w:rsidRPr="00726626" w:rsidRDefault="00CC668D" w:rsidP="00CC668D">
      <w:pPr>
        <w:spacing w:after="0" w:line="240" w:lineRule="auto"/>
        <w:jc w:val="both"/>
        <w:rPr>
          <w:i/>
          <w:iCs/>
          <w:color w:val="000000"/>
        </w:rPr>
      </w:pPr>
      <w:r w:rsidRPr="00726626">
        <w:rPr>
          <w:b/>
          <w:bCs/>
          <w:i/>
          <w:iCs/>
          <w:color w:val="000000"/>
        </w:rPr>
        <w:t>Prepared by</w:t>
      </w:r>
      <w:r w:rsidRPr="00726626">
        <w:rPr>
          <w:i/>
          <w:iCs/>
          <w:color w:val="000000"/>
        </w:rPr>
        <w:t xml:space="preserve">: Labour Market Information (LMI) Directorate, Service Canada, </w:t>
      </w:r>
      <w:r w:rsidR="002B3B45">
        <w:rPr>
          <w:i/>
          <w:iCs/>
          <w:color w:val="000000"/>
        </w:rPr>
        <w:t>Alberta</w:t>
      </w:r>
    </w:p>
    <w:p w:rsidR="00CC668D" w:rsidRPr="00726626" w:rsidRDefault="00CC668D" w:rsidP="00CC668D">
      <w:pPr>
        <w:spacing w:after="0" w:line="240" w:lineRule="auto"/>
        <w:rPr>
          <w:i/>
          <w:iCs/>
          <w:color w:val="0000FF"/>
          <w:u w:val="single"/>
          <w:lang w:eastAsia="en-CA"/>
        </w:rPr>
      </w:pPr>
      <w:r w:rsidRPr="00726626">
        <w:rPr>
          <w:b/>
          <w:bCs/>
          <w:i/>
          <w:iCs/>
        </w:rPr>
        <w:t>For further information</w:t>
      </w:r>
      <w:r w:rsidRPr="00726626">
        <w:rPr>
          <w:i/>
          <w:iCs/>
        </w:rPr>
        <w:t>, please contact the LMI teamat</w:t>
      </w:r>
      <w:r w:rsidRPr="00DA53CA">
        <w:rPr>
          <w:i/>
          <w:iCs/>
        </w:rPr>
        <w:t xml:space="preserve">: </w:t>
      </w:r>
      <w:hyperlink r:id="rId12" w:history="1">
        <w:r w:rsidR="00DA53CA" w:rsidRPr="00DA53CA">
          <w:rPr>
            <w:rStyle w:val="Hyperlink"/>
            <w:i/>
          </w:rPr>
          <w:t>http://www.esdc.gc.ca/cgi-bin/contact/edsc-esdc/eng/contact_us.aspx?section=lmi</w:t>
        </w:r>
      </w:hyperlink>
    </w:p>
    <w:p w:rsidR="00CC668D" w:rsidRPr="00726626" w:rsidRDefault="00CC668D" w:rsidP="00CC668D">
      <w:pPr>
        <w:spacing w:after="0" w:line="240" w:lineRule="auto"/>
        <w:rPr>
          <w:i/>
        </w:rPr>
      </w:pPr>
      <w:r w:rsidRPr="00726626">
        <w:rPr>
          <w:b/>
          <w:i/>
        </w:rPr>
        <w:t>For information on the Labour Force Survey</w:t>
      </w:r>
      <w:r w:rsidRPr="00726626">
        <w:rPr>
          <w:i/>
        </w:rPr>
        <w:t xml:space="preserve">, please visit the Statistics Canada Web site at: </w:t>
      </w:r>
      <w:hyperlink r:id="rId13" w:history="1">
        <w:r w:rsidRPr="00726626">
          <w:rPr>
            <w:i/>
            <w:color w:val="0000FF"/>
            <w:u w:val="single"/>
          </w:rPr>
          <w:t>www.statcan.gc.ca</w:t>
        </w:r>
      </w:hyperlink>
    </w:p>
    <w:p w:rsidR="008C1573" w:rsidRDefault="008C1573" w:rsidP="008C1573">
      <w:pPr>
        <w:spacing w:after="0"/>
        <w:jc w:val="both"/>
        <w:rPr>
          <w:i/>
          <w:iCs/>
        </w:rPr>
      </w:pPr>
    </w:p>
    <w:p w:rsidR="00CC668D" w:rsidRDefault="00CC668D" w:rsidP="00CC668D">
      <w:pPr>
        <w:spacing w:after="240" w:line="240" w:lineRule="auto"/>
        <w:jc w:val="both"/>
        <w:rPr>
          <w:b/>
          <w:iCs/>
        </w:rPr>
      </w:pPr>
      <w:r w:rsidRPr="00726626">
        <w:rPr>
          <w:i/>
          <w:iCs/>
        </w:rPr>
        <w:t>© Her Majesty the Queen in Right of Canada as represented by Employment and Social Development Canada, 201</w:t>
      </w:r>
      <w:r>
        <w:rPr>
          <w:i/>
          <w:iCs/>
        </w:rPr>
        <w:t>7</w:t>
      </w:r>
      <w:r w:rsidRPr="00726626">
        <w:rPr>
          <w:i/>
          <w:iCs/>
        </w:rPr>
        <w:t>, all rights reserved</w:t>
      </w:r>
    </w:p>
    <w:sectPr w:rsidR="00CC668D" w:rsidSect="00754EBE">
      <w:headerReference w:type="default" r:id="rId14"/>
      <w:footerReference w:type="default" r:id="rId15"/>
      <w:headerReference w:type="first" r:id="rId16"/>
      <w:footerReference w:type="first" r:id="rId17"/>
      <w:endnotePr>
        <w:numFmt w:val="decimal"/>
      </w:endnotePr>
      <w:pgSz w:w="12240" w:h="15840"/>
      <w:pgMar w:top="29" w:right="1134" w:bottom="1134" w:left="1134" w:header="680" w:footer="33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811" w:rsidRDefault="00952811" w:rsidP="004A7CF0">
      <w:pPr>
        <w:spacing w:after="0" w:line="240" w:lineRule="auto"/>
      </w:pPr>
      <w:r>
        <w:separator/>
      </w:r>
    </w:p>
  </w:endnote>
  <w:endnote w:type="continuationSeparator" w:id="1">
    <w:p w:rsidR="00952811" w:rsidRDefault="00952811" w:rsidP="004A7CF0">
      <w:pPr>
        <w:spacing w:after="0" w:line="240" w:lineRule="auto"/>
      </w:pPr>
      <w:r>
        <w:continuationSeparator/>
      </w:r>
    </w:p>
  </w:endnote>
  <w:endnote w:id="2">
    <w:p w:rsidR="00A2277F" w:rsidRPr="00454891" w:rsidRDefault="00A2277F" w:rsidP="0089337D">
      <w:pPr>
        <w:pStyle w:val="EndnoteText"/>
        <w:rPr>
          <w:rFonts w:asciiTheme="minorHAnsi" w:hAnsiTheme="minorHAnsi" w:cstheme="minorHAnsi"/>
        </w:rPr>
      </w:pPr>
      <w:r>
        <w:rPr>
          <w:rStyle w:val="EndnoteReference"/>
        </w:rPr>
        <w:endnoteRef/>
      </w:r>
      <w:r w:rsidRPr="00454891">
        <w:rPr>
          <w:rFonts w:asciiTheme="minorHAnsi" w:hAnsiTheme="minorHAnsi" w:cstheme="minorHAnsi"/>
        </w:rPr>
        <w:t xml:space="preserve">Statistics Canada. Table 14-10-0288-01 Employment by class of worker, monthly, seasonally adjusted and unadjusted, last 5 months (x 1,000); Accessed on </w:t>
      </w:r>
      <w:r>
        <w:rPr>
          <w:rFonts w:asciiTheme="minorHAnsi" w:hAnsiTheme="minorHAnsi" w:cstheme="minorHAnsi"/>
        </w:rPr>
        <w:t>December 8,</w:t>
      </w:r>
      <w:r w:rsidRPr="00454891">
        <w:rPr>
          <w:rFonts w:asciiTheme="minorHAnsi" w:hAnsiTheme="minorHAnsi" w:cstheme="minorHAnsi"/>
        </w:rPr>
        <w:t xml:space="preserve"> 2019 </w:t>
      </w:r>
      <w:hyperlink r:id="rId1" w:history="1">
        <w:r w:rsidRPr="00454891">
          <w:rPr>
            <w:rStyle w:val="Hyperlink"/>
            <w:rFonts w:asciiTheme="minorHAnsi" w:hAnsiTheme="minorHAnsi" w:cstheme="minorHAnsi"/>
          </w:rPr>
          <w:t>https://www150.statcan.gc.ca/t1/tbl1/en/cv.action?pid=1410028801</w:t>
        </w:r>
      </w:hyperlink>
    </w:p>
    <w:p w:rsidR="00A2277F" w:rsidRDefault="00A2277F">
      <w:pPr>
        <w:pStyle w:val="EndnoteText"/>
      </w:pPr>
    </w:p>
  </w:endnote>
  <w:endnote w:id="3">
    <w:p w:rsidR="00A2277F" w:rsidRPr="00454891" w:rsidRDefault="00A2277F">
      <w:pPr>
        <w:pStyle w:val="EndnoteText"/>
        <w:rPr>
          <w:rFonts w:asciiTheme="minorHAnsi" w:hAnsiTheme="minorHAnsi" w:cstheme="minorHAnsi"/>
        </w:rPr>
      </w:pPr>
      <w:r w:rsidRPr="00454891">
        <w:rPr>
          <w:rStyle w:val="EndnoteReference"/>
          <w:rFonts w:asciiTheme="minorHAnsi" w:hAnsiTheme="minorHAnsi" w:cstheme="minorHAnsi"/>
        </w:rPr>
        <w:endnoteRef/>
      </w:r>
      <w:r>
        <w:rPr>
          <w:rFonts w:asciiTheme="minorHAnsi" w:hAnsiTheme="minorHAnsi" w:cstheme="minorHAnsi"/>
        </w:rPr>
        <w:t>Ibid</w:t>
      </w:r>
    </w:p>
    <w:p w:rsidR="00A2277F" w:rsidRPr="00454891" w:rsidRDefault="00A2277F">
      <w:pPr>
        <w:pStyle w:val="EndnoteText"/>
        <w:rPr>
          <w:rFonts w:asciiTheme="minorHAnsi" w:hAnsiTheme="minorHAnsi" w:cstheme="minorHAnsi"/>
          <w:lang w:val="en-CA"/>
        </w:rPr>
      </w:pPr>
    </w:p>
  </w:endnote>
  <w:endnote w:id="4">
    <w:p w:rsidR="00A2277F" w:rsidRDefault="00A2277F">
      <w:pPr>
        <w:pStyle w:val="EndnoteText"/>
        <w:rPr>
          <w:rFonts w:asciiTheme="minorHAnsi" w:hAnsiTheme="minorHAnsi" w:cstheme="minorHAnsi"/>
        </w:rPr>
      </w:pPr>
      <w:r>
        <w:rPr>
          <w:rStyle w:val="EndnoteReference"/>
        </w:rPr>
        <w:endnoteRef/>
      </w:r>
      <w:r w:rsidRPr="002E6830">
        <w:rPr>
          <w:rFonts w:asciiTheme="minorHAnsi" w:hAnsiTheme="minorHAnsi" w:cstheme="minorHAnsi"/>
        </w:rPr>
        <w:t>Statistics Canada. Table 14-10-0296-01 Labour force characteristics by occupation, monthly, unadjusted for seasonality (x 1,000)</w:t>
      </w:r>
      <w:r>
        <w:rPr>
          <w:rFonts w:asciiTheme="minorHAnsi" w:hAnsiTheme="minorHAnsi" w:cstheme="minorHAnsi"/>
        </w:rPr>
        <w:t xml:space="preserve">. Accessed December 9, 2019 </w:t>
      </w:r>
      <w:hyperlink r:id="rId2" w:history="1">
        <w:r w:rsidRPr="00C87534">
          <w:rPr>
            <w:rStyle w:val="Hyperlink"/>
            <w:rFonts w:asciiTheme="minorHAnsi" w:hAnsiTheme="minorHAnsi" w:cstheme="minorHAnsi"/>
          </w:rPr>
          <w:t>https://www150.statcan.gc.ca/t1/tbl1/en/cv.action?pid=1410029601</w:t>
        </w:r>
      </w:hyperlink>
    </w:p>
    <w:p w:rsidR="00A2277F" w:rsidRDefault="00A2277F">
      <w:pPr>
        <w:pStyle w:val="EndnoteText"/>
      </w:pPr>
    </w:p>
  </w:endnote>
  <w:endnote w:id="5">
    <w:p w:rsidR="00A2277F" w:rsidRPr="00454891" w:rsidRDefault="00A2277F">
      <w:pPr>
        <w:pStyle w:val="EndnoteText"/>
        <w:rPr>
          <w:rFonts w:asciiTheme="minorHAnsi" w:hAnsiTheme="minorHAnsi" w:cstheme="minorHAnsi"/>
        </w:rPr>
      </w:pPr>
      <w:r w:rsidRPr="00454891">
        <w:rPr>
          <w:rStyle w:val="EndnoteReference"/>
          <w:rFonts w:asciiTheme="minorHAnsi" w:hAnsiTheme="minorHAnsi" w:cstheme="minorHAnsi"/>
        </w:rPr>
        <w:endnoteRef/>
      </w:r>
      <w:r w:rsidRPr="00454891">
        <w:rPr>
          <w:rFonts w:asciiTheme="minorHAnsi" w:hAnsiTheme="minorHAnsi" w:cstheme="minorHAnsi"/>
        </w:rPr>
        <w:t xml:space="preserve"> Statistics Canada. Table 14-10-0222-01 Employment, average hourly and weekly earnings (including overtime), and average weekly hours for the industrial aggregate excluding unclassified businesse</w:t>
      </w:r>
      <w:r>
        <w:rPr>
          <w:rFonts w:asciiTheme="minorHAnsi" w:hAnsiTheme="minorHAnsi" w:cstheme="minorHAnsi"/>
        </w:rPr>
        <w:t>s, monthly, seasonally adjusted.Accessed on December 6,</w:t>
      </w:r>
      <w:r w:rsidRPr="00454891">
        <w:rPr>
          <w:rFonts w:asciiTheme="minorHAnsi" w:hAnsiTheme="minorHAnsi" w:cstheme="minorHAnsi"/>
        </w:rPr>
        <w:t xml:space="preserve"> 2019  </w:t>
      </w:r>
      <w:hyperlink r:id="rId3" w:history="1">
        <w:r w:rsidRPr="00454891">
          <w:rPr>
            <w:rStyle w:val="Hyperlink"/>
            <w:rFonts w:asciiTheme="minorHAnsi" w:hAnsiTheme="minorHAnsi" w:cstheme="minorHAnsi"/>
          </w:rPr>
          <w:t>https://www150.statcan.gc.ca/t1/tbl1/en/cv.action?pid=1410022201</w:t>
        </w:r>
      </w:hyperlink>
    </w:p>
    <w:p w:rsidR="00A2277F" w:rsidRPr="00454891" w:rsidRDefault="00A2277F">
      <w:pPr>
        <w:pStyle w:val="EndnoteText"/>
        <w:rPr>
          <w:rFonts w:asciiTheme="minorHAnsi" w:hAnsiTheme="minorHAnsi" w:cstheme="minorHAnsi"/>
        </w:rPr>
      </w:pPr>
    </w:p>
  </w:endnote>
  <w:endnote w:id="6">
    <w:p w:rsidR="00A2277F" w:rsidRPr="00454891" w:rsidRDefault="00A2277F">
      <w:pPr>
        <w:pStyle w:val="EndnoteText"/>
        <w:rPr>
          <w:rFonts w:asciiTheme="minorHAnsi" w:hAnsiTheme="minorHAnsi" w:cstheme="minorHAnsi"/>
        </w:rPr>
      </w:pPr>
      <w:r w:rsidRPr="00454891">
        <w:rPr>
          <w:rStyle w:val="EndnoteReference"/>
          <w:rFonts w:asciiTheme="minorHAnsi" w:hAnsiTheme="minorHAnsi" w:cstheme="minorHAnsi"/>
        </w:rPr>
        <w:endnoteRef/>
      </w:r>
      <w:r w:rsidRPr="00454891">
        <w:rPr>
          <w:rFonts w:asciiTheme="minorHAnsi" w:hAnsiTheme="minorHAnsi" w:cstheme="minorHAnsi"/>
        </w:rPr>
        <w:t xml:space="preserve"> Statistics Canada. Table 14-10-0011-01 Employment insurance beneficiaries (regular benefits) by province and territory, monthly, seasonally adjusted; </w:t>
      </w:r>
      <w:r>
        <w:rPr>
          <w:rFonts w:asciiTheme="minorHAnsi" w:hAnsiTheme="minorHAnsi" w:cstheme="minorHAnsi"/>
        </w:rPr>
        <w:t>Accessed December 6,</w:t>
      </w:r>
      <w:r w:rsidRPr="00454891">
        <w:rPr>
          <w:rFonts w:asciiTheme="minorHAnsi" w:hAnsiTheme="minorHAnsi" w:cstheme="minorHAnsi"/>
        </w:rPr>
        <w:t xml:space="preserve"> 2019</w:t>
      </w:r>
      <w:hyperlink r:id="rId4" w:history="1">
        <w:r w:rsidRPr="00454891">
          <w:rPr>
            <w:rStyle w:val="Hyperlink"/>
            <w:rFonts w:asciiTheme="minorHAnsi" w:hAnsiTheme="minorHAnsi" w:cstheme="minorHAnsi"/>
          </w:rPr>
          <w:t>https://www150.statcan.gc.ca/t1/tbl1/en/cv.action?pid=1410001101</w:t>
        </w:r>
      </w:hyperlink>
    </w:p>
    <w:p w:rsidR="00A2277F" w:rsidRPr="00454891" w:rsidRDefault="00A2277F">
      <w:pPr>
        <w:pStyle w:val="EndnoteText"/>
        <w:rPr>
          <w:rFonts w:asciiTheme="minorHAnsi" w:hAnsiTheme="minorHAnsi" w:cstheme="minorHAnsi"/>
        </w:rPr>
      </w:pPr>
    </w:p>
  </w:endnote>
  <w:endnote w:id="7">
    <w:p w:rsidR="00A2277F" w:rsidRPr="00454891" w:rsidRDefault="00A2277F">
      <w:pPr>
        <w:pStyle w:val="EndnoteText"/>
        <w:rPr>
          <w:rFonts w:asciiTheme="minorHAnsi" w:hAnsiTheme="minorHAnsi" w:cstheme="minorHAnsi"/>
        </w:rPr>
      </w:pPr>
      <w:r w:rsidRPr="00454891">
        <w:rPr>
          <w:rStyle w:val="EndnoteReference"/>
          <w:rFonts w:asciiTheme="minorHAnsi" w:hAnsiTheme="minorHAnsi" w:cstheme="minorHAnsi"/>
        </w:rPr>
        <w:endnoteRef/>
      </w:r>
      <w:r w:rsidRPr="00454891">
        <w:rPr>
          <w:rFonts w:asciiTheme="minorHAnsi" w:hAnsiTheme="minorHAnsi" w:cstheme="minorHAnsi"/>
        </w:rPr>
        <w:t xml:space="preserve"> Statistics Canada. Table </w:t>
      </w:r>
      <w:r w:rsidRPr="000B451B">
        <w:rPr>
          <w:rFonts w:asciiTheme="minorHAnsi" w:hAnsiTheme="minorHAnsi" w:cstheme="minorHAnsi"/>
        </w:rPr>
        <w:t>14-10-0342-01</w:t>
      </w:r>
      <w:r w:rsidRPr="00454891">
        <w:rPr>
          <w:rFonts w:asciiTheme="minorHAnsi" w:hAnsiTheme="minorHAnsi" w:cstheme="minorHAnsi"/>
        </w:rPr>
        <w:t>Duration of unemployment, monthly, seasonal</w:t>
      </w:r>
      <w:r>
        <w:rPr>
          <w:rFonts w:asciiTheme="minorHAnsi" w:hAnsiTheme="minorHAnsi" w:cstheme="minorHAnsi"/>
        </w:rPr>
        <w:t>ly adjusted</w:t>
      </w:r>
      <w:r w:rsidRPr="00454891">
        <w:rPr>
          <w:rFonts w:asciiTheme="minorHAnsi" w:hAnsiTheme="minorHAnsi" w:cstheme="minorHAnsi"/>
        </w:rPr>
        <w:t xml:space="preserve">; </w:t>
      </w:r>
      <w:r>
        <w:rPr>
          <w:rFonts w:asciiTheme="minorHAnsi" w:hAnsiTheme="minorHAnsi" w:cstheme="minorHAnsi"/>
        </w:rPr>
        <w:t>Accessed on December 8,</w:t>
      </w:r>
      <w:r w:rsidRPr="00454891">
        <w:rPr>
          <w:rFonts w:asciiTheme="minorHAnsi" w:hAnsiTheme="minorHAnsi" w:cstheme="minorHAnsi"/>
        </w:rPr>
        <w:t xml:space="preserve"> 2019 </w:t>
      </w:r>
      <w:hyperlink r:id="rId5" w:history="1"/>
      <w:r w:rsidRPr="000B451B">
        <w:rPr>
          <w:rStyle w:val="Hyperlink"/>
          <w:rFonts w:asciiTheme="minorHAnsi" w:hAnsiTheme="minorHAnsi" w:cstheme="minorHAnsi"/>
        </w:rPr>
        <w:t>https://www150.statcan.gc.ca/t1/tbl1/en/tv.action?pid=1410034201</w:t>
      </w:r>
    </w:p>
    <w:p w:rsidR="00A2277F" w:rsidRPr="00574A25" w:rsidRDefault="00A2277F">
      <w:pPr>
        <w:pStyle w:val="EndnoteText"/>
      </w:pPr>
    </w:p>
  </w:endnote>
  <w:endnote w:id="8">
    <w:p w:rsidR="00A2277F" w:rsidRDefault="00A2277F" w:rsidP="00E9428D">
      <w:pPr>
        <w:pStyle w:val="EndnoteText"/>
        <w:rPr>
          <w:rStyle w:val="Hyperlink"/>
          <w:rFonts w:asciiTheme="minorHAnsi" w:eastAsia="Calibri" w:hAnsiTheme="minorHAnsi" w:cstheme="minorHAnsi"/>
          <w:lang w:val="en-CA"/>
        </w:rPr>
      </w:pPr>
      <w:r w:rsidRPr="00391875">
        <w:rPr>
          <w:rStyle w:val="EndnoteReference"/>
          <w:rFonts w:asciiTheme="minorHAnsi" w:hAnsiTheme="minorHAnsi" w:cstheme="minorHAnsi"/>
          <w:lang w:val="en-CA"/>
        </w:rPr>
        <w:endnoteRef/>
      </w:r>
      <w:r w:rsidRPr="00391875">
        <w:rPr>
          <w:rFonts w:asciiTheme="minorHAnsi" w:eastAsia="Calibri" w:hAnsiTheme="minorHAnsi" w:cstheme="minorHAnsi"/>
          <w:lang w:val="en-CA"/>
        </w:rPr>
        <w:t xml:space="preserve">The Government of Alberta’s Economic Dashboard, Oil production as of </w:t>
      </w:r>
      <w:r>
        <w:rPr>
          <w:rFonts w:asciiTheme="minorHAnsi" w:eastAsia="Calibri" w:hAnsiTheme="minorHAnsi" w:cstheme="minorHAnsi"/>
          <w:lang w:val="en-CA"/>
        </w:rPr>
        <w:t>October</w:t>
      </w:r>
      <w:r w:rsidRPr="00391875">
        <w:rPr>
          <w:rFonts w:asciiTheme="minorHAnsi" w:eastAsia="Calibri" w:hAnsiTheme="minorHAnsi" w:cstheme="minorHAnsi"/>
          <w:lang w:val="en-CA"/>
        </w:rPr>
        <w:t xml:space="preserve"> 2019. Published </w:t>
      </w:r>
      <w:r>
        <w:rPr>
          <w:rFonts w:asciiTheme="minorHAnsi" w:eastAsia="Calibri" w:hAnsiTheme="minorHAnsi" w:cstheme="minorHAnsi"/>
          <w:lang w:val="en-CA"/>
        </w:rPr>
        <w:t>November 29</w:t>
      </w:r>
      <w:r w:rsidRPr="00391875">
        <w:rPr>
          <w:rFonts w:asciiTheme="minorHAnsi" w:eastAsia="Calibri" w:hAnsiTheme="minorHAnsi" w:cstheme="minorHAnsi"/>
          <w:lang w:val="en-CA"/>
        </w:rPr>
        <w:t xml:space="preserve">, 2019. Accessed </w:t>
      </w:r>
      <w:r>
        <w:rPr>
          <w:rFonts w:asciiTheme="minorHAnsi" w:eastAsia="Calibri" w:hAnsiTheme="minorHAnsi" w:cstheme="minorHAnsi"/>
          <w:lang w:val="en-CA"/>
        </w:rPr>
        <w:t>December 9</w:t>
      </w:r>
      <w:r w:rsidRPr="00391875">
        <w:rPr>
          <w:rFonts w:asciiTheme="minorHAnsi" w:eastAsia="Calibri" w:hAnsiTheme="minorHAnsi" w:cstheme="minorHAnsi"/>
          <w:lang w:val="en-CA"/>
        </w:rPr>
        <w:t>, 2019</w:t>
      </w:r>
      <w:hyperlink r:id="rId6" w:history="1">
        <w:r w:rsidRPr="00391875">
          <w:rPr>
            <w:rStyle w:val="Hyperlink"/>
            <w:rFonts w:asciiTheme="minorHAnsi" w:eastAsia="Calibri" w:hAnsiTheme="minorHAnsi" w:cstheme="minorHAnsi"/>
            <w:lang w:val="en-CA"/>
          </w:rPr>
          <w:t>https://economicdashboard.alberta.ca/OilProduction</w:t>
        </w:r>
      </w:hyperlink>
    </w:p>
    <w:p w:rsidR="00A2277F" w:rsidRPr="00391875" w:rsidRDefault="00A2277F" w:rsidP="00E9428D">
      <w:pPr>
        <w:pStyle w:val="EndnoteText"/>
        <w:rPr>
          <w:rFonts w:asciiTheme="minorHAnsi" w:hAnsiTheme="minorHAnsi" w:cstheme="minorHAnsi"/>
        </w:rPr>
      </w:pPr>
    </w:p>
  </w:endnote>
  <w:endnote w:id="9">
    <w:p w:rsidR="00A2277F" w:rsidRPr="00391875" w:rsidRDefault="00A2277F" w:rsidP="000A156E">
      <w:pPr>
        <w:spacing w:after="0" w:line="240" w:lineRule="auto"/>
        <w:jc w:val="both"/>
        <w:rPr>
          <w:rFonts w:asciiTheme="minorHAnsi" w:hAnsiTheme="minorHAnsi" w:cstheme="minorHAnsi"/>
          <w:sz w:val="20"/>
          <w:szCs w:val="20"/>
          <w:lang w:val="en-US"/>
        </w:rPr>
      </w:pPr>
      <w:r w:rsidRPr="00391875">
        <w:rPr>
          <w:rStyle w:val="EndnoteReference"/>
          <w:rFonts w:asciiTheme="minorHAnsi" w:hAnsiTheme="minorHAnsi" w:cstheme="minorHAnsi"/>
          <w:sz w:val="20"/>
          <w:szCs w:val="20"/>
        </w:rPr>
        <w:endnoteRef/>
      </w:r>
      <w:r>
        <w:rPr>
          <w:rFonts w:asciiTheme="minorHAnsi" w:hAnsiTheme="minorHAnsi" w:cstheme="minorHAnsi"/>
          <w:sz w:val="20"/>
          <w:szCs w:val="20"/>
        </w:rPr>
        <w:t xml:space="preserve"> U.S. Energy Information Administration</w:t>
      </w:r>
      <w:r w:rsidRPr="00391875">
        <w:rPr>
          <w:rFonts w:asciiTheme="minorHAnsi" w:hAnsiTheme="minorHAnsi" w:cstheme="minorHAnsi"/>
          <w:sz w:val="20"/>
          <w:szCs w:val="20"/>
        </w:rPr>
        <w:t>,</w:t>
      </w:r>
      <w:r w:rsidRPr="00B64FD1">
        <w:rPr>
          <w:rFonts w:asciiTheme="minorHAnsi" w:hAnsiTheme="minorHAnsi" w:cstheme="minorHAnsi"/>
          <w:sz w:val="20"/>
          <w:szCs w:val="20"/>
        </w:rPr>
        <w:t>Financial Review of the Global Oil and Natural Gas Industry: 2018</w:t>
      </w:r>
      <w:r>
        <w:rPr>
          <w:rFonts w:asciiTheme="minorHAnsi" w:hAnsiTheme="minorHAnsi" w:cstheme="minorHAnsi"/>
          <w:sz w:val="20"/>
          <w:szCs w:val="20"/>
          <w:lang w:val="en-US"/>
        </w:rPr>
        <w:t>; May</w:t>
      </w:r>
      <w:r w:rsidRPr="00391875">
        <w:rPr>
          <w:rFonts w:asciiTheme="minorHAnsi" w:hAnsiTheme="minorHAnsi" w:cstheme="minorHAnsi"/>
          <w:sz w:val="20"/>
          <w:szCs w:val="20"/>
          <w:lang w:val="en-US"/>
        </w:rPr>
        <w:t xml:space="preserve"> 2019. Accessed </w:t>
      </w:r>
      <w:r>
        <w:rPr>
          <w:rFonts w:asciiTheme="minorHAnsi" w:hAnsiTheme="minorHAnsi" w:cstheme="minorHAnsi"/>
          <w:sz w:val="20"/>
          <w:szCs w:val="20"/>
          <w:lang w:val="en-US"/>
        </w:rPr>
        <w:t>December 9</w:t>
      </w:r>
      <w:r w:rsidRPr="00391875">
        <w:rPr>
          <w:rFonts w:asciiTheme="minorHAnsi" w:hAnsiTheme="minorHAnsi" w:cstheme="minorHAnsi"/>
          <w:sz w:val="20"/>
          <w:szCs w:val="20"/>
          <w:lang w:val="en-US"/>
        </w:rPr>
        <w:t>, 2019</w:t>
      </w:r>
      <w:hyperlink r:id="rId7" w:history="1">
        <w:r w:rsidRPr="002F1739">
          <w:rPr>
            <w:rStyle w:val="Hyperlink"/>
            <w:rFonts w:asciiTheme="minorHAnsi" w:hAnsiTheme="minorHAnsi" w:cstheme="minorHAnsi"/>
            <w:sz w:val="20"/>
            <w:szCs w:val="20"/>
            <w:lang w:val="en-US"/>
          </w:rPr>
          <w:t>https://www.eia.gov/finance/review/archive/pdf/financial_2018.pdf</w:t>
        </w:r>
      </w:hyperlink>
    </w:p>
    <w:p w:rsidR="00A2277F" w:rsidRPr="00D15C71" w:rsidRDefault="00A2277F" w:rsidP="000A156E">
      <w:pPr>
        <w:spacing w:after="0" w:line="240" w:lineRule="auto"/>
        <w:jc w:val="both"/>
        <w:rPr>
          <w:rFonts w:asciiTheme="minorHAnsi" w:hAnsiTheme="minorHAnsi" w:cstheme="minorHAnsi"/>
          <w:sz w:val="20"/>
          <w:szCs w:val="20"/>
          <w:lang w:val="en-US"/>
        </w:rPr>
      </w:pPr>
    </w:p>
  </w:endnote>
  <w:endnote w:id="10">
    <w:p w:rsidR="00A2277F" w:rsidRDefault="00A2277F">
      <w:pPr>
        <w:pStyle w:val="EndnoteText"/>
        <w:rPr>
          <w:rFonts w:asciiTheme="minorHAnsi" w:hAnsiTheme="minorHAnsi" w:cstheme="minorHAnsi"/>
        </w:rPr>
      </w:pPr>
      <w:r>
        <w:rPr>
          <w:rStyle w:val="EndnoteReference"/>
        </w:rPr>
        <w:endnoteRef/>
      </w:r>
      <w:r w:rsidRPr="009A7F8C">
        <w:rPr>
          <w:rFonts w:asciiTheme="minorHAnsi" w:hAnsiTheme="minorHAnsi" w:cstheme="minorHAnsi"/>
        </w:rPr>
        <w:t>The Canadian Press,Canada produces more greenhouse gas emissions than any other G20 country, new report says</w:t>
      </w:r>
      <w:r>
        <w:rPr>
          <w:rFonts w:asciiTheme="minorHAnsi" w:hAnsiTheme="minorHAnsi" w:cstheme="minorHAnsi"/>
        </w:rPr>
        <w:t xml:space="preserve">; November 14, 2019. Accessed December 9, 2019  </w:t>
      </w:r>
      <w:hyperlink r:id="rId8" w:history="1">
        <w:r w:rsidRPr="009A7F8C">
          <w:rPr>
            <w:rStyle w:val="Hyperlink"/>
            <w:rFonts w:asciiTheme="minorHAnsi" w:hAnsiTheme="minorHAnsi" w:cstheme="minorHAnsi"/>
          </w:rPr>
          <w:t>https://www.thestar.com/news/canada/2018/11/14/canada-produces-most-greenhouse-gas-emissions-than-any-other-g20-country-new-report-says.html</w:t>
        </w:r>
      </w:hyperlink>
    </w:p>
    <w:p w:rsidR="00A2277F" w:rsidRDefault="00A2277F">
      <w:pPr>
        <w:pStyle w:val="EndnoteText"/>
      </w:pPr>
    </w:p>
  </w:endnote>
  <w:endnote w:id="11">
    <w:p w:rsidR="00A2277F" w:rsidRDefault="00A2277F">
      <w:pPr>
        <w:pStyle w:val="EndnoteText"/>
        <w:rPr>
          <w:rFonts w:asciiTheme="minorHAnsi" w:hAnsiTheme="minorHAnsi" w:cstheme="minorHAnsi"/>
        </w:rPr>
      </w:pPr>
      <w:r>
        <w:rPr>
          <w:rStyle w:val="EndnoteReference"/>
        </w:rPr>
        <w:endnoteRef/>
      </w:r>
      <w:r w:rsidRPr="00901D05">
        <w:rPr>
          <w:rFonts w:asciiTheme="minorHAnsi" w:hAnsiTheme="minorHAnsi" w:cstheme="minorHAnsi"/>
        </w:rPr>
        <w:t xml:space="preserve"> Reuters; OPEC sees its oil market share shrinking, lowers demand view</w:t>
      </w:r>
      <w:r>
        <w:rPr>
          <w:rFonts w:asciiTheme="minorHAnsi" w:hAnsiTheme="minorHAnsi" w:cstheme="minorHAnsi"/>
        </w:rPr>
        <w:t xml:space="preserve">; November 5, 2019. Accessed December 8, 2019  </w:t>
      </w:r>
      <w:hyperlink r:id="rId9" w:history="1">
        <w:r w:rsidRPr="00921A2F">
          <w:rPr>
            <w:rStyle w:val="Hyperlink"/>
            <w:rFonts w:asciiTheme="minorHAnsi" w:hAnsiTheme="minorHAnsi" w:cstheme="minorHAnsi"/>
          </w:rPr>
          <w:t>https://www.reuters.com/article/us-oil-opec-outlook/opec-sees-its-oil-market-share-shrinking-lowers-demand-view-idUSKBN1XF105</w:t>
        </w:r>
      </w:hyperlink>
    </w:p>
    <w:p w:rsidR="00A2277F" w:rsidRDefault="00A2277F">
      <w:pPr>
        <w:pStyle w:val="EndnoteText"/>
      </w:pPr>
    </w:p>
  </w:endnote>
  <w:endnote w:id="12">
    <w:p w:rsidR="00A2277F" w:rsidRDefault="00A2277F">
      <w:pPr>
        <w:pStyle w:val="EndnoteText"/>
        <w:rPr>
          <w:rFonts w:asciiTheme="minorHAnsi" w:hAnsiTheme="minorHAnsi" w:cstheme="minorHAnsi"/>
        </w:rPr>
      </w:pPr>
      <w:r>
        <w:rPr>
          <w:rStyle w:val="EndnoteReference"/>
        </w:rPr>
        <w:endnoteRef/>
      </w:r>
      <w:r w:rsidRPr="00875453">
        <w:rPr>
          <w:rFonts w:asciiTheme="minorHAnsi" w:hAnsiTheme="minorHAnsi" w:cstheme="minorHAnsi"/>
        </w:rPr>
        <w:t>CBC News, Alberta eases oil curtailment for operators who ship extra barrels by rail; October 31, 2019</w:t>
      </w:r>
      <w:r>
        <w:t>.</w:t>
      </w:r>
      <w:r>
        <w:rPr>
          <w:rFonts w:asciiTheme="minorHAnsi" w:hAnsiTheme="minorHAnsi" w:cstheme="minorHAnsi"/>
        </w:rPr>
        <w:t xml:space="preserve"> Accessed December 6</w:t>
      </w:r>
      <w:r w:rsidRPr="00875453">
        <w:rPr>
          <w:rFonts w:asciiTheme="minorHAnsi" w:hAnsiTheme="minorHAnsi" w:cstheme="minorHAnsi"/>
        </w:rPr>
        <w:t xml:space="preserve">, 2019  </w:t>
      </w:r>
      <w:hyperlink r:id="rId10" w:history="1">
        <w:r w:rsidRPr="00921A2F">
          <w:rPr>
            <w:rStyle w:val="Hyperlink"/>
            <w:rFonts w:asciiTheme="minorHAnsi" w:hAnsiTheme="minorHAnsi" w:cstheme="minorHAnsi"/>
          </w:rPr>
          <w:t>https://www.cbc.ca/news/canada/edmonton/crude-rail-alberta-oil-curtailment-1.5342420</w:t>
        </w:r>
      </w:hyperlink>
    </w:p>
    <w:p w:rsidR="00A2277F" w:rsidRPr="00875453" w:rsidRDefault="00A2277F">
      <w:pPr>
        <w:pStyle w:val="EndnoteText"/>
        <w:rPr>
          <w:rFonts w:asciiTheme="minorHAnsi" w:hAnsiTheme="minorHAnsi" w:cstheme="minorHAnsi"/>
        </w:rPr>
      </w:pPr>
    </w:p>
  </w:endnote>
  <w:endnote w:id="13">
    <w:p w:rsidR="00A2277F" w:rsidRDefault="00A2277F" w:rsidP="000A156E">
      <w:pPr>
        <w:pStyle w:val="EndnoteText"/>
        <w:rPr>
          <w:rFonts w:asciiTheme="minorHAnsi" w:hAnsiTheme="minorHAnsi" w:cstheme="minorHAnsi"/>
        </w:rPr>
      </w:pPr>
      <w:r>
        <w:rPr>
          <w:rStyle w:val="EndnoteReference"/>
        </w:rPr>
        <w:endnoteRef/>
      </w:r>
      <w:r>
        <w:rPr>
          <w:rFonts w:asciiTheme="minorHAnsi" w:hAnsiTheme="minorHAnsi" w:cstheme="minorHAnsi"/>
        </w:rPr>
        <w:t>The Canadian Press</w:t>
      </w:r>
      <w:r w:rsidRPr="009834E5">
        <w:rPr>
          <w:rFonts w:asciiTheme="minorHAnsi" w:hAnsiTheme="minorHAnsi" w:cstheme="minorHAnsi"/>
        </w:rPr>
        <w:t xml:space="preserve">, </w:t>
      </w:r>
      <w:r w:rsidRPr="00901D05">
        <w:rPr>
          <w:rFonts w:asciiTheme="minorHAnsi" w:hAnsiTheme="minorHAnsi" w:cstheme="minorHAnsi"/>
        </w:rPr>
        <w:t>First Nation, environmental groups seek leave to appeal Trans Mountain pipeline ruling to Supreme Court</w:t>
      </w:r>
      <w:r>
        <w:rPr>
          <w:rFonts w:asciiTheme="minorHAnsi" w:hAnsiTheme="minorHAnsi" w:cstheme="minorHAnsi"/>
        </w:rPr>
        <w:t xml:space="preserve">; November 5, 2019  </w:t>
      </w:r>
      <w:hyperlink r:id="rId11" w:history="1">
        <w:r w:rsidRPr="00921A2F">
          <w:rPr>
            <w:rStyle w:val="Hyperlink"/>
            <w:rFonts w:asciiTheme="minorHAnsi" w:hAnsiTheme="minorHAnsi" w:cstheme="minorHAnsi"/>
          </w:rPr>
          <w:t>https://business.financialpost.com/commodities/energy/first-nation-environmental-groups-seek-leave-to-appeal-trans-mountain-pipeline-ruling-to-supreme-court</w:t>
        </w:r>
      </w:hyperlink>
    </w:p>
    <w:p w:rsidR="00A2277F" w:rsidRDefault="00A2277F" w:rsidP="000A156E">
      <w:pPr>
        <w:pStyle w:val="EndnoteText"/>
      </w:pPr>
    </w:p>
  </w:endnote>
  <w:endnote w:id="14">
    <w:p w:rsidR="00A2277F" w:rsidRDefault="00A2277F">
      <w:pPr>
        <w:pStyle w:val="EndnoteText"/>
        <w:rPr>
          <w:rFonts w:asciiTheme="minorHAnsi" w:hAnsiTheme="minorHAnsi" w:cstheme="minorHAnsi"/>
        </w:rPr>
      </w:pPr>
      <w:r w:rsidRPr="009A024C">
        <w:rPr>
          <w:rStyle w:val="EndnoteReference"/>
          <w:rFonts w:asciiTheme="minorHAnsi" w:hAnsiTheme="minorHAnsi" w:cstheme="minorHAnsi"/>
        </w:rPr>
        <w:endnoteRef/>
      </w:r>
      <w:r w:rsidRPr="009A024C">
        <w:rPr>
          <w:rFonts w:asciiTheme="minorHAnsi" w:hAnsiTheme="minorHAnsi" w:cstheme="minorHAnsi"/>
        </w:rPr>
        <w:t xml:space="preserve"> The Canadian Press, TMX pipe will be in the ground by Christmas says CEO; Dec 3, 2019. Accessed December 6,, 2019  </w:t>
      </w:r>
      <w:hyperlink r:id="rId12" w:history="1">
        <w:r w:rsidRPr="009A024C">
          <w:rPr>
            <w:rStyle w:val="Hyperlink"/>
            <w:rFonts w:asciiTheme="minorHAnsi" w:hAnsiTheme="minorHAnsi" w:cstheme="minorHAnsi"/>
          </w:rPr>
          <w:t>https://everythinggp.com/2019/12/03/tmx-pipe-will-be-in-the-ground-by-christmas-says-ceo/</w:t>
        </w:r>
      </w:hyperlink>
    </w:p>
    <w:p w:rsidR="00A2277F" w:rsidRPr="009A024C" w:rsidRDefault="00A2277F">
      <w:pPr>
        <w:pStyle w:val="EndnoteText"/>
        <w:rPr>
          <w:rFonts w:asciiTheme="minorHAnsi" w:hAnsiTheme="minorHAnsi" w:cstheme="minorHAnsi"/>
        </w:rPr>
      </w:pPr>
    </w:p>
  </w:endnote>
  <w:endnote w:id="15">
    <w:p w:rsidR="00A2277F" w:rsidRDefault="00A2277F" w:rsidP="000A156E">
      <w:pPr>
        <w:pStyle w:val="EndnoteText"/>
        <w:rPr>
          <w:rStyle w:val="Hyperlink"/>
          <w:rFonts w:asciiTheme="minorHAnsi" w:hAnsiTheme="minorHAnsi" w:cstheme="minorHAnsi"/>
        </w:rPr>
      </w:pPr>
      <w:r w:rsidRPr="00391875">
        <w:rPr>
          <w:rStyle w:val="EndnoteReference"/>
          <w:rFonts w:asciiTheme="minorHAnsi" w:hAnsiTheme="minorHAnsi" w:cstheme="minorHAnsi"/>
        </w:rPr>
        <w:endnoteRef/>
      </w:r>
      <w:r w:rsidRPr="00391875">
        <w:rPr>
          <w:rFonts w:asciiTheme="minorHAnsi" w:hAnsiTheme="minorHAnsi" w:cstheme="minorHAnsi"/>
        </w:rPr>
        <w:t xml:space="preserve"> Edmonton Journal,Delay to Line 3 will keep oilpatch spending stagnant; March 7, 2019. Accessed March 8, 2019 </w:t>
      </w:r>
      <w:hyperlink r:id="rId13" w:history="1">
        <w:r w:rsidRPr="00391875">
          <w:rPr>
            <w:rStyle w:val="Hyperlink"/>
            <w:rFonts w:asciiTheme="minorHAnsi" w:hAnsiTheme="minorHAnsi" w:cstheme="minorHAnsi"/>
          </w:rPr>
          <w:t>https://edmontonjournal.com/business/energy/varcoe-line-3-delay-will-keep-oilpatch-spending-stagnant/wcm/15bcf3b3-0feb-4194-a156-f205abbdec6d</w:t>
        </w:r>
      </w:hyperlink>
    </w:p>
    <w:p w:rsidR="00A2277F" w:rsidRPr="00391875" w:rsidRDefault="00A2277F" w:rsidP="000A156E">
      <w:pPr>
        <w:pStyle w:val="EndnoteText"/>
        <w:rPr>
          <w:rFonts w:asciiTheme="minorHAnsi" w:hAnsiTheme="minorHAnsi" w:cstheme="minorHAnsi"/>
        </w:rPr>
      </w:pPr>
    </w:p>
  </w:endnote>
  <w:endnote w:id="16">
    <w:p w:rsidR="00A2277F" w:rsidRPr="00391875" w:rsidRDefault="00A2277F" w:rsidP="00AE0A90">
      <w:pPr>
        <w:spacing w:after="0" w:line="240" w:lineRule="auto"/>
        <w:rPr>
          <w:rFonts w:asciiTheme="minorHAnsi" w:hAnsiTheme="minorHAnsi" w:cstheme="minorHAnsi"/>
          <w:sz w:val="20"/>
          <w:szCs w:val="20"/>
        </w:rPr>
      </w:pPr>
      <w:r w:rsidRPr="009768BB">
        <w:rPr>
          <w:rStyle w:val="EndnoteReference"/>
          <w:rFonts w:asciiTheme="minorHAnsi" w:hAnsiTheme="minorHAnsi" w:cstheme="minorHAnsi"/>
          <w:sz w:val="20"/>
          <w:szCs w:val="20"/>
        </w:rPr>
        <w:endnoteRef/>
      </w:r>
      <w:r w:rsidRPr="009768BB">
        <w:rPr>
          <w:rFonts w:asciiTheme="minorHAnsi" w:hAnsiTheme="minorHAnsi" w:cstheme="minorHAnsi"/>
          <w:sz w:val="20"/>
          <w:szCs w:val="20"/>
        </w:rPr>
        <w:t xml:space="preserve"> Statistics Canada, Table 34-10-0066-01 Building permits, by type of structure and type o</w:t>
      </w:r>
      <w:r>
        <w:rPr>
          <w:rFonts w:asciiTheme="minorHAnsi" w:hAnsiTheme="minorHAnsi" w:cstheme="minorHAnsi"/>
          <w:sz w:val="20"/>
          <w:szCs w:val="20"/>
        </w:rPr>
        <w:t xml:space="preserve">f work (x 1,000) – Seasonally </w:t>
      </w:r>
      <w:r w:rsidRPr="009768BB">
        <w:rPr>
          <w:rFonts w:asciiTheme="minorHAnsi" w:hAnsiTheme="minorHAnsi" w:cstheme="minorHAnsi"/>
          <w:sz w:val="20"/>
          <w:szCs w:val="20"/>
        </w:rPr>
        <w:t xml:space="preserve">adjusted, </w:t>
      </w:r>
      <w:r>
        <w:rPr>
          <w:rFonts w:asciiTheme="minorHAnsi" w:hAnsiTheme="minorHAnsi" w:cstheme="minorHAnsi"/>
          <w:sz w:val="20"/>
          <w:szCs w:val="20"/>
        </w:rPr>
        <w:t>Oct</w:t>
      </w:r>
      <w:r w:rsidRPr="009768BB">
        <w:rPr>
          <w:rFonts w:asciiTheme="minorHAnsi" w:hAnsiTheme="minorHAnsi" w:cstheme="minorHAnsi"/>
          <w:sz w:val="20"/>
          <w:szCs w:val="20"/>
        </w:rPr>
        <w:t xml:space="preserve"> 2019. </w:t>
      </w:r>
      <w:r w:rsidRPr="009768BB">
        <w:rPr>
          <w:rFonts w:asciiTheme="minorHAnsi" w:hAnsiTheme="minorHAnsi" w:cstheme="minorHAnsi"/>
          <w:sz w:val="20"/>
          <w:szCs w:val="20"/>
          <w:lang/>
        </w:rPr>
        <w:t xml:space="preserve">Accessed </w:t>
      </w:r>
      <w:r>
        <w:rPr>
          <w:rFonts w:asciiTheme="minorHAnsi" w:hAnsiTheme="minorHAnsi" w:cstheme="minorHAnsi"/>
          <w:sz w:val="20"/>
          <w:szCs w:val="20"/>
          <w:lang/>
        </w:rPr>
        <w:t xml:space="preserve">December12, 2019  </w:t>
      </w:r>
      <w:hyperlink r:id="rId14" w:history="1">
        <w:r w:rsidRPr="00921A2F">
          <w:rPr>
            <w:rStyle w:val="Hyperlink"/>
            <w:rFonts w:asciiTheme="minorHAnsi" w:hAnsiTheme="minorHAnsi" w:cstheme="minorHAnsi"/>
            <w:sz w:val="20"/>
            <w:szCs w:val="20"/>
            <w:lang/>
          </w:rPr>
          <w:t>https://www150.statcan.gc.ca/t1/tbl1/en/tv.action?pid=3410006601</w:t>
        </w:r>
      </w:hyperlink>
    </w:p>
    <w:p w:rsidR="00A2277F" w:rsidRPr="00391875" w:rsidRDefault="00A2277F" w:rsidP="000A156E">
      <w:pPr>
        <w:spacing w:after="0" w:line="240" w:lineRule="auto"/>
        <w:jc w:val="both"/>
        <w:rPr>
          <w:rFonts w:asciiTheme="minorHAnsi" w:hAnsiTheme="minorHAnsi" w:cstheme="minorHAnsi"/>
          <w:sz w:val="20"/>
          <w:szCs w:val="20"/>
        </w:rPr>
      </w:pPr>
    </w:p>
  </w:endnote>
  <w:endnote w:id="17">
    <w:p w:rsidR="00A2277F" w:rsidRPr="00391875" w:rsidRDefault="00A2277F" w:rsidP="000A156E">
      <w:pPr>
        <w:pStyle w:val="EndnoteText"/>
        <w:rPr>
          <w:rStyle w:val="Hyperlink"/>
          <w:rFonts w:asciiTheme="minorHAnsi" w:hAnsiTheme="minorHAnsi" w:cstheme="minorHAnsi"/>
          <w:lang/>
        </w:rPr>
      </w:pPr>
      <w:r w:rsidRPr="00391875">
        <w:rPr>
          <w:rStyle w:val="EndnoteReference"/>
          <w:rFonts w:asciiTheme="minorHAnsi" w:hAnsiTheme="minorHAnsi" w:cstheme="minorHAnsi"/>
        </w:rPr>
        <w:endnoteRef/>
      </w:r>
      <w:r w:rsidRPr="00391875">
        <w:rPr>
          <w:rFonts w:asciiTheme="minorHAnsi" w:hAnsiTheme="minorHAnsi" w:cstheme="minorHAnsi"/>
          <w:iCs/>
        </w:rPr>
        <w:t xml:space="preserve"> Statistics Canada, </w:t>
      </w:r>
      <w:r w:rsidRPr="00391875">
        <w:rPr>
          <w:rFonts w:asciiTheme="minorHAnsi" w:hAnsiTheme="minorHAnsi" w:cstheme="minorHAnsi"/>
          <w:lang/>
        </w:rPr>
        <w:t>Table 34-10-0149-01   Canada Mortgage and Housing Corporation, absorptions and unabsorbed inventory, newly completed dwellings, by type of dwelling unit in census metropolitan areas</w:t>
      </w:r>
      <w:r>
        <w:rPr>
          <w:rFonts w:asciiTheme="minorHAnsi" w:hAnsiTheme="minorHAnsi" w:cstheme="minorHAnsi"/>
          <w:color w:val="333333"/>
          <w:lang/>
        </w:rPr>
        <w:t>; October</w:t>
      </w:r>
      <w:r w:rsidRPr="00391875">
        <w:rPr>
          <w:rFonts w:asciiTheme="minorHAnsi" w:hAnsiTheme="minorHAnsi" w:cstheme="minorHAnsi"/>
          <w:color w:val="333333"/>
          <w:lang/>
        </w:rPr>
        <w:t xml:space="preserve"> 2019. Accessed </w:t>
      </w:r>
      <w:r>
        <w:rPr>
          <w:rFonts w:asciiTheme="minorHAnsi" w:hAnsiTheme="minorHAnsi" w:cstheme="minorHAnsi"/>
          <w:color w:val="333333"/>
          <w:lang/>
        </w:rPr>
        <w:t>December 9</w:t>
      </w:r>
      <w:r w:rsidRPr="00391875">
        <w:rPr>
          <w:rFonts w:asciiTheme="minorHAnsi" w:hAnsiTheme="minorHAnsi" w:cstheme="minorHAnsi"/>
          <w:color w:val="333333"/>
          <w:lang/>
        </w:rPr>
        <w:t xml:space="preserve">, 2019  </w:t>
      </w:r>
      <w:bookmarkStart w:id="1" w:name="_Hlk532345445"/>
      <w:r w:rsidRPr="00391875">
        <w:rPr>
          <w:rStyle w:val="Hyperlink"/>
          <w:rFonts w:asciiTheme="minorHAnsi" w:hAnsiTheme="minorHAnsi" w:cstheme="minorHAnsi"/>
          <w:lang/>
        </w:rPr>
        <w:fldChar w:fldCharType="begin"/>
      </w:r>
      <w:r w:rsidRPr="00391875">
        <w:rPr>
          <w:rStyle w:val="Hyperlink"/>
          <w:rFonts w:asciiTheme="minorHAnsi" w:hAnsiTheme="minorHAnsi" w:cstheme="minorHAnsi"/>
          <w:lang/>
        </w:rPr>
        <w:instrText xml:space="preserve"> HYPERLINK "https://www150.statcan.gc.ca/t1/tbl1/en/tv.action?pid=3410014901" </w:instrText>
      </w:r>
      <w:r w:rsidRPr="00391875">
        <w:rPr>
          <w:rStyle w:val="Hyperlink"/>
          <w:rFonts w:asciiTheme="minorHAnsi" w:hAnsiTheme="minorHAnsi" w:cstheme="minorHAnsi"/>
          <w:lang/>
        </w:rPr>
        <w:fldChar w:fldCharType="separate"/>
      </w:r>
      <w:r w:rsidRPr="00391875">
        <w:rPr>
          <w:rStyle w:val="Hyperlink"/>
          <w:rFonts w:asciiTheme="minorHAnsi" w:hAnsiTheme="minorHAnsi" w:cstheme="minorHAnsi"/>
          <w:lang/>
        </w:rPr>
        <w:t>https://www150.statcan.gc.ca/t1/tbl1/en/tv.action?pid=3410014901</w:t>
      </w:r>
      <w:r w:rsidRPr="00391875">
        <w:rPr>
          <w:rStyle w:val="Hyperlink"/>
          <w:rFonts w:asciiTheme="minorHAnsi" w:hAnsiTheme="minorHAnsi" w:cstheme="minorHAnsi"/>
          <w:lang/>
        </w:rPr>
        <w:fldChar w:fldCharType="end"/>
      </w:r>
      <w:bookmarkEnd w:id="1"/>
    </w:p>
    <w:p w:rsidR="00A2277F" w:rsidRPr="00391875" w:rsidRDefault="00A2277F" w:rsidP="000A156E">
      <w:pPr>
        <w:pStyle w:val="EndnoteText"/>
        <w:rPr>
          <w:rFonts w:asciiTheme="minorHAnsi" w:hAnsiTheme="minorHAnsi" w:cstheme="minorHAnsi"/>
          <w:lang/>
        </w:rPr>
      </w:pPr>
    </w:p>
  </w:endnote>
  <w:endnote w:id="18">
    <w:p w:rsidR="00A2277F" w:rsidRPr="00391875" w:rsidRDefault="00A2277F" w:rsidP="000A156E">
      <w:pPr>
        <w:pStyle w:val="EndnoteText"/>
        <w:rPr>
          <w:rFonts w:asciiTheme="minorHAnsi" w:hAnsiTheme="minorHAnsi" w:cstheme="minorHAnsi"/>
        </w:rPr>
      </w:pPr>
      <w:r w:rsidRPr="00391875">
        <w:rPr>
          <w:rStyle w:val="EndnoteReference"/>
          <w:rFonts w:asciiTheme="minorHAnsi" w:hAnsiTheme="minorHAnsi" w:cstheme="minorHAnsi"/>
        </w:rPr>
        <w:endnoteRef/>
      </w:r>
      <w:r w:rsidRPr="00391875">
        <w:rPr>
          <w:rFonts w:asciiTheme="minorHAnsi" w:hAnsiTheme="minorHAnsi" w:cstheme="minorHAnsi"/>
        </w:rPr>
        <w:t xml:space="preserve"> Canola Council of Canada, Statement on trade with China; March 6, 2019. Accessed March 11, 2019.</w:t>
      </w:r>
      <w:r>
        <w:rPr>
          <w:rFonts w:asciiTheme="minorHAnsi" w:hAnsiTheme="minorHAnsi" w:cstheme="minorHAnsi"/>
        </w:rPr>
        <w:t xml:space="preserve"> Accessed September 6, 2019</w:t>
      </w:r>
      <w:hyperlink r:id="rId15" w:history="1">
        <w:r w:rsidRPr="00391875">
          <w:rPr>
            <w:rStyle w:val="Hyperlink"/>
            <w:rFonts w:asciiTheme="minorHAnsi" w:hAnsiTheme="minorHAnsi" w:cstheme="minorHAnsi"/>
          </w:rPr>
          <w:t>https://www.canolacouncil.org/news/canola-council-of-canada-statement-on-trade-with-china/</w:t>
        </w:r>
      </w:hyperlink>
    </w:p>
    <w:p w:rsidR="00A2277F" w:rsidRPr="00391875" w:rsidRDefault="00A2277F" w:rsidP="000A156E">
      <w:pPr>
        <w:pStyle w:val="EndnoteText"/>
        <w:rPr>
          <w:rFonts w:asciiTheme="minorHAnsi" w:hAnsiTheme="minorHAnsi" w:cstheme="minorHAnsi"/>
        </w:rPr>
      </w:pPr>
    </w:p>
  </w:endnote>
  <w:endnote w:id="19">
    <w:p w:rsidR="00A2277F" w:rsidRPr="00391875" w:rsidRDefault="00A2277F" w:rsidP="000A156E">
      <w:pPr>
        <w:pStyle w:val="EndnoteText"/>
        <w:rPr>
          <w:rFonts w:asciiTheme="minorHAnsi" w:hAnsiTheme="minorHAnsi"/>
        </w:rPr>
      </w:pPr>
      <w:r w:rsidRPr="00391875">
        <w:rPr>
          <w:rStyle w:val="EndnoteReference"/>
          <w:rFonts w:asciiTheme="minorHAnsi" w:hAnsiTheme="minorHAnsi"/>
        </w:rPr>
        <w:endnoteRef/>
      </w:r>
      <w:r w:rsidRPr="00391875">
        <w:rPr>
          <w:rFonts w:asciiTheme="minorHAnsi" w:hAnsiTheme="minorHAnsi"/>
        </w:rPr>
        <w:t xml:space="preserve"> Financial Post, Someone is using fake Canadian certificates to smuggle meat into China, Jim Carr says; June 26, 2019. Accessed July 8, 2019  </w:t>
      </w:r>
      <w:hyperlink r:id="rId16" w:history="1">
        <w:r w:rsidRPr="00391875">
          <w:rPr>
            <w:rStyle w:val="Hyperlink"/>
            <w:rFonts w:asciiTheme="minorHAnsi" w:hAnsiTheme="minorHAnsi"/>
          </w:rPr>
          <w:t>https://business.financialpost.com/news/economy/carr-says-someone-is-using-fake-canadian-certificates-to-smuggle-meat-into-china</w:t>
        </w:r>
      </w:hyperlink>
    </w:p>
    <w:p w:rsidR="00A2277F" w:rsidRPr="00391875" w:rsidRDefault="00A2277F" w:rsidP="000A156E">
      <w:pPr>
        <w:pStyle w:val="EndnoteText"/>
        <w:rPr>
          <w:rFonts w:asciiTheme="minorHAnsi" w:hAnsiTheme="minorHAnsi"/>
        </w:rPr>
      </w:pPr>
    </w:p>
  </w:endnote>
  <w:endnote w:id="20">
    <w:p w:rsidR="00A2277F" w:rsidRDefault="00A2277F" w:rsidP="000A156E">
      <w:pPr>
        <w:pStyle w:val="EndnoteText"/>
        <w:rPr>
          <w:rFonts w:asciiTheme="minorHAnsi" w:hAnsiTheme="minorHAnsi" w:cstheme="minorHAnsi"/>
        </w:rPr>
      </w:pPr>
      <w:r>
        <w:rPr>
          <w:rStyle w:val="EndnoteReference"/>
        </w:rPr>
        <w:endnoteRef/>
      </w:r>
      <w:r w:rsidRPr="00D46A75">
        <w:rPr>
          <w:rFonts w:asciiTheme="minorHAnsi" w:hAnsiTheme="minorHAnsi" w:cstheme="minorHAnsi"/>
        </w:rPr>
        <w:t>Bloomberg/Financial Post, As canola spat steals headlines, China quietly buys other Canadian crops</w:t>
      </w:r>
      <w:r>
        <w:rPr>
          <w:rFonts w:asciiTheme="minorHAnsi" w:hAnsiTheme="minorHAnsi" w:cstheme="minorHAnsi"/>
        </w:rPr>
        <w:t xml:space="preserve">; August 15, 2109. Accessed September 6, 2019  </w:t>
      </w:r>
      <w:hyperlink r:id="rId17" w:history="1">
        <w:r w:rsidRPr="002F1739">
          <w:rPr>
            <w:rStyle w:val="Hyperlink"/>
            <w:rFonts w:asciiTheme="minorHAnsi" w:hAnsiTheme="minorHAnsi" w:cstheme="minorHAnsi"/>
          </w:rPr>
          <w:t>https://business.financialpost.com/commodities/agriculture/as-canola-spat-steals-headlines-china-quietly-buys-canada-crops</w:t>
        </w:r>
      </w:hyperlink>
    </w:p>
    <w:p w:rsidR="00A2277F" w:rsidRPr="00D46A75" w:rsidRDefault="00A2277F" w:rsidP="000A156E">
      <w:pPr>
        <w:pStyle w:val="EndnoteText"/>
        <w:rPr>
          <w:rFonts w:asciiTheme="minorHAnsi" w:hAnsiTheme="minorHAnsi" w:cstheme="minorHAnsi"/>
        </w:rPr>
      </w:pPr>
    </w:p>
  </w:endnote>
  <w:endnote w:id="21">
    <w:p w:rsidR="00A2277F" w:rsidRPr="00954CD8" w:rsidRDefault="00A2277F">
      <w:pPr>
        <w:pStyle w:val="EndnoteText"/>
        <w:rPr>
          <w:rFonts w:asciiTheme="minorHAnsi" w:hAnsiTheme="minorHAnsi" w:cstheme="minorHAnsi"/>
        </w:rPr>
      </w:pPr>
      <w:r w:rsidRPr="00954CD8">
        <w:rPr>
          <w:rStyle w:val="EndnoteReference"/>
          <w:rFonts w:asciiTheme="minorHAnsi" w:hAnsiTheme="minorHAnsi" w:cstheme="minorHAnsi"/>
        </w:rPr>
        <w:endnoteRef/>
      </w:r>
      <w:r w:rsidRPr="00954CD8">
        <w:rPr>
          <w:rFonts w:asciiTheme="minorHAnsi" w:hAnsiTheme="minorHAnsi" w:cstheme="minorHAnsi"/>
        </w:rPr>
        <w:t xml:space="preserve">Government of Alberta, Alberta Crop Report – Final Report for 2019; published December 3, 2019. Accessed December 9, 2019  </w:t>
      </w:r>
      <w:hyperlink r:id="rId18" w:history="1">
        <w:r w:rsidRPr="00954CD8">
          <w:rPr>
            <w:rStyle w:val="Hyperlink"/>
            <w:rFonts w:asciiTheme="minorHAnsi" w:hAnsiTheme="minorHAnsi" w:cstheme="minorHAnsi"/>
          </w:rPr>
          <w:t>https://open.alberta.ca/dataset/af95ff5b-f8cc-4fd9-9bd6-e2642816028e/resource/d0d9166b-444a-4bb5-9a15-e18a3d467869/download/af-crop-report-2019-12-03.pdf</w:t>
        </w:r>
      </w:hyperlink>
    </w:p>
    <w:p w:rsidR="00A2277F" w:rsidRDefault="00A2277F">
      <w:pPr>
        <w:pStyle w:val="EndnoteText"/>
      </w:pPr>
    </w:p>
  </w:endnote>
  <w:endnote w:id="22">
    <w:p w:rsidR="00A2277F" w:rsidRDefault="00A2277F" w:rsidP="000A156E">
      <w:pPr>
        <w:pStyle w:val="EndnoteText"/>
        <w:rPr>
          <w:rFonts w:ascii="Calibri" w:hAnsi="Calibri" w:cs="Calibri"/>
        </w:rPr>
      </w:pPr>
      <w:r w:rsidRPr="00CD077B">
        <w:rPr>
          <w:rStyle w:val="EndnoteReference"/>
          <w:rFonts w:ascii="Calibri" w:hAnsi="Calibri" w:cs="Calibri"/>
        </w:rPr>
        <w:endnoteRef/>
      </w:r>
      <w:r w:rsidRPr="00CD077B">
        <w:rPr>
          <w:rFonts w:ascii="Calibri" w:hAnsi="Calibri" w:cs="Calibri"/>
        </w:rPr>
        <w:t xml:space="preserve"> Reuters</w:t>
      </w:r>
      <w:r>
        <w:rPr>
          <w:rFonts w:ascii="Calibri" w:hAnsi="Calibri" w:cs="Calibri"/>
        </w:rPr>
        <w:t xml:space="preserve">, </w:t>
      </w:r>
      <w:r w:rsidRPr="00CD077B">
        <w:rPr>
          <w:rFonts w:ascii="Calibri" w:hAnsi="Calibri" w:cs="Calibri"/>
        </w:rPr>
        <w:t>Billionaire Li Ka-Shing offered C$12.4 billion for Canada's Inter Pipeline: Globe and Mail</w:t>
      </w:r>
      <w:r>
        <w:rPr>
          <w:rFonts w:ascii="Calibri" w:hAnsi="Calibri" w:cs="Calibri"/>
        </w:rPr>
        <w:t xml:space="preserve">, November 8, 2019. Accessed September 9, 2019  </w:t>
      </w:r>
      <w:hyperlink r:id="rId19" w:history="1">
        <w:r w:rsidRPr="002F1739">
          <w:rPr>
            <w:rStyle w:val="Hyperlink"/>
            <w:rFonts w:ascii="Calibri" w:hAnsi="Calibri" w:cs="Calibri"/>
          </w:rPr>
          <w:t>https://www.reuters.com/article/us-inter-us-m-a-ck-infra/billionaire-li-ka-shing-offered-c12-4-billion-for-canadas-inter-pipeline-globe-and-mail-idUSKCN1VR1BC</w:t>
        </w:r>
      </w:hyperlink>
    </w:p>
    <w:p w:rsidR="00A2277F" w:rsidRPr="00CD077B" w:rsidRDefault="00A2277F" w:rsidP="000A156E">
      <w:pPr>
        <w:pStyle w:val="EndnoteText"/>
        <w:rPr>
          <w:rFonts w:ascii="Calibri" w:hAnsi="Calibri" w:cs="Calibri"/>
        </w:rPr>
      </w:pPr>
    </w:p>
  </w:endnote>
  <w:endnote w:id="23">
    <w:p w:rsidR="00A2277F" w:rsidRPr="00391875" w:rsidRDefault="00A2277F" w:rsidP="000A156E">
      <w:pPr>
        <w:pStyle w:val="EndnoteText"/>
        <w:rPr>
          <w:rFonts w:asciiTheme="minorHAnsi" w:hAnsiTheme="minorHAnsi" w:cstheme="minorHAnsi"/>
        </w:rPr>
      </w:pPr>
      <w:r w:rsidRPr="00BD40F7">
        <w:rPr>
          <w:rFonts w:asciiTheme="minorHAnsi" w:hAnsiTheme="minorHAnsi" w:cstheme="minorHAnsi"/>
          <w:vertAlign w:val="superscript"/>
        </w:rPr>
        <w:t>23</w:t>
      </w:r>
      <w:r w:rsidRPr="00391875">
        <w:rPr>
          <w:rFonts w:asciiTheme="minorHAnsi" w:hAnsiTheme="minorHAnsi" w:cstheme="minorHAnsi"/>
        </w:rPr>
        <w:t xml:space="preserve">Statistics Canada, Table 20-10-0008-01 Retail trade sales by province and territory (x 1,000) </w:t>
      </w:r>
      <w:r>
        <w:rPr>
          <w:rFonts w:asciiTheme="minorHAnsi" w:hAnsiTheme="minorHAnsi" w:cstheme="minorHAnsi"/>
        </w:rPr>
        <w:t>September</w:t>
      </w:r>
      <w:r w:rsidRPr="00391875">
        <w:rPr>
          <w:rFonts w:asciiTheme="minorHAnsi" w:hAnsiTheme="minorHAnsi" w:cstheme="minorHAnsi"/>
        </w:rPr>
        <w:t xml:space="preserve"> 2019. Accessed </w:t>
      </w:r>
      <w:r>
        <w:rPr>
          <w:rFonts w:asciiTheme="minorHAnsi" w:hAnsiTheme="minorHAnsi" w:cstheme="minorHAnsi"/>
        </w:rPr>
        <w:t>December 9</w:t>
      </w:r>
      <w:r w:rsidRPr="00391875">
        <w:rPr>
          <w:rFonts w:asciiTheme="minorHAnsi" w:hAnsiTheme="minorHAnsi" w:cstheme="minorHAnsi"/>
        </w:rPr>
        <w:t>, 2019.</w:t>
      </w:r>
      <w:hyperlink r:id="rId20" w:history="1">
        <w:r w:rsidRPr="00C87534">
          <w:rPr>
            <w:rStyle w:val="Hyperlink"/>
            <w:rFonts w:asciiTheme="minorHAnsi" w:hAnsiTheme="minorHAnsi" w:cstheme="minorHAnsi"/>
          </w:rPr>
          <w:t>https://www150.statcan.gc.ca/t1/tbl1/en/tv.action?pid=2010000801</w:t>
        </w:r>
      </w:hyperlink>
    </w:p>
    <w:p w:rsidR="00A2277F" w:rsidRPr="00391875" w:rsidRDefault="00A2277F" w:rsidP="000A156E">
      <w:pPr>
        <w:pStyle w:val="EndnoteText"/>
        <w:rPr>
          <w:rFonts w:asciiTheme="minorHAnsi" w:hAnsiTheme="minorHAnsi" w:cstheme="minorHAnsi"/>
        </w:rPr>
      </w:pPr>
    </w:p>
  </w:endnote>
  <w:endnote w:id="24">
    <w:p w:rsidR="00A2277F" w:rsidRPr="00391875" w:rsidRDefault="00A2277F" w:rsidP="000A156E">
      <w:pPr>
        <w:pStyle w:val="EndnoteText"/>
        <w:rPr>
          <w:rStyle w:val="Hyperlink"/>
          <w:rFonts w:asciiTheme="minorHAnsi" w:hAnsiTheme="minorHAnsi" w:cstheme="minorHAnsi"/>
        </w:rPr>
      </w:pPr>
      <w:r w:rsidRPr="00391875">
        <w:rPr>
          <w:rStyle w:val="EndnoteReference"/>
          <w:rFonts w:asciiTheme="minorHAnsi" w:hAnsiTheme="minorHAnsi" w:cstheme="minorHAnsi"/>
        </w:rPr>
        <w:endnoteRef/>
      </w:r>
      <w:r w:rsidRPr="00391875">
        <w:rPr>
          <w:rFonts w:asciiTheme="minorHAnsi" w:hAnsiTheme="minorHAnsi" w:cstheme="minorHAnsi"/>
        </w:rPr>
        <w:t xml:space="preserve"> Statistics Canada, Table 20-10-0074-01 Wholesale trade, sales (x 1,000) </w:t>
      </w:r>
      <w:r>
        <w:rPr>
          <w:rFonts w:asciiTheme="minorHAnsi" w:hAnsiTheme="minorHAnsi" w:cstheme="minorHAnsi"/>
        </w:rPr>
        <w:t>September</w:t>
      </w:r>
      <w:r w:rsidRPr="00391875">
        <w:rPr>
          <w:rFonts w:asciiTheme="minorHAnsi" w:hAnsiTheme="minorHAnsi" w:cstheme="minorHAnsi"/>
        </w:rPr>
        <w:t xml:space="preserve"> 2019. Accessed </w:t>
      </w:r>
      <w:r>
        <w:rPr>
          <w:rFonts w:asciiTheme="minorHAnsi" w:hAnsiTheme="minorHAnsi" w:cstheme="minorHAnsi"/>
        </w:rPr>
        <w:t>December</w:t>
      </w:r>
      <w:r w:rsidRPr="00391875">
        <w:rPr>
          <w:rFonts w:asciiTheme="minorHAnsi" w:hAnsiTheme="minorHAnsi" w:cstheme="minorHAnsi"/>
        </w:rPr>
        <w:t xml:space="preserve"> 6, 2019. </w:t>
      </w:r>
      <w:hyperlink r:id="rId21" w:history="1">
        <w:r w:rsidRPr="00391875">
          <w:rPr>
            <w:rStyle w:val="Hyperlink"/>
            <w:rFonts w:asciiTheme="minorHAnsi" w:hAnsiTheme="minorHAnsi" w:cstheme="minorHAnsi"/>
          </w:rPr>
          <w:t>https://www150.statcan.gc.ca/t1/tbl1/en/tv.action?pid=2010007401</w:t>
        </w:r>
      </w:hyperlink>
    </w:p>
    <w:p w:rsidR="00A2277F" w:rsidRPr="00A523AB" w:rsidRDefault="00A2277F" w:rsidP="000A156E">
      <w:pPr>
        <w:pStyle w:val="EndnoteText"/>
        <w:rPr>
          <w:rFonts w:asciiTheme="minorHAnsi" w:hAnsiTheme="minorHAnsi" w:cstheme="minorHAnsi"/>
        </w:rPr>
      </w:pPr>
    </w:p>
  </w:endnote>
  <w:endnote w:id="25">
    <w:p w:rsidR="00A2277F" w:rsidRDefault="00A2277F" w:rsidP="004460B0">
      <w:pPr>
        <w:pStyle w:val="EndnoteText"/>
        <w:rPr>
          <w:rFonts w:asciiTheme="minorHAnsi" w:hAnsiTheme="minorHAnsi" w:cstheme="minorHAnsi"/>
        </w:rPr>
      </w:pPr>
      <w:r w:rsidRPr="004460B0">
        <w:rPr>
          <w:rStyle w:val="EndnoteReference"/>
          <w:rFonts w:asciiTheme="minorHAnsi" w:hAnsiTheme="minorHAnsi" w:cstheme="minorHAnsi"/>
        </w:rPr>
        <w:endnoteRef/>
      </w:r>
      <w:r w:rsidRPr="004460B0">
        <w:rPr>
          <w:rFonts w:asciiTheme="minorHAnsi" w:hAnsiTheme="minorHAnsi" w:cstheme="minorHAnsi"/>
        </w:rPr>
        <w:t xml:space="preserve"> JWN Energy, Suncor going ahead with $300MM new Alberta wind farm; December 4, 2019. Accessed December 6, 2019. </w:t>
      </w:r>
      <w:hyperlink r:id="rId22" w:history="1">
        <w:r w:rsidRPr="004460B0">
          <w:rPr>
            <w:rStyle w:val="Hyperlink"/>
            <w:rFonts w:asciiTheme="minorHAnsi" w:hAnsiTheme="minorHAnsi" w:cstheme="minorHAnsi"/>
          </w:rPr>
          <w:t>https://www.jwnenergy.com/article/2019/12/suncor-going-ahead-300mm-new-alberta-wind-farm/</w:t>
        </w:r>
      </w:hyperlink>
    </w:p>
    <w:p w:rsidR="00A2277F" w:rsidRPr="004460B0" w:rsidRDefault="00A2277F" w:rsidP="004460B0">
      <w:pPr>
        <w:pStyle w:val="EndnoteText"/>
        <w:rPr>
          <w:rFonts w:asciiTheme="minorHAnsi" w:hAnsiTheme="minorHAnsi" w:cstheme="minorHAnsi"/>
        </w:rPr>
      </w:pPr>
    </w:p>
  </w:endnote>
  <w:endnote w:id="26">
    <w:p w:rsidR="00A2277F" w:rsidRDefault="00A2277F" w:rsidP="004460B0">
      <w:pPr>
        <w:pStyle w:val="EndnoteText"/>
        <w:rPr>
          <w:rFonts w:asciiTheme="minorHAnsi" w:hAnsiTheme="minorHAnsi" w:cstheme="minorHAnsi"/>
        </w:rPr>
      </w:pPr>
      <w:r w:rsidRPr="004460B0">
        <w:rPr>
          <w:rStyle w:val="EndnoteReference"/>
          <w:rFonts w:asciiTheme="minorHAnsi" w:hAnsiTheme="minorHAnsi" w:cstheme="minorHAnsi"/>
        </w:rPr>
        <w:endnoteRef/>
      </w:r>
      <w:r w:rsidRPr="004460B0">
        <w:rPr>
          <w:rFonts w:asciiTheme="minorHAnsi" w:hAnsiTheme="minorHAnsi" w:cstheme="minorHAnsi"/>
        </w:rPr>
        <w:t xml:space="preserve"> Medicine Hat News, Pair of wind farms clear regulatory government hurdles; October 26, 2019. Accessed December 6, 2019. </w:t>
      </w:r>
      <w:hyperlink r:id="rId23" w:history="1">
        <w:r w:rsidRPr="004460B0">
          <w:rPr>
            <w:rStyle w:val="Hyperlink"/>
            <w:rFonts w:asciiTheme="minorHAnsi" w:hAnsiTheme="minorHAnsi" w:cstheme="minorHAnsi"/>
          </w:rPr>
          <w:t>https://medicinehatnews.com/news/local-news/2019/10/26/pair-of-wind-farms-clear-regulatory-governmental-hurdles/</w:t>
        </w:r>
      </w:hyperlink>
    </w:p>
    <w:p w:rsidR="00A2277F" w:rsidRPr="004460B0" w:rsidRDefault="00A2277F" w:rsidP="004460B0">
      <w:pPr>
        <w:pStyle w:val="EndnoteText"/>
        <w:rPr>
          <w:rFonts w:asciiTheme="minorHAnsi" w:hAnsiTheme="minorHAnsi" w:cstheme="minorHAnsi"/>
        </w:rPr>
      </w:pPr>
    </w:p>
  </w:endnote>
  <w:endnote w:id="27">
    <w:p w:rsidR="00A2277F" w:rsidRDefault="00A2277F" w:rsidP="004460B0">
      <w:pPr>
        <w:pStyle w:val="EndnoteText"/>
        <w:rPr>
          <w:rFonts w:asciiTheme="minorHAnsi" w:hAnsiTheme="minorHAnsi" w:cstheme="minorHAnsi"/>
        </w:rPr>
      </w:pPr>
      <w:r w:rsidRPr="004460B0">
        <w:rPr>
          <w:rStyle w:val="EndnoteReference"/>
          <w:rFonts w:asciiTheme="minorHAnsi" w:hAnsiTheme="minorHAnsi" w:cstheme="minorHAnsi"/>
        </w:rPr>
        <w:endnoteRef/>
      </w:r>
      <w:r w:rsidRPr="004460B0">
        <w:rPr>
          <w:rFonts w:asciiTheme="minorHAnsi" w:hAnsiTheme="minorHAnsi" w:cstheme="minorHAnsi"/>
        </w:rPr>
        <w:t xml:space="preserve"> The Wetaskiwin Times, Points West Living celebrates grand opening; November 7 ,2019. Accessed December 6, 2019. </w:t>
      </w:r>
      <w:hyperlink r:id="rId24" w:history="1">
        <w:r w:rsidRPr="004460B0">
          <w:rPr>
            <w:rStyle w:val="Hyperlink"/>
            <w:rFonts w:asciiTheme="minorHAnsi" w:hAnsiTheme="minorHAnsi" w:cstheme="minorHAnsi"/>
          </w:rPr>
          <w:t>https://www.wetaskiwintimes.com/news/local-news/points-west-living-celebrates-grand-opening</w:t>
        </w:r>
      </w:hyperlink>
    </w:p>
    <w:p w:rsidR="00A2277F" w:rsidRPr="004460B0" w:rsidRDefault="00A2277F" w:rsidP="004460B0">
      <w:pPr>
        <w:pStyle w:val="EndnoteText"/>
        <w:rPr>
          <w:rFonts w:asciiTheme="minorHAnsi" w:hAnsiTheme="minorHAnsi" w:cstheme="minorHAnsi"/>
        </w:rPr>
      </w:pPr>
    </w:p>
  </w:endnote>
  <w:endnote w:id="28">
    <w:p w:rsidR="00A2277F" w:rsidRDefault="00A2277F" w:rsidP="004460B0">
      <w:pPr>
        <w:pStyle w:val="EndnoteText"/>
        <w:rPr>
          <w:rFonts w:asciiTheme="minorHAnsi" w:hAnsiTheme="minorHAnsi" w:cstheme="minorHAnsi"/>
        </w:rPr>
      </w:pPr>
      <w:r w:rsidRPr="004460B0">
        <w:rPr>
          <w:rStyle w:val="EndnoteReference"/>
          <w:rFonts w:asciiTheme="minorHAnsi" w:hAnsiTheme="minorHAnsi" w:cstheme="minorHAnsi"/>
        </w:rPr>
        <w:endnoteRef/>
      </w:r>
      <w:r w:rsidRPr="004460B0">
        <w:rPr>
          <w:rFonts w:asciiTheme="minorHAnsi" w:hAnsiTheme="minorHAnsi" w:cstheme="minorHAnsi"/>
        </w:rPr>
        <w:t xml:space="preserve"> The Government of Alberta, Highway 1A widening agreement in place; November 12, 2019. Accessed December 6, 2019. </w:t>
      </w:r>
      <w:hyperlink r:id="rId25" w:history="1">
        <w:r w:rsidRPr="004460B0">
          <w:rPr>
            <w:rStyle w:val="Hyperlink"/>
            <w:rFonts w:asciiTheme="minorHAnsi" w:hAnsiTheme="minorHAnsi" w:cstheme="minorHAnsi"/>
          </w:rPr>
          <w:t>https://www.alberta.ca/release.cfm?xID=66076C7FDD84B-9B05-40AE-A467837C01C3738D</w:t>
        </w:r>
      </w:hyperlink>
    </w:p>
    <w:p w:rsidR="00A2277F" w:rsidRPr="004460B0" w:rsidRDefault="00A2277F" w:rsidP="004460B0">
      <w:pPr>
        <w:pStyle w:val="EndnoteText"/>
        <w:rPr>
          <w:rFonts w:asciiTheme="minorHAnsi" w:hAnsiTheme="minorHAnsi" w:cstheme="minorHAnsi"/>
          <w:lang w:val="en-CA"/>
        </w:rPr>
      </w:pPr>
    </w:p>
  </w:endnote>
  <w:endnote w:id="29">
    <w:p w:rsidR="00A2277F" w:rsidRDefault="00A2277F" w:rsidP="004460B0">
      <w:pPr>
        <w:pStyle w:val="EndnoteText"/>
        <w:rPr>
          <w:rFonts w:asciiTheme="minorHAnsi" w:hAnsiTheme="minorHAnsi" w:cstheme="minorHAnsi"/>
        </w:rPr>
      </w:pPr>
      <w:r w:rsidRPr="004460B0">
        <w:rPr>
          <w:rStyle w:val="EndnoteReference"/>
          <w:rFonts w:asciiTheme="minorHAnsi" w:hAnsiTheme="minorHAnsi" w:cstheme="minorHAnsi"/>
        </w:rPr>
        <w:endnoteRef/>
      </w:r>
      <w:r w:rsidRPr="004460B0">
        <w:rPr>
          <w:rFonts w:asciiTheme="minorHAnsi" w:hAnsiTheme="minorHAnsi" w:cstheme="minorHAnsi"/>
        </w:rPr>
        <w:t xml:space="preserve"> CBC, Rail strike, pipeline spill lead Alberta to extend oil curtailment levels; November 27, 2019. Accessed December 6, 2019. </w:t>
      </w:r>
      <w:hyperlink r:id="rId26" w:history="1">
        <w:r w:rsidRPr="004460B0">
          <w:rPr>
            <w:rStyle w:val="Hyperlink"/>
            <w:rFonts w:asciiTheme="minorHAnsi" w:hAnsiTheme="minorHAnsi" w:cstheme="minorHAnsi"/>
          </w:rPr>
          <w:t>https://www.cbc.ca/news/canada/calgary/alberta-extend-oil-curtailment-levels-1.5375603</w:t>
        </w:r>
      </w:hyperlink>
    </w:p>
    <w:p w:rsidR="00A2277F" w:rsidRPr="004460B0" w:rsidRDefault="00A2277F" w:rsidP="004460B0">
      <w:pPr>
        <w:pStyle w:val="EndnoteText"/>
        <w:rPr>
          <w:rFonts w:asciiTheme="minorHAnsi" w:hAnsiTheme="minorHAnsi" w:cstheme="minorHAnsi"/>
        </w:rPr>
      </w:pPr>
    </w:p>
  </w:endnote>
  <w:endnote w:id="30">
    <w:p w:rsidR="00A2277F" w:rsidRDefault="00A2277F" w:rsidP="004460B0">
      <w:pPr>
        <w:pStyle w:val="EndnoteText"/>
        <w:rPr>
          <w:rFonts w:asciiTheme="minorHAnsi" w:hAnsiTheme="minorHAnsi" w:cstheme="minorHAnsi"/>
        </w:rPr>
      </w:pPr>
      <w:r w:rsidRPr="004460B0">
        <w:rPr>
          <w:rStyle w:val="EndnoteReference"/>
          <w:rFonts w:asciiTheme="minorHAnsi" w:hAnsiTheme="minorHAnsi" w:cstheme="minorHAnsi"/>
        </w:rPr>
        <w:endnoteRef/>
      </w:r>
      <w:r w:rsidRPr="004460B0">
        <w:rPr>
          <w:rFonts w:asciiTheme="minorHAnsi" w:hAnsiTheme="minorHAnsi" w:cstheme="minorHAnsi"/>
        </w:rPr>
        <w:t xml:space="preserve"> The Government of Alberta; Budget Highlights; October 24, 2019. Accessed December 6,2019. </w:t>
      </w:r>
      <w:hyperlink r:id="rId27" w:history="1">
        <w:r w:rsidRPr="004460B0">
          <w:rPr>
            <w:rStyle w:val="Hyperlink"/>
            <w:rFonts w:asciiTheme="minorHAnsi" w:hAnsiTheme="minorHAnsi" w:cstheme="minorHAnsi"/>
          </w:rPr>
          <w:t>https://www.alberta.ca/budget-highlights.aspx</w:t>
        </w:r>
      </w:hyperlink>
    </w:p>
    <w:p w:rsidR="00A2277F" w:rsidRPr="004460B0" w:rsidRDefault="00A2277F" w:rsidP="004460B0">
      <w:pPr>
        <w:pStyle w:val="EndnoteText"/>
        <w:rPr>
          <w:rFonts w:asciiTheme="minorHAnsi" w:hAnsiTheme="minorHAnsi" w:cstheme="minorHAnsi"/>
        </w:rPr>
      </w:pPr>
    </w:p>
  </w:endnote>
  <w:endnote w:id="31">
    <w:p w:rsidR="00A2277F" w:rsidRPr="006C0CE0" w:rsidRDefault="00A2277F" w:rsidP="004460B0">
      <w:pPr>
        <w:pStyle w:val="EndnoteText"/>
        <w:rPr>
          <w:lang w:val="en-CA"/>
        </w:rPr>
      </w:pPr>
      <w:r w:rsidRPr="004460B0">
        <w:rPr>
          <w:rStyle w:val="EndnoteReference"/>
          <w:rFonts w:asciiTheme="minorHAnsi" w:hAnsiTheme="minorHAnsi" w:cstheme="minorHAnsi"/>
        </w:rPr>
        <w:endnoteRef/>
      </w:r>
      <w:r w:rsidRPr="004460B0">
        <w:rPr>
          <w:rFonts w:asciiTheme="minorHAnsi" w:hAnsiTheme="minorHAnsi" w:cstheme="minorHAnsi"/>
        </w:rPr>
        <w:t xml:space="preserve"> The Edmonton Journal, Parker: The Dorian breaks ground on 5</w:t>
      </w:r>
      <w:r w:rsidRPr="004460B0">
        <w:rPr>
          <w:rFonts w:asciiTheme="minorHAnsi" w:hAnsiTheme="minorHAnsi" w:cstheme="minorHAnsi"/>
          <w:vertAlign w:val="superscript"/>
        </w:rPr>
        <w:t>th</w:t>
      </w:r>
      <w:r w:rsidRPr="004460B0">
        <w:rPr>
          <w:rFonts w:asciiTheme="minorHAnsi" w:hAnsiTheme="minorHAnsi" w:cstheme="minorHAnsi"/>
        </w:rPr>
        <w:t xml:space="preserve"> Avenue; November 17, 2019. Accessed December 6, 2019. </w:t>
      </w:r>
      <w:hyperlink r:id="rId28" w:history="1">
        <w:r w:rsidRPr="004460B0">
          <w:rPr>
            <w:rStyle w:val="Hyperlink"/>
            <w:rFonts w:asciiTheme="minorHAnsi" w:hAnsiTheme="minorHAnsi" w:cstheme="minorHAnsi"/>
          </w:rPr>
          <w:t>https://edmontonjournal.com/business/commercial-real-estate/parker-the-dorian-breaks-ground-on-5th-avenue/wcm/fed530e0-d4e3-4b12-832c-66329af5f9aa</w:t>
        </w:r>
      </w:hyperlink>
      <w:bookmarkStart w:id="2" w:name="_GoBack"/>
      <w:bookmarkEnd w:id="2"/>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7F" w:rsidRDefault="00A2277F" w:rsidP="00340BC9">
    <w:pPr>
      <w:pStyle w:val="Footer"/>
      <w:pBdr>
        <w:top w:val="single" w:sz="4" w:space="1" w:color="auto"/>
      </w:pBdr>
      <w:ind w:right="49"/>
    </w:pPr>
  </w:p>
  <w:p w:rsidR="00A2277F" w:rsidRDefault="00A2277F">
    <w:pPr>
      <w:pStyle w:val="Footer"/>
    </w:pPr>
    <w:r>
      <w:rPr>
        <w:noProof/>
        <w:lang w:val="en-US"/>
      </w:rPr>
      <w:drawing>
        <wp:anchor distT="0" distB="0" distL="114300" distR="114300" simplePos="0" relativeHeight="251657728" behindDoc="0" locked="0" layoutInCell="1" allowOverlap="1">
          <wp:simplePos x="0" y="0"/>
          <wp:positionH relativeFrom="column">
            <wp:posOffset>5606415</wp:posOffset>
          </wp:positionH>
          <wp:positionV relativeFrom="paragraph">
            <wp:posOffset>-263525</wp:posOffset>
          </wp:positionV>
          <wp:extent cx="726440" cy="181610"/>
          <wp:effectExtent l="0" t="0" r="0" b="8890"/>
          <wp:wrapSquare wrapText="bothSides"/>
          <wp:docPr id="36" name="Picture 36" descr="CND_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ND_cana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6440" cy="1816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7F" w:rsidRDefault="00A2277F" w:rsidP="006650C7">
    <w:pPr>
      <w:pStyle w:val="Footer"/>
      <w:pBdr>
        <w:top w:val="single" w:sz="4" w:space="1" w:color="auto"/>
      </w:pBdr>
      <w:tabs>
        <w:tab w:val="clear" w:pos="9360"/>
        <w:tab w:val="left" w:pos="5205"/>
      </w:tabs>
    </w:pPr>
    <w:r>
      <w:rPr>
        <w:noProof/>
        <w:lang w:val="en-US"/>
      </w:rPr>
      <w:drawing>
        <wp:anchor distT="0" distB="0" distL="114300" distR="114300" simplePos="0" relativeHeight="251655680" behindDoc="0" locked="0" layoutInCell="1" allowOverlap="1">
          <wp:simplePos x="0" y="0"/>
          <wp:positionH relativeFrom="column">
            <wp:posOffset>5615940</wp:posOffset>
          </wp:positionH>
          <wp:positionV relativeFrom="paragraph">
            <wp:posOffset>201295</wp:posOffset>
          </wp:positionV>
          <wp:extent cx="726440" cy="181610"/>
          <wp:effectExtent l="0" t="0" r="0" b="8890"/>
          <wp:wrapSquare wrapText="bothSides"/>
          <wp:docPr id="13" name="Picture 13" descr="CND_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ND_cana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6440" cy="181610"/>
                  </a:xfrm>
                  <a:prstGeom prst="rect">
                    <a:avLst/>
                  </a:prstGeom>
                  <a:noFill/>
                  <a:ln>
                    <a:noFill/>
                  </a:ln>
                </pic:spPr>
              </pic:pic>
            </a:graphicData>
          </a:graphic>
        </wp:anchor>
      </w:drawing>
    </w:r>
  </w:p>
  <w:p w:rsidR="00A2277F" w:rsidRDefault="00A2277F" w:rsidP="007D3D1C">
    <w:pPr>
      <w:pStyle w:val="Footer"/>
      <w:tabs>
        <w:tab w:val="left" w:pos="390"/>
        <w:tab w:val="right" w:pos="960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811" w:rsidRDefault="00952811" w:rsidP="004A7CF0">
      <w:pPr>
        <w:spacing w:after="0" w:line="240" w:lineRule="auto"/>
      </w:pPr>
      <w:r>
        <w:separator/>
      </w:r>
    </w:p>
  </w:footnote>
  <w:footnote w:type="continuationSeparator" w:id="1">
    <w:p w:rsidR="00952811" w:rsidRDefault="00952811" w:rsidP="004A7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7F" w:rsidRPr="001012DB" w:rsidRDefault="00A2277F" w:rsidP="00904632">
    <w:pPr>
      <w:pStyle w:val="Header"/>
      <w:pBdr>
        <w:bottom w:val="single" w:sz="4" w:space="1" w:color="auto"/>
      </w:pBdr>
      <w:tabs>
        <w:tab w:val="clear" w:pos="9360"/>
        <w:tab w:val="center" w:pos="4986"/>
        <w:tab w:val="left" w:pos="9300"/>
        <w:tab w:val="right" w:pos="9356"/>
        <w:tab w:val="right" w:pos="9972"/>
      </w:tabs>
      <w:rPr>
        <w:i/>
        <w:noProof/>
        <w:color w:val="A6A6A6"/>
        <w:lang w:eastAsia="en-CA"/>
      </w:rPr>
    </w:pPr>
    <w:r w:rsidRPr="00054B83">
      <w:rPr>
        <w:i/>
        <w:noProof/>
        <w:color w:val="A6A6A6"/>
        <w:lang w:eastAsia="en-CA"/>
      </w:rPr>
      <w:t xml:space="preserve">Labour Market Bulletin – </w:t>
    </w:r>
    <w:r>
      <w:rPr>
        <w:i/>
        <w:noProof/>
        <w:color w:val="A6A6A6"/>
        <w:lang w:eastAsia="en-CA"/>
      </w:rPr>
      <w:t>Alberta – November 2019</w:t>
    </w:r>
    <w:r w:rsidRPr="001012DB">
      <w:rPr>
        <w:i/>
        <w:noProof/>
        <w:color w:val="A6A6A6"/>
        <w:lang w:eastAsia="en-CA"/>
      </w:rPr>
      <w:tab/>
    </w:r>
    <w:r>
      <w:rPr>
        <w:i/>
        <w:noProof/>
        <w:color w:val="A6A6A6"/>
        <w:lang w:eastAsia="en-CA"/>
      </w:rPr>
      <w:tab/>
    </w:r>
    <w:r w:rsidRPr="001012DB">
      <w:rPr>
        <w:i/>
        <w:noProof/>
        <w:color w:val="A6A6A6"/>
        <w:lang w:eastAsia="en-CA"/>
      </w:rPr>
      <w:t xml:space="preserve">Page </w:t>
    </w:r>
    <w:r w:rsidRPr="001012DB">
      <w:rPr>
        <w:i/>
        <w:noProof/>
        <w:color w:val="A6A6A6"/>
        <w:lang w:eastAsia="en-CA"/>
      </w:rPr>
      <w:fldChar w:fldCharType="begin"/>
    </w:r>
    <w:r w:rsidRPr="001012DB">
      <w:rPr>
        <w:i/>
        <w:noProof/>
        <w:color w:val="A6A6A6"/>
        <w:lang w:eastAsia="en-CA"/>
      </w:rPr>
      <w:instrText xml:space="preserve"> PAGE   \* MERGEFORMAT </w:instrText>
    </w:r>
    <w:r w:rsidRPr="001012DB">
      <w:rPr>
        <w:i/>
        <w:noProof/>
        <w:color w:val="A6A6A6"/>
        <w:lang w:eastAsia="en-CA"/>
      </w:rPr>
      <w:fldChar w:fldCharType="separate"/>
    </w:r>
    <w:r w:rsidR="00204B2E">
      <w:rPr>
        <w:i/>
        <w:noProof/>
        <w:color w:val="A6A6A6"/>
        <w:lang w:eastAsia="en-CA"/>
      </w:rPr>
      <w:t>3</w:t>
    </w:r>
    <w:r w:rsidRPr="001012DB">
      <w:rPr>
        <w:i/>
        <w:noProof/>
        <w:color w:val="A6A6A6"/>
        <w:lang w:eastAsia="en-C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7F" w:rsidRDefault="00A2277F" w:rsidP="00CE2144">
    <w:pPr>
      <w:pStyle w:val="Header"/>
      <w:spacing w:after="0" w:line="240" w:lineRule="auto"/>
      <w:rPr>
        <w:noProof/>
        <w:lang w:eastAsia="en-CA"/>
      </w:rPr>
    </w:pPr>
    <w:r w:rsidRPr="008F740C">
      <w:rPr>
        <w:noProof/>
        <w:lang w:eastAsia="en-CA"/>
      </w:rPr>
      <w:pict>
        <v:shapetype id="_x0000_t202" coordsize="21600,21600" o:spt="202" path="m,l,21600r21600,l21600,xe">
          <v:stroke joinstyle="miter"/>
          <v:path gradientshapeok="t" o:connecttype="rect"/>
        </v:shapetype>
        <v:shape id="Text Box 28" o:spid="_x0000_s6145" type="#_x0000_t202" alt="Text Box: Labour Market Bulletin" style="position:absolute;margin-left:85.65pt;margin-top:10.25pt;width:405.9pt;height:39.7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" filled="f" fillcolor="#4f81bd" stroked="f">
          <v:textbox inset=",3.3mm">
            <w:txbxContent>
              <w:p w:rsidR="00A2277F" w:rsidRPr="00325B73" w:rsidRDefault="00A2277F" w:rsidP="00CC668D">
                <w:pPr>
                  <w:pStyle w:val="NormalWeb"/>
                  <w:kinsoku w:val="0"/>
                  <w:overflowPunct w:val="0"/>
                  <w:spacing w:before="60" w:beforeAutospacing="0" w:after="0" w:afterAutospacing="0" w:line="168" w:lineRule="auto"/>
                  <w:jc w:val="right"/>
                  <w:textAlignment w:val="baseline"/>
                  <w:rPr>
                    <w:color w:val="FFFFFF"/>
                    <w:sz w:val="52"/>
                    <w:szCs w:val="52"/>
                    <w:lang w:val="fr-CA"/>
                  </w:rPr>
                </w:pPr>
                <w:r>
                  <w:rPr>
                    <w:i/>
                    <w:iCs/>
                    <w:color w:val="FFFFFF"/>
                    <w:kern w:val="24"/>
                    <w:sz w:val="52"/>
                    <w:szCs w:val="52"/>
                    <w:lang w:val="fr-CA"/>
                  </w:rPr>
                  <w:t>Labour Market Bulletin</w:t>
                </w:r>
              </w:p>
            </w:txbxContent>
          </v:textbox>
          <w10:wrap anchorx="margin"/>
        </v:shape>
      </w:pict>
    </w:r>
    <w:r>
      <w:rPr>
        <w:noProof/>
        <w:lang w:val="en-US"/>
      </w:rPr>
      <w:drawing>
        <wp:anchor distT="0" distB="0" distL="114300" distR="114300" simplePos="0" relativeHeight="251656704" behindDoc="0" locked="0" layoutInCell="1" allowOverlap="1">
          <wp:simplePos x="0" y="0"/>
          <wp:positionH relativeFrom="column">
            <wp:posOffset>965835</wp:posOffset>
          </wp:positionH>
          <wp:positionV relativeFrom="paragraph">
            <wp:posOffset>-47625</wp:posOffset>
          </wp:positionV>
          <wp:extent cx="419100" cy="419100"/>
          <wp:effectExtent l="0" t="0" r="0" b="0"/>
          <wp:wrapNone/>
          <wp:docPr id="20" name="Picture 47" descr="Description: lf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lff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anchor>
      </w:drawing>
    </w:r>
    <w:r>
      <w:rPr>
        <w:noProof/>
        <w:lang w:val="en-US"/>
      </w:rPr>
      <w:drawing>
        <wp:inline distT="0" distB="0" distL="0" distR="0">
          <wp:extent cx="6437630" cy="768350"/>
          <wp:effectExtent l="0" t="0" r="1270" b="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37630" cy="768350"/>
                  </a:xfrm>
                  <a:prstGeom prst="rect">
                    <a:avLst/>
                  </a:prstGeom>
                  <a:noFill/>
                </pic:spPr>
              </pic:pic>
            </a:graphicData>
          </a:graphic>
        </wp:inline>
      </w:drawing>
    </w:r>
  </w:p>
  <w:tbl>
    <w:tblPr>
      <w:tblW w:w="0" w:type="auto"/>
      <w:tblInd w:w="18" w:type="dxa"/>
      <w:tblLayout w:type="fixed"/>
      <w:tblLook w:val="04A0"/>
    </w:tblPr>
    <w:tblGrid>
      <w:gridCol w:w="6390"/>
      <w:gridCol w:w="3780"/>
    </w:tblGrid>
    <w:tr w:rsidR="00A2277F" w:rsidTr="00D90811">
      <w:trPr>
        <w:trHeight w:val="1260"/>
      </w:trPr>
      <w:tc>
        <w:tcPr>
          <w:tcW w:w="6390" w:type="dxa"/>
          <w:shd w:val="clear" w:color="auto" w:fill="auto"/>
          <w:vAlign w:val="center"/>
        </w:tcPr>
        <w:p w:rsidR="00A2277F" w:rsidRPr="00A2636B" w:rsidRDefault="00A2277F" w:rsidP="00AD5DFC">
          <w:pPr>
            <w:pStyle w:val="Header"/>
            <w:spacing w:after="0" w:line="240" w:lineRule="auto"/>
            <w:ind w:right="-18"/>
            <w:jc w:val="center"/>
            <w:rPr>
              <w:noProof/>
              <w:sz w:val="32"/>
              <w:szCs w:val="32"/>
              <w:lang w:eastAsia="en-CA"/>
            </w:rPr>
          </w:pPr>
          <w:r>
            <w:rPr>
              <w:noProof/>
              <w:sz w:val="32"/>
              <w:szCs w:val="32"/>
              <w:lang w:eastAsia="en-CA"/>
            </w:rPr>
            <w:t>Alberta</w:t>
          </w:r>
        </w:p>
      </w:tc>
      <w:tc>
        <w:tcPr>
          <w:tcW w:w="3780" w:type="dxa"/>
          <w:vMerge w:val="restart"/>
          <w:shd w:val="clear" w:color="auto" w:fill="auto"/>
          <w:vAlign w:val="center"/>
        </w:tcPr>
        <w:p w:rsidR="00A2277F" w:rsidRDefault="00A2277F" w:rsidP="007E3AD5">
          <w:pPr>
            <w:pStyle w:val="Header"/>
            <w:jc w:val="right"/>
            <w:rPr>
              <w:noProof/>
              <w:lang w:eastAsia="en-CA"/>
            </w:rPr>
          </w:pPr>
          <w:r>
            <w:rPr>
              <w:noProof/>
              <w:lang w:val="en-US"/>
            </w:rPr>
            <w:drawing>
              <wp:inline distT="0" distB="0" distL="0" distR="0">
                <wp:extent cx="2276475" cy="1912620"/>
                <wp:effectExtent l="0" t="0" r="9525" b="0"/>
                <wp:docPr id="3" name="Picture 3" descr="QC-Canada-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Canada-AB"/>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6475" cy="1912620"/>
                        </a:xfrm>
                        <a:prstGeom prst="rect">
                          <a:avLst/>
                        </a:prstGeom>
                        <a:noFill/>
                        <a:ln>
                          <a:noFill/>
                        </a:ln>
                      </pic:spPr>
                    </pic:pic>
                  </a:graphicData>
                </a:graphic>
              </wp:inline>
            </w:drawing>
          </w:r>
        </w:p>
      </w:tc>
    </w:tr>
    <w:tr w:rsidR="00A2277F" w:rsidRPr="00537725" w:rsidTr="00D90811">
      <w:trPr>
        <w:trHeight w:val="1007"/>
      </w:trPr>
      <w:tc>
        <w:tcPr>
          <w:tcW w:w="6390" w:type="dxa"/>
          <w:shd w:val="clear" w:color="auto" w:fill="auto"/>
          <w:vAlign w:val="center"/>
        </w:tcPr>
        <w:p w:rsidR="00A2277F" w:rsidRPr="00537725" w:rsidRDefault="00A2277F" w:rsidP="00CC34E3">
          <w:pPr>
            <w:pStyle w:val="Header"/>
            <w:spacing w:after="0" w:line="240" w:lineRule="auto"/>
            <w:jc w:val="center"/>
            <w:rPr>
              <w:noProof/>
              <w:sz w:val="32"/>
              <w:szCs w:val="32"/>
              <w:lang w:eastAsia="en-CA"/>
            </w:rPr>
          </w:pPr>
          <w:r>
            <w:rPr>
              <w:noProof/>
              <w:sz w:val="32"/>
              <w:szCs w:val="32"/>
              <w:lang w:eastAsia="en-CA"/>
            </w:rPr>
            <w:t>November 2019</w:t>
          </w:r>
        </w:p>
      </w:tc>
      <w:tc>
        <w:tcPr>
          <w:tcW w:w="3780" w:type="dxa"/>
          <w:vMerge/>
          <w:shd w:val="clear" w:color="auto" w:fill="auto"/>
          <w:vAlign w:val="center"/>
        </w:tcPr>
        <w:p w:rsidR="00A2277F" w:rsidRPr="00537725" w:rsidRDefault="00A2277F" w:rsidP="007E3AD5">
          <w:pPr>
            <w:pStyle w:val="Header"/>
            <w:jc w:val="right"/>
            <w:rPr>
              <w:noProof/>
              <w:lang w:eastAsia="en-CA"/>
            </w:rPr>
          </w:pPr>
        </w:p>
      </w:tc>
    </w:tr>
  </w:tbl>
  <w:p w:rsidR="00A2277F" w:rsidRPr="00766DE8" w:rsidRDefault="00A2277F" w:rsidP="00CC668D">
    <w:pPr>
      <w:pStyle w:val="Header"/>
      <w:spacing w:after="0" w:line="240" w:lineRule="auto"/>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11C"/>
    <w:multiLevelType w:val="hybridMultilevel"/>
    <w:tmpl w:val="CF6E5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E97F47"/>
    <w:multiLevelType w:val="hybridMultilevel"/>
    <w:tmpl w:val="3A74E856"/>
    <w:lvl w:ilvl="0" w:tplc="554462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6B0455"/>
    <w:multiLevelType w:val="hybridMultilevel"/>
    <w:tmpl w:val="FDE2826C"/>
    <w:lvl w:ilvl="0" w:tplc="554462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AA0D2A"/>
    <w:multiLevelType w:val="hybridMultilevel"/>
    <w:tmpl w:val="7FF0B60C"/>
    <w:lvl w:ilvl="0" w:tplc="FFFFFFFF">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311F3E02"/>
    <w:multiLevelType w:val="hybridMultilevel"/>
    <w:tmpl w:val="16564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CC5104"/>
    <w:multiLevelType w:val="hybridMultilevel"/>
    <w:tmpl w:val="78F6FF98"/>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37FD36D1"/>
    <w:multiLevelType w:val="hybridMultilevel"/>
    <w:tmpl w:val="5832E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CF7011C"/>
    <w:multiLevelType w:val="hybridMultilevel"/>
    <w:tmpl w:val="D3A871E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nsid w:val="403041D6"/>
    <w:multiLevelType w:val="hybridMultilevel"/>
    <w:tmpl w:val="8190E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0A53011"/>
    <w:multiLevelType w:val="hybridMultilevel"/>
    <w:tmpl w:val="9444A24C"/>
    <w:lvl w:ilvl="0" w:tplc="0C0C0005">
      <w:start w:val="1"/>
      <w:numFmt w:val="bullet"/>
      <w:lvlText w:val=""/>
      <w:lvlJc w:val="left"/>
      <w:pPr>
        <w:ind w:left="360" w:hanging="360"/>
      </w:pPr>
      <w:rPr>
        <w:rFonts w:ascii="Wingdings" w:hAnsi="Wingdings" w:hint="default"/>
      </w:rPr>
    </w:lvl>
    <w:lvl w:ilvl="1" w:tplc="0C0C000F">
      <w:start w:val="1"/>
      <w:numFmt w:val="decimal"/>
      <w:lvlText w:val="%2."/>
      <w:lvlJc w:val="left"/>
      <w:pPr>
        <w:ind w:left="1080" w:hanging="360"/>
      </w:pPr>
      <w:rPr>
        <w:rFonts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426A0D66"/>
    <w:multiLevelType w:val="hybridMultilevel"/>
    <w:tmpl w:val="7B108D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D725112"/>
    <w:multiLevelType w:val="hybridMultilevel"/>
    <w:tmpl w:val="B198B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0185CFD"/>
    <w:multiLevelType w:val="hybridMultilevel"/>
    <w:tmpl w:val="7B6091F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0256B0A"/>
    <w:multiLevelType w:val="hybridMultilevel"/>
    <w:tmpl w:val="17F8E7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5572ED5"/>
    <w:multiLevelType w:val="hybridMultilevel"/>
    <w:tmpl w:val="B4825308"/>
    <w:lvl w:ilvl="0" w:tplc="10090001">
      <w:start w:val="1"/>
      <w:numFmt w:val="bullet"/>
      <w:lvlText w:val=""/>
      <w:lvlJc w:val="left"/>
      <w:pPr>
        <w:tabs>
          <w:tab w:val="num" w:pos="720"/>
        </w:tabs>
        <w:ind w:left="720" w:hanging="72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b w:val="0"/>
        <w:i w:val="0"/>
        <w:color w:val="auto"/>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8C7126E"/>
    <w:multiLevelType w:val="hybridMultilevel"/>
    <w:tmpl w:val="6CE0439A"/>
    <w:lvl w:ilvl="0" w:tplc="10090001">
      <w:start w:val="1"/>
      <w:numFmt w:val="bullet"/>
      <w:lvlText w:val=""/>
      <w:lvlJc w:val="left"/>
      <w:pPr>
        <w:ind w:left="6" w:hanging="360"/>
      </w:pPr>
      <w:rPr>
        <w:rFonts w:ascii="Symbol" w:hAnsi="Symbol" w:hint="default"/>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16">
    <w:nsid w:val="5CA742BA"/>
    <w:multiLevelType w:val="hybridMultilevel"/>
    <w:tmpl w:val="FF5AE7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6904078D"/>
    <w:multiLevelType w:val="hybridMultilevel"/>
    <w:tmpl w:val="A82E6F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10"/>
  </w:num>
  <w:num w:numId="4">
    <w:abstractNumId w:val="2"/>
  </w:num>
  <w:num w:numId="5">
    <w:abstractNumId w:val="1"/>
  </w:num>
  <w:num w:numId="6">
    <w:abstractNumId w:val="9"/>
  </w:num>
  <w:num w:numId="7">
    <w:abstractNumId w:val="3"/>
  </w:num>
  <w:num w:numId="8">
    <w:abstractNumId w:val="4"/>
  </w:num>
  <w:num w:numId="9">
    <w:abstractNumId w:val="14"/>
  </w:num>
  <w:num w:numId="10">
    <w:abstractNumId w:val="11"/>
  </w:num>
  <w:num w:numId="11">
    <w:abstractNumId w:val="8"/>
  </w:num>
  <w:num w:numId="12">
    <w:abstractNumId w:val="13"/>
  </w:num>
  <w:num w:numId="13">
    <w:abstractNumId w:val="5"/>
  </w:num>
  <w:num w:numId="14">
    <w:abstractNumId w:val="16"/>
  </w:num>
  <w:num w:numId="15">
    <w:abstractNumId w:val="15"/>
  </w:num>
  <w:num w:numId="16">
    <w:abstractNumId w:val="12"/>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activeWritingStyle w:appName="MSWord" w:lang="fr-CA" w:vendorID="64" w:dllVersion="6" w:nlCheck="1" w:checkStyle="0"/>
  <w:activeWritingStyle w:appName="MSWord" w:lang="en-CA" w:vendorID="64" w:dllVersion="6" w:nlCheck="1" w:checkStyle="0"/>
  <w:activeWritingStyle w:appName="MSWord" w:lang="en-US" w:vendorID="64" w:dllVersion="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defaultTabStop w:val="720"/>
  <w:characterSpacingControl w:val="doNotCompress"/>
  <w:hdrShapeDefaults>
    <o:shapedefaults v:ext="edit" spidmax="7170"/>
    <o:shapelayout v:ext="edit">
      <o:idmap v:ext="edit" data="6"/>
    </o:shapelayout>
  </w:hdrShapeDefaults>
  <w:footnotePr>
    <w:footnote w:id="0"/>
    <w:footnote w:id="1"/>
  </w:footnotePr>
  <w:endnotePr>
    <w:numFmt w:val="decimal"/>
    <w:endnote w:id="0"/>
    <w:endnote w:id="1"/>
  </w:endnotePr>
  <w:compat/>
  <w:rsids>
    <w:rsidRoot w:val="004A7CF0"/>
    <w:rsid w:val="00002651"/>
    <w:rsid w:val="00004BD6"/>
    <w:rsid w:val="0000745B"/>
    <w:rsid w:val="000119DC"/>
    <w:rsid w:val="00012CF3"/>
    <w:rsid w:val="0001371E"/>
    <w:rsid w:val="00015B59"/>
    <w:rsid w:val="00016636"/>
    <w:rsid w:val="00017FD4"/>
    <w:rsid w:val="00021BCF"/>
    <w:rsid w:val="00023D02"/>
    <w:rsid w:val="00025E25"/>
    <w:rsid w:val="00034485"/>
    <w:rsid w:val="000377AC"/>
    <w:rsid w:val="00042776"/>
    <w:rsid w:val="00042EFF"/>
    <w:rsid w:val="00046610"/>
    <w:rsid w:val="00046E29"/>
    <w:rsid w:val="000552F4"/>
    <w:rsid w:val="00055F15"/>
    <w:rsid w:val="000617AD"/>
    <w:rsid w:val="00063674"/>
    <w:rsid w:val="00072AE1"/>
    <w:rsid w:val="0007392A"/>
    <w:rsid w:val="000750EF"/>
    <w:rsid w:val="00077801"/>
    <w:rsid w:val="000850FC"/>
    <w:rsid w:val="000A03AF"/>
    <w:rsid w:val="000A0507"/>
    <w:rsid w:val="000A156E"/>
    <w:rsid w:val="000A196D"/>
    <w:rsid w:val="000A545C"/>
    <w:rsid w:val="000A73D0"/>
    <w:rsid w:val="000A7BF4"/>
    <w:rsid w:val="000B08FB"/>
    <w:rsid w:val="000B1412"/>
    <w:rsid w:val="000B451B"/>
    <w:rsid w:val="000B6848"/>
    <w:rsid w:val="000C001F"/>
    <w:rsid w:val="000C250D"/>
    <w:rsid w:val="000C31A5"/>
    <w:rsid w:val="000D723A"/>
    <w:rsid w:val="000D724F"/>
    <w:rsid w:val="000D7277"/>
    <w:rsid w:val="000D7DFE"/>
    <w:rsid w:val="000E1B15"/>
    <w:rsid w:val="000E35BA"/>
    <w:rsid w:val="000E3F66"/>
    <w:rsid w:val="000F10AE"/>
    <w:rsid w:val="000F126F"/>
    <w:rsid w:val="000F2B64"/>
    <w:rsid w:val="000F54A1"/>
    <w:rsid w:val="000F6729"/>
    <w:rsid w:val="000F71C1"/>
    <w:rsid w:val="000F7D96"/>
    <w:rsid w:val="00100075"/>
    <w:rsid w:val="001012DB"/>
    <w:rsid w:val="001032BF"/>
    <w:rsid w:val="00110958"/>
    <w:rsid w:val="00112AE4"/>
    <w:rsid w:val="001218B1"/>
    <w:rsid w:val="00125E09"/>
    <w:rsid w:val="00130B88"/>
    <w:rsid w:val="00132F9F"/>
    <w:rsid w:val="0014237C"/>
    <w:rsid w:val="0014392E"/>
    <w:rsid w:val="00143BF9"/>
    <w:rsid w:val="001471D3"/>
    <w:rsid w:val="00147445"/>
    <w:rsid w:val="001501C9"/>
    <w:rsid w:val="00152668"/>
    <w:rsid w:val="00154CB9"/>
    <w:rsid w:val="00154CCB"/>
    <w:rsid w:val="00161C26"/>
    <w:rsid w:val="00161DFF"/>
    <w:rsid w:val="00166B6F"/>
    <w:rsid w:val="00170318"/>
    <w:rsid w:val="00173BE8"/>
    <w:rsid w:val="001807E5"/>
    <w:rsid w:val="00182571"/>
    <w:rsid w:val="00184406"/>
    <w:rsid w:val="001906E1"/>
    <w:rsid w:val="00190B60"/>
    <w:rsid w:val="00192D28"/>
    <w:rsid w:val="001964B1"/>
    <w:rsid w:val="001A0ADD"/>
    <w:rsid w:val="001A238D"/>
    <w:rsid w:val="001A34E2"/>
    <w:rsid w:val="001A756B"/>
    <w:rsid w:val="001B4781"/>
    <w:rsid w:val="001B6EA8"/>
    <w:rsid w:val="001C145D"/>
    <w:rsid w:val="001C226F"/>
    <w:rsid w:val="001C399A"/>
    <w:rsid w:val="001C5F45"/>
    <w:rsid w:val="001D0406"/>
    <w:rsid w:val="001D5442"/>
    <w:rsid w:val="001D66AC"/>
    <w:rsid w:val="001E0083"/>
    <w:rsid w:val="001E3795"/>
    <w:rsid w:val="001E6116"/>
    <w:rsid w:val="001E6C02"/>
    <w:rsid w:val="001E6E35"/>
    <w:rsid w:val="001F0BAE"/>
    <w:rsid w:val="001F416D"/>
    <w:rsid w:val="001F44E2"/>
    <w:rsid w:val="001F4AD8"/>
    <w:rsid w:val="001F6474"/>
    <w:rsid w:val="001F68FB"/>
    <w:rsid w:val="00204B2E"/>
    <w:rsid w:val="00220DCC"/>
    <w:rsid w:val="00221F3F"/>
    <w:rsid w:val="0022334D"/>
    <w:rsid w:val="00224359"/>
    <w:rsid w:val="00231AAF"/>
    <w:rsid w:val="00231E71"/>
    <w:rsid w:val="00233EBC"/>
    <w:rsid w:val="00234789"/>
    <w:rsid w:val="002375B1"/>
    <w:rsid w:val="00237EDD"/>
    <w:rsid w:val="00242E37"/>
    <w:rsid w:val="002436F6"/>
    <w:rsid w:val="00254B31"/>
    <w:rsid w:val="002557D5"/>
    <w:rsid w:val="002664C1"/>
    <w:rsid w:val="00266D03"/>
    <w:rsid w:val="0027077A"/>
    <w:rsid w:val="0027625E"/>
    <w:rsid w:val="00286E18"/>
    <w:rsid w:val="002879CD"/>
    <w:rsid w:val="00290FFF"/>
    <w:rsid w:val="0029624D"/>
    <w:rsid w:val="002A0C82"/>
    <w:rsid w:val="002A245A"/>
    <w:rsid w:val="002A24DE"/>
    <w:rsid w:val="002A3321"/>
    <w:rsid w:val="002A435D"/>
    <w:rsid w:val="002B2F9F"/>
    <w:rsid w:val="002B3B45"/>
    <w:rsid w:val="002B52A7"/>
    <w:rsid w:val="002B6CD8"/>
    <w:rsid w:val="002B7FF0"/>
    <w:rsid w:val="002C1DDF"/>
    <w:rsid w:val="002C22DA"/>
    <w:rsid w:val="002C25C5"/>
    <w:rsid w:val="002C4A8A"/>
    <w:rsid w:val="002C5001"/>
    <w:rsid w:val="002C74D1"/>
    <w:rsid w:val="002D143A"/>
    <w:rsid w:val="002E0131"/>
    <w:rsid w:val="002E215E"/>
    <w:rsid w:val="002E3180"/>
    <w:rsid w:val="002E5CB1"/>
    <w:rsid w:val="002E6830"/>
    <w:rsid w:val="002E7235"/>
    <w:rsid w:val="002F1425"/>
    <w:rsid w:val="002F3491"/>
    <w:rsid w:val="002F4AA2"/>
    <w:rsid w:val="002F7E96"/>
    <w:rsid w:val="003063DB"/>
    <w:rsid w:val="003122C3"/>
    <w:rsid w:val="00314BB3"/>
    <w:rsid w:val="00314D1B"/>
    <w:rsid w:val="00317944"/>
    <w:rsid w:val="00322FF6"/>
    <w:rsid w:val="00323E9C"/>
    <w:rsid w:val="00325B73"/>
    <w:rsid w:val="003260FE"/>
    <w:rsid w:val="003336DA"/>
    <w:rsid w:val="00340BC9"/>
    <w:rsid w:val="0034348C"/>
    <w:rsid w:val="0035388B"/>
    <w:rsid w:val="00353914"/>
    <w:rsid w:val="00354B22"/>
    <w:rsid w:val="0035678C"/>
    <w:rsid w:val="00363A9E"/>
    <w:rsid w:val="0036566F"/>
    <w:rsid w:val="0037499F"/>
    <w:rsid w:val="00375D75"/>
    <w:rsid w:val="00377413"/>
    <w:rsid w:val="00384C34"/>
    <w:rsid w:val="00385AD1"/>
    <w:rsid w:val="00387C6F"/>
    <w:rsid w:val="00393E6A"/>
    <w:rsid w:val="00397429"/>
    <w:rsid w:val="003A7B09"/>
    <w:rsid w:val="003B1874"/>
    <w:rsid w:val="003B5588"/>
    <w:rsid w:val="003C0E12"/>
    <w:rsid w:val="003C46BE"/>
    <w:rsid w:val="003D1225"/>
    <w:rsid w:val="003D1226"/>
    <w:rsid w:val="003D4092"/>
    <w:rsid w:val="003E017E"/>
    <w:rsid w:val="003E2F72"/>
    <w:rsid w:val="003E5A48"/>
    <w:rsid w:val="003E5F5F"/>
    <w:rsid w:val="003E723C"/>
    <w:rsid w:val="003E7745"/>
    <w:rsid w:val="003F503E"/>
    <w:rsid w:val="0040209E"/>
    <w:rsid w:val="00404195"/>
    <w:rsid w:val="004074E8"/>
    <w:rsid w:val="004109F8"/>
    <w:rsid w:val="0042285D"/>
    <w:rsid w:val="00423FFC"/>
    <w:rsid w:val="004261FA"/>
    <w:rsid w:val="00426D69"/>
    <w:rsid w:val="00427444"/>
    <w:rsid w:val="00434BAF"/>
    <w:rsid w:val="004460B0"/>
    <w:rsid w:val="0045389B"/>
    <w:rsid w:val="00454891"/>
    <w:rsid w:val="0046123F"/>
    <w:rsid w:val="0046266D"/>
    <w:rsid w:val="00462EB8"/>
    <w:rsid w:val="004715D6"/>
    <w:rsid w:val="00471B1D"/>
    <w:rsid w:val="00474E8C"/>
    <w:rsid w:val="0048123B"/>
    <w:rsid w:val="004812CC"/>
    <w:rsid w:val="0048252D"/>
    <w:rsid w:val="00484926"/>
    <w:rsid w:val="00490998"/>
    <w:rsid w:val="00490E3F"/>
    <w:rsid w:val="00494FF7"/>
    <w:rsid w:val="00496E8E"/>
    <w:rsid w:val="0049713E"/>
    <w:rsid w:val="004A275D"/>
    <w:rsid w:val="004A28D2"/>
    <w:rsid w:val="004A2C14"/>
    <w:rsid w:val="004A61D9"/>
    <w:rsid w:val="004A7CF0"/>
    <w:rsid w:val="004A7EEB"/>
    <w:rsid w:val="004B11E1"/>
    <w:rsid w:val="004B5B10"/>
    <w:rsid w:val="004B5D0E"/>
    <w:rsid w:val="004B6907"/>
    <w:rsid w:val="004C0FFA"/>
    <w:rsid w:val="004C149F"/>
    <w:rsid w:val="004C1592"/>
    <w:rsid w:val="004C5080"/>
    <w:rsid w:val="004D0D9B"/>
    <w:rsid w:val="004D26B5"/>
    <w:rsid w:val="004E1CA9"/>
    <w:rsid w:val="004E2A23"/>
    <w:rsid w:val="004E322A"/>
    <w:rsid w:val="004E349B"/>
    <w:rsid w:val="004E35A1"/>
    <w:rsid w:val="004E40D9"/>
    <w:rsid w:val="004E48B8"/>
    <w:rsid w:val="004E63F8"/>
    <w:rsid w:val="004E6E40"/>
    <w:rsid w:val="004E71D4"/>
    <w:rsid w:val="004E7A1A"/>
    <w:rsid w:val="00501457"/>
    <w:rsid w:val="00505422"/>
    <w:rsid w:val="005103BE"/>
    <w:rsid w:val="005124B7"/>
    <w:rsid w:val="005139D9"/>
    <w:rsid w:val="0051609C"/>
    <w:rsid w:val="00521FEB"/>
    <w:rsid w:val="00522482"/>
    <w:rsid w:val="00522FB7"/>
    <w:rsid w:val="00523077"/>
    <w:rsid w:val="00524CD0"/>
    <w:rsid w:val="00527BC8"/>
    <w:rsid w:val="00527EDE"/>
    <w:rsid w:val="00532259"/>
    <w:rsid w:val="005322E2"/>
    <w:rsid w:val="00537725"/>
    <w:rsid w:val="00541A11"/>
    <w:rsid w:val="0054695D"/>
    <w:rsid w:val="00546D0E"/>
    <w:rsid w:val="005504D7"/>
    <w:rsid w:val="005506EB"/>
    <w:rsid w:val="00554310"/>
    <w:rsid w:val="0055665D"/>
    <w:rsid w:val="0056311E"/>
    <w:rsid w:val="00567A5F"/>
    <w:rsid w:val="00574A25"/>
    <w:rsid w:val="00574C0E"/>
    <w:rsid w:val="00585E12"/>
    <w:rsid w:val="00585F18"/>
    <w:rsid w:val="00586205"/>
    <w:rsid w:val="0058717F"/>
    <w:rsid w:val="0059042A"/>
    <w:rsid w:val="00593D8B"/>
    <w:rsid w:val="00594FC3"/>
    <w:rsid w:val="005962E2"/>
    <w:rsid w:val="00596DCC"/>
    <w:rsid w:val="005976BA"/>
    <w:rsid w:val="005A16BB"/>
    <w:rsid w:val="005B46AE"/>
    <w:rsid w:val="005B5AA9"/>
    <w:rsid w:val="005B6F50"/>
    <w:rsid w:val="005C09D4"/>
    <w:rsid w:val="005C1319"/>
    <w:rsid w:val="005D281F"/>
    <w:rsid w:val="005D2F55"/>
    <w:rsid w:val="005F0C4E"/>
    <w:rsid w:val="005F6423"/>
    <w:rsid w:val="005F67E5"/>
    <w:rsid w:val="005F79A2"/>
    <w:rsid w:val="0060585F"/>
    <w:rsid w:val="00605994"/>
    <w:rsid w:val="006211B2"/>
    <w:rsid w:val="006216EE"/>
    <w:rsid w:val="00626D75"/>
    <w:rsid w:val="006275E6"/>
    <w:rsid w:val="006306B5"/>
    <w:rsid w:val="00632880"/>
    <w:rsid w:val="00633BBC"/>
    <w:rsid w:val="00641FA1"/>
    <w:rsid w:val="00642D6F"/>
    <w:rsid w:val="00651CB1"/>
    <w:rsid w:val="00664DF7"/>
    <w:rsid w:val="006650C7"/>
    <w:rsid w:val="00670715"/>
    <w:rsid w:val="00676779"/>
    <w:rsid w:val="00677CCC"/>
    <w:rsid w:val="006809E2"/>
    <w:rsid w:val="00682605"/>
    <w:rsid w:val="00682A4E"/>
    <w:rsid w:val="00682B0E"/>
    <w:rsid w:val="00682F3F"/>
    <w:rsid w:val="006836E6"/>
    <w:rsid w:val="006843A9"/>
    <w:rsid w:val="00686450"/>
    <w:rsid w:val="00686B46"/>
    <w:rsid w:val="00694703"/>
    <w:rsid w:val="00694881"/>
    <w:rsid w:val="00695226"/>
    <w:rsid w:val="006963DA"/>
    <w:rsid w:val="006A0DFD"/>
    <w:rsid w:val="006A2F14"/>
    <w:rsid w:val="006A50EA"/>
    <w:rsid w:val="006A5E99"/>
    <w:rsid w:val="006A659E"/>
    <w:rsid w:val="006A6AAE"/>
    <w:rsid w:val="006A75D7"/>
    <w:rsid w:val="006B0667"/>
    <w:rsid w:val="006B35DF"/>
    <w:rsid w:val="006B63DC"/>
    <w:rsid w:val="006C0AAD"/>
    <w:rsid w:val="006C1A0A"/>
    <w:rsid w:val="006C33B2"/>
    <w:rsid w:val="006C5009"/>
    <w:rsid w:val="006D2111"/>
    <w:rsid w:val="006E63F5"/>
    <w:rsid w:val="006F0998"/>
    <w:rsid w:val="006F4181"/>
    <w:rsid w:val="007025D0"/>
    <w:rsid w:val="00705FDC"/>
    <w:rsid w:val="00716E8D"/>
    <w:rsid w:val="0072773A"/>
    <w:rsid w:val="00734899"/>
    <w:rsid w:val="00734E1C"/>
    <w:rsid w:val="00735454"/>
    <w:rsid w:val="00737B74"/>
    <w:rsid w:val="007434E9"/>
    <w:rsid w:val="00754EBE"/>
    <w:rsid w:val="00755F1F"/>
    <w:rsid w:val="00756039"/>
    <w:rsid w:val="00756257"/>
    <w:rsid w:val="007619BF"/>
    <w:rsid w:val="007649AF"/>
    <w:rsid w:val="00766DE8"/>
    <w:rsid w:val="00767F10"/>
    <w:rsid w:val="00771756"/>
    <w:rsid w:val="00772B0A"/>
    <w:rsid w:val="00773273"/>
    <w:rsid w:val="0077778B"/>
    <w:rsid w:val="00780C43"/>
    <w:rsid w:val="00780F9B"/>
    <w:rsid w:val="0078386E"/>
    <w:rsid w:val="0078480C"/>
    <w:rsid w:val="007921E0"/>
    <w:rsid w:val="00792ABA"/>
    <w:rsid w:val="0079417E"/>
    <w:rsid w:val="0079437E"/>
    <w:rsid w:val="00794753"/>
    <w:rsid w:val="007B06DD"/>
    <w:rsid w:val="007C6171"/>
    <w:rsid w:val="007D30AF"/>
    <w:rsid w:val="007D32A4"/>
    <w:rsid w:val="007D3D1C"/>
    <w:rsid w:val="007D7CA6"/>
    <w:rsid w:val="007E0F41"/>
    <w:rsid w:val="007E0FA6"/>
    <w:rsid w:val="007E1AE0"/>
    <w:rsid w:val="007E3AD5"/>
    <w:rsid w:val="007E40F7"/>
    <w:rsid w:val="007E7514"/>
    <w:rsid w:val="007F0485"/>
    <w:rsid w:val="007F16D7"/>
    <w:rsid w:val="00800FB2"/>
    <w:rsid w:val="008029C8"/>
    <w:rsid w:val="00806EC8"/>
    <w:rsid w:val="00807C0E"/>
    <w:rsid w:val="00810226"/>
    <w:rsid w:val="00812416"/>
    <w:rsid w:val="00813CD2"/>
    <w:rsid w:val="00820BD8"/>
    <w:rsid w:val="00821A1A"/>
    <w:rsid w:val="00837CD7"/>
    <w:rsid w:val="00842C2F"/>
    <w:rsid w:val="00844652"/>
    <w:rsid w:val="008544D4"/>
    <w:rsid w:val="0085765A"/>
    <w:rsid w:val="00860CE3"/>
    <w:rsid w:val="00864987"/>
    <w:rsid w:val="00870522"/>
    <w:rsid w:val="00870835"/>
    <w:rsid w:val="00874890"/>
    <w:rsid w:val="00875453"/>
    <w:rsid w:val="00876920"/>
    <w:rsid w:val="00881117"/>
    <w:rsid w:val="0088147E"/>
    <w:rsid w:val="00882A2D"/>
    <w:rsid w:val="008831D5"/>
    <w:rsid w:val="00883C7D"/>
    <w:rsid w:val="00883D7C"/>
    <w:rsid w:val="00885424"/>
    <w:rsid w:val="0088583E"/>
    <w:rsid w:val="00885DA4"/>
    <w:rsid w:val="00886B9A"/>
    <w:rsid w:val="00886F6D"/>
    <w:rsid w:val="008922F2"/>
    <w:rsid w:val="0089337D"/>
    <w:rsid w:val="008965E9"/>
    <w:rsid w:val="008A1308"/>
    <w:rsid w:val="008A2D6F"/>
    <w:rsid w:val="008A336A"/>
    <w:rsid w:val="008A4C71"/>
    <w:rsid w:val="008C1573"/>
    <w:rsid w:val="008C558B"/>
    <w:rsid w:val="008C6F61"/>
    <w:rsid w:val="008D3BD9"/>
    <w:rsid w:val="008E0429"/>
    <w:rsid w:val="008E3927"/>
    <w:rsid w:val="008E4F4B"/>
    <w:rsid w:val="008E5B72"/>
    <w:rsid w:val="008E6EB3"/>
    <w:rsid w:val="008E76FF"/>
    <w:rsid w:val="008E7FCE"/>
    <w:rsid w:val="008F1810"/>
    <w:rsid w:val="008F28BD"/>
    <w:rsid w:val="008F740C"/>
    <w:rsid w:val="0090099D"/>
    <w:rsid w:val="00901D05"/>
    <w:rsid w:val="00904632"/>
    <w:rsid w:val="009123C9"/>
    <w:rsid w:val="009131F9"/>
    <w:rsid w:val="009159D4"/>
    <w:rsid w:val="0091693B"/>
    <w:rsid w:val="00923BDB"/>
    <w:rsid w:val="00931A9D"/>
    <w:rsid w:val="00937186"/>
    <w:rsid w:val="00940717"/>
    <w:rsid w:val="00943C13"/>
    <w:rsid w:val="00952811"/>
    <w:rsid w:val="00952BC3"/>
    <w:rsid w:val="00954CD8"/>
    <w:rsid w:val="0095735A"/>
    <w:rsid w:val="0096093D"/>
    <w:rsid w:val="00970B83"/>
    <w:rsid w:val="009716A3"/>
    <w:rsid w:val="00972720"/>
    <w:rsid w:val="0097634A"/>
    <w:rsid w:val="009768BB"/>
    <w:rsid w:val="009936CB"/>
    <w:rsid w:val="0099693F"/>
    <w:rsid w:val="009A024C"/>
    <w:rsid w:val="009A1524"/>
    <w:rsid w:val="009A22EE"/>
    <w:rsid w:val="009A4237"/>
    <w:rsid w:val="009A6F18"/>
    <w:rsid w:val="009A6F25"/>
    <w:rsid w:val="009A7F8C"/>
    <w:rsid w:val="009B24D4"/>
    <w:rsid w:val="009B5658"/>
    <w:rsid w:val="009B72E7"/>
    <w:rsid w:val="009C4E92"/>
    <w:rsid w:val="009C53AB"/>
    <w:rsid w:val="009D1290"/>
    <w:rsid w:val="009D7E88"/>
    <w:rsid w:val="009E0A67"/>
    <w:rsid w:val="009E2DBF"/>
    <w:rsid w:val="009E40AE"/>
    <w:rsid w:val="009E42E8"/>
    <w:rsid w:val="009E7351"/>
    <w:rsid w:val="009F602F"/>
    <w:rsid w:val="009F6A79"/>
    <w:rsid w:val="00A01496"/>
    <w:rsid w:val="00A043B1"/>
    <w:rsid w:val="00A0474B"/>
    <w:rsid w:val="00A06609"/>
    <w:rsid w:val="00A12C63"/>
    <w:rsid w:val="00A1670E"/>
    <w:rsid w:val="00A21A22"/>
    <w:rsid w:val="00A2277F"/>
    <w:rsid w:val="00A2636B"/>
    <w:rsid w:val="00A263BE"/>
    <w:rsid w:val="00A27059"/>
    <w:rsid w:val="00A27524"/>
    <w:rsid w:val="00A27703"/>
    <w:rsid w:val="00A30023"/>
    <w:rsid w:val="00A32358"/>
    <w:rsid w:val="00A3263F"/>
    <w:rsid w:val="00A33205"/>
    <w:rsid w:val="00A35692"/>
    <w:rsid w:val="00A40CBB"/>
    <w:rsid w:val="00A458DD"/>
    <w:rsid w:val="00A45FF4"/>
    <w:rsid w:val="00A514C3"/>
    <w:rsid w:val="00A52D81"/>
    <w:rsid w:val="00A5721A"/>
    <w:rsid w:val="00A60660"/>
    <w:rsid w:val="00A62D31"/>
    <w:rsid w:val="00A73548"/>
    <w:rsid w:val="00A736EC"/>
    <w:rsid w:val="00A739FA"/>
    <w:rsid w:val="00A75768"/>
    <w:rsid w:val="00A765CF"/>
    <w:rsid w:val="00A80BC8"/>
    <w:rsid w:val="00A8114C"/>
    <w:rsid w:val="00A81EFD"/>
    <w:rsid w:val="00A8712F"/>
    <w:rsid w:val="00A94C01"/>
    <w:rsid w:val="00AA020E"/>
    <w:rsid w:val="00AA4B41"/>
    <w:rsid w:val="00AB7997"/>
    <w:rsid w:val="00AB7A08"/>
    <w:rsid w:val="00AC08B0"/>
    <w:rsid w:val="00AC4D7B"/>
    <w:rsid w:val="00AC6739"/>
    <w:rsid w:val="00AC7315"/>
    <w:rsid w:val="00AD3252"/>
    <w:rsid w:val="00AD48A8"/>
    <w:rsid w:val="00AD5DFC"/>
    <w:rsid w:val="00AE0A90"/>
    <w:rsid w:val="00AE275F"/>
    <w:rsid w:val="00AE4486"/>
    <w:rsid w:val="00AE461D"/>
    <w:rsid w:val="00AE60F2"/>
    <w:rsid w:val="00AE666E"/>
    <w:rsid w:val="00AE7C81"/>
    <w:rsid w:val="00AF15D3"/>
    <w:rsid w:val="00AF23E3"/>
    <w:rsid w:val="00AF3F68"/>
    <w:rsid w:val="00AF6B6A"/>
    <w:rsid w:val="00B0074D"/>
    <w:rsid w:val="00B01D49"/>
    <w:rsid w:val="00B10DA5"/>
    <w:rsid w:val="00B11972"/>
    <w:rsid w:val="00B15D04"/>
    <w:rsid w:val="00B24722"/>
    <w:rsid w:val="00B26B90"/>
    <w:rsid w:val="00B302E2"/>
    <w:rsid w:val="00B31BFE"/>
    <w:rsid w:val="00B32155"/>
    <w:rsid w:val="00B33FCC"/>
    <w:rsid w:val="00B35F42"/>
    <w:rsid w:val="00B45970"/>
    <w:rsid w:val="00B45E3F"/>
    <w:rsid w:val="00B46691"/>
    <w:rsid w:val="00B512DD"/>
    <w:rsid w:val="00B530F7"/>
    <w:rsid w:val="00B55795"/>
    <w:rsid w:val="00B55A9D"/>
    <w:rsid w:val="00B56E09"/>
    <w:rsid w:val="00B603D3"/>
    <w:rsid w:val="00B60777"/>
    <w:rsid w:val="00B608AF"/>
    <w:rsid w:val="00B63339"/>
    <w:rsid w:val="00B6742E"/>
    <w:rsid w:val="00B70D93"/>
    <w:rsid w:val="00B727F6"/>
    <w:rsid w:val="00B73B31"/>
    <w:rsid w:val="00B75EF4"/>
    <w:rsid w:val="00B77377"/>
    <w:rsid w:val="00B80344"/>
    <w:rsid w:val="00B91B46"/>
    <w:rsid w:val="00B957D3"/>
    <w:rsid w:val="00B96F00"/>
    <w:rsid w:val="00BA57A1"/>
    <w:rsid w:val="00BB03A9"/>
    <w:rsid w:val="00BB26FE"/>
    <w:rsid w:val="00BB434A"/>
    <w:rsid w:val="00BB5954"/>
    <w:rsid w:val="00BB76CD"/>
    <w:rsid w:val="00BB7827"/>
    <w:rsid w:val="00BB7D46"/>
    <w:rsid w:val="00BC16D0"/>
    <w:rsid w:val="00BC2588"/>
    <w:rsid w:val="00BC277E"/>
    <w:rsid w:val="00BC2B1C"/>
    <w:rsid w:val="00BC4B9F"/>
    <w:rsid w:val="00BC621D"/>
    <w:rsid w:val="00BC697D"/>
    <w:rsid w:val="00BD0A2E"/>
    <w:rsid w:val="00BD1B0D"/>
    <w:rsid w:val="00BD40F7"/>
    <w:rsid w:val="00BD6DA7"/>
    <w:rsid w:val="00BE1E9A"/>
    <w:rsid w:val="00BE2D97"/>
    <w:rsid w:val="00BE6006"/>
    <w:rsid w:val="00BF501B"/>
    <w:rsid w:val="00BF5D05"/>
    <w:rsid w:val="00C042F1"/>
    <w:rsid w:val="00C04C8E"/>
    <w:rsid w:val="00C06FCE"/>
    <w:rsid w:val="00C12211"/>
    <w:rsid w:val="00C12834"/>
    <w:rsid w:val="00C132EC"/>
    <w:rsid w:val="00C13BCE"/>
    <w:rsid w:val="00C22D88"/>
    <w:rsid w:val="00C26D25"/>
    <w:rsid w:val="00C308E6"/>
    <w:rsid w:val="00C310F2"/>
    <w:rsid w:val="00C325DE"/>
    <w:rsid w:val="00C33E7D"/>
    <w:rsid w:val="00C35722"/>
    <w:rsid w:val="00C420A3"/>
    <w:rsid w:val="00C55B0A"/>
    <w:rsid w:val="00C62CDF"/>
    <w:rsid w:val="00C653E5"/>
    <w:rsid w:val="00C67E0A"/>
    <w:rsid w:val="00C7310E"/>
    <w:rsid w:val="00C809FB"/>
    <w:rsid w:val="00C80A90"/>
    <w:rsid w:val="00C81424"/>
    <w:rsid w:val="00C81F25"/>
    <w:rsid w:val="00C8457F"/>
    <w:rsid w:val="00C845DB"/>
    <w:rsid w:val="00C85E46"/>
    <w:rsid w:val="00C9006E"/>
    <w:rsid w:val="00C929F6"/>
    <w:rsid w:val="00C945F9"/>
    <w:rsid w:val="00CA22DB"/>
    <w:rsid w:val="00CA75C9"/>
    <w:rsid w:val="00CB03CD"/>
    <w:rsid w:val="00CB03E9"/>
    <w:rsid w:val="00CB14C6"/>
    <w:rsid w:val="00CB3A19"/>
    <w:rsid w:val="00CB5474"/>
    <w:rsid w:val="00CB6D75"/>
    <w:rsid w:val="00CC13AC"/>
    <w:rsid w:val="00CC3121"/>
    <w:rsid w:val="00CC34E3"/>
    <w:rsid w:val="00CC3F99"/>
    <w:rsid w:val="00CC668D"/>
    <w:rsid w:val="00CC785F"/>
    <w:rsid w:val="00CD16D5"/>
    <w:rsid w:val="00CD299C"/>
    <w:rsid w:val="00CD388B"/>
    <w:rsid w:val="00CD4E41"/>
    <w:rsid w:val="00CD6C11"/>
    <w:rsid w:val="00CD77B5"/>
    <w:rsid w:val="00CE0C82"/>
    <w:rsid w:val="00CE2144"/>
    <w:rsid w:val="00CE5F5E"/>
    <w:rsid w:val="00CE6003"/>
    <w:rsid w:val="00CF2F2F"/>
    <w:rsid w:val="00CF7679"/>
    <w:rsid w:val="00D07C08"/>
    <w:rsid w:val="00D133C4"/>
    <w:rsid w:val="00D13823"/>
    <w:rsid w:val="00D15C71"/>
    <w:rsid w:val="00D172F3"/>
    <w:rsid w:val="00D2131A"/>
    <w:rsid w:val="00D21ADF"/>
    <w:rsid w:val="00D247F1"/>
    <w:rsid w:val="00D33019"/>
    <w:rsid w:val="00D332CA"/>
    <w:rsid w:val="00D33AB4"/>
    <w:rsid w:val="00D34885"/>
    <w:rsid w:val="00D356F1"/>
    <w:rsid w:val="00D41E17"/>
    <w:rsid w:val="00D457B7"/>
    <w:rsid w:val="00D46FFA"/>
    <w:rsid w:val="00D6602F"/>
    <w:rsid w:val="00D672A1"/>
    <w:rsid w:val="00D70810"/>
    <w:rsid w:val="00D712D3"/>
    <w:rsid w:val="00D81137"/>
    <w:rsid w:val="00D83680"/>
    <w:rsid w:val="00D90811"/>
    <w:rsid w:val="00D9780D"/>
    <w:rsid w:val="00DA2A08"/>
    <w:rsid w:val="00DA2C4B"/>
    <w:rsid w:val="00DA4318"/>
    <w:rsid w:val="00DA53CA"/>
    <w:rsid w:val="00DA54C0"/>
    <w:rsid w:val="00DA5A25"/>
    <w:rsid w:val="00DA736E"/>
    <w:rsid w:val="00DB47D4"/>
    <w:rsid w:val="00DB5FD9"/>
    <w:rsid w:val="00DC4146"/>
    <w:rsid w:val="00DC647E"/>
    <w:rsid w:val="00DD398D"/>
    <w:rsid w:val="00DD4C7C"/>
    <w:rsid w:val="00DD76EC"/>
    <w:rsid w:val="00DE0335"/>
    <w:rsid w:val="00DE1202"/>
    <w:rsid w:val="00DE4984"/>
    <w:rsid w:val="00DE5CB6"/>
    <w:rsid w:val="00DE67D7"/>
    <w:rsid w:val="00DF2C32"/>
    <w:rsid w:val="00DF3F2D"/>
    <w:rsid w:val="00DF7278"/>
    <w:rsid w:val="00E00392"/>
    <w:rsid w:val="00E01D6B"/>
    <w:rsid w:val="00E050A6"/>
    <w:rsid w:val="00E10AD3"/>
    <w:rsid w:val="00E11B2A"/>
    <w:rsid w:val="00E149D0"/>
    <w:rsid w:val="00E20A1E"/>
    <w:rsid w:val="00E2104C"/>
    <w:rsid w:val="00E218F5"/>
    <w:rsid w:val="00E242AF"/>
    <w:rsid w:val="00E3731B"/>
    <w:rsid w:val="00E4097B"/>
    <w:rsid w:val="00E41EA1"/>
    <w:rsid w:val="00E455E7"/>
    <w:rsid w:val="00E51583"/>
    <w:rsid w:val="00E52840"/>
    <w:rsid w:val="00E534CA"/>
    <w:rsid w:val="00E5403F"/>
    <w:rsid w:val="00E54C1A"/>
    <w:rsid w:val="00E56C44"/>
    <w:rsid w:val="00E56D11"/>
    <w:rsid w:val="00E56E1E"/>
    <w:rsid w:val="00E6142D"/>
    <w:rsid w:val="00E641CB"/>
    <w:rsid w:val="00E66E09"/>
    <w:rsid w:val="00E71DEA"/>
    <w:rsid w:val="00E76B7A"/>
    <w:rsid w:val="00E77F09"/>
    <w:rsid w:val="00E8107A"/>
    <w:rsid w:val="00E82E2E"/>
    <w:rsid w:val="00E83AA2"/>
    <w:rsid w:val="00E85C5D"/>
    <w:rsid w:val="00E8654D"/>
    <w:rsid w:val="00E90F05"/>
    <w:rsid w:val="00E9428D"/>
    <w:rsid w:val="00E943EB"/>
    <w:rsid w:val="00E967DB"/>
    <w:rsid w:val="00EA0A8F"/>
    <w:rsid w:val="00EA343A"/>
    <w:rsid w:val="00EA3C0F"/>
    <w:rsid w:val="00EA7071"/>
    <w:rsid w:val="00EB0723"/>
    <w:rsid w:val="00EB1453"/>
    <w:rsid w:val="00EB2264"/>
    <w:rsid w:val="00EB251E"/>
    <w:rsid w:val="00EC0A2C"/>
    <w:rsid w:val="00EC1538"/>
    <w:rsid w:val="00EC6CD4"/>
    <w:rsid w:val="00EC7AB0"/>
    <w:rsid w:val="00ED2FE9"/>
    <w:rsid w:val="00EE16D4"/>
    <w:rsid w:val="00EE27AC"/>
    <w:rsid w:val="00EE5FE4"/>
    <w:rsid w:val="00EF27CC"/>
    <w:rsid w:val="00EF2863"/>
    <w:rsid w:val="00EF4458"/>
    <w:rsid w:val="00EF4F27"/>
    <w:rsid w:val="00EF7C3A"/>
    <w:rsid w:val="00F0355A"/>
    <w:rsid w:val="00F03C82"/>
    <w:rsid w:val="00F03D75"/>
    <w:rsid w:val="00F03F51"/>
    <w:rsid w:val="00F15EA5"/>
    <w:rsid w:val="00F20039"/>
    <w:rsid w:val="00F30E03"/>
    <w:rsid w:val="00F328EF"/>
    <w:rsid w:val="00F33CFA"/>
    <w:rsid w:val="00F405FA"/>
    <w:rsid w:val="00F4643D"/>
    <w:rsid w:val="00F47EF1"/>
    <w:rsid w:val="00F50EC4"/>
    <w:rsid w:val="00F516CB"/>
    <w:rsid w:val="00F567DF"/>
    <w:rsid w:val="00F64CD0"/>
    <w:rsid w:val="00F66EAE"/>
    <w:rsid w:val="00F678AA"/>
    <w:rsid w:val="00F67FC9"/>
    <w:rsid w:val="00F7483F"/>
    <w:rsid w:val="00F760ED"/>
    <w:rsid w:val="00F76ECD"/>
    <w:rsid w:val="00F803E3"/>
    <w:rsid w:val="00F8484F"/>
    <w:rsid w:val="00F93881"/>
    <w:rsid w:val="00F947A9"/>
    <w:rsid w:val="00F9502A"/>
    <w:rsid w:val="00FA0983"/>
    <w:rsid w:val="00FA0DED"/>
    <w:rsid w:val="00FB0B8B"/>
    <w:rsid w:val="00FB0D20"/>
    <w:rsid w:val="00FB2A6A"/>
    <w:rsid w:val="00FB6D6B"/>
    <w:rsid w:val="00FC0013"/>
    <w:rsid w:val="00FC10DD"/>
    <w:rsid w:val="00FC1D2C"/>
    <w:rsid w:val="00FC2456"/>
    <w:rsid w:val="00FC4743"/>
    <w:rsid w:val="00FC4EC8"/>
    <w:rsid w:val="00FD0EFA"/>
    <w:rsid w:val="00FD4CDD"/>
    <w:rsid w:val="00FD6079"/>
    <w:rsid w:val="00FF0209"/>
    <w:rsid w:val="00FF28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6B"/>
    <w:pPr>
      <w:spacing w:after="200" w:line="276" w:lineRule="auto"/>
    </w:pPr>
    <w:rPr>
      <w:sz w:val="22"/>
      <w:szCs w:val="22"/>
      <w:lang w:eastAsia="en-US"/>
    </w:rPr>
  </w:style>
  <w:style w:type="paragraph" w:styleId="Heading3">
    <w:name w:val="heading 3"/>
    <w:basedOn w:val="Normal"/>
    <w:link w:val="Heading3Char"/>
    <w:uiPriority w:val="9"/>
    <w:qFormat/>
    <w:rsid w:val="00AD5DFC"/>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CF0"/>
    <w:pPr>
      <w:tabs>
        <w:tab w:val="center" w:pos="4680"/>
        <w:tab w:val="right" w:pos="9360"/>
      </w:tabs>
    </w:pPr>
  </w:style>
  <w:style w:type="character" w:customStyle="1" w:styleId="HeaderChar">
    <w:name w:val="Header Char"/>
    <w:link w:val="Header"/>
    <w:uiPriority w:val="99"/>
    <w:rsid w:val="004A7CF0"/>
    <w:rPr>
      <w:sz w:val="22"/>
      <w:szCs w:val="22"/>
      <w:lang w:eastAsia="en-US"/>
    </w:rPr>
  </w:style>
  <w:style w:type="paragraph" w:styleId="Footer">
    <w:name w:val="footer"/>
    <w:basedOn w:val="Normal"/>
    <w:link w:val="FooterChar"/>
    <w:unhideWhenUsed/>
    <w:rsid w:val="004A7CF0"/>
    <w:pPr>
      <w:tabs>
        <w:tab w:val="center" w:pos="4680"/>
        <w:tab w:val="right" w:pos="9360"/>
      </w:tabs>
    </w:pPr>
  </w:style>
  <w:style w:type="character" w:customStyle="1" w:styleId="FooterChar">
    <w:name w:val="Footer Char"/>
    <w:link w:val="Footer"/>
    <w:uiPriority w:val="99"/>
    <w:rsid w:val="004A7CF0"/>
    <w:rPr>
      <w:sz w:val="22"/>
      <w:szCs w:val="22"/>
      <w:lang w:eastAsia="en-US"/>
    </w:rPr>
  </w:style>
  <w:style w:type="paragraph" w:customStyle="1" w:styleId="CharChar">
    <w:name w:val="Char Char"/>
    <w:basedOn w:val="Normal"/>
    <w:rsid w:val="004A7CF0"/>
    <w:pPr>
      <w:spacing w:after="160" w:line="240" w:lineRule="exact"/>
    </w:pPr>
    <w:rPr>
      <w:rFonts w:ascii="Verdana" w:eastAsia="Times New Roman" w:hAnsi="Verdana"/>
      <w:sz w:val="20"/>
      <w:szCs w:val="20"/>
    </w:rPr>
  </w:style>
  <w:style w:type="paragraph" w:styleId="BalloonText">
    <w:name w:val="Balloon Text"/>
    <w:basedOn w:val="Normal"/>
    <w:link w:val="BalloonTextChar"/>
    <w:uiPriority w:val="99"/>
    <w:semiHidden/>
    <w:unhideWhenUsed/>
    <w:rsid w:val="004A7C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7CF0"/>
    <w:rPr>
      <w:rFonts w:ascii="Tahoma" w:hAnsi="Tahoma" w:cs="Tahoma"/>
      <w:sz w:val="16"/>
      <w:szCs w:val="16"/>
      <w:lang w:eastAsia="en-US"/>
    </w:rPr>
  </w:style>
  <w:style w:type="paragraph" w:customStyle="1" w:styleId="CarCarCarCarCar">
    <w:name w:val="Car Car Car Car Car"/>
    <w:basedOn w:val="Normal"/>
    <w:rsid w:val="004A7CF0"/>
    <w:pPr>
      <w:spacing w:after="0" w:line="240" w:lineRule="auto"/>
    </w:pPr>
    <w:rPr>
      <w:rFonts w:ascii="Arial" w:eastAsia="Times New Roman" w:hAnsi="Arial" w:cs="Arial"/>
      <w:lang w:val="en-AU"/>
    </w:rPr>
  </w:style>
  <w:style w:type="table" w:styleId="LightList">
    <w:name w:val="Light List"/>
    <w:basedOn w:val="TableNormal"/>
    <w:uiPriority w:val="61"/>
    <w:rsid w:val="004A7CF0"/>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4A7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512D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harCharCharCharChar">
    <w:name w:val="Char Char Char Char Char"/>
    <w:basedOn w:val="Normal"/>
    <w:rsid w:val="00484926"/>
    <w:pPr>
      <w:spacing w:after="0" w:line="240" w:lineRule="auto"/>
    </w:pPr>
    <w:rPr>
      <w:rFonts w:ascii="Arial" w:eastAsia="Times New Roman" w:hAnsi="Arial"/>
      <w:sz w:val="20"/>
      <w:szCs w:val="20"/>
    </w:rPr>
  </w:style>
  <w:style w:type="character" w:styleId="Hyperlink">
    <w:name w:val="Hyperlink"/>
    <w:uiPriority w:val="99"/>
    <w:unhideWhenUsed/>
    <w:rsid w:val="00EC0A2C"/>
    <w:rPr>
      <w:color w:val="0000FF"/>
      <w:u w:val="single"/>
    </w:rPr>
  </w:style>
  <w:style w:type="character" w:styleId="FollowedHyperlink">
    <w:name w:val="FollowedHyperlink"/>
    <w:uiPriority w:val="99"/>
    <w:semiHidden/>
    <w:unhideWhenUsed/>
    <w:rsid w:val="00EC0A2C"/>
    <w:rPr>
      <w:color w:val="800080"/>
      <w:u w:val="single"/>
    </w:rPr>
  </w:style>
  <w:style w:type="paragraph" w:styleId="NormalWeb">
    <w:name w:val="Normal (Web)"/>
    <w:basedOn w:val="Normal"/>
    <w:uiPriority w:val="99"/>
    <w:unhideWhenUsed/>
    <w:rsid w:val="003D4092"/>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Char3">
    <w:name w:val="Char3"/>
    <w:basedOn w:val="Normal"/>
    <w:rsid w:val="00EF2863"/>
    <w:pPr>
      <w:spacing w:after="160" w:line="240" w:lineRule="exact"/>
    </w:pPr>
    <w:rPr>
      <w:rFonts w:ascii="Verdana" w:eastAsia="Times New Roman" w:hAnsi="Verdana"/>
      <w:sz w:val="20"/>
      <w:szCs w:val="20"/>
    </w:rPr>
  </w:style>
  <w:style w:type="paragraph" w:styleId="ListParagraph">
    <w:name w:val="List Paragraph"/>
    <w:aliases w:val="Normal bullets"/>
    <w:basedOn w:val="Normal"/>
    <w:link w:val="ListParagraphChar"/>
    <w:uiPriority w:val="34"/>
    <w:qFormat/>
    <w:rsid w:val="0077778B"/>
    <w:pPr>
      <w:ind w:left="720"/>
    </w:pPr>
  </w:style>
  <w:style w:type="paragraph" w:styleId="FootnoteText">
    <w:name w:val="footnote text"/>
    <w:basedOn w:val="Normal"/>
    <w:link w:val="FootnoteTextChar"/>
    <w:uiPriority w:val="99"/>
    <w:semiHidden/>
    <w:unhideWhenUsed/>
    <w:rsid w:val="00F67FC9"/>
    <w:pPr>
      <w:spacing w:after="0" w:line="240" w:lineRule="auto"/>
    </w:pPr>
    <w:rPr>
      <w:sz w:val="20"/>
      <w:szCs w:val="20"/>
    </w:rPr>
  </w:style>
  <w:style w:type="character" w:customStyle="1" w:styleId="FootnoteTextChar">
    <w:name w:val="Footnote Text Char"/>
    <w:link w:val="FootnoteText"/>
    <w:uiPriority w:val="99"/>
    <w:semiHidden/>
    <w:rsid w:val="00F67FC9"/>
    <w:rPr>
      <w:lang w:eastAsia="en-US"/>
    </w:rPr>
  </w:style>
  <w:style w:type="character" w:styleId="FootnoteReference">
    <w:name w:val="footnote reference"/>
    <w:uiPriority w:val="99"/>
    <w:semiHidden/>
    <w:unhideWhenUsed/>
    <w:rsid w:val="00F67FC9"/>
    <w:rPr>
      <w:vertAlign w:val="superscript"/>
    </w:rPr>
  </w:style>
  <w:style w:type="table" w:customStyle="1" w:styleId="TableGrid1">
    <w:name w:val="Table Grid1"/>
    <w:basedOn w:val="TableNormal"/>
    <w:next w:val="TableGrid"/>
    <w:uiPriority w:val="59"/>
    <w:rsid w:val="00A2636B"/>
    <w:rPr>
      <w:rFonts w:ascii="Times New Roman" w:eastAsia="Times New Roman" w:hAnsi="Times New Roman"/>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A2636B"/>
    <w:pPr>
      <w:overflowPunct w:val="0"/>
      <w:autoSpaceDE w:val="0"/>
      <w:autoSpaceDN w:val="0"/>
      <w:adjustRightInd w:val="0"/>
      <w:spacing w:after="0" w:line="240" w:lineRule="auto"/>
      <w:textAlignment w:val="baseline"/>
    </w:pPr>
    <w:rPr>
      <w:rFonts w:ascii="Arial" w:eastAsia="Times New Roman" w:hAnsi="Arial" w:cs="Arial"/>
      <w:sz w:val="20"/>
      <w:szCs w:val="20"/>
      <w:lang w:val="en-US"/>
    </w:rPr>
  </w:style>
  <w:style w:type="character" w:customStyle="1" w:styleId="EndnoteTextChar">
    <w:name w:val="Endnote Text Char"/>
    <w:link w:val="EndnoteText"/>
    <w:uiPriority w:val="99"/>
    <w:rsid w:val="00A2636B"/>
    <w:rPr>
      <w:rFonts w:ascii="Arial" w:eastAsia="Times New Roman" w:hAnsi="Arial" w:cs="Arial"/>
      <w:lang w:val="en-US" w:eastAsia="en-US"/>
    </w:rPr>
  </w:style>
  <w:style w:type="character" w:styleId="EndnoteReference">
    <w:name w:val="endnote reference"/>
    <w:uiPriority w:val="99"/>
    <w:unhideWhenUsed/>
    <w:rsid w:val="00A2636B"/>
    <w:rPr>
      <w:vertAlign w:val="superscript"/>
    </w:rPr>
  </w:style>
  <w:style w:type="character" w:styleId="CommentReference">
    <w:name w:val="annotation reference"/>
    <w:uiPriority w:val="99"/>
    <w:semiHidden/>
    <w:unhideWhenUsed/>
    <w:rsid w:val="00695226"/>
    <w:rPr>
      <w:sz w:val="16"/>
      <w:szCs w:val="16"/>
    </w:rPr>
  </w:style>
  <w:style w:type="paragraph" w:styleId="CommentText">
    <w:name w:val="annotation text"/>
    <w:basedOn w:val="Normal"/>
    <w:link w:val="CommentTextChar"/>
    <w:uiPriority w:val="99"/>
    <w:semiHidden/>
    <w:unhideWhenUsed/>
    <w:rsid w:val="00695226"/>
    <w:rPr>
      <w:sz w:val="20"/>
      <w:szCs w:val="20"/>
    </w:rPr>
  </w:style>
  <w:style w:type="character" w:customStyle="1" w:styleId="CommentTextChar">
    <w:name w:val="Comment Text Char"/>
    <w:link w:val="CommentText"/>
    <w:uiPriority w:val="99"/>
    <w:semiHidden/>
    <w:rsid w:val="00695226"/>
    <w:rPr>
      <w:lang w:eastAsia="en-US"/>
    </w:rPr>
  </w:style>
  <w:style w:type="paragraph" w:styleId="CommentSubject">
    <w:name w:val="annotation subject"/>
    <w:basedOn w:val="CommentText"/>
    <w:next w:val="CommentText"/>
    <w:link w:val="CommentSubjectChar"/>
    <w:uiPriority w:val="99"/>
    <w:semiHidden/>
    <w:unhideWhenUsed/>
    <w:rsid w:val="00695226"/>
    <w:rPr>
      <w:b/>
      <w:bCs/>
    </w:rPr>
  </w:style>
  <w:style w:type="character" w:customStyle="1" w:styleId="CommentSubjectChar">
    <w:name w:val="Comment Subject Char"/>
    <w:link w:val="CommentSubject"/>
    <w:uiPriority w:val="99"/>
    <w:semiHidden/>
    <w:rsid w:val="00695226"/>
    <w:rPr>
      <w:b/>
      <w:bCs/>
      <w:lang w:eastAsia="en-US"/>
    </w:rPr>
  </w:style>
  <w:style w:type="paragraph" w:customStyle="1" w:styleId="Char30">
    <w:name w:val="Char3"/>
    <w:basedOn w:val="Normal"/>
    <w:rsid w:val="00AD5DFC"/>
    <w:pPr>
      <w:spacing w:after="160" w:line="240" w:lineRule="exact"/>
    </w:pPr>
    <w:rPr>
      <w:rFonts w:ascii="Verdana" w:eastAsia="Times New Roman" w:hAnsi="Verdana"/>
      <w:sz w:val="20"/>
      <w:szCs w:val="20"/>
    </w:rPr>
  </w:style>
  <w:style w:type="character" w:customStyle="1" w:styleId="Heading3Char">
    <w:name w:val="Heading 3 Char"/>
    <w:basedOn w:val="DefaultParagraphFont"/>
    <w:link w:val="Heading3"/>
    <w:uiPriority w:val="9"/>
    <w:rsid w:val="00AD5DFC"/>
    <w:rPr>
      <w:rFonts w:ascii="Times New Roman" w:eastAsia="Times New Roman" w:hAnsi="Times New Roman"/>
      <w:b/>
      <w:bCs/>
      <w:sz w:val="27"/>
      <w:szCs w:val="27"/>
    </w:rPr>
  </w:style>
  <w:style w:type="paragraph" w:customStyle="1" w:styleId="Char31">
    <w:name w:val="Char3"/>
    <w:basedOn w:val="Normal"/>
    <w:rsid w:val="00D34885"/>
    <w:pPr>
      <w:spacing w:after="160" w:line="240" w:lineRule="exact"/>
    </w:pPr>
    <w:rPr>
      <w:rFonts w:ascii="Verdana" w:eastAsia="Times New Roman" w:hAnsi="Verdana"/>
      <w:sz w:val="20"/>
      <w:szCs w:val="20"/>
    </w:rPr>
  </w:style>
  <w:style w:type="character" w:customStyle="1" w:styleId="ListParagraphChar">
    <w:name w:val="List Paragraph Char"/>
    <w:aliases w:val="Normal bullets Char"/>
    <w:basedOn w:val="DefaultParagraphFont"/>
    <w:link w:val="ListParagraph"/>
    <w:uiPriority w:val="34"/>
    <w:locked/>
    <w:rsid w:val="00522FB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4687994">
      <w:bodyDiv w:val="1"/>
      <w:marLeft w:val="0"/>
      <w:marRight w:val="0"/>
      <w:marTop w:val="0"/>
      <w:marBottom w:val="0"/>
      <w:divBdr>
        <w:top w:val="none" w:sz="0" w:space="0" w:color="auto"/>
        <w:left w:val="none" w:sz="0" w:space="0" w:color="auto"/>
        <w:bottom w:val="none" w:sz="0" w:space="0" w:color="auto"/>
        <w:right w:val="none" w:sz="0" w:space="0" w:color="auto"/>
      </w:divBdr>
    </w:div>
    <w:div w:id="158695200">
      <w:bodyDiv w:val="1"/>
      <w:marLeft w:val="0"/>
      <w:marRight w:val="0"/>
      <w:marTop w:val="0"/>
      <w:marBottom w:val="0"/>
      <w:divBdr>
        <w:top w:val="none" w:sz="0" w:space="0" w:color="auto"/>
        <w:left w:val="none" w:sz="0" w:space="0" w:color="auto"/>
        <w:bottom w:val="none" w:sz="0" w:space="0" w:color="auto"/>
        <w:right w:val="none" w:sz="0" w:space="0" w:color="auto"/>
      </w:divBdr>
    </w:div>
    <w:div w:id="239874998">
      <w:bodyDiv w:val="1"/>
      <w:marLeft w:val="0"/>
      <w:marRight w:val="0"/>
      <w:marTop w:val="0"/>
      <w:marBottom w:val="0"/>
      <w:divBdr>
        <w:top w:val="none" w:sz="0" w:space="0" w:color="auto"/>
        <w:left w:val="none" w:sz="0" w:space="0" w:color="auto"/>
        <w:bottom w:val="none" w:sz="0" w:space="0" w:color="auto"/>
        <w:right w:val="none" w:sz="0" w:space="0" w:color="auto"/>
      </w:divBdr>
    </w:div>
    <w:div w:id="362755719">
      <w:bodyDiv w:val="1"/>
      <w:marLeft w:val="0"/>
      <w:marRight w:val="0"/>
      <w:marTop w:val="0"/>
      <w:marBottom w:val="0"/>
      <w:divBdr>
        <w:top w:val="none" w:sz="0" w:space="0" w:color="auto"/>
        <w:left w:val="none" w:sz="0" w:space="0" w:color="auto"/>
        <w:bottom w:val="none" w:sz="0" w:space="0" w:color="auto"/>
        <w:right w:val="none" w:sz="0" w:space="0" w:color="auto"/>
      </w:divBdr>
    </w:div>
    <w:div w:id="368843626">
      <w:bodyDiv w:val="1"/>
      <w:marLeft w:val="0"/>
      <w:marRight w:val="0"/>
      <w:marTop w:val="0"/>
      <w:marBottom w:val="0"/>
      <w:divBdr>
        <w:top w:val="none" w:sz="0" w:space="0" w:color="auto"/>
        <w:left w:val="none" w:sz="0" w:space="0" w:color="auto"/>
        <w:bottom w:val="none" w:sz="0" w:space="0" w:color="auto"/>
        <w:right w:val="none" w:sz="0" w:space="0" w:color="auto"/>
      </w:divBdr>
    </w:div>
    <w:div w:id="578028022">
      <w:bodyDiv w:val="1"/>
      <w:marLeft w:val="0"/>
      <w:marRight w:val="0"/>
      <w:marTop w:val="0"/>
      <w:marBottom w:val="0"/>
      <w:divBdr>
        <w:top w:val="none" w:sz="0" w:space="0" w:color="auto"/>
        <w:left w:val="none" w:sz="0" w:space="0" w:color="auto"/>
        <w:bottom w:val="none" w:sz="0" w:space="0" w:color="auto"/>
        <w:right w:val="none" w:sz="0" w:space="0" w:color="auto"/>
      </w:divBdr>
    </w:div>
    <w:div w:id="612439334">
      <w:bodyDiv w:val="1"/>
      <w:marLeft w:val="0"/>
      <w:marRight w:val="0"/>
      <w:marTop w:val="0"/>
      <w:marBottom w:val="0"/>
      <w:divBdr>
        <w:top w:val="none" w:sz="0" w:space="0" w:color="auto"/>
        <w:left w:val="none" w:sz="0" w:space="0" w:color="auto"/>
        <w:bottom w:val="none" w:sz="0" w:space="0" w:color="auto"/>
        <w:right w:val="none" w:sz="0" w:space="0" w:color="auto"/>
      </w:divBdr>
    </w:div>
    <w:div w:id="637297386">
      <w:bodyDiv w:val="1"/>
      <w:marLeft w:val="0"/>
      <w:marRight w:val="0"/>
      <w:marTop w:val="0"/>
      <w:marBottom w:val="0"/>
      <w:divBdr>
        <w:top w:val="none" w:sz="0" w:space="0" w:color="auto"/>
        <w:left w:val="none" w:sz="0" w:space="0" w:color="auto"/>
        <w:bottom w:val="none" w:sz="0" w:space="0" w:color="auto"/>
        <w:right w:val="none" w:sz="0" w:space="0" w:color="auto"/>
      </w:divBdr>
    </w:div>
    <w:div w:id="651450321">
      <w:bodyDiv w:val="1"/>
      <w:marLeft w:val="0"/>
      <w:marRight w:val="0"/>
      <w:marTop w:val="0"/>
      <w:marBottom w:val="0"/>
      <w:divBdr>
        <w:top w:val="none" w:sz="0" w:space="0" w:color="auto"/>
        <w:left w:val="none" w:sz="0" w:space="0" w:color="auto"/>
        <w:bottom w:val="none" w:sz="0" w:space="0" w:color="auto"/>
        <w:right w:val="none" w:sz="0" w:space="0" w:color="auto"/>
      </w:divBdr>
    </w:div>
    <w:div w:id="955336471">
      <w:bodyDiv w:val="1"/>
      <w:marLeft w:val="0"/>
      <w:marRight w:val="0"/>
      <w:marTop w:val="0"/>
      <w:marBottom w:val="0"/>
      <w:divBdr>
        <w:top w:val="none" w:sz="0" w:space="0" w:color="auto"/>
        <w:left w:val="none" w:sz="0" w:space="0" w:color="auto"/>
        <w:bottom w:val="none" w:sz="0" w:space="0" w:color="auto"/>
        <w:right w:val="none" w:sz="0" w:space="0" w:color="auto"/>
      </w:divBdr>
    </w:div>
    <w:div w:id="962662293">
      <w:bodyDiv w:val="1"/>
      <w:marLeft w:val="0"/>
      <w:marRight w:val="0"/>
      <w:marTop w:val="0"/>
      <w:marBottom w:val="0"/>
      <w:divBdr>
        <w:top w:val="none" w:sz="0" w:space="0" w:color="auto"/>
        <w:left w:val="none" w:sz="0" w:space="0" w:color="auto"/>
        <w:bottom w:val="none" w:sz="0" w:space="0" w:color="auto"/>
        <w:right w:val="none" w:sz="0" w:space="0" w:color="auto"/>
      </w:divBdr>
    </w:div>
    <w:div w:id="996231272">
      <w:bodyDiv w:val="1"/>
      <w:marLeft w:val="0"/>
      <w:marRight w:val="0"/>
      <w:marTop w:val="0"/>
      <w:marBottom w:val="0"/>
      <w:divBdr>
        <w:top w:val="none" w:sz="0" w:space="0" w:color="auto"/>
        <w:left w:val="none" w:sz="0" w:space="0" w:color="auto"/>
        <w:bottom w:val="none" w:sz="0" w:space="0" w:color="auto"/>
        <w:right w:val="none" w:sz="0" w:space="0" w:color="auto"/>
      </w:divBdr>
    </w:div>
    <w:div w:id="1063720743">
      <w:bodyDiv w:val="1"/>
      <w:marLeft w:val="0"/>
      <w:marRight w:val="0"/>
      <w:marTop w:val="0"/>
      <w:marBottom w:val="0"/>
      <w:divBdr>
        <w:top w:val="none" w:sz="0" w:space="0" w:color="auto"/>
        <w:left w:val="none" w:sz="0" w:space="0" w:color="auto"/>
        <w:bottom w:val="none" w:sz="0" w:space="0" w:color="auto"/>
        <w:right w:val="none" w:sz="0" w:space="0" w:color="auto"/>
      </w:divBdr>
    </w:div>
    <w:div w:id="1078744071">
      <w:bodyDiv w:val="1"/>
      <w:marLeft w:val="0"/>
      <w:marRight w:val="0"/>
      <w:marTop w:val="0"/>
      <w:marBottom w:val="0"/>
      <w:divBdr>
        <w:top w:val="none" w:sz="0" w:space="0" w:color="auto"/>
        <w:left w:val="none" w:sz="0" w:space="0" w:color="auto"/>
        <w:bottom w:val="none" w:sz="0" w:space="0" w:color="auto"/>
        <w:right w:val="none" w:sz="0" w:space="0" w:color="auto"/>
      </w:divBdr>
    </w:div>
    <w:div w:id="1108238515">
      <w:bodyDiv w:val="1"/>
      <w:marLeft w:val="0"/>
      <w:marRight w:val="0"/>
      <w:marTop w:val="0"/>
      <w:marBottom w:val="0"/>
      <w:divBdr>
        <w:top w:val="none" w:sz="0" w:space="0" w:color="auto"/>
        <w:left w:val="none" w:sz="0" w:space="0" w:color="auto"/>
        <w:bottom w:val="none" w:sz="0" w:space="0" w:color="auto"/>
        <w:right w:val="none" w:sz="0" w:space="0" w:color="auto"/>
      </w:divBdr>
    </w:div>
    <w:div w:id="1110122204">
      <w:bodyDiv w:val="1"/>
      <w:marLeft w:val="0"/>
      <w:marRight w:val="0"/>
      <w:marTop w:val="0"/>
      <w:marBottom w:val="0"/>
      <w:divBdr>
        <w:top w:val="none" w:sz="0" w:space="0" w:color="auto"/>
        <w:left w:val="none" w:sz="0" w:space="0" w:color="auto"/>
        <w:bottom w:val="none" w:sz="0" w:space="0" w:color="auto"/>
        <w:right w:val="none" w:sz="0" w:space="0" w:color="auto"/>
      </w:divBdr>
    </w:div>
    <w:div w:id="1254977665">
      <w:bodyDiv w:val="1"/>
      <w:marLeft w:val="0"/>
      <w:marRight w:val="0"/>
      <w:marTop w:val="0"/>
      <w:marBottom w:val="0"/>
      <w:divBdr>
        <w:top w:val="none" w:sz="0" w:space="0" w:color="auto"/>
        <w:left w:val="none" w:sz="0" w:space="0" w:color="auto"/>
        <w:bottom w:val="none" w:sz="0" w:space="0" w:color="auto"/>
        <w:right w:val="none" w:sz="0" w:space="0" w:color="auto"/>
      </w:divBdr>
    </w:div>
    <w:div w:id="1563639729">
      <w:bodyDiv w:val="1"/>
      <w:marLeft w:val="0"/>
      <w:marRight w:val="0"/>
      <w:marTop w:val="0"/>
      <w:marBottom w:val="0"/>
      <w:divBdr>
        <w:top w:val="none" w:sz="0" w:space="0" w:color="auto"/>
        <w:left w:val="none" w:sz="0" w:space="0" w:color="auto"/>
        <w:bottom w:val="none" w:sz="0" w:space="0" w:color="auto"/>
        <w:right w:val="none" w:sz="0" w:space="0" w:color="auto"/>
      </w:divBdr>
    </w:div>
    <w:div w:id="1582830131">
      <w:bodyDiv w:val="1"/>
      <w:marLeft w:val="0"/>
      <w:marRight w:val="0"/>
      <w:marTop w:val="0"/>
      <w:marBottom w:val="0"/>
      <w:divBdr>
        <w:top w:val="none" w:sz="0" w:space="0" w:color="auto"/>
        <w:left w:val="none" w:sz="0" w:space="0" w:color="auto"/>
        <w:bottom w:val="none" w:sz="0" w:space="0" w:color="auto"/>
        <w:right w:val="none" w:sz="0" w:space="0" w:color="auto"/>
      </w:divBdr>
    </w:div>
    <w:div w:id="1825663288">
      <w:bodyDiv w:val="1"/>
      <w:marLeft w:val="0"/>
      <w:marRight w:val="0"/>
      <w:marTop w:val="0"/>
      <w:marBottom w:val="0"/>
      <w:divBdr>
        <w:top w:val="none" w:sz="0" w:space="0" w:color="auto"/>
        <w:left w:val="none" w:sz="0" w:space="0" w:color="auto"/>
        <w:bottom w:val="none" w:sz="0" w:space="0" w:color="auto"/>
        <w:right w:val="none" w:sz="0" w:space="0" w:color="auto"/>
      </w:divBdr>
    </w:div>
    <w:div w:id="2017152859">
      <w:bodyDiv w:val="1"/>
      <w:marLeft w:val="0"/>
      <w:marRight w:val="0"/>
      <w:marTop w:val="0"/>
      <w:marBottom w:val="0"/>
      <w:divBdr>
        <w:top w:val="none" w:sz="0" w:space="0" w:color="auto"/>
        <w:left w:val="none" w:sz="0" w:space="0" w:color="auto"/>
        <w:bottom w:val="none" w:sz="0" w:space="0" w:color="auto"/>
        <w:right w:val="none" w:sz="0" w:space="0" w:color="auto"/>
      </w:divBdr>
    </w:div>
    <w:div w:id="2032028235">
      <w:bodyDiv w:val="1"/>
      <w:marLeft w:val="0"/>
      <w:marRight w:val="0"/>
      <w:marTop w:val="0"/>
      <w:marBottom w:val="0"/>
      <w:divBdr>
        <w:top w:val="none" w:sz="0" w:space="0" w:color="auto"/>
        <w:left w:val="none" w:sz="0" w:space="0" w:color="auto"/>
        <w:bottom w:val="none" w:sz="0" w:space="0" w:color="auto"/>
        <w:right w:val="none" w:sz="0" w:space="0" w:color="auto"/>
      </w:divBdr>
    </w:div>
    <w:div w:id="2093312383">
      <w:bodyDiv w:val="1"/>
      <w:marLeft w:val="0"/>
      <w:marRight w:val="0"/>
      <w:marTop w:val="0"/>
      <w:marBottom w:val="0"/>
      <w:divBdr>
        <w:top w:val="none" w:sz="0" w:space="0" w:color="auto"/>
        <w:left w:val="none" w:sz="0" w:space="0" w:color="auto"/>
        <w:bottom w:val="none" w:sz="0" w:space="0" w:color="auto"/>
        <w:right w:val="none" w:sz="0" w:space="0" w:color="auto"/>
      </w:divBdr>
    </w:div>
    <w:div w:id="21220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can.gc.ca/start-debut-eng.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dc.gc.ca/cgi-bin/contact/edsc-esdc/eng/contact_us.aspx?section=lm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thestar.com/news/canada/2018/11/14/canada-produces-most-greenhouse-gas-emissions-than-any-other-g20-country-new-report-says.html" TargetMode="External"/><Relationship Id="rId13" Type="http://schemas.openxmlformats.org/officeDocument/2006/relationships/hyperlink" Target="https://edmontonjournal.com/business/energy/varcoe-line-3-delay-will-keep-oilpatch-spending-stagnant/wcm/15bcf3b3-0feb-4194-a156-f205abbdec6d" TargetMode="External"/><Relationship Id="rId18" Type="http://schemas.openxmlformats.org/officeDocument/2006/relationships/hyperlink" Target="https://open.alberta.ca/dataset/af95ff5b-f8cc-4fd9-9bd6-e2642816028e/resource/d0d9166b-444a-4bb5-9a15-e18a3d467869/download/af-crop-report-2019-12-03.pdf" TargetMode="External"/><Relationship Id="rId26" Type="http://schemas.openxmlformats.org/officeDocument/2006/relationships/hyperlink" Target="https://www.cbc.ca/news/canada/calgary/alberta-extend-oil-curtailment-levels-1.5375603" TargetMode="External"/><Relationship Id="rId3" Type="http://schemas.openxmlformats.org/officeDocument/2006/relationships/hyperlink" Target="https://www150.statcan.gc.ca/t1/tbl1/en/cv.action?pid=1410022201" TargetMode="External"/><Relationship Id="rId21" Type="http://schemas.openxmlformats.org/officeDocument/2006/relationships/hyperlink" Target="https://www150.statcan.gc.ca/t1/tbl1/en/tv.action?pid=2010007401" TargetMode="External"/><Relationship Id="rId7" Type="http://schemas.openxmlformats.org/officeDocument/2006/relationships/hyperlink" Target="https://www.eia.gov/finance/review/archive/pdf/financial_2018.pdf" TargetMode="External"/><Relationship Id="rId12" Type="http://schemas.openxmlformats.org/officeDocument/2006/relationships/hyperlink" Target="https://everythinggp.com/2019/12/03/tmx-pipe-will-be-in-the-ground-by-christmas-says-ceo/" TargetMode="External"/><Relationship Id="rId17" Type="http://schemas.openxmlformats.org/officeDocument/2006/relationships/hyperlink" Target="https://business.financialpost.com/commodities/agriculture/as-canola-spat-steals-headlines-china-quietly-buys-canada-crops" TargetMode="External"/><Relationship Id="rId25" Type="http://schemas.openxmlformats.org/officeDocument/2006/relationships/hyperlink" Target="https://www.alberta.ca/release.cfm?xID=66076C7FDD84B-9B05-40AE-A467837C01C3738D" TargetMode="External"/><Relationship Id="rId2" Type="http://schemas.openxmlformats.org/officeDocument/2006/relationships/hyperlink" Target="https://www150.statcan.gc.ca/t1/tbl1/en/cv.action?pid=1410029601" TargetMode="External"/><Relationship Id="rId16" Type="http://schemas.openxmlformats.org/officeDocument/2006/relationships/hyperlink" Target="https://business.financialpost.com/news/economy/carr-says-someone-is-using-fake-canadian-certificates-to-smuggle-meat-into-china" TargetMode="External"/><Relationship Id="rId20" Type="http://schemas.openxmlformats.org/officeDocument/2006/relationships/hyperlink" Target="https://www150.statcan.gc.ca/t1/tbl1/en/tv.action?pid=2010000801" TargetMode="External"/><Relationship Id="rId1" Type="http://schemas.openxmlformats.org/officeDocument/2006/relationships/hyperlink" Target="https://www150.statcan.gc.ca/t1/tbl1/en/cv.action?pid=1410028801" TargetMode="External"/><Relationship Id="rId6" Type="http://schemas.openxmlformats.org/officeDocument/2006/relationships/hyperlink" Target="https://economicdashboard.alberta.ca/OilProduction" TargetMode="External"/><Relationship Id="rId11" Type="http://schemas.openxmlformats.org/officeDocument/2006/relationships/hyperlink" Target="https://business.financialpost.com/commodities/energy/first-nation-environmental-groups-seek-leave-to-appeal-trans-mountain-pipeline-ruling-to-supreme-court" TargetMode="External"/><Relationship Id="rId24" Type="http://schemas.openxmlformats.org/officeDocument/2006/relationships/hyperlink" Target="https://www.wetaskiwintimes.com/news/local-news/points-west-living-celebrates-grand-opening" TargetMode="External"/><Relationship Id="rId5" Type="http://schemas.openxmlformats.org/officeDocument/2006/relationships/hyperlink" Target="https://www150.statcan.gc.ca/t1/tbl1/en/cv.action?pid=1410005601" TargetMode="External"/><Relationship Id="rId15" Type="http://schemas.openxmlformats.org/officeDocument/2006/relationships/hyperlink" Target="https://www.canolacouncil.org/news/canola-council-of-canada-statement-on-trade-with-china/" TargetMode="External"/><Relationship Id="rId23" Type="http://schemas.openxmlformats.org/officeDocument/2006/relationships/hyperlink" Target="https://medicinehatnews.com/news/local-news/2019/10/26/pair-of-wind-farms-clear-regulatory-governmental-hurdles/" TargetMode="External"/><Relationship Id="rId28" Type="http://schemas.openxmlformats.org/officeDocument/2006/relationships/hyperlink" Target="https://edmontonjournal.com/business/commercial-real-estate/parker-the-dorian-breaks-ground-on-5th-avenue/wcm/fed530e0-d4e3-4b12-832c-66329af5f9aa" TargetMode="External"/><Relationship Id="rId10" Type="http://schemas.openxmlformats.org/officeDocument/2006/relationships/hyperlink" Target="https://www.cbc.ca/news/canada/edmonton/crude-rail-alberta-oil-curtailment-1.5342420" TargetMode="External"/><Relationship Id="rId19" Type="http://schemas.openxmlformats.org/officeDocument/2006/relationships/hyperlink" Target="https://www.reuters.com/article/us-inter-us-m-a-ck-infra/billionaire-li-ka-shing-offered-c12-4-billion-for-canadas-inter-pipeline-globe-and-mail-idUSKCN1VR1BC" TargetMode="External"/><Relationship Id="rId4" Type="http://schemas.openxmlformats.org/officeDocument/2006/relationships/hyperlink" Target="https://www150.statcan.gc.ca/t1/tbl1/en/cv.action?pid=1410001101" TargetMode="External"/><Relationship Id="rId9" Type="http://schemas.openxmlformats.org/officeDocument/2006/relationships/hyperlink" Target="https://www.reuters.com/article/us-oil-opec-outlook/opec-sees-its-oil-market-share-shrinking-lowers-demand-view-idUSKBN1XF105" TargetMode="External"/><Relationship Id="rId14" Type="http://schemas.openxmlformats.org/officeDocument/2006/relationships/hyperlink" Target="https://www150.statcan.gc.ca/t1/tbl1/en/tv.action?pid=3410006601" TargetMode="External"/><Relationship Id="rId22" Type="http://schemas.openxmlformats.org/officeDocument/2006/relationships/hyperlink" Target="https://www.jwnenergy.com/article/2019/12/suncor-going-ahead-300mm-new-alberta-wind-farm/" TargetMode="External"/><Relationship Id="rId27" Type="http://schemas.openxmlformats.org/officeDocument/2006/relationships/hyperlink" Target="https://www.alberta.ca/budget-highlight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hrdc-drhc.net\sites\bc\bc_users-utilisateurs1\rhq-br\michael.sawyer\_2019\LMB\12_Dec\2A71-DAS-AB_LMB_NOV_EN--NHQ-20191206-VF%20-RK.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strRef>
          <c:f>'Emp_Rate (monthly)'!$B$2:$AA$2</c:f>
          <c:strCache>
            <c:ptCount val="26"/>
            <c:pt idx="0">
              <c:v>Alberta Monthly Employment and Unemployment Rate</c:v>
            </c:pt>
          </c:strCache>
        </c:strRef>
      </c:tx>
      <c:txPr>
        <a:bodyPr/>
        <a:lstStyle/>
        <a:p>
          <a:pPr algn="ctr" rtl="0">
            <a:defRPr sz="1000"/>
          </a:pPr>
          <a:endParaRPr lang="en-US"/>
        </a:p>
      </c:txPr>
    </c:title>
    <c:plotArea>
      <c:layout>
        <c:manualLayout>
          <c:layoutTarget val="inner"/>
          <c:xMode val="edge"/>
          <c:yMode val="edge"/>
          <c:x val="0.16773587512087304"/>
          <c:y val="0.11965762613006704"/>
          <c:w val="0.69999502693742255"/>
          <c:h val="0.59619801691455254"/>
        </c:manualLayout>
      </c:layout>
      <c:barChart>
        <c:barDir val="col"/>
        <c:grouping val="clustered"/>
        <c:ser>
          <c:idx val="1"/>
          <c:order val="1"/>
          <c:tx>
            <c:strRef>
              <c:f>'Emp_Rate (monthly)'!$B$5</c:f>
              <c:strCache>
                <c:ptCount val="1"/>
                <c:pt idx="0">
                  <c:v>Employment ('000)</c:v>
                </c:pt>
              </c:strCache>
            </c:strRef>
          </c:tx>
          <c:cat>
            <c:strRef>
              <c:f>'Emp_Rate (monthly)'!$C$3:$AA$3</c:f>
              <c:strCache>
                <c:ptCount val="25"/>
                <c:pt idx="0">
                  <c:v>Nov-2017</c:v>
                </c:pt>
                <c:pt idx="1">
                  <c:v>Dec-2017</c:v>
                </c:pt>
                <c:pt idx="2">
                  <c:v>Jan-2018</c:v>
                </c:pt>
                <c:pt idx="3">
                  <c:v>Feb-2018</c:v>
                </c:pt>
                <c:pt idx="4">
                  <c:v>Mar-2018</c:v>
                </c:pt>
                <c:pt idx="5">
                  <c:v>Apr-2018</c:v>
                </c:pt>
                <c:pt idx="6">
                  <c:v>May-2018</c:v>
                </c:pt>
                <c:pt idx="7">
                  <c:v>Jun-2018</c:v>
                </c:pt>
                <c:pt idx="8">
                  <c:v>Jul-2018</c:v>
                </c:pt>
                <c:pt idx="9">
                  <c:v>Aug-2018</c:v>
                </c:pt>
                <c:pt idx="10">
                  <c:v>Sep-2018</c:v>
                </c:pt>
                <c:pt idx="11">
                  <c:v>Oct-2018</c:v>
                </c:pt>
                <c:pt idx="12">
                  <c:v>Nov-2018</c:v>
                </c:pt>
                <c:pt idx="13">
                  <c:v>Dec-2018</c:v>
                </c:pt>
                <c:pt idx="14">
                  <c:v>Jan-2019</c:v>
                </c:pt>
                <c:pt idx="15">
                  <c:v>Feb-2019</c:v>
                </c:pt>
                <c:pt idx="16">
                  <c:v>Mar-2019</c:v>
                </c:pt>
                <c:pt idx="17">
                  <c:v>Apr-2019</c:v>
                </c:pt>
                <c:pt idx="18">
                  <c:v>May-2019</c:v>
                </c:pt>
                <c:pt idx="19">
                  <c:v>Jun-2019</c:v>
                </c:pt>
                <c:pt idx="20">
                  <c:v>Jul-2019</c:v>
                </c:pt>
                <c:pt idx="21">
                  <c:v>Aug-2019</c:v>
                </c:pt>
                <c:pt idx="22">
                  <c:v>Sep-2019</c:v>
                </c:pt>
                <c:pt idx="23">
                  <c:v>Oct-2019</c:v>
                </c:pt>
                <c:pt idx="24">
                  <c:v>Nov-2019</c:v>
                </c:pt>
              </c:strCache>
            </c:strRef>
          </c:cat>
          <c:val>
            <c:numRef>
              <c:f>'Emp_Rate (monthly)'!$C$5:$AA$5</c:f>
              <c:numCache>
                <c:formatCode>0.0</c:formatCode>
                <c:ptCount val="25"/>
                <c:pt idx="0">
                  <c:v>2294.6999999999998</c:v>
                </c:pt>
                <c:pt idx="1">
                  <c:v>2320.6</c:v>
                </c:pt>
                <c:pt idx="2">
                  <c:v>2315.6999999999998</c:v>
                </c:pt>
                <c:pt idx="3">
                  <c:v>2316.5</c:v>
                </c:pt>
                <c:pt idx="4">
                  <c:v>2323.8000000000002</c:v>
                </c:pt>
                <c:pt idx="5">
                  <c:v>2323.1999999999998</c:v>
                </c:pt>
                <c:pt idx="6">
                  <c:v>2327.5</c:v>
                </c:pt>
                <c:pt idx="7">
                  <c:v>2328.5</c:v>
                </c:pt>
                <c:pt idx="8">
                  <c:v>2324.5</c:v>
                </c:pt>
                <c:pt idx="9">
                  <c:v>2340.1999999999998</c:v>
                </c:pt>
                <c:pt idx="10">
                  <c:v>2338.5</c:v>
                </c:pt>
                <c:pt idx="11">
                  <c:v>2336.9</c:v>
                </c:pt>
                <c:pt idx="12">
                  <c:v>2356.9</c:v>
                </c:pt>
                <c:pt idx="13">
                  <c:v>2341.9</c:v>
                </c:pt>
                <c:pt idx="14">
                  <c:v>2326.4</c:v>
                </c:pt>
                <c:pt idx="15">
                  <c:v>2330.1999999999998</c:v>
                </c:pt>
                <c:pt idx="16">
                  <c:v>2328.4</c:v>
                </c:pt>
                <c:pt idx="17">
                  <c:v>2349.8000000000002</c:v>
                </c:pt>
                <c:pt idx="18">
                  <c:v>2347.6</c:v>
                </c:pt>
                <c:pt idx="19">
                  <c:v>2358</c:v>
                </c:pt>
                <c:pt idx="20">
                  <c:v>2343.6999999999998</c:v>
                </c:pt>
                <c:pt idx="21">
                  <c:v>2344.3000000000002</c:v>
                </c:pt>
                <c:pt idx="22">
                  <c:v>2349.1999999999998</c:v>
                </c:pt>
                <c:pt idx="23">
                  <c:v>2356.9</c:v>
                </c:pt>
                <c:pt idx="24">
                  <c:v>2338.6999999999998</c:v>
                </c:pt>
              </c:numCache>
            </c:numRef>
          </c:val>
          <c:extLst xmlns:c16r2="http://schemas.microsoft.com/office/drawing/2015/06/chart">
            <c:ext xmlns:c16="http://schemas.microsoft.com/office/drawing/2014/chart" uri="{C3380CC4-5D6E-409C-BE32-E72D297353CC}">
              <c16:uniqueId val="{00000000-C91C-48B3-8FE5-2C59FCAE70DB}"/>
            </c:ext>
          </c:extLst>
        </c:ser>
        <c:axId val="89555712"/>
        <c:axId val="93282304"/>
      </c:barChart>
      <c:lineChart>
        <c:grouping val="standard"/>
        <c:ser>
          <c:idx val="0"/>
          <c:order val="0"/>
          <c:tx>
            <c:strRef>
              <c:f>'Emp_Rate (monthly)'!$B$4</c:f>
              <c:strCache>
                <c:ptCount val="1"/>
                <c:pt idx="0">
                  <c:v>Unemployment Rate (%)</c:v>
                </c:pt>
              </c:strCache>
            </c:strRef>
          </c:tx>
          <c:spPr>
            <a:ln w="28575" cap="rnd" cmpd="sng" algn="ctr">
              <a:solidFill>
                <a:srgbClr val="1F497D"/>
              </a:solidFill>
              <a:prstDash val="solid"/>
              <a:round/>
              <a:headEnd type="none" w="med" len="med"/>
              <a:tailEnd type="none" w="med" len="med"/>
            </a:ln>
          </c:spPr>
          <c:marker>
            <c:symbol val="none"/>
          </c:marker>
          <c:cat>
            <c:strRef>
              <c:f>'Emp_Rate (monthly)'!$C$3:$AA$3</c:f>
              <c:strCache>
                <c:ptCount val="25"/>
                <c:pt idx="0">
                  <c:v>Nov-2017</c:v>
                </c:pt>
                <c:pt idx="1">
                  <c:v>Dec-2017</c:v>
                </c:pt>
                <c:pt idx="2">
                  <c:v>Jan-2018</c:v>
                </c:pt>
                <c:pt idx="3">
                  <c:v>Feb-2018</c:v>
                </c:pt>
                <c:pt idx="4">
                  <c:v>Mar-2018</c:v>
                </c:pt>
                <c:pt idx="5">
                  <c:v>Apr-2018</c:v>
                </c:pt>
                <c:pt idx="6">
                  <c:v>May-2018</c:v>
                </c:pt>
                <c:pt idx="7">
                  <c:v>Jun-2018</c:v>
                </c:pt>
                <c:pt idx="8">
                  <c:v>Jul-2018</c:v>
                </c:pt>
                <c:pt idx="9">
                  <c:v>Aug-2018</c:v>
                </c:pt>
                <c:pt idx="10">
                  <c:v>Sep-2018</c:v>
                </c:pt>
                <c:pt idx="11">
                  <c:v>Oct-2018</c:v>
                </c:pt>
                <c:pt idx="12">
                  <c:v>Nov-2018</c:v>
                </c:pt>
                <c:pt idx="13">
                  <c:v>Dec-2018</c:v>
                </c:pt>
                <c:pt idx="14">
                  <c:v>Jan-2019</c:v>
                </c:pt>
                <c:pt idx="15">
                  <c:v>Feb-2019</c:v>
                </c:pt>
                <c:pt idx="16">
                  <c:v>Mar-2019</c:v>
                </c:pt>
                <c:pt idx="17">
                  <c:v>Apr-2019</c:v>
                </c:pt>
                <c:pt idx="18">
                  <c:v>May-2019</c:v>
                </c:pt>
                <c:pt idx="19">
                  <c:v>Jun-2019</c:v>
                </c:pt>
                <c:pt idx="20">
                  <c:v>Jul-2019</c:v>
                </c:pt>
                <c:pt idx="21">
                  <c:v>Aug-2019</c:v>
                </c:pt>
                <c:pt idx="22">
                  <c:v>Sep-2019</c:v>
                </c:pt>
                <c:pt idx="23">
                  <c:v>Oct-2019</c:v>
                </c:pt>
                <c:pt idx="24">
                  <c:v>Nov-2019</c:v>
                </c:pt>
              </c:strCache>
            </c:strRef>
          </c:cat>
          <c:val>
            <c:numRef>
              <c:f>'Emp_Rate (monthly)'!$C$4:$AA$4</c:f>
              <c:numCache>
                <c:formatCode>#,##0.0</c:formatCode>
                <c:ptCount val="25"/>
                <c:pt idx="0">
                  <c:v>7.4</c:v>
                </c:pt>
                <c:pt idx="1">
                  <c:v>7</c:v>
                </c:pt>
                <c:pt idx="2">
                  <c:v>7</c:v>
                </c:pt>
                <c:pt idx="3">
                  <c:v>6.6</c:v>
                </c:pt>
                <c:pt idx="4">
                  <c:v>6.4</c:v>
                </c:pt>
                <c:pt idx="5">
                  <c:v>6.7</c:v>
                </c:pt>
                <c:pt idx="6">
                  <c:v>6.3</c:v>
                </c:pt>
                <c:pt idx="7">
                  <c:v>6.6</c:v>
                </c:pt>
                <c:pt idx="8">
                  <c:v>6.7</c:v>
                </c:pt>
                <c:pt idx="9">
                  <c:v>6.7</c:v>
                </c:pt>
                <c:pt idx="10">
                  <c:v>7</c:v>
                </c:pt>
                <c:pt idx="11">
                  <c:v>7.2</c:v>
                </c:pt>
                <c:pt idx="12">
                  <c:v>6.2</c:v>
                </c:pt>
                <c:pt idx="13">
                  <c:v>6.4</c:v>
                </c:pt>
                <c:pt idx="14">
                  <c:v>6.8</c:v>
                </c:pt>
                <c:pt idx="15">
                  <c:v>7.3</c:v>
                </c:pt>
                <c:pt idx="16">
                  <c:v>6.9</c:v>
                </c:pt>
                <c:pt idx="17">
                  <c:v>6.7</c:v>
                </c:pt>
                <c:pt idx="18">
                  <c:v>6.7</c:v>
                </c:pt>
                <c:pt idx="19">
                  <c:v>6.6</c:v>
                </c:pt>
                <c:pt idx="20">
                  <c:v>7</c:v>
                </c:pt>
                <c:pt idx="21">
                  <c:v>7.2</c:v>
                </c:pt>
                <c:pt idx="22">
                  <c:v>6.6</c:v>
                </c:pt>
                <c:pt idx="23">
                  <c:v>6.7</c:v>
                </c:pt>
                <c:pt idx="24">
                  <c:v>7.2</c:v>
                </c:pt>
              </c:numCache>
            </c:numRef>
          </c:val>
          <c:extLst xmlns:c16r2="http://schemas.microsoft.com/office/drawing/2015/06/chart">
            <c:ext xmlns:c16="http://schemas.microsoft.com/office/drawing/2014/chart" uri="{C3380CC4-5D6E-409C-BE32-E72D297353CC}">
              <c16:uniqueId val="{00000001-C91C-48B3-8FE5-2C59FCAE70DB}"/>
            </c:ext>
          </c:extLst>
        </c:ser>
        <c:marker val="1"/>
        <c:axId val="93323648"/>
        <c:axId val="93284608"/>
      </c:lineChart>
      <c:catAx>
        <c:axId val="89555712"/>
        <c:scaling>
          <c:orientation val="minMax"/>
        </c:scaling>
        <c:axPos val="b"/>
        <c:title>
          <c:tx>
            <c:rich>
              <a:bodyPr/>
              <a:lstStyle/>
              <a:p>
                <a:pPr algn="l">
                  <a:defRPr sz="800" b="0"/>
                </a:pPr>
                <a:r>
                  <a:rPr lang="en-CA" sz="800" b="0"/>
                  <a:t>Seasonally</a:t>
                </a:r>
                <a:r>
                  <a:rPr lang="en-CA" sz="800" b="0" baseline="0"/>
                  <a:t> adjusted data</a:t>
                </a:r>
                <a:endParaRPr lang="en-CA" sz="800" b="0"/>
              </a:p>
              <a:p>
                <a:pPr algn="l">
                  <a:defRPr sz="800" b="0"/>
                </a:pPr>
                <a:r>
                  <a:rPr lang="en-CA" sz="800" b="0"/>
                  <a:t>Source: Statistics Canada Labour Force Survey Table 14-10-0287-01</a:t>
                </a:r>
              </a:p>
            </c:rich>
          </c:tx>
          <c:layout>
            <c:manualLayout>
              <c:xMode val="edge"/>
              <c:yMode val="edge"/>
              <c:x val="1.2863213150987707E-2"/>
              <c:y val="0.90863954505686761"/>
            </c:manualLayout>
          </c:layout>
        </c:title>
        <c:numFmt formatCode="General" sourceLinked="1"/>
        <c:tickLblPos val="nextTo"/>
        <c:crossAx val="93282304"/>
        <c:crosses val="autoZero"/>
        <c:auto val="1"/>
        <c:lblAlgn val="ctr"/>
        <c:lblOffset val="100"/>
        <c:tickLblSkip val="12"/>
        <c:noMultiLvlLbl val="1"/>
      </c:catAx>
      <c:valAx>
        <c:axId val="93282304"/>
        <c:scaling>
          <c:orientation val="minMax"/>
        </c:scaling>
        <c:axPos val="l"/>
        <c:majorGridlines/>
        <c:title>
          <c:tx>
            <c:rich>
              <a:bodyPr rot="-5400000" vert="horz"/>
              <a:lstStyle/>
              <a:p>
                <a:pPr>
                  <a:defRPr/>
                </a:pPr>
                <a:r>
                  <a:rPr lang="en-US"/>
                  <a:t>Employment ('000)</a:t>
                </a:r>
              </a:p>
            </c:rich>
          </c:tx>
        </c:title>
        <c:numFmt formatCode="#,##0" sourceLinked="0"/>
        <c:tickLblPos val="nextTo"/>
        <c:crossAx val="89555712"/>
        <c:crosses val="autoZero"/>
        <c:crossBetween val="between"/>
      </c:valAx>
      <c:valAx>
        <c:axId val="93284608"/>
        <c:scaling>
          <c:orientation val="minMax"/>
          <c:min val="0"/>
        </c:scaling>
        <c:axPos val="r"/>
        <c:title>
          <c:tx>
            <c:rich>
              <a:bodyPr rot="-5400000" vert="horz"/>
              <a:lstStyle/>
              <a:p>
                <a:pPr>
                  <a:defRPr/>
                </a:pPr>
                <a:r>
                  <a:rPr lang="en-US"/>
                  <a:t>Unemployment Rate (%)</a:t>
                </a:r>
              </a:p>
            </c:rich>
          </c:tx>
        </c:title>
        <c:numFmt formatCode="#,##0" sourceLinked="0"/>
        <c:tickLblPos val="nextTo"/>
        <c:crossAx val="93323648"/>
        <c:crosses val="max"/>
        <c:crossBetween val="between"/>
      </c:valAx>
      <c:catAx>
        <c:axId val="93323648"/>
        <c:scaling>
          <c:orientation val="minMax"/>
        </c:scaling>
        <c:delete val="1"/>
        <c:axPos val="b"/>
        <c:numFmt formatCode="General" sourceLinked="1"/>
        <c:tickLblPos val="nextTo"/>
        <c:crossAx val="93284608"/>
        <c:crosses val="autoZero"/>
        <c:auto val="1"/>
        <c:lblAlgn val="ctr"/>
        <c:lblOffset val="100"/>
        <c:noMultiLvlLbl val="1"/>
      </c:catAx>
    </c:plotArea>
    <c:legend>
      <c:legendPos val="b"/>
      <c:layout>
        <c:manualLayout>
          <c:xMode val="edge"/>
          <c:yMode val="edge"/>
          <c:x val="0.17737698577151539"/>
          <c:y val="0.82345435987168258"/>
          <c:w val="0.63963177234424673"/>
          <c:h val="5.8027121609798796E-2"/>
        </c:manualLayout>
      </c:layout>
      <c:spPr>
        <a:ln w="9525" cap="flat" cmpd="sng" algn="ctr">
          <a:solidFill>
            <a:sysClr val="window" lastClr="FFFFFF">
              <a:lumMod val="75000"/>
            </a:sysClr>
          </a:solidFill>
          <a:prstDash val="solid"/>
          <a:round/>
          <a:headEnd type="none" w="med" len="med"/>
          <a:tailEnd type="none" w="med" len="med"/>
        </a:ln>
      </c:spPr>
      <c:txPr>
        <a:bodyPr/>
        <a:lstStyle/>
        <a:p>
          <a:pPr>
            <a:defRPr sz="80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FC6C64FFDA840BA02D36502D524C1" ma:contentTypeVersion="2" ma:contentTypeDescription="Create a new document." ma:contentTypeScope="" ma:versionID="6bfe7477fd1b58405d3eef7dd1cbed55">
  <xsd:schema xmlns:xsd="http://www.w3.org/2001/XMLSchema" xmlns:xs="http://www.w3.org/2001/XMLSchema" xmlns:p="http://schemas.microsoft.com/office/2006/metadata/properties" xmlns:ns2="8a8e2ccc-6ae9-49f6-b9e9-da80b885ff3d" targetNamespace="http://schemas.microsoft.com/office/2006/metadata/properties" ma:root="true" ma:fieldsID="7501a2e42a333ef4d99f13e67ef34eae" ns2:_="">
    <xsd:import namespace="8a8e2ccc-6ae9-49f6-b9e9-da80b885ff3d"/>
    <xsd:element name="properties">
      <xsd:complexType>
        <xsd:sequence>
          <xsd:element name="documentManagement">
            <xsd:complexType>
              <xsd:all>
                <xsd:element ref="ns2:Industry" minOccurs="0"/>
                <xsd:element ref="ns2:Terri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e2ccc-6ae9-49f6-b9e9-da80b885ff3d" elementFormDefault="qualified">
    <xsd:import namespace="http://schemas.microsoft.com/office/2006/documentManagement/types"/>
    <xsd:import namespace="http://schemas.microsoft.com/office/infopath/2007/PartnerControls"/>
    <xsd:element name="Industry" ma:index="8" nillable="true" ma:displayName="Industry" ma:default="Not Applicable" ma:format="Dropdown" ma:internalName="Industry">
      <xsd:simpleType>
        <xsd:restriction base="dms:Choice">
          <xsd:enumeration value="11 - Agriculture, Forestry, Fishing and Hunting / Agriculture, foresterie, pêche et chasse"/>
          <xsd:enumeration value="21 - Mining, quarrying, and oil and gas extraction / Extraction minière, exploitation en carrière, et extraction de pétrole et de gaz"/>
          <xsd:enumeration value="22 - Utilities / 22 - Services publics"/>
          <xsd:enumeration value="23 - Construction / Construction"/>
          <xsd:enumeration value="31-33 - Manufacturing / Fabrication"/>
          <xsd:enumeration value="41 - Wholesale trade / Commerce de gros"/>
          <xsd:enumeration value="44-45 - Retail trade / Commerce de détail"/>
          <xsd:enumeration value="48-49 - Transportation and warehousing / Transport et entreposage"/>
          <xsd:enumeration value="51 - Information and cultural industries / Industrie de l'information et industrie culturelle"/>
          <xsd:enumeration value="52 - Finance and insurance / Finance et assurances"/>
          <xsd:enumeration value="53 - Real estate and rental and leasing / Services immobiliers et services de location et de location à bail"/>
          <xsd:enumeration value="54 - Professional, scientific and technical services / Services professionnels, scientifiques et techniques"/>
          <xsd:enumeration value="55 - Management of companies and enterprises / Gestion de sociétés et d'entreprises"/>
          <xsd:enumeration value="56 - Administrative and support, waste management and remediation services / Services administratifs, services de soutien, services de gestion des déchets et services d'assainissement"/>
          <xsd:enumeration value="61 - Educational services / Services d'enseignement"/>
          <xsd:enumeration value="62 - Health care and social assistance / Soins de santé et assistance sociale"/>
          <xsd:enumeration value="71 - Arts, entertainment and recreation / Arts, spectacles et loisirs"/>
          <xsd:enumeration value="72 - Accommodation and food services / Hébergement et services de restauration"/>
          <xsd:enumeration value="81 - Other services (except public administration) / Autres services, sauf les administrations publiques"/>
          <xsd:enumeration value="91 - Public administration / Administrations publiques"/>
          <xsd:enumeration value="Not Applicable"/>
          <xsd:enumeration value="Various / Divers"/>
        </xsd:restriction>
      </xsd:simpleType>
    </xsd:element>
    <xsd:element name="Territory" ma:index="9" nillable="true" ma:displayName="Territory" ma:default="Not Applicable" ma:format="Dropdown" ma:internalName="Territory">
      <xsd:simpleType>
        <xsd:restriction base="dms:Choice">
          <xsd:enumeration value="ER 6010 Yukon Territory / RÉ 6010 Territoire du Yukon"/>
          <xsd:enumeration value="ER 6110 Northwest Territories / RÉ 6110 Territoires du Nord-Ouest"/>
          <xsd:enumeration value="ER 6210 Nunavut / RÉ 6210 Nunavut"/>
          <xsd:enumeration value="Not Applicable"/>
          <xsd:enumeration value="Vario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dustry xmlns="8a8e2ccc-6ae9-49f6-b9e9-da80b885ff3d">Not Applicable</Industry>
    <Territory xmlns="8a8e2ccc-6ae9-49f6-b9e9-da80b885ff3d">Not Applicable</Territ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74DCBF0-079B-487C-8C92-B6ED440FF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e2ccc-6ae9-49f6-b9e9-da80b885f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0A175-F179-4813-B6F9-0935E6A4A75C}">
  <ds:schemaRefs>
    <ds:schemaRef ds:uri="http://schemas.microsoft.com/office/2006/metadata/properties"/>
    <ds:schemaRef ds:uri="http://schemas.microsoft.com/office/infopath/2007/PartnerControls"/>
    <ds:schemaRef ds:uri="8a8e2ccc-6ae9-49f6-b9e9-da80b885ff3d"/>
  </ds:schemaRefs>
</ds:datastoreItem>
</file>

<file path=customXml/itemProps3.xml><?xml version="1.0" encoding="utf-8"?>
<ds:datastoreItem xmlns:ds="http://schemas.openxmlformats.org/officeDocument/2006/customXml" ds:itemID="{1D19DA78-58A3-48D8-8767-4698F812D88D}">
  <ds:schemaRefs>
    <ds:schemaRef ds:uri="http://schemas.microsoft.com/sharepoint/v3/contenttype/forms"/>
  </ds:schemaRefs>
</ds:datastoreItem>
</file>

<file path=customXml/itemProps4.xml><?xml version="1.0" encoding="utf-8"?>
<ds:datastoreItem xmlns:ds="http://schemas.openxmlformats.org/officeDocument/2006/customXml" ds:itemID="{A8175DB5-5D82-4822-9A71-BDDC413A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3437</Words>
  <Characters>19597</Characters>
  <Application>Microsoft Office Word</Application>
  <DocSecurity>2</DocSecurity>
  <Lines>163</Lines>
  <Paragraphs>45</Paragraphs>
  <ScaleCrop>false</ScaleCrop>
  <HeadingPairs>
    <vt:vector size="2" baseType="variant">
      <vt:variant>
        <vt:lpstr>Title</vt:lpstr>
      </vt:variant>
      <vt:variant>
        <vt:i4>1</vt:i4>
      </vt:variant>
    </vt:vector>
  </HeadingPairs>
  <TitlesOfParts>
    <vt:vector size="1" baseType="lpstr">
      <vt:lpstr>FEATURE ARTICLE</vt:lpstr>
    </vt:vector>
  </TitlesOfParts>
  <Company>GoC / GdC</Company>
  <LinksUpToDate>false</LinksUpToDate>
  <CharactersWithSpaces>22989</CharactersWithSpaces>
  <SharedDoc>false</SharedDoc>
  <HLinks>
    <vt:vector size="54" baseType="variant">
      <vt:variant>
        <vt:i4>6291464</vt:i4>
      </vt:variant>
      <vt:variant>
        <vt:i4>3</vt:i4>
      </vt:variant>
      <vt:variant>
        <vt:i4>0</vt:i4>
      </vt:variant>
      <vt:variant>
        <vt:i4>5</vt:i4>
      </vt:variant>
      <vt:variant>
        <vt:lpwstr>mailto:NC-LMI-IMT-GD@hrsdc-rhdcc.gc.ca</vt:lpwstr>
      </vt:variant>
      <vt:variant>
        <vt:lpwstr/>
      </vt:variant>
      <vt:variant>
        <vt:i4>2621566</vt:i4>
      </vt:variant>
      <vt:variant>
        <vt:i4>21</vt:i4>
      </vt:variant>
      <vt:variant>
        <vt:i4>0</vt:i4>
      </vt:variant>
      <vt:variant>
        <vt:i4>5</vt:i4>
      </vt:variant>
      <vt:variant>
        <vt:lpwstr>https://secure.cihi.ca/free_products/img_1972-2007_aib_e.pdf</vt:lpwstr>
      </vt:variant>
      <vt:variant>
        <vt:lpwstr/>
      </vt:variant>
      <vt:variant>
        <vt:i4>2621545</vt:i4>
      </vt:variant>
      <vt:variant>
        <vt:i4>18</vt:i4>
      </vt:variant>
      <vt:variant>
        <vt:i4>0</vt:i4>
      </vt:variant>
      <vt:variant>
        <vt:i4>5</vt:i4>
      </vt:variant>
      <vt:variant>
        <vt:lpwstr>http://www.casn.ca/wp-content/uploads/2015/11/2013-2014-SFS-draft-report-FINAL-public-copy.pdf</vt:lpwstr>
      </vt:variant>
      <vt:variant>
        <vt:lpwstr/>
      </vt:variant>
      <vt:variant>
        <vt:i4>2621566</vt:i4>
      </vt:variant>
      <vt:variant>
        <vt:i4>15</vt:i4>
      </vt:variant>
      <vt:variant>
        <vt:i4>0</vt:i4>
      </vt:variant>
      <vt:variant>
        <vt:i4>5</vt:i4>
      </vt:variant>
      <vt:variant>
        <vt:lpwstr>https://secure.cihi.ca/free_products/img_1972-2007_aib_e.pdf</vt:lpwstr>
      </vt:variant>
      <vt:variant>
        <vt:lpwstr/>
      </vt:variant>
      <vt:variant>
        <vt:i4>7602282</vt:i4>
      </vt:variant>
      <vt:variant>
        <vt:i4>12</vt:i4>
      </vt:variant>
      <vt:variant>
        <vt:i4>0</vt:i4>
      </vt:variant>
      <vt:variant>
        <vt:i4>5</vt:i4>
      </vt:variant>
      <vt:variant>
        <vt:lpwstr>http://www.statcan.gc.ca/pub/82-625-x/2014001/article/14013-eng.htm</vt:lpwstr>
      </vt:variant>
      <vt:variant>
        <vt:lpwstr/>
      </vt:variant>
      <vt:variant>
        <vt:i4>7536714</vt:i4>
      </vt:variant>
      <vt:variant>
        <vt:i4>9</vt:i4>
      </vt:variant>
      <vt:variant>
        <vt:i4>0</vt:i4>
      </vt:variant>
      <vt:variant>
        <vt:i4>5</vt:i4>
      </vt:variant>
      <vt:variant>
        <vt:lpwstr>https://secure.cihi.ca/free_products/HCIC_2011_seniors_report_en.pdf</vt:lpwstr>
      </vt:variant>
      <vt:variant>
        <vt:lpwstr/>
      </vt:variant>
      <vt:variant>
        <vt:i4>393306</vt:i4>
      </vt:variant>
      <vt:variant>
        <vt:i4>6</vt:i4>
      </vt:variant>
      <vt:variant>
        <vt:i4>0</vt:i4>
      </vt:variant>
      <vt:variant>
        <vt:i4>5</vt:i4>
      </vt:variant>
      <vt:variant>
        <vt:lpwstr>http://www5.statcan.gc.ca/cansim/a26?lang=eng&amp;retrLang=eng&amp;id=0520005&amp;paSer=&amp;pattern=&amp;stByVal=1&amp;p1=1&amp;p2=37&amp;tabMode=dataTable&amp;csid</vt:lpwstr>
      </vt:variant>
      <vt:variant>
        <vt:lpwstr/>
      </vt:variant>
      <vt:variant>
        <vt:i4>458857</vt:i4>
      </vt:variant>
      <vt:variant>
        <vt:i4>3</vt:i4>
      </vt:variant>
      <vt:variant>
        <vt:i4>0</vt:i4>
      </vt:variant>
      <vt:variant>
        <vt:i4>5</vt:i4>
      </vt:variant>
      <vt:variant>
        <vt:lpwstr>https://www.cihi.ca/sites/default/files/document/nhex_trends_narrative_report_2015_en.pdf</vt:lpwstr>
      </vt:variant>
      <vt:variant>
        <vt:lpwstr/>
      </vt:variant>
      <vt:variant>
        <vt:i4>5636178</vt:i4>
      </vt:variant>
      <vt:variant>
        <vt:i4>0</vt:i4>
      </vt:variant>
      <vt:variant>
        <vt:i4>0</vt:i4>
      </vt:variant>
      <vt:variant>
        <vt:i4>5</vt:i4>
      </vt:variant>
      <vt:variant>
        <vt:lpwstr>http://www5.statcan.gc.ca/cansim/a26?lang=eng&amp;id=2820008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ARTICLE</dc:title>
  <dc:creator>Pascale Lapierre</dc:creator>
  <cp:lastModifiedBy>USER</cp:lastModifiedBy>
  <cp:revision>4</cp:revision>
  <cp:lastPrinted>2019-08-09T20:52:00Z</cp:lastPrinted>
  <dcterms:created xsi:type="dcterms:W3CDTF">2019-12-10T02:39:00Z</dcterms:created>
  <dcterms:modified xsi:type="dcterms:W3CDTF">2019-12-10T07:10:00Z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
  </property>
  <property fmtid="{D5CDD505-2E9C-101B-9397-08002B2CF9AE}" pid="3" name="ContentType">
    <vt:lpwstr>Document</vt:lpwstr>
  </property>
  <property fmtid="{D5CDD505-2E9C-101B-9397-08002B2CF9AE}" pid="4" name="ContentTypeId">
    <vt:lpwstr>0x0101005E8FC6C64FFDA840BA02D36502D524C1</vt:lpwstr>
  </property>
</Properties>
</file>