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CFCA5" w14:textId="0F6436C3" w:rsidR="00EB26F8" w:rsidRPr="00EB26F8" w:rsidRDefault="00EB26F8" w:rsidP="0086777C">
      <w:pPr>
        <w:pStyle w:val="Title"/>
        <w:spacing w:after="180"/>
        <w:jc w:val="center"/>
      </w:pPr>
      <w:r w:rsidRPr="00EB26F8">
        <w:t>Introduction à la prospective stratégique</w:t>
      </w:r>
    </w:p>
    <w:p w14:paraId="30C22E67" w14:textId="314ADC2A" w:rsidR="002E709C" w:rsidRPr="00B4217E" w:rsidRDefault="002E709C" w:rsidP="0058132A">
      <w:pPr>
        <w:spacing w:after="0" w:line="240" w:lineRule="auto"/>
        <w:rPr>
          <w:i/>
        </w:rPr>
      </w:pPr>
      <w:r>
        <w:rPr>
          <w:i/>
        </w:rPr>
        <w:t>Équipe de l’Innovation en ressources humaines (IRH)</w:t>
      </w:r>
    </w:p>
    <w:p w14:paraId="247AE14A" w14:textId="51A495B4" w:rsidR="002E709C" w:rsidRPr="00B4217E" w:rsidRDefault="00CB1952" w:rsidP="0058132A">
      <w:pPr>
        <w:spacing w:after="0" w:line="240" w:lineRule="auto"/>
        <w:rPr>
          <w:i/>
        </w:rPr>
      </w:pPr>
      <w:r>
        <w:rPr>
          <w:i/>
        </w:rPr>
        <w:t>Direction générale des services de</w:t>
      </w:r>
      <w:r w:rsidR="002E709C">
        <w:rPr>
          <w:i/>
        </w:rPr>
        <w:t xml:space="preserve"> ressources humaines (DG</w:t>
      </w:r>
      <w:r w:rsidR="0082360A">
        <w:rPr>
          <w:i/>
        </w:rPr>
        <w:t>S</w:t>
      </w:r>
      <w:r w:rsidR="002E709C">
        <w:rPr>
          <w:i/>
        </w:rPr>
        <w:t>RH)</w:t>
      </w:r>
    </w:p>
    <w:p w14:paraId="3CC3375B" w14:textId="3D524E94" w:rsidR="00D90E4B" w:rsidRPr="00B4217E" w:rsidRDefault="002E709C" w:rsidP="0058132A">
      <w:pPr>
        <w:spacing w:after="0" w:line="240" w:lineRule="auto"/>
        <w:rPr>
          <w:i/>
        </w:rPr>
      </w:pPr>
      <w:r>
        <w:rPr>
          <w:i/>
        </w:rPr>
        <w:t>Août 2021</w:t>
      </w:r>
    </w:p>
    <w:p w14:paraId="6207B2E7" w14:textId="77777777" w:rsidR="0058132A" w:rsidRDefault="00A76CA7" w:rsidP="0058132A">
      <w:pPr>
        <w:pStyle w:val="Heading1"/>
      </w:pPr>
      <w:r>
        <w:t>En quoi la prospective consiste-t-elle?</w:t>
      </w:r>
    </w:p>
    <w:p w14:paraId="7DA90893" w14:textId="6B033A24" w:rsidR="0058132A" w:rsidRDefault="00BB2D2B" w:rsidP="0058132A">
      <w:pPr>
        <w:spacing w:after="0" w:line="240" w:lineRule="auto"/>
      </w:pPr>
      <w:r>
        <w:t xml:space="preserve">La prospective est une activité cruciale </w:t>
      </w:r>
      <w:r w:rsidR="00CB1952">
        <w:t xml:space="preserve">qui </w:t>
      </w:r>
      <w:r w:rsidR="008150D8">
        <w:t xml:space="preserve">vise à </w:t>
      </w:r>
      <w:r>
        <w:t>analyse</w:t>
      </w:r>
      <w:r w:rsidR="008150D8">
        <w:t>r</w:t>
      </w:r>
      <w:r>
        <w:t xml:space="preserve"> l’avenir. Les activités de prospective ont pour objectif d’examiner </w:t>
      </w:r>
      <w:r w:rsidR="00CB1952">
        <w:t>différents</w:t>
      </w:r>
      <w:r>
        <w:t xml:space="preserve"> </w:t>
      </w:r>
      <w:r w:rsidR="008150D8">
        <w:t>futurs</w:t>
      </w:r>
      <w:r>
        <w:t xml:space="preserve"> </w:t>
      </w:r>
      <w:r w:rsidR="00CB1952">
        <w:t>possibles</w:t>
      </w:r>
      <w:r>
        <w:t xml:space="preserve"> et de déterminer les défis et occasions qui pourraient se présenter</w:t>
      </w:r>
      <w:r w:rsidR="00B84B04">
        <w:rPr>
          <w:rStyle w:val="FootnoteReference"/>
        </w:rPr>
        <w:footnoteReference w:id="2"/>
      </w:r>
      <w:r>
        <w:t xml:space="preserve">. La prospective nous donne l’occasion de comprendre les différentes forces qui </w:t>
      </w:r>
      <w:r w:rsidR="00CB1952">
        <w:t>agissent sur</w:t>
      </w:r>
      <w:r>
        <w:t xml:space="preserve"> un système, l</w:t>
      </w:r>
      <w:r w:rsidR="008150D8">
        <w:t>a façon dont c</w:t>
      </w:r>
      <w:r w:rsidR="00071B5E">
        <w:t xml:space="preserve">e système pourrait évoluer </w:t>
      </w:r>
      <w:r>
        <w:t>et les situations imprévues qui pourraient surgir</w:t>
      </w:r>
      <w:r w:rsidR="008B24F4">
        <w:rPr>
          <w:rStyle w:val="FootnoteReference"/>
        </w:rPr>
        <w:footnoteReference w:id="3"/>
      </w:r>
      <w:r>
        <w:t xml:space="preserve">. Dans le contexte de la fonction publique, la prospective aide les gouvernements à s’adapter à un monde </w:t>
      </w:r>
      <w:r w:rsidR="008150D8">
        <w:t>en évolution</w:t>
      </w:r>
      <w:r>
        <w:t xml:space="preserve"> rapide</w:t>
      </w:r>
      <w:r w:rsidR="008B24F4">
        <w:rPr>
          <w:rStyle w:val="FootnoteReference"/>
        </w:rPr>
        <w:footnoteReference w:id="4"/>
      </w:r>
      <w:r>
        <w:t xml:space="preserve">. Elle peut s’appliquer à l’élaboration de politiques, à la planification stratégique, au processus décisionnel, à l’audit et à l’évaluation comme mécanisme </w:t>
      </w:r>
      <w:r w:rsidR="008150D8">
        <w:t xml:space="preserve">qui </w:t>
      </w:r>
      <w:r w:rsidR="00071B5E">
        <w:t>prom</w:t>
      </w:r>
      <w:r w:rsidR="0082360A">
        <w:t>eu</w:t>
      </w:r>
      <w:r w:rsidR="00071B5E">
        <w:t xml:space="preserve">t </w:t>
      </w:r>
      <w:r>
        <w:t>une gouvernance proactive.</w:t>
      </w:r>
    </w:p>
    <w:p w14:paraId="349B4EF2" w14:textId="5C672FFE" w:rsidR="00164F3D" w:rsidRDefault="00164F3D" w:rsidP="0058132A">
      <w:pPr>
        <w:spacing w:after="0" w:line="240" w:lineRule="auto"/>
      </w:pPr>
    </w:p>
    <w:p w14:paraId="1F23F025" w14:textId="131FAE8F" w:rsidR="0058132A" w:rsidRDefault="008B716A" w:rsidP="0058132A">
      <w:pPr>
        <w:spacing w:after="0" w:line="240" w:lineRule="auto"/>
      </w:pPr>
      <w:r>
        <w:t xml:space="preserve">Il ne faut pas confondre la prospective avec la prévision. La prévision </w:t>
      </w:r>
      <w:r w:rsidR="008150D8">
        <w:t>est le</w:t>
      </w:r>
      <w:r>
        <w:t xml:space="preserve"> processus </w:t>
      </w:r>
      <w:r w:rsidR="00071B5E">
        <w:t>où l’on</w:t>
      </w:r>
      <w:r>
        <w:t xml:space="preserve"> cherche à prédire l’avenir au</w:t>
      </w:r>
      <w:r w:rsidR="00071B5E">
        <w:t xml:space="preserve"> moyen de données antérieures, tandis que l</w:t>
      </w:r>
      <w:r>
        <w:t>a prospective nous a</w:t>
      </w:r>
      <w:r w:rsidR="00071B5E">
        <w:t xml:space="preserve">ide plutôt à nous préparer à plusieurs </w:t>
      </w:r>
      <w:r w:rsidR="008150D8">
        <w:t>futurs</w:t>
      </w:r>
      <w:r w:rsidR="00071B5E">
        <w:t xml:space="preserve"> possibles</w:t>
      </w:r>
      <w:r w:rsidR="00B84B04">
        <w:rPr>
          <w:rStyle w:val="FootnoteReference"/>
        </w:rPr>
        <w:footnoteReference w:id="5"/>
      </w:r>
      <w:r>
        <w:t>.</w:t>
      </w:r>
    </w:p>
    <w:p w14:paraId="31DC1A00" w14:textId="77777777" w:rsidR="0058132A" w:rsidRDefault="004570DF" w:rsidP="0058132A">
      <w:pPr>
        <w:pStyle w:val="Heading1"/>
      </w:pPr>
      <w:r>
        <w:t>Les étapes de la prospective</w:t>
      </w:r>
    </w:p>
    <w:p w14:paraId="60E83619" w14:textId="7785FDB4" w:rsidR="0058132A" w:rsidRDefault="4DB1114C" w:rsidP="0086777C">
      <w:pPr>
        <w:spacing w:after="120" w:line="240" w:lineRule="auto"/>
      </w:pPr>
      <w:r>
        <w:t>La méthode pro</w:t>
      </w:r>
      <w:r w:rsidR="00071B5E">
        <w:t>spective d’Horizons</w:t>
      </w:r>
      <w:r>
        <w:t xml:space="preserve"> </w:t>
      </w:r>
      <w:r w:rsidR="008150D8">
        <w:t xml:space="preserve">de politiques Canada </w:t>
      </w:r>
      <w:r>
        <w:t>est l’approche privilégiée au sein du gouvernement canadien, car elle a été créée pour tenir compte de l’incertitude et de la complexité de la politique publique</w:t>
      </w:r>
      <w:r w:rsidR="006753FF">
        <w:rPr>
          <w:rStyle w:val="FootnoteReference"/>
        </w:rPr>
        <w:footnoteReference w:id="6"/>
      </w:r>
      <w:r>
        <w:t xml:space="preserve">. </w:t>
      </w:r>
      <w:r w:rsidR="00071B5E">
        <w:t>Une étude pro</w:t>
      </w:r>
      <w:r w:rsidR="008150D8">
        <w:t xml:space="preserve">spective ne peut avoir lieu que lorsque </w:t>
      </w:r>
      <w:r>
        <w:t xml:space="preserve">l’ensemble de l’équipe comprend le processus </w:t>
      </w:r>
      <w:r w:rsidR="00071B5E">
        <w:t>à suivre; c</w:t>
      </w:r>
      <w:r>
        <w:t>ela peut prendre de 2 à 12 mois</w:t>
      </w:r>
      <w:r w:rsidR="00692ABA">
        <w:rPr>
          <w:rStyle w:val="FootnoteReference"/>
        </w:rPr>
        <w:footnoteReference w:id="7"/>
      </w:r>
      <w:r>
        <w:t>. L’équipe IRH suit une version du processus de prospective stratégique d’Horizons</w:t>
      </w:r>
      <w:r w:rsidR="00071B5E">
        <w:t xml:space="preserve"> de politiques Canada</w:t>
      </w:r>
      <w:r>
        <w:t>.</w:t>
      </w:r>
    </w:p>
    <w:p w14:paraId="726B6A8B" w14:textId="75C34BA8" w:rsidR="00D90E4B" w:rsidRDefault="0086777C" w:rsidP="0086777C">
      <w:pPr>
        <w:spacing w:after="0" w:line="240" w:lineRule="auto"/>
        <w:jc w:val="center"/>
      </w:pPr>
      <w:r>
        <w:rPr>
          <w:noProof/>
          <w:lang w:val="en-CA" w:eastAsia="en-CA"/>
        </w:rPr>
        <w:drawing>
          <wp:inline distT="0" distB="0" distL="0" distR="0" wp14:anchorId="603A6663" wp14:editId="742C7C5C">
            <wp:extent cx="4626610" cy="2461122"/>
            <wp:effectExtent l="0" t="0" r="2540" b="0"/>
            <wp:docPr id="1" name="Picture 1" descr="Définir le problème, mettre au jour les hypothèses actuelles, effectuer une veille pour repérer les signaux faibles, cartographier le système, sélectionner les moteurs du changement, élaborer des scénarios, mettre à l’essai la robustesse des hypothèses et cerner les défis." title="Le processus de prospective stratég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cessus Prospective-FR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8" t="18735" r="4104" b="18874"/>
                    <a:stretch/>
                  </pic:blipFill>
                  <pic:spPr bwMode="auto">
                    <a:xfrm>
                      <a:off x="0" y="0"/>
                      <a:ext cx="4626864" cy="2461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DAD64" w14:textId="7361A28B" w:rsidR="00D90E4B" w:rsidRPr="00D90E4B" w:rsidRDefault="00D90E4B" w:rsidP="0058132A">
      <w:pPr>
        <w:spacing w:after="0" w:line="240" w:lineRule="auto"/>
        <w:rPr>
          <w:i/>
        </w:rPr>
      </w:pPr>
      <w:r>
        <w:rPr>
          <w:i/>
        </w:rPr>
        <w:t xml:space="preserve">Figure 1 – </w:t>
      </w:r>
      <w:r w:rsidR="00071B5E">
        <w:rPr>
          <w:i/>
        </w:rPr>
        <w:t>Le p</w:t>
      </w:r>
      <w:r>
        <w:rPr>
          <w:i/>
        </w:rPr>
        <w:t xml:space="preserve">rocessus de prospective stratégique. </w:t>
      </w:r>
    </w:p>
    <w:p w14:paraId="083C4FC1" w14:textId="77777777" w:rsidR="003C2924" w:rsidRPr="00B4217E" w:rsidRDefault="003C2924" w:rsidP="0058132A">
      <w:pPr>
        <w:spacing w:after="0" w:line="240" w:lineRule="auto"/>
        <w:rPr>
          <w:bCs/>
        </w:rPr>
      </w:pPr>
    </w:p>
    <w:p w14:paraId="4CF5E167" w14:textId="179462D5" w:rsidR="00D90E4B" w:rsidRDefault="00795C21" w:rsidP="0058132A">
      <w:pPr>
        <w:pStyle w:val="Heading2"/>
        <w:rPr>
          <w:rStyle w:val="CommentReference"/>
        </w:rPr>
      </w:pPr>
      <w:r>
        <w:lastRenderedPageBreak/>
        <w:t>Étape 1a</w:t>
      </w:r>
      <w:r w:rsidR="0058132A">
        <w:t> :</w:t>
      </w:r>
      <w:r>
        <w:t xml:space="preserve"> Définir le problème</w:t>
      </w:r>
    </w:p>
    <w:p w14:paraId="374569EA" w14:textId="19D9BDF0" w:rsidR="0058132A" w:rsidRDefault="008150D8" w:rsidP="0058132A">
      <w:pPr>
        <w:spacing w:after="0" w:line="240" w:lineRule="auto"/>
      </w:pPr>
      <w:r>
        <w:t>Vous pouvez redéfinir le</w:t>
      </w:r>
      <w:r w:rsidR="00446B21">
        <w:t xml:space="preserve"> problème au fi</w:t>
      </w:r>
      <w:r>
        <w:t xml:space="preserve">l de vos apprentissages sur </w:t>
      </w:r>
      <w:r w:rsidR="00F810F7">
        <w:t xml:space="preserve">les moteurs de changement </w:t>
      </w:r>
      <w:r>
        <w:t xml:space="preserve">et leurs diverses influences </w:t>
      </w:r>
      <w:r w:rsidR="00EB094A">
        <w:t xml:space="preserve">possibles </w:t>
      </w:r>
      <w:r>
        <w:t>sur le système.</w:t>
      </w:r>
    </w:p>
    <w:p w14:paraId="5E547C21" w14:textId="477038F2" w:rsidR="00651E25" w:rsidRDefault="00651E25" w:rsidP="0058132A">
      <w:pPr>
        <w:spacing w:after="0" w:line="240" w:lineRule="auto"/>
        <w:rPr>
          <w:b/>
        </w:rPr>
      </w:pPr>
    </w:p>
    <w:p w14:paraId="53041192" w14:textId="79F8A1F2" w:rsidR="00D90E4B" w:rsidRDefault="00CC134D" w:rsidP="0058132A">
      <w:pPr>
        <w:pStyle w:val="Heading2"/>
      </w:pPr>
      <w:r>
        <w:t>Étape 1b</w:t>
      </w:r>
      <w:r w:rsidR="0058132A">
        <w:t> :</w:t>
      </w:r>
      <w:r>
        <w:t xml:space="preserve"> </w:t>
      </w:r>
      <w:r w:rsidR="008150D8">
        <w:t>Mettre au jour les hypothèses actuelles</w:t>
      </w:r>
    </w:p>
    <w:p w14:paraId="13D723B0" w14:textId="6CE012C4" w:rsidR="0058132A" w:rsidRDefault="00446B21" w:rsidP="0058132A">
      <w:pPr>
        <w:spacing w:after="0" w:line="240" w:lineRule="auto"/>
      </w:pPr>
      <w:r>
        <w:t>Cette étape consiste à relever les idées reçues</w:t>
      </w:r>
      <w:r w:rsidR="00A848C8">
        <w:t xml:space="preserve"> commun</w:t>
      </w:r>
      <w:r>
        <w:t>es</w:t>
      </w:r>
      <w:r w:rsidR="00A848C8">
        <w:t xml:space="preserve"> sur le sujet</w:t>
      </w:r>
      <w:r w:rsidR="00CC134D">
        <w:rPr>
          <w:rStyle w:val="FootnoteReference"/>
        </w:rPr>
        <w:footnoteReference w:id="8"/>
      </w:r>
      <w:r w:rsidR="00A848C8">
        <w:t xml:space="preserve">. Les </w:t>
      </w:r>
      <w:r w:rsidR="00EB094A">
        <w:t>hypothèses</w:t>
      </w:r>
      <w:r w:rsidR="00A848C8">
        <w:t xml:space="preserve"> qui façonnent </w:t>
      </w:r>
      <w:r>
        <w:t>les</w:t>
      </w:r>
      <w:r w:rsidR="00A848C8">
        <w:t xml:space="preserve"> domaine</w:t>
      </w:r>
      <w:r>
        <w:t>s</w:t>
      </w:r>
      <w:r w:rsidR="00A848C8">
        <w:t xml:space="preserve"> de la politique publique sont recueillies au moyen d’entrevues et de recherches, puis seront util</w:t>
      </w:r>
      <w:r>
        <w:t xml:space="preserve">isées à une étape ultérieure </w:t>
      </w:r>
      <w:r w:rsidR="00A848C8">
        <w:t>pour mettre à l’essai la robustesse de la stratégie établie au cours du processus de prospective.</w:t>
      </w:r>
    </w:p>
    <w:p w14:paraId="0CD6E174" w14:textId="7CFD1337" w:rsidR="00513801" w:rsidRDefault="00513801" w:rsidP="0058132A">
      <w:pPr>
        <w:spacing w:after="0" w:line="240" w:lineRule="auto"/>
        <w:rPr>
          <w:b/>
        </w:rPr>
      </w:pPr>
    </w:p>
    <w:p w14:paraId="3EBC57F4" w14:textId="74B1A5AA" w:rsidR="00D90E4B" w:rsidRDefault="003302C4" w:rsidP="0058132A">
      <w:pPr>
        <w:pStyle w:val="Heading2"/>
      </w:pPr>
      <w:r>
        <w:t>Étape 2</w:t>
      </w:r>
      <w:r w:rsidR="0058132A">
        <w:t> :</w:t>
      </w:r>
      <w:r>
        <w:t xml:space="preserve"> </w:t>
      </w:r>
      <w:r w:rsidR="008150D8">
        <w:t>Effectuer une veille</w:t>
      </w:r>
      <w:r>
        <w:t xml:space="preserve"> pour repérer les signaux faibles de changement</w:t>
      </w:r>
    </w:p>
    <w:p w14:paraId="4BC80BD5" w14:textId="258C2B11" w:rsidR="0058132A" w:rsidRDefault="00EB094A" w:rsidP="0058132A">
      <w:pPr>
        <w:spacing w:after="0" w:line="240" w:lineRule="auto"/>
      </w:pPr>
      <w:r>
        <w:t>La veille</w:t>
      </w:r>
      <w:r w:rsidR="00446B21">
        <w:t xml:space="preserve"> </w:t>
      </w:r>
      <w:r w:rsidR="003302C4">
        <w:t xml:space="preserve">permet de déterminer les changements possibles qui pourraient avoir des répercussions considérables sur l’enjeu et le système. </w:t>
      </w:r>
      <w:r w:rsidR="00446B21">
        <w:t>Elle</w:t>
      </w:r>
      <w:r w:rsidR="003302C4">
        <w:t xml:space="preserve"> peut comprendre une revue de la littérature et des entrevues </w:t>
      </w:r>
      <w:r w:rsidR="00480F02">
        <w:t xml:space="preserve">visant à découvrir l’opinion </w:t>
      </w:r>
      <w:r w:rsidR="003302C4">
        <w:t>des personnes qui connaissent le système</w:t>
      </w:r>
      <w:r w:rsidR="00B01382">
        <w:rPr>
          <w:rStyle w:val="FootnoteReference"/>
        </w:rPr>
        <w:footnoteReference w:id="9"/>
      </w:r>
      <w:r w:rsidR="00480F02">
        <w:t>. L</w:t>
      </w:r>
      <w:r w:rsidR="003302C4">
        <w:t xml:space="preserve">es signaux faibles connexes </w:t>
      </w:r>
      <w:r w:rsidR="00446B21">
        <w:t xml:space="preserve">sont ensuite </w:t>
      </w:r>
      <w:r w:rsidR="00480F02">
        <w:t>regroupés pour former une perspective</w:t>
      </w:r>
      <w:r w:rsidR="003302C4">
        <w:t>.</w:t>
      </w:r>
    </w:p>
    <w:p w14:paraId="038DEE60" w14:textId="3F80D068" w:rsidR="00513801" w:rsidRDefault="00513801" w:rsidP="0058132A">
      <w:pPr>
        <w:spacing w:after="0" w:line="240" w:lineRule="auto"/>
        <w:rPr>
          <w:b/>
        </w:rPr>
      </w:pPr>
    </w:p>
    <w:p w14:paraId="30B6BCB2" w14:textId="34BB90ED" w:rsidR="00D90E4B" w:rsidRDefault="004B2172" w:rsidP="0058132A">
      <w:pPr>
        <w:pStyle w:val="Heading2"/>
      </w:pPr>
      <w:r>
        <w:t>Étape 3</w:t>
      </w:r>
      <w:r w:rsidR="0058132A">
        <w:t> :</w:t>
      </w:r>
      <w:r>
        <w:t xml:space="preserve"> Cartographier le système</w:t>
      </w:r>
    </w:p>
    <w:p w14:paraId="76FE9B69" w14:textId="5352FC8C" w:rsidR="00CC134D" w:rsidRPr="004B2172" w:rsidRDefault="00480F02" w:rsidP="0058132A">
      <w:pPr>
        <w:spacing w:after="0" w:line="240" w:lineRule="auto"/>
      </w:pPr>
      <w:r>
        <w:t>À cette étape, l</w:t>
      </w:r>
      <w:r w:rsidR="00446B21">
        <w:t>es participants de</w:t>
      </w:r>
      <w:r w:rsidR="004B2172">
        <w:t xml:space="preserve"> l’étude </w:t>
      </w:r>
      <w:r w:rsidR="00446B21">
        <w:t xml:space="preserve">représentent sous forme de dessin </w:t>
      </w:r>
      <w:r>
        <w:t>leur perception de l’or</w:t>
      </w:r>
      <w:r w:rsidR="00446B21">
        <w:t>ganisation</w:t>
      </w:r>
      <w:r w:rsidR="004B2172">
        <w:t xml:space="preserve"> du système. </w:t>
      </w:r>
      <w:r w:rsidR="00446B21">
        <w:t>L’objectif est de créer</w:t>
      </w:r>
      <w:r w:rsidR="004B2172">
        <w:t xml:space="preserve"> une carte collective du système qui indique les endroits où, selon les participants, des changements considérables sont </w:t>
      </w:r>
      <w:r w:rsidR="004B2172" w:rsidRPr="00480F02">
        <w:t xml:space="preserve">possibles. Pour y parvenir, on peut avoir recours à différents diagrammes, comme les </w:t>
      </w:r>
      <w:r>
        <w:t>schémas</w:t>
      </w:r>
      <w:r w:rsidR="004B2172" w:rsidRPr="00480F02">
        <w:t xml:space="preserve"> de processus ou les diagrammes de boucles causales.</w:t>
      </w:r>
    </w:p>
    <w:p w14:paraId="209CF060" w14:textId="77777777" w:rsidR="00513801" w:rsidRDefault="00513801" w:rsidP="0058132A">
      <w:pPr>
        <w:spacing w:after="0" w:line="240" w:lineRule="auto"/>
        <w:rPr>
          <w:b/>
        </w:rPr>
      </w:pPr>
    </w:p>
    <w:p w14:paraId="26A1FE8D" w14:textId="1CE6A882" w:rsidR="00D90E4B" w:rsidRDefault="004B2172" w:rsidP="0058132A">
      <w:pPr>
        <w:pStyle w:val="Heading2"/>
        <w:rPr>
          <w:rStyle w:val="CommentReference"/>
        </w:rPr>
      </w:pPr>
      <w:r>
        <w:t>Étape 4</w:t>
      </w:r>
      <w:r w:rsidR="0058132A">
        <w:t> :</w:t>
      </w:r>
      <w:r w:rsidR="00446B21">
        <w:t xml:space="preserve"> Sélectionner les moteurs de</w:t>
      </w:r>
      <w:r>
        <w:t xml:space="preserve"> changement</w:t>
      </w:r>
    </w:p>
    <w:p w14:paraId="3FBE55A3" w14:textId="2E5E57ED" w:rsidR="00CC134D" w:rsidRPr="004B2172" w:rsidRDefault="004B2172" w:rsidP="0058132A">
      <w:pPr>
        <w:spacing w:after="0" w:line="240" w:lineRule="auto"/>
      </w:pPr>
      <w:r>
        <w:t xml:space="preserve">Toutes les </w:t>
      </w:r>
      <w:r w:rsidR="00480F02">
        <w:t>perspectives</w:t>
      </w:r>
      <w:r w:rsidR="005072AC">
        <w:t xml:space="preserve"> issues de l’étape </w:t>
      </w:r>
      <w:r w:rsidR="00480F02">
        <w:t>de veille</w:t>
      </w:r>
      <w:r w:rsidR="005072AC">
        <w:t xml:space="preserve"> </w:t>
      </w:r>
      <w:r>
        <w:t xml:space="preserve">sont passées en revue, </w:t>
      </w:r>
      <w:r w:rsidR="00480F02">
        <w:t xml:space="preserve">et celles qui ont un grand potentiel </w:t>
      </w:r>
      <w:r>
        <w:t>perturbat</w:t>
      </w:r>
      <w:r w:rsidR="00480F02">
        <w:t>eur</w:t>
      </w:r>
      <w:r>
        <w:t xml:space="preserve"> sont </w:t>
      </w:r>
      <w:r w:rsidR="005072AC">
        <w:t>sélectionnées</w:t>
      </w:r>
      <w:r w:rsidR="00480F02">
        <w:t xml:space="preserve"> en tant que moteurs de</w:t>
      </w:r>
      <w:r>
        <w:t xml:space="preserve"> changement pour l’exercice </w:t>
      </w:r>
      <w:r w:rsidR="005072AC">
        <w:t>de</w:t>
      </w:r>
      <w:r w:rsidR="00480F02">
        <w:t>s</w:t>
      </w:r>
      <w:r>
        <w:t xml:space="preserve"> scénario</w:t>
      </w:r>
      <w:r w:rsidR="00480F02">
        <w:t>s</w:t>
      </w:r>
      <w:r>
        <w:rPr>
          <w:rStyle w:val="FootnoteReference"/>
        </w:rPr>
        <w:footnoteReference w:id="10"/>
      </w:r>
      <w:r>
        <w:t xml:space="preserve">. Des diagrammes d’impact sont utilisés pour examiner les </w:t>
      </w:r>
      <w:r w:rsidR="00480F02">
        <w:t>répercussions</w:t>
      </w:r>
      <w:r>
        <w:t xml:space="preserve"> potentielles de deuxièm</w:t>
      </w:r>
      <w:r w:rsidR="00480F02">
        <w:t>e, troisième et quatrième ordre</w:t>
      </w:r>
      <w:r w:rsidR="0082360A">
        <w:t xml:space="preserve"> de</w:t>
      </w:r>
      <w:r>
        <w:t>s moteurs</w:t>
      </w:r>
      <w:r w:rsidR="00480F02">
        <w:t xml:space="preserve"> (effet d’entraînement)</w:t>
      </w:r>
      <w:r>
        <w:t xml:space="preserve">. De plus, une analyse </w:t>
      </w:r>
      <w:r w:rsidR="00480F02">
        <w:t>d’interaction</w:t>
      </w:r>
      <w:r>
        <w:t xml:space="preserve"> est </w:t>
      </w:r>
      <w:r w:rsidR="00480F02">
        <w:t>effectuée</w:t>
      </w:r>
      <w:r>
        <w:t xml:space="preserve"> pour examiner </w:t>
      </w:r>
      <w:r w:rsidR="00BA7EDA">
        <w:t>comment</w:t>
      </w:r>
      <w:r>
        <w:t xml:space="preserve"> les moteurs et les perspectives pourraient interagir les uns avec les autres, </w:t>
      </w:r>
      <w:r w:rsidR="00BA7EDA">
        <w:t>et comment le</w:t>
      </w:r>
      <w:r>
        <w:t xml:space="preserve"> système</w:t>
      </w:r>
      <w:r w:rsidR="00BA7EDA">
        <w:t xml:space="preserve"> pourrait évoluer</w:t>
      </w:r>
      <w:r>
        <w:rPr>
          <w:rStyle w:val="FootnoteReference"/>
        </w:rPr>
        <w:footnoteReference w:id="11"/>
      </w:r>
      <w:r>
        <w:t>.</w:t>
      </w:r>
    </w:p>
    <w:p w14:paraId="03E821FD" w14:textId="77777777" w:rsidR="00513801" w:rsidRDefault="00513801" w:rsidP="0058132A">
      <w:pPr>
        <w:spacing w:after="0" w:line="240" w:lineRule="auto"/>
        <w:rPr>
          <w:b/>
        </w:rPr>
      </w:pPr>
    </w:p>
    <w:p w14:paraId="6575DA86" w14:textId="4FBEA07F" w:rsidR="00D90E4B" w:rsidRDefault="00C17817" w:rsidP="0058132A">
      <w:pPr>
        <w:pStyle w:val="Heading2"/>
        <w:rPr>
          <w:rStyle w:val="CommentReference"/>
        </w:rPr>
      </w:pPr>
      <w:r>
        <w:t>Étape 5</w:t>
      </w:r>
      <w:r w:rsidR="0058132A">
        <w:t> :</w:t>
      </w:r>
      <w:r>
        <w:t xml:space="preserve"> Élaborer des scénarios</w:t>
      </w:r>
    </w:p>
    <w:p w14:paraId="070B0FE5" w14:textId="523F8342" w:rsidR="0058132A" w:rsidRDefault="00C17817" w:rsidP="0058132A">
      <w:pPr>
        <w:spacing w:after="0" w:line="240" w:lineRule="auto"/>
      </w:pPr>
      <w:r>
        <w:t xml:space="preserve">Les scénarios sont des histoires qui étudient différents avenirs possibles en fonction des perspectives et des moteurs de changement établis aux étapes précédentes du processus de prospective. </w:t>
      </w:r>
      <w:r w:rsidR="00BA7EDA">
        <w:t>Cela aide les</w:t>
      </w:r>
      <w:r>
        <w:t xml:space="preserve"> participants </w:t>
      </w:r>
      <w:r w:rsidR="00BA7EDA">
        <w:t>à</w:t>
      </w:r>
      <w:r>
        <w:t xml:space="preserve"> voir la forme que le système pourrait prendre dans des conditions particulières. De manière générale, la méthode adoptée par IRH établit quatre scénarios</w:t>
      </w:r>
      <w:r w:rsidR="0058132A">
        <w:t> :</w:t>
      </w:r>
      <w:r>
        <w:t xml:space="preserve"> celui dans lequel on s’en sort tant bien que mal, celui des progrès graduels, celui </w:t>
      </w:r>
      <w:r w:rsidR="00BA7EDA">
        <w:t>du déclin</w:t>
      </w:r>
      <w:r>
        <w:t xml:space="preserve"> graduel et celui de la transformation.</w:t>
      </w:r>
    </w:p>
    <w:p w14:paraId="10D8D4BA" w14:textId="547AD35A" w:rsidR="00513801" w:rsidRDefault="00513801" w:rsidP="0058132A">
      <w:pPr>
        <w:spacing w:after="0" w:line="240" w:lineRule="auto"/>
        <w:rPr>
          <w:b/>
        </w:rPr>
      </w:pPr>
    </w:p>
    <w:p w14:paraId="1E2DF5A0" w14:textId="1A00DC37" w:rsidR="00D90E4B" w:rsidRDefault="00CC134D" w:rsidP="0058132A">
      <w:pPr>
        <w:pStyle w:val="Heading2"/>
      </w:pPr>
      <w:r>
        <w:t>Étape 6</w:t>
      </w:r>
      <w:r w:rsidR="0058132A">
        <w:t> :</w:t>
      </w:r>
      <w:r>
        <w:t xml:space="preserve"> Mettre à l’essai l</w:t>
      </w:r>
      <w:r w:rsidR="008150D8">
        <w:t>a robustesse d</w:t>
      </w:r>
      <w:r>
        <w:t>es hypothèses et cerner les défis</w:t>
      </w:r>
    </w:p>
    <w:p w14:paraId="5A3E19A7" w14:textId="5352DF2E" w:rsidR="0058132A" w:rsidRDefault="12FCBC52" w:rsidP="0058132A">
      <w:pPr>
        <w:spacing w:after="0" w:line="240" w:lineRule="auto"/>
      </w:pPr>
      <w:r>
        <w:t xml:space="preserve">On demande aux participants de </w:t>
      </w:r>
      <w:r w:rsidR="00BA7EDA">
        <w:t xml:space="preserve">se </w:t>
      </w:r>
      <w:r>
        <w:t>plonger dans chaque scénario</w:t>
      </w:r>
      <w:r w:rsidR="00BA7EDA">
        <w:t>, puis</w:t>
      </w:r>
      <w:r>
        <w:t xml:space="preserve"> de déterminer les défis et occasions au sein de chaque scénario auxquels les politiques et systèmes actuels ne sont pas </w:t>
      </w:r>
      <w:r w:rsidR="00BA7EDA">
        <w:t xml:space="preserve">adaptés. En dernier lieu, le groupe met </w:t>
      </w:r>
      <w:r>
        <w:t xml:space="preserve">à l’essai les hypothèses </w:t>
      </w:r>
      <w:r w:rsidR="00BA7EDA">
        <w:t>relevées à</w:t>
      </w:r>
      <w:r>
        <w:t xml:space="preserve"> l’étape 1 </w:t>
      </w:r>
      <w:r w:rsidR="00BA7EDA">
        <w:t>dans le contexte</w:t>
      </w:r>
      <w:r>
        <w:t xml:space="preserve"> de chaque scénario</w:t>
      </w:r>
      <w:r w:rsidR="00513801">
        <w:rPr>
          <w:rStyle w:val="FootnoteReference"/>
        </w:rPr>
        <w:footnoteReference w:id="12"/>
      </w:r>
      <w:r>
        <w:t>.</w:t>
      </w:r>
    </w:p>
    <w:p w14:paraId="71DD87F2" w14:textId="45D88A64" w:rsidR="0058132A" w:rsidRDefault="00164F3D" w:rsidP="0058132A">
      <w:pPr>
        <w:pStyle w:val="Heading1"/>
      </w:pPr>
      <w:bookmarkStart w:id="0" w:name="_GoBack"/>
      <w:bookmarkEnd w:id="0"/>
      <w:r>
        <w:lastRenderedPageBreak/>
        <w:t>Résultats de la méthode prospective d’Horizons</w:t>
      </w:r>
      <w:r w:rsidR="009166D3">
        <w:rPr>
          <w:rStyle w:val="FootnoteReference"/>
        </w:rPr>
        <w:footnoteReference w:id="13"/>
      </w:r>
      <w:r w:rsidR="0058132A">
        <w:t> :</w:t>
      </w:r>
    </w:p>
    <w:p w14:paraId="33BF852D" w14:textId="351CC4A6" w:rsidR="00164F3D" w:rsidRDefault="00164F3D" w:rsidP="0058132A">
      <w:pPr>
        <w:pStyle w:val="ListParagraph"/>
        <w:numPr>
          <w:ilvl w:val="0"/>
          <w:numId w:val="1"/>
        </w:numPr>
        <w:spacing w:after="0"/>
      </w:pPr>
      <w:r>
        <w:t xml:space="preserve">Permet de préciser et de mettre à l’essai les hypothèses que les décideurs utilisent pour </w:t>
      </w:r>
      <w:r w:rsidR="00BA7EDA">
        <w:t>modeler</w:t>
      </w:r>
      <w:r>
        <w:t xml:space="preserve"> l’avenir.</w:t>
      </w:r>
    </w:p>
    <w:p w14:paraId="5564F1A7" w14:textId="24F374F6" w:rsidR="00164F3D" w:rsidRDefault="00164F3D" w:rsidP="0058132A">
      <w:pPr>
        <w:pStyle w:val="ListParagraph"/>
        <w:numPr>
          <w:ilvl w:val="0"/>
          <w:numId w:val="1"/>
        </w:numPr>
        <w:spacing w:after="0"/>
      </w:pPr>
      <w:r>
        <w:t>Cerne les nouveaux défis et les nouvelles possibilités</w:t>
      </w:r>
      <w:r w:rsidR="00BA7EDA">
        <w:t xml:space="preserve"> en matière de politiques</w:t>
      </w:r>
      <w:r>
        <w:t>.</w:t>
      </w:r>
    </w:p>
    <w:p w14:paraId="78EE008A" w14:textId="77777777" w:rsidR="0058132A" w:rsidRDefault="00164F3D" w:rsidP="0058132A">
      <w:pPr>
        <w:pStyle w:val="ListParagraph"/>
        <w:numPr>
          <w:ilvl w:val="0"/>
          <w:numId w:val="1"/>
        </w:numPr>
        <w:spacing w:after="0"/>
      </w:pPr>
      <w:r>
        <w:t>Permet d’élaborer des politiques et des stratégies plus robustes.</w:t>
      </w:r>
    </w:p>
    <w:p w14:paraId="1CAF2618" w14:textId="77777777" w:rsidR="0058132A" w:rsidRDefault="00164F3D" w:rsidP="0058132A">
      <w:pPr>
        <w:pStyle w:val="ListParagraph"/>
        <w:numPr>
          <w:ilvl w:val="0"/>
          <w:numId w:val="1"/>
        </w:numPr>
        <w:spacing w:after="0"/>
      </w:pPr>
      <w:r>
        <w:t>Aide les personnes et les organisations à se préparer au changement.</w:t>
      </w:r>
    </w:p>
    <w:p w14:paraId="0E782CB0" w14:textId="3F9869C7" w:rsidR="0058132A" w:rsidRDefault="00590A4C" w:rsidP="0058132A">
      <w:pPr>
        <w:pStyle w:val="Heading1"/>
      </w:pPr>
      <w:r>
        <w:t>Importance de la prospective au sein du gouvernement</w:t>
      </w:r>
      <w:r w:rsidR="00651E25">
        <w:rPr>
          <w:rStyle w:val="FootnoteReference"/>
        </w:rPr>
        <w:footnoteReference w:id="14"/>
      </w:r>
      <w:r w:rsidR="0058132A">
        <w:t> :</w:t>
      </w:r>
    </w:p>
    <w:p w14:paraId="2ACD7EBE" w14:textId="44ADDFFA" w:rsidR="00B60FB3" w:rsidRDefault="00590A4C" w:rsidP="0058132A">
      <w:pPr>
        <w:pStyle w:val="ListParagraph"/>
        <w:numPr>
          <w:ilvl w:val="0"/>
          <w:numId w:val="3"/>
        </w:numPr>
        <w:spacing w:after="0"/>
      </w:pPr>
      <w:r>
        <w:t>Le gouvernement doit av</w:t>
      </w:r>
      <w:r w:rsidR="00BA7EDA">
        <w:t>oir une capacité d’anticipation</w:t>
      </w:r>
      <w:r>
        <w:t xml:space="preserve"> afin de se préparer aux occasions et aux défis qui pourraient surgir à l’avenir</w:t>
      </w:r>
      <w:r w:rsidR="00BA7EDA">
        <w:t>, et de pouvoir y réagir</w:t>
      </w:r>
      <w:r w:rsidR="00513801">
        <w:rPr>
          <w:rStyle w:val="FootnoteReference"/>
        </w:rPr>
        <w:footnoteReference w:id="15"/>
      </w:r>
      <w:r>
        <w:t>.</w:t>
      </w:r>
    </w:p>
    <w:p w14:paraId="2D0891EA" w14:textId="7A21E931" w:rsidR="0058132A" w:rsidRDefault="00513801" w:rsidP="0058132A">
      <w:pPr>
        <w:pStyle w:val="ListParagraph"/>
        <w:numPr>
          <w:ilvl w:val="0"/>
          <w:numId w:val="3"/>
        </w:numPr>
        <w:spacing w:after="0"/>
      </w:pPr>
      <w:r>
        <w:t xml:space="preserve">La prospective permet </w:t>
      </w:r>
      <w:r w:rsidR="00BA7EDA">
        <w:t>d’adopter les</w:t>
      </w:r>
      <w:r>
        <w:t xml:space="preserve"> meilleures politiques novatrices </w:t>
      </w:r>
      <w:r w:rsidR="00CA4F20">
        <w:t>qui tiennent</w:t>
      </w:r>
      <w:r>
        <w:t xml:space="preserve"> compte des possibilités et des défis.</w:t>
      </w:r>
    </w:p>
    <w:p w14:paraId="6C64C2DB" w14:textId="40CDDAF6" w:rsidR="001924BE" w:rsidRDefault="00CA4F20" w:rsidP="0058132A">
      <w:pPr>
        <w:pStyle w:val="ListParagraph"/>
        <w:numPr>
          <w:ilvl w:val="0"/>
          <w:numId w:val="3"/>
        </w:numPr>
        <w:spacing w:after="0"/>
      </w:pPr>
      <w:r>
        <w:t>Ce</w:t>
      </w:r>
      <w:r w:rsidR="00513801">
        <w:t xml:space="preserve"> mécanisme assure la </w:t>
      </w:r>
      <w:r>
        <w:t xml:space="preserve">réussite future </w:t>
      </w:r>
      <w:r w:rsidR="00513801">
        <w:t xml:space="preserve">des nouvelles politiques ou des politiques existantes </w:t>
      </w:r>
      <w:r>
        <w:t>dans</w:t>
      </w:r>
      <w:r w:rsidR="00513801">
        <w:t xml:space="preserve"> différents scénarios</w:t>
      </w:r>
      <w:r>
        <w:t xml:space="preserve"> d’avenir</w:t>
      </w:r>
      <w:r w:rsidR="00513801">
        <w:t>.</w:t>
      </w:r>
    </w:p>
    <w:p w14:paraId="7E49BD21" w14:textId="5FD6BEEB" w:rsidR="00651E25" w:rsidRDefault="00651E25" w:rsidP="0058132A">
      <w:pPr>
        <w:pStyle w:val="Heading1"/>
      </w:pPr>
      <w:r>
        <w:t>Bibliographie</w:t>
      </w:r>
    </w:p>
    <w:p w14:paraId="758B57D7" w14:textId="77777777" w:rsidR="0058132A" w:rsidRDefault="00651E25" w:rsidP="0058132A">
      <w:pPr>
        <w:spacing w:after="0"/>
      </w:pPr>
      <w:r>
        <w:t>Horizons de politiques Canada. (2018). Prospective par rapport à prévision. Consulté à</w:t>
      </w:r>
    </w:p>
    <w:p w14:paraId="3F2B60E7" w14:textId="77777777" w:rsidR="0058132A" w:rsidRDefault="0086777C" w:rsidP="0058132A">
      <w:pPr>
        <w:spacing w:after="0"/>
        <w:ind w:left="720"/>
      </w:pPr>
      <w:hyperlink r:id="rId12" w:history="1">
        <w:r w:rsidR="006B3EEA">
          <w:rPr>
            <w:rStyle w:val="Hyperlink"/>
          </w:rPr>
          <w:t>http://canadabeyond150.ca/blog/fr/2018/03/prospective-par-rapport-a-prevision/</w:t>
        </w:r>
      </w:hyperlink>
    </w:p>
    <w:p w14:paraId="53FCC55D" w14:textId="7DB5B69B" w:rsidR="00651E25" w:rsidRPr="00651E25" w:rsidRDefault="00651E25" w:rsidP="0058132A">
      <w:pPr>
        <w:spacing w:after="0"/>
      </w:pPr>
    </w:p>
    <w:p w14:paraId="46C3F65B" w14:textId="1A6695BC" w:rsidR="0058132A" w:rsidRDefault="00651E25" w:rsidP="0058132A">
      <w:pPr>
        <w:spacing w:after="0"/>
      </w:pPr>
      <w:r>
        <w:t>Horizons de politiques Canada. (2021). Module 1</w:t>
      </w:r>
      <w:r w:rsidR="0058132A">
        <w:t> :</w:t>
      </w:r>
      <w:r>
        <w:t xml:space="preserve"> Introduction à la prospective. Consulté à</w:t>
      </w:r>
    </w:p>
    <w:p w14:paraId="26E48FEC" w14:textId="77777777" w:rsidR="0058132A" w:rsidRDefault="0086777C" w:rsidP="0058132A">
      <w:pPr>
        <w:spacing w:after="0"/>
        <w:ind w:left="720"/>
      </w:pPr>
      <w:hyperlink r:id="rId13" w:history="1">
        <w:r w:rsidR="006B3EEA">
          <w:rPr>
            <w:rStyle w:val="Hyperlink"/>
          </w:rPr>
          <w:t>https://horizons.gc.ca/fr/notre-travail/materiel-dapprentissage/manuel-de-formation-de-prospective-module-1-introduction-a-la-prospective/</w:t>
        </w:r>
      </w:hyperlink>
    </w:p>
    <w:p w14:paraId="545672C0" w14:textId="66CECEE8" w:rsidR="00651E25" w:rsidRPr="00D90E4B" w:rsidRDefault="00651E25" w:rsidP="0058132A">
      <w:pPr>
        <w:spacing w:after="0"/>
      </w:pPr>
    </w:p>
    <w:p w14:paraId="171B11A7" w14:textId="398941C1" w:rsidR="0058132A" w:rsidRPr="00EB26F8" w:rsidRDefault="433D009D" w:rsidP="0058132A">
      <w:pPr>
        <w:spacing w:after="0"/>
        <w:ind w:left="720" w:hanging="720"/>
      </w:pPr>
      <w:r>
        <w:t xml:space="preserve">OCDE (Organisation de coopération et de développement économiques). </w:t>
      </w:r>
      <w:r w:rsidRPr="00916BD7">
        <w:t>Strategic Foresight for Better Policies</w:t>
      </w:r>
      <w:r w:rsidR="0082360A" w:rsidRPr="00916BD7">
        <w:t xml:space="preserve"> (en anglais seulement)</w:t>
      </w:r>
      <w:r w:rsidRPr="00916BD7">
        <w:t xml:space="preserve">. </w:t>
      </w:r>
      <w:r w:rsidRPr="00EB26F8">
        <w:t xml:space="preserve">(2019). Consulté à </w:t>
      </w:r>
      <w:hyperlink r:id="rId14" w:history="1">
        <w:r w:rsidRPr="00EB26F8">
          <w:rPr>
            <w:rStyle w:val="Hyperlink"/>
          </w:rPr>
          <w:t>https://www.oecd.org/strategic-foresight/ourwork/Strategic%20Foresight%20for%20Better%20Policies.pdf</w:t>
        </w:r>
      </w:hyperlink>
    </w:p>
    <w:p w14:paraId="1426A2AC" w14:textId="29720AF5" w:rsidR="00DA6102" w:rsidRDefault="00DA6102" w:rsidP="0058132A">
      <w:pPr>
        <w:pStyle w:val="Heading1"/>
      </w:pPr>
      <w:r>
        <w:t>Autres ressources</w:t>
      </w:r>
    </w:p>
    <w:p w14:paraId="753F4C0C" w14:textId="76F967FB" w:rsidR="00C17817" w:rsidRDefault="00C17817" w:rsidP="0058132A">
      <w:pPr>
        <w:spacing w:after="0"/>
      </w:pPr>
      <w:r>
        <w:t xml:space="preserve">Apprenez-en davantage sur le processus de prospective stratégique à </w:t>
      </w:r>
      <w:hyperlink r:id="rId15">
        <w:r>
          <w:rPr>
            <w:rStyle w:val="Hyperlink"/>
            <w:rFonts w:ascii="Calibri" w:hAnsi="Calibri"/>
          </w:rPr>
          <w:t>Horizons de politiques Canada – Ressources</w:t>
        </w:r>
      </w:hyperlink>
      <w:r w:rsidR="00554AF4">
        <w:t>.</w:t>
      </w:r>
    </w:p>
    <w:p w14:paraId="314CFACA" w14:textId="77777777" w:rsidR="00554AF4" w:rsidRDefault="00554AF4" w:rsidP="0058132A">
      <w:pPr>
        <w:spacing w:after="0"/>
      </w:pPr>
    </w:p>
    <w:p w14:paraId="6649FC6E" w14:textId="00974548" w:rsidR="00DA6102" w:rsidRDefault="009B224C" w:rsidP="0058132A">
      <w:pPr>
        <w:spacing w:after="0"/>
        <w:ind w:left="720" w:hanging="720"/>
        <w:rPr>
          <w:rStyle w:val="Hyperlink"/>
        </w:rPr>
      </w:pPr>
      <w:r w:rsidRPr="0058132A">
        <w:rPr>
          <w:lang w:val="en-CA"/>
        </w:rPr>
        <w:t>GOV.UK. Features of effective systemic foresight in governments around the world</w:t>
      </w:r>
      <w:r w:rsidR="0082360A">
        <w:rPr>
          <w:lang w:val="en-CA"/>
        </w:rPr>
        <w:t xml:space="preserve"> (en anglais seulement)</w:t>
      </w:r>
      <w:r w:rsidRPr="0058132A">
        <w:rPr>
          <w:lang w:val="en-CA"/>
        </w:rPr>
        <w:t xml:space="preserve">. </w:t>
      </w:r>
      <w:r>
        <w:t xml:space="preserve">Consulté à </w:t>
      </w:r>
      <w:hyperlink r:id="rId16" w:history="1">
        <w:r>
          <w:rPr>
            <w:rStyle w:val="Hyperlink"/>
          </w:rPr>
          <w:t>https://foresightprojects.blog.gov.uk/2021/05/12/features-of-effective-systemic-foresight-in-governments-around-the-world/</w:t>
        </w:r>
      </w:hyperlink>
    </w:p>
    <w:p w14:paraId="64C66040" w14:textId="00DCF7C6" w:rsidR="003818D9" w:rsidRPr="00D90E4B" w:rsidRDefault="003818D9" w:rsidP="0058132A">
      <w:pPr>
        <w:spacing w:after="0" w:line="240" w:lineRule="auto"/>
      </w:pPr>
    </w:p>
    <w:p w14:paraId="3F65FD60" w14:textId="4FD5E207" w:rsidR="00DA6102" w:rsidRDefault="003818D9" w:rsidP="0058132A">
      <w:pPr>
        <w:spacing w:after="0" w:line="240" w:lineRule="auto"/>
        <w:ind w:left="720" w:hanging="720"/>
      </w:pPr>
      <w:r w:rsidRPr="0058132A">
        <w:rPr>
          <w:lang w:val="en-CA"/>
        </w:rPr>
        <w:t>GOV.UK. Futures thinking and foresight: a brief guide</w:t>
      </w:r>
      <w:r w:rsidR="0082360A">
        <w:rPr>
          <w:lang w:val="en-CA"/>
        </w:rPr>
        <w:t xml:space="preserve"> (en anglais seulement)</w:t>
      </w:r>
      <w:r w:rsidRPr="0058132A">
        <w:rPr>
          <w:lang w:val="en-CA"/>
        </w:rPr>
        <w:t xml:space="preserve">. </w:t>
      </w:r>
      <w:r>
        <w:t xml:space="preserve">Consulté à </w:t>
      </w:r>
      <w:hyperlink r:id="rId17" w:history="1">
        <w:r>
          <w:rPr>
            <w:rStyle w:val="Hyperlink"/>
          </w:rPr>
          <w:t>https://www.gov.uk/government/publications/futures-thinking-and-foresight-a-brief-guide</w:t>
        </w:r>
      </w:hyperlink>
    </w:p>
    <w:p w14:paraId="0A19DEED" w14:textId="0C4D42D3" w:rsidR="009B224C" w:rsidRDefault="009B224C" w:rsidP="0058132A">
      <w:pPr>
        <w:spacing w:after="0" w:line="240" w:lineRule="auto"/>
      </w:pPr>
    </w:p>
    <w:p w14:paraId="46B6178D" w14:textId="38845935" w:rsidR="00DA6102" w:rsidRPr="00EB26F8" w:rsidRDefault="009B224C" w:rsidP="0058132A">
      <w:pPr>
        <w:spacing w:after="0" w:line="240" w:lineRule="auto"/>
        <w:ind w:left="720" w:hanging="720"/>
      </w:pPr>
      <w:r w:rsidRPr="0058132A">
        <w:rPr>
          <w:lang w:val="en-CA"/>
        </w:rPr>
        <w:t xml:space="preserve">The Finnish Innovation Fund Sitra. </w:t>
      </w:r>
      <w:r w:rsidRPr="0082360A">
        <w:t>Futures Frequency</w:t>
      </w:r>
      <w:r w:rsidR="0082360A" w:rsidRPr="0082360A">
        <w:t xml:space="preserve"> (en anglais seulement)</w:t>
      </w:r>
      <w:r w:rsidRPr="0082360A">
        <w:t xml:space="preserve">. </w:t>
      </w:r>
      <w:r w:rsidRPr="00EB26F8">
        <w:t xml:space="preserve">Consulté à </w:t>
      </w:r>
      <w:hyperlink r:id="rId18" w:history="1">
        <w:r w:rsidRPr="00EB26F8">
          <w:rPr>
            <w:rStyle w:val="Hyperlink"/>
          </w:rPr>
          <w:t>https://www.sitra.fi/en/projects/futures-frequency/</w:t>
        </w:r>
      </w:hyperlink>
    </w:p>
    <w:p w14:paraId="0BB9BF16" w14:textId="36A18F34" w:rsidR="009B224C" w:rsidRPr="00EB26F8" w:rsidRDefault="009B224C" w:rsidP="0058132A">
      <w:pPr>
        <w:spacing w:after="0" w:line="240" w:lineRule="auto"/>
      </w:pPr>
    </w:p>
    <w:p w14:paraId="52B26798" w14:textId="1862D38B" w:rsidR="00DA6102" w:rsidRDefault="009B224C" w:rsidP="0058132A">
      <w:pPr>
        <w:spacing w:after="0" w:line="240" w:lineRule="auto"/>
        <w:ind w:left="720" w:hanging="720"/>
      </w:pPr>
      <w:r w:rsidRPr="00EB26F8">
        <w:t>Wilner, Alex; Roy, Martin (2020). Canada’s emerging foresight landscape: observations and lessons</w:t>
      </w:r>
      <w:r w:rsidR="0082360A" w:rsidRPr="00EB26F8">
        <w:t xml:space="preserve"> (en anglais seulement)</w:t>
      </w:r>
      <w:r w:rsidRPr="00EB26F8">
        <w:t xml:space="preserve">. </w:t>
      </w:r>
      <w:r>
        <w:rPr>
          <w:i/>
        </w:rPr>
        <w:t>Foresight</w:t>
      </w:r>
      <w:r>
        <w:t>, volume 22 (5/6)</w:t>
      </w:r>
      <w:r w:rsidR="0058132A">
        <w:t> :</w:t>
      </w:r>
      <w:r>
        <w:t xml:space="preserve"> 12 – 10 décembre 2020. Consulté à </w:t>
      </w:r>
      <w:hyperlink r:id="rId19" w:history="1">
        <w:r>
          <w:rPr>
            <w:rStyle w:val="Hyperlink"/>
          </w:rPr>
          <w:t>https://www.emerald.com/insight/content/doi/10.1108/FS-03-2020-0027/full/html?skipTracking=true</w:t>
        </w:r>
      </w:hyperlink>
    </w:p>
    <w:p w14:paraId="213D1739" w14:textId="77777777" w:rsidR="00DA6102" w:rsidRPr="00D90E4B" w:rsidRDefault="00DA6102" w:rsidP="0058132A">
      <w:pPr>
        <w:spacing w:after="0" w:line="240" w:lineRule="auto"/>
      </w:pPr>
    </w:p>
    <w:sectPr w:rsidR="00DA6102" w:rsidRPr="00D90E4B" w:rsidSect="0086777C">
      <w:headerReference w:type="default" r:id="rId20"/>
      <w:headerReference w:type="first" r:id="rId21"/>
      <w:pgSz w:w="12240" w:h="15840" w:code="1"/>
      <w:pgMar w:top="1152" w:right="1296" w:bottom="1008" w:left="1296" w:header="576" w:footer="576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39246" w16cid:durableId="24C78287"/>
  <w16cid:commentId w16cid:paraId="59FB645E" w16cid:durableId="24C78288"/>
  <w16cid:commentId w16cid:paraId="3C566EEB" w16cid:durableId="24C78289"/>
  <w16cid:commentId w16cid:paraId="782B2FCF" w16cid:durableId="24C7828A"/>
  <w16cid:commentId w16cid:paraId="6626E198" w16cid:durableId="24C7828B"/>
  <w16cid:commentId w16cid:paraId="14EB5CF1" w16cid:durableId="24C7828C"/>
  <w16cid:commentId w16cid:paraId="78BB3895" w16cid:durableId="24C7828D"/>
  <w16cid:commentId w16cid:paraId="4775CC68" w16cid:durableId="24C7828E"/>
  <w16cid:commentId w16cid:paraId="6D6C3227" w16cid:durableId="24C782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2C1B2" w14:textId="77777777" w:rsidR="00CC0560" w:rsidRDefault="00CC0560" w:rsidP="008B24F4">
      <w:pPr>
        <w:spacing w:after="0" w:line="240" w:lineRule="auto"/>
      </w:pPr>
      <w:r>
        <w:separator/>
      </w:r>
    </w:p>
  </w:endnote>
  <w:endnote w:type="continuationSeparator" w:id="0">
    <w:p w14:paraId="7598B078" w14:textId="77777777" w:rsidR="00CC0560" w:rsidRDefault="00CC0560" w:rsidP="008B24F4">
      <w:pPr>
        <w:spacing w:after="0" w:line="240" w:lineRule="auto"/>
      </w:pPr>
      <w:r>
        <w:continuationSeparator/>
      </w:r>
    </w:p>
  </w:endnote>
  <w:endnote w:type="continuationNotice" w:id="1">
    <w:p w14:paraId="6E4CD9BF" w14:textId="77777777" w:rsidR="00CC0560" w:rsidRDefault="00CC0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3D9E" w14:textId="77777777" w:rsidR="00CC0560" w:rsidRDefault="00CC0560" w:rsidP="008B24F4">
      <w:pPr>
        <w:spacing w:after="0" w:line="240" w:lineRule="auto"/>
      </w:pPr>
      <w:r>
        <w:separator/>
      </w:r>
    </w:p>
  </w:footnote>
  <w:footnote w:type="continuationSeparator" w:id="0">
    <w:p w14:paraId="751A9B39" w14:textId="77777777" w:rsidR="00CC0560" w:rsidRDefault="00CC0560" w:rsidP="008B24F4">
      <w:pPr>
        <w:spacing w:after="0" w:line="240" w:lineRule="auto"/>
      </w:pPr>
      <w:r>
        <w:continuationSeparator/>
      </w:r>
    </w:p>
  </w:footnote>
  <w:footnote w:type="continuationNotice" w:id="1">
    <w:p w14:paraId="60DA057E" w14:textId="77777777" w:rsidR="00CC0560" w:rsidRDefault="00CC0560">
      <w:pPr>
        <w:spacing w:after="0" w:line="240" w:lineRule="auto"/>
      </w:pPr>
    </w:p>
  </w:footnote>
  <w:footnote w:id="2">
    <w:p w14:paraId="3406CCA0" w14:textId="6798E649" w:rsidR="00BA532C" w:rsidRPr="0058132A" w:rsidRDefault="00BA532C">
      <w:pPr>
        <w:pStyle w:val="FootnoteText"/>
        <w:rPr>
          <w:sz w:val="14"/>
          <w:szCs w:val="14"/>
        </w:rPr>
      </w:pPr>
      <w:r w:rsidRPr="0058132A">
        <w:rPr>
          <w:rStyle w:val="FootnoteReference"/>
          <w:sz w:val="14"/>
          <w:szCs w:val="14"/>
        </w:rPr>
        <w:footnoteRef/>
      </w:r>
      <w:r w:rsidRPr="0058132A">
        <w:rPr>
          <w:sz w:val="14"/>
          <w:szCs w:val="14"/>
        </w:rPr>
        <w:t xml:space="preserve"> Horizons de politiques Canada. (2021). Module 1</w:t>
      </w:r>
      <w:r w:rsidR="0058132A" w:rsidRPr="0058132A">
        <w:rPr>
          <w:sz w:val="14"/>
          <w:szCs w:val="14"/>
        </w:rPr>
        <w:t> :</w:t>
      </w:r>
      <w:r w:rsidRPr="0058132A">
        <w:rPr>
          <w:sz w:val="14"/>
          <w:szCs w:val="14"/>
        </w:rPr>
        <w:t xml:space="preserve"> Introduction à la prospective. Consulté à https://horizons.gc.ca/fr/notre-travail/materiel-dapprentissage/manuel-de-formation-de-prospective-module-1-introduction-a-la-prospective/</w:t>
      </w:r>
    </w:p>
  </w:footnote>
  <w:footnote w:id="3">
    <w:p w14:paraId="03E4D36C" w14:textId="77777777" w:rsidR="00BA532C" w:rsidRPr="0058132A" w:rsidRDefault="00BA532C">
      <w:pPr>
        <w:pStyle w:val="FootnoteText"/>
        <w:rPr>
          <w:sz w:val="14"/>
          <w:szCs w:val="14"/>
        </w:rPr>
      </w:pPr>
      <w:r w:rsidRPr="0058132A">
        <w:rPr>
          <w:rStyle w:val="FootnoteReference"/>
          <w:sz w:val="14"/>
          <w:szCs w:val="14"/>
        </w:rPr>
        <w:footnoteRef/>
      </w:r>
      <w:r w:rsidRPr="0058132A">
        <w:rPr>
          <w:sz w:val="14"/>
          <w:szCs w:val="14"/>
        </w:rPr>
        <w:t xml:space="preserve"> Ibidem.</w:t>
      </w:r>
    </w:p>
  </w:footnote>
  <w:footnote w:id="4">
    <w:p w14:paraId="7C8F79AC" w14:textId="77D280F6" w:rsidR="00BA532C" w:rsidRPr="0058132A" w:rsidRDefault="00BA532C">
      <w:pPr>
        <w:pStyle w:val="FootnoteText"/>
        <w:rPr>
          <w:sz w:val="14"/>
          <w:szCs w:val="14"/>
        </w:rPr>
      </w:pPr>
      <w:r w:rsidRPr="0058132A">
        <w:rPr>
          <w:rStyle w:val="FootnoteReference"/>
          <w:sz w:val="14"/>
          <w:szCs w:val="14"/>
        </w:rPr>
        <w:footnoteRef/>
      </w:r>
      <w:r w:rsidRPr="0058132A">
        <w:rPr>
          <w:sz w:val="14"/>
          <w:szCs w:val="14"/>
        </w:rPr>
        <w:t xml:space="preserve"> Ibidem.</w:t>
      </w:r>
    </w:p>
  </w:footnote>
  <w:footnote w:id="5">
    <w:p w14:paraId="273BB877" w14:textId="77777777" w:rsidR="00BA532C" w:rsidRPr="0058132A" w:rsidRDefault="00BA532C">
      <w:pPr>
        <w:pStyle w:val="FootnoteText"/>
        <w:rPr>
          <w:sz w:val="14"/>
          <w:szCs w:val="14"/>
        </w:rPr>
      </w:pPr>
      <w:r w:rsidRPr="0058132A">
        <w:rPr>
          <w:rStyle w:val="FootnoteReference"/>
          <w:sz w:val="14"/>
          <w:szCs w:val="14"/>
        </w:rPr>
        <w:footnoteRef/>
      </w:r>
      <w:r w:rsidRPr="0058132A">
        <w:rPr>
          <w:sz w:val="14"/>
          <w:szCs w:val="14"/>
        </w:rPr>
        <w:t xml:space="preserve"> Horizons de politiques Canada. (2018). Prospective par rapport à prévision. Consulté à http://canadabeyond150.ca/blog/fr/2018/03/prospective-par-rapport-a-prevision/.</w:t>
      </w:r>
    </w:p>
  </w:footnote>
  <w:footnote w:id="6">
    <w:p w14:paraId="3920862C" w14:textId="503634D5" w:rsidR="00BA532C" w:rsidRPr="0058132A" w:rsidRDefault="00BA532C">
      <w:pPr>
        <w:pStyle w:val="FootnoteText"/>
        <w:rPr>
          <w:sz w:val="14"/>
          <w:szCs w:val="14"/>
        </w:rPr>
      </w:pPr>
      <w:r w:rsidRPr="0058132A">
        <w:rPr>
          <w:rStyle w:val="FootnoteReference"/>
          <w:sz w:val="14"/>
          <w:szCs w:val="14"/>
        </w:rPr>
        <w:footnoteRef/>
      </w:r>
      <w:r w:rsidRPr="0058132A">
        <w:rPr>
          <w:sz w:val="14"/>
          <w:szCs w:val="14"/>
        </w:rPr>
        <w:t xml:space="preserve"> Horizons de politiques Canada. (2021). Module 1</w:t>
      </w:r>
      <w:r w:rsidR="0058132A" w:rsidRPr="0058132A">
        <w:rPr>
          <w:sz w:val="14"/>
          <w:szCs w:val="14"/>
        </w:rPr>
        <w:t> :</w:t>
      </w:r>
      <w:r w:rsidRPr="0058132A">
        <w:rPr>
          <w:sz w:val="14"/>
          <w:szCs w:val="14"/>
        </w:rPr>
        <w:t xml:space="preserve"> Introduction à la prospective. Consulté à https://horizons.gc.ca/fr/notre-travail/materiel-dapprentissage/manuel-de-formation-de-prospective-module-1-introduction-a-la-prospective/</w:t>
      </w:r>
    </w:p>
  </w:footnote>
  <w:footnote w:id="7">
    <w:p w14:paraId="2FC810C4" w14:textId="5D8A162B" w:rsidR="00BA532C" w:rsidRPr="0058132A" w:rsidRDefault="00BA532C">
      <w:pPr>
        <w:pStyle w:val="FootnoteText"/>
        <w:rPr>
          <w:sz w:val="14"/>
          <w:szCs w:val="14"/>
        </w:rPr>
      </w:pPr>
      <w:r w:rsidRPr="0058132A">
        <w:rPr>
          <w:rStyle w:val="FootnoteReference"/>
          <w:sz w:val="14"/>
          <w:szCs w:val="14"/>
        </w:rPr>
        <w:footnoteRef/>
      </w:r>
      <w:r w:rsidRPr="0058132A">
        <w:rPr>
          <w:sz w:val="14"/>
          <w:szCs w:val="14"/>
        </w:rPr>
        <w:t xml:space="preserve"> Ibidem.</w:t>
      </w:r>
    </w:p>
  </w:footnote>
  <w:footnote w:id="8">
    <w:p w14:paraId="2937ED52" w14:textId="69AF24D8" w:rsidR="00BA532C" w:rsidRPr="00513801" w:rsidRDefault="00BA532C">
      <w:pPr>
        <w:pStyle w:val="FootnoteText"/>
        <w:rPr>
          <w:sz w:val="14"/>
          <w:szCs w:val="14"/>
        </w:rPr>
      </w:pPr>
      <w:r w:rsidRPr="0058132A">
        <w:rPr>
          <w:rStyle w:val="FootnoteReference"/>
          <w:sz w:val="14"/>
          <w:szCs w:val="14"/>
        </w:rPr>
        <w:footnoteRef/>
      </w:r>
      <w:r w:rsidRPr="0058132A">
        <w:rPr>
          <w:sz w:val="14"/>
          <w:szCs w:val="14"/>
        </w:rPr>
        <w:t xml:space="preserve"> Horizons de politiques Canada. (2021). Module 1</w:t>
      </w:r>
      <w:r w:rsidR="0058132A" w:rsidRPr="0058132A">
        <w:rPr>
          <w:sz w:val="14"/>
          <w:szCs w:val="14"/>
        </w:rPr>
        <w:t> :</w:t>
      </w:r>
      <w:r w:rsidRPr="0058132A">
        <w:rPr>
          <w:sz w:val="14"/>
          <w:szCs w:val="14"/>
        </w:rPr>
        <w:t xml:space="preserve"> Introduction à la prospective. Consulté à https://horizons.gc.ca/fr/notre-travail/materiel-dapprentissage/manuel-de-formation-de-prospective-module-1-introduction-a-la-prospective/</w:t>
      </w:r>
    </w:p>
  </w:footnote>
  <w:footnote w:id="9">
    <w:p w14:paraId="61982C84" w14:textId="55CD7A48" w:rsidR="00BA532C" w:rsidRPr="00513801" w:rsidRDefault="00BA532C" w:rsidP="00C17817">
      <w:pPr>
        <w:pStyle w:val="FootnoteText"/>
        <w:jc w:val="both"/>
        <w:rPr>
          <w:sz w:val="14"/>
          <w:szCs w:val="14"/>
        </w:rPr>
      </w:pPr>
      <w:r>
        <w:rPr>
          <w:rStyle w:val="FootnoteReference"/>
          <w:sz w:val="14"/>
          <w:szCs w:val="14"/>
        </w:rPr>
        <w:footnoteRef/>
      </w:r>
      <w:r>
        <w:rPr>
          <w:sz w:val="14"/>
        </w:rPr>
        <w:t xml:space="preserve"> Horizons de politiques Canada. (2021). Module 1</w:t>
      </w:r>
      <w:r w:rsidR="0058132A">
        <w:rPr>
          <w:sz w:val="14"/>
        </w:rPr>
        <w:t> :</w:t>
      </w:r>
      <w:r>
        <w:rPr>
          <w:sz w:val="14"/>
        </w:rPr>
        <w:t xml:space="preserve"> Introduction à la prospective. Consulté à https://horizons.gc.ca/fr/notre-travail/materiel-dapprentissage/manuel-de-formation-de-prospective-module-1-introduction-a-la-prospective/</w:t>
      </w:r>
    </w:p>
  </w:footnote>
  <w:footnote w:id="10">
    <w:p w14:paraId="25F0B9F8" w14:textId="1C679FFB" w:rsidR="00BA532C" w:rsidRPr="0058132A" w:rsidRDefault="00BA532C" w:rsidP="00C17817">
      <w:pPr>
        <w:pStyle w:val="FootnoteText"/>
        <w:jc w:val="both"/>
        <w:rPr>
          <w:sz w:val="14"/>
        </w:rPr>
      </w:pPr>
      <w:r>
        <w:rPr>
          <w:rStyle w:val="FootnoteReference"/>
          <w:sz w:val="14"/>
          <w:szCs w:val="14"/>
        </w:rPr>
        <w:footnoteRef/>
      </w:r>
      <w:r>
        <w:rPr>
          <w:sz w:val="14"/>
        </w:rPr>
        <w:t xml:space="preserve"> Ibidem.</w:t>
      </w:r>
    </w:p>
  </w:footnote>
  <w:footnote w:id="11">
    <w:p w14:paraId="1F1B15CB" w14:textId="652B539F" w:rsidR="00BA532C" w:rsidRPr="0058132A" w:rsidRDefault="00BA532C" w:rsidP="00C17817">
      <w:pPr>
        <w:pStyle w:val="FootnoteText"/>
        <w:jc w:val="both"/>
        <w:rPr>
          <w:sz w:val="14"/>
        </w:rPr>
      </w:pPr>
      <w:r>
        <w:rPr>
          <w:rStyle w:val="FootnoteReference"/>
          <w:sz w:val="14"/>
          <w:szCs w:val="14"/>
        </w:rPr>
        <w:footnoteRef/>
      </w:r>
      <w:r>
        <w:rPr>
          <w:sz w:val="14"/>
        </w:rPr>
        <w:t xml:space="preserve"> Ibidem.</w:t>
      </w:r>
    </w:p>
  </w:footnote>
  <w:footnote w:id="12">
    <w:p w14:paraId="6D1FD726" w14:textId="77777777" w:rsidR="00BA532C" w:rsidRPr="00513801" w:rsidRDefault="00BA532C" w:rsidP="00C17817">
      <w:pPr>
        <w:pStyle w:val="FootnoteText"/>
        <w:jc w:val="both"/>
        <w:rPr>
          <w:sz w:val="14"/>
          <w:szCs w:val="14"/>
        </w:rPr>
      </w:pPr>
      <w:r>
        <w:rPr>
          <w:rStyle w:val="FootnoteReference"/>
          <w:sz w:val="14"/>
          <w:szCs w:val="14"/>
        </w:rPr>
        <w:footnoteRef/>
      </w:r>
      <w:r>
        <w:rPr>
          <w:sz w:val="14"/>
        </w:rPr>
        <w:t xml:space="preserve"> Ibidem.</w:t>
      </w:r>
    </w:p>
  </w:footnote>
  <w:footnote w:id="13">
    <w:p w14:paraId="798DB4CD" w14:textId="77777777" w:rsidR="00BA532C" w:rsidRPr="009166D3" w:rsidRDefault="00BA532C" w:rsidP="00C17817">
      <w:pPr>
        <w:pStyle w:val="FootnoteText"/>
        <w:jc w:val="both"/>
        <w:rPr>
          <w:sz w:val="14"/>
          <w:szCs w:val="14"/>
        </w:rPr>
      </w:pPr>
      <w:r>
        <w:rPr>
          <w:rStyle w:val="FootnoteReference"/>
          <w:sz w:val="14"/>
          <w:szCs w:val="14"/>
        </w:rPr>
        <w:footnoteRef/>
      </w:r>
      <w:r>
        <w:rPr>
          <w:sz w:val="14"/>
        </w:rPr>
        <w:t xml:space="preserve"> Ibidem.</w:t>
      </w:r>
    </w:p>
  </w:footnote>
  <w:footnote w:id="14">
    <w:p w14:paraId="4C5E212C" w14:textId="77777777" w:rsidR="00BA532C" w:rsidRPr="0058132A" w:rsidRDefault="00BA532C" w:rsidP="00C17817">
      <w:pPr>
        <w:pStyle w:val="FootnoteText"/>
        <w:jc w:val="both"/>
        <w:rPr>
          <w:sz w:val="14"/>
          <w:szCs w:val="14"/>
          <w:lang w:val="en-CA"/>
        </w:rPr>
      </w:pPr>
      <w:r>
        <w:rPr>
          <w:rStyle w:val="FootnoteReference"/>
          <w:sz w:val="14"/>
          <w:szCs w:val="14"/>
        </w:rPr>
        <w:footnoteRef/>
      </w:r>
      <w:r>
        <w:rPr>
          <w:sz w:val="14"/>
        </w:rPr>
        <w:t xml:space="preserve"> OCDE. </w:t>
      </w:r>
      <w:r w:rsidRPr="0058132A">
        <w:rPr>
          <w:sz w:val="14"/>
          <w:lang w:val="en-CA"/>
        </w:rPr>
        <w:t>Strategic Foresight. (2019). Consulté à https://www.oecd.org/strategic-foresight/ourwork/Strategic%20Foresight%20for%20Better%20Policies.pdf</w:t>
      </w:r>
    </w:p>
  </w:footnote>
  <w:footnote w:id="15">
    <w:p w14:paraId="522B62D6" w14:textId="77777777" w:rsidR="00BA532C" w:rsidRPr="0058132A" w:rsidRDefault="00BA532C">
      <w:pPr>
        <w:pStyle w:val="FootnoteText"/>
        <w:rPr>
          <w:lang w:val="en-C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612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32E845" w14:textId="3C54E7C7" w:rsidR="00BA532C" w:rsidRDefault="00BA53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77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18AA" w14:textId="16F6EF4B" w:rsidR="009D3522" w:rsidRPr="00EB26F8" w:rsidRDefault="002D5688" w:rsidP="00EB26F8">
    <w:pPr>
      <w:pStyle w:val="Header"/>
      <w:jc w:val="right"/>
      <w:rPr>
        <w:sz w:val="28"/>
      </w:rPr>
    </w:pPr>
    <w:r>
      <w:rPr>
        <w:sz w:val="28"/>
      </w:rPr>
      <w:t>NON CLASSIFIÉ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69"/>
    <w:multiLevelType w:val="hybridMultilevel"/>
    <w:tmpl w:val="47F63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73B1"/>
    <w:multiLevelType w:val="hybridMultilevel"/>
    <w:tmpl w:val="7FBE39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4D22"/>
    <w:multiLevelType w:val="hybridMultilevel"/>
    <w:tmpl w:val="448E7AC0"/>
    <w:lvl w:ilvl="0" w:tplc="BB84493E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5717C"/>
    <w:multiLevelType w:val="hybridMultilevel"/>
    <w:tmpl w:val="00B0E10C"/>
    <w:lvl w:ilvl="0" w:tplc="8CEA6A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B7346"/>
    <w:multiLevelType w:val="hybridMultilevel"/>
    <w:tmpl w:val="F40408EC"/>
    <w:lvl w:ilvl="0" w:tplc="7A6E4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B"/>
    <w:rsid w:val="0001594A"/>
    <w:rsid w:val="00071B5E"/>
    <w:rsid w:val="000F2FD4"/>
    <w:rsid w:val="001430EF"/>
    <w:rsid w:val="00164F3D"/>
    <w:rsid w:val="001924BE"/>
    <w:rsid w:val="00195289"/>
    <w:rsid w:val="001C008E"/>
    <w:rsid w:val="00247F57"/>
    <w:rsid w:val="00282182"/>
    <w:rsid w:val="002B61DE"/>
    <w:rsid w:val="002B6C47"/>
    <w:rsid w:val="002D5688"/>
    <w:rsid w:val="002E709C"/>
    <w:rsid w:val="00317A85"/>
    <w:rsid w:val="003218DD"/>
    <w:rsid w:val="003302C4"/>
    <w:rsid w:val="003818D9"/>
    <w:rsid w:val="003C2924"/>
    <w:rsid w:val="00410A24"/>
    <w:rsid w:val="004466E7"/>
    <w:rsid w:val="00446B21"/>
    <w:rsid w:val="004570DF"/>
    <w:rsid w:val="00463289"/>
    <w:rsid w:val="00480F02"/>
    <w:rsid w:val="004B2172"/>
    <w:rsid w:val="004F7725"/>
    <w:rsid w:val="005072AC"/>
    <w:rsid w:val="00513801"/>
    <w:rsid w:val="00554AF4"/>
    <w:rsid w:val="00570D22"/>
    <w:rsid w:val="0058132A"/>
    <w:rsid w:val="00590A4C"/>
    <w:rsid w:val="005932C6"/>
    <w:rsid w:val="00596E47"/>
    <w:rsid w:val="00651E25"/>
    <w:rsid w:val="00661995"/>
    <w:rsid w:val="00672EBC"/>
    <w:rsid w:val="006753FF"/>
    <w:rsid w:val="00692ABA"/>
    <w:rsid w:val="006B394B"/>
    <w:rsid w:val="006B3EEA"/>
    <w:rsid w:val="006F7B9D"/>
    <w:rsid w:val="00795C21"/>
    <w:rsid w:val="008150D8"/>
    <w:rsid w:val="0082360A"/>
    <w:rsid w:val="0086777C"/>
    <w:rsid w:val="00882C4D"/>
    <w:rsid w:val="008B24F4"/>
    <w:rsid w:val="008B716A"/>
    <w:rsid w:val="0090153C"/>
    <w:rsid w:val="009166D3"/>
    <w:rsid w:val="00916BD7"/>
    <w:rsid w:val="009B224C"/>
    <w:rsid w:val="009D0336"/>
    <w:rsid w:val="009D3522"/>
    <w:rsid w:val="009E1EED"/>
    <w:rsid w:val="00A74A1E"/>
    <w:rsid w:val="00A76CA7"/>
    <w:rsid w:val="00A848C8"/>
    <w:rsid w:val="00AA2E69"/>
    <w:rsid w:val="00AC090C"/>
    <w:rsid w:val="00B01382"/>
    <w:rsid w:val="00B329C1"/>
    <w:rsid w:val="00B4217E"/>
    <w:rsid w:val="00B60FB3"/>
    <w:rsid w:val="00B84B04"/>
    <w:rsid w:val="00BA532C"/>
    <w:rsid w:val="00BA7EDA"/>
    <w:rsid w:val="00BB2D2B"/>
    <w:rsid w:val="00C17817"/>
    <w:rsid w:val="00C17C96"/>
    <w:rsid w:val="00C474BF"/>
    <w:rsid w:val="00CA4F20"/>
    <w:rsid w:val="00CB1952"/>
    <w:rsid w:val="00CC0560"/>
    <w:rsid w:val="00CC134D"/>
    <w:rsid w:val="00CD40CD"/>
    <w:rsid w:val="00CF6BEC"/>
    <w:rsid w:val="00D104EF"/>
    <w:rsid w:val="00D7086B"/>
    <w:rsid w:val="00D90E4B"/>
    <w:rsid w:val="00DA6102"/>
    <w:rsid w:val="00E529B1"/>
    <w:rsid w:val="00E53F3E"/>
    <w:rsid w:val="00EB094A"/>
    <w:rsid w:val="00EB26F8"/>
    <w:rsid w:val="00EC2CC8"/>
    <w:rsid w:val="00EE25CC"/>
    <w:rsid w:val="00EE5A2C"/>
    <w:rsid w:val="00F810F7"/>
    <w:rsid w:val="0EA58704"/>
    <w:rsid w:val="12FCBC52"/>
    <w:rsid w:val="16BFADF2"/>
    <w:rsid w:val="1A357E2A"/>
    <w:rsid w:val="1FE9D8CA"/>
    <w:rsid w:val="2A460869"/>
    <w:rsid w:val="2DD5D4B5"/>
    <w:rsid w:val="2F31D4F0"/>
    <w:rsid w:val="30291920"/>
    <w:rsid w:val="33B63128"/>
    <w:rsid w:val="3A40F1D7"/>
    <w:rsid w:val="3B26E488"/>
    <w:rsid w:val="433D009D"/>
    <w:rsid w:val="43419FAF"/>
    <w:rsid w:val="4DB1114C"/>
    <w:rsid w:val="519D2FF7"/>
    <w:rsid w:val="543CB5A3"/>
    <w:rsid w:val="58C905F4"/>
    <w:rsid w:val="5B710277"/>
    <w:rsid w:val="6B0F83F7"/>
    <w:rsid w:val="6B313DC9"/>
    <w:rsid w:val="6E35651E"/>
    <w:rsid w:val="7BF4A418"/>
    <w:rsid w:val="7FA7B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D21D48"/>
  <w15:chartTrackingRefBased/>
  <w15:docId w15:val="{BC9AA79F-D457-470A-AD60-CC9EBFDC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0CD"/>
    <w:pPr>
      <w:keepNext/>
      <w:keepLines/>
      <w:spacing w:before="240" w:after="0"/>
      <w:outlineLvl w:val="0"/>
    </w:pPr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E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2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4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4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64F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8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25"/>
  </w:style>
  <w:style w:type="paragraph" w:styleId="Footer">
    <w:name w:val="footer"/>
    <w:basedOn w:val="Normal"/>
    <w:link w:val="FooterChar"/>
    <w:uiPriority w:val="99"/>
    <w:unhideWhenUsed/>
    <w:rsid w:val="0065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25"/>
  </w:style>
  <w:style w:type="character" w:styleId="CommentReference">
    <w:name w:val="annotation reference"/>
    <w:basedOn w:val="DefaultParagraphFont"/>
    <w:uiPriority w:val="99"/>
    <w:semiHidden/>
    <w:unhideWhenUsed/>
    <w:rsid w:val="00A8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C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76CA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76C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D40CD"/>
    <w:rPr>
      <w:rFonts w:eastAsiaTheme="majorEastAsia" w:cstheme="majorBidi"/>
      <w:b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E4B"/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E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8218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B26F8"/>
    <w:pPr>
      <w:spacing w:after="24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6F8"/>
    <w:rPr>
      <w:rFonts w:eastAsiaTheme="majorEastAsia" w:cstheme="majorBidi"/>
      <w:b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rizons.gc.ca/fr/notre-travail/materiel-dapprentissage/manuel-de-formation-de-prospective-module-1-introduction-a-la-prospective/" TargetMode="External"/><Relationship Id="rId18" Type="http://schemas.openxmlformats.org/officeDocument/2006/relationships/hyperlink" Target="https://www.sitra.fi/en/projects/futures-frequency/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canadabeyond150.ca/blog/fr/2018/03/prospective-par-rapport-a-prevision/" TargetMode="External"/><Relationship Id="rId17" Type="http://schemas.openxmlformats.org/officeDocument/2006/relationships/hyperlink" Target="https://www.gov.uk/government/publications/futures-thinking-and-foresight-a-brief-gui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esightprojects.blog.gov.uk/2021/05/12/features-of-effective-systemic-foresight-in-governments-around-the-worl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horizons.gc.ca/fr/ressource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merald.com/insight/content/doi/10.1108/FS-03-2020-0027/full/html?skipTracking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ecd.org/strategic-foresight/ourwork/Strategic%20Foresight%20for%20Better%20Policie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AD95724B8414680631D3871C01FE3" ma:contentTypeVersion="5" ma:contentTypeDescription="Create a new document." ma:contentTypeScope="" ma:versionID="2cf91a73642552ccb41e7af31c74893e">
  <xsd:schema xmlns:xsd="http://www.w3.org/2001/XMLSchema" xmlns:xs="http://www.w3.org/2001/XMLSchema" xmlns:p="http://schemas.microsoft.com/office/2006/metadata/properties" xmlns:ns2="f411e69e-8c9c-4296-a988-c44aa7846d9b" targetNamespace="http://schemas.microsoft.com/office/2006/metadata/properties" ma:root="true" ma:fieldsID="d99f958e2a3c55d2935205b3a1eba7e7" ns2:_="">
    <xsd:import namespace="f411e69e-8c9c-4296-a988-c44aa7846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1e69e-8c9c-4296-a988-c44aa7846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4CBFB32-91C6-4CEB-9974-DCC0385153CD}"/>
</file>

<file path=customXml/itemProps2.xml><?xml version="1.0" encoding="utf-8"?>
<ds:datastoreItem xmlns:ds="http://schemas.openxmlformats.org/officeDocument/2006/customXml" ds:itemID="{62BD0386-8755-4918-975F-9401CE8E1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CEF54-53D7-4756-AE6B-74B2338CACC4}">
  <ds:schemaRefs>
    <ds:schemaRef ds:uri="c624f32c-9443-4bbf-9e67-4d9d90a23f6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227ff10-e130-47d4-b8a6-bb79e889b3c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59500F-76A2-4908-953B-4A119A95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à la prospective stratégique</dc:title>
  <dc:subject/>
  <dc:creator>Crossman, Deanna DE [NC]</dc:creator>
  <cp:keywords/>
  <dc:description/>
  <cp:lastModifiedBy>Lee, Hannah H [NC]</cp:lastModifiedBy>
  <cp:revision>3</cp:revision>
  <dcterms:created xsi:type="dcterms:W3CDTF">2021-08-23T15:54:00Z</dcterms:created>
  <dcterms:modified xsi:type="dcterms:W3CDTF">2021-08-23T16:22:00Z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0x010100EF2AD95724B8414680631D3871C01FE3</vt:lpwstr>
  </property>
</Properties>
</file>