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CECF" w14:textId="0CA4731F" w:rsidR="00E676D9" w:rsidRPr="00E676D9" w:rsidRDefault="00E676D9" w:rsidP="00FD384F">
      <w:pPr>
        <w:spacing w:after="0" w:line="240" w:lineRule="auto"/>
        <w:jc w:val="center"/>
        <w:rPr>
          <w:rFonts w:ascii="Arial" w:eastAsia="Times New Roman" w:hAnsi="Arial" w:cs="Arial"/>
          <w:sz w:val="32"/>
          <w:szCs w:val="32"/>
        </w:rPr>
      </w:pPr>
      <w:r w:rsidRPr="00E676D9">
        <w:rPr>
          <w:rFonts w:ascii="Arial" w:eastAsia="Times New Roman" w:hAnsi="Arial" w:cs="Arial"/>
          <w:b/>
          <w:bCs/>
          <w:sz w:val="32"/>
          <w:szCs w:val="32"/>
        </w:rPr>
        <w:t>Composition of groups for PSES 202</w:t>
      </w:r>
      <w:r w:rsidR="002C5513">
        <w:rPr>
          <w:rFonts w:ascii="Arial" w:eastAsia="Times New Roman" w:hAnsi="Arial" w:cs="Arial"/>
          <w:b/>
          <w:bCs/>
          <w:sz w:val="32"/>
          <w:szCs w:val="32"/>
        </w:rPr>
        <w:t>4</w:t>
      </w:r>
    </w:p>
    <w:p w14:paraId="5936C752" w14:textId="77777777" w:rsidR="00E676D9" w:rsidRPr="00E676D9" w:rsidRDefault="00E676D9" w:rsidP="00E676D9">
      <w:pPr>
        <w:spacing w:after="0" w:line="240" w:lineRule="auto"/>
        <w:rPr>
          <w:rFonts w:ascii="Arial" w:eastAsia="Times New Roman" w:hAnsi="Arial" w:cs="Arial"/>
        </w:rPr>
      </w:pPr>
      <w:r w:rsidRPr="00E676D9">
        <w:rPr>
          <w:rFonts w:ascii="Arial" w:eastAsia="Times New Roman" w:hAnsi="Arial" w:cs="Arial"/>
        </w:rPr>
        <w:t>  </w:t>
      </w:r>
    </w:p>
    <w:p w14:paraId="2504010D" w14:textId="27682F98" w:rsidR="00E676D9" w:rsidRPr="00E676D9" w:rsidRDefault="00E676D9" w:rsidP="00E676D9">
      <w:pPr>
        <w:spacing w:after="0" w:line="240" w:lineRule="auto"/>
        <w:rPr>
          <w:rFonts w:ascii="Arial" w:eastAsia="Times New Roman" w:hAnsi="Arial" w:cs="Arial"/>
        </w:rPr>
      </w:pPr>
    </w:p>
    <w:p w14:paraId="4AD7FD6F" w14:textId="3E6EC140" w:rsidR="00AA0AC7" w:rsidRPr="00AA0AC7" w:rsidRDefault="00E676D9" w:rsidP="00AA0AC7">
      <w:pPr>
        <w:spacing w:after="0" w:line="240" w:lineRule="auto"/>
        <w:textAlignment w:val="center"/>
        <w:rPr>
          <w:rFonts w:ascii="Calibri" w:eastAsia="Times New Roman" w:hAnsi="Calibri" w:cs="Calibri"/>
        </w:rPr>
      </w:pPr>
      <w:r w:rsidRPr="00AA0AC7">
        <w:rPr>
          <w:rFonts w:ascii="Arial" w:eastAsia="Times New Roman" w:hAnsi="Arial" w:cs="Arial"/>
          <w:b/>
          <w:bCs/>
        </w:rPr>
        <w:t>Corporate Services</w:t>
      </w:r>
      <w:r w:rsidR="00AA0AC7">
        <w:rPr>
          <w:rFonts w:ascii="Arial" w:eastAsia="Times New Roman" w:hAnsi="Arial" w:cs="Arial"/>
          <w:b/>
          <w:bCs/>
        </w:rPr>
        <w:t xml:space="preserve"> (95)</w:t>
      </w:r>
      <w:r w:rsidRPr="00AA0AC7">
        <w:rPr>
          <w:rFonts w:ascii="Arial" w:eastAsia="Times New Roman" w:hAnsi="Arial" w:cs="Arial"/>
          <w:b/>
          <w:bCs/>
        </w:rPr>
        <w:t xml:space="preserve"> </w:t>
      </w:r>
    </w:p>
    <w:p w14:paraId="06871456" w14:textId="7C9273D7" w:rsidR="00AA0AC7" w:rsidRPr="00AA0AC7" w:rsidRDefault="00E676D9" w:rsidP="00E676D9">
      <w:pPr>
        <w:numPr>
          <w:ilvl w:val="0"/>
          <w:numId w:val="1"/>
        </w:numPr>
        <w:spacing w:after="0" w:line="240" w:lineRule="auto"/>
        <w:textAlignment w:val="center"/>
        <w:rPr>
          <w:rFonts w:ascii="Calibri" w:eastAsia="Times New Roman" w:hAnsi="Calibri" w:cs="Calibri"/>
        </w:rPr>
      </w:pPr>
      <w:r w:rsidRPr="00E676D9">
        <w:rPr>
          <w:rFonts w:ascii="Arial" w:eastAsia="Times New Roman" w:hAnsi="Arial" w:cs="Arial"/>
        </w:rPr>
        <w:t xml:space="preserve">Corporate </w:t>
      </w:r>
      <w:r w:rsidR="00AA0AC7">
        <w:rPr>
          <w:rFonts w:ascii="Arial" w:eastAsia="Times New Roman" w:hAnsi="Arial" w:cs="Arial"/>
        </w:rPr>
        <w:t>Secretariat</w:t>
      </w:r>
    </w:p>
    <w:p w14:paraId="7606E9BF" w14:textId="77777777" w:rsidR="00AA0AC7" w:rsidRPr="00AA0AC7" w:rsidRDefault="00AA0AC7" w:rsidP="00E676D9">
      <w:pPr>
        <w:numPr>
          <w:ilvl w:val="0"/>
          <w:numId w:val="1"/>
        </w:numPr>
        <w:spacing w:after="0" w:line="240" w:lineRule="auto"/>
        <w:textAlignment w:val="center"/>
        <w:rPr>
          <w:rFonts w:ascii="Calibri" w:eastAsia="Times New Roman" w:hAnsi="Calibri" w:cs="Calibri"/>
        </w:rPr>
      </w:pPr>
      <w:r>
        <w:rPr>
          <w:rFonts w:ascii="Arial" w:eastAsia="Times New Roman" w:hAnsi="Arial" w:cs="Arial"/>
        </w:rPr>
        <w:t>Security and Administrative Services (includes A</w:t>
      </w:r>
      <w:r w:rsidR="00E676D9" w:rsidRPr="00E676D9">
        <w:rPr>
          <w:rFonts w:ascii="Arial" w:eastAsia="Times New Roman" w:hAnsi="Arial" w:cs="Arial"/>
        </w:rPr>
        <w:t>ccommodations</w:t>
      </w:r>
      <w:r>
        <w:rPr>
          <w:rFonts w:ascii="Arial" w:eastAsia="Times New Roman" w:hAnsi="Arial" w:cs="Arial"/>
        </w:rPr>
        <w:t>/Facilities and Procurement)</w:t>
      </w:r>
    </w:p>
    <w:p w14:paraId="252EF368" w14:textId="77777777" w:rsidR="00AA0AC7" w:rsidRPr="00AA0AC7" w:rsidRDefault="00E676D9" w:rsidP="00E676D9">
      <w:pPr>
        <w:numPr>
          <w:ilvl w:val="0"/>
          <w:numId w:val="1"/>
        </w:numPr>
        <w:spacing w:after="0" w:line="240" w:lineRule="auto"/>
        <w:textAlignment w:val="center"/>
        <w:rPr>
          <w:rFonts w:ascii="Calibri" w:eastAsia="Times New Roman" w:hAnsi="Calibri" w:cs="Calibri"/>
        </w:rPr>
      </w:pPr>
      <w:r w:rsidRPr="00E676D9">
        <w:rPr>
          <w:rFonts w:ascii="Arial" w:eastAsia="Times New Roman" w:hAnsi="Arial" w:cs="Arial"/>
        </w:rPr>
        <w:t>Human Resources</w:t>
      </w:r>
    </w:p>
    <w:p w14:paraId="3ACAAEC5" w14:textId="77777777" w:rsidR="00AA0AC7" w:rsidRPr="00AA0AC7" w:rsidRDefault="00AA0AC7" w:rsidP="00E676D9">
      <w:pPr>
        <w:numPr>
          <w:ilvl w:val="0"/>
          <w:numId w:val="1"/>
        </w:numPr>
        <w:spacing w:after="0" w:line="240" w:lineRule="auto"/>
        <w:textAlignment w:val="center"/>
        <w:rPr>
          <w:rFonts w:ascii="Calibri" w:eastAsia="Times New Roman" w:hAnsi="Calibri" w:cs="Calibri"/>
        </w:rPr>
      </w:pPr>
      <w:r>
        <w:rPr>
          <w:rFonts w:ascii="Arial" w:eastAsia="Times New Roman" w:hAnsi="Arial" w:cs="Arial"/>
        </w:rPr>
        <w:t>Access to Information and Privacy (ATIP)</w:t>
      </w:r>
    </w:p>
    <w:p w14:paraId="1C7C8BE8" w14:textId="77777777" w:rsidR="00AA0AC7" w:rsidRPr="00AA0AC7" w:rsidRDefault="00E676D9" w:rsidP="00E676D9">
      <w:pPr>
        <w:numPr>
          <w:ilvl w:val="0"/>
          <w:numId w:val="1"/>
        </w:numPr>
        <w:spacing w:after="0" w:line="240" w:lineRule="auto"/>
        <w:textAlignment w:val="center"/>
        <w:rPr>
          <w:rFonts w:ascii="Calibri" w:eastAsia="Times New Roman" w:hAnsi="Calibri" w:cs="Calibri"/>
        </w:rPr>
      </w:pPr>
      <w:r w:rsidRPr="00E676D9">
        <w:rPr>
          <w:rFonts w:ascii="Arial" w:eastAsia="Times New Roman" w:hAnsi="Arial" w:cs="Arial"/>
        </w:rPr>
        <w:t>Finance</w:t>
      </w:r>
    </w:p>
    <w:p w14:paraId="721C65A1" w14:textId="77777777" w:rsidR="00AA0AC7" w:rsidRPr="00AA0AC7" w:rsidRDefault="00AA0AC7" w:rsidP="00E676D9">
      <w:pPr>
        <w:numPr>
          <w:ilvl w:val="0"/>
          <w:numId w:val="1"/>
        </w:numPr>
        <w:spacing w:after="0" w:line="240" w:lineRule="auto"/>
        <w:textAlignment w:val="center"/>
        <w:rPr>
          <w:rFonts w:ascii="Calibri" w:eastAsia="Times New Roman" w:hAnsi="Calibri" w:cs="Calibri"/>
        </w:rPr>
      </w:pPr>
      <w:r>
        <w:rPr>
          <w:rFonts w:ascii="Arial" w:eastAsia="Times New Roman" w:hAnsi="Arial" w:cs="Arial"/>
        </w:rPr>
        <w:t xml:space="preserve">Strategic </w:t>
      </w:r>
      <w:r w:rsidR="00E676D9" w:rsidRPr="00E676D9">
        <w:rPr>
          <w:rFonts w:ascii="Arial" w:eastAsia="Times New Roman" w:hAnsi="Arial" w:cs="Arial"/>
        </w:rPr>
        <w:t xml:space="preserve">Planning and </w:t>
      </w:r>
      <w:r>
        <w:rPr>
          <w:rFonts w:ascii="Arial" w:eastAsia="Times New Roman" w:hAnsi="Arial" w:cs="Arial"/>
        </w:rPr>
        <w:t>Performance</w:t>
      </w:r>
    </w:p>
    <w:p w14:paraId="25A90646" w14:textId="3AAC9E3B" w:rsidR="00E676D9" w:rsidRPr="00AA0AC7" w:rsidRDefault="00AA0AC7" w:rsidP="00E676D9">
      <w:pPr>
        <w:numPr>
          <w:ilvl w:val="0"/>
          <w:numId w:val="1"/>
        </w:numPr>
        <w:spacing w:after="0" w:line="240" w:lineRule="auto"/>
        <w:textAlignment w:val="center"/>
        <w:rPr>
          <w:rFonts w:ascii="Calibri" w:eastAsia="Times New Roman" w:hAnsi="Calibri" w:cs="Calibri"/>
        </w:rPr>
      </w:pPr>
      <w:r>
        <w:rPr>
          <w:rFonts w:ascii="Arial" w:eastAsia="Times New Roman" w:hAnsi="Arial" w:cs="Arial"/>
        </w:rPr>
        <w:t xml:space="preserve">Corporate </w:t>
      </w:r>
      <w:r w:rsidR="00E676D9" w:rsidRPr="00E676D9">
        <w:rPr>
          <w:rFonts w:ascii="Arial" w:eastAsia="Times New Roman" w:hAnsi="Arial" w:cs="Arial"/>
        </w:rPr>
        <w:t xml:space="preserve">Communications </w:t>
      </w:r>
    </w:p>
    <w:p w14:paraId="6171A561" w14:textId="77777777" w:rsidR="00AA0AC7" w:rsidRPr="00E676D9" w:rsidRDefault="00AA0AC7" w:rsidP="00AA0AC7">
      <w:pPr>
        <w:spacing w:after="0" w:line="240" w:lineRule="auto"/>
        <w:ind w:left="1080"/>
        <w:textAlignment w:val="center"/>
        <w:rPr>
          <w:rFonts w:ascii="Calibri" w:eastAsia="Times New Roman" w:hAnsi="Calibri" w:cs="Calibri"/>
        </w:rPr>
      </w:pPr>
    </w:p>
    <w:p w14:paraId="1ECE9372" w14:textId="7CF1CA66" w:rsidR="00AA0AC7" w:rsidRPr="00AA0AC7" w:rsidRDefault="00E676D9" w:rsidP="00AA0AC7">
      <w:pPr>
        <w:spacing w:after="0" w:line="240" w:lineRule="auto"/>
        <w:textAlignment w:val="center"/>
        <w:rPr>
          <w:rFonts w:ascii="Arial" w:eastAsia="Times New Roman" w:hAnsi="Arial" w:cs="Arial"/>
          <w:b/>
          <w:bCs/>
          <w:lang w:val="en-029"/>
        </w:rPr>
      </w:pPr>
      <w:r w:rsidRPr="00AA0AC7">
        <w:rPr>
          <w:rFonts w:ascii="Arial" w:eastAsia="Times New Roman" w:hAnsi="Arial" w:cs="Arial"/>
          <w:b/>
          <w:bCs/>
          <w:lang w:val="en-029"/>
        </w:rPr>
        <w:t>All other Internal Services</w:t>
      </w:r>
      <w:r w:rsidR="00AA0AC7" w:rsidRPr="00AA0AC7">
        <w:rPr>
          <w:rFonts w:ascii="Arial" w:eastAsia="Times New Roman" w:hAnsi="Arial" w:cs="Arial"/>
          <w:b/>
          <w:bCs/>
          <w:lang w:val="en-029"/>
        </w:rPr>
        <w:t xml:space="preserve"> (67)</w:t>
      </w:r>
    </w:p>
    <w:p w14:paraId="6B927F88" w14:textId="77777777" w:rsidR="00AA0AC7" w:rsidRPr="00AA0AC7" w:rsidRDefault="00E676D9" w:rsidP="00AA0AC7">
      <w:pPr>
        <w:pStyle w:val="ListParagraph"/>
        <w:numPr>
          <w:ilvl w:val="0"/>
          <w:numId w:val="2"/>
        </w:numPr>
        <w:spacing w:after="0" w:line="240" w:lineRule="auto"/>
        <w:textAlignment w:val="center"/>
        <w:rPr>
          <w:rFonts w:ascii="Arial" w:eastAsia="Times New Roman" w:hAnsi="Arial" w:cs="Arial"/>
          <w:lang w:val="en-029"/>
        </w:rPr>
      </w:pPr>
      <w:r w:rsidRPr="00AA0AC7">
        <w:rPr>
          <w:rFonts w:ascii="Arial" w:eastAsia="Times New Roman" w:hAnsi="Arial" w:cs="Arial"/>
          <w:lang w:val="en-029"/>
        </w:rPr>
        <w:t>Information Services and Solutions Team</w:t>
      </w:r>
      <w:r w:rsidR="00AA0AC7" w:rsidRPr="00AA0AC7">
        <w:rPr>
          <w:rFonts w:ascii="Arial" w:eastAsia="Times New Roman" w:hAnsi="Arial" w:cs="Arial"/>
          <w:lang w:val="en-029"/>
        </w:rPr>
        <w:t xml:space="preserve"> (IM/IT)</w:t>
      </w:r>
    </w:p>
    <w:p w14:paraId="606267E5" w14:textId="47CFB691" w:rsidR="00E676D9" w:rsidRPr="00AA0AC7" w:rsidRDefault="00E676D9" w:rsidP="00AA0AC7">
      <w:pPr>
        <w:pStyle w:val="ListParagraph"/>
        <w:numPr>
          <w:ilvl w:val="0"/>
          <w:numId w:val="2"/>
        </w:numPr>
        <w:spacing w:after="0" w:line="240" w:lineRule="auto"/>
        <w:textAlignment w:val="center"/>
        <w:rPr>
          <w:rFonts w:ascii="Arial" w:eastAsia="Times New Roman" w:hAnsi="Arial" w:cs="Arial"/>
          <w:lang w:val="en-029"/>
        </w:rPr>
      </w:pPr>
      <w:r w:rsidRPr="00AA0AC7">
        <w:rPr>
          <w:rFonts w:ascii="Arial" w:eastAsia="Times New Roman" w:hAnsi="Arial" w:cs="Arial"/>
          <w:lang w:val="en-029"/>
        </w:rPr>
        <w:t>Chief Administrator's Office</w:t>
      </w:r>
    </w:p>
    <w:p w14:paraId="1EB49CC6" w14:textId="1B583508" w:rsidR="00AA0AC7" w:rsidRPr="00AA0AC7" w:rsidRDefault="00AA0AC7" w:rsidP="00AA0AC7">
      <w:pPr>
        <w:pStyle w:val="ListParagraph"/>
        <w:numPr>
          <w:ilvl w:val="0"/>
          <w:numId w:val="2"/>
        </w:numPr>
        <w:spacing w:after="0" w:line="240" w:lineRule="auto"/>
        <w:textAlignment w:val="center"/>
        <w:rPr>
          <w:rFonts w:ascii="Arial" w:eastAsia="Times New Roman" w:hAnsi="Arial" w:cs="Arial"/>
          <w:lang w:val="en-029"/>
        </w:rPr>
      </w:pPr>
      <w:r w:rsidRPr="00AA0AC7">
        <w:rPr>
          <w:rFonts w:ascii="Arial" w:eastAsia="Times New Roman" w:hAnsi="Arial" w:cs="Arial"/>
          <w:lang w:val="en-029"/>
        </w:rPr>
        <w:t>Deputy Chief Administrator’s Office</w:t>
      </w:r>
    </w:p>
    <w:p w14:paraId="2346D9E9" w14:textId="77777777" w:rsidR="00AA0AC7" w:rsidRPr="00E676D9" w:rsidRDefault="00AA0AC7" w:rsidP="00AA0AC7">
      <w:pPr>
        <w:spacing w:after="0" w:line="240" w:lineRule="auto"/>
        <w:textAlignment w:val="center"/>
        <w:rPr>
          <w:rFonts w:ascii="Calibri" w:eastAsia="Times New Roman" w:hAnsi="Calibri" w:cs="Calibri"/>
          <w:lang w:val="en-029"/>
        </w:rPr>
      </w:pPr>
    </w:p>
    <w:p w14:paraId="3A38AC6F" w14:textId="288031C2" w:rsidR="00E676D9" w:rsidRPr="0012056A" w:rsidRDefault="00E676D9" w:rsidP="00AA0AC7">
      <w:pPr>
        <w:spacing w:after="0" w:line="240" w:lineRule="auto"/>
        <w:textAlignment w:val="center"/>
        <w:rPr>
          <w:rFonts w:ascii="Arial" w:eastAsia="Times New Roman" w:hAnsi="Arial" w:cs="Arial"/>
          <w:b/>
          <w:bCs/>
          <w:lang w:val="en-029"/>
        </w:rPr>
      </w:pPr>
      <w:r w:rsidRPr="0012056A">
        <w:rPr>
          <w:rFonts w:ascii="Arial" w:eastAsia="Times New Roman" w:hAnsi="Arial" w:cs="Arial"/>
          <w:b/>
          <w:bCs/>
          <w:lang w:val="en-029"/>
        </w:rPr>
        <w:t>Social Security Tribunal Secretariat Registry Operations (11</w:t>
      </w:r>
      <w:r w:rsidR="0012056A" w:rsidRPr="0012056A">
        <w:rPr>
          <w:rFonts w:ascii="Arial" w:eastAsia="Times New Roman" w:hAnsi="Arial" w:cs="Arial"/>
          <w:b/>
          <w:bCs/>
          <w:lang w:val="en-029"/>
        </w:rPr>
        <w:t>6</w:t>
      </w:r>
      <w:r w:rsidRPr="0012056A">
        <w:rPr>
          <w:rFonts w:ascii="Arial" w:eastAsia="Times New Roman" w:hAnsi="Arial" w:cs="Arial"/>
          <w:b/>
          <w:bCs/>
          <w:lang w:val="en-029"/>
        </w:rPr>
        <w:t>)</w:t>
      </w:r>
    </w:p>
    <w:p w14:paraId="30B69B0A" w14:textId="77777777" w:rsidR="0012056A" w:rsidRPr="00E676D9" w:rsidRDefault="0012056A" w:rsidP="00AA0AC7">
      <w:pPr>
        <w:spacing w:after="0" w:line="240" w:lineRule="auto"/>
        <w:textAlignment w:val="center"/>
        <w:rPr>
          <w:rFonts w:ascii="Calibri" w:eastAsia="Times New Roman" w:hAnsi="Calibri" w:cs="Calibri"/>
          <w:lang w:val="en-029"/>
        </w:rPr>
      </w:pPr>
    </w:p>
    <w:p w14:paraId="2B3BFBE9" w14:textId="45B3179F" w:rsidR="00E676D9" w:rsidRPr="0012056A" w:rsidRDefault="00E676D9" w:rsidP="00AA0AC7">
      <w:pPr>
        <w:spacing w:after="0" w:line="240" w:lineRule="auto"/>
        <w:textAlignment w:val="center"/>
        <w:rPr>
          <w:rFonts w:ascii="Arial" w:eastAsia="Times New Roman" w:hAnsi="Arial" w:cs="Arial"/>
          <w:b/>
          <w:bCs/>
          <w:lang w:val="en-029"/>
        </w:rPr>
      </w:pPr>
      <w:r w:rsidRPr="0012056A">
        <w:rPr>
          <w:rFonts w:ascii="Arial" w:eastAsia="Times New Roman" w:hAnsi="Arial" w:cs="Arial"/>
          <w:b/>
          <w:bCs/>
          <w:lang w:val="en-029"/>
        </w:rPr>
        <w:t>All other Social Security Tribunal Secretariat Functions (</w:t>
      </w:r>
      <w:r w:rsidR="0012056A" w:rsidRPr="0012056A">
        <w:rPr>
          <w:rFonts w:ascii="Arial" w:eastAsia="Times New Roman" w:hAnsi="Arial" w:cs="Arial"/>
          <w:b/>
          <w:bCs/>
          <w:lang w:val="en-029"/>
        </w:rPr>
        <w:t>8</w:t>
      </w:r>
      <w:r w:rsidRPr="0012056A">
        <w:rPr>
          <w:rFonts w:ascii="Arial" w:eastAsia="Times New Roman" w:hAnsi="Arial" w:cs="Arial"/>
          <w:b/>
          <w:bCs/>
          <w:lang w:val="en-029"/>
        </w:rPr>
        <w:t>5)</w:t>
      </w:r>
    </w:p>
    <w:p w14:paraId="01C5C441" w14:textId="77777777" w:rsidR="0012056A" w:rsidRPr="00E676D9" w:rsidRDefault="0012056A" w:rsidP="00AA0AC7">
      <w:pPr>
        <w:spacing w:after="0" w:line="240" w:lineRule="auto"/>
        <w:textAlignment w:val="center"/>
        <w:rPr>
          <w:rFonts w:ascii="Calibri" w:eastAsia="Times New Roman" w:hAnsi="Calibri" w:cs="Calibri"/>
          <w:lang w:val="en-029"/>
        </w:rPr>
      </w:pPr>
    </w:p>
    <w:p w14:paraId="658D0E48" w14:textId="77777777" w:rsidR="009144E3" w:rsidRDefault="00E676D9" w:rsidP="00AA0AC7">
      <w:pPr>
        <w:spacing w:after="0" w:line="240" w:lineRule="auto"/>
        <w:textAlignment w:val="center"/>
        <w:rPr>
          <w:rFonts w:ascii="Arial" w:eastAsia="Times New Roman" w:hAnsi="Arial" w:cs="Arial"/>
          <w:b/>
          <w:bCs/>
          <w:lang w:val="en-029"/>
        </w:rPr>
      </w:pPr>
      <w:r w:rsidRPr="0012056A">
        <w:rPr>
          <w:rFonts w:ascii="Arial" w:eastAsia="Times New Roman" w:hAnsi="Arial" w:cs="Arial"/>
          <w:b/>
          <w:bCs/>
          <w:lang w:val="en-029"/>
        </w:rPr>
        <w:t>Integrated Secretariat 1</w:t>
      </w:r>
      <w:r w:rsidR="009144E3">
        <w:rPr>
          <w:rFonts w:ascii="Arial" w:eastAsia="Times New Roman" w:hAnsi="Arial" w:cs="Arial"/>
          <w:b/>
          <w:bCs/>
          <w:lang w:val="en-029"/>
        </w:rPr>
        <w:t xml:space="preserve"> (35)</w:t>
      </w:r>
      <w:r w:rsidR="0012056A" w:rsidRPr="0012056A">
        <w:rPr>
          <w:rFonts w:ascii="Arial" w:eastAsia="Times New Roman" w:hAnsi="Arial" w:cs="Arial"/>
          <w:b/>
          <w:bCs/>
          <w:lang w:val="en-029"/>
        </w:rPr>
        <w:t xml:space="preserve"> </w:t>
      </w:r>
    </w:p>
    <w:p w14:paraId="373BEE77" w14:textId="63492E19" w:rsidR="00E676D9" w:rsidRPr="009144E3" w:rsidRDefault="009144E3" w:rsidP="009144E3">
      <w:pPr>
        <w:pStyle w:val="ListParagraph"/>
        <w:numPr>
          <w:ilvl w:val="0"/>
          <w:numId w:val="2"/>
        </w:numPr>
        <w:spacing w:after="0" w:line="240" w:lineRule="auto"/>
        <w:textAlignment w:val="center"/>
        <w:rPr>
          <w:rFonts w:ascii="Arial" w:eastAsia="Times New Roman" w:hAnsi="Arial" w:cs="Arial"/>
          <w:lang w:val="en-029"/>
        </w:rPr>
      </w:pPr>
      <w:r w:rsidRPr="009144E3">
        <w:rPr>
          <w:rFonts w:ascii="Arial" w:eastAsia="Times New Roman" w:hAnsi="Arial" w:cs="Arial"/>
          <w:lang w:val="en-029"/>
        </w:rPr>
        <w:t>S</w:t>
      </w:r>
      <w:r w:rsidR="00E676D9" w:rsidRPr="009144E3">
        <w:rPr>
          <w:rFonts w:ascii="Arial" w:eastAsia="Times New Roman" w:hAnsi="Arial" w:cs="Arial"/>
          <w:lang w:val="en-029"/>
        </w:rPr>
        <w:t>ervin</w:t>
      </w:r>
      <w:r w:rsidR="00270542">
        <w:rPr>
          <w:rFonts w:ascii="Arial" w:eastAsia="Times New Roman" w:hAnsi="Arial" w:cs="Arial"/>
          <w:lang w:val="en-029"/>
        </w:rPr>
        <w:t>g</w:t>
      </w:r>
      <w:r w:rsidR="00E676D9" w:rsidRPr="009144E3">
        <w:rPr>
          <w:rFonts w:ascii="Arial" w:eastAsia="Times New Roman" w:hAnsi="Arial" w:cs="Arial"/>
          <w:lang w:val="en-029"/>
        </w:rPr>
        <w:t xml:space="preserve"> the following tribunals: CART</w:t>
      </w:r>
      <w:r w:rsidR="0012056A" w:rsidRPr="009144E3">
        <w:rPr>
          <w:rFonts w:ascii="Arial" w:eastAsia="Times New Roman" w:hAnsi="Arial" w:cs="Arial"/>
          <w:lang w:val="en-029"/>
        </w:rPr>
        <w:t xml:space="preserve"> </w:t>
      </w:r>
      <w:r w:rsidR="00E676D9" w:rsidRPr="009144E3">
        <w:rPr>
          <w:rFonts w:ascii="Arial" w:eastAsia="Times New Roman" w:hAnsi="Arial" w:cs="Arial"/>
          <w:lang w:val="en-029"/>
        </w:rPr>
        <w:t>CCPERB, EPTC, SCT and TATC</w:t>
      </w:r>
    </w:p>
    <w:p w14:paraId="1DFC998B" w14:textId="77777777" w:rsidR="0012056A" w:rsidRDefault="0012056A" w:rsidP="00AA0AC7">
      <w:pPr>
        <w:spacing w:after="0" w:line="240" w:lineRule="auto"/>
        <w:textAlignment w:val="center"/>
        <w:rPr>
          <w:rFonts w:ascii="Arial" w:eastAsia="Times New Roman" w:hAnsi="Arial" w:cs="Arial"/>
          <w:lang w:val="en-029"/>
        </w:rPr>
      </w:pPr>
    </w:p>
    <w:p w14:paraId="30A06D27" w14:textId="77777777" w:rsidR="009144E3" w:rsidRDefault="00E676D9" w:rsidP="00AA0AC7">
      <w:pPr>
        <w:spacing w:after="0" w:line="240" w:lineRule="auto"/>
        <w:textAlignment w:val="center"/>
        <w:rPr>
          <w:rFonts w:ascii="Arial" w:eastAsia="Times New Roman" w:hAnsi="Arial" w:cs="Arial"/>
          <w:b/>
          <w:bCs/>
          <w:lang w:val="en-029"/>
        </w:rPr>
      </w:pPr>
      <w:r w:rsidRPr="0012056A">
        <w:rPr>
          <w:rFonts w:ascii="Arial" w:eastAsia="Times New Roman" w:hAnsi="Arial" w:cs="Arial"/>
          <w:b/>
          <w:bCs/>
          <w:lang w:val="en-029"/>
        </w:rPr>
        <w:t xml:space="preserve">Integrated Secretariat 2 </w:t>
      </w:r>
      <w:r w:rsidR="009144E3">
        <w:rPr>
          <w:rFonts w:ascii="Arial" w:eastAsia="Times New Roman" w:hAnsi="Arial" w:cs="Arial"/>
          <w:b/>
          <w:bCs/>
          <w:lang w:val="en-029"/>
        </w:rPr>
        <w:t>(93)</w:t>
      </w:r>
    </w:p>
    <w:p w14:paraId="11381663" w14:textId="5E485812" w:rsidR="00E676D9" w:rsidRPr="009144E3" w:rsidRDefault="009144E3" w:rsidP="009144E3">
      <w:pPr>
        <w:pStyle w:val="ListParagraph"/>
        <w:numPr>
          <w:ilvl w:val="0"/>
          <w:numId w:val="2"/>
        </w:numPr>
        <w:spacing w:after="0" w:line="240" w:lineRule="auto"/>
        <w:textAlignment w:val="center"/>
        <w:rPr>
          <w:rFonts w:ascii="Arial" w:eastAsia="Times New Roman" w:hAnsi="Arial" w:cs="Arial"/>
          <w:lang w:val="en-029"/>
        </w:rPr>
      </w:pPr>
      <w:r w:rsidRPr="009144E3">
        <w:rPr>
          <w:rFonts w:ascii="Arial" w:eastAsia="Times New Roman" w:hAnsi="Arial" w:cs="Arial"/>
          <w:lang w:val="en-029"/>
        </w:rPr>
        <w:t>S</w:t>
      </w:r>
      <w:r w:rsidR="00E676D9" w:rsidRPr="009144E3">
        <w:rPr>
          <w:rFonts w:ascii="Arial" w:eastAsia="Times New Roman" w:hAnsi="Arial" w:cs="Arial"/>
          <w:lang w:val="en-029"/>
        </w:rPr>
        <w:t>erving the following tribunals: CITT, CT, PSDPT and CHRT</w:t>
      </w:r>
    </w:p>
    <w:p w14:paraId="04C65A84" w14:textId="77777777" w:rsidR="0012056A" w:rsidRPr="00E676D9" w:rsidRDefault="0012056A" w:rsidP="00AA0AC7">
      <w:pPr>
        <w:spacing w:after="0" w:line="240" w:lineRule="auto"/>
        <w:textAlignment w:val="center"/>
        <w:rPr>
          <w:rFonts w:ascii="Calibri" w:eastAsia="Times New Roman" w:hAnsi="Calibri" w:cs="Calibri"/>
          <w:lang w:val="en-029"/>
        </w:rPr>
      </w:pPr>
    </w:p>
    <w:p w14:paraId="2FBF8E8F" w14:textId="5D86BC0E" w:rsidR="00E676D9" w:rsidRPr="0012056A" w:rsidRDefault="00E676D9" w:rsidP="00AA0AC7">
      <w:pPr>
        <w:spacing w:after="0" w:line="240" w:lineRule="auto"/>
        <w:textAlignment w:val="center"/>
        <w:rPr>
          <w:rFonts w:ascii="Arial" w:eastAsia="Times New Roman" w:hAnsi="Arial" w:cs="Arial"/>
          <w:b/>
          <w:bCs/>
          <w:lang w:val="en-029"/>
        </w:rPr>
      </w:pPr>
      <w:r w:rsidRPr="0012056A">
        <w:rPr>
          <w:rFonts w:ascii="Arial" w:eastAsia="Times New Roman" w:hAnsi="Arial" w:cs="Arial"/>
          <w:b/>
          <w:bCs/>
          <w:lang w:val="en-029"/>
        </w:rPr>
        <w:t>Canada Industrial Relations Board Secretariat (</w:t>
      </w:r>
      <w:r w:rsidR="0012056A" w:rsidRPr="0012056A">
        <w:rPr>
          <w:rFonts w:ascii="Arial" w:eastAsia="Times New Roman" w:hAnsi="Arial" w:cs="Arial"/>
          <w:b/>
          <w:bCs/>
          <w:lang w:val="en-029"/>
        </w:rPr>
        <w:t>77</w:t>
      </w:r>
      <w:r w:rsidRPr="0012056A">
        <w:rPr>
          <w:rFonts w:ascii="Arial" w:eastAsia="Times New Roman" w:hAnsi="Arial" w:cs="Arial"/>
          <w:b/>
          <w:bCs/>
          <w:lang w:val="en-029"/>
        </w:rPr>
        <w:t>)</w:t>
      </w:r>
    </w:p>
    <w:p w14:paraId="5678753B" w14:textId="77777777" w:rsidR="0012056A" w:rsidRPr="00E676D9" w:rsidRDefault="0012056A" w:rsidP="00AA0AC7">
      <w:pPr>
        <w:spacing w:after="0" w:line="240" w:lineRule="auto"/>
        <w:textAlignment w:val="center"/>
        <w:rPr>
          <w:rFonts w:ascii="Calibri" w:eastAsia="Times New Roman" w:hAnsi="Calibri" w:cs="Calibri"/>
          <w:lang w:val="en-029"/>
        </w:rPr>
      </w:pPr>
    </w:p>
    <w:p w14:paraId="62CCDF6F" w14:textId="097A5585" w:rsidR="00E676D9" w:rsidRDefault="00E676D9" w:rsidP="00AA0AC7">
      <w:pPr>
        <w:spacing w:after="0" w:line="240" w:lineRule="auto"/>
        <w:textAlignment w:val="center"/>
        <w:rPr>
          <w:rFonts w:ascii="Arial" w:eastAsia="Times New Roman" w:hAnsi="Arial" w:cs="Arial"/>
          <w:b/>
          <w:bCs/>
          <w:lang w:val="en-029"/>
        </w:rPr>
      </w:pPr>
      <w:r w:rsidRPr="0012056A">
        <w:rPr>
          <w:rFonts w:ascii="Arial" w:eastAsia="Times New Roman" w:hAnsi="Arial" w:cs="Arial"/>
          <w:b/>
          <w:bCs/>
          <w:lang w:val="en-029"/>
        </w:rPr>
        <w:t>Federal Public Sector Labour Relations and Employment Board and National Joint Council (7</w:t>
      </w:r>
      <w:r w:rsidR="0012056A" w:rsidRPr="0012056A">
        <w:rPr>
          <w:rFonts w:ascii="Arial" w:eastAsia="Times New Roman" w:hAnsi="Arial" w:cs="Arial"/>
          <w:b/>
          <w:bCs/>
          <w:lang w:val="en-029"/>
        </w:rPr>
        <w:t>0</w:t>
      </w:r>
      <w:r w:rsidRPr="0012056A">
        <w:rPr>
          <w:rFonts w:ascii="Arial" w:eastAsia="Times New Roman" w:hAnsi="Arial" w:cs="Arial"/>
          <w:b/>
          <w:bCs/>
          <w:lang w:val="en-029"/>
        </w:rPr>
        <w:t>)</w:t>
      </w:r>
    </w:p>
    <w:p w14:paraId="2AFABDBF" w14:textId="77777777" w:rsidR="009144E3" w:rsidRDefault="009144E3" w:rsidP="00AA0AC7">
      <w:pPr>
        <w:spacing w:after="0" w:line="240" w:lineRule="auto"/>
        <w:textAlignment w:val="center"/>
        <w:rPr>
          <w:rFonts w:ascii="Arial" w:eastAsia="Times New Roman" w:hAnsi="Arial" w:cs="Arial"/>
          <w:b/>
          <w:bCs/>
          <w:lang w:val="en-029"/>
        </w:rPr>
      </w:pPr>
    </w:p>
    <w:p w14:paraId="755A0917" w14:textId="77777777" w:rsidR="009144E3" w:rsidRPr="00646280" w:rsidRDefault="009144E3" w:rsidP="009144E3">
      <w:pPr>
        <w:spacing w:after="0" w:line="240" w:lineRule="auto"/>
        <w:rPr>
          <w:rFonts w:ascii="Arial" w:eastAsia="Times New Roman" w:hAnsi="Arial" w:cs="Arial"/>
          <w:b/>
          <w:bCs/>
        </w:rPr>
      </w:pPr>
      <w:r>
        <w:rPr>
          <w:rFonts w:ascii="Arial" w:eastAsia="Times New Roman" w:hAnsi="Arial" w:cs="Arial"/>
          <w:b/>
          <w:bCs/>
          <w:noProof/>
          <w:lang w:val="fr-CA"/>
        </w:rPr>
        <mc:AlternateContent>
          <mc:Choice Requires="wps">
            <w:drawing>
              <wp:anchor distT="0" distB="0" distL="114300" distR="114300" simplePos="0" relativeHeight="251659264" behindDoc="0" locked="0" layoutInCell="1" allowOverlap="1" wp14:anchorId="1A1BA880" wp14:editId="321BF4C4">
                <wp:simplePos x="0" y="0"/>
                <wp:positionH relativeFrom="column">
                  <wp:posOffset>28574</wp:posOffset>
                </wp:positionH>
                <wp:positionV relativeFrom="paragraph">
                  <wp:posOffset>72390</wp:posOffset>
                </wp:positionV>
                <wp:extent cx="5895975" cy="0"/>
                <wp:effectExtent l="0" t="0" r="0" b="0"/>
                <wp:wrapNone/>
                <wp:docPr id="22096941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16C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7pt" to="46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" strokecolor="#4472c4 [3204]" strokeweight=".5pt">
                <v:stroke joinstyle="miter"/>
              </v:line>
            </w:pict>
          </mc:Fallback>
        </mc:AlternateContent>
      </w:r>
    </w:p>
    <w:p w14:paraId="68A49D35" w14:textId="77777777" w:rsidR="00E676D9" w:rsidRPr="00E676D9" w:rsidRDefault="00E676D9" w:rsidP="00E676D9">
      <w:pPr>
        <w:spacing w:after="0" w:line="240" w:lineRule="auto"/>
        <w:rPr>
          <w:rFonts w:ascii="Arial" w:eastAsia="Times New Roman" w:hAnsi="Arial" w:cs="Arial"/>
          <w:lang w:val="en-029"/>
        </w:rPr>
      </w:pPr>
      <w:r w:rsidRPr="00E676D9">
        <w:rPr>
          <w:rFonts w:ascii="Arial" w:eastAsia="Times New Roman" w:hAnsi="Arial" w:cs="Arial"/>
          <w:lang w:val="en-029"/>
        </w:rPr>
        <w:t> </w:t>
      </w:r>
    </w:p>
    <w:p w14:paraId="0E2FEC13" w14:textId="77777777" w:rsidR="00E676D9" w:rsidRPr="00E676D9" w:rsidRDefault="00E676D9" w:rsidP="00E676D9">
      <w:pPr>
        <w:spacing w:after="0" w:line="240" w:lineRule="auto"/>
        <w:rPr>
          <w:rFonts w:ascii="Arial" w:eastAsia="Times New Roman" w:hAnsi="Arial" w:cs="Arial"/>
        </w:rPr>
      </w:pPr>
      <w:r w:rsidRPr="00E676D9">
        <w:rPr>
          <w:rFonts w:ascii="Arial" w:eastAsia="Times New Roman" w:hAnsi="Arial" w:cs="Arial"/>
          <w:b/>
          <w:bCs/>
        </w:rPr>
        <w:t>To ensure anonymity…</w:t>
      </w:r>
    </w:p>
    <w:p w14:paraId="25709609" w14:textId="77777777" w:rsidR="00E676D9" w:rsidRDefault="00E676D9" w:rsidP="00E676D9">
      <w:pPr>
        <w:spacing w:after="0" w:line="240" w:lineRule="auto"/>
        <w:rPr>
          <w:rFonts w:ascii="Arial" w:eastAsia="Times New Roman" w:hAnsi="Arial" w:cs="Arial"/>
        </w:rPr>
      </w:pPr>
    </w:p>
    <w:p w14:paraId="5F804501" w14:textId="3457C014" w:rsidR="00E676D9" w:rsidRPr="00E676D9" w:rsidRDefault="00E676D9" w:rsidP="00E676D9">
      <w:pPr>
        <w:spacing w:after="0" w:line="240" w:lineRule="auto"/>
        <w:rPr>
          <w:rFonts w:ascii="Arial" w:eastAsia="Times New Roman" w:hAnsi="Arial" w:cs="Arial"/>
        </w:rPr>
      </w:pPr>
      <w:r w:rsidRPr="00E676D9">
        <w:rPr>
          <w:rFonts w:ascii="Arial" w:eastAsia="Times New Roman" w:hAnsi="Arial" w:cs="Arial"/>
        </w:rPr>
        <w:t xml:space="preserve">Nobody at the ATSSC has access to any individual’s responses (not your manager, senior managers, HR staff, or anyone in the organization). In the case of fewer than 10 respondents within any one group, results will not be shared or released, they will simply be suppressed. </w:t>
      </w:r>
    </w:p>
    <w:p w14:paraId="0DA1A9E2" w14:textId="77777777" w:rsidR="00E676D9" w:rsidRDefault="00E676D9"/>
    <w:sectPr w:rsidR="00E67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17167"/>
    <w:multiLevelType w:val="hybridMultilevel"/>
    <w:tmpl w:val="EA2E6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342747"/>
    <w:multiLevelType w:val="hybridMultilevel"/>
    <w:tmpl w:val="1E88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76223"/>
    <w:multiLevelType w:val="multilevel"/>
    <w:tmpl w:val="47A60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8807654">
    <w:abstractNumId w:val="2"/>
  </w:num>
  <w:num w:numId="2" w16cid:durableId="188760293">
    <w:abstractNumId w:val="1"/>
  </w:num>
  <w:num w:numId="3" w16cid:durableId="121631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D9"/>
    <w:rsid w:val="0012056A"/>
    <w:rsid w:val="00270542"/>
    <w:rsid w:val="002C5513"/>
    <w:rsid w:val="00646280"/>
    <w:rsid w:val="0068022C"/>
    <w:rsid w:val="009144E3"/>
    <w:rsid w:val="00AA0AC7"/>
    <w:rsid w:val="00E676D9"/>
    <w:rsid w:val="00FD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0D9B"/>
  <w15:chartTrackingRefBased/>
  <w15:docId w15:val="{36207291-EDE4-4EF1-8670-0914844C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6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0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Stéphanie</dc:creator>
  <cp:keywords/>
  <dc:description/>
  <cp:lastModifiedBy>Stevenson, Stéphanie</cp:lastModifiedBy>
  <cp:revision>2</cp:revision>
  <dcterms:created xsi:type="dcterms:W3CDTF">2024-09-03T11:31:00Z</dcterms:created>
  <dcterms:modified xsi:type="dcterms:W3CDTF">2024-09-03T11:31:00Z</dcterms:modified>
</cp:coreProperties>
</file>