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1F939" w14:textId="0723238E" w:rsidR="00965785" w:rsidRPr="00FD0AC5" w:rsidRDefault="00965785" w:rsidP="00FD0AC5">
      <w:pPr>
        <w:pStyle w:val="ListParagraph"/>
        <w:ind w:left="531"/>
        <w:rPr>
          <w:rFonts w:ascii="Arial" w:hAnsi="Arial" w:cs="Arial"/>
          <w:noProof/>
          <w:sz w:val="18"/>
          <w:szCs w:val="18"/>
          <w:u w:val="single"/>
          <w:lang w:val="fr-CA"/>
        </w:rPr>
      </w:pPr>
      <w:r w:rsidRPr="007E263A">
        <w:rPr>
          <w:rFonts w:ascii="Arial" w:hAnsi="Arial" w:cs="Arial"/>
          <w:noProof/>
          <w:sz w:val="18"/>
          <w:szCs w:val="18"/>
          <w:lang w:val="fr-CA"/>
        </w:rPr>
        <w:t xml:space="preserve"> </w:t>
      </w:r>
    </w:p>
    <w:tbl>
      <w:tblPr>
        <w:tblStyle w:val="TableGrid"/>
        <w:tblW w:w="0" w:type="auto"/>
        <w:tblInd w:w="531" w:type="dxa"/>
        <w:tblLook w:val="04A0" w:firstRow="1" w:lastRow="0" w:firstColumn="1" w:lastColumn="0" w:noHBand="0" w:noVBand="1"/>
      </w:tblPr>
      <w:tblGrid>
        <w:gridCol w:w="8819"/>
      </w:tblGrid>
      <w:tr w:rsidR="00FD0AC5" w14:paraId="11E5062A" w14:textId="77777777" w:rsidTr="00FD0AC5">
        <w:tc>
          <w:tcPr>
            <w:tcW w:w="9350" w:type="dxa"/>
            <w:shd w:val="clear" w:color="auto" w:fill="CCDD44"/>
          </w:tcPr>
          <w:p w14:paraId="15E82A51" w14:textId="77777777" w:rsidR="00FD0AC5" w:rsidRPr="007E263A" w:rsidRDefault="00FD0AC5" w:rsidP="00FD0A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noProof/>
                <w:sz w:val="18"/>
                <w:szCs w:val="18"/>
                <w:lang w:val="fr-CA"/>
              </w:rPr>
            </w:pPr>
            <w:r w:rsidRPr="007E263A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Le mobilier est un bien obligatoire</w:t>
            </w:r>
            <w:r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. V</w:t>
            </w:r>
            <w:r w:rsidRPr="007E263A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oir l</w:t>
            </w:r>
            <w:r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’</w:t>
            </w:r>
            <w:r w:rsidRPr="007E263A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article </w:t>
            </w:r>
            <w:hyperlink r:id="rId7" w:history="1">
              <w:r w:rsidRPr="007E263A">
                <w:rPr>
                  <w:rStyle w:val="Hyperlink"/>
                  <w:rFonts w:ascii="Arial" w:hAnsi="Arial" w:cs="Arial"/>
                  <w:noProof/>
                  <w:sz w:val="18"/>
                  <w:szCs w:val="18"/>
                  <w:lang w:val="fr-CA"/>
                </w:rPr>
                <w:t>3.5.1 Offres à commandes et arrangements en matière d</w:t>
              </w:r>
              <w:r>
                <w:rPr>
                  <w:rStyle w:val="Hyperlink"/>
                  <w:rFonts w:ascii="Arial" w:hAnsi="Arial" w:cs="Arial"/>
                  <w:noProof/>
                  <w:sz w:val="18"/>
                  <w:szCs w:val="18"/>
                  <w:lang w:val="fr-CA"/>
                </w:rPr>
                <w:t>’</w:t>
              </w:r>
              <w:r w:rsidRPr="007E263A">
                <w:rPr>
                  <w:rStyle w:val="Hyperlink"/>
                  <w:rFonts w:ascii="Arial" w:hAnsi="Arial" w:cs="Arial"/>
                  <w:noProof/>
                  <w:sz w:val="18"/>
                  <w:szCs w:val="18"/>
                  <w:lang w:val="fr-CA"/>
                </w:rPr>
                <w:t>approvisionnement obligatoire</w:t>
              </w:r>
            </w:hyperlink>
            <w:r w:rsidRPr="007E263A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 du Guide des approvisionnements sur le site </w:t>
            </w:r>
            <w:r w:rsidRPr="007E263A">
              <w:rPr>
                <w:rStyle w:val="Hyperlink"/>
                <w:rFonts w:ascii="Arial" w:hAnsi="Arial" w:cs="Arial"/>
                <w:noProof/>
                <w:sz w:val="18"/>
                <w:szCs w:val="18"/>
                <w:lang w:val="fr-CA"/>
              </w:rPr>
              <w:t>https://achatsetventes.gc.ca/</w:t>
            </w:r>
            <w:r w:rsidRPr="007E263A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.</w:t>
            </w:r>
          </w:p>
          <w:p w14:paraId="06AC1310" w14:textId="77777777" w:rsidR="00FD0AC5" w:rsidRPr="00FD0AC5" w:rsidRDefault="00FD0AC5" w:rsidP="00FD0AC5">
            <w:pPr>
              <w:pStyle w:val="ListParagraph"/>
              <w:numPr>
                <w:ilvl w:val="0"/>
                <w:numId w:val="1"/>
              </w:numPr>
              <w:ind w:left="531"/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</w:pPr>
            <w:r w:rsidRPr="007E263A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Tous les documents </w:t>
            </w:r>
            <w:r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mentionnés</w:t>
            </w:r>
            <w:r w:rsidRPr="007E263A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 dans ce guide pratique se trouvent sur la </w:t>
            </w:r>
            <w:hyperlink r:id="rId8" w:history="1">
              <w:r w:rsidRPr="007E263A">
                <w:rPr>
                  <w:rStyle w:val="Hyperlink"/>
                  <w:rFonts w:ascii="Arial" w:hAnsi="Arial" w:cs="Arial"/>
                  <w:noProof/>
                  <w:sz w:val="18"/>
                  <w:szCs w:val="18"/>
                  <w:lang w:val="fr-CA"/>
                </w:rPr>
                <w:t>page Web sur le Mobilier de bureau</w:t>
              </w:r>
              <w:r w:rsidRPr="007E263A">
                <w:rPr>
                  <w:rFonts w:ascii="Arial" w:hAnsi="Arial" w:cs="Arial"/>
                  <w:noProof/>
                  <w:sz w:val="18"/>
                  <w:szCs w:val="18"/>
                  <w:lang w:val="fr-CA"/>
                </w:rPr>
                <w:t xml:space="preserve">. </w:t>
              </w:r>
            </w:hyperlink>
            <w:r w:rsidRPr="007E263A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 </w:t>
            </w:r>
          </w:p>
          <w:p w14:paraId="2A0160A3" w14:textId="77777777" w:rsidR="00FD0AC5" w:rsidRDefault="00FD0AC5" w:rsidP="00FD0AC5">
            <w:pPr>
              <w:pStyle w:val="ListParagraph"/>
              <w:ind w:left="0"/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</w:pPr>
          </w:p>
        </w:tc>
      </w:tr>
    </w:tbl>
    <w:p w14:paraId="262F61D4" w14:textId="77777777" w:rsidR="00FD0AC5" w:rsidRPr="007A72C1" w:rsidRDefault="00FD0AC5" w:rsidP="007A72C1">
      <w:pPr>
        <w:rPr>
          <w:rFonts w:ascii="Arial" w:hAnsi="Arial" w:cs="Arial"/>
          <w:noProof/>
          <w:sz w:val="18"/>
          <w:szCs w:val="18"/>
          <w:u w:val="single"/>
          <w:lang w:val="fr-CA"/>
        </w:rPr>
      </w:pPr>
    </w:p>
    <w:tbl>
      <w:tblPr>
        <w:tblStyle w:val="TableGrid"/>
        <w:tblpPr w:leftFromText="180" w:rightFromText="180" w:vertAnchor="text" w:horzAnchor="margin" w:tblpY="318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D42FD" w:rsidRPr="00C47BA0" w14:paraId="32AC9AE3" w14:textId="77777777" w:rsidTr="00E7722A">
        <w:tc>
          <w:tcPr>
            <w:tcW w:w="9918" w:type="dxa"/>
          </w:tcPr>
          <w:p w14:paraId="6C23C0E9" w14:textId="66F47AD1" w:rsidR="006D42FD" w:rsidRPr="007E263A" w:rsidRDefault="006D42FD" w:rsidP="000F3B74">
            <w:pPr>
              <w:rPr>
                <w:rFonts w:ascii="Arial" w:hAnsi="Arial" w:cs="Arial"/>
                <w:b/>
                <w:noProof/>
                <w:sz w:val="18"/>
                <w:szCs w:val="18"/>
                <w:lang w:val="fr-CA"/>
              </w:rPr>
            </w:pPr>
            <w:r w:rsidRPr="007E263A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1. </w:t>
            </w:r>
            <w:r w:rsidR="000F3B74" w:rsidRPr="007E263A">
              <w:rPr>
                <w:noProof/>
                <w:lang w:val="fr-CA"/>
              </w:rPr>
              <w:t xml:space="preserve"> </w:t>
            </w:r>
            <w:r w:rsidR="000F3B74" w:rsidRPr="007E263A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Définir le besoin et déterminer la valeur estimée</w:t>
            </w:r>
            <w:r w:rsidR="003C55E2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.</w:t>
            </w:r>
          </w:p>
        </w:tc>
      </w:tr>
      <w:tr w:rsidR="006D42FD" w:rsidRPr="00C47BA0" w14:paraId="4577E38F" w14:textId="77777777" w:rsidTr="00E7722A">
        <w:tc>
          <w:tcPr>
            <w:tcW w:w="9918" w:type="dxa"/>
          </w:tcPr>
          <w:p w14:paraId="2F30406F" w14:textId="77777777" w:rsidR="00965785" w:rsidRPr="007E263A" w:rsidRDefault="00965785" w:rsidP="00965785">
            <w:pPr>
              <w:rPr>
                <w:rFonts w:ascii="Arial" w:hAnsi="Arial" w:cs="Arial"/>
                <w:noProof/>
                <w:sz w:val="18"/>
                <w:szCs w:val="18"/>
                <w:lang w:val="fr-CA"/>
              </w:rPr>
            </w:pPr>
          </w:p>
          <w:p w14:paraId="6D758BED" w14:textId="77777777" w:rsidR="00A00059" w:rsidRPr="00C47BA0" w:rsidRDefault="000F3B74" w:rsidP="00C47BA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noProof/>
                <w:sz w:val="18"/>
                <w:szCs w:val="18"/>
                <w:lang w:val="fr-CA"/>
              </w:rPr>
            </w:pPr>
            <w:r w:rsidRPr="00C47BA0">
              <w:rPr>
                <w:rFonts w:ascii="Arial" w:hAnsi="Arial" w:cs="Arial"/>
                <w:b/>
                <w:noProof/>
                <w:sz w:val="18"/>
                <w:szCs w:val="18"/>
                <w:lang w:val="fr-CA"/>
              </w:rPr>
              <w:t xml:space="preserve">Estimateur de </w:t>
            </w:r>
            <w:r w:rsidR="005C5331" w:rsidRPr="00C47BA0">
              <w:rPr>
                <w:rFonts w:ascii="Arial" w:hAnsi="Arial" w:cs="Arial"/>
                <w:b/>
                <w:noProof/>
                <w:sz w:val="18"/>
                <w:szCs w:val="18"/>
                <w:lang w:val="fr-CA"/>
              </w:rPr>
              <w:t>chaise</w:t>
            </w:r>
            <w:r w:rsidRPr="00C47BA0">
              <w:rPr>
                <w:rFonts w:ascii="Arial" w:hAnsi="Arial" w:cs="Arial"/>
                <w:b/>
                <w:noProof/>
                <w:sz w:val="18"/>
                <w:szCs w:val="18"/>
                <w:lang w:val="fr-CA"/>
              </w:rPr>
              <w:t xml:space="preserve"> </w:t>
            </w:r>
            <w:r w:rsidR="0053578C" w:rsidRPr="00C47BA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(Chair estimator) </w:t>
            </w:r>
            <w:r w:rsidRPr="00C47BA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:</w:t>
            </w:r>
            <w:r w:rsidRPr="00C47BA0">
              <w:rPr>
                <w:rFonts w:ascii="Arial" w:hAnsi="Arial" w:cs="Arial"/>
                <w:b/>
                <w:noProof/>
                <w:sz w:val="18"/>
                <w:szCs w:val="18"/>
                <w:lang w:val="fr-CA"/>
              </w:rPr>
              <w:t xml:space="preserve"> </w:t>
            </w:r>
            <w:r w:rsidRPr="00C47BA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Les utilisateurs peuvent utiliser cet outil pour estimer la valeur de leur besoin. </w:t>
            </w:r>
            <w:r w:rsidR="0053578C" w:rsidRPr="00C47BA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Il est à noter </w:t>
            </w:r>
            <w:r w:rsidRPr="00C47BA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qu</w:t>
            </w:r>
            <w:r w:rsidR="00A90504" w:rsidRPr="00C47BA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’</w:t>
            </w:r>
            <w:r w:rsidRPr="00C47BA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il ne contient pas toutes les combinaisons disponibles </w:t>
            </w:r>
            <w:r w:rsidR="0053578C" w:rsidRPr="00C47BA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dans</w:t>
            </w:r>
            <w:r w:rsidRPr="00C47BA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 l</w:t>
            </w:r>
            <w:r w:rsidR="00A90504" w:rsidRPr="00C47BA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’</w:t>
            </w:r>
            <w:r w:rsidRPr="00C47BA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A</w:t>
            </w:r>
            <w:r w:rsidR="0053578C" w:rsidRPr="00C47BA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MA; seules les combinaisons</w:t>
            </w:r>
            <w:r w:rsidRPr="00C47BA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 </w:t>
            </w:r>
            <w:r w:rsidR="00E12616" w:rsidRPr="00C47BA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l</w:t>
            </w:r>
            <w:r w:rsidRPr="00C47BA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es plus courantes sont incluses. Il est recommandé de choisir la combinaison qui se rapproche le plus de la chaise requise.</w:t>
            </w:r>
            <w:r w:rsidR="00965785" w:rsidRPr="00C47BA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 </w:t>
            </w:r>
          </w:p>
          <w:p w14:paraId="18542B1C" w14:textId="77777777" w:rsidR="00A00059" w:rsidRDefault="00A00059" w:rsidP="00A00059">
            <w:pPr>
              <w:rPr>
                <w:rFonts w:ascii="Arial" w:hAnsi="Arial" w:cs="Arial"/>
                <w:noProof/>
                <w:sz w:val="18"/>
                <w:szCs w:val="18"/>
                <w:lang w:val="fr-CA"/>
              </w:rPr>
            </w:pPr>
          </w:p>
          <w:p w14:paraId="452367CC" w14:textId="7B64F29E" w:rsidR="006D42FD" w:rsidRPr="00C47BA0" w:rsidRDefault="000F3B74" w:rsidP="00C47BA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C47BA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Ouvrez le </w:t>
            </w:r>
            <w:r w:rsidRPr="00C47BA0">
              <w:rPr>
                <w:rFonts w:ascii="Arial" w:hAnsi="Arial" w:cs="Arial"/>
                <w:b/>
                <w:noProof/>
                <w:sz w:val="18"/>
                <w:szCs w:val="18"/>
                <w:lang w:val="fr-CA"/>
              </w:rPr>
              <w:t xml:space="preserve">Créateur de </w:t>
            </w:r>
            <w:r w:rsidR="005C5331" w:rsidRPr="00C47BA0">
              <w:rPr>
                <w:rFonts w:ascii="Arial" w:hAnsi="Arial" w:cs="Arial"/>
                <w:b/>
                <w:noProof/>
                <w:sz w:val="18"/>
                <w:szCs w:val="18"/>
                <w:lang w:val="fr-CA"/>
              </w:rPr>
              <w:t>chaise</w:t>
            </w:r>
            <w:r w:rsidRPr="00C47BA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 </w:t>
            </w:r>
            <w:r w:rsidR="0053578C" w:rsidRPr="00C47BA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(Chair Builder) </w:t>
            </w:r>
            <w:r w:rsidRPr="00C47BA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et choisissez les attributs/caractéristiques de la ou des chaises requises. L</w:t>
            </w:r>
            <w:r w:rsidR="00A90504" w:rsidRPr="00C47BA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’</w:t>
            </w:r>
            <w:r w:rsidRPr="00C47BA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utilisateur doit </w:t>
            </w:r>
            <w:r w:rsidR="0053578C" w:rsidRPr="00C47BA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compléter</w:t>
            </w:r>
            <w:r w:rsidRPr="00C47BA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 un </w:t>
            </w:r>
            <w:r w:rsidR="0053578C" w:rsidRPr="00C47BA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« </w:t>
            </w:r>
            <w:r w:rsidR="00DF29E2" w:rsidRPr="00C47BA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C</w:t>
            </w:r>
            <w:r w:rsidR="0053578C" w:rsidRPr="00C47BA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réateur</w:t>
            </w:r>
            <w:r w:rsidRPr="00C47BA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 de chaise</w:t>
            </w:r>
            <w:r w:rsidR="0053578C" w:rsidRPr="00C47BA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 »</w:t>
            </w:r>
            <w:r w:rsidRPr="00C47BA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 pou</w:t>
            </w:r>
            <w:r w:rsidR="00151106" w:rsidRPr="00C47BA0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r chaque type de chaise requis. </w:t>
            </w:r>
            <w:r w:rsidR="00151106" w:rsidRPr="00C47BA0">
              <w:rPr>
                <w:rFonts w:ascii="Arial" w:hAnsi="Arial" w:cs="Arial"/>
                <w:sz w:val="18"/>
                <w:szCs w:val="18"/>
                <w:lang w:val="fr-CA"/>
              </w:rPr>
              <w:t>Des attributs supplémentaires peuvent être définis, y compris les matériaux et les finitions, à condition qu'ils soient génériques et compétitifs.</w:t>
            </w:r>
          </w:p>
          <w:p w14:paraId="6ABCA071" w14:textId="0BD614AD" w:rsidR="00C47BA0" w:rsidRPr="00C47BA0" w:rsidRDefault="00C47BA0" w:rsidP="00C47BA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57EB0">
              <w:rPr>
                <w:rFonts w:ascii="Arial" w:hAnsi="Arial" w:cs="Arial"/>
                <w:sz w:val="18"/>
                <w:szCs w:val="18"/>
                <w:lang w:val="fr-CA"/>
              </w:rPr>
              <w:t xml:space="preserve">Pour des informations plus détaillées sur les spécifications et les configurations recommandées pour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l’utilisation prévue</w:t>
            </w:r>
            <w:r w:rsidRPr="00857EB0">
              <w:rPr>
                <w:rFonts w:ascii="Arial" w:hAnsi="Arial" w:cs="Arial"/>
                <w:sz w:val="18"/>
                <w:szCs w:val="18"/>
                <w:lang w:val="fr-CA"/>
              </w:rPr>
              <w:t xml:space="preserve">, consultez </w:t>
            </w:r>
            <w:r w:rsidRPr="00151106">
              <w:rPr>
                <w:rFonts w:ascii="Arial" w:hAnsi="Arial" w:cs="Arial"/>
                <w:b/>
                <w:sz w:val="18"/>
                <w:szCs w:val="18"/>
                <w:lang w:val="fr-CA"/>
              </w:rPr>
              <w:t>l'annexe A: Spécifications pour les fauteuils de bureau</w:t>
            </w:r>
            <w:r w:rsidRPr="00857EB0">
              <w:rPr>
                <w:rFonts w:ascii="Arial" w:hAnsi="Arial" w:cs="Arial"/>
                <w:sz w:val="18"/>
                <w:szCs w:val="18"/>
                <w:lang w:val="fr-CA"/>
              </w:rPr>
              <w:t xml:space="preserve"> et </w:t>
            </w:r>
            <w:r w:rsidRPr="00151106">
              <w:rPr>
                <w:rFonts w:ascii="Arial" w:hAnsi="Arial" w:cs="Arial"/>
                <w:b/>
                <w:sz w:val="18"/>
                <w:szCs w:val="18"/>
                <w:lang w:val="fr-CA"/>
              </w:rPr>
              <w:t>les fonctionnalités et spécifications recommandées pour les profils d'utilisateurs généraux</w:t>
            </w:r>
            <w:r w:rsidRPr="00857EB0">
              <w:rPr>
                <w:rFonts w:ascii="Arial" w:hAnsi="Arial" w:cs="Arial"/>
                <w:sz w:val="18"/>
                <w:szCs w:val="18"/>
                <w:lang w:val="fr-CA"/>
              </w:rPr>
              <w:t xml:space="preserve"> sur le site Web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de l’ameublement</w:t>
            </w:r>
            <w:r w:rsidRPr="00857EB0">
              <w:rPr>
                <w:rFonts w:ascii="Arial" w:hAnsi="Arial" w:cs="Arial"/>
                <w:sz w:val="18"/>
                <w:szCs w:val="18"/>
                <w:lang w:val="fr-CA"/>
              </w:rPr>
              <w:t>.</w:t>
            </w:r>
          </w:p>
          <w:p w14:paraId="17CA42F8" w14:textId="3C98989C" w:rsidR="00C47BA0" w:rsidRPr="00151106" w:rsidRDefault="00C47BA0" w:rsidP="00CE3E5A">
            <w:pPr>
              <w:ind w:left="720"/>
              <w:rPr>
                <w:rFonts w:ascii="Arial" w:hAnsi="Arial" w:cs="Arial"/>
                <w:noProof/>
                <w:sz w:val="18"/>
                <w:szCs w:val="18"/>
                <w:lang w:val="fr-CA"/>
              </w:rPr>
            </w:pPr>
          </w:p>
        </w:tc>
      </w:tr>
    </w:tbl>
    <w:p w14:paraId="2361B905" w14:textId="11D2139F" w:rsidR="008B0AFE" w:rsidRPr="007E263A" w:rsidRDefault="000F3B74" w:rsidP="008B0AFE">
      <w:pPr>
        <w:rPr>
          <w:rFonts w:ascii="Arial" w:hAnsi="Arial" w:cs="Arial"/>
          <w:b/>
          <w:noProof/>
          <w:sz w:val="18"/>
          <w:szCs w:val="18"/>
          <w:lang w:val="fr-CA"/>
        </w:rPr>
      </w:pPr>
      <w:r w:rsidRPr="007E263A">
        <w:rPr>
          <w:rFonts w:ascii="Arial" w:hAnsi="Arial" w:cs="Arial"/>
          <w:b/>
          <w:noProof/>
          <w:sz w:val="18"/>
          <w:szCs w:val="18"/>
          <w:lang w:val="fr-CA"/>
        </w:rPr>
        <w:t>Comment acheter du mobilier</w:t>
      </w:r>
      <w:r w:rsidR="00E12616">
        <w:rPr>
          <w:rFonts w:ascii="Arial" w:hAnsi="Arial" w:cs="Arial"/>
          <w:b/>
          <w:noProof/>
          <w:sz w:val="18"/>
          <w:szCs w:val="18"/>
          <w:lang w:val="fr-CA"/>
        </w:rPr>
        <w:t xml:space="preserve"> de bureau</w:t>
      </w:r>
      <w:r w:rsidRPr="007E263A">
        <w:rPr>
          <w:rFonts w:ascii="Arial" w:hAnsi="Arial" w:cs="Arial"/>
          <w:b/>
          <w:noProof/>
          <w:sz w:val="18"/>
          <w:szCs w:val="18"/>
          <w:lang w:val="fr-CA"/>
        </w:rPr>
        <w:t>?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C47BA0" w:rsidRPr="00C47BA0" w14:paraId="66F6A1E4" w14:textId="77777777" w:rsidTr="00C47BA0">
        <w:tc>
          <w:tcPr>
            <w:tcW w:w="4531" w:type="dxa"/>
          </w:tcPr>
          <w:p w14:paraId="1410AA92" w14:textId="738AD03C" w:rsidR="00C47BA0" w:rsidRPr="00C47BA0" w:rsidRDefault="00C47BA0" w:rsidP="009E32F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A"/>
              </w:rPr>
            </w:pPr>
            <w:r w:rsidRPr="00C47BA0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A"/>
              </w:rPr>
              <w:t xml:space="preserve">PARLIER 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A"/>
              </w:rPr>
              <w:t>2</w:t>
            </w:r>
          </w:p>
        </w:tc>
        <w:tc>
          <w:tcPr>
            <w:tcW w:w="5387" w:type="dxa"/>
          </w:tcPr>
          <w:p w14:paraId="7703C702" w14:textId="215C4230" w:rsidR="00C47BA0" w:rsidRPr="00C47BA0" w:rsidRDefault="00C47BA0" w:rsidP="009E32F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A"/>
              </w:rPr>
            </w:pPr>
            <w:r w:rsidRPr="00C47BA0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A"/>
              </w:rPr>
              <w:t xml:space="preserve">PARLIER 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A"/>
              </w:rPr>
              <w:t>3</w:t>
            </w:r>
          </w:p>
        </w:tc>
      </w:tr>
      <w:tr w:rsidR="002421A3" w:rsidRPr="007E263A" w14:paraId="177FCE38" w14:textId="77777777" w:rsidTr="00C47BA0">
        <w:tc>
          <w:tcPr>
            <w:tcW w:w="4531" w:type="dxa"/>
            <w:shd w:val="clear" w:color="auto" w:fill="CCDD44"/>
          </w:tcPr>
          <w:p w14:paraId="1EADA5EF" w14:textId="3C9146C7" w:rsidR="002421A3" w:rsidRPr="00C47BA0" w:rsidRDefault="009E32F7" w:rsidP="009E32F7">
            <w:pPr>
              <w:jc w:val="center"/>
              <w:rPr>
                <w:rFonts w:ascii="Arial" w:hAnsi="Arial" w:cs="Arial"/>
                <w:noProof/>
                <w:color w:val="FF0000"/>
                <w:lang w:val="fr-CA"/>
              </w:rPr>
            </w:pPr>
            <w:r w:rsidRPr="00C47BA0">
              <w:rPr>
                <w:rFonts w:ascii="Arial" w:hAnsi="Arial" w:cs="Arial"/>
                <w:noProof/>
                <w:lang w:val="fr-CA"/>
              </w:rPr>
              <w:t xml:space="preserve">Valeur estimée entre </w:t>
            </w:r>
            <w:r w:rsidRPr="00C47BA0">
              <w:rPr>
                <w:rFonts w:ascii="Arial" w:hAnsi="Arial" w:cs="Arial"/>
                <w:b/>
                <w:noProof/>
                <w:lang w:val="fr-CA"/>
              </w:rPr>
              <w:t>25 </w:t>
            </w:r>
            <w:r w:rsidR="002421A3" w:rsidRPr="00C47BA0">
              <w:rPr>
                <w:rFonts w:ascii="Arial" w:hAnsi="Arial" w:cs="Arial"/>
                <w:b/>
                <w:noProof/>
                <w:lang w:val="fr-CA"/>
              </w:rPr>
              <w:t>000</w:t>
            </w:r>
            <w:r w:rsidRPr="00C47BA0">
              <w:rPr>
                <w:rFonts w:ascii="Arial" w:hAnsi="Arial" w:cs="Arial"/>
                <w:b/>
                <w:noProof/>
                <w:lang w:val="fr-CA"/>
              </w:rPr>
              <w:t>,00 $ et 399 999,</w:t>
            </w:r>
            <w:r w:rsidR="002421A3" w:rsidRPr="00C47BA0">
              <w:rPr>
                <w:rFonts w:ascii="Arial" w:hAnsi="Arial" w:cs="Arial"/>
                <w:b/>
                <w:noProof/>
                <w:lang w:val="fr-CA"/>
              </w:rPr>
              <w:t>99</w:t>
            </w:r>
            <w:r w:rsidRPr="00C47BA0">
              <w:rPr>
                <w:rFonts w:ascii="Arial" w:hAnsi="Arial" w:cs="Arial"/>
                <w:b/>
                <w:noProof/>
                <w:lang w:val="fr-CA"/>
              </w:rPr>
              <w:t xml:space="preserve"> $</w:t>
            </w:r>
          </w:p>
        </w:tc>
        <w:tc>
          <w:tcPr>
            <w:tcW w:w="5387" w:type="dxa"/>
            <w:shd w:val="clear" w:color="auto" w:fill="CCDD44"/>
          </w:tcPr>
          <w:p w14:paraId="06C39034" w14:textId="1DD008CA" w:rsidR="002421A3" w:rsidRPr="00C47BA0" w:rsidRDefault="009E32F7" w:rsidP="009E32F7">
            <w:pPr>
              <w:jc w:val="center"/>
              <w:rPr>
                <w:rFonts w:ascii="Arial" w:hAnsi="Arial" w:cs="Arial"/>
                <w:noProof/>
                <w:lang w:val="fr-CA"/>
              </w:rPr>
            </w:pPr>
            <w:r w:rsidRPr="00C47BA0">
              <w:rPr>
                <w:rFonts w:ascii="Arial" w:hAnsi="Arial" w:cs="Arial"/>
                <w:noProof/>
                <w:lang w:val="fr-CA"/>
              </w:rPr>
              <w:t>Valeur estimée</w:t>
            </w:r>
            <w:r w:rsidRPr="00C47BA0">
              <w:rPr>
                <w:rFonts w:ascii="Arial" w:hAnsi="Arial" w:cs="Arial"/>
                <w:b/>
                <w:noProof/>
                <w:lang w:val="fr-CA"/>
              </w:rPr>
              <w:t xml:space="preserve"> </w:t>
            </w:r>
            <w:r w:rsidRPr="00C47BA0">
              <w:rPr>
                <w:rFonts w:ascii="Arial" w:hAnsi="Arial" w:cs="Arial"/>
                <w:noProof/>
                <w:lang w:val="fr-CA"/>
              </w:rPr>
              <w:t>de</w:t>
            </w:r>
            <w:r w:rsidRPr="00C47BA0">
              <w:rPr>
                <w:rFonts w:ascii="Arial" w:hAnsi="Arial" w:cs="Arial"/>
                <w:b/>
                <w:noProof/>
                <w:lang w:val="fr-CA"/>
              </w:rPr>
              <w:t xml:space="preserve"> 400 000,</w:t>
            </w:r>
            <w:r w:rsidR="002421A3" w:rsidRPr="00C47BA0">
              <w:rPr>
                <w:rFonts w:ascii="Arial" w:hAnsi="Arial" w:cs="Arial"/>
                <w:b/>
                <w:noProof/>
                <w:lang w:val="fr-CA"/>
              </w:rPr>
              <w:t>00</w:t>
            </w:r>
            <w:r w:rsidRPr="00C47BA0">
              <w:rPr>
                <w:rFonts w:ascii="Arial" w:hAnsi="Arial" w:cs="Arial"/>
                <w:b/>
                <w:noProof/>
                <w:lang w:val="fr-CA"/>
              </w:rPr>
              <w:t xml:space="preserve"> $</w:t>
            </w:r>
            <w:r w:rsidR="002421A3" w:rsidRPr="00C47BA0">
              <w:rPr>
                <w:rFonts w:ascii="Arial" w:hAnsi="Arial" w:cs="Arial"/>
                <w:b/>
                <w:noProof/>
                <w:lang w:val="fr-CA"/>
              </w:rPr>
              <w:t xml:space="preserve"> </w:t>
            </w:r>
            <w:r w:rsidRPr="00C47BA0">
              <w:rPr>
                <w:rFonts w:ascii="Arial" w:hAnsi="Arial" w:cs="Arial"/>
                <w:b/>
                <w:noProof/>
                <w:lang w:val="fr-CA"/>
              </w:rPr>
              <w:t xml:space="preserve">et </w:t>
            </w:r>
            <w:r w:rsidR="002421A3" w:rsidRPr="00C47BA0">
              <w:rPr>
                <w:rFonts w:ascii="Arial" w:hAnsi="Arial" w:cs="Arial"/>
                <w:b/>
                <w:noProof/>
                <w:lang w:val="fr-CA"/>
              </w:rPr>
              <w:t>+</w:t>
            </w:r>
          </w:p>
        </w:tc>
      </w:tr>
    </w:tbl>
    <w:p w14:paraId="1D16FE15" w14:textId="77777777" w:rsidR="00DD4440" w:rsidRPr="007E263A" w:rsidRDefault="00E7722A" w:rsidP="00E7722A">
      <w:pPr>
        <w:tabs>
          <w:tab w:val="left" w:pos="7032"/>
        </w:tabs>
        <w:rPr>
          <w:rFonts w:ascii="Arial" w:hAnsi="Arial" w:cs="Arial"/>
          <w:noProof/>
          <w:sz w:val="18"/>
          <w:szCs w:val="18"/>
          <w:lang w:val="fr-CA"/>
        </w:rPr>
      </w:pPr>
      <w:r w:rsidRPr="007E263A">
        <w:rPr>
          <w:rFonts w:ascii="Arial" w:hAnsi="Arial" w:cs="Arial"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97C5A1" wp14:editId="2399AFA9">
                <wp:simplePos x="0" y="0"/>
                <wp:positionH relativeFrom="column">
                  <wp:posOffset>4282440</wp:posOffset>
                </wp:positionH>
                <wp:positionV relativeFrom="paragraph">
                  <wp:posOffset>96520</wp:posOffset>
                </wp:positionV>
                <wp:extent cx="289560" cy="274320"/>
                <wp:effectExtent l="19050" t="0" r="15240" b="3048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74320"/>
                        </a:xfrm>
                        <a:prstGeom prst="downArrow">
                          <a:avLst/>
                        </a:prstGeom>
                        <a:solidFill>
                          <a:srgbClr val="CCDD4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BFEE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337.2pt;margin-top:7.6pt;width:22.8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" adj="10800" fillcolor="#cd4" strokecolor="#1f4d78 [1604]" strokeweight="1pt"/>
            </w:pict>
          </mc:Fallback>
        </mc:AlternateContent>
      </w:r>
      <w:r w:rsidRPr="007E263A">
        <w:rPr>
          <w:rFonts w:ascii="Arial" w:hAnsi="Arial" w:cs="Arial"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EF5D7" wp14:editId="59F4AB67">
                <wp:simplePos x="0" y="0"/>
                <wp:positionH relativeFrom="column">
                  <wp:posOffset>929640</wp:posOffset>
                </wp:positionH>
                <wp:positionV relativeFrom="paragraph">
                  <wp:posOffset>88900</wp:posOffset>
                </wp:positionV>
                <wp:extent cx="289560" cy="320040"/>
                <wp:effectExtent l="19050" t="0" r="15240" b="4191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320040"/>
                        </a:xfrm>
                        <a:prstGeom prst="downArrow">
                          <a:avLst/>
                        </a:prstGeom>
                        <a:solidFill>
                          <a:srgbClr val="CCDD4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0DFB2" id="Down Arrow 6" o:spid="_x0000_s1026" type="#_x0000_t67" style="position:absolute;margin-left:73.2pt;margin-top:7pt;width:22.8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" adj="11829" fillcolor="#cd4" strokecolor="#1f4d78 [1604]" strokeweight="1pt"/>
            </w:pict>
          </mc:Fallback>
        </mc:AlternateContent>
      </w:r>
      <w:r w:rsidR="008B0AFE" w:rsidRPr="007E263A">
        <w:rPr>
          <w:rFonts w:ascii="Arial" w:hAnsi="Arial" w:cs="Arial"/>
          <w:noProof/>
          <w:sz w:val="18"/>
          <w:szCs w:val="18"/>
          <w:lang w:val="fr-CA"/>
        </w:rPr>
        <w:tab/>
      </w:r>
    </w:p>
    <w:tbl>
      <w:tblPr>
        <w:tblStyle w:val="TableGrid"/>
        <w:tblpPr w:leftFromText="180" w:rightFromText="180" w:vertAnchor="text" w:horzAnchor="margin" w:tblpY="274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E7722A" w:rsidRPr="00C47BA0" w14:paraId="7931ECB3" w14:textId="77777777" w:rsidTr="00E7722A">
        <w:tc>
          <w:tcPr>
            <w:tcW w:w="4531" w:type="dxa"/>
          </w:tcPr>
          <w:p w14:paraId="161E26E6" w14:textId="641EC88B" w:rsidR="00E7722A" w:rsidRPr="007E263A" w:rsidRDefault="00E7722A" w:rsidP="00E7722A">
            <w:pPr>
              <w:rPr>
                <w:rFonts w:ascii="Arial" w:hAnsi="Arial" w:cs="Arial"/>
                <w:noProof/>
                <w:sz w:val="18"/>
                <w:szCs w:val="18"/>
                <w:lang w:val="fr-CA"/>
              </w:rPr>
            </w:pPr>
            <w:r w:rsidRPr="007E263A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2</w:t>
            </w:r>
            <w:r w:rsidR="00386E7B" w:rsidRPr="007E263A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a</w:t>
            </w:r>
            <w:r w:rsidRPr="007E263A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. </w:t>
            </w:r>
            <w:r w:rsidR="00A81190" w:rsidRPr="007E263A">
              <w:rPr>
                <w:rFonts w:ascii="Verdana" w:hAnsi="Verdana"/>
                <w:noProof/>
                <w:color w:val="000000"/>
                <w:sz w:val="19"/>
                <w:szCs w:val="19"/>
                <w:lang w:val="fr-CA"/>
              </w:rPr>
              <w:t xml:space="preserve"> </w:t>
            </w:r>
            <w:r w:rsidR="00A81190" w:rsidRPr="007E263A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Préparer et rédiger les documents d</w:t>
            </w:r>
            <w:r w:rsidR="00A90504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’</w:t>
            </w:r>
            <w:r w:rsidR="00A81190" w:rsidRPr="007E263A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invitation à soumissionner</w:t>
            </w:r>
            <w:r w:rsidR="003C55E2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.</w:t>
            </w:r>
          </w:p>
        </w:tc>
        <w:tc>
          <w:tcPr>
            <w:tcW w:w="5387" w:type="dxa"/>
          </w:tcPr>
          <w:p w14:paraId="1DC71308" w14:textId="0C006D1E" w:rsidR="00E7722A" w:rsidRPr="007E263A" w:rsidRDefault="00E7722A" w:rsidP="00E7722A">
            <w:pPr>
              <w:rPr>
                <w:rFonts w:ascii="Arial" w:hAnsi="Arial" w:cs="Arial"/>
                <w:noProof/>
                <w:sz w:val="18"/>
                <w:szCs w:val="18"/>
                <w:lang w:val="fr-CA"/>
              </w:rPr>
            </w:pPr>
            <w:r w:rsidRPr="007E263A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2</w:t>
            </w:r>
            <w:r w:rsidR="00386E7B" w:rsidRPr="007E263A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b</w:t>
            </w:r>
            <w:r w:rsidRPr="007E263A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. </w:t>
            </w:r>
            <w:r w:rsidR="00A81190" w:rsidRPr="007E263A">
              <w:rPr>
                <w:rFonts w:ascii="Verdana" w:hAnsi="Verdana"/>
                <w:noProof/>
                <w:color w:val="000000"/>
                <w:sz w:val="19"/>
                <w:szCs w:val="19"/>
                <w:lang w:val="fr-CA"/>
              </w:rPr>
              <w:t xml:space="preserve"> </w:t>
            </w:r>
            <w:r w:rsidR="00A81190" w:rsidRPr="007E263A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Préparer et envoyer une demande avec preuve de fonds</w:t>
            </w:r>
            <w:r w:rsidR="003C55E2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.</w:t>
            </w:r>
          </w:p>
        </w:tc>
      </w:tr>
      <w:tr w:rsidR="00E7722A" w:rsidRPr="00C47BA0" w14:paraId="06C61226" w14:textId="77777777" w:rsidTr="00E7722A">
        <w:tc>
          <w:tcPr>
            <w:tcW w:w="4531" w:type="dxa"/>
          </w:tcPr>
          <w:p w14:paraId="69B84138" w14:textId="55B64130" w:rsidR="00CE3E5A" w:rsidRPr="00A75811" w:rsidRDefault="002A3E4C" w:rsidP="00A7581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  <w:noProof/>
                <w:sz w:val="20"/>
                <w:szCs w:val="20"/>
                <w:u w:val="single"/>
                <w:lang w:val="fr-CA"/>
              </w:rPr>
            </w:pPr>
            <w:r w:rsidRPr="00A7581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Remplir les documents d</w:t>
            </w:r>
            <w:r w:rsidR="00A90504" w:rsidRPr="00A7581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’</w:t>
            </w:r>
            <w:r w:rsidRPr="00A7581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 xml:space="preserve">invitation à soumissionner et inclure un </w:t>
            </w:r>
            <w:r w:rsidR="00E12616" w:rsidRPr="00A7581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« </w:t>
            </w:r>
            <w:r w:rsidRPr="00A7581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 xml:space="preserve">Créateur de </w:t>
            </w:r>
            <w:r w:rsidR="00DF29E2" w:rsidRPr="00A7581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chaise</w:t>
            </w:r>
            <w:r w:rsidR="00E12616" w:rsidRPr="00A7581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 »</w:t>
            </w:r>
            <w:r w:rsidRPr="00A7581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 xml:space="preserve"> </w:t>
            </w:r>
            <w:r w:rsidR="009258A1" w:rsidRPr="00A7581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rempli</w:t>
            </w:r>
            <w:r w:rsidRPr="00A7581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 xml:space="preserve"> pour chaque type de chaise</w:t>
            </w:r>
            <w:r w:rsidRPr="007A72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.</w:t>
            </w:r>
            <w:r w:rsidR="00573A4C" w:rsidRPr="007A72C1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151106" w:rsidRPr="007A72C1">
              <w:rPr>
                <w:rFonts w:ascii="Arial" w:hAnsi="Arial" w:cs="Arial"/>
                <w:sz w:val="20"/>
                <w:szCs w:val="20"/>
                <w:lang w:val="fr-CA"/>
              </w:rPr>
              <w:t>La</w:t>
            </w:r>
            <w:r w:rsidR="00151106" w:rsidRPr="00A75811">
              <w:rPr>
                <w:rFonts w:ascii="Arial" w:hAnsi="Arial" w:cs="Arial"/>
                <w:sz w:val="20"/>
                <w:szCs w:val="20"/>
                <w:lang w:val="fr-CA"/>
              </w:rPr>
              <w:t xml:space="preserve"> DDP de l’ameublement de complexité moyenne peut être utilisée</w:t>
            </w:r>
            <w:r w:rsidR="00573A4C" w:rsidRPr="00A75811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="00CE3E5A" w:rsidRPr="00A7581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 xml:space="preserve"> </w:t>
            </w:r>
          </w:p>
          <w:p w14:paraId="4187B36C" w14:textId="6BD28D64" w:rsidR="00CE3E5A" w:rsidRPr="00A75811" w:rsidRDefault="00A81190" w:rsidP="00A7581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  <w:noProof/>
                <w:sz w:val="20"/>
                <w:szCs w:val="20"/>
                <w:u w:val="single"/>
                <w:lang w:val="fr-CA"/>
              </w:rPr>
            </w:pPr>
            <w:r w:rsidRPr="00A7581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Préparer l</w:t>
            </w:r>
            <w:r w:rsidR="00A90504" w:rsidRPr="00A7581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’</w:t>
            </w:r>
            <w:r w:rsidRPr="00A7581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Avis de projet de marché (APM)</w:t>
            </w:r>
            <w:r w:rsidR="00DF29E2" w:rsidRPr="00A7581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.</w:t>
            </w:r>
          </w:p>
          <w:p w14:paraId="160811D9" w14:textId="71733E45" w:rsidR="00CE3E5A" w:rsidRPr="007E263A" w:rsidRDefault="002A3E4C" w:rsidP="00CE3E5A">
            <w:pPr>
              <w:pStyle w:val="ListParagraph"/>
              <w:ind w:left="360"/>
              <w:rPr>
                <w:rStyle w:val="Hyperlink"/>
                <w:rFonts w:ascii="Arial" w:hAnsi="Arial" w:cs="Arial"/>
                <w:i/>
                <w:noProof/>
                <w:color w:val="auto"/>
                <w:sz w:val="20"/>
                <w:szCs w:val="20"/>
                <w:u w:val="none"/>
                <w:lang w:val="fr-CA"/>
              </w:rPr>
            </w:pPr>
            <w:r w:rsidRPr="007E263A">
              <w:rPr>
                <w:rFonts w:ascii="Arial" w:hAnsi="Arial" w:cs="Arial"/>
                <w:i/>
                <w:noProof/>
                <w:sz w:val="20"/>
                <w:szCs w:val="20"/>
                <w:lang w:val="fr-CA"/>
              </w:rPr>
              <w:t>**</w:t>
            </w:r>
            <w:r w:rsidR="00E12616">
              <w:rPr>
                <w:rFonts w:ascii="Arial" w:hAnsi="Arial" w:cs="Arial"/>
                <w:i/>
                <w:noProof/>
                <w:sz w:val="20"/>
                <w:szCs w:val="20"/>
                <w:lang w:val="fr-CA"/>
              </w:rPr>
              <w:t xml:space="preserve"> </w:t>
            </w:r>
            <w:r w:rsidRPr="007E263A">
              <w:rPr>
                <w:rFonts w:ascii="Arial" w:hAnsi="Arial" w:cs="Arial"/>
                <w:i/>
                <w:noProof/>
                <w:sz w:val="20"/>
                <w:szCs w:val="20"/>
                <w:lang w:val="fr-CA"/>
              </w:rPr>
              <w:t xml:space="preserve">Ces modèles se trouvent sur le site Web </w:t>
            </w:r>
            <w:r w:rsidR="00A90504" w:rsidRPr="00A90504">
              <w:rPr>
                <w:rFonts w:ascii="Arial" w:hAnsi="Arial" w:cs="Arial"/>
                <w:i/>
                <w:noProof/>
                <w:sz w:val="20"/>
                <w:szCs w:val="20"/>
                <w:lang w:val="fr-CA"/>
              </w:rPr>
              <w:t>d</w:t>
            </w:r>
            <w:r w:rsidR="00A90504">
              <w:rPr>
                <w:rFonts w:ascii="Arial" w:hAnsi="Arial" w:cs="Arial"/>
                <w:i/>
                <w:noProof/>
                <w:sz w:val="20"/>
                <w:szCs w:val="20"/>
                <w:lang w:val="fr-CA"/>
              </w:rPr>
              <w:t>u Mobilier de bureau</w:t>
            </w:r>
            <w:r w:rsidR="00E12616">
              <w:rPr>
                <w:rFonts w:ascii="Arial" w:hAnsi="Arial" w:cs="Arial"/>
                <w:i/>
                <w:noProof/>
                <w:sz w:val="20"/>
                <w:szCs w:val="20"/>
                <w:lang w:val="fr-CA"/>
              </w:rPr>
              <w:t xml:space="preserve">. </w:t>
            </w:r>
            <w:r w:rsidR="00CE3E5A" w:rsidRPr="007E263A">
              <w:rPr>
                <w:rStyle w:val="Hyperlink"/>
                <w:rFonts w:ascii="Arial" w:hAnsi="Arial" w:cs="Arial"/>
                <w:i/>
                <w:noProof/>
                <w:color w:val="auto"/>
                <w:sz w:val="20"/>
                <w:szCs w:val="20"/>
                <w:u w:val="none"/>
                <w:lang w:val="fr-CA"/>
              </w:rPr>
              <w:t>**</w:t>
            </w:r>
          </w:p>
          <w:p w14:paraId="245BAF79" w14:textId="77777777" w:rsidR="00CE3E5A" w:rsidRPr="007E263A" w:rsidRDefault="00CE3E5A" w:rsidP="00CE3E5A">
            <w:pPr>
              <w:pStyle w:val="ListParagraph"/>
              <w:ind w:left="360"/>
              <w:rPr>
                <w:rStyle w:val="Hyperlink"/>
                <w:rFonts w:ascii="Arial" w:hAnsi="Arial" w:cs="Arial"/>
                <w:i/>
                <w:noProof/>
                <w:color w:val="auto"/>
                <w:sz w:val="20"/>
                <w:szCs w:val="20"/>
                <w:lang w:val="fr-CA"/>
              </w:rPr>
            </w:pPr>
          </w:p>
          <w:p w14:paraId="2E8D459B" w14:textId="62511E54" w:rsidR="00CE3E5A" w:rsidRPr="007E263A" w:rsidRDefault="009258A1" w:rsidP="00CE3E5A">
            <w:pPr>
              <w:rPr>
                <w:rStyle w:val="Hyperlink"/>
                <w:rFonts w:ascii="Arial" w:hAnsi="Arial" w:cs="Arial"/>
                <w:i/>
                <w:noProof/>
                <w:color w:val="auto"/>
                <w:sz w:val="20"/>
                <w:szCs w:val="20"/>
                <w:lang w:val="fr-CA"/>
              </w:rPr>
            </w:pPr>
            <w:r w:rsidRPr="007E263A">
              <w:rPr>
                <w:rStyle w:val="Hyperlink"/>
                <w:rFonts w:ascii="Arial" w:hAnsi="Arial" w:cs="Arial"/>
                <w:i/>
                <w:noProof/>
                <w:color w:val="auto"/>
                <w:sz w:val="20"/>
                <w:szCs w:val="20"/>
                <w:lang w:val="fr-CA"/>
              </w:rPr>
              <w:t>L</w:t>
            </w:r>
            <w:r w:rsidR="00A90504">
              <w:rPr>
                <w:rStyle w:val="Hyperlink"/>
                <w:rFonts w:ascii="Arial" w:hAnsi="Arial" w:cs="Arial"/>
                <w:i/>
                <w:noProof/>
                <w:color w:val="auto"/>
                <w:sz w:val="20"/>
                <w:szCs w:val="20"/>
                <w:lang w:val="fr-CA"/>
              </w:rPr>
              <w:t>’</w:t>
            </w:r>
            <w:r w:rsidRPr="007E263A">
              <w:rPr>
                <w:rStyle w:val="Hyperlink"/>
                <w:rFonts w:ascii="Arial" w:hAnsi="Arial" w:cs="Arial"/>
                <w:i/>
                <w:noProof/>
                <w:color w:val="auto"/>
                <w:sz w:val="20"/>
                <w:szCs w:val="20"/>
                <w:lang w:val="fr-CA"/>
              </w:rPr>
              <w:t>utilisateur peut également utiliser les modèles de son ministère</w:t>
            </w:r>
            <w:r w:rsidR="00E12616">
              <w:rPr>
                <w:rStyle w:val="Hyperlink"/>
                <w:rFonts w:ascii="Arial" w:hAnsi="Arial" w:cs="Arial"/>
                <w:i/>
                <w:noProof/>
                <w:color w:val="auto"/>
                <w:sz w:val="20"/>
                <w:szCs w:val="20"/>
                <w:lang w:val="fr-CA"/>
              </w:rPr>
              <w:t>.</w:t>
            </w:r>
          </w:p>
          <w:p w14:paraId="0B528438" w14:textId="7CB40D18" w:rsidR="00E7722A" w:rsidRPr="007E263A" w:rsidRDefault="00CE3E5A" w:rsidP="00CE3E5A">
            <w:pPr>
              <w:rPr>
                <w:rStyle w:val="Hyperlink"/>
                <w:rFonts w:ascii="Arial" w:hAnsi="Arial" w:cs="Arial"/>
                <w:i/>
                <w:noProof/>
                <w:color w:val="auto"/>
                <w:sz w:val="20"/>
                <w:szCs w:val="20"/>
                <w:lang w:val="fr-CA"/>
              </w:rPr>
            </w:pPr>
            <w:r w:rsidRPr="007E263A">
              <w:rPr>
                <w:rStyle w:val="Hyperlink"/>
                <w:rFonts w:ascii="Arial" w:hAnsi="Arial" w:cs="Arial"/>
                <w:i/>
                <w:noProof/>
                <w:color w:val="auto"/>
                <w:sz w:val="20"/>
                <w:szCs w:val="20"/>
                <w:lang w:val="fr-CA"/>
              </w:rPr>
              <w:t xml:space="preserve">  </w:t>
            </w:r>
          </w:p>
          <w:p w14:paraId="7B7F1218" w14:textId="256583EC" w:rsidR="00E7722A" w:rsidRPr="00A75811" w:rsidRDefault="00E12616" w:rsidP="00A75811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rFonts w:ascii="Arial" w:hAnsi="Arial" w:cs="Arial"/>
                <w:i/>
                <w:noProof/>
                <w:color w:val="auto"/>
                <w:sz w:val="20"/>
                <w:szCs w:val="20"/>
                <w:u w:val="none"/>
                <w:lang w:val="fr-CA"/>
              </w:rPr>
            </w:pPr>
            <w:r w:rsidRPr="00A7581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Publier</w:t>
            </w:r>
            <w:r w:rsidR="002A3E4C" w:rsidRPr="00A7581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 xml:space="preserve"> l</w:t>
            </w:r>
            <w:r w:rsidR="00A90504" w:rsidRPr="00A7581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’</w:t>
            </w:r>
            <w:r w:rsidR="002A3E4C" w:rsidRPr="00A7581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APM et l</w:t>
            </w:r>
            <w:r w:rsidR="00A90504" w:rsidRPr="00A7581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’</w:t>
            </w:r>
            <w:r w:rsidR="002A3E4C" w:rsidRPr="00A7581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invitation (DDS) sur achatsetventes.gc.ca</w:t>
            </w:r>
            <w:r w:rsidR="007A72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 xml:space="preserve"> ou AchatsCanada.</w:t>
            </w:r>
            <w:r w:rsidR="00E7722A" w:rsidRPr="00A75811">
              <w:rPr>
                <w:rStyle w:val="Hyperlink"/>
                <w:rFonts w:ascii="Arial" w:hAnsi="Arial" w:cs="Arial"/>
                <w:noProof/>
                <w:color w:val="auto"/>
                <w:sz w:val="20"/>
                <w:szCs w:val="20"/>
                <w:u w:val="none"/>
                <w:lang w:val="fr-CA"/>
              </w:rPr>
              <w:t xml:space="preserve"> </w:t>
            </w:r>
          </w:p>
          <w:p w14:paraId="0993CDEE" w14:textId="77777777" w:rsidR="0039097B" w:rsidRPr="007E263A" w:rsidRDefault="0039097B" w:rsidP="0038049B">
            <w:pPr>
              <w:pStyle w:val="ListParagraph"/>
              <w:ind w:left="360"/>
              <w:rPr>
                <w:rStyle w:val="Hyperlink"/>
                <w:rFonts w:ascii="Arial" w:hAnsi="Arial" w:cs="Arial"/>
                <w:i/>
                <w:noProof/>
                <w:color w:val="auto"/>
                <w:sz w:val="20"/>
                <w:szCs w:val="20"/>
                <w:u w:val="none"/>
                <w:lang w:val="fr-CA"/>
              </w:rPr>
            </w:pPr>
          </w:p>
          <w:p w14:paraId="54E60F5D" w14:textId="050ADEA7" w:rsidR="00E7722A" w:rsidRPr="007E263A" w:rsidRDefault="002A3E4C" w:rsidP="00E12616">
            <w:pPr>
              <w:rPr>
                <w:rFonts w:ascii="Arial" w:hAnsi="Arial" w:cs="Arial"/>
                <w:i/>
                <w:noProof/>
                <w:sz w:val="18"/>
                <w:szCs w:val="18"/>
                <w:lang w:val="fr-CA"/>
              </w:rPr>
            </w:pPr>
            <w:r w:rsidRPr="007E263A">
              <w:rPr>
                <w:rFonts w:ascii="Arial" w:hAnsi="Arial" w:cs="Arial"/>
                <w:i/>
                <w:noProof/>
                <w:sz w:val="18"/>
                <w:szCs w:val="18"/>
                <w:lang w:val="fr-CA"/>
              </w:rPr>
              <w:t>La durée minimale de la période de l</w:t>
            </w:r>
            <w:r w:rsidR="00A90504">
              <w:rPr>
                <w:rFonts w:ascii="Arial" w:hAnsi="Arial" w:cs="Arial"/>
                <w:i/>
                <w:noProof/>
                <w:sz w:val="18"/>
                <w:szCs w:val="18"/>
                <w:lang w:val="fr-CA"/>
              </w:rPr>
              <w:t>’</w:t>
            </w:r>
            <w:r w:rsidRPr="007E263A">
              <w:rPr>
                <w:rFonts w:ascii="Arial" w:hAnsi="Arial" w:cs="Arial"/>
                <w:i/>
                <w:noProof/>
                <w:sz w:val="18"/>
                <w:szCs w:val="18"/>
                <w:lang w:val="fr-CA"/>
              </w:rPr>
              <w:t>invitation à soumissionner est de 10 jours civils</w:t>
            </w:r>
            <w:r w:rsidR="00E7722A" w:rsidRPr="007E263A">
              <w:rPr>
                <w:rStyle w:val="Hyperlink"/>
                <w:rFonts w:ascii="Arial" w:hAnsi="Arial" w:cs="Arial"/>
                <w:i/>
                <w:noProof/>
                <w:color w:val="auto"/>
                <w:sz w:val="18"/>
                <w:szCs w:val="18"/>
                <w:u w:val="none"/>
                <w:lang w:val="fr-CA"/>
              </w:rPr>
              <w:t>.</w:t>
            </w:r>
          </w:p>
        </w:tc>
        <w:tc>
          <w:tcPr>
            <w:tcW w:w="5387" w:type="dxa"/>
          </w:tcPr>
          <w:p w14:paraId="18E84B50" w14:textId="318EFCB8" w:rsidR="00E7722A" w:rsidRPr="00A75811" w:rsidRDefault="002A3E4C" w:rsidP="00A7581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noProof/>
                <w:sz w:val="20"/>
                <w:szCs w:val="20"/>
                <w:lang w:val="fr-CA"/>
              </w:rPr>
            </w:pPr>
            <w:r w:rsidRPr="00A7581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Acheminer la demande avec preuve de fonds à Services publics et Approvisionnement Canada (SPAC) – Direction centrale d</w:t>
            </w:r>
            <w:r w:rsidR="00A90504" w:rsidRPr="00A7581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’</w:t>
            </w:r>
            <w:r w:rsidRPr="00A7581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 xml:space="preserve">attribution, avec les documents suivants </w:t>
            </w:r>
            <w:r w:rsidR="00E7722A" w:rsidRPr="00A7581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 xml:space="preserve">: </w:t>
            </w:r>
          </w:p>
          <w:p w14:paraId="2DD8E140" w14:textId="77777777" w:rsidR="00C75D58" w:rsidRPr="007E263A" w:rsidRDefault="00C75D58" w:rsidP="00E7722A">
            <w:pPr>
              <w:rPr>
                <w:rFonts w:ascii="Arial" w:hAnsi="Arial" w:cs="Arial"/>
                <w:noProof/>
                <w:sz w:val="20"/>
                <w:szCs w:val="20"/>
                <w:lang w:val="fr-CA"/>
              </w:rPr>
            </w:pPr>
          </w:p>
          <w:p w14:paraId="0B8CBBB2" w14:textId="4BC85EE5" w:rsidR="00C75D58" w:rsidRPr="007E263A" w:rsidRDefault="00C3420F" w:rsidP="00C75D5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noProof/>
                <w:sz w:val="20"/>
                <w:szCs w:val="20"/>
                <w:u w:val="single"/>
                <w:lang w:val="fr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« </w:t>
            </w:r>
            <w:r w:rsidR="009258A1" w:rsidRPr="007E263A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 xml:space="preserve">Créateur de </w:t>
            </w:r>
            <w:r w:rsidR="00DF29E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chaise</w:t>
            </w:r>
            <w:r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 »</w:t>
            </w:r>
            <w:r w:rsidR="009258A1" w:rsidRPr="007E263A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 xml:space="preserve"> rempli pour chaque type de chaise</w:t>
            </w:r>
            <w:r w:rsidR="007E263A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.</w:t>
            </w:r>
          </w:p>
          <w:p w14:paraId="224F5ABE" w14:textId="734E445A" w:rsidR="00C75D58" w:rsidRPr="007E263A" w:rsidRDefault="007E263A" w:rsidP="00C75D5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noProof/>
                <w:sz w:val="20"/>
                <w:szCs w:val="20"/>
                <w:u w:val="single"/>
                <w:lang w:val="fr-CA"/>
              </w:rPr>
            </w:pPr>
            <w:r w:rsidRPr="007E263A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 xml:space="preserve">Indiquer si le besoin est mis de côté pour </w:t>
            </w:r>
            <w:r w:rsidR="009258A1" w:rsidRPr="007E263A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la SAEA o</w:t>
            </w:r>
            <w:r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u</w:t>
            </w:r>
            <w:r w:rsidR="009258A1" w:rsidRPr="007E263A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 xml:space="preserve"> le volet d</w:t>
            </w:r>
            <w:r w:rsidR="00A9050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’</w:t>
            </w:r>
            <w:r w:rsidR="009258A1" w:rsidRPr="007E263A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approvisionnement général</w:t>
            </w:r>
            <w:r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.</w:t>
            </w:r>
          </w:p>
          <w:p w14:paraId="5C451BB3" w14:textId="6BEC9B2F" w:rsidR="00C75D58" w:rsidRPr="007E263A" w:rsidRDefault="007E263A" w:rsidP="00C75D5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noProof/>
                <w:sz w:val="20"/>
                <w:szCs w:val="20"/>
                <w:u w:val="single"/>
                <w:lang w:val="fr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L</w:t>
            </w:r>
            <w:r w:rsidR="002A3E4C" w:rsidRPr="007E263A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es clauses de sécurité, s</w:t>
            </w:r>
            <w:r w:rsidR="00A9050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’</w:t>
            </w:r>
            <w:r w:rsidR="002A3E4C" w:rsidRPr="007E263A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 xml:space="preserve">il y a lieu. </w:t>
            </w:r>
            <w:r w:rsidR="00C75D58" w:rsidRPr="007E263A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 xml:space="preserve"> </w:t>
            </w:r>
          </w:p>
          <w:p w14:paraId="74462F23" w14:textId="29492416" w:rsidR="00C75D58" w:rsidRPr="007E263A" w:rsidRDefault="007E263A" w:rsidP="007E263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noProof/>
                <w:sz w:val="20"/>
                <w:szCs w:val="20"/>
                <w:u w:val="single"/>
                <w:lang w:val="fr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SPAC</w:t>
            </w:r>
            <w:r w:rsidRPr="007E263A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 xml:space="preserve"> peut demander des informations supplémentaires à la réception du dossier</w:t>
            </w:r>
            <w:r w:rsidR="00C75D58" w:rsidRPr="007E263A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 xml:space="preserve">. </w:t>
            </w:r>
          </w:p>
          <w:p w14:paraId="31095895" w14:textId="77777777" w:rsidR="00C75D58" w:rsidRPr="007E263A" w:rsidRDefault="00C75D58" w:rsidP="00386E7B">
            <w:pPr>
              <w:pStyle w:val="ListParagraph"/>
              <w:ind w:left="360"/>
              <w:rPr>
                <w:rFonts w:ascii="Arial" w:hAnsi="Arial" w:cs="Arial"/>
                <w:i/>
                <w:noProof/>
                <w:sz w:val="20"/>
                <w:szCs w:val="20"/>
                <w:lang w:val="fr-CA"/>
              </w:rPr>
            </w:pPr>
          </w:p>
          <w:p w14:paraId="3BECCECB" w14:textId="6D929E63" w:rsidR="00386E7B" w:rsidRPr="007E263A" w:rsidRDefault="00386E7B" w:rsidP="00386E7B">
            <w:pPr>
              <w:pStyle w:val="ListParagraph"/>
              <w:ind w:left="360"/>
              <w:rPr>
                <w:rFonts w:ascii="Arial" w:hAnsi="Arial" w:cs="Arial"/>
                <w:i/>
                <w:noProof/>
                <w:sz w:val="18"/>
                <w:szCs w:val="18"/>
                <w:lang w:val="fr-CA"/>
              </w:rPr>
            </w:pPr>
            <w:r w:rsidRPr="007E263A">
              <w:rPr>
                <w:rFonts w:ascii="Arial" w:hAnsi="Arial" w:cs="Arial"/>
                <w:i/>
                <w:noProof/>
                <w:sz w:val="20"/>
                <w:szCs w:val="20"/>
                <w:lang w:val="fr-CA"/>
              </w:rPr>
              <w:t>**</w:t>
            </w:r>
            <w:r w:rsidR="002A3E4C" w:rsidRPr="007E263A">
              <w:rPr>
                <w:rFonts w:ascii="Verdana" w:hAnsi="Verdana"/>
                <w:noProof/>
                <w:color w:val="444444"/>
                <w:sz w:val="18"/>
                <w:szCs w:val="18"/>
                <w:lang w:val="fr-CA"/>
              </w:rPr>
              <w:t xml:space="preserve"> </w:t>
            </w:r>
            <w:r w:rsidR="002A3E4C" w:rsidRPr="007E263A">
              <w:rPr>
                <w:rFonts w:ascii="Arial" w:hAnsi="Arial" w:cs="Arial"/>
                <w:i/>
                <w:noProof/>
                <w:sz w:val="20"/>
                <w:szCs w:val="20"/>
                <w:lang w:val="fr-CA"/>
              </w:rPr>
              <w:t xml:space="preserve">SPAC AB/AP suit les étapes 2a et 3a </w:t>
            </w:r>
            <w:r w:rsidRPr="007E263A">
              <w:rPr>
                <w:rFonts w:ascii="Arial" w:hAnsi="Arial" w:cs="Arial"/>
                <w:i/>
                <w:noProof/>
                <w:sz w:val="20"/>
                <w:szCs w:val="20"/>
                <w:lang w:val="fr-CA"/>
              </w:rPr>
              <w:t>**</w:t>
            </w:r>
          </w:p>
        </w:tc>
      </w:tr>
    </w:tbl>
    <w:p w14:paraId="77B2EB75" w14:textId="3A325B95" w:rsidR="00DD4440" w:rsidRPr="007E263A" w:rsidRDefault="00DD4440">
      <w:pPr>
        <w:rPr>
          <w:rFonts w:ascii="Arial" w:hAnsi="Arial" w:cs="Arial"/>
          <w:noProof/>
          <w:sz w:val="18"/>
          <w:szCs w:val="18"/>
          <w:lang w:val="fr-CA"/>
        </w:rPr>
      </w:pPr>
    </w:p>
    <w:p w14:paraId="37F7E0C2" w14:textId="2973C2AC" w:rsidR="00F62F64" w:rsidRPr="007E263A" w:rsidRDefault="00C47BA0">
      <w:pPr>
        <w:rPr>
          <w:rFonts w:ascii="Arial" w:hAnsi="Arial" w:cs="Arial"/>
          <w:noProof/>
          <w:sz w:val="18"/>
          <w:szCs w:val="18"/>
          <w:lang w:val="fr-CA"/>
        </w:rPr>
      </w:pPr>
      <w:r w:rsidRPr="007E263A">
        <w:rPr>
          <w:rFonts w:ascii="Arial" w:hAnsi="Arial" w:cs="Arial"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95FA3C8" wp14:editId="6D915C76">
                <wp:simplePos x="0" y="0"/>
                <wp:positionH relativeFrom="margin">
                  <wp:posOffset>2667000</wp:posOffset>
                </wp:positionH>
                <wp:positionV relativeFrom="paragraph">
                  <wp:posOffset>2766695</wp:posOffset>
                </wp:positionV>
                <wp:extent cx="447675" cy="375285"/>
                <wp:effectExtent l="19050" t="0" r="28575" b="43815"/>
                <wp:wrapTight wrapText="bothSides">
                  <wp:wrapPolygon edited="0">
                    <wp:start x="3677" y="0"/>
                    <wp:lineTo x="-919" y="10964"/>
                    <wp:lineTo x="-919" y="13157"/>
                    <wp:lineTo x="3677" y="17543"/>
                    <wp:lineTo x="8272" y="23025"/>
                    <wp:lineTo x="13787" y="23025"/>
                    <wp:lineTo x="18383" y="17543"/>
                    <wp:lineTo x="22060" y="16447"/>
                    <wp:lineTo x="22060" y="10964"/>
                    <wp:lineTo x="18383" y="0"/>
                    <wp:lineTo x="3677" y="0"/>
                  </wp:wrapPolygon>
                </wp:wrapTight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75285"/>
                        </a:xfrm>
                        <a:prstGeom prst="downArrow">
                          <a:avLst/>
                        </a:prstGeom>
                        <a:solidFill>
                          <a:srgbClr val="CCDD4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78181" id="Down Arrow 11" o:spid="_x0000_s1026" type="#_x0000_t67" style="position:absolute;margin-left:210pt;margin-top:217.85pt;width:35.25pt;height:29.5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" adj="10800" fillcolor="#cd4" strokecolor="#1f4d78 [1604]" strokeweight="1pt">
                <w10:wrap type="tight" anchorx="margin"/>
              </v:shape>
            </w:pict>
          </mc:Fallback>
        </mc:AlternateContent>
      </w:r>
    </w:p>
    <w:p w14:paraId="25FFD56D" w14:textId="47EEA66F" w:rsidR="006D42FD" w:rsidRPr="007E263A" w:rsidRDefault="006D42FD">
      <w:pPr>
        <w:rPr>
          <w:rFonts w:ascii="Arial" w:hAnsi="Arial" w:cs="Arial"/>
          <w:noProof/>
          <w:sz w:val="18"/>
          <w:szCs w:val="18"/>
          <w:lang w:val="fr-CA"/>
        </w:rPr>
      </w:pPr>
    </w:p>
    <w:tbl>
      <w:tblPr>
        <w:tblStyle w:val="TableGrid"/>
        <w:tblW w:w="9918" w:type="dxa"/>
        <w:tblInd w:w="-5" w:type="dxa"/>
        <w:tblLook w:val="04A0" w:firstRow="1" w:lastRow="0" w:firstColumn="1" w:lastColumn="0" w:noHBand="0" w:noVBand="1"/>
      </w:tblPr>
      <w:tblGrid>
        <w:gridCol w:w="9918"/>
      </w:tblGrid>
      <w:tr w:rsidR="0073078D" w:rsidRPr="00C47BA0" w14:paraId="67C30D89" w14:textId="77777777" w:rsidTr="0098355E">
        <w:tc>
          <w:tcPr>
            <w:tcW w:w="9918" w:type="dxa"/>
          </w:tcPr>
          <w:p w14:paraId="62AB7C0E" w14:textId="7BC64E54" w:rsidR="0073078D" w:rsidRPr="007E263A" w:rsidRDefault="0073078D" w:rsidP="0073078D">
            <w:pPr>
              <w:rPr>
                <w:rFonts w:ascii="Arial" w:hAnsi="Arial" w:cs="Arial"/>
                <w:noProof/>
                <w:sz w:val="18"/>
                <w:szCs w:val="18"/>
                <w:lang w:val="fr-CA"/>
              </w:rPr>
            </w:pPr>
            <w:r w:rsidRPr="007E263A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3</w:t>
            </w:r>
            <w:r w:rsidR="00386E7B" w:rsidRPr="007E263A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a</w:t>
            </w:r>
            <w:r w:rsidRPr="007E263A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 xml:space="preserve">. </w:t>
            </w:r>
            <w:r w:rsidR="00A81190" w:rsidRPr="007E263A">
              <w:rPr>
                <w:rFonts w:ascii="Arial" w:hAnsi="Arial" w:cs="Arial"/>
                <w:noProof/>
                <w:sz w:val="18"/>
                <w:szCs w:val="18"/>
                <w:lang w:val="fr-CA"/>
              </w:rPr>
              <w:t>Évaluation et attribution du contrat</w:t>
            </w:r>
          </w:p>
        </w:tc>
      </w:tr>
      <w:tr w:rsidR="0073078D" w:rsidRPr="00C47BA0" w14:paraId="3812F952" w14:textId="77777777" w:rsidTr="0098355E">
        <w:trPr>
          <w:trHeight w:val="810"/>
        </w:trPr>
        <w:tc>
          <w:tcPr>
            <w:tcW w:w="9918" w:type="dxa"/>
          </w:tcPr>
          <w:p w14:paraId="40EB228D" w14:textId="659384EB" w:rsidR="00E220A4" w:rsidRPr="00151106" w:rsidRDefault="00151106" w:rsidP="00573A4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51106">
              <w:rPr>
                <w:rFonts w:ascii="Arial" w:hAnsi="Arial" w:cs="Arial"/>
                <w:sz w:val="18"/>
                <w:szCs w:val="18"/>
                <w:lang w:val="fr-CA"/>
              </w:rPr>
              <w:t>Recevoir et évaluer les soumissions</w:t>
            </w:r>
          </w:p>
          <w:p w14:paraId="04FEB17E" w14:textId="0AFFB4F2" w:rsidR="00C75D58" w:rsidRPr="007E263A" w:rsidRDefault="00C75D58" w:rsidP="007E263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noProof/>
                <w:sz w:val="20"/>
                <w:szCs w:val="20"/>
                <w:lang w:val="fr-CA"/>
              </w:rPr>
            </w:pPr>
            <w:r w:rsidRPr="007E263A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Confirm</w:t>
            </w:r>
            <w:r w:rsidR="00DF29E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ez</w:t>
            </w:r>
            <w:r w:rsidR="007E263A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 xml:space="preserve"> si le fournisseur est actuellement </w:t>
            </w:r>
            <w:r w:rsidR="002A3E4C" w:rsidRPr="007E263A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titulaire d</w:t>
            </w:r>
            <w:r w:rsidR="00A9050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’</w:t>
            </w:r>
            <w:r w:rsidR="002A3E4C" w:rsidRPr="007E263A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une AMA</w:t>
            </w:r>
            <w:r w:rsidRPr="007E263A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 xml:space="preserve"> </w:t>
            </w:r>
            <w:r w:rsidR="007E263A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 xml:space="preserve">et si </w:t>
            </w:r>
            <w:r w:rsidR="007E263A" w:rsidRPr="007E263A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le ou les produits sont offerts</w:t>
            </w:r>
            <w:r w:rsidR="007E263A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,</w:t>
            </w:r>
            <w:r w:rsidR="007E263A" w:rsidRPr="007E263A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 xml:space="preserve"> en </w:t>
            </w:r>
            <w:r w:rsidR="007E263A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indiquant</w:t>
            </w:r>
            <w:r w:rsidR="007E263A" w:rsidRPr="007E263A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 xml:space="preserve"> </w:t>
            </w:r>
            <w:r w:rsidR="007E263A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le nom de</w:t>
            </w:r>
            <w:r w:rsidR="007E263A" w:rsidRPr="007E263A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 xml:space="preserve"> série de </w:t>
            </w:r>
            <w:r w:rsidR="007E263A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 xml:space="preserve">la </w:t>
            </w:r>
            <w:r w:rsidR="007E263A" w:rsidRPr="007E263A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 xml:space="preserve">chaise et </w:t>
            </w:r>
            <w:r w:rsidR="007E263A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le</w:t>
            </w:r>
            <w:r w:rsidR="007E263A" w:rsidRPr="007E263A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 xml:space="preserve"> rabais minimum associé pour le titulaire de l</w:t>
            </w:r>
            <w:r w:rsidR="00A9050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’</w:t>
            </w:r>
            <w:r w:rsidR="007E263A" w:rsidRPr="007E263A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A</w:t>
            </w:r>
            <w:r w:rsidR="007E263A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M</w:t>
            </w:r>
            <w:r w:rsidR="007E263A" w:rsidRPr="007E263A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A sur l</w:t>
            </w:r>
            <w:r w:rsidR="00A9050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’</w:t>
            </w:r>
            <w:r w:rsidR="007E263A" w:rsidRPr="007E263A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 xml:space="preserve">application </w:t>
            </w:r>
            <w:r w:rsidR="002A3E4C" w:rsidRPr="007E263A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OCAMA</w:t>
            </w:r>
            <w:r w:rsidR="007E263A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.</w:t>
            </w:r>
          </w:p>
          <w:p w14:paraId="63BBD623" w14:textId="22D52887" w:rsidR="00E220A4" w:rsidRPr="007E263A" w:rsidRDefault="007E263A" w:rsidP="007E263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noProof/>
                <w:sz w:val="20"/>
                <w:szCs w:val="20"/>
                <w:lang w:val="fr-CA"/>
              </w:rPr>
            </w:pPr>
            <w:r w:rsidRPr="007E263A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Attribution du contrat selon la méthode de sélection choisie dans l</w:t>
            </w:r>
            <w:r w:rsidR="00A9050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’</w:t>
            </w:r>
            <w:r w:rsidRPr="007E263A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appel d</w:t>
            </w:r>
            <w:r w:rsidR="00A9050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’</w:t>
            </w:r>
            <w:r w:rsidRPr="007E263A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offres</w:t>
            </w:r>
            <w:r w:rsidR="0064465B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.</w:t>
            </w:r>
          </w:p>
        </w:tc>
      </w:tr>
    </w:tbl>
    <w:p w14:paraId="78CDD58B" w14:textId="3B560FD0" w:rsidR="009E3676" w:rsidRPr="007E263A" w:rsidRDefault="009E3676" w:rsidP="00B71F80">
      <w:pPr>
        <w:rPr>
          <w:rFonts w:ascii="Arial" w:hAnsi="Arial" w:cs="Arial"/>
          <w:i/>
          <w:noProof/>
          <w:sz w:val="18"/>
          <w:szCs w:val="18"/>
          <w:lang w:val="fr-CA"/>
        </w:rPr>
      </w:pPr>
    </w:p>
    <w:p w14:paraId="0E68B5CF" w14:textId="73808A04" w:rsidR="00B71F80" w:rsidRPr="007E263A" w:rsidRDefault="002A3E4C" w:rsidP="00B71F80">
      <w:pPr>
        <w:rPr>
          <w:rFonts w:ascii="Arial" w:hAnsi="Arial" w:cs="Arial"/>
          <w:b/>
          <w:i/>
          <w:noProof/>
          <w:sz w:val="18"/>
          <w:szCs w:val="18"/>
          <w:lang w:val="fr-CA"/>
        </w:rPr>
      </w:pPr>
      <w:r w:rsidRPr="007E263A">
        <w:rPr>
          <w:rFonts w:ascii="Arial" w:hAnsi="Arial" w:cs="Arial"/>
          <w:i/>
          <w:noProof/>
          <w:sz w:val="18"/>
          <w:szCs w:val="18"/>
          <w:lang w:val="fr-CA"/>
        </w:rPr>
        <w:t>Il s</w:t>
      </w:r>
      <w:r w:rsidR="00A90504">
        <w:rPr>
          <w:rFonts w:ascii="Arial" w:hAnsi="Arial" w:cs="Arial"/>
          <w:i/>
          <w:noProof/>
          <w:sz w:val="18"/>
          <w:szCs w:val="18"/>
          <w:lang w:val="fr-CA"/>
        </w:rPr>
        <w:t>’</w:t>
      </w:r>
      <w:r w:rsidRPr="007E263A">
        <w:rPr>
          <w:rFonts w:ascii="Arial" w:hAnsi="Arial" w:cs="Arial"/>
          <w:i/>
          <w:noProof/>
          <w:sz w:val="18"/>
          <w:szCs w:val="18"/>
          <w:lang w:val="fr-CA"/>
        </w:rPr>
        <w:t>agit d</w:t>
      </w:r>
      <w:r w:rsidR="00A90504">
        <w:rPr>
          <w:rFonts w:ascii="Arial" w:hAnsi="Arial" w:cs="Arial"/>
          <w:i/>
          <w:noProof/>
          <w:sz w:val="18"/>
          <w:szCs w:val="18"/>
          <w:lang w:val="fr-CA"/>
        </w:rPr>
        <w:t>’</w:t>
      </w:r>
      <w:r w:rsidRPr="007E263A">
        <w:rPr>
          <w:rFonts w:ascii="Arial" w:hAnsi="Arial" w:cs="Arial"/>
          <w:i/>
          <w:noProof/>
          <w:sz w:val="18"/>
          <w:szCs w:val="18"/>
          <w:lang w:val="fr-CA"/>
        </w:rPr>
        <w:t>un</w:t>
      </w:r>
      <w:r w:rsidR="00E2380D">
        <w:rPr>
          <w:rFonts w:ascii="Arial" w:hAnsi="Arial" w:cs="Arial"/>
          <w:i/>
          <w:noProof/>
          <w:sz w:val="18"/>
          <w:szCs w:val="18"/>
          <w:lang w:val="fr-CA"/>
        </w:rPr>
        <w:t xml:space="preserve"> tableau</w:t>
      </w:r>
      <w:r w:rsidRPr="007E263A">
        <w:rPr>
          <w:rFonts w:ascii="Arial" w:hAnsi="Arial" w:cs="Arial"/>
          <w:i/>
          <w:noProof/>
          <w:sz w:val="18"/>
          <w:szCs w:val="18"/>
          <w:lang w:val="fr-CA"/>
        </w:rPr>
        <w:t xml:space="preserve"> de haut niveau visant à illustrer le processus aux paliers 2 et 3</w:t>
      </w:r>
      <w:r w:rsidR="00B71F80" w:rsidRPr="007E263A">
        <w:rPr>
          <w:rFonts w:ascii="Arial" w:hAnsi="Arial" w:cs="Arial"/>
          <w:i/>
          <w:noProof/>
          <w:sz w:val="18"/>
          <w:szCs w:val="18"/>
          <w:lang w:val="fr-CA"/>
        </w:rPr>
        <w:t xml:space="preserve">. </w:t>
      </w:r>
      <w:r w:rsidRPr="007E263A">
        <w:rPr>
          <w:rFonts w:ascii="Arial" w:hAnsi="Arial" w:cs="Arial"/>
          <w:i/>
          <w:noProof/>
          <w:sz w:val="18"/>
          <w:szCs w:val="18"/>
          <w:lang w:val="fr-CA"/>
        </w:rPr>
        <w:t>Pour des consignes plus détaillées sur l</w:t>
      </w:r>
      <w:r w:rsidR="00A90504">
        <w:rPr>
          <w:rFonts w:ascii="Arial" w:hAnsi="Arial" w:cs="Arial"/>
          <w:i/>
          <w:noProof/>
          <w:sz w:val="18"/>
          <w:szCs w:val="18"/>
          <w:lang w:val="fr-CA"/>
        </w:rPr>
        <w:t>’</w:t>
      </w:r>
      <w:r w:rsidRPr="007E263A">
        <w:rPr>
          <w:rFonts w:ascii="Arial" w:hAnsi="Arial" w:cs="Arial"/>
          <w:i/>
          <w:noProof/>
          <w:sz w:val="18"/>
          <w:szCs w:val="18"/>
          <w:lang w:val="fr-CA"/>
        </w:rPr>
        <w:t>une ou l</w:t>
      </w:r>
      <w:r w:rsidR="00A90504">
        <w:rPr>
          <w:rFonts w:ascii="Arial" w:hAnsi="Arial" w:cs="Arial"/>
          <w:i/>
          <w:noProof/>
          <w:sz w:val="18"/>
          <w:szCs w:val="18"/>
          <w:lang w:val="fr-CA"/>
        </w:rPr>
        <w:t>’</w:t>
      </w:r>
      <w:r w:rsidRPr="007E263A">
        <w:rPr>
          <w:rFonts w:ascii="Arial" w:hAnsi="Arial" w:cs="Arial"/>
          <w:i/>
          <w:noProof/>
          <w:sz w:val="18"/>
          <w:szCs w:val="18"/>
          <w:lang w:val="fr-CA"/>
        </w:rPr>
        <w:t>autre des étapes</w:t>
      </w:r>
      <w:r w:rsidR="00955728">
        <w:rPr>
          <w:rFonts w:ascii="Arial" w:hAnsi="Arial" w:cs="Arial"/>
          <w:i/>
          <w:noProof/>
          <w:sz w:val="18"/>
          <w:szCs w:val="18"/>
          <w:lang w:val="fr-CA"/>
        </w:rPr>
        <w:t xml:space="preserve"> indiquées</w:t>
      </w:r>
      <w:r w:rsidRPr="007E263A">
        <w:rPr>
          <w:rFonts w:ascii="Arial" w:hAnsi="Arial" w:cs="Arial"/>
          <w:i/>
          <w:noProof/>
          <w:sz w:val="18"/>
          <w:szCs w:val="18"/>
          <w:lang w:val="fr-CA"/>
        </w:rPr>
        <w:t>, veuillez consulter le site Web d</w:t>
      </w:r>
      <w:r w:rsidR="0005223E">
        <w:rPr>
          <w:rFonts w:ascii="Arial" w:hAnsi="Arial" w:cs="Arial"/>
          <w:i/>
          <w:noProof/>
          <w:sz w:val="18"/>
          <w:szCs w:val="18"/>
          <w:lang w:val="fr-CA"/>
        </w:rPr>
        <w:t xml:space="preserve">u Mobilier de bureau </w:t>
      </w:r>
      <w:r w:rsidRPr="007E263A">
        <w:rPr>
          <w:rFonts w:ascii="Arial" w:hAnsi="Arial" w:cs="Arial"/>
          <w:i/>
          <w:noProof/>
          <w:sz w:val="18"/>
          <w:szCs w:val="18"/>
          <w:lang w:val="fr-CA"/>
        </w:rPr>
        <w:t xml:space="preserve">ou écrire à notre </w:t>
      </w:r>
      <w:r w:rsidRPr="007E263A">
        <w:rPr>
          <w:rFonts w:ascii="Arial" w:hAnsi="Arial" w:cs="Arial"/>
          <w:i/>
          <w:noProof/>
          <w:color w:val="0000FF"/>
          <w:sz w:val="18"/>
          <w:szCs w:val="18"/>
          <w:u w:val="single"/>
          <w:lang w:val="fr-CA"/>
        </w:rPr>
        <w:t>Boîte aux lettres générale</w:t>
      </w:r>
      <w:r w:rsidRPr="007E263A">
        <w:rPr>
          <w:rStyle w:val="Hyperlink"/>
          <w:rFonts w:ascii="Arial" w:hAnsi="Arial" w:cs="Arial"/>
          <w:i/>
          <w:noProof/>
          <w:color w:val="auto"/>
          <w:sz w:val="18"/>
          <w:szCs w:val="18"/>
          <w:u w:val="none"/>
          <w:lang w:val="fr-CA"/>
        </w:rPr>
        <w:t>.</w:t>
      </w:r>
    </w:p>
    <w:sectPr w:rsidR="00B71F80" w:rsidRPr="007E263A" w:rsidSect="007A72C1">
      <w:headerReference w:type="default" r:id="rId9"/>
      <w:pgSz w:w="12240" w:h="20160" w:code="5"/>
      <w:pgMar w:top="1440" w:right="1440" w:bottom="1440" w:left="1440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C2F2A" w14:textId="77777777" w:rsidR="00EF35C5" w:rsidRDefault="00EF35C5" w:rsidP="008B0AFE">
      <w:pPr>
        <w:spacing w:after="0" w:line="240" w:lineRule="auto"/>
      </w:pPr>
      <w:r>
        <w:separator/>
      </w:r>
    </w:p>
  </w:endnote>
  <w:endnote w:type="continuationSeparator" w:id="0">
    <w:p w14:paraId="38E390C2" w14:textId="77777777" w:rsidR="00EF35C5" w:rsidRDefault="00EF35C5" w:rsidP="008B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2199" w14:textId="77777777" w:rsidR="00EF35C5" w:rsidRDefault="00EF35C5" w:rsidP="008B0AFE">
      <w:pPr>
        <w:spacing w:after="0" w:line="240" w:lineRule="auto"/>
      </w:pPr>
      <w:r>
        <w:separator/>
      </w:r>
    </w:p>
  </w:footnote>
  <w:footnote w:type="continuationSeparator" w:id="0">
    <w:p w14:paraId="02F233C3" w14:textId="77777777" w:rsidR="00EF35C5" w:rsidRDefault="00EF35C5" w:rsidP="008B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F553" w14:textId="134085D9" w:rsidR="009E32F7" w:rsidRDefault="003640E2" w:rsidP="00965785">
    <w:pPr>
      <w:jc w:val="center"/>
      <w:rPr>
        <w:rFonts w:ascii="Arial" w:hAnsi="Arial" w:cs="Arial"/>
        <w:b/>
        <w:noProof/>
        <w:sz w:val="20"/>
        <w:szCs w:val="20"/>
        <w:lang w:val="fr-CA"/>
      </w:rPr>
    </w:pPr>
    <w:r w:rsidRPr="000F3B74">
      <w:rPr>
        <w:noProof/>
        <w:lang w:val="fr-CA"/>
      </w:rPr>
      <w:tab/>
    </w:r>
    <w:r w:rsidR="000F3B74" w:rsidRPr="000F3B74">
      <w:rPr>
        <w:rFonts w:ascii="Arial" w:hAnsi="Arial" w:cs="Arial"/>
        <w:b/>
        <w:noProof/>
        <w:sz w:val="20"/>
        <w:szCs w:val="20"/>
        <w:lang w:val="fr-CA"/>
      </w:rPr>
      <w:t xml:space="preserve">Arrangement en matière d’approvisionnement </w:t>
    </w:r>
    <w:r w:rsidR="000F3B74">
      <w:rPr>
        <w:rFonts w:ascii="Arial" w:hAnsi="Arial" w:cs="Arial"/>
        <w:b/>
        <w:noProof/>
        <w:sz w:val="20"/>
        <w:szCs w:val="20"/>
        <w:lang w:val="fr-CA"/>
      </w:rPr>
      <w:t>pour</w:t>
    </w:r>
    <w:r w:rsidR="000F3B74" w:rsidRPr="000F3B74">
      <w:rPr>
        <w:rFonts w:ascii="Arial" w:hAnsi="Arial" w:cs="Arial"/>
        <w:b/>
        <w:noProof/>
        <w:sz w:val="20"/>
        <w:szCs w:val="20"/>
        <w:lang w:val="fr-CA"/>
      </w:rPr>
      <w:t xml:space="preserve"> les </w:t>
    </w:r>
    <w:r w:rsidR="0053578C">
      <w:rPr>
        <w:rFonts w:ascii="Arial" w:hAnsi="Arial" w:cs="Arial"/>
        <w:b/>
        <w:noProof/>
        <w:sz w:val="20"/>
        <w:szCs w:val="20"/>
        <w:lang w:val="fr-CA"/>
      </w:rPr>
      <w:t>sièges</w:t>
    </w:r>
    <w:r w:rsidR="000F3B74" w:rsidRPr="000F3B74">
      <w:rPr>
        <w:rFonts w:ascii="Arial" w:hAnsi="Arial" w:cs="Arial"/>
        <w:b/>
        <w:noProof/>
        <w:sz w:val="20"/>
        <w:szCs w:val="20"/>
        <w:lang w:val="fr-CA"/>
      </w:rPr>
      <w:t xml:space="preserve"> de bureau</w:t>
    </w:r>
  </w:p>
  <w:p w14:paraId="03DE65FA" w14:textId="2360CBAF" w:rsidR="003640E2" w:rsidRPr="000F3B74" w:rsidRDefault="000F3B74" w:rsidP="009E32F7">
    <w:pPr>
      <w:jc w:val="center"/>
      <w:rPr>
        <w:noProof/>
        <w:lang w:val="fr-CA"/>
      </w:rPr>
    </w:pPr>
    <w:r>
      <w:rPr>
        <w:rFonts w:ascii="Arial" w:hAnsi="Arial" w:cs="Arial"/>
        <w:b/>
        <w:noProof/>
        <w:sz w:val="20"/>
        <w:szCs w:val="20"/>
        <w:lang w:val="fr-CA"/>
      </w:rPr>
      <w:t xml:space="preserve">Guide pratique – </w:t>
    </w:r>
    <w:r w:rsidR="009E32F7">
      <w:rPr>
        <w:rFonts w:ascii="Arial" w:hAnsi="Arial" w:cs="Arial"/>
        <w:b/>
        <w:noProof/>
        <w:sz w:val="20"/>
        <w:szCs w:val="20"/>
        <w:lang w:val="fr-CA"/>
      </w:rPr>
      <w:t>paliers</w:t>
    </w:r>
    <w:r>
      <w:rPr>
        <w:rFonts w:ascii="Arial" w:hAnsi="Arial" w:cs="Arial"/>
        <w:b/>
        <w:noProof/>
        <w:sz w:val="20"/>
        <w:szCs w:val="20"/>
        <w:lang w:val="fr-CA"/>
      </w:rPr>
      <w:t xml:space="preserve"> 2 et 3 </w:t>
    </w:r>
    <w:r w:rsidR="007A72C1">
      <w:rPr>
        <w:rFonts w:ascii="Arial" w:hAnsi="Arial" w:cs="Arial"/>
        <w:b/>
        <w:noProof/>
        <w:sz w:val="20"/>
        <w:szCs w:val="20"/>
        <w:lang w:val="fr-CA"/>
      </w:rPr>
      <w:t xml:space="preserve"> étape par étape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4CCA"/>
    <w:multiLevelType w:val="hybridMultilevel"/>
    <w:tmpl w:val="352EAB8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7605"/>
    <w:multiLevelType w:val="hybridMultilevel"/>
    <w:tmpl w:val="F280AB2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9674B"/>
    <w:multiLevelType w:val="hybridMultilevel"/>
    <w:tmpl w:val="093A5D1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A071D"/>
    <w:multiLevelType w:val="hybridMultilevel"/>
    <w:tmpl w:val="1094667A"/>
    <w:lvl w:ilvl="0" w:tplc="1009001B">
      <w:start w:val="1"/>
      <w:numFmt w:val="lowerRoman"/>
      <w:lvlText w:val="%1."/>
      <w:lvlJc w:val="righ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061211"/>
    <w:multiLevelType w:val="hybridMultilevel"/>
    <w:tmpl w:val="35B82FC4"/>
    <w:lvl w:ilvl="0" w:tplc="D40A02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B550DC"/>
    <w:multiLevelType w:val="hybridMultilevel"/>
    <w:tmpl w:val="0AC6A0B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57BFA"/>
    <w:multiLevelType w:val="hybridMultilevel"/>
    <w:tmpl w:val="DC0EC7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216132"/>
    <w:multiLevelType w:val="hybridMultilevel"/>
    <w:tmpl w:val="13DC3D52"/>
    <w:lvl w:ilvl="0" w:tplc="10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 w15:restartNumberingAfterBreak="0">
    <w:nsid w:val="47624C23"/>
    <w:multiLevelType w:val="hybridMultilevel"/>
    <w:tmpl w:val="6DC6D3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179F2"/>
    <w:multiLevelType w:val="hybridMultilevel"/>
    <w:tmpl w:val="7BE21642"/>
    <w:lvl w:ilvl="0" w:tplc="20DC1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8B0"/>
    <w:multiLevelType w:val="hybridMultilevel"/>
    <w:tmpl w:val="ED0EDAA4"/>
    <w:lvl w:ilvl="0" w:tplc="988E2F02">
      <w:start w:val="1"/>
      <w:numFmt w:val="decimal"/>
      <w:lvlText w:val="%1."/>
      <w:lvlJc w:val="left"/>
      <w:pPr>
        <w:ind w:left="501" w:hanging="360"/>
      </w:pPr>
      <w:rPr>
        <w:i w:val="0"/>
        <w:color w:val="auto"/>
      </w:rPr>
    </w:lvl>
    <w:lvl w:ilvl="1" w:tplc="4894D2F2">
      <w:start w:val="1"/>
      <w:numFmt w:val="lowerLetter"/>
      <w:lvlText w:val="%2."/>
      <w:lvlJc w:val="left"/>
      <w:pPr>
        <w:ind w:left="1221" w:hanging="360"/>
      </w:pPr>
      <w:rPr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1941" w:hanging="180"/>
      </w:pPr>
    </w:lvl>
    <w:lvl w:ilvl="3" w:tplc="1009000F" w:tentative="1">
      <w:start w:val="1"/>
      <w:numFmt w:val="decimal"/>
      <w:lvlText w:val="%4."/>
      <w:lvlJc w:val="left"/>
      <w:pPr>
        <w:ind w:left="2661" w:hanging="360"/>
      </w:pPr>
    </w:lvl>
    <w:lvl w:ilvl="4" w:tplc="10090019" w:tentative="1">
      <w:start w:val="1"/>
      <w:numFmt w:val="lowerLetter"/>
      <w:lvlText w:val="%5."/>
      <w:lvlJc w:val="left"/>
      <w:pPr>
        <w:ind w:left="3381" w:hanging="360"/>
      </w:pPr>
    </w:lvl>
    <w:lvl w:ilvl="5" w:tplc="1009001B" w:tentative="1">
      <w:start w:val="1"/>
      <w:numFmt w:val="lowerRoman"/>
      <w:lvlText w:val="%6."/>
      <w:lvlJc w:val="right"/>
      <w:pPr>
        <w:ind w:left="4101" w:hanging="180"/>
      </w:pPr>
    </w:lvl>
    <w:lvl w:ilvl="6" w:tplc="1009000F" w:tentative="1">
      <w:start w:val="1"/>
      <w:numFmt w:val="decimal"/>
      <w:lvlText w:val="%7."/>
      <w:lvlJc w:val="left"/>
      <w:pPr>
        <w:ind w:left="4821" w:hanging="360"/>
      </w:pPr>
    </w:lvl>
    <w:lvl w:ilvl="7" w:tplc="10090019" w:tentative="1">
      <w:start w:val="1"/>
      <w:numFmt w:val="lowerLetter"/>
      <w:lvlText w:val="%8."/>
      <w:lvlJc w:val="left"/>
      <w:pPr>
        <w:ind w:left="5541" w:hanging="360"/>
      </w:pPr>
    </w:lvl>
    <w:lvl w:ilvl="8" w:tplc="1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5D7D60D9"/>
    <w:multiLevelType w:val="hybridMultilevel"/>
    <w:tmpl w:val="21566476"/>
    <w:lvl w:ilvl="0" w:tplc="4650D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D22512"/>
    <w:multiLevelType w:val="hybridMultilevel"/>
    <w:tmpl w:val="C3344C4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60F59"/>
    <w:multiLevelType w:val="hybridMultilevel"/>
    <w:tmpl w:val="CEEEFC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3902558">
    <w:abstractNumId w:val="10"/>
  </w:num>
  <w:num w:numId="2" w16cid:durableId="1404646382">
    <w:abstractNumId w:val="8"/>
  </w:num>
  <w:num w:numId="3" w16cid:durableId="346560215">
    <w:abstractNumId w:val="9"/>
  </w:num>
  <w:num w:numId="4" w16cid:durableId="1383674522">
    <w:abstractNumId w:val="13"/>
  </w:num>
  <w:num w:numId="5" w16cid:durableId="565186765">
    <w:abstractNumId w:val="3"/>
  </w:num>
  <w:num w:numId="6" w16cid:durableId="179708826">
    <w:abstractNumId w:val="4"/>
  </w:num>
  <w:num w:numId="7" w16cid:durableId="95488241">
    <w:abstractNumId w:val="6"/>
  </w:num>
  <w:num w:numId="8" w16cid:durableId="784663212">
    <w:abstractNumId w:val="11"/>
  </w:num>
  <w:num w:numId="9" w16cid:durableId="1233197649">
    <w:abstractNumId w:val="2"/>
  </w:num>
  <w:num w:numId="10" w16cid:durableId="678890724">
    <w:abstractNumId w:val="7"/>
  </w:num>
  <w:num w:numId="11" w16cid:durableId="571895286">
    <w:abstractNumId w:val="5"/>
  </w:num>
  <w:num w:numId="12" w16cid:durableId="792820917">
    <w:abstractNumId w:val="1"/>
  </w:num>
  <w:num w:numId="13" w16cid:durableId="1713573093">
    <w:abstractNumId w:val="12"/>
  </w:num>
  <w:num w:numId="14" w16cid:durableId="1122383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AEA"/>
    <w:rsid w:val="00004B62"/>
    <w:rsid w:val="0005223E"/>
    <w:rsid w:val="0007620D"/>
    <w:rsid w:val="000A5D78"/>
    <w:rsid w:val="000F00D7"/>
    <w:rsid w:val="000F3B74"/>
    <w:rsid w:val="00151106"/>
    <w:rsid w:val="001B52B2"/>
    <w:rsid w:val="001E5F8A"/>
    <w:rsid w:val="001F3149"/>
    <w:rsid w:val="00206043"/>
    <w:rsid w:val="00211259"/>
    <w:rsid w:val="002421A3"/>
    <w:rsid w:val="002A3E4C"/>
    <w:rsid w:val="002A6F2B"/>
    <w:rsid w:val="002D0724"/>
    <w:rsid w:val="00311019"/>
    <w:rsid w:val="00315C45"/>
    <w:rsid w:val="003460A7"/>
    <w:rsid w:val="003640E2"/>
    <w:rsid w:val="0038049B"/>
    <w:rsid w:val="00386E7B"/>
    <w:rsid w:val="0039097B"/>
    <w:rsid w:val="003C55E2"/>
    <w:rsid w:val="003D167D"/>
    <w:rsid w:val="00403630"/>
    <w:rsid w:val="00405AFF"/>
    <w:rsid w:val="00435FD0"/>
    <w:rsid w:val="0047222C"/>
    <w:rsid w:val="00500400"/>
    <w:rsid w:val="0053578C"/>
    <w:rsid w:val="00552112"/>
    <w:rsid w:val="005554E3"/>
    <w:rsid w:val="00556699"/>
    <w:rsid w:val="00563D38"/>
    <w:rsid w:val="00573A4C"/>
    <w:rsid w:val="005C5331"/>
    <w:rsid w:val="00633225"/>
    <w:rsid w:val="0064465B"/>
    <w:rsid w:val="006D42FD"/>
    <w:rsid w:val="0072709F"/>
    <w:rsid w:val="0073078D"/>
    <w:rsid w:val="0077781C"/>
    <w:rsid w:val="007838A1"/>
    <w:rsid w:val="007A72C1"/>
    <w:rsid w:val="007E263A"/>
    <w:rsid w:val="008B0AFE"/>
    <w:rsid w:val="008F09BE"/>
    <w:rsid w:val="009258A1"/>
    <w:rsid w:val="00951980"/>
    <w:rsid w:val="00955728"/>
    <w:rsid w:val="00965785"/>
    <w:rsid w:val="00970299"/>
    <w:rsid w:val="00973C8F"/>
    <w:rsid w:val="0098355E"/>
    <w:rsid w:val="00990B5F"/>
    <w:rsid w:val="009A1CB8"/>
    <w:rsid w:val="009E32F7"/>
    <w:rsid w:val="009E3676"/>
    <w:rsid w:val="00A00059"/>
    <w:rsid w:val="00A32E4F"/>
    <w:rsid w:val="00A54314"/>
    <w:rsid w:val="00A70F95"/>
    <w:rsid w:val="00A75811"/>
    <w:rsid w:val="00A81190"/>
    <w:rsid w:val="00A90504"/>
    <w:rsid w:val="00B030CD"/>
    <w:rsid w:val="00B71F80"/>
    <w:rsid w:val="00B86AD1"/>
    <w:rsid w:val="00BE1708"/>
    <w:rsid w:val="00BF2CA8"/>
    <w:rsid w:val="00C3420F"/>
    <w:rsid w:val="00C46B28"/>
    <w:rsid w:val="00C47BA0"/>
    <w:rsid w:val="00C55D81"/>
    <w:rsid w:val="00C7152E"/>
    <w:rsid w:val="00C75D58"/>
    <w:rsid w:val="00CE3E5A"/>
    <w:rsid w:val="00D7725E"/>
    <w:rsid w:val="00DA4347"/>
    <w:rsid w:val="00DD4440"/>
    <w:rsid w:val="00DF29E2"/>
    <w:rsid w:val="00DF5703"/>
    <w:rsid w:val="00DF576B"/>
    <w:rsid w:val="00E12616"/>
    <w:rsid w:val="00E15493"/>
    <w:rsid w:val="00E220A4"/>
    <w:rsid w:val="00E2380D"/>
    <w:rsid w:val="00E64169"/>
    <w:rsid w:val="00E76994"/>
    <w:rsid w:val="00E7722A"/>
    <w:rsid w:val="00EB5AEA"/>
    <w:rsid w:val="00ED4687"/>
    <w:rsid w:val="00EF35C5"/>
    <w:rsid w:val="00F20D4B"/>
    <w:rsid w:val="00F26AF0"/>
    <w:rsid w:val="00F62F64"/>
    <w:rsid w:val="00FD0AC5"/>
    <w:rsid w:val="00F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5267B"/>
  <w15:chartTrackingRefBased/>
  <w15:docId w15:val="{64FC8F1A-C5CF-4C5B-8FD4-1D350559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0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AFE"/>
  </w:style>
  <w:style w:type="paragraph" w:styleId="Footer">
    <w:name w:val="footer"/>
    <w:basedOn w:val="Normal"/>
    <w:link w:val="FooterChar"/>
    <w:uiPriority w:val="99"/>
    <w:unhideWhenUsed/>
    <w:rsid w:val="008B0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AFE"/>
  </w:style>
  <w:style w:type="paragraph" w:styleId="ListParagraph">
    <w:name w:val="List Paragraph"/>
    <w:basedOn w:val="Normal"/>
    <w:uiPriority w:val="34"/>
    <w:qFormat/>
    <w:rsid w:val="008B0A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A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363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0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4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6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6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6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7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3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EEEEE"/>
                                <w:left w:val="single" w:sz="2" w:space="0" w:color="EEEEEE"/>
                                <w:bottom w:val="single" w:sz="2" w:space="0" w:color="EEEEEE"/>
                                <w:right w:val="single" w:sz="2" w:space="0" w:color="EEEEEE"/>
                              </w:divBdr>
                              <w:divsChild>
                                <w:div w:id="146546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EEEEE"/>
                                <w:left w:val="single" w:sz="2" w:space="0" w:color="EEEEEE"/>
                                <w:bottom w:val="single" w:sz="2" w:space="0" w:color="EEEEEE"/>
                                <w:right w:val="single" w:sz="2" w:space="0" w:color="EEEEEE"/>
                              </w:divBdr>
                              <w:divsChild>
                                <w:div w:id="35045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pedia.gc.ca/wiki/Mobilier_de_bure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hatsetventes.gc.ca/politiques-et-lignes-directrices/guide-des-approvisionnements/section/3/5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Canada/Gouvernement du Canada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Clouthier</dc:creator>
  <cp:keywords/>
  <dc:description/>
  <cp:lastModifiedBy>Sellers, Joy (SPAC/PSPC)</cp:lastModifiedBy>
  <cp:revision>7</cp:revision>
  <cp:lastPrinted>2020-03-10T18:00:00Z</cp:lastPrinted>
  <dcterms:created xsi:type="dcterms:W3CDTF">2020-05-29T16:37:00Z</dcterms:created>
  <dcterms:modified xsi:type="dcterms:W3CDTF">2023-03-29T13:40:00Z</dcterms:modified>
</cp:coreProperties>
</file>