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48" w:rsidRDefault="00EC5775" w:rsidP="00EC5775">
      <w:pPr>
        <w:spacing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HRC</w:t>
      </w:r>
      <w:r w:rsidR="00A91063" w:rsidRPr="00E3601F">
        <w:rPr>
          <w:b/>
          <w:sz w:val="24"/>
          <w:szCs w:val="24"/>
          <w:lang w:val="en-US"/>
        </w:rPr>
        <w:t xml:space="preserve"> </w:t>
      </w:r>
      <w:r w:rsidR="00CD3633">
        <w:rPr>
          <w:b/>
          <w:sz w:val="24"/>
          <w:szCs w:val="24"/>
          <w:lang w:val="en-US"/>
        </w:rPr>
        <w:t xml:space="preserve">January </w:t>
      </w:r>
      <w:r>
        <w:rPr>
          <w:b/>
          <w:sz w:val="24"/>
          <w:szCs w:val="24"/>
          <w:lang w:val="en-US"/>
        </w:rPr>
        <w:t>15</w:t>
      </w:r>
      <w:r w:rsidR="00A91063" w:rsidRPr="00E3601F">
        <w:rPr>
          <w:b/>
          <w:sz w:val="24"/>
          <w:szCs w:val="24"/>
          <w:lang w:val="en-US"/>
        </w:rPr>
        <w:t xml:space="preserve"> Update</w:t>
      </w:r>
      <w:r w:rsidR="00A91063" w:rsidRPr="00E3601F">
        <w:rPr>
          <w:sz w:val="24"/>
          <w:szCs w:val="24"/>
          <w:lang w:val="en-US"/>
        </w:rPr>
        <w:br/>
        <w:t xml:space="preserve">Speaking Bullets for Jacquie Manchevsky </w:t>
      </w:r>
      <w:r>
        <w:rPr>
          <w:sz w:val="24"/>
          <w:szCs w:val="24"/>
          <w:lang w:val="en-US"/>
        </w:rPr>
        <w:t>and Dominic Rochon</w:t>
      </w:r>
    </w:p>
    <w:p w:rsidR="00A32688" w:rsidRPr="00E3601F" w:rsidRDefault="00A32688" w:rsidP="00290B7C">
      <w:pPr>
        <w:spacing w:after="120" w:line="360" w:lineRule="auto"/>
        <w:rPr>
          <w:b/>
          <w:sz w:val="24"/>
          <w:szCs w:val="24"/>
          <w:lang w:val="en-US"/>
        </w:rPr>
      </w:pPr>
      <w:r w:rsidRPr="00E3601F">
        <w:rPr>
          <w:b/>
          <w:sz w:val="24"/>
          <w:szCs w:val="24"/>
          <w:lang w:val="en-US"/>
        </w:rPr>
        <w:t xml:space="preserve">LAUNCH </w:t>
      </w:r>
      <w:r w:rsidR="00CD3633">
        <w:rPr>
          <w:b/>
          <w:sz w:val="24"/>
          <w:szCs w:val="24"/>
          <w:lang w:val="en-US"/>
        </w:rPr>
        <w:t xml:space="preserve">AND EVALUATIONS </w:t>
      </w:r>
      <w:r w:rsidRPr="00E3601F">
        <w:rPr>
          <w:b/>
          <w:sz w:val="24"/>
          <w:szCs w:val="24"/>
          <w:lang w:val="en-US"/>
        </w:rPr>
        <w:t>OF GATE TWO</w:t>
      </w:r>
      <w:r w:rsidR="00CD3633">
        <w:rPr>
          <w:b/>
          <w:sz w:val="24"/>
          <w:szCs w:val="24"/>
          <w:lang w:val="en-US"/>
        </w:rPr>
        <w:t xml:space="preserve"> </w:t>
      </w:r>
    </w:p>
    <w:p w:rsidR="003C7361" w:rsidRPr="00290B7C" w:rsidRDefault="003C7361" w:rsidP="003C736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  <w:lang w:val="en-US"/>
        </w:rPr>
        <w:t>Gate One of the NextGen Agile Procurement Process closed November 13, 2018</w:t>
      </w:r>
      <w:r w:rsidR="00CD3633" w:rsidRPr="00290B7C">
        <w:rPr>
          <w:rFonts w:cstheme="minorHAnsi"/>
          <w:lang w:val="en-US"/>
        </w:rPr>
        <w:t xml:space="preserve"> and</w:t>
      </w:r>
      <w:r w:rsidRPr="00290B7C">
        <w:rPr>
          <w:rFonts w:cstheme="minorHAnsi"/>
          <w:lang w:val="en-US"/>
        </w:rPr>
        <w:t xml:space="preserve"> resulted in five successful bidders </w:t>
      </w:r>
      <w:r w:rsidR="00CD3633" w:rsidRPr="00290B7C">
        <w:rPr>
          <w:rFonts w:cstheme="minorHAnsi"/>
          <w:lang w:val="en-US"/>
        </w:rPr>
        <w:t xml:space="preserve">being </w:t>
      </w:r>
      <w:r w:rsidRPr="00290B7C">
        <w:rPr>
          <w:rFonts w:cstheme="minorHAnsi"/>
          <w:lang w:val="en-US"/>
        </w:rPr>
        <w:t>eligible to participate in the Gate Two Invitation to Qualify</w:t>
      </w:r>
      <w:r w:rsidR="00CD3633" w:rsidRPr="00290B7C">
        <w:rPr>
          <w:rFonts w:cstheme="minorHAnsi"/>
          <w:lang w:val="en-US"/>
        </w:rPr>
        <w:t>.</w:t>
      </w:r>
    </w:p>
    <w:p w:rsidR="009B5DF5" w:rsidRPr="00290B7C" w:rsidRDefault="009B5DF5" w:rsidP="009B5DF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  <w:lang w:val="en-US"/>
        </w:rPr>
        <w:t xml:space="preserve">Gate Two </w:t>
      </w:r>
      <w:r w:rsidR="003C7361" w:rsidRPr="00290B7C">
        <w:rPr>
          <w:rFonts w:cstheme="minorHAnsi"/>
          <w:lang w:val="en-US"/>
        </w:rPr>
        <w:t>launched</w:t>
      </w:r>
      <w:r w:rsidR="00C14F38" w:rsidRPr="00290B7C">
        <w:rPr>
          <w:rFonts w:cstheme="minorHAnsi"/>
          <w:lang w:val="en-US"/>
        </w:rPr>
        <w:t xml:space="preserve"> </w:t>
      </w:r>
      <w:r w:rsidR="00CD3633" w:rsidRPr="00290B7C">
        <w:rPr>
          <w:rFonts w:cstheme="minorHAnsi"/>
          <w:lang w:val="en-US"/>
        </w:rPr>
        <w:t xml:space="preserve">on </w:t>
      </w:r>
      <w:r w:rsidR="00C14F38" w:rsidRPr="00290B7C">
        <w:rPr>
          <w:rFonts w:cstheme="minorHAnsi"/>
          <w:lang w:val="en-US"/>
        </w:rPr>
        <w:t>November 2</w:t>
      </w:r>
      <w:r w:rsidR="003C7361" w:rsidRPr="00290B7C">
        <w:rPr>
          <w:rFonts w:cstheme="minorHAnsi"/>
          <w:lang w:val="en-US"/>
        </w:rPr>
        <w:t>3</w:t>
      </w:r>
      <w:r w:rsidR="00C14F38" w:rsidRPr="00290B7C">
        <w:rPr>
          <w:rFonts w:cstheme="minorHAnsi"/>
          <w:lang w:val="en-US"/>
        </w:rPr>
        <w:t>,</w:t>
      </w:r>
      <w:r w:rsidRPr="00290B7C">
        <w:rPr>
          <w:rFonts w:cstheme="minorHAnsi"/>
          <w:lang w:val="en-US"/>
        </w:rPr>
        <w:t xml:space="preserve"> 2018 and </w:t>
      </w:r>
      <w:r w:rsidR="00A26E83">
        <w:rPr>
          <w:rFonts w:cstheme="minorHAnsi"/>
          <w:lang w:val="en-US"/>
        </w:rPr>
        <w:t>is expected to</w:t>
      </w:r>
      <w:r w:rsidRPr="00290B7C">
        <w:rPr>
          <w:rFonts w:cstheme="minorHAnsi"/>
          <w:lang w:val="en-US"/>
        </w:rPr>
        <w:t xml:space="preserve"> close on February 4, 2019.</w:t>
      </w:r>
    </w:p>
    <w:p w:rsidR="00CD3633" w:rsidRPr="00290B7C" w:rsidRDefault="009B5DF5" w:rsidP="009B5DF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  <w:lang w:val="en-US"/>
        </w:rPr>
        <w:t xml:space="preserve">In this gate, vendors </w:t>
      </w:r>
      <w:r w:rsidR="003C7361" w:rsidRPr="00290B7C">
        <w:rPr>
          <w:rFonts w:cstheme="minorHAnsi"/>
          <w:lang w:val="en-US"/>
        </w:rPr>
        <w:t>are being asked</w:t>
      </w:r>
      <w:r w:rsidRPr="00290B7C">
        <w:rPr>
          <w:rFonts w:cstheme="minorHAnsi"/>
          <w:lang w:val="en-US"/>
        </w:rPr>
        <w:t xml:space="preserve"> to let us perform </w:t>
      </w:r>
      <w:r w:rsidR="003C7361" w:rsidRPr="00290B7C">
        <w:rPr>
          <w:rFonts w:cstheme="minorHAnsi"/>
        </w:rPr>
        <w:t xml:space="preserve">hands-on sessions with users, unions and subject matter experts to prove their solution against 47 rated criteria, spread across three key evaluation areas: </w:t>
      </w:r>
    </w:p>
    <w:p w:rsidR="00CD3633" w:rsidRPr="00290B7C" w:rsidRDefault="003C7361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</w:rPr>
        <w:t xml:space="preserve">1) hands-on user experience; </w:t>
      </w:r>
    </w:p>
    <w:p w:rsidR="00CD3633" w:rsidRPr="00290B7C" w:rsidRDefault="00CD3633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</w:rPr>
        <w:t>2) A</w:t>
      </w:r>
      <w:r w:rsidR="003C7361" w:rsidRPr="00290B7C">
        <w:rPr>
          <w:rFonts w:cstheme="minorHAnsi"/>
        </w:rPr>
        <w:t xml:space="preserve">lignment with GC business capabilities, outcomes and solution architecture; and, </w:t>
      </w:r>
    </w:p>
    <w:p w:rsidR="009B5DF5" w:rsidRPr="00290B7C" w:rsidRDefault="003C7361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 w:rsidRPr="00290B7C">
        <w:rPr>
          <w:rFonts w:cstheme="minorHAnsi"/>
        </w:rPr>
        <w:t xml:space="preserve">3) </w:t>
      </w:r>
      <w:r w:rsidR="00CD3633" w:rsidRPr="00290B7C">
        <w:rPr>
          <w:rFonts w:cstheme="minorHAnsi"/>
        </w:rPr>
        <w:t>Implementation</w:t>
      </w:r>
      <w:r w:rsidRPr="00290B7C">
        <w:rPr>
          <w:rFonts w:cstheme="minorHAnsi"/>
        </w:rPr>
        <w:t>, sustained support, and socio-economic benefits.</w:t>
      </w:r>
      <w:r w:rsidR="009B5DF5" w:rsidRPr="00290B7C">
        <w:rPr>
          <w:rFonts w:cstheme="minorHAnsi"/>
          <w:lang w:val="en-US"/>
        </w:rPr>
        <w:t xml:space="preserve">while proving their solution against 13 requirements, including GC business capabilities and outcomes and architecture outcomes. </w:t>
      </w:r>
      <w:r w:rsidR="00261121" w:rsidRPr="00290B7C">
        <w:rPr>
          <w:rFonts w:cstheme="minorHAnsi"/>
          <w:lang w:val="en-US"/>
        </w:rPr>
        <w:t xml:space="preserve">Draft requirements were </w:t>
      </w:r>
      <w:r w:rsidR="00CD3633" w:rsidRPr="00290B7C">
        <w:rPr>
          <w:rFonts w:cstheme="minorHAnsi"/>
          <w:lang w:val="en-US"/>
        </w:rPr>
        <w:t xml:space="preserve">previously </w:t>
      </w:r>
      <w:r w:rsidR="00261121" w:rsidRPr="00290B7C">
        <w:rPr>
          <w:rFonts w:cstheme="minorHAnsi"/>
          <w:lang w:val="en-US"/>
        </w:rPr>
        <w:t>shared for your input.</w:t>
      </w:r>
    </w:p>
    <w:p w:rsidR="00CD3633" w:rsidRPr="00290B7C" w:rsidRDefault="00CD3633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The NextGen team is using an innovative evaluation strategy, which will make use of the following three methods:</w:t>
      </w:r>
    </w:p>
    <w:p w:rsidR="00CD3633" w:rsidRPr="00290B7C" w:rsidRDefault="00CD3633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Bid Evaluations: a more traditional bid evaluation conducted by a multi-disciplinary team of evaluators</w:t>
      </w:r>
    </w:p>
    <w:p w:rsidR="00CD3633" w:rsidRPr="00290B7C" w:rsidRDefault="00CD3633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SME Challenge: an interactive evaluation session during which bidders will be pitching their proposed solution to key Subject Matter Experts (SME) from across the GC. </w:t>
      </w:r>
    </w:p>
    <w:p w:rsidR="00CD3633" w:rsidRPr="00290B7C" w:rsidRDefault="00CD3633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UX Evaluation: a hands-on evaluation of the proposed solutions conducted by 200 public servants from coast to coast to coast</w:t>
      </w:r>
    </w:p>
    <w:p w:rsidR="00CD3633" w:rsidRPr="00290B7C" w:rsidRDefault="00CD3633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The Difficulty level will increase throughout the gate as more content is released to more appropriately convey the complexity and reality of the GC’s HR and Pay context.</w:t>
      </w:r>
    </w:p>
    <w:p w:rsidR="00290B7C" w:rsidRPr="00290B7C" w:rsidRDefault="00290B7C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  <w:lang w:val="en-US"/>
        </w:rPr>
        <w:t>The results of this evaluation strategy will further refine the number of bids and developing a list of qualified respondents who will be invited to participate in the final Gate Three.</w:t>
      </w:r>
    </w:p>
    <w:p w:rsidR="00E3601F" w:rsidRDefault="00290B7C" w:rsidP="00290B7C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USER EXHIBITION / LEADERSGC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To engage with users across Canada, NextGen is planning a number of engagement sessions, both in the National Capital Region and across Canada, to create awareness and offer hands-on engagement with user testing. 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The User Exhibition kick</w:t>
      </w:r>
      <w:r w:rsidR="00EC5775">
        <w:rPr>
          <w:rFonts w:cstheme="minorHAnsi"/>
        </w:rPr>
        <w:t>ed</w:t>
      </w:r>
      <w:r w:rsidRPr="00290B7C">
        <w:rPr>
          <w:rFonts w:cstheme="minorHAnsi"/>
        </w:rPr>
        <w:t>-off in Ottawa on January 14 and</w:t>
      </w:r>
      <w:r w:rsidR="00EC5775">
        <w:rPr>
          <w:rFonts w:cstheme="minorHAnsi"/>
        </w:rPr>
        <w:t xml:space="preserve"> will</w:t>
      </w:r>
      <w:r w:rsidRPr="00290B7C">
        <w:rPr>
          <w:rFonts w:cstheme="minorHAnsi"/>
        </w:rPr>
        <w:t xml:space="preserve"> conclude on February 11, 2019. In total, 14 sessions are planned during this time period in Ottawa, Gatineau, Montreal, Edmonton, Victoria, Winnipeg and Dartmouth. 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To build momentum leading up to the launch of the User Exhibition, a Digital Engagement Session was held on December 13 as an online engagement opportunity with public servants across Canada.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The Digital Engagement Session was held in partnership with </w:t>
      </w:r>
      <w:proofErr w:type="spellStart"/>
      <w:r w:rsidRPr="00290B7C">
        <w:rPr>
          <w:rFonts w:cstheme="minorHAnsi"/>
        </w:rPr>
        <w:t>LeadersGC</w:t>
      </w:r>
      <w:proofErr w:type="spellEnd"/>
      <w:r w:rsidRPr="00290B7C">
        <w:rPr>
          <w:rFonts w:cstheme="minorHAnsi"/>
        </w:rPr>
        <w:t xml:space="preserve"> - a public servant initiative that engages public servants across Canada through a live Twitter chat. The event took place from 8:00pm to 9:00pm and included six questions. 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>Four of these questions were targeted to participants to inform our research on user preferences, business processes and awareness on the initiative. The remaining two questions were pulled from sli.do – an online tool that allows participants to submit questions. These questions were answered by the NextGen Team panelists: Jacquie Manchevsky, Dominic Rochon, and Vernon Von Finckenstein.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Overall, the chat was extremely positive and remained focused on the next generation HR and pay solution rather than stabilization. </w:t>
      </w:r>
    </w:p>
    <w:p w:rsidR="00CD3633" w:rsidRPr="00290B7C" w:rsidRDefault="00CD3633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As part of the NextGen Team’s work ahead, a roll-up of the chat was made available on our website on December 27, 2018. </w:t>
      </w:r>
    </w:p>
    <w:p w:rsidR="00CD3633" w:rsidRPr="00CD3633" w:rsidRDefault="00290B7C" w:rsidP="00290B7C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NEXT GENERATION HR AND PAY JO</w:t>
      </w:r>
      <w:r w:rsidR="00EC5775">
        <w:rPr>
          <w:rFonts w:cstheme="minorHAnsi"/>
          <w:b/>
          <w:sz w:val="24"/>
          <w:szCs w:val="24"/>
          <w:lang w:val="en-US"/>
        </w:rPr>
        <w:t>I</w:t>
      </w:r>
      <w:r>
        <w:rPr>
          <w:rFonts w:cstheme="minorHAnsi"/>
          <w:b/>
          <w:sz w:val="24"/>
          <w:szCs w:val="24"/>
          <w:lang w:val="en-US"/>
        </w:rPr>
        <w:t>NT UNION MANAMANT COMMITTEE</w:t>
      </w:r>
    </w:p>
    <w:p w:rsidR="00290B7C" w:rsidRPr="00290B7C" w:rsidRDefault="00290B7C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>A</w:t>
      </w:r>
      <w:r w:rsidRPr="00290B7C">
        <w:rPr>
          <w:rFonts w:cstheme="minorHAnsi"/>
        </w:rPr>
        <w:t xml:space="preserve"> </w:t>
      </w:r>
      <w:r>
        <w:rPr>
          <w:rFonts w:cstheme="minorHAnsi"/>
        </w:rPr>
        <w:t>j</w:t>
      </w:r>
      <w:r w:rsidRPr="00290B7C">
        <w:rPr>
          <w:rFonts w:cstheme="minorHAnsi"/>
        </w:rPr>
        <w:t xml:space="preserve">oint </w:t>
      </w:r>
      <w:r w:rsidR="00EC5775">
        <w:rPr>
          <w:rFonts w:cstheme="minorHAnsi"/>
        </w:rPr>
        <w:t xml:space="preserve">union management </w:t>
      </w:r>
      <w:r>
        <w:rPr>
          <w:rFonts w:cstheme="minorHAnsi"/>
        </w:rPr>
        <w:t>c</w:t>
      </w:r>
      <w:r w:rsidRPr="00290B7C">
        <w:rPr>
          <w:rFonts w:cstheme="minorHAnsi"/>
        </w:rPr>
        <w:t>ommittee was established to advance the mutual goal of discussing and identifying opportunities and considerations for a potential Next Generation HR and Pay solution as early in the process as possible and before formative decisions are implemented.</w:t>
      </w:r>
    </w:p>
    <w:p w:rsidR="00290B7C" w:rsidRPr="00290B7C" w:rsidRDefault="00290B7C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The Committee met for the </w:t>
      </w:r>
      <w:r>
        <w:rPr>
          <w:rFonts w:cstheme="minorHAnsi"/>
        </w:rPr>
        <w:t xml:space="preserve">first time on December 18, 2018 to  discuss </w:t>
      </w:r>
      <w:r w:rsidRPr="00290B7C">
        <w:rPr>
          <w:rFonts w:cstheme="minorHAnsi"/>
        </w:rPr>
        <w:t xml:space="preserve">the proposed Terms of Reference and </w:t>
      </w:r>
      <w:r>
        <w:rPr>
          <w:rFonts w:cstheme="minorHAnsi"/>
        </w:rPr>
        <w:t>provide</w:t>
      </w:r>
      <w:r w:rsidRPr="00290B7C">
        <w:rPr>
          <w:rFonts w:cstheme="minorHAnsi"/>
        </w:rPr>
        <w:t xml:space="preserve"> an update on the launch of Gate Two, the November 20 User Day, the upcoming User Exhibition</w:t>
      </w:r>
      <w:r>
        <w:rPr>
          <w:rFonts w:cstheme="minorHAnsi"/>
        </w:rPr>
        <w:t>s</w:t>
      </w:r>
      <w:r w:rsidRPr="00290B7C">
        <w:rPr>
          <w:rFonts w:cstheme="minorHAnsi"/>
        </w:rPr>
        <w:t xml:space="preserve">, and other engagements to date including the Digital Engagement Session with </w:t>
      </w:r>
      <w:proofErr w:type="spellStart"/>
      <w:r w:rsidRPr="00290B7C">
        <w:rPr>
          <w:rFonts w:cstheme="minorHAnsi"/>
        </w:rPr>
        <w:t>LeadersGC</w:t>
      </w:r>
      <w:proofErr w:type="spellEnd"/>
      <w:r w:rsidRPr="00290B7C">
        <w:rPr>
          <w:rFonts w:cstheme="minorHAnsi"/>
        </w:rPr>
        <w:t>.</w:t>
      </w:r>
    </w:p>
    <w:p w:rsidR="00290B7C" w:rsidRPr="00290B7C" w:rsidRDefault="00290B7C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</w:rPr>
      </w:pPr>
      <w:r w:rsidRPr="00290B7C">
        <w:rPr>
          <w:rFonts w:cstheme="minorHAnsi"/>
        </w:rPr>
        <w:t xml:space="preserve">The next meeting will take place in January where we will provide an overview of SaaS, discuss options for managing data integrity, as well as on-going communications about NextGen to employees of the public service at large. </w:t>
      </w:r>
    </w:p>
    <w:p w:rsidR="00C14F38" w:rsidRPr="00CD3633" w:rsidRDefault="00C14F38" w:rsidP="00C14F38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CD3633">
        <w:rPr>
          <w:rFonts w:cstheme="minorHAnsi"/>
          <w:b/>
          <w:sz w:val="24"/>
          <w:szCs w:val="24"/>
          <w:lang w:val="en-US"/>
        </w:rPr>
        <w:t>NEXT STEPS</w:t>
      </w:r>
    </w:p>
    <w:p w:rsidR="00C14F38" w:rsidRDefault="00A26E83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>
        <w:rPr>
          <w:rFonts w:cstheme="minorHAnsi"/>
          <w:lang w:val="en-US"/>
        </w:rPr>
        <w:t>User Exhibitions scheduled to begin January 14, 2019</w:t>
      </w:r>
    </w:p>
    <w:p w:rsidR="00A26E83" w:rsidRDefault="00A26E83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>
        <w:rPr>
          <w:rFonts w:cstheme="minorHAnsi"/>
          <w:lang w:val="en-US"/>
        </w:rPr>
        <w:t>UX Evaluations expected to start January 21, 2019</w:t>
      </w:r>
    </w:p>
    <w:p w:rsidR="00A26E83" w:rsidRDefault="00A26E83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>
        <w:rPr>
          <w:rFonts w:cstheme="minorHAnsi"/>
          <w:lang w:val="en-US"/>
        </w:rPr>
        <w:t>SME Challenges expected to start January 28, 2019</w:t>
      </w:r>
    </w:p>
    <w:p w:rsidR="00A26E83" w:rsidRDefault="00A26E83" w:rsidP="00A26E8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en-US"/>
        </w:rPr>
      </w:pPr>
      <w:r>
        <w:rPr>
          <w:rFonts w:cstheme="minorHAnsi"/>
          <w:lang w:val="en-US"/>
        </w:rPr>
        <w:t>Close of Gate 2 expected to be February 4, 2019</w:t>
      </w:r>
    </w:p>
    <w:p w:rsidR="007F5A48" w:rsidRPr="00CD3633" w:rsidRDefault="007F5A48" w:rsidP="007F5A48">
      <w:pPr>
        <w:rPr>
          <w:rFonts w:cstheme="minorHAnsi"/>
          <w:sz w:val="24"/>
          <w:szCs w:val="24"/>
          <w:lang w:val="en-US"/>
        </w:rPr>
      </w:pPr>
    </w:p>
    <w:sectPr w:rsidR="007F5A48" w:rsidRPr="00CD3633" w:rsidSect="00A9106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AD" w:rsidRDefault="00BE60AD" w:rsidP="00A91063">
      <w:pPr>
        <w:spacing w:after="0" w:line="240" w:lineRule="auto"/>
      </w:pPr>
      <w:r>
        <w:separator/>
      </w:r>
    </w:p>
  </w:endnote>
  <w:endnote w:type="continuationSeparator" w:id="0">
    <w:p w:rsidR="00BE60AD" w:rsidRDefault="00BE60AD" w:rsidP="00A9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AD" w:rsidRDefault="00BE60AD" w:rsidP="00A91063">
      <w:pPr>
        <w:spacing w:after="0" w:line="240" w:lineRule="auto"/>
      </w:pPr>
      <w:r>
        <w:separator/>
      </w:r>
    </w:p>
  </w:footnote>
  <w:footnote w:type="continuationSeparator" w:id="0">
    <w:p w:rsidR="00BE60AD" w:rsidRDefault="00BE60AD" w:rsidP="00A9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63" w:rsidRDefault="00A91063" w:rsidP="00A91063">
    <w:pPr>
      <w:pStyle w:val="Header"/>
    </w:pPr>
    <w:bookmarkStart w:id="0" w:name="TITUS1HeaderEvenPages"/>
  </w:p>
  <w:bookmarkEnd w:id="0"/>
  <w:p w:rsidR="00A91063" w:rsidRDefault="00A91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63" w:rsidRDefault="00A91063" w:rsidP="00A91063">
    <w:pPr>
      <w:pStyle w:val="Header"/>
    </w:pPr>
    <w:bookmarkStart w:id="1" w:name="TITUS1HeaderPrimary"/>
  </w:p>
  <w:bookmarkEnd w:id="1"/>
  <w:p w:rsidR="00A91063" w:rsidRDefault="00A910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63" w:rsidRDefault="00A91063" w:rsidP="00A91063">
    <w:pPr>
      <w:pStyle w:val="Header"/>
    </w:pPr>
    <w:bookmarkStart w:id="2" w:name="TITUS1HeaderFirstPage"/>
  </w:p>
  <w:bookmarkEnd w:id="2"/>
  <w:p w:rsidR="00A91063" w:rsidRDefault="00A91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724"/>
    <w:multiLevelType w:val="hybridMultilevel"/>
    <w:tmpl w:val="B0BC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236A"/>
    <w:multiLevelType w:val="hybridMultilevel"/>
    <w:tmpl w:val="AC04B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6E6C"/>
    <w:multiLevelType w:val="hybridMultilevel"/>
    <w:tmpl w:val="CF9AE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2A46"/>
    <w:multiLevelType w:val="hybridMultilevel"/>
    <w:tmpl w:val="4F1A2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83A46"/>
    <w:multiLevelType w:val="hybridMultilevel"/>
    <w:tmpl w:val="6C380E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63"/>
    <w:rsid w:val="00261121"/>
    <w:rsid w:val="00290B7C"/>
    <w:rsid w:val="003C7361"/>
    <w:rsid w:val="004F5E30"/>
    <w:rsid w:val="00712508"/>
    <w:rsid w:val="007D3C97"/>
    <w:rsid w:val="007F5A48"/>
    <w:rsid w:val="008D1286"/>
    <w:rsid w:val="00947E91"/>
    <w:rsid w:val="009B5DF5"/>
    <w:rsid w:val="00A26E83"/>
    <w:rsid w:val="00A32688"/>
    <w:rsid w:val="00A91063"/>
    <w:rsid w:val="00BE60AD"/>
    <w:rsid w:val="00C14F38"/>
    <w:rsid w:val="00CD3633"/>
    <w:rsid w:val="00CE6631"/>
    <w:rsid w:val="00DD29AD"/>
    <w:rsid w:val="00DD49F2"/>
    <w:rsid w:val="00E3601F"/>
    <w:rsid w:val="00EA6BB0"/>
    <w:rsid w:val="00EC5775"/>
    <w:rsid w:val="00E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AEBEB-D7A2-4586-8BDB-F196968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63"/>
  </w:style>
  <w:style w:type="paragraph" w:styleId="Footer">
    <w:name w:val="footer"/>
    <w:basedOn w:val="Normal"/>
    <w:link w:val="FooterChar"/>
    <w:uiPriority w:val="99"/>
    <w:unhideWhenUsed/>
    <w:rsid w:val="00A9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63"/>
  </w:style>
  <w:style w:type="paragraph" w:styleId="ListParagraph">
    <w:name w:val="List Paragraph"/>
    <w:basedOn w:val="Normal"/>
    <w:uiPriority w:val="34"/>
    <w:qFormat/>
    <w:rsid w:val="007F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696</Words>
  <Characters>3780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Amanda</dc:creator>
  <cp:keywords/>
  <dc:description/>
  <cp:lastModifiedBy>Leblanc, Isabelle</cp:lastModifiedBy>
  <cp:revision>3</cp:revision>
  <cp:lastPrinted>2019-01-07T16:04:00Z</cp:lastPrinted>
  <dcterms:created xsi:type="dcterms:W3CDTF">2019-01-11T13:44:00Z</dcterms:created>
  <dcterms:modified xsi:type="dcterms:W3CDTF">2019-01-11T13:51:00Z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d2ba491e-f5b5-4b2a-9c74-e800e8854992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