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0DE3" w:rsidRPr="00432D8A" w:rsidRDefault="001D0DE3" w:rsidP="00432D8A">
      <w:pPr>
        <w:spacing w:after="0"/>
        <w:rPr>
          <w:sz w:val="28"/>
          <w:szCs w:val="28"/>
        </w:rPr>
      </w:pPr>
      <w:bookmarkStart w:id="0" w:name="_GoBack"/>
      <w:bookmarkEnd w:id="0"/>
      <w:r w:rsidRPr="00432D8A">
        <w:rPr>
          <w:sz w:val="28"/>
          <w:szCs w:val="28"/>
        </w:rPr>
        <w:t>Speaking Points for Jacquie Manchevsky</w:t>
      </w:r>
      <w:r w:rsidR="009627E8">
        <w:rPr>
          <w:sz w:val="28"/>
          <w:szCs w:val="28"/>
        </w:rPr>
        <w:t xml:space="preserve"> – May 17, 2019</w:t>
      </w:r>
    </w:p>
    <w:p w:rsidR="001D0DE3" w:rsidRPr="00432D8A" w:rsidRDefault="001D0DE3">
      <w:pPr>
        <w:rPr>
          <w:sz w:val="28"/>
          <w:szCs w:val="28"/>
        </w:rPr>
      </w:pPr>
    </w:p>
    <w:p w:rsidR="001D0DE3" w:rsidRPr="009627E8" w:rsidRDefault="001D0DE3" w:rsidP="000B78D7">
      <w:pPr>
        <w:spacing w:after="0" w:line="240" w:lineRule="auto"/>
        <w:contextualSpacing/>
        <w:rPr>
          <w:b/>
        </w:rPr>
      </w:pPr>
      <w:r w:rsidRPr="009627E8">
        <w:rPr>
          <w:b/>
          <w:sz w:val="28"/>
          <w:szCs w:val="28"/>
        </w:rPr>
        <w:t>Item Three- Update on Gate Three</w:t>
      </w:r>
    </w:p>
    <w:p w:rsidR="001D0DE3" w:rsidRPr="009627E8" w:rsidRDefault="001D0DE3" w:rsidP="000B78D7">
      <w:pPr>
        <w:pStyle w:val="ListParagraph"/>
        <w:numPr>
          <w:ilvl w:val="0"/>
          <w:numId w:val="1"/>
        </w:numPr>
        <w:spacing w:after="0" w:line="240" w:lineRule="auto"/>
        <w:rPr>
          <w:sz w:val="28"/>
          <w:szCs w:val="28"/>
        </w:rPr>
      </w:pPr>
      <w:r w:rsidRPr="009627E8">
        <w:rPr>
          <w:sz w:val="28"/>
          <w:szCs w:val="28"/>
        </w:rPr>
        <w:t xml:space="preserve">Gate Three launched on March 4, 2019 and is </w:t>
      </w:r>
      <w:r w:rsidR="009627E8" w:rsidRPr="009627E8">
        <w:rPr>
          <w:sz w:val="28"/>
          <w:szCs w:val="28"/>
        </w:rPr>
        <w:t xml:space="preserve">expected to close at the earliest </w:t>
      </w:r>
      <w:r w:rsidR="009627E8">
        <w:rPr>
          <w:sz w:val="28"/>
          <w:szCs w:val="28"/>
        </w:rPr>
        <w:t>in</w:t>
      </w:r>
      <w:r w:rsidR="009627E8" w:rsidRPr="009627E8">
        <w:rPr>
          <w:sz w:val="28"/>
          <w:szCs w:val="28"/>
        </w:rPr>
        <w:t xml:space="preserve"> June, 2019.</w:t>
      </w:r>
    </w:p>
    <w:p w:rsidR="009627E8" w:rsidRPr="009627E8" w:rsidRDefault="009627E8" w:rsidP="000B78D7">
      <w:pPr>
        <w:pStyle w:val="ListParagraph"/>
        <w:numPr>
          <w:ilvl w:val="0"/>
          <w:numId w:val="1"/>
        </w:numPr>
        <w:spacing w:after="0" w:line="240" w:lineRule="auto"/>
        <w:rPr>
          <w:sz w:val="28"/>
          <w:szCs w:val="28"/>
        </w:rPr>
      </w:pPr>
      <w:r w:rsidRPr="009627E8">
        <w:rPr>
          <w:sz w:val="28"/>
          <w:szCs w:val="28"/>
          <w:lang w:val="en-US"/>
        </w:rPr>
        <w:t>Three out of five vendors moved forward to the third gate.</w:t>
      </w:r>
    </w:p>
    <w:p w:rsidR="001D0DE3" w:rsidRPr="009627E8" w:rsidRDefault="001D0DE3" w:rsidP="000B78D7">
      <w:pPr>
        <w:pStyle w:val="ListParagraph"/>
        <w:numPr>
          <w:ilvl w:val="0"/>
          <w:numId w:val="1"/>
        </w:numPr>
        <w:spacing w:after="0" w:line="240" w:lineRule="auto"/>
        <w:rPr>
          <w:sz w:val="28"/>
          <w:szCs w:val="28"/>
        </w:rPr>
      </w:pPr>
      <w:r w:rsidRPr="009627E8">
        <w:rPr>
          <w:sz w:val="28"/>
          <w:szCs w:val="28"/>
        </w:rPr>
        <w:t>Gate Three will deliver two procurement options:</w:t>
      </w:r>
    </w:p>
    <w:p w:rsidR="001D0DE3" w:rsidRPr="009627E8" w:rsidRDefault="001D0DE3" w:rsidP="000B78D7">
      <w:pPr>
        <w:pStyle w:val="ListParagraph"/>
        <w:numPr>
          <w:ilvl w:val="0"/>
          <w:numId w:val="3"/>
        </w:numPr>
        <w:spacing w:after="0" w:line="240" w:lineRule="auto"/>
        <w:rPr>
          <w:sz w:val="28"/>
          <w:szCs w:val="28"/>
        </w:rPr>
      </w:pPr>
      <w:r w:rsidRPr="009627E8">
        <w:rPr>
          <w:sz w:val="28"/>
          <w:szCs w:val="28"/>
        </w:rPr>
        <w:t>A vehicle, through which the core HR and pay solution can be procured efficiently and effectively by GC organizations; and,</w:t>
      </w:r>
    </w:p>
    <w:p w:rsidR="001D0DE3" w:rsidRPr="009627E8" w:rsidRDefault="001D0DE3" w:rsidP="000B78D7">
      <w:pPr>
        <w:pStyle w:val="ListParagraph"/>
        <w:numPr>
          <w:ilvl w:val="0"/>
          <w:numId w:val="3"/>
        </w:numPr>
        <w:spacing w:after="0" w:line="240" w:lineRule="auto"/>
        <w:rPr>
          <w:sz w:val="28"/>
          <w:szCs w:val="28"/>
        </w:rPr>
      </w:pPr>
      <w:r w:rsidRPr="009627E8">
        <w:rPr>
          <w:sz w:val="28"/>
          <w:szCs w:val="28"/>
        </w:rPr>
        <w:t xml:space="preserve">A flexible vehicle through which additional solutions may be procured and alternate provisions can be called upon, as required, to enable business outcomes for organizations within the GC enterprise. </w:t>
      </w:r>
    </w:p>
    <w:p w:rsidR="001D0DE3" w:rsidRPr="009627E8" w:rsidRDefault="001D0DE3" w:rsidP="000B78D7">
      <w:pPr>
        <w:pStyle w:val="ListParagraph"/>
        <w:numPr>
          <w:ilvl w:val="0"/>
          <w:numId w:val="1"/>
        </w:numPr>
        <w:spacing w:after="0" w:line="240" w:lineRule="auto"/>
        <w:rPr>
          <w:sz w:val="28"/>
          <w:szCs w:val="28"/>
        </w:rPr>
      </w:pPr>
      <w:r w:rsidRPr="009627E8">
        <w:rPr>
          <w:sz w:val="28"/>
          <w:szCs w:val="28"/>
        </w:rPr>
        <w:t xml:space="preserve">Gate three will evaluate </w:t>
      </w:r>
    </w:p>
    <w:p w:rsidR="001D0DE3" w:rsidRPr="009627E8" w:rsidRDefault="001D0DE3" w:rsidP="000B78D7">
      <w:pPr>
        <w:pStyle w:val="ListParagraph"/>
        <w:numPr>
          <w:ilvl w:val="0"/>
          <w:numId w:val="6"/>
        </w:numPr>
        <w:spacing w:after="0" w:line="240" w:lineRule="auto"/>
        <w:rPr>
          <w:sz w:val="28"/>
          <w:szCs w:val="28"/>
        </w:rPr>
      </w:pPr>
      <w:r w:rsidRPr="009627E8">
        <w:rPr>
          <w:sz w:val="28"/>
          <w:szCs w:val="28"/>
        </w:rPr>
        <w:t xml:space="preserve">The digital solution, including data management; </w:t>
      </w:r>
    </w:p>
    <w:p w:rsidR="001D0DE3" w:rsidRPr="009627E8" w:rsidRDefault="001D0DE3" w:rsidP="000B78D7">
      <w:pPr>
        <w:pStyle w:val="ListParagraph"/>
        <w:numPr>
          <w:ilvl w:val="0"/>
          <w:numId w:val="6"/>
        </w:numPr>
        <w:spacing w:after="0" w:line="240" w:lineRule="auto"/>
        <w:rPr>
          <w:sz w:val="28"/>
          <w:szCs w:val="28"/>
        </w:rPr>
      </w:pPr>
      <w:r w:rsidRPr="009627E8">
        <w:rPr>
          <w:sz w:val="28"/>
          <w:szCs w:val="28"/>
        </w:rPr>
        <w:t xml:space="preserve">implementation and change management, including service integrity and security; </w:t>
      </w:r>
    </w:p>
    <w:p w:rsidR="001D0DE3" w:rsidRPr="009627E8" w:rsidRDefault="001D0DE3" w:rsidP="000B78D7">
      <w:pPr>
        <w:pStyle w:val="ListParagraph"/>
        <w:numPr>
          <w:ilvl w:val="0"/>
          <w:numId w:val="6"/>
        </w:numPr>
        <w:spacing w:after="0" w:line="240" w:lineRule="auto"/>
        <w:rPr>
          <w:sz w:val="28"/>
          <w:szCs w:val="28"/>
        </w:rPr>
      </w:pPr>
      <w:r w:rsidRPr="009627E8">
        <w:rPr>
          <w:sz w:val="28"/>
          <w:szCs w:val="28"/>
        </w:rPr>
        <w:t xml:space="preserve">partnership experiences, including a service level agreement; and, </w:t>
      </w:r>
    </w:p>
    <w:p w:rsidR="001D0DE3" w:rsidRPr="00C833AC" w:rsidRDefault="001D0DE3" w:rsidP="000B78D7">
      <w:pPr>
        <w:pStyle w:val="ListParagraph"/>
        <w:numPr>
          <w:ilvl w:val="0"/>
          <w:numId w:val="6"/>
        </w:numPr>
        <w:spacing w:after="0" w:line="240" w:lineRule="auto"/>
        <w:rPr>
          <w:sz w:val="28"/>
          <w:szCs w:val="28"/>
        </w:rPr>
      </w:pPr>
      <w:proofErr w:type="gramStart"/>
      <w:r w:rsidRPr="00C833AC">
        <w:rPr>
          <w:sz w:val="28"/>
          <w:szCs w:val="28"/>
        </w:rPr>
        <w:t>value</w:t>
      </w:r>
      <w:proofErr w:type="gramEnd"/>
      <w:r w:rsidRPr="00C833AC">
        <w:rPr>
          <w:sz w:val="28"/>
          <w:szCs w:val="28"/>
        </w:rPr>
        <w:t xml:space="preserve"> for money, including costs and value-added services.</w:t>
      </w:r>
    </w:p>
    <w:p w:rsidR="0083674F" w:rsidRDefault="00C833AC" w:rsidP="0083674F">
      <w:pPr>
        <w:pStyle w:val="ListParagraph"/>
        <w:numPr>
          <w:ilvl w:val="0"/>
          <w:numId w:val="1"/>
        </w:numPr>
        <w:spacing w:after="0" w:line="240" w:lineRule="auto"/>
        <w:rPr>
          <w:rFonts w:cstheme="minorHAnsi"/>
          <w:sz w:val="28"/>
          <w:szCs w:val="28"/>
        </w:rPr>
      </w:pPr>
      <w:r>
        <w:rPr>
          <w:rFonts w:cstheme="minorHAnsi"/>
          <w:sz w:val="28"/>
          <w:szCs w:val="28"/>
        </w:rPr>
        <w:t>Gate three evaluation methods include</w:t>
      </w:r>
    </w:p>
    <w:p w:rsidR="0083674F" w:rsidRPr="0083674F" w:rsidRDefault="00C833AC" w:rsidP="0083674F">
      <w:pPr>
        <w:pStyle w:val="ListParagraph"/>
        <w:numPr>
          <w:ilvl w:val="1"/>
          <w:numId w:val="1"/>
        </w:numPr>
        <w:spacing w:after="0" w:line="240" w:lineRule="auto"/>
        <w:rPr>
          <w:rFonts w:cstheme="minorHAnsi"/>
          <w:sz w:val="28"/>
          <w:szCs w:val="28"/>
        </w:rPr>
      </w:pPr>
      <w:r w:rsidRPr="0083674F">
        <w:rPr>
          <w:rFonts w:cstheme="minorHAnsi"/>
          <w:b/>
          <w:bCs/>
          <w:sz w:val="28"/>
          <w:szCs w:val="28"/>
        </w:rPr>
        <w:t xml:space="preserve">Paper Bid: </w:t>
      </w:r>
      <w:r w:rsidRPr="0083674F">
        <w:rPr>
          <w:rFonts w:cstheme="minorHAnsi"/>
          <w:iCs/>
          <w:sz w:val="28"/>
          <w:szCs w:val="28"/>
        </w:rPr>
        <w:t>GC evaluators will assess traditional paper bid submissions.</w:t>
      </w:r>
    </w:p>
    <w:p w:rsidR="0083674F" w:rsidRPr="0083674F" w:rsidRDefault="00C833AC" w:rsidP="0083674F">
      <w:pPr>
        <w:pStyle w:val="ListParagraph"/>
        <w:numPr>
          <w:ilvl w:val="1"/>
          <w:numId w:val="1"/>
        </w:numPr>
        <w:spacing w:after="0" w:line="240" w:lineRule="auto"/>
        <w:rPr>
          <w:rFonts w:cstheme="minorHAnsi"/>
          <w:sz w:val="28"/>
          <w:szCs w:val="28"/>
        </w:rPr>
      </w:pPr>
      <w:r w:rsidRPr="0083674F">
        <w:rPr>
          <w:rFonts w:cstheme="minorHAnsi"/>
          <w:b/>
          <w:bCs/>
          <w:sz w:val="28"/>
          <w:szCs w:val="28"/>
        </w:rPr>
        <w:t xml:space="preserve">Video Bid: </w:t>
      </w:r>
      <w:r w:rsidRPr="0083674F">
        <w:rPr>
          <w:rFonts w:cstheme="minorHAnsi"/>
          <w:iCs/>
          <w:sz w:val="28"/>
          <w:szCs w:val="28"/>
        </w:rPr>
        <w:t>GC Evaluators will assess the functionality of proposed solution via a video. </w:t>
      </w:r>
    </w:p>
    <w:p w:rsidR="0083674F" w:rsidRPr="0083674F" w:rsidRDefault="00C833AC" w:rsidP="0083674F">
      <w:pPr>
        <w:pStyle w:val="ListParagraph"/>
        <w:numPr>
          <w:ilvl w:val="1"/>
          <w:numId w:val="1"/>
        </w:numPr>
        <w:spacing w:after="0" w:line="240" w:lineRule="auto"/>
        <w:rPr>
          <w:rFonts w:cstheme="minorHAnsi"/>
          <w:sz w:val="28"/>
          <w:szCs w:val="28"/>
        </w:rPr>
      </w:pPr>
      <w:r w:rsidRPr="0083674F">
        <w:rPr>
          <w:rFonts w:cstheme="minorHAnsi"/>
          <w:b/>
          <w:bCs/>
          <w:sz w:val="28"/>
          <w:szCs w:val="28"/>
        </w:rPr>
        <w:t xml:space="preserve">Reference Checks: </w:t>
      </w:r>
      <w:r w:rsidRPr="0083674F">
        <w:rPr>
          <w:rFonts w:cstheme="minorHAnsi"/>
          <w:iCs/>
          <w:sz w:val="28"/>
          <w:szCs w:val="28"/>
        </w:rPr>
        <w:t>GC will contact references provided by the bidder to ask predetermined questions.</w:t>
      </w:r>
    </w:p>
    <w:p w:rsidR="00C833AC" w:rsidRPr="0083674F" w:rsidRDefault="00C833AC" w:rsidP="0083674F">
      <w:pPr>
        <w:pStyle w:val="ListParagraph"/>
        <w:numPr>
          <w:ilvl w:val="1"/>
          <w:numId w:val="1"/>
        </w:numPr>
        <w:spacing w:after="0" w:line="240" w:lineRule="auto"/>
        <w:rPr>
          <w:rFonts w:cstheme="minorHAnsi"/>
          <w:sz w:val="28"/>
          <w:szCs w:val="28"/>
        </w:rPr>
      </w:pPr>
      <w:r w:rsidRPr="0083674F">
        <w:rPr>
          <w:rFonts w:cstheme="minorHAnsi"/>
          <w:b/>
          <w:sz w:val="28"/>
          <w:szCs w:val="28"/>
        </w:rPr>
        <w:t xml:space="preserve">Digital Solution Challenges: </w:t>
      </w:r>
    </w:p>
    <w:p w:rsidR="0083674F" w:rsidRPr="0083674F" w:rsidRDefault="00C833AC" w:rsidP="0083674F">
      <w:pPr>
        <w:pStyle w:val="ListParagraph"/>
        <w:numPr>
          <w:ilvl w:val="0"/>
          <w:numId w:val="14"/>
        </w:numPr>
        <w:spacing w:after="0" w:line="240" w:lineRule="auto"/>
        <w:rPr>
          <w:rFonts w:cstheme="minorHAnsi"/>
          <w:sz w:val="28"/>
          <w:szCs w:val="28"/>
        </w:rPr>
      </w:pPr>
      <w:r w:rsidRPr="0083674F">
        <w:rPr>
          <w:rFonts w:cstheme="minorHAnsi"/>
          <w:bCs/>
          <w:i/>
          <w:sz w:val="28"/>
          <w:szCs w:val="28"/>
        </w:rPr>
        <w:t>Autonomous Hands-On</w:t>
      </w:r>
      <w:r w:rsidRPr="0083674F">
        <w:rPr>
          <w:rFonts w:cstheme="minorHAnsi"/>
          <w:sz w:val="28"/>
          <w:szCs w:val="28"/>
        </w:rPr>
        <w:t xml:space="preserve"> - </w:t>
      </w:r>
      <w:r w:rsidRPr="0083674F">
        <w:rPr>
          <w:rFonts w:cstheme="minorHAnsi"/>
          <w:iCs/>
          <w:sz w:val="28"/>
          <w:szCs w:val="28"/>
        </w:rPr>
        <w:t>GC evaluators will fulfill a series of tasks using bidder solutions without interaction with bidders.</w:t>
      </w:r>
    </w:p>
    <w:p w:rsidR="0083674F" w:rsidRPr="0083674F" w:rsidRDefault="00C833AC" w:rsidP="0083674F">
      <w:pPr>
        <w:pStyle w:val="ListParagraph"/>
        <w:numPr>
          <w:ilvl w:val="0"/>
          <w:numId w:val="14"/>
        </w:numPr>
        <w:spacing w:after="0" w:line="240" w:lineRule="auto"/>
        <w:rPr>
          <w:rFonts w:cstheme="minorHAnsi"/>
          <w:sz w:val="28"/>
          <w:szCs w:val="28"/>
        </w:rPr>
      </w:pPr>
      <w:r w:rsidRPr="0083674F">
        <w:rPr>
          <w:rFonts w:cstheme="minorHAnsi"/>
          <w:bCs/>
          <w:i/>
          <w:sz w:val="28"/>
          <w:szCs w:val="28"/>
        </w:rPr>
        <w:t>Guided Hands-On</w:t>
      </w:r>
      <w:r w:rsidRPr="0083674F">
        <w:rPr>
          <w:rFonts w:cstheme="minorHAnsi"/>
          <w:bCs/>
          <w:sz w:val="28"/>
          <w:szCs w:val="28"/>
        </w:rPr>
        <w:t xml:space="preserve"> - </w:t>
      </w:r>
      <w:r w:rsidRPr="0083674F">
        <w:rPr>
          <w:rFonts w:cstheme="minorHAnsi"/>
          <w:iCs/>
          <w:sz w:val="28"/>
          <w:szCs w:val="28"/>
        </w:rPr>
        <w:t>GC evaluators will sit at a computer, in a classroom setting, and the bidder will walk them through a series of tasks.</w:t>
      </w:r>
    </w:p>
    <w:p w:rsidR="0083674F" w:rsidRPr="0083674F" w:rsidRDefault="00C833AC" w:rsidP="0083674F">
      <w:pPr>
        <w:pStyle w:val="ListParagraph"/>
        <w:numPr>
          <w:ilvl w:val="0"/>
          <w:numId w:val="14"/>
        </w:numPr>
        <w:spacing w:after="0" w:line="240" w:lineRule="auto"/>
        <w:rPr>
          <w:rFonts w:cstheme="minorHAnsi"/>
          <w:sz w:val="28"/>
          <w:szCs w:val="28"/>
        </w:rPr>
      </w:pPr>
      <w:r w:rsidRPr="0083674F">
        <w:rPr>
          <w:rFonts w:cstheme="minorHAnsi"/>
          <w:bCs/>
          <w:i/>
          <w:sz w:val="28"/>
          <w:szCs w:val="28"/>
        </w:rPr>
        <w:t>Live Demonstrations</w:t>
      </w:r>
      <w:r w:rsidRPr="0083674F">
        <w:rPr>
          <w:rFonts w:cstheme="minorHAnsi"/>
          <w:bCs/>
          <w:sz w:val="28"/>
          <w:szCs w:val="28"/>
        </w:rPr>
        <w:t xml:space="preserve"> -</w:t>
      </w:r>
      <w:r w:rsidRPr="0083674F">
        <w:rPr>
          <w:rFonts w:cstheme="minorHAnsi"/>
          <w:sz w:val="28"/>
          <w:szCs w:val="28"/>
        </w:rPr>
        <w:t xml:space="preserve"> </w:t>
      </w:r>
      <w:r w:rsidRPr="0083674F">
        <w:rPr>
          <w:rFonts w:cstheme="minorHAnsi"/>
          <w:iCs/>
          <w:sz w:val="28"/>
          <w:szCs w:val="28"/>
        </w:rPr>
        <w:t>GC evaluators will assess how the proposed solution delivers needed outcomes, based on interactions with the bidders, live and in-person.</w:t>
      </w:r>
    </w:p>
    <w:p w:rsidR="00C833AC" w:rsidRPr="0083674F" w:rsidRDefault="00C833AC" w:rsidP="0083674F">
      <w:pPr>
        <w:pStyle w:val="ListParagraph"/>
        <w:numPr>
          <w:ilvl w:val="0"/>
          <w:numId w:val="14"/>
        </w:numPr>
        <w:spacing w:after="0" w:line="240" w:lineRule="auto"/>
        <w:rPr>
          <w:rFonts w:cstheme="minorHAnsi"/>
          <w:sz w:val="28"/>
          <w:szCs w:val="28"/>
        </w:rPr>
      </w:pPr>
      <w:r w:rsidRPr="0083674F">
        <w:rPr>
          <w:rFonts w:cstheme="minorHAnsi"/>
          <w:bCs/>
          <w:i/>
          <w:sz w:val="28"/>
          <w:szCs w:val="28"/>
        </w:rPr>
        <w:t>Presentations</w:t>
      </w:r>
      <w:r w:rsidRPr="0083674F">
        <w:rPr>
          <w:rFonts w:cstheme="minorHAnsi"/>
          <w:sz w:val="28"/>
          <w:szCs w:val="28"/>
        </w:rPr>
        <w:t xml:space="preserve"> - </w:t>
      </w:r>
      <w:r w:rsidRPr="0083674F">
        <w:rPr>
          <w:rFonts w:cstheme="minorHAnsi"/>
          <w:iCs/>
          <w:sz w:val="28"/>
          <w:szCs w:val="28"/>
        </w:rPr>
        <w:t>The bidder presents to GC evaluators using a deck.</w:t>
      </w:r>
    </w:p>
    <w:p w:rsidR="000B78D7" w:rsidRPr="009627E8" w:rsidRDefault="000B78D7" w:rsidP="00C833AC">
      <w:pPr>
        <w:pStyle w:val="ListParagraph"/>
        <w:spacing w:after="0" w:line="240" w:lineRule="auto"/>
        <w:ind w:left="1080"/>
        <w:rPr>
          <w:sz w:val="28"/>
          <w:szCs w:val="28"/>
        </w:rPr>
      </w:pPr>
    </w:p>
    <w:p w:rsidR="001D0DE3" w:rsidRPr="009627E8" w:rsidRDefault="001D0DE3" w:rsidP="000B78D7">
      <w:pPr>
        <w:spacing w:after="0" w:line="240" w:lineRule="auto"/>
        <w:contextualSpacing/>
        <w:rPr>
          <w:b/>
          <w:sz w:val="28"/>
          <w:szCs w:val="28"/>
        </w:rPr>
      </w:pPr>
      <w:r w:rsidRPr="009627E8">
        <w:rPr>
          <w:b/>
          <w:sz w:val="28"/>
          <w:szCs w:val="28"/>
        </w:rPr>
        <w:t>Item Four- Digital User Expo</w:t>
      </w:r>
    </w:p>
    <w:p w:rsidR="001D0DE3" w:rsidRPr="009627E8" w:rsidRDefault="001D0DE3" w:rsidP="000B78D7">
      <w:pPr>
        <w:pStyle w:val="ListParagraph"/>
        <w:numPr>
          <w:ilvl w:val="0"/>
          <w:numId w:val="1"/>
        </w:numPr>
        <w:spacing w:after="0" w:line="240" w:lineRule="auto"/>
        <w:rPr>
          <w:b/>
          <w:sz w:val="28"/>
          <w:szCs w:val="28"/>
          <w:lang w:val="en-US"/>
        </w:rPr>
      </w:pPr>
      <w:r w:rsidRPr="009627E8">
        <w:rPr>
          <w:sz w:val="28"/>
          <w:szCs w:val="28"/>
          <w:lang w:val="en-US"/>
        </w:rPr>
        <w:lastRenderedPageBreak/>
        <w:t xml:space="preserve">Based on feedback received during the in-person User Expos, and in an effort to reach a broader audience, the NextGen team developed the Digital User Expo to seek online feedback from public servants from coast to coast to coast. </w:t>
      </w:r>
    </w:p>
    <w:p w:rsidR="001D0DE3" w:rsidRPr="009627E8" w:rsidRDefault="001D0DE3" w:rsidP="000B78D7">
      <w:pPr>
        <w:pStyle w:val="ListParagraph"/>
        <w:numPr>
          <w:ilvl w:val="0"/>
          <w:numId w:val="1"/>
        </w:numPr>
        <w:spacing w:after="0" w:line="240" w:lineRule="auto"/>
        <w:rPr>
          <w:sz w:val="28"/>
          <w:szCs w:val="28"/>
        </w:rPr>
      </w:pPr>
      <w:r w:rsidRPr="009627E8">
        <w:rPr>
          <w:sz w:val="28"/>
          <w:szCs w:val="28"/>
          <w:lang w:val="en-US"/>
        </w:rPr>
        <w:t>The Digital User Expo launched on April 8</w:t>
      </w:r>
      <w:r w:rsidRPr="009627E8">
        <w:rPr>
          <w:sz w:val="28"/>
          <w:szCs w:val="28"/>
          <w:vertAlign w:val="superscript"/>
          <w:lang w:val="en-US"/>
        </w:rPr>
        <w:t>th</w:t>
      </w:r>
      <w:r w:rsidRPr="009627E8">
        <w:rPr>
          <w:sz w:val="28"/>
          <w:szCs w:val="28"/>
          <w:lang w:val="en-US"/>
        </w:rPr>
        <w:t>, 2019 and ran until April 30</w:t>
      </w:r>
      <w:r w:rsidRPr="009627E8">
        <w:rPr>
          <w:sz w:val="28"/>
          <w:szCs w:val="28"/>
          <w:vertAlign w:val="superscript"/>
          <w:lang w:val="en-US"/>
        </w:rPr>
        <w:t>th</w:t>
      </w:r>
      <w:r w:rsidRPr="009627E8">
        <w:rPr>
          <w:sz w:val="28"/>
          <w:szCs w:val="28"/>
          <w:lang w:val="en-US"/>
        </w:rPr>
        <w:t>, 2019.</w:t>
      </w:r>
    </w:p>
    <w:p w:rsidR="001D0DE3" w:rsidRPr="009627E8" w:rsidRDefault="001D0DE3" w:rsidP="000B78D7">
      <w:pPr>
        <w:pStyle w:val="ListParagraph"/>
        <w:numPr>
          <w:ilvl w:val="0"/>
          <w:numId w:val="1"/>
        </w:numPr>
        <w:spacing w:after="0" w:line="240" w:lineRule="auto"/>
        <w:rPr>
          <w:sz w:val="28"/>
          <w:szCs w:val="28"/>
          <w:lang w:val="en-US"/>
        </w:rPr>
      </w:pPr>
      <w:r w:rsidRPr="009627E8">
        <w:rPr>
          <w:sz w:val="28"/>
          <w:szCs w:val="28"/>
          <w:lang w:val="en-US"/>
        </w:rPr>
        <w:t xml:space="preserve">Housed on </w:t>
      </w:r>
      <w:proofErr w:type="spellStart"/>
      <w:r w:rsidRPr="009627E8">
        <w:rPr>
          <w:sz w:val="28"/>
          <w:szCs w:val="28"/>
          <w:lang w:val="en-US"/>
        </w:rPr>
        <w:t>GCPedia</w:t>
      </w:r>
      <w:proofErr w:type="spellEnd"/>
      <w:r w:rsidRPr="009627E8">
        <w:rPr>
          <w:sz w:val="28"/>
          <w:szCs w:val="28"/>
          <w:lang w:val="en-US"/>
        </w:rPr>
        <w:t xml:space="preserve"> – an internal online platform for public servants – the Digital User Expo includes three main activities: </w:t>
      </w:r>
    </w:p>
    <w:p w:rsidR="001D0DE3" w:rsidRPr="009627E8" w:rsidRDefault="001D0DE3" w:rsidP="000B78D7">
      <w:pPr>
        <w:pStyle w:val="ListParagraph"/>
        <w:numPr>
          <w:ilvl w:val="1"/>
          <w:numId w:val="1"/>
        </w:numPr>
        <w:spacing w:after="0" w:line="240" w:lineRule="auto"/>
        <w:rPr>
          <w:sz w:val="28"/>
          <w:szCs w:val="28"/>
          <w:lang w:val="en-US"/>
        </w:rPr>
      </w:pPr>
      <w:r w:rsidRPr="009627E8">
        <w:rPr>
          <w:sz w:val="28"/>
          <w:szCs w:val="28"/>
          <w:lang w:val="en-US"/>
        </w:rPr>
        <w:t xml:space="preserve">the ability for public servants to experience possible solution and provide feedback; </w:t>
      </w:r>
    </w:p>
    <w:p w:rsidR="001D0DE3" w:rsidRPr="009627E8" w:rsidRDefault="001D0DE3" w:rsidP="000B78D7">
      <w:pPr>
        <w:pStyle w:val="ListParagraph"/>
        <w:numPr>
          <w:ilvl w:val="1"/>
          <w:numId w:val="1"/>
        </w:numPr>
        <w:spacing w:after="0" w:line="240" w:lineRule="auto"/>
        <w:rPr>
          <w:sz w:val="28"/>
          <w:szCs w:val="28"/>
          <w:lang w:val="en-US"/>
        </w:rPr>
      </w:pPr>
      <w:r w:rsidRPr="009627E8">
        <w:rPr>
          <w:sz w:val="28"/>
          <w:szCs w:val="28"/>
          <w:lang w:val="en-US"/>
        </w:rPr>
        <w:t xml:space="preserve">the opportunity to submit questions on the NextGen initiative; and, </w:t>
      </w:r>
    </w:p>
    <w:p w:rsidR="001D0DE3" w:rsidRPr="009627E8" w:rsidRDefault="001D0DE3" w:rsidP="000B78D7">
      <w:pPr>
        <w:pStyle w:val="ListParagraph"/>
        <w:numPr>
          <w:ilvl w:val="1"/>
          <w:numId w:val="1"/>
        </w:numPr>
        <w:spacing w:after="0" w:line="240" w:lineRule="auto"/>
        <w:rPr>
          <w:sz w:val="28"/>
          <w:szCs w:val="28"/>
          <w:lang w:val="en-US"/>
        </w:rPr>
      </w:pPr>
      <w:proofErr w:type="gramStart"/>
      <w:r w:rsidRPr="009627E8">
        <w:rPr>
          <w:sz w:val="28"/>
          <w:szCs w:val="28"/>
          <w:lang w:val="en-US"/>
        </w:rPr>
        <w:t>a</w:t>
      </w:r>
      <w:proofErr w:type="gramEnd"/>
      <w:r w:rsidRPr="009627E8">
        <w:rPr>
          <w:sz w:val="28"/>
          <w:szCs w:val="28"/>
          <w:lang w:val="en-US"/>
        </w:rPr>
        <w:t xml:space="preserve"> chance to share feedback on what a next generation HR and pay solution could look like.</w:t>
      </w:r>
    </w:p>
    <w:p w:rsidR="00073FD2" w:rsidRDefault="001D0DE3" w:rsidP="000B78D7">
      <w:pPr>
        <w:pStyle w:val="ListParagraph"/>
        <w:numPr>
          <w:ilvl w:val="0"/>
          <w:numId w:val="1"/>
        </w:numPr>
        <w:spacing w:after="0" w:line="240" w:lineRule="auto"/>
        <w:rPr>
          <w:sz w:val="28"/>
          <w:szCs w:val="28"/>
        </w:rPr>
      </w:pPr>
      <w:r w:rsidRPr="009627E8">
        <w:rPr>
          <w:sz w:val="28"/>
          <w:szCs w:val="28"/>
        </w:rPr>
        <w:t xml:space="preserve">The Digital User Expo page received a total of 10,268 views, 918 solutions feedback surveys, 33 feedback submissions and 113 questions. </w:t>
      </w:r>
    </w:p>
    <w:p w:rsidR="001D0DE3" w:rsidRPr="009627E8" w:rsidRDefault="001D0DE3" w:rsidP="000B78D7">
      <w:pPr>
        <w:pStyle w:val="ListParagraph"/>
        <w:numPr>
          <w:ilvl w:val="0"/>
          <w:numId w:val="1"/>
        </w:numPr>
        <w:spacing w:after="0" w:line="240" w:lineRule="auto"/>
        <w:rPr>
          <w:sz w:val="28"/>
          <w:szCs w:val="28"/>
        </w:rPr>
      </w:pPr>
      <w:r w:rsidRPr="009627E8">
        <w:rPr>
          <w:sz w:val="28"/>
          <w:szCs w:val="28"/>
        </w:rPr>
        <w:t>The NextGen team is committed to answering every question and is currently in the process of doing so.</w:t>
      </w:r>
    </w:p>
    <w:p w:rsidR="00C93AFB" w:rsidRPr="009627E8" w:rsidRDefault="00C93AFB" w:rsidP="000B78D7">
      <w:pPr>
        <w:pStyle w:val="ListParagraph"/>
        <w:numPr>
          <w:ilvl w:val="0"/>
          <w:numId w:val="1"/>
        </w:numPr>
        <w:spacing w:after="0" w:line="240" w:lineRule="auto"/>
        <w:rPr>
          <w:sz w:val="28"/>
          <w:szCs w:val="28"/>
          <w:lang w:val="en-US"/>
        </w:rPr>
      </w:pPr>
      <w:r w:rsidRPr="009627E8">
        <w:rPr>
          <w:sz w:val="28"/>
          <w:szCs w:val="28"/>
          <w:lang w:val="en-US"/>
        </w:rPr>
        <w:t>Feedback was extremely positive, with outreach reaching Ontario, Quebec, New Brunswick, Nova Scotia, British Columbia, Alberta, Saskatchewan and Newfoundland and Labrador.</w:t>
      </w:r>
    </w:p>
    <w:p w:rsidR="001D0DE3" w:rsidRDefault="001D0DE3" w:rsidP="000B78D7">
      <w:pPr>
        <w:spacing w:after="0" w:line="240" w:lineRule="auto"/>
        <w:contextualSpacing/>
      </w:pPr>
    </w:p>
    <w:p w:rsidR="00C93AFB" w:rsidRPr="00073FD2" w:rsidRDefault="00C93AFB" w:rsidP="000B78D7">
      <w:pPr>
        <w:spacing w:after="0" w:line="240" w:lineRule="auto"/>
        <w:contextualSpacing/>
        <w:rPr>
          <w:b/>
          <w:sz w:val="28"/>
          <w:szCs w:val="28"/>
        </w:rPr>
      </w:pPr>
      <w:r w:rsidRPr="00073FD2">
        <w:rPr>
          <w:b/>
          <w:sz w:val="28"/>
          <w:szCs w:val="28"/>
        </w:rPr>
        <w:t>Item Five- Communications</w:t>
      </w:r>
    </w:p>
    <w:p w:rsidR="001F58BF" w:rsidRDefault="00073FD2" w:rsidP="000B78D7">
      <w:pPr>
        <w:pStyle w:val="ListParagraph"/>
        <w:numPr>
          <w:ilvl w:val="0"/>
          <w:numId w:val="8"/>
        </w:numPr>
        <w:spacing w:after="0" w:line="240" w:lineRule="auto"/>
        <w:rPr>
          <w:sz w:val="28"/>
          <w:szCs w:val="28"/>
        </w:rPr>
      </w:pPr>
      <w:r>
        <w:rPr>
          <w:sz w:val="28"/>
          <w:szCs w:val="28"/>
        </w:rPr>
        <w:t xml:space="preserve">PBO Report </w:t>
      </w:r>
    </w:p>
    <w:p w:rsidR="001F58BF" w:rsidRPr="001F58BF" w:rsidRDefault="001F58BF" w:rsidP="000B78D7">
      <w:pPr>
        <w:pStyle w:val="ListParagraph"/>
        <w:numPr>
          <w:ilvl w:val="1"/>
          <w:numId w:val="8"/>
        </w:numPr>
        <w:spacing w:after="0" w:line="240" w:lineRule="auto"/>
        <w:rPr>
          <w:sz w:val="28"/>
          <w:szCs w:val="28"/>
        </w:rPr>
      </w:pPr>
      <w:r w:rsidRPr="001F58BF">
        <w:rPr>
          <w:rFonts w:cstheme="minorHAnsi"/>
          <w:sz w:val="28"/>
          <w:szCs w:val="28"/>
        </w:rPr>
        <w:t xml:space="preserve">The report provides an independent estimate of the cost of replacing the Phoenix pay system. </w:t>
      </w:r>
    </w:p>
    <w:p w:rsidR="001F58BF" w:rsidRPr="001F58BF" w:rsidRDefault="001F58BF" w:rsidP="000B78D7">
      <w:pPr>
        <w:pStyle w:val="ListParagraph"/>
        <w:numPr>
          <w:ilvl w:val="1"/>
          <w:numId w:val="8"/>
        </w:numPr>
        <w:spacing w:after="0" w:line="240" w:lineRule="auto"/>
        <w:rPr>
          <w:sz w:val="28"/>
          <w:szCs w:val="28"/>
        </w:rPr>
      </w:pPr>
      <w:r w:rsidRPr="001F58BF">
        <w:rPr>
          <w:rFonts w:cstheme="minorHAnsi"/>
          <w:sz w:val="28"/>
          <w:szCs w:val="28"/>
        </w:rPr>
        <w:t>It assesses costs associated with procuring and implementing a new software, as well as projecting operating costs over 10 years.</w:t>
      </w:r>
    </w:p>
    <w:p w:rsidR="001F58BF" w:rsidRPr="0023439E" w:rsidRDefault="001F58BF" w:rsidP="000B78D7">
      <w:pPr>
        <w:pStyle w:val="ListParagraph"/>
        <w:numPr>
          <w:ilvl w:val="1"/>
          <w:numId w:val="8"/>
        </w:numPr>
        <w:spacing w:after="0" w:line="240" w:lineRule="auto"/>
        <w:rPr>
          <w:sz w:val="28"/>
          <w:szCs w:val="28"/>
        </w:rPr>
      </w:pPr>
      <w:r w:rsidRPr="001F58BF">
        <w:rPr>
          <w:rFonts w:cstheme="minorHAnsi"/>
          <w:bCs/>
          <w:sz w:val="28"/>
          <w:szCs w:val="28"/>
        </w:rPr>
        <w:t xml:space="preserve">The costs </w:t>
      </w:r>
      <w:r>
        <w:rPr>
          <w:rFonts w:cstheme="minorHAnsi"/>
          <w:bCs/>
          <w:sz w:val="28"/>
          <w:szCs w:val="28"/>
        </w:rPr>
        <w:t>are</w:t>
      </w:r>
      <w:r w:rsidRPr="001F58BF">
        <w:rPr>
          <w:rFonts w:cstheme="minorHAnsi"/>
          <w:bCs/>
          <w:sz w:val="28"/>
          <w:szCs w:val="28"/>
        </w:rPr>
        <w:t xml:space="preserve"> restricted to solely replacing a pay system like Phoenix, and do not align with the scope of </w:t>
      </w:r>
      <w:r w:rsidR="002B7C38">
        <w:rPr>
          <w:rFonts w:cstheme="minorHAnsi"/>
          <w:bCs/>
          <w:sz w:val="28"/>
          <w:szCs w:val="28"/>
        </w:rPr>
        <w:t>NextGen, which will include HR and pay</w:t>
      </w:r>
      <w:r w:rsidRPr="001F58BF">
        <w:rPr>
          <w:rFonts w:cstheme="minorHAnsi"/>
          <w:bCs/>
          <w:sz w:val="28"/>
          <w:szCs w:val="28"/>
        </w:rPr>
        <w:t xml:space="preserve">. </w:t>
      </w:r>
    </w:p>
    <w:p w:rsidR="0023439E" w:rsidRPr="0023439E" w:rsidRDefault="0023439E" w:rsidP="000B78D7">
      <w:pPr>
        <w:pStyle w:val="ListParagraph"/>
        <w:numPr>
          <w:ilvl w:val="0"/>
          <w:numId w:val="8"/>
        </w:numPr>
        <w:spacing w:after="0" w:line="240" w:lineRule="auto"/>
        <w:rPr>
          <w:sz w:val="28"/>
          <w:szCs w:val="28"/>
        </w:rPr>
      </w:pPr>
      <w:r>
        <w:rPr>
          <w:rFonts w:cstheme="minorHAnsi"/>
          <w:bCs/>
          <w:sz w:val="28"/>
          <w:szCs w:val="28"/>
        </w:rPr>
        <w:t>Budget 2019</w:t>
      </w:r>
    </w:p>
    <w:p w:rsidR="0023439E" w:rsidRDefault="0023439E" w:rsidP="000B78D7">
      <w:pPr>
        <w:pStyle w:val="ListParagraph"/>
        <w:numPr>
          <w:ilvl w:val="1"/>
          <w:numId w:val="8"/>
        </w:numPr>
        <w:spacing w:after="0" w:line="240" w:lineRule="auto"/>
        <w:rPr>
          <w:rFonts w:cstheme="minorHAnsi"/>
          <w:sz w:val="28"/>
          <w:szCs w:val="28"/>
        </w:rPr>
      </w:pPr>
      <w:r>
        <w:rPr>
          <w:rFonts w:cstheme="minorHAnsi"/>
          <w:sz w:val="28"/>
          <w:szCs w:val="28"/>
        </w:rPr>
        <w:t xml:space="preserve">Part of Budget 2019, the Government acknowledged the ongoing work by the NextGen Initiative to identify options for a next generation HR and pay solution. </w:t>
      </w:r>
    </w:p>
    <w:p w:rsidR="0023439E" w:rsidRDefault="0023439E" w:rsidP="000B78D7">
      <w:pPr>
        <w:pStyle w:val="ListParagraph"/>
        <w:numPr>
          <w:ilvl w:val="1"/>
          <w:numId w:val="8"/>
        </w:numPr>
        <w:spacing w:after="0" w:line="240" w:lineRule="auto"/>
        <w:rPr>
          <w:rFonts w:cstheme="minorHAnsi"/>
          <w:sz w:val="28"/>
          <w:szCs w:val="28"/>
        </w:rPr>
      </w:pPr>
      <w:r>
        <w:rPr>
          <w:rFonts w:cstheme="minorHAnsi"/>
          <w:sz w:val="28"/>
          <w:szCs w:val="28"/>
        </w:rPr>
        <w:t>Budget 2019 reiterated the government’s commitment to work with suppliers and stakeholders to develop the best options, including pilot projects that will allow for further testing with select departments and agencies.</w:t>
      </w:r>
    </w:p>
    <w:p w:rsidR="0023439E" w:rsidRDefault="0023439E" w:rsidP="000B78D7">
      <w:pPr>
        <w:pStyle w:val="ListParagraph"/>
        <w:numPr>
          <w:ilvl w:val="1"/>
          <w:numId w:val="8"/>
        </w:numPr>
        <w:spacing w:after="0" w:line="240" w:lineRule="auto"/>
        <w:rPr>
          <w:rFonts w:cstheme="minorHAnsi"/>
          <w:sz w:val="28"/>
          <w:szCs w:val="28"/>
        </w:rPr>
      </w:pPr>
      <w:r>
        <w:rPr>
          <w:rFonts w:cstheme="minorHAnsi"/>
          <w:sz w:val="28"/>
          <w:szCs w:val="28"/>
        </w:rPr>
        <w:lastRenderedPageBreak/>
        <w:t>While Budget 2019 did not allocate funding to pursue these next steps, the NextGen Team will seek a funding decision on the next phase of work for this initiative.</w:t>
      </w:r>
    </w:p>
    <w:p w:rsidR="000B78D7" w:rsidRDefault="000B78D7" w:rsidP="000B78D7">
      <w:pPr>
        <w:pStyle w:val="ListParagraph"/>
        <w:numPr>
          <w:ilvl w:val="0"/>
          <w:numId w:val="11"/>
        </w:numPr>
        <w:spacing w:after="0" w:line="240" w:lineRule="auto"/>
        <w:rPr>
          <w:sz w:val="28"/>
          <w:szCs w:val="28"/>
        </w:rPr>
      </w:pPr>
      <w:r>
        <w:rPr>
          <w:sz w:val="28"/>
          <w:szCs w:val="28"/>
        </w:rPr>
        <w:t>NextGen HR and Pay Steering Committee</w:t>
      </w:r>
    </w:p>
    <w:p w:rsidR="000B78D7" w:rsidRDefault="000B78D7" w:rsidP="000B78D7">
      <w:pPr>
        <w:pStyle w:val="ListParagraph"/>
        <w:numPr>
          <w:ilvl w:val="1"/>
          <w:numId w:val="11"/>
        </w:numPr>
        <w:spacing w:after="0" w:line="240" w:lineRule="auto"/>
        <w:rPr>
          <w:sz w:val="28"/>
          <w:szCs w:val="28"/>
        </w:rPr>
      </w:pPr>
      <w:r>
        <w:rPr>
          <w:sz w:val="28"/>
          <w:szCs w:val="28"/>
        </w:rPr>
        <w:t>Held its first meeting on</w:t>
      </w:r>
      <w:r w:rsidRPr="00906C08">
        <w:rPr>
          <w:sz w:val="28"/>
          <w:szCs w:val="28"/>
        </w:rPr>
        <w:t xml:space="preserve"> April 26</w:t>
      </w:r>
      <w:r w:rsidRPr="00906C08">
        <w:rPr>
          <w:sz w:val="28"/>
          <w:szCs w:val="28"/>
          <w:vertAlign w:val="superscript"/>
        </w:rPr>
        <w:t>th</w:t>
      </w:r>
      <w:r>
        <w:rPr>
          <w:sz w:val="28"/>
          <w:szCs w:val="28"/>
        </w:rPr>
        <w:t xml:space="preserve">, 2019. </w:t>
      </w:r>
    </w:p>
    <w:p w:rsidR="000B78D7" w:rsidRDefault="000B78D7" w:rsidP="000B78D7">
      <w:pPr>
        <w:pStyle w:val="ListParagraph"/>
        <w:numPr>
          <w:ilvl w:val="1"/>
          <w:numId w:val="11"/>
        </w:numPr>
        <w:spacing w:after="0" w:line="240" w:lineRule="auto"/>
        <w:rPr>
          <w:sz w:val="28"/>
          <w:szCs w:val="28"/>
        </w:rPr>
      </w:pPr>
      <w:r>
        <w:rPr>
          <w:sz w:val="28"/>
          <w:szCs w:val="28"/>
        </w:rPr>
        <w:t>The</w:t>
      </w:r>
      <w:r w:rsidRPr="00906C08">
        <w:rPr>
          <w:sz w:val="28"/>
          <w:szCs w:val="28"/>
        </w:rPr>
        <w:t xml:space="preserve"> committee </w:t>
      </w:r>
      <w:r>
        <w:rPr>
          <w:sz w:val="28"/>
          <w:szCs w:val="28"/>
        </w:rPr>
        <w:t xml:space="preserve">will meet on a monthly basis and </w:t>
      </w:r>
      <w:r w:rsidRPr="00906C08">
        <w:rPr>
          <w:sz w:val="28"/>
          <w:szCs w:val="28"/>
        </w:rPr>
        <w:t xml:space="preserve">is comprised of ADMs from TBS, ESDC, DND, CRA, CSIS, </w:t>
      </w:r>
      <w:proofErr w:type="spellStart"/>
      <w:r w:rsidRPr="00906C08">
        <w:rPr>
          <w:sz w:val="28"/>
          <w:szCs w:val="28"/>
        </w:rPr>
        <w:t>StatsCan</w:t>
      </w:r>
      <w:proofErr w:type="spellEnd"/>
      <w:r w:rsidRPr="00906C08">
        <w:rPr>
          <w:sz w:val="28"/>
          <w:szCs w:val="28"/>
        </w:rPr>
        <w:t>, RCMP, Transport, NRC and PSPC</w:t>
      </w:r>
      <w:r>
        <w:rPr>
          <w:sz w:val="28"/>
          <w:szCs w:val="28"/>
        </w:rPr>
        <w:t>.</w:t>
      </w:r>
    </w:p>
    <w:p w:rsidR="000B78D7" w:rsidRPr="00906C08" w:rsidRDefault="000B78D7" w:rsidP="000B78D7">
      <w:pPr>
        <w:pStyle w:val="ListParagraph"/>
        <w:numPr>
          <w:ilvl w:val="1"/>
          <w:numId w:val="11"/>
        </w:numPr>
        <w:spacing w:after="0" w:line="240" w:lineRule="auto"/>
        <w:rPr>
          <w:sz w:val="28"/>
          <w:szCs w:val="28"/>
        </w:rPr>
      </w:pPr>
      <w:r>
        <w:rPr>
          <w:sz w:val="28"/>
          <w:szCs w:val="28"/>
        </w:rPr>
        <w:t>The objective of the Committee is to exchange information on</w:t>
      </w:r>
      <w:r w:rsidRPr="00906C08">
        <w:rPr>
          <w:sz w:val="28"/>
          <w:szCs w:val="28"/>
        </w:rPr>
        <w:t xml:space="preserve"> NextGen work, plans, and approaches in order to obtain feedback, advice, and constructive guidance on various aspects of business, transformation projects, industry, and/or project</w:t>
      </w:r>
      <w:r>
        <w:rPr>
          <w:sz w:val="28"/>
          <w:szCs w:val="28"/>
        </w:rPr>
        <w:t xml:space="preserve"> management that may affect the </w:t>
      </w:r>
      <w:r w:rsidRPr="00906C08">
        <w:rPr>
          <w:sz w:val="28"/>
          <w:szCs w:val="28"/>
        </w:rPr>
        <w:t xml:space="preserve">initiative in its current or future state. </w:t>
      </w:r>
    </w:p>
    <w:p w:rsidR="000B78D7" w:rsidRDefault="000B78D7" w:rsidP="000B78D7">
      <w:pPr>
        <w:pStyle w:val="ListParagraph"/>
        <w:spacing w:after="0" w:line="240" w:lineRule="auto"/>
        <w:ind w:left="360"/>
        <w:rPr>
          <w:rFonts w:ascii="Arial" w:hAnsi="Arial" w:cs="Arial"/>
          <w:bCs/>
        </w:rPr>
      </w:pPr>
    </w:p>
    <w:p w:rsidR="00432D8A" w:rsidRPr="00ED3EAF" w:rsidRDefault="00432D8A" w:rsidP="00ED3EAF">
      <w:pPr>
        <w:spacing w:after="0" w:line="240" w:lineRule="auto"/>
        <w:rPr>
          <w:b/>
          <w:sz w:val="28"/>
          <w:szCs w:val="28"/>
        </w:rPr>
      </w:pPr>
      <w:r w:rsidRPr="00ED3EAF">
        <w:rPr>
          <w:b/>
          <w:sz w:val="28"/>
          <w:szCs w:val="28"/>
        </w:rPr>
        <w:t>Item Six- Next Steps</w:t>
      </w:r>
    </w:p>
    <w:p w:rsidR="00ED3EAF" w:rsidRPr="00ED3EAF" w:rsidRDefault="00ED3EAF" w:rsidP="00ED3EAF">
      <w:pPr>
        <w:numPr>
          <w:ilvl w:val="0"/>
          <w:numId w:val="15"/>
        </w:numPr>
        <w:spacing w:after="0" w:line="240" w:lineRule="auto"/>
        <w:contextualSpacing/>
        <w:rPr>
          <w:rFonts w:cstheme="minorHAnsi"/>
          <w:sz w:val="28"/>
          <w:szCs w:val="28"/>
          <w:lang w:val="en-US"/>
        </w:rPr>
      </w:pPr>
      <w:r w:rsidRPr="00ED3EAF">
        <w:rPr>
          <w:rFonts w:cstheme="minorHAnsi"/>
          <w:sz w:val="28"/>
          <w:szCs w:val="28"/>
          <w:lang w:val="en-US"/>
        </w:rPr>
        <w:t>Finalize Gate Three of the agile procurement process (APP)</w:t>
      </w:r>
    </w:p>
    <w:p w:rsidR="00ED3EAF" w:rsidRPr="00ED3EAF" w:rsidRDefault="00ED3EAF" w:rsidP="00ED3EAF">
      <w:pPr>
        <w:numPr>
          <w:ilvl w:val="0"/>
          <w:numId w:val="15"/>
        </w:numPr>
        <w:spacing w:after="0" w:line="240" w:lineRule="auto"/>
        <w:contextualSpacing/>
        <w:rPr>
          <w:rFonts w:cstheme="minorHAnsi"/>
          <w:sz w:val="28"/>
          <w:szCs w:val="28"/>
          <w:lang w:val="en-US"/>
        </w:rPr>
      </w:pPr>
      <w:r w:rsidRPr="00ED3EAF">
        <w:rPr>
          <w:rFonts w:cstheme="minorHAnsi"/>
          <w:sz w:val="28"/>
          <w:szCs w:val="28"/>
          <w:lang w:val="en-US"/>
        </w:rPr>
        <w:t>APP will identify a preferred vendor to work with GC on the pre-definition phase of the proposed pilot</w:t>
      </w:r>
    </w:p>
    <w:p w:rsidR="00ED3EAF" w:rsidRPr="00ED3EAF" w:rsidRDefault="00ED3EAF" w:rsidP="00ED3EAF">
      <w:pPr>
        <w:numPr>
          <w:ilvl w:val="0"/>
          <w:numId w:val="15"/>
        </w:numPr>
        <w:spacing w:after="0" w:line="240" w:lineRule="auto"/>
        <w:contextualSpacing/>
        <w:rPr>
          <w:rFonts w:cstheme="minorHAnsi"/>
          <w:sz w:val="28"/>
          <w:szCs w:val="28"/>
          <w:lang w:val="en-US"/>
        </w:rPr>
      </w:pPr>
      <w:r w:rsidRPr="00ED3EAF">
        <w:rPr>
          <w:rFonts w:cstheme="minorHAnsi"/>
          <w:sz w:val="28"/>
          <w:szCs w:val="28"/>
          <w:lang w:val="en-US"/>
        </w:rPr>
        <w:t>APP will also allow for other vendors to be pre-qualified who can be leveraged for other work, including the pilot should the first vendor be unsuccessful</w:t>
      </w:r>
    </w:p>
    <w:p w:rsidR="00ED3EAF" w:rsidRPr="00ED3EAF" w:rsidRDefault="00ED3EAF" w:rsidP="00ED3EAF">
      <w:pPr>
        <w:numPr>
          <w:ilvl w:val="0"/>
          <w:numId w:val="15"/>
        </w:numPr>
        <w:spacing w:after="0" w:line="240" w:lineRule="auto"/>
        <w:contextualSpacing/>
        <w:rPr>
          <w:rFonts w:cstheme="minorHAnsi"/>
          <w:sz w:val="28"/>
          <w:szCs w:val="28"/>
          <w:lang w:val="en-US"/>
        </w:rPr>
      </w:pPr>
      <w:r w:rsidRPr="00ED3EAF">
        <w:rPr>
          <w:rFonts w:cstheme="minorHAnsi"/>
          <w:sz w:val="28"/>
          <w:szCs w:val="28"/>
          <w:lang w:val="en-US"/>
        </w:rPr>
        <w:t>Should we have the required funding, we will work with stakeholders and vendors to plan the pilots</w:t>
      </w:r>
    </w:p>
    <w:p w:rsidR="00ED3EAF" w:rsidRPr="00ED3EAF" w:rsidRDefault="00ED3EAF" w:rsidP="00ED3EAF">
      <w:pPr>
        <w:numPr>
          <w:ilvl w:val="0"/>
          <w:numId w:val="15"/>
        </w:numPr>
        <w:spacing w:after="0" w:line="240" w:lineRule="auto"/>
        <w:contextualSpacing/>
        <w:rPr>
          <w:rFonts w:cstheme="minorHAnsi"/>
          <w:sz w:val="28"/>
          <w:szCs w:val="28"/>
          <w:lang w:val="en-US"/>
        </w:rPr>
      </w:pPr>
      <w:r w:rsidRPr="00ED3EAF">
        <w:rPr>
          <w:rFonts w:cstheme="minorHAnsi"/>
          <w:sz w:val="28"/>
          <w:szCs w:val="28"/>
          <w:lang w:val="en-US"/>
        </w:rPr>
        <w:t xml:space="preserve">Return for authorities in January 2020 to begin the pilot build </w:t>
      </w:r>
    </w:p>
    <w:p w:rsidR="00432D8A" w:rsidRPr="00ED3EAF" w:rsidRDefault="00432D8A" w:rsidP="000B78D7">
      <w:pPr>
        <w:spacing w:after="0" w:line="240" w:lineRule="auto"/>
        <w:contextualSpacing/>
        <w:rPr>
          <w:lang w:val="en-US"/>
        </w:rPr>
      </w:pPr>
    </w:p>
    <w:sectPr w:rsidR="00432D8A" w:rsidRPr="00ED3EAF" w:rsidSect="009D2700">
      <w:headerReference w:type="even" r:id="rId7"/>
      <w:headerReference w:type="default" r:id="rId8"/>
      <w:headerReference w:type="first" r:id="rId9"/>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4ED0" w:rsidRDefault="00E34ED0" w:rsidP="009D2700">
      <w:pPr>
        <w:spacing w:after="0" w:line="240" w:lineRule="auto"/>
      </w:pPr>
      <w:r>
        <w:separator/>
      </w:r>
    </w:p>
  </w:endnote>
  <w:endnote w:type="continuationSeparator" w:id="0">
    <w:p w:rsidR="00E34ED0" w:rsidRDefault="00E34ED0" w:rsidP="009D27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4ED0" w:rsidRDefault="00E34ED0" w:rsidP="009D2700">
      <w:pPr>
        <w:spacing w:after="0" w:line="240" w:lineRule="auto"/>
      </w:pPr>
      <w:r>
        <w:separator/>
      </w:r>
    </w:p>
  </w:footnote>
  <w:footnote w:type="continuationSeparator" w:id="0">
    <w:p w:rsidR="00E34ED0" w:rsidRDefault="00E34ED0" w:rsidP="009D27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700" w:rsidRDefault="009D2700" w:rsidP="009D2700">
    <w:pPr>
      <w:pStyle w:val="Header"/>
    </w:pPr>
    <w:bookmarkStart w:id="1" w:name="TITUS1HeaderEvenPages"/>
  </w:p>
  <w:bookmarkEnd w:id="1"/>
  <w:p w:rsidR="009D2700" w:rsidRDefault="009D2700" w:rsidP="009D270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700" w:rsidRDefault="009D2700" w:rsidP="009D2700">
    <w:pPr>
      <w:pStyle w:val="Header"/>
    </w:pPr>
    <w:bookmarkStart w:id="2" w:name="TITUS1HeaderPrimary"/>
  </w:p>
  <w:bookmarkEnd w:id="2"/>
  <w:p w:rsidR="009D2700" w:rsidRDefault="009D270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700" w:rsidRDefault="009D2700" w:rsidP="009D2700">
    <w:pPr>
      <w:pStyle w:val="Header"/>
    </w:pPr>
    <w:bookmarkStart w:id="3" w:name="TITUS1HeaderFirstPage"/>
  </w:p>
  <w:bookmarkEnd w:id="3"/>
  <w:p w:rsidR="009D2700" w:rsidRDefault="009D2700" w:rsidP="009D270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A471C"/>
    <w:multiLevelType w:val="hybridMultilevel"/>
    <w:tmpl w:val="CBDEC158"/>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15:restartNumberingAfterBreak="0">
    <w:nsid w:val="0285611C"/>
    <w:multiLevelType w:val="hybridMultilevel"/>
    <w:tmpl w:val="74BA70C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47F24A9"/>
    <w:multiLevelType w:val="hybridMultilevel"/>
    <w:tmpl w:val="669E3A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5D9564D"/>
    <w:multiLevelType w:val="hybridMultilevel"/>
    <w:tmpl w:val="7A7C5B6C"/>
    <w:lvl w:ilvl="0" w:tplc="205495FC">
      <w:numFmt w:val="bullet"/>
      <w:lvlText w:val="-"/>
      <w:lvlJc w:val="left"/>
      <w:pPr>
        <w:ind w:left="1800" w:hanging="360"/>
      </w:pPr>
      <w:rPr>
        <w:rFonts w:ascii="Calibri" w:eastAsiaTheme="minorHAnsi" w:hAnsi="Calibri" w:cs="Calibri" w:hint="default"/>
        <w:i/>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4" w15:restartNumberingAfterBreak="0">
    <w:nsid w:val="2F033EAF"/>
    <w:multiLevelType w:val="hybridMultilevel"/>
    <w:tmpl w:val="09C8879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3163607F"/>
    <w:multiLevelType w:val="hybridMultilevel"/>
    <w:tmpl w:val="488E069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3284281B"/>
    <w:multiLevelType w:val="hybridMultilevel"/>
    <w:tmpl w:val="DF5C86BA"/>
    <w:lvl w:ilvl="0" w:tplc="10090003">
      <w:start w:val="1"/>
      <w:numFmt w:val="bullet"/>
      <w:lvlText w:val="o"/>
      <w:lvlJc w:val="left"/>
      <w:pPr>
        <w:ind w:left="1080" w:hanging="360"/>
      </w:pPr>
      <w:rPr>
        <w:rFonts w:ascii="Courier New" w:hAnsi="Courier New" w:cs="Courier New"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7" w15:restartNumberingAfterBreak="0">
    <w:nsid w:val="382C1F7D"/>
    <w:multiLevelType w:val="hybridMultilevel"/>
    <w:tmpl w:val="481A5C7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95C451F"/>
    <w:multiLevelType w:val="hybridMultilevel"/>
    <w:tmpl w:val="34D09A2E"/>
    <w:lvl w:ilvl="0" w:tplc="82DEDC3C">
      <w:start w:val="1"/>
      <w:numFmt w:val="decimal"/>
      <w:lvlText w:val="%1."/>
      <w:lvlJc w:val="left"/>
      <w:pPr>
        <w:ind w:left="720" w:hanging="360"/>
      </w:pPr>
      <w:rPr>
        <w:b w:val="0"/>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9" w15:restartNumberingAfterBreak="0">
    <w:nsid w:val="45C55334"/>
    <w:multiLevelType w:val="hybridMultilevel"/>
    <w:tmpl w:val="E324889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15:restartNumberingAfterBreak="0">
    <w:nsid w:val="4DA90A64"/>
    <w:multiLevelType w:val="hybridMultilevel"/>
    <w:tmpl w:val="B21EE022"/>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15:restartNumberingAfterBreak="0">
    <w:nsid w:val="6A5C0858"/>
    <w:multiLevelType w:val="hybridMultilevel"/>
    <w:tmpl w:val="A56229B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2" w15:restartNumberingAfterBreak="0">
    <w:nsid w:val="76723DEC"/>
    <w:multiLevelType w:val="hybridMultilevel"/>
    <w:tmpl w:val="053E9DEA"/>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15:restartNumberingAfterBreak="0">
    <w:nsid w:val="7E7A6A82"/>
    <w:multiLevelType w:val="hybridMultilevel"/>
    <w:tmpl w:val="16D435FE"/>
    <w:lvl w:ilvl="0" w:tplc="10090003">
      <w:start w:val="1"/>
      <w:numFmt w:val="bullet"/>
      <w:lvlText w:val="o"/>
      <w:lvlJc w:val="left"/>
      <w:pPr>
        <w:ind w:left="1080" w:hanging="360"/>
      </w:pPr>
      <w:rPr>
        <w:rFonts w:ascii="Courier New" w:hAnsi="Courier New" w:cs="Courier New"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abstractNumId w:val="12"/>
  </w:num>
  <w:num w:numId="2">
    <w:abstractNumId w:val="1"/>
  </w:num>
  <w:num w:numId="3">
    <w:abstractNumId w:val="6"/>
  </w:num>
  <w:num w:numId="4">
    <w:abstractNumId w:val="4"/>
  </w:num>
  <w:num w:numId="5">
    <w:abstractNumId w:val="2"/>
  </w:num>
  <w:num w:numId="6">
    <w:abstractNumId w:val="13"/>
  </w:num>
  <w:num w:numId="7">
    <w:abstractNumId w:val="7"/>
  </w:num>
  <w:num w:numId="8">
    <w:abstractNumId w:val="9"/>
  </w:num>
  <w:num w:numId="9">
    <w:abstractNumId w:val="5"/>
  </w:num>
  <w:num w:numId="10">
    <w:abstractNumId w:val="0"/>
  </w:num>
  <w:num w:numId="11">
    <w:abstractNumId w:val="10"/>
  </w:num>
  <w:num w:numId="12">
    <w:abstractNumId w:val="11"/>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DE3"/>
    <w:rsid w:val="00073FD2"/>
    <w:rsid w:val="000A3CD0"/>
    <w:rsid w:val="000B78D7"/>
    <w:rsid w:val="001D0DE3"/>
    <w:rsid w:val="001F58BF"/>
    <w:rsid w:val="0023439E"/>
    <w:rsid w:val="002B7C38"/>
    <w:rsid w:val="003B64C2"/>
    <w:rsid w:val="00432D8A"/>
    <w:rsid w:val="00466F55"/>
    <w:rsid w:val="004C5567"/>
    <w:rsid w:val="006D7764"/>
    <w:rsid w:val="0083674F"/>
    <w:rsid w:val="008F2B12"/>
    <w:rsid w:val="00906C08"/>
    <w:rsid w:val="0091021C"/>
    <w:rsid w:val="009627E8"/>
    <w:rsid w:val="00972CC8"/>
    <w:rsid w:val="009D2700"/>
    <w:rsid w:val="00A84A7D"/>
    <w:rsid w:val="00B459C6"/>
    <w:rsid w:val="00C833AC"/>
    <w:rsid w:val="00C93AFB"/>
    <w:rsid w:val="00D57AE1"/>
    <w:rsid w:val="00E34ED0"/>
    <w:rsid w:val="00ED3EAF"/>
    <w:rsid w:val="00F362B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F86898-AB3F-4B38-9E90-93C6ABC4C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1F58BF"/>
    <w:pPr>
      <w:keepNext/>
      <w:spacing w:after="0" w:line="240" w:lineRule="auto"/>
      <w:outlineLvl w:val="0"/>
    </w:pPr>
    <w:rPr>
      <w:rFonts w:ascii="Times New Roman" w:eastAsia="Times New Roman" w:hAnsi="Times New Roman" w:cs="Times New Roman"/>
      <w:b/>
      <w:bCs/>
      <w:sz w:val="24"/>
      <w:szCs w:val="24"/>
      <w:u w:val="single"/>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0DE3"/>
    <w:pPr>
      <w:ind w:left="720"/>
      <w:contextualSpacing/>
    </w:pPr>
  </w:style>
  <w:style w:type="character" w:customStyle="1" w:styleId="Heading1Char">
    <w:name w:val="Heading 1 Char"/>
    <w:basedOn w:val="DefaultParagraphFont"/>
    <w:link w:val="Heading1"/>
    <w:rsid w:val="001F58BF"/>
    <w:rPr>
      <w:rFonts w:ascii="Times New Roman" w:eastAsia="Times New Roman" w:hAnsi="Times New Roman" w:cs="Times New Roman"/>
      <w:b/>
      <w:bCs/>
      <w:sz w:val="24"/>
      <w:szCs w:val="24"/>
      <w:u w:val="single"/>
      <w:lang w:eastAsia="en-CA"/>
    </w:rPr>
  </w:style>
  <w:style w:type="paragraph" w:styleId="Header">
    <w:name w:val="header"/>
    <w:basedOn w:val="Normal"/>
    <w:link w:val="HeaderChar"/>
    <w:uiPriority w:val="99"/>
    <w:unhideWhenUsed/>
    <w:rsid w:val="009D27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2700"/>
  </w:style>
  <w:style w:type="paragraph" w:styleId="Footer">
    <w:name w:val="footer"/>
    <w:basedOn w:val="Normal"/>
    <w:link w:val="FooterChar"/>
    <w:uiPriority w:val="99"/>
    <w:unhideWhenUsed/>
    <w:rsid w:val="009D27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2700"/>
  </w:style>
  <w:style w:type="paragraph" w:styleId="BalloonText">
    <w:name w:val="Balloon Text"/>
    <w:basedOn w:val="Normal"/>
    <w:link w:val="BalloonTextChar"/>
    <w:uiPriority w:val="99"/>
    <w:semiHidden/>
    <w:unhideWhenUsed/>
    <w:rsid w:val="00F362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62B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283846">
      <w:bodyDiv w:val="1"/>
      <w:marLeft w:val="0"/>
      <w:marRight w:val="0"/>
      <w:marTop w:val="0"/>
      <w:marBottom w:val="0"/>
      <w:divBdr>
        <w:top w:val="none" w:sz="0" w:space="0" w:color="auto"/>
        <w:left w:val="none" w:sz="0" w:space="0" w:color="auto"/>
        <w:bottom w:val="none" w:sz="0" w:space="0" w:color="auto"/>
        <w:right w:val="none" w:sz="0" w:space="0" w:color="auto"/>
      </w:divBdr>
    </w:div>
    <w:div w:id="459346633">
      <w:bodyDiv w:val="1"/>
      <w:marLeft w:val="0"/>
      <w:marRight w:val="0"/>
      <w:marTop w:val="0"/>
      <w:marBottom w:val="0"/>
      <w:divBdr>
        <w:top w:val="none" w:sz="0" w:space="0" w:color="auto"/>
        <w:left w:val="none" w:sz="0" w:space="0" w:color="auto"/>
        <w:bottom w:val="none" w:sz="0" w:space="0" w:color="auto"/>
        <w:right w:val="none" w:sz="0" w:space="0" w:color="auto"/>
      </w:divBdr>
    </w:div>
    <w:div w:id="587232676">
      <w:bodyDiv w:val="1"/>
      <w:marLeft w:val="0"/>
      <w:marRight w:val="0"/>
      <w:marTop w:val="0"/>
      <w:marBottom w:val="0"/>
      <w:divBdr>
        <w:top w:val="none" w:sz="0" w:space="0" w:color="auto"/>
        <w:left w:val="none" w:sz="0" w:space="0" w:color="auto"/>
        <w:bottom w:val="none" w:sz="0" w:space="0" w:color="auto"/>
        <w:right w:val="none" w:sz="0" w:space="0" w:color="auto"/>
      </w:divBdr>
    </w:div>
    <w:div w:id="932476326">
      <w:bodyDiv w:val="1"/>
      <w:marLeft w:val="0"/>
      <w:marRight w:val="0"/>
      <w:marTop w:val="0"/>
      <w:marBottom w:val="0"/>
      <w:divBdr>
        <w:top w:val="none" w:sz="0" w:space="0" w:color="auto"/>
        <w:left w:val="none" w:sz="0" w:space="0" w:color="auto"/>
        <w:bottom w:val="none" w:sz="0" w:space="0" w:color="auto"/>
        <w:right w:val="none" w:sz="0" w:space="0" w:color="auto"/>
      </w:divBdr>
    </w:div>
    <w:div w:id="1952398885">
      <w:bodyDiv w:val="1"/>
      <w:marLeft w:val="0"/>
      <w:marRight w:val="0"/>
      <w:marTop w:val="0"/>
      <w:marBottom w:val="0"/>
      <w:divBdr>
        <w:top w:val="none" w:sz="0" w:space="0" w:color="auto"/>
        <w:left w:val="none" w:sz="0" w:space="0" w:color="auto"/>
        <w:bottom w:val="none" w:sz="0" w:space="0" w:color="auto"/>
        <w:right w:val="none" w:sz="0" w:space="0" w:color="auto"/>
      </w:divBdr>
    </w:div>
    <w:div w:id="2019765578">
      <w:bodyDiv w:val="1"/>
      <w:marLeft w:val="0"/>
      <w:marRight w:val="0"/>
      <w:marTop w:val="0"/>
      <w:marBottom w:val="0"/>
      <w:divBdr>
        <w:top w:val="none" w:sz="0" w:space="0" w:color="auto"/>
        <w:left w:val="none" w:sz="0" w:space="0" w:color="auto"/>
        <w:bottom w:val="none" w:sz="0" w:space="0" w:color="auto"/>
        <w:right w:val="none" w:sz="0" w:space="0" w:color="auto"/>
      </w:divBdr>
    </w:div>
    <w:div w:id="210124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777</Words>
  <Characters>4072</Characters>
  <Application>Microsoft Office Word</Application>
  <DocSecurity>0</DocSecurity>
  <Lines>94</Lines>
  <Paragraphs>58</Paragraphs>
  <ScaleCrop>false</ScaleCrop>
  <HeadingPairs>
    <vt:vector size="2" baseType="variant">
      <vt:variant>
        <vt:lpstr>Title</vt:lpstr>
      </vt:variant>
      <vt:variant>
        <vt:i4>1</vt:i4>
      </vt:variant>
    </vt:vector>
  </HeadingPairs>
  <TitlesOfParts>
    <vt:vector size="1" baseType="lpstr">
      <vt:lpstr/>
    </vt:vector>
  </TitlesOfParts>
  <Company>TBS-SCT</Company>
  <LinksUpToDate>false</LinksUpToDate>
  <CharactersWithSpaces>4791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Kavanagh, Kyra</dc:creator>
  <cp:keywords/>
  <dc:description/>
  <cp:lastModifiedBy>Leblanc, Isabelle</cp:lastModifiedBy>
  <cp:revision>2</cp:revision>
  <cp:lastPrinted>2019-05-17T12:32:00Z</cp:lastPrinted>
  <dcterms:created xsi:type="dcterms:W3CDTF">2019-06-20T13:12:00Z</dcterms:created>
  <dcterms:modified xsi:type="dcterms:W3CDTF">2019-06-20T13:12:00Z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7e9fc9d8-a786-44af-ad27-8f35862fbf9b</vt:lpwstr>
  </property>
  <property fmtid="{D5CDD505-2E9C-101B-9397-08002B2CF9AE}" pid="3" name="SECCLASS">
    <vt:lpwstr>CLASSU</vt:lpwstr>
  </property>
  <property fmtid="{D5CDD505-2E9C-101B-9397-08002B2CF9AE}" pid="4" name="TBSSCTCLASSIFICATION">
    <vt:lpwstr>UNCLASSIFIED</vt:lpwstr>
  </property>
  <property fmtid="{D5CDD505-2E9C-101B-9397-08002B2CF9AE}" pid="5" name="TBSSCTVISUALMARKINGNO">
    <vt:lpwstr>NO</vt:lpwstr>
  </property>
</Properties>
</file>