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C2F" w:rsidRPr="00635C2F" w:rsidRDefault="00635C2F" w:rsidP="00635C2F">
      <w:pPr>
        <w:contextualSpacing/>
        <w:jc w:val="center"/>
        <w:rPr>
          <w:rFonts w:cstheme="minorHAnsi"/>
          <w:b/>
          <w:sz w:val="32"/>
          <w:szCs w:val="32"/>
          <w:u w:val="single"/>
        </w:rPr>
      </w:pPr>
      <w:r w:rsidRPr="00635C2F">
        <w:rPr>
          <w:rFonts w:cstheme="minorHAnsi"/>
          <w:b/>
          <w:sz w:val="32"/>
          <w:szCs w:val="32"/>
          <w:u w:val="single"/>
        </w:rPr>
        <w:t>Program Terms and Conditions Crosswalk</w:t>
      </w:r>
    </w:p>
    <w:p w:rsidR="00635C2F" w:rsidRPr="00635C2F" w:rsidRDefault="00635C2F" w:rsidP="00635C2F">
      <w:pPr>
        <w:contextualSpacing/>
        <w:rPr>
          <w:rFonts w:cstheme="minorHAnsi"/>
          <w:sz w:val="20"/>
          <w:szCs w:val="20"/>
        </w:rPr>
      </w:pPr>
    </w:p>
    <w:tbl>
      <w:tblPr>
        <w:tblStyle w:val="GridTable1Light-Accent1"/>
        <w:tblW w:w="19440" w:type="dxa"/>
        <w:tblInd w:w="-1085" w:type="dxa"/>
        <w:tblLook w:val="04A0" w:firstRow="1" w:lastRow="0" w:firstColumn="1" w:lastColumn="0" w:noHBand="0" w:noVBand="1"/>
      </w:tblPr>
      <w:tblGrid>
        <w:gridCol w:w="1710"/>
        <w:gridCol w:w="3510"/>
        <w:gridCol w:w="2970"/>
        <w:gridCol w:w="3510"/>
        <w:gridCol w:w="4050"/>
        <w:gridCol w:w="3690"/>
      </w:tblGrid>
      <w:tr w:rsidR="00635C2F" w:rsidRPr="00635C2F" w:rsidTr="00B44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rsidR="00635C2F" w:rsidRPr="00635C2F" w:rsidRDefault="00635C2F" w:rsidP="00635C2F">
            <w:pPr>
              <w:spacing w:after="160" w:line="259" w:lineRule="auto"/>
              <w:contextualSpacing/>
              <w:rPr>
                <w:rFonts w:cstheme="minorHAnsi"/>
                <w:szCs w:val="20"/>
              </w:rPr>
            </w:pPr>
          </w:p>
        </w:tc>
        <w:tc>
          <w:tcPr>
            <w:tcW w:w="3510" w:type="dxa"/>
            <w:shd w:val="clear" w:color="auto" w:fill="70AD47" w:themeFill="accent6"/>
          </w:tcPr>
          <w:p w:rsidR="00635C2F" w:rsidRPr="00635C2F" w:rsidRDefault="00635C2F" w:rsidP="00635C2F">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cstheme="minorHAnsi"/>
              </w:rPr>
            </w:pPr>
            <w:r w:rsidRPr="00635C2F">
              <w:rPr>
                <w:rFonts w:cstheme="minorHAnsi"/>
              </w:rPr>
              <w:t>Capital Facilities and Maintenance Program (CFMP)</w:t>
            </w:r>
          </w:p>
          <w:p w:rsidR="00635C2F" w:rsidRPr="00635C2F" w:rsidRDefault="00635C2F" w:rsidP="00635C2F">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cstheme="minorHAnsi"/>
              </w:rPr>
            </w:pPr>
          </w:p>
        </w:tc>
        <w:tc>
          <w:tcPr>
            <w:tcW w:w="2970" w:type="dxa"/>
            <w:shd w:val="clear" w:color="auto" w:fill="4472C4" w:themeFill="accent5"/>
          </w:tcPr>
          <w:p w:rsidR="00635C2F" w:rsidRPr="00635C2F" w:rsidRDefault="00635C2F" w:rsidP="00635C2F">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cstheme="minorHAnsi"/>
              </w:rPr>
            </w:pPr>
            <w:r w:rsidRPr="00635C2F">
              <w:rPr>
                <w:rFonts w:cstheme="minorHAnsi"/>
              </w:rPr>
              <w:t>First Nations Infrastructure Fund (FNIF) (including solid waste)</w:t>
            </w:r>
          </w:p>
          <w:p w:rsidR="00635C2F" w:rsidRPr="00635C2F" w:rsidRDefault="00635C2F" w:rsidP="00635C2F">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cstheme="minorHAnsi"/>
              </w:rPr>
            </w:pPr>
          </w:p>
        </w:tc>
        <w:tc>
          <w:tcPr>
            <w:tcW w:w="3510" w:type="dxa"/>
            <w:shd w:val="clear" w:color="auto" w:fill="FFC000" w:themeFill="accent4"/>
          </w:tcPr>
          <w:p w:rsidR="00635C2F" w:rsidRPr="00635C2F" w:rsidRDefault="00635C2F" w:rsidP="00635C2F">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cstheme="minorHAnsi"/>
              </w:rPr>
            </w:pPr>
            <w:r w:rsidRPr="00635C2F">
              <w:rPr>
                <w:rFonts w:cstheme="minorHAnsi"/>
              </w:rPr>
              <w:t>Health Facilities Program</w:t>
            </w:r>
          </w:p>
          <w:p w:rsidR="00635C2F" w:rsidRPr="00635C2F" w:rsidRDefault="00635C2F" w:rsidP="00635C2F">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cstheme="minorHAnsi"/>
              </w:rPr>
            </w:pPr>
          </w:p>
        </w:tc>
        <w:tc>
          <w:tcPr>
            <w:tcW w:w="4050" w:type="dxa"/>
            <w:shd w:val="clear" w:color="auto" w:fill="7030A0"/>
          </w:tcPr>
          <w:p w:rsidR="00635C2F" w:rsidRPr="00635C2F" w:rsidRDefault="00635C2F" w:rsidP="00635C2F">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cstheme="minorHAnsi"/>
              </w:rPr>
            </w:pPr>
            <w:r w:rsidRPr="00635C2F">
              <w:rPr>
                <w:rFonts w:cstheme="minorHAnsi"/>
              </w:rPr>
              <w:t xml:space="preserve">Community Opportunity and Readiness Program (economic infrastructure component only) </w:t>
            </w:r>
          </w:p>
          <w:p w:rsidR="00635C2F" w:rsidRPr="00635C2F" w:rsidRDefault="00635C2F" w:rsidP="00635C2F">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cstheme="minorHAnsi"/>
              </w:rPr>
            </w:pPr>
          </w:p>
        </w:tc>
        <w:tc>
          <w:tcPr>
            <w:tcW w:w="3690" w:type="dxa"/>
            <w:shd w:val="clear" w:color="auto" w:fill="D0CECE" w:themeFill="background2" w:themeFillShade="E6"/>
          </w:tcPr>
          <w:p w:rsidR="00635C2F" w:rsidRPr="00635C2F" w:rsidRDefault="00635C2F" w:rsidP="00635C2F">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cstheme="minorHAnsi"/>
              </w:rPr>
            </w:pPr>
            <w:r w:rsidRPr="00635C2F">
              <w:rPr>
                <w:rFonts w:cstheme="minorHAnsi"/>
              </w:rPr>
              <w:t>Lands and Economic Development Services Program (only waste management and environmental aspects)</w:t>
            </w:r>
          </w:p>
        </w:tc>
      </w:tr>
      <w:tr w:rsidR="00635C2F" w:rsidRPr="00635C2F" w:rsidTr="00B44763">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rsidR="00635C2F" w:rsidRPr="00635C2F" w:rsidRDefault="00635C2F" w:rsidP="00635C2F">
            <w:pPr>
              <w:spacing w:after="160" w:line="259" w:lineRule="auto"/>
              <w:contextualSpacing/>
              <w:rPr>
                <w:rFonts w:cstheme="minorHAnsi"/>
                <w:szCs w:val="20"/>
              </w:rPr>
            </w:pPr>
            <w:r w:rsidRPr="00635C2F">
              <w:rPr>
                <w:rFonts w:cstheme="minorHAnsi"/>
                <w:szCs w:val="20"/>
              </w:rPr>
              <w:t>Terms and Conditions</w:t>
            </w:r>
          </w:p>
        </w:tc>
        <w:tc>
          <w:tcPr>
            <w:tcW w:w="3510" w:type="dxa"/>
            <w:shd w:val="clear" w:color="auto" w:fill="E2EFD9" w:themeFill="accent6"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4" w:history="1">
              <w:r w:rsidRPr="00635C2F">
                <w:rPr>
                  <w:rStyle w:val="Hyperlink"/>
                  <w:rFonts w:cstheme="minorHAnsi"/>
                  <w:sz w:val="20"/>
                  <w:szCs w:val="20"/>
                </w:rPr>
                <w:t>Transfer Payment Program Terms and Conditions: Contributions to support the construction and maintenance of community infrastructure (sac-isc.gc.ca)</w:t>
              </w:r>
            </w:hyperlink>
          </w:p>
        </w:tc>
        <w:tc>
          <w:tcPr>
            <w:tcW w:w="2970" w:type="dxa"/>
            <w:shd w:val="clear" w:color="auto" w:fill="D9E2F3" w:themeFill="accent5"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5" w:history="1">
              <w:r w:rsidRPr="00635C2F">
                <w:rPr>
                  <w:rStyle w:val="Hyperlink"/>
                  <w:rFonts w:cstheme="minorHAnsi"/>
                  <w:sz w:val="20"/>
                  <w:szCs w:val="20"/>
                </w:rPr>
                <w:t>Transfer Payment Program Terms and Conditions: Contributions to support the construction and maintenance of community infrastructure (sac-isc.gc.ca)</w:t>
              </w:r>
            </w:hyperlink>
          </w:p>
        </w:tc>
        <w:tc>
          <w:tcPr>
            <w:tcW w:w="3510" w:type="dxa"/>
            <w:shd w:val="clear" w:color="auto" w:fill="FFF2CC" w:themeFill="accent4"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6" w:history="1">
              <w:r w:rsidRPr="00635C2F">
                <w:rPr>
                  <w:rStyle w:val="Hyperlink"/>
                  <w:rFonts w:cstheme="minorHAnsi"/>
                  <w:sz w:val="20"/>
                  <w:szCs w:val="20"/>
                </w:rPr>
                <w:t>Health Infrastructure Support Authority (sac-isc.gc.ca)</w:t>
              </w:r>
            </w:hyperlink>
            <w:r w:rsidRPr="00635C2F">
              <w:rPr>
                <w:rFonts w:cstheme="minorHAnsi"/>
                <w:sz w:val="20"/>
                <w:szCs w:val="20"/>
              </w:rPr>
              <w:t xml:space="preserve">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050" w:type="dxa"/>
            <w:shd w:val="clear" w:color="auto" w:fill="EEDDFF"/>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7" w:history="1">
              <w:r w:rsidRPr="00635C2F">
                <w:rPr>
                  <w:rStyle w:val="Hyperlink"/>
                  <w:rFonts w:cstheme="minorHAnsi"/>
                  <w:sz w:val="20"/>
                  <w:szCs w:val="20"/>
                </w:rPr>
                <w:t>Contributions to Support Land Management and Economic Development (sac-isc.gc.ca)</w:t>
              </w:r>
            </w:hyperlink>
          </w:p>
        </w:tc>
        <w:tc>
          <w:tcPr>
            <w:tcW w:w="3690" w:type="dxa"/>
            <w:tcBorders>
              <w:top w:val="single" w:sz="12" w:space="0" w:color="9CC2E5" w:themeColor="accent1" w:themeTint="99"/>
            </w:tcBorders>
            <w:shd w:val="clear" w:color="auto" w:fill="E7E6E6" w:themeFill="background2"/>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8" w:history="1">
              <w:r w:rsidRPr="00635C2F">
                <w:rPr>
                  <w:rStyle w:val="Hyperlink"/>
                  <w:rFonts w:cstheme="minorHAnsi"/>
                  <w:sz w:val="20"/>
                  <w:szCs w:val="20"/>
                </w:rPr>
                <w:t>Contributions to Support Land Management and Economic Development (sac-isc.gc.ca)</w:t>
              </w:r>
            </w:hyperlink>
          </w:p>
        </w:tc>
      </w:tr>
      <w:tr w:rsidR="00635C2F" w:rsidRPr="00635C2F" w:rsidTr="00B44763">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rsidR="00635C2F" w:rsidRPr="00635C2F" w:rsidRDefault="00635C2F" w:rsidP="00635C2F">
            <w:pPr>
              <w:spacing w:after="160" w:line="259" w:lineRule="auto"/>
              <w:contextualSpacing/>
              <w:rPr>
                <w:rFonts w:cstheme="minorHAnsi"/>
                <w:szCs w:val="20"/>
              </w:rPr>
            </w:pPr>
            <w:r w:rsidRPr="00635C2F">
              <w:rPr>
                <w:rFonts w:cstheme="minorHAnsi"/>
                <w:szCs w:val="20"/>
              </w:rPr>
              <w:t>Objective</w:t>
            </w:r>
          </w:p>
        </w:tc>
        <w:tc>
          <w:tcPr>
            <w:tcW w:w="3510" w:type="dxa"/>
            <w:shd w:val="clear" w:color="auto" w:fill="E2EFD9" w:themeFill="accent6"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The CFMP provides financial assistance to plan, construct and/or acquire and operate and maintain community capital facilities and services.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In managing the CFMP, the department is in conformance with the Indian and Inuit Affairs Program Environment Policy and associated guidelines.</w:t>
            </w:r>
          </w:p>
        </w:tc>
        <w:tc>
          <w:tcPr>
            <w:tcW w:w="2970" w:type="dxa"/>
            <w:shd w:val="clear" w:color="auto" w:fill="D9E2F3" w:themeFill="accent5"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The FNIF assists First Nations communities on reserve, Crown Land or land set aside for the use and benefit of a First Nation within the provinces of Canada to improve and increase public infrastructure.</w:t>
            </w:r>
          </w:p>
        </w:tc>
        <w:tc>
          <w:tcPr>
            <w:tcW w:w="3510" w:type="dxa"/>
            <w:shd w:val="clear" w:color="auto" w:fill="FFF2CC" w:themeFill="accent4"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The HFP aims to provide effective, sustainable, and culturally appropriate health programs and services that contribute to the reduction of gaps in health status b</w:t>
            </w:r>
            <w:bookmarkStart w:id="0" w:name="_GoBack"/>
            <w:bookmarkEnd w:id="0"/>
            <w:r w:rsidRPr="00635C2F">
              <w:rPr>
                <w:rFonts w:cstheme="minorHAnsi"/>
                <w:sz w:val="20"/>
                <w:szCs w:val="20"/>
              </w:rPr>
              <w:t>etween First Nations and Inuit and other Canadians.</w:t>
            </w:r>
          </w:p>
        </w:tc>
        <w:tc>
          <w:tcPr>
            <w:tcW w:w="4050" w:type="dxa"/>
            <w:shd w:val="clear" w:color="auto" w:fill="EEDDFF"/>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The CORP provides project-based funding for First Nation and Inuit Communities for a range of activities to support communities' pursuit of economic opportunities. Where First Nation and Inuit communities, or their representative organizations, identify opportunities and lack the financial resources to pursue them, CORP will allow them to submit proposals to obtain additional funding.</w:t>
            </w:r>
          </w:p>
        </w:tc>
        <w:tc>
          <w:tcPr>
            <w:tcW w:w="3690" w:type="dxa"/>
            <w:shd w:val="clear" w:color="auto" w:fill="E7E6E6" w:themeFill="background2"/>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The LEDSP provides support to First Nation and Inuit Communities to assist with enhancing the economic development, land and environmental capacity of communities and to support the establishment of the conditions for economic development to occur, increasing their participation in the economy.</w:t>
            </w:r>
          </w:p>
        </w:tc>
      </w:tr>
      <w:tr w:rsidR="00635C2F" w:rsidRPr="00635C2F" w:rsidTr="00B44763">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rsidR="00635C2F" w:rsidRPr="00635C2F" w:rsidRDefault="00635C2F" w:rsidP="00635C2F">
            <w:pPr>
              <w:spacing w:after="160" w:line="259" w:lineRule="auto"/>
              <w:contextualSpacing/>
              <w:rPr>
                <w:rFonts w:cstheme="minorHAnsi"/>
                <w:szCs w:val="20"/>
              </w:rPr>
            </w:pPr>
            <w:r w:rsidRPr="00635C2F">
              <w:rPr>
                <w:rFonts w:cstheme="minorHAnsi"/>
                <w:szCs w:val="20"/>
              </w:rPr>
              <w:t>Expected Results</w:t>
            </w:r>
          </w:p>
        </w:tc>
        <w:tc>
          <w:tcPr>
            <w:tcW w:w="3510" w:type="dxa"/>
            <w:shd w:val="clear" w:color="auto" w:fill="E2EFD9" w:themeFill="accent6"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First Nations communities have infrastructure that protects health and safety and enables engagement in the economy.</w:t>
            </w:r>
          </w:p>
        </w:tc>
        <w:tc>
          <w:tcPr>
            <w:tcW w:w="2970" w:type="dxa"/>
            <w:shd w:val="clear" w:color="auto" w:fill="D9E2F3" w:themeFill="accent5"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The expected results include:</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Improving health and safety of First Nations communities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Contributing to a cleaner and healthier environment for First Nation communities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Enhancing collaboration between the Government of Canada, First Nation communities, municipalities, provinces, and the private sector</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Leveraging other sources of funds for infrastructure projects in First Nations communities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510" w:type="dxa"/>
            <w:shd w:val="clear" w:color="auto" w:fill="FFF2CC" w:themeFill="accent4"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lastRenderedPageBreak/>
              <w:t>The HFP enhances the development and delivery of health programs and services through infrastructure by providing funding to eligible recipients for the design, construction, acquisition, leasing, expansion and/or renovation of health facilities, including residences for health professionals; for security services at such facilities. These activities provide First Nations, Inuit and ISC staff with the space required to safely and efficiently deliver health care services in First Nations and Inuit communities.</w:t>
            </w:r>
          </w:p>
        </w:tc>
        <w:tc>
          <w:tcPr>
            <w:tcW w:w="4050" w:type="dxa"/>
            <w:shd w:val="clear" w:color="auto" w:fill="EEDDFF"/>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The expected ultimate outcome of the CORP is that Indigenous communities build economic prosperity.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The CORP seeks to increase economic development by providing proposal based financial support to Indigenous communities to assist in their pursuit of, and participation in, economic opportunities. ISC assesses proposals based on their community economic impacts, and supports projects with the best impacts.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90" w:type="dxa"/>
            <w:shd w:val="clear" w:color="auto" w:fill="E7E6E6" w:themeFill="background2"/>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The expected ultimate outcome of the LEDSP is that Indigenous communities build economic prosperity.</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The LEDSP seeks to enable First Nation and Inuit communities and organizations they mandate to deliver community economic development service, enable First Nations to assume greater control over reserve land, resources and environment including land use planning, environmental management and compliance, enable the provision of lands, environmental and economic development support services to </w:t>
            </w:r>
            <w:r w:rsidRPr="00635C2F">
              <w:rPr>
                <w:rFonts w:cstheme="minorHAnsi"/>
                <w:sz w:val="20"/>
                <w:szCs w:val="20"/>
              </w:rPr>
              <w:lastRenderedPageBreak/>
              <w:t>communities, to assist in achieving LEDSP's objectives and provide First Nations with modern land management tools and capacities.</w:t>
            </w:r>
          </w:p>
        </w:tc>
      </w:tr>
      <w:tr w:rsidR="00635C2F" w:rsidRPr="00635C2F" w:rsidTr="00B44763">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rsidR="00635C2F" w:rsidRPr="00635C2F" w:rsidRDefault="00635C2F" w:rsidP="00635C2F">
            <w:pPr>
              <w:spacing w:after="160" w:line="259" w:lineRule="auto"/>
              <w:contextualSpacing/>
              <w:rPr>
                <w:rFonts w:cstheme="minorHAnsi"/>
                <w:szCs w:val="20"/>
              </w:rPr>
            </w:pPr>
            <w:r w:rsidRPr="00635C2F">
              <w:rPr>
                <w:rFonts w:cstheme="minorHAnsi"/>
                <w:szCs w:val="20"/>
              </w:rPr>
              <w:lastRenderedPageBreak/>
              <w:t>Funding</w:t>
            </w:r>
          </w:p>
        </w:tc>
        <w:tc>
          <w:tcPr>
            <w:tcW w:w="3510" w:type="dxa"/>
            <w:shd w:val="clear" w:color="auto" w:fill="E2EFD9" w:themeFill="accent6"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The CFMP provides funding to First Nations communities on a proposal basis.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Different funding arrangements with Indigenous recipients are used, depending on the demonstrated capacity of the recipient to manage transfer payments.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In addition to standard contributions funding arrangements, these flexible funding arrangements are defined as fixed, flexible or block contribution funding arrangements.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The flexible funding approach and block funding approach involves multi-year funding agreements that can last up to ten years.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CFMP – Operations and Maintenance &amp; Minor Capital is listed in the </w:t>
            </w:r>
            <w:hyperlink r:id="rId9" w:history="1">
              <w:r w:rsidRPr="00635C2F">
                <w:rPr>
                  <w:rStyle w:val="Hyperlink"/>
                  <w:rFonts w:cstheme="minorHAnsi"/>
                  <w:sz w:val="20"/>
                  <w:szCs w:val="20"/>
                </w:rPr>
                <w:t>New Fiscal Relationship Grant 2023-2024 Budget Management Regime</w:t>
              </w:r>
            </w:hyperlink>
            <w:r w:rsidRPr="00635C2F">
              <w:rPr>
                <w:rFonts w:cstheme="minorHAnsi"/>
                <w:sz w:val="20"/>
                <w:szCs w:val="20"/>
              </w:rPr>
              <w:t xml:space="preserve">. </w:t>
            </w:r>
          </w:p>
        </w:tc>
        <w:tc>
          <w:tcPr>
            <w:tcW w:w="2970" w:type="dxa"/>
            <w:shd w:val="clear" w:color="auto" w:fill="D9E2F3" w:themeFill="accent5"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The FNIF provides funding to First Nations communities on a proposal basis.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In addition to standard contributions funding arrangements, these flexible funding arrangements are defined as fixed, flexible or block contribution funding arrangements.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The flexible funding approach and block funding approach involves multi-year funding agreements that can last up to ten years.</w:t>
            </w:r>
          </w:p>
        </w:tc>
        <w:tc>
          <w:tcPr>
            <w:tcW w:w="3510" w:type="dxa"/>
            <w:shd w:val="clear" w:color="auto" w:fill="FFF2CC" w:themeFill="accent4"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ISC will be using the following types of funding approaches: set, fixed, flexible or block. The funding approach relevant to programs and services is defined in the program framework and is dependent on the capacity of the recipient to manage and deliver programs, the class of eligible recipient and the nature of the program.</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The Health Facility Program allows for multi-year funding under set and flex arrangements.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Heath Infrastructure Support is listed in the </w:t>
            </w:r>
            <w:hyperlink r:id="rId10" w:history="1">
              <w:r w:rsidRPr="00635C2F">
                <w:rPr>
                  <w:rStyle w:val="Hyperlink"/>
                  <w:rFonts w:cstheme="minorHAnsi"/>
                  <w:sz w:val="20"/>
                  <w:szCs w:val="20"/>
                </w:rPr>
                <w:t>New Fiscal Relationship Grant 2023-2024 Budget Management Regime</w:t>
              </w:r>
            </w:hyperlink>
            <w:r w:rsidRPr="00635C2F">
              <w:rPr>
                <w:rFonts w:cstheme="minorHAnsi"/>
                <w:sz w:val="20"/>
                <w:szCs w:val="20"/>
              </w:rPr>
              <w:t xml:space="preserve">. More specifically, Health System Capacity funding enhances First Nations capacity to design, manage, deliver and evaluate quality health programs and services through planning, management and infrastructure. </w:t>
            </w:r>
          </w:p>
        </w:tc>
        <w:tc>
          <w:tcPr>
            <w:tcW w:w="4050" w:type="dxa"/>
            <w:shd w:val="clear" w:color="auto" w:fill="EEDDFF"/>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The amount of funding is determined based on review and consideration of the proposal, and taking into account: the relevance of the proposal to the program's objectives and expected results; expected economic benefits accruing to Indigenous individuals, businesses or communities; and the demonstrated need for federal funding.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Contributions will be determined based on the minimum level amount to ensure that the project or initiative is realized in accordance with the proposed time-frame, scope and location. Funding will be limited by the amount of available funds. Assessments may be conducted by internal and/or external reviewers, at a regional or national level.</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Up-Front Multi-Year Funding is available where contributions are used to establish or expand private equity instruments that foster early and late stages of project development and help facilitate increased Aboriginal participation in major resource development and energy projects, or contributions to support loan-loss mechanisms aimed at attracting more private sector financing for First Nation businesses, an advance for the entire amount of the contribution (up to $10M) in year one of a multi-year agreement, where it is essential to the on-going success of </w:t>
            </w:r>
            <w:r w:rsidRPr="00635C2F">
              <w:rPr>
                <w:rFonts w:cstheme="minorHAnsi"/>
                <w:sz w:val="20"/>
                <w:szCs w:val="20"/>
              </w:rPr>
              <w:lastRenderedPageBreak/>
              <w:t>the project, may be provided. Recipients of these contributions may carry forward any unused portion of the contribution into subsequent fiscal years.</w:t>
            </w:r>
          </w:p>
        </w:tc>
        <w:tc>
          <w:tcPr>
            <w:tcW w:w="3690" w:type="dxa"/>
            <w:shd w:val="clear" w:color="auto" w:fill="E7E6E6" w:themeFill="background2"/>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lastRenderedPageBreak/>
              <w:t xml:space="preserve">The amount of funding is determined based on review and consideration of the proposal, and taking into account: the relevance of the proposal to the program's objectives and expected results; expected economic benefits accruing to Indigenous individuals, businesses or communities; and the demonstrated need for federal funding.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Contributions will be determined based on the minimum level amount to ensure that the project or initiative is realized in accordance with the proposed time-frame, scope and location. Funding will be limited by the amount of available funds. Assessments may be conducted by internal and/or external reviewers, at a regional or national level.</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Up-Front Multi-Year Funding is available where contributions are used to establish or expand private equity instruments that foster early and late stages of project development and help facilitate increased Aboriginal participation in major resource development and energy projects, or contributions to support loan-loss mechanisms aimed at attracting more private sector financing for First Nation businesses, an advance for the entire amount of the contribution (up to $10M) </w:t>
            </w:r>
            <w:r w:rsidRPr="00635C2F">
              <w:rPr>
                <w:rFonts w:cstheme="minorHAnsi"/>
                <w:sz w:val="20"/>
                <w:szCs w:val="20"/>
              </w:rPr>
              <w:lastRenderedPageBreak/>
              <w:t>in year one of a multi-year agreement, where it is essential to the on-going success of the project, may be provided. Recipients of these contributions may carry forward any unused portion of the contribution into subsequent fiscal years.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LEDSP is listed in the </w:t>
            </w:r>
            <w:hyperlink r:id="rId11" w:history="1">
              <w:r w:rsidRPr="00635C2F">
                <w:rPr>
                  <w:rStyle w:val="Hyperlink"/>
                  <w:rFonts w:cstheme="minorHAnsi"/>
                  <w:sz w:val="20"/>
                  <w:szCs w:val="20"/>
                </w:rPr>
                <w:t>New Fiscal Relationship Grant 2023-2024 Budget Management Regime</w:t>
              </w:r>
            </w:hyperlink>
            <w:r w:rsidRPr="00635C2F">
              <w:rPr>
                <w:rFonts w:cstheme="minorHAnsi"/>
                <w:sz w:val="20"/>
                <w:szCs w:val="20"/>
              </w:rPr>
              <w:t>.</w:t>
            </w:r>
          </w:p>
        </w:tc>
      </w:tr>
      <w:tr w:rsidR="00635C2F" w:rsidRPr="00635C2F" w:rsidTr="00B44763">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rsidR="00635C2F" w:rsidRPr="00635C2F" w:rsidRDefault="00635C2F" w:rsidP="00635C2F">
            <w:pPr>
              <w:spacing w:after="160" w:line="259" w:lineRule="auto"/>
              <w:contextualSpacing/>
              <w:rPr>
                <w:rFonts w:cstheme="minorHAnsi"/>
                <w:szCs w:val="20"/>
              </w:rPr>
            </w:pPr>
            <w:r w:rsidRPr="00635C2F">
              <w:rPr>
                <w:rFonts w:cstheme="minorHAnsi"/>
                <w:szCs w:val="20"/>
              </w:rPr>
              <w:lastRenderedPageBreak/>
              <w:t>Funding Limits</w:t>
            </w:r>
          </w:p>
        </w:tc>
        <w:tc>
          <w:tcPr>
            <w:tcW w:w="3510" w:type="dxa"/>
            <w:shd w:val="clear" w:color="auto" w:fill="E2EFD9" w:themeFill="accent6"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$125M per recipient per year</w:t>
            </w:r>
          </w:p>
        </w:tc>
        <w:tc>
          <w:tcPr>
            <w:tcW w:w="2970" w:type="dxa"/>
            <w:shd w:val="clear" w:color="auto" w:fill="D9E2F3" w:themeFill="accent5"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$10,000,000 per recipient per year</w:t>
            </w:r>
          </w:p>
        </w:tc>
        <w:tc>
          <w:tcPr>
            <w:tcW w:w="3510" w:type="dxa"/>
            <w:shd w:val="clear" w:color="auto" w:fill="FFF2CC" w:themeFill="accent4"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$4,000,000 to $20,000,000 per eligible recipient (</w:t>
            </w:r>
            <w:hyperlink r:id="rId12" w:history="1">
              <w:r w:rsidRPr="00635C2F">
                <w:rPr>
                  <w:rStyle w:val="Hyperlink"/>
                  <w:rFonts w:cstheme="minorHAnsi"/>
                  <w:sz w:val="20"/>
                  <w:szCs w:val="20"/>
                </w:rPr>
                <w:t>See section 4 of the T&amp;Cs</w:t>
              </w:r>
            </w:hyperlink>
            <w:r w:rsidRPr="00635C2F">
              <w:rPr>
                <w:rFonts w:cstheme="minorHAnsi"/>
                <w:sz w:val="20"/>
                <w:szCs w:val="20"/>
              </w:rPr>
              <w:t>)</w:t>
            </w:r>
          </w:p>
        </w:tc>
        <w:tc>
          <w:tcPr>
            <w:tcW w:w="4050" w:type="dxa"/>
            <w:shd w:val="clear" w:color="auto" w:fill="EEDDFF"/>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Support for recipients to pursue eligible opportunities. Support for community supported businesses where there is an equity gap, including business advisory services and training, commercial development and market development: 100% of eligible costs up to $3M;</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Infrastructure development related to business development, but not related to a specific eligible business. Business innovation/growth: 90% of eligible costs up to $10M.</w:t>
            </w:r>
          </w:p>
        </w:tc>
        <w:tc>
          <w:tcPr>
            <w:tcW w:w="3690" w:type="dxa"/>
            <w:shd w:val="clear" w:color="auto" w:fill="E7E6E6" w:themeFill="background2"/>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LEDSP Core: 100% of eligible costs up to $3.0M;</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LEDSP Targeted: 100% of eligible costs up to $10.0M;</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Initiatives that support the activities of LABRC in supporting First Nations interested in going through the First Nation Land Management (FNLM) process: 100% of eligible costs up to $20M.</w:t>
            </w:r>
          </w:p>
        </w:tc>
      </w:tr>
      <w:tr w:rsidR="00635C2F" w:rsidRPr="00635C2F" w:rsidTr="00B44763">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rsidR="00635C2F" w:rsidRPr="00635C2F" w:rsidRDefault="00635C2F" w:rsidP="00635C2F">
            <w:pPr>
              <w:spacing w:after="160" w:line="259" w:lineRule="auto"/>
              <w:contextualSpacing/>
              <w:rPr>
                <w:rFonts w:cstheme="minorHAnsi"/>
                <w:szCs w:val="20"/>
              </w:rPr>
            </w:pPr>
            <w:r w:rsidRPr="00635C2F">
              <w:rPr>
                <w:rFonts w:cstheme="minorHAnsi"/>
                <w:szCs w:val="20"/>
              </w:rPr>
              <w:t>Eligible Recipients</w:t>
            </w:r>
          </w:p>
        </w:tc>
        <w:tc>
          <w:tcPr>
            <w:tcW w:w="3510" w:type="dxa"/>
            <w:shd w:val="clear" w:color="auto" w:fill="E2EFD9" w:themeFill="accent6"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First Nations, Innu or Inuit class of eligible recipients, Bands or settlements land, reserves, trusts.</w:t>
            </w:r>
            <w:r w:rsidRPr="00635C2F">
              <w:rPr>
                <w:rFonts w:cstheme="minorHAnsi"/>
                <w:sz w:val="20"/>
                <w:szCs w:val="20"/>
              </w:rPr>
              <w:tab/>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First Nations, Innu or Inuit governments referred to in a self-government or land claims agreement, District councils or chief councils, and Tribal Councils.</w:t>
            </w:r>
          </w:p>
        </w:tc>
        <w:tc>
          <w:tcPr>
            <w:tcW w:w="2970" w:type="dxa"/>
            <w:shd w:val="clear" w:color="auto" w:fill="D9E2F3" w:themeFill="accent5"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First Nations, Innu or Inuit class of eligible recipients, Bands or settlements land, reserves, trusts.</w:t>
            </w:r>
            <w:r w:rsidRPr="00635C2F">
              <w:rPr>
                <w:rFonts w:cstheme="minorHAnsi"/>
                <w:sz w:val="20"/>
                <w:szCs w:val="20"/>
              </w:rPr>
              <w:tab/>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First Nations, Innu or Inuit governments referred to in a self-government or land claims agreement, District councils or chief councils, and Tribal Councils.</w:t>
            </w:r>
          </w:p>
        </w:tc>
        <w:tc>
          <w:tcPr>
            <w:tcW w:w="3510" w:type="dxa"/>
            <w:shd w:val="clear" w:color="auto" w:fill="FFF2CC" w:themeFill="accent4"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First Nations in Canada (communities, bands, district, tribal councils and associations);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Inuit associations, councils and hamlets;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Canadian national Indigenous organizations;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Non-governmental and voluntary associations and organizations, including non-profit corporations;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Educational institutions, hospitals and treatment centers;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Municipal, provincial and territorial governments;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lastRenderedPageBreak/>
              <w:t>Health Authorities and health agencies.</w:t>
            </w:r>
          </w:p>
        </w:tc>
        <w:tc>
          <w:tcPr>
            <w:tcW w:w="4050" w:type="dxa"/>
            <w:shd w:val="clear" w:color="auto" w:fill="EEDDFF"/>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lastRenderedPageBreak/>
              <w:t>- First Nation and Inuit communities and their governments, including Tribal Councils;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 Organizations and associations controlled by Indigenous people except for those with charitable or religious purposes;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Non-Indigenous organizations and associations, except for those with charitable or religious purposes;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The Province of Ontario, in relation to the Canada - Ontario Resource Development Agreement;</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 The Minister may, in exceptional circumstances, make contributions with respect to Indigenous Business Development </w:t>
            </w:r>
            <w:r w:rsidRPr="00635C2F">
              <w:rPr>
                <w:rFonts w:cstheme="minorHAnsi"/>
                <w:sz w:val="20"/>
                <w:szCs w:val="20"/>
              </w:rPr>
              <w:lastRenderedPageBreak/>
              <w:t>to other recipients for projects having a significant impact on Indigenous Business Development.</w:t>
            </w:r>
          </w:p>
        </w:tc>
        <w:tc>
          <w:tcPr>
            <w:tcW w:w="3690" w:type="dxa"/>
            <w:shd w:val="clear" w:color="auto" w:fill="E7E6E6" w:themeFill="background2"/>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lastRenderedPageBreak/>
              <w:t>- First Nation and Inuit communities and their governments, including Tribal Councils;</w:t>
            </w:r>
            <w:r w:rsidRPr="00635C2F">
              <w:rPr>
                <w:rFonts w:cstheme="minorHAnsi"/>
                <w:sz w:val="20"/>
                <w:szCs w:val="20"/>
              </w:rPr>
              <w:tab/>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 Cree Trappers' Association, Cree Outfitting and Tourism Association, and Cree Native Arts and Craft Association and the Inuit Art Foundation;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 Organizations and associations; controlled by Indigenous people except for those with charitable or religious purposes;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The Province of Ontario, in relation to the Canada - Ontario Resource Development Agreement;</w:t>
            </w:r>
            <w:r w:rsidRPr="00635C2F">
              <w:rPr>
                <w:rFonts w:cstheme="minorHAnsi"/>
                <w:sz w:val="20"/>
                <w:szCs w:val="20"/>
              </w:rPr>
              <w:tab/>
              <w:t xml:space="preserve">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lastRenderedPageBreak/>
              <w:t>- Other persons performing delegated land management functions under Sections 53 and/or 60 of the Indian Act on behalf of First Nations;</w:t>
            </w:r>
            <w:r w:rsidRPr="00635C2F">
              <w:rPr>
                <w:rFonts w:cstheme="minorHAnsi"/>
                <w:sz w:val="20"/>
                <w:szCs w:val="20"/>
              </w:rPr>
              <w:tab/>
              <w:t xml:space="preserve">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The Lands Advisory Board Resource Centre (LABRC);</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Non-Indigenous organizations and associations, except for those with charitable or religious purposes.</w:t>
            </w:r>
          </w:p>
        </w:tc>
      </w:tr>
      <w:tr w:rsidR="00635C2F" w:rsidRPr="00635C2F" w:rsidTr="00B44763">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rsidR="00635C2F" w:rsidRPr="00635C2F" w:rsidRDefault="00635C2F" w:rsidP="00635C2F">
            <w:pPr>
              <w:spacing w:after="160" w:line="259" w:lineRule="auto"/>
              <w:contextualSpacing/>
              <w:rPr>
                <w:rFonts w:cstheme="minorHAnsi"/>
                <w:szCs w:val="20"/>
              </w:rPr>
            </w:pPr>
            <w:r w:rsidRPr="00635C2F">
              <w:rPr>
                <w:rFonts w:cstheme="minorHAnsi"/>
                <w:szCs w:val="20"/>
              </w:rPr>
              <w:t>Eligible Projects</w:t>
            </w:r>
          </w:p>
        </w:tc>
        <w:tc>
          <w:tcPr>
            <w:tcW w:w="3510" w:type="dxa"/>
            <w:shd w:val="clear" w:color="auto" w:fill="E2EFD9" w:themeFill="accent6"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Expenditures apply to First Nations and other eligible recipients and off reserve in cases of cost-shared projects with municipalities or provinces, for example, off reserve access roads to link a reserve community to a main provincial road, water, sewer or electrical grid services.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Eligible projects include:</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 Planning, design, identification and acquisition of necessary land rights, water rights, rights-of-way, construction, acquisition, renovation, expansion, repair, replacement, operation and maintenance of community water supply, treatment and distribution systems, community wastewater collection, treatment and disposal systems, community solid waste collection and disposal systems, electrical and energy systems, electrical power supply and distribution systems, connectivity, terrestrial transport infrastructure, bulk fuel storage and distribution systems, roads including community roads, access roads, bridges </w:t>
            </w:r>
            <w:r w:rsidRPr="00635C2F">
              <w:rPr>
                <w:rFonts w:cstheme="minorHAnsi"/>
                <w:sz w:val="20"/>
                <w:szCs w:val="20"/>
              </w:rPr>
              <w:lastRenderedPageBreak/>
              <w:t xml:space="preserve">including any structure that spans an obstruction, other transportation and access, where no other access is available, firefighting facilities and fire detection systems, community buildings such as band administration buildings, cultural and recreational facilities, community halls, warehouses, maintenance shops, garages, community freezers, community washhouses, facilities and equipment including construction or maintenance equipment;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 Administrative costs associated with the planning, construction and operation and maintenance of community infrastructure assets;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 Coordination, training and capacity building for the activities related to community infrastructure;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Community infrastructure planning and management such as costs associated with the identification of on-reserve infrastructure needs, the development of First Nation Infrastructure Investment Plans, Capital Plans, for example, needs analyses, feasibility studies, cost and benefit analyses and the design and ongoing implementation of maintenance management practices;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Special initiatives such as funding is also provided to create sustainable capital to meet on-reserve infrastructure needs;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lastRenderedPageBreak/>
              <w:t xml:space="preserve">- Federal and band school facilities planning, design, construction or acquisition, renovation, repair, replacement, demolition, decommissioning, operations and maintenance and related training and capacity building, for example, maintenance of water, heating and safety systems of federally- or band-operated elementary, secondary and post-secondary education facilities including schools buildings, </w:t>
            </w:r>
            <w:proofErr w:type="spellStart"/>
            <w:r w:rsidRPr="00635C2F">
              <w:rPr>
                <w:rFonts w:cstheme="minorHAnsi"/>
                <w:sz w:val="20"/>
                <w:szCs w:val="20"/>
              </w:rPr>
              <w:t>teacherages</w:t>
            </w:r>
            <w:proofErr w:type="spellEnd"/>
            <w:r w:rsidRPr="00635C2F">
              <w:rPr>
                <w:rFonts w:cstheme="minorHAnsi"/>
                <w:sz w:val="20"/>
                <w:szCs w:val="20"/>
              </w:rPr>
              <w:t>, bus garages and school residences and any related facility services such as service connections, parking areas, landscaping, including the purchase of furniture equipment and school buses;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Provincial school facilities, including joint schools;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 Educational furniture, equipment and furnishing;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 Administrative costs associated with the planning, construction and operation and maintenance of education facilities;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 Education facilities planning and management;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Special initiatives;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 Housing, new construction planning, design, construction and acquisition of new housing units. Housing units include single units, multi-units, mobile homes, as well as special needs housing such as homes for the elderly, group </w:t>
            </w:r>
            <w:r w:rsidRPr="00635C2F">
              <w:rPr>
                <w:rFonts w:cstheme="minorHAnsi"/>
                <w:sz w:val="20"/>
                <w:szCs w:val="20"/>
              </w:rPr>
              <w:lastRenderedPageBreak/>
              <w:t>homes, and homes for people who require assisted living but not medical care. Funding is also provided to cover the identification and acquisition of required land rights;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Housing, renovations;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Other housing related activities;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Management support;</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Technical support;</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Housing related training;</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Decommissioning of and demolition of former residential schools.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See the </w:t>
            </w:r>
            <w:hyperlink r:id="rId13" w:history="1">
              <w:r w:rsidRPr="00635C2F">
                <w:rPr>
                  <w:rStyle w:val="Hyperlink"/>
                  <w:rFonts w:cstheme="minorHAnsi"/>
                  <w:sz w:val="20"/>
                  <w:szCs w:val="20"/>
                </w:rPr>
                <w:t>T&amp;Cs</w:t>
              </w:r>
            </w:hyperlink>
            <w:r w:rsidRPr="00635C2F">
              <w:rPr>
                <w:rFonts w:cstheme="minorHAnsi"/>
                <w:sz w:val="20"/>
                <w:szCs w:val="20"/>
              </w:rPr>
              <w:t xml:space="preserve"> for the full list</w:t>
            </w:r>
          </w:p>
        </w:tc>
        <w:tc>
          <w:tcPr>
            <w:tcW w:w="2970" w:type="dxa"/>
            <w:shd w:val="clear" w:color="auto" w:fill="D9E2F3" w:themeFill="accent5"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lastRenderedPageBreak/>
              <w:t>There are 8 categories of projects eligible for funding:</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Planning and skills development;</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Solid waste management;</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Roads and bridges;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Energy systems;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Connectivity;</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Structural mitigation;</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Cultural and recreational facilities;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Fire protection.</w:t>
            </w:r>
          </w:p>
        </w:tc>
        <w:tc>
          <w:tcPr>
            <w:tcW w:w="3510" w:type="dxa"/>
            <w:shd w:val="clear" w:color="auto" w:fill="FFF2CC" w:themeFill="accent4"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Funding may be used by recipients for expenses relating to the following matters for health facilities and associated residences and/or operational buildings: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Planning, design, construction, replacement, acquisition, leasing, renovation, repairs or expansion of health facilities and associated residences and operational buildings;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Equipment for the support of health service delivery within the recipient community, including the repair and disposal of such equipment;</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The remediation of environmental and/or occupational health and safety issues associated with the facility.</w:t>
            </w:r>
          </w:p>
        </w:tc>
        <w:tc>
          <w:tcPr>
            <w:tcW w:w="4050" w:type="dxa"/>
            <w:shd w:val="clear" w:color="auto" w:fill="EEDDFF"/>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Eligible initiatives under the CORP include:</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Support to pursue economic opportunities;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Support for community supported businesses where there is an equity gap, including business advisory services and training, commercial development, and market development;</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Infrastructure development related to business development but not related to a specific eligible business;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Business innovation/growth.</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90" w:type="dxa"/>
            <w:tcBorders>
              <w:bottom w:val="single" w:sz="4" w:space="0" w:color="BDD6EE" w:themeColor="accent1" w:themeTint="66"/>
            </w:tcBorders>
            <w:shd w:val="clear" w:color="auto" w:fill="E7E6E6" w:themeFill="background2"/>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Eligible initiatives under the LEDSP include:</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Economic development activities including, but not limited to, capacity development, community economic development planning and capacity development initiatives, the development of proposals and levering of financial resources and carrying out economic development activities;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Initiatives that support First Nations and support for communities that desire to take on a broad scope of land and environmental management responsibilities;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Initiatives that support First Nations who are signatories of the Framework Agreement on FNLM;</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Initiatives that support First Nations and Inuit communities to undertake economic development activities including, but not limited to, capacity development, community economic development planning, the development of proposals to lever financial resources;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Initiatives that support the development of land and resources under community control and access to opportunities from lands and resources not under community control;</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Initiatives that support compliance with the statutory provisions of the </w:t>
            </w:r>
            <w:r w:rsidRPr="00635C2F">
              <w:rPr>
                <w:rFonts w:cstheme="minorHAnsi"/>
                <w:i/>
                <w:iCs/>
                <w:sz w:val="20"/>
                <w:szCs w:val="20"/>
              </w:rPr>
              <w:t>Indian Act</w:t>
            </w:r>
            <w:r w:rsidRPr="00635C2F">
              <w:rPr>
                <w:rFonts w:cstheme="minorHAnsi"/>
                <w:sz w:val="20"/>
                <w:szCs w:val="20"/>
              </w:rPr>
              <w:t> and the processing of land management instruments such as leases and permits;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Initiatives that support the activities of the Manitoba Treaty Land Entitlement Committee;</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Program management services in relation to community economic development;</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Initiatives that support First Nations participating in the Regional Lands Administration program performing land management activities;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 Initiatives that support Indigenous environmental pollution prevention and improve environmental awareness and compliance;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Initiatives that support the activities of LABRC in supporting First Nations interested in going through the FNLM process;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635C2F">
              <w:rPr>
                <w:rFonts w:cstheme="minorHAnsi"/>
                <w:sz w:val="20"/>
                <w:szCs w:val="20"/>
              </w:rPr>
              <w:t>- An initiative to support the Passamaquoddy's interest in purchasing land/property (including associated activities such as appraisals and an environmental site assessment).</w:t>
            </w:r>
          </w:p>
        </w:tc>
      </w:tr>
      <w:tr w:rsidR="00635C2F" w:rsidRPr="00635C2F" w:rsidTr="00B44763">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rsidR="00635C2F" w:rsidRPr="00635C2F" w:rsidRDefault="00635C2F" w:rsidP="00635C2F">
            <w:pPr>
              <w:spacing w:after="160" w:line="259" w:lineRule="auto"/>
              <w:contextualSpacing/>
              <w:rPr>
                <w:rFonts w:cstheme="minorHAnsi"/>
                <w:szCs w:val="20"/>
              </w:rPr>
            </w:pPr>
            <w:r w:rsidRPr="00635C2F">
              <w:rPr>
                <w:rFonts w:cstheme="minorHAnsi"/>
                <w:szCs w:val="20"/>
              </w:rPr>
              <w:lastRenderedPageBreak/>
              <w:t>Ineligible Expenses</w:t>
            </w:r>
          </w:p>
        </w:tc>
        <w:tc>
          <w:tcPr>
            <w:tcW w:w="3510" w:type="dxa"/>
            <w:shd w:val="clear" w:color="auto" w:fill="E2EFD9" w:themeFill="accent6"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635C2F">
              <w:rPr>
                <w:rFonts w:cstheme="minorHAnsi"/>
                <w:iCs/>
                <w:sz w:val="20"/>
                <w:szCs w:val="20"/>
              </w:rPr>
              <w:t>- When school buses are purchased under the CFMP, the operations and maintenance costs will continue to be covered by the transportation component of the Education Program's regional funding formulas;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635C2F">
              <w:rPr>
                <w:rFonts w:cstheme="minorHAnsi"/>
                <w:iCs/>
                <w:sz w:val="20"/>
                <w:szCs w:val="20"/>
              </w:rPr>
              <w:t>- Taxes for which the recipient is eligible for a tax rebate and all other costs eligible for rebates are deemed to be ineligible costs as it relates to housing.</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2970" w:type="dxa"/>
            <w:shd w:val="clear" w:color="auto" w:fill="D9E2F3" w:themeFill="accent5"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635C2F">
              <w:rPr>
                <w:rFonts w:cstheme="minorHAnsi"/>
                <w:iCs/>
                <w:sz w:val="20"/>
                <w:szCs w:val="20"/>
              </w:rPr>
              <w:t>- Project costs incurred before conditional approval of a project;</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635C2F">
              <w:rPr>
                <w:rFonts w:cstheme="minorHAnsi"/>
                <w:iCs/>
                <w:sz w:val="20"/>
                <w:szCs w:val="20"/>
              </w:rPr>
              <w:t>- Services or works that, in the opinion of ISC, are normally provided by the First Nations community, a federal department or a related party;</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635C2F">
              <w:rPr>
                <w:rFonts w:cstheme="minorHAnsi"/>
                <w:iCs/>
                <w:sz w:val="20"/>
                <w:szCs w:val="20"/>
              </w:rPr>
              <w:t>- Salaries and other employment benefits of any employees of the First Nations community</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635C2F">
              <w:rPr>
                <w:rFonts w:cstheme="minorHAnsi"/>
                <w:iCs/>
                <w:sz w:val="20"/>
                <w:szCs w:val="20"/>
              </w:rPr>
              <w:t>- A recipient's overhead costs, its direct or indirect operating or administrative costs, and more specifically its costs related to planning, engineering, architecture, supervision, management and other activities normally carried out by its staff;</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635C2F">
              <w:rPr>
                <w:rFonts w:cstheme="minorHAnsi"/>
                <w:iCs/>
                <w:sz w:val="20"/>
                <w:szCs w:val="20"/>
              </w:rPr>
              <w:t>- Costs of feasibility studies for individual projects;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635C2F">
              <w:rPr>
                <w:rFonts w:cstheme="minorHAnsi"/>
                <w:iCs/>
                <w:sz w:val="20"/>
                <w:szCs w:val="20"/>
              </w:rPr>
              <w:lastRenderedPageBreak/>
              <w:t>- Taxes for which the recipient is eligible for a tax rebate and all other costs eligible for rebates;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635C2F">
              <w:rPr>
                <w:rFonts w:cstheme="minorHAnsi"/>
                <w:iCs/>
                <w:sz w:val="20"/>
                <w:szCs w:val="20"/>
              </w:rPr>
              <w:t>- costs of land, including its acquisition, or any interest therein, and related costs;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635C2F">
              <w:rPr>
                <w:rFonts w:cstheme="minorHAnsi"/>
                <w:iCs/>
                <w:sz w:val="20"/>
                <w:szCs w:val="20"/>
              </w:rPr>
              <w:t>- cost of leasing of equipment by the recipient except for as indicated in section 13.1.1 above</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635C2F">
              <w:rPr>
                <w:rFonts w:cstheme="minorHAnsi"/>
                <w:iCs/>
                <w:sz w:val="20"/>
                <w:szCs w:val="20"/>
              </w:rPr>
              <w:t>legal fees;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635C2F">
              <w:rPr>
                <w:rFonts w:cstheme="minorHAnsi"/>
                <w:iCs/>
                <w:sz w:val="20"/>
                <w:szCs w:val="20"/>
              </w:rPr>
              <w:t>- Routine repair and maintenance costs;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635C2F">
              <w:rPr>
                <w:rFonts w:cstheme="minorHAnsi"/>
                <w:iCs/>
                <w:sz w:val="20"/>
                <w:szCs w:val="20"/>
              </w:rPr>
              <w:t>- Audit and evaluation costs.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3510" w:type="dxa"/>
            <w:shd w:val="clear" w:color="auto" w:fill="FFF2CC" w:themeFill="accent4"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lastRenderedPageBreak/>
              <w:t xml:space="preserve">Activities not reflected in the </w:t>
            </w:r>
            <w:hyperlink r:id="rId14" w:history="1">
              <w:r w:rsidRPr="00635C2F">
                <w:rPr>
                  <w:rStyle w:val="Hyperlink"/>
                  <w:rFonts w:cstheme="minorHAnsi"/>
                  <w:sz w:val="20"/>
                  <w:szCs w:val="20"/>
                </w:rPr>
                <w:t>T&amp;Cs</w:t>
              </w:r>
            </w:hyperlink>
            <w:r w:rsidRPr="00635C2F">
              <w:rPr>
                <w:rFonts w:cstheme="minorHAnsi"/>
                <w:sz w:val="20"/>
                <w:szCs w:val="20"/>
              </w:rPr>
              <w:t xml:space="preserve"> are not eligible for funding.  </w:t>
            </w:r>
          </w:p>
        </w:tc>
        <w:tc>
          <w:tcPr>
            <w:tcW w:w="4050" w:type="dxa"/>
            <w:shd w:val="clear" w:color="auto" w:fill="EEDDFF"/>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Payments for services that would normally be provided without charge (e.g. honoraria);</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The operation, repair and maintenance of economic or municipal infrastructure;</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Economic infrastructure which has a reasonable expectation of capturing capital and operating costs through user fees and other means and can function as a commercial enterprise;</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Costs for services provided by a federal or provincial government.</w:t>
            </w:r>
          </w:p>
        </w:tc>
        <w:tc>
          <w:tcPr>
            <w:tcW w:w="3690" w:type="dxa"/>
            <w:shd w:val="clear" w:color="auto" w:fill="E7E6E6" w:themeFill="background2"/>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Payments for services that would normally be provided without charge (e.g. honoraria);</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The operation, repair and maintenance of economic or municipal infrastructure;</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Economic infrastructure which has a reasonable expectation of capturing capital and operating costs through user fees and other means and can function as a commercial enterprise;</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Costs for services provided by a federal or provincial government.</w:t>
            </w:r>
          </w:p>
        </w:tc>
      </w:tr>
      <w:tr w:rsidR="00635C2F" w:rsidRPr="00635C2F" w:rsidTr="00B44763">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rsidR="00635C2F" w:rsidRPr="00635C2F" w:rsidRDefault="00635C2F" w:rsidP="00635C2F">
            <w:pPr>
              <w:spacing w:after="160" w:line="259" w:lineRule="auto"/>
              <w:contextualSpacing/>
              <w:rPr>
                <w:rFonts w:cstheme="minorHAnsi"/>
                <w:szCs w:val="20"/>
              </w:rPr>
            </w:pPr>
            <w:r w:rsidRPr="00635C2F">
              <w:rPr>
                <w:rFonts w:cstheme="minorHAnsi"/>
                <w:szCs w:val="20"/>
              </w:rPr>
              <w:t>Operations and maintenance</w:t>
            </w:r>
          </w:p>
        </w:tc>
        <w:tc>
          <w:tcPr>
            <w:tcW w:w="3510" w:type="dxa"/>
            <w:shd w:val="clear" w:color="auto" w:fill="E2EFD9" w:themeFill="accent6"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635C2F">
              <w:rPr>
                <w:rFonts w:cstheme="minorHAnsi"/>
                <w:iCs/>
                <w:sz w:val="20"/>
                <w:szCs w:val="20"/>
              </w:rPr>
              <w:t>Funding provided to First Nations for the maintenance and operation of existing assets.</w:t>
            </w:r>
          </w:p>
        </w:tc>
        <w:tc>
          <w:tcPr>
            <w:tcW w:w="2970" w:type="dxa"/>
            <w:shd w:val="clear" w:color="auto" w:fill="D9E2F3" w:themeFill="accent5"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iCs/>
                <w:sz w:val="20"/>
                <w:szCs w:val="20"/>
              </w:rPr>
              <w:t>Funding provided to First Nations for the maintenance and operation of existing assets.</w:t>
            </w:r>
          </w:p>
        </w:tc>
        <w:tc>
          <w:tcPr>
            <w:tcW w:w="3510" w:type="dxa"/>
            <w:shd w:val="clear" w:color="auto" w:fill="FFF2CC" w:themeFill="accent4"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N/A</w:t>
            </w:r>
          </w:p>
        </w:tc>
        <w:tc>
          <w:tcPr>
            <w:tcW w:w="4050" w:type="dxa"/>
            <w:shd w:val="clear" w:color="auto" w:fill="EEDDFF"/>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N/A</w:t>
            </w:r>
          </w:p>
        </w:tc>
        <w:tc>
          <w:tcPr>
            <w:tcW w:w="3690" w:type="dxa"/>
            <w:shd w:val="clear" w:color="auto" w:fill="E7E6E6" w:themeFill="background2"/>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635C2F">
              <w:rPr>
                <w:rFonts w:cstheme="minorHAnsi"/>
                <w:sz w:val="20"/>
                <w:szCs w:val="20"/>
              </w:rPr>
              <w:t>N/A</w:t>
            </w:r>
          </w:p>
        </w:tc>
      </w:tr>
      <w:tr w:rsidR="00635C2F" w:rsidRPr="00635C2F" w:rsidTr="00B44763">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rsidR="00635C2F" w:rsidRPr="00635C2F" w:rsidRDefault="00635C2F" w:rsidP="00635C2F">
            <w:pPr>
              <w:spacing w:after="160" w:line="259" w:lineRule="auto"/>
              <w:contextualSpacing/>
              <w:rPr>
                <w:rFonts w:cstheme="minorHAnsi"/>
                <w:szCs w:val="20"/>
              </w:rPr>
            </w:pPr>
            <w:r w:rsidRPr="00635C2F">
              <w:rPr>
                <w:rFonts w:cstheme="minorHAnsi"/>
                <w:szCs w:val="20"/>
              </w:rPr>
              <w:t>Minor Capital</w:t>
            </w:r>
          </w:p>
        </w:tc>
        <w:tc>
          <w:tcPr>
            <w:tcW w:w="3510" w:type="dxa"/>
            <w:shd w:val="clear" w:color="auto" w:fill="E2EFD9" w:themeFill="accent6"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635C2F">
              <w:rPr>
                <w:rFonts w:cstheme="minorHAnsi"/>
                <w:iCs/>
                <w:sz w:val="20"/>
                <w:szCs w:val="20"/>
              </w:rPr>
              <w:t>Funding provided to First Nations for housing and for construction, acquisition, renovation or significant repair projects with value below $1.5 million.</w:t>
            </w:r>
          </w:p>
        </w:tc>
        <w:tc>
          <w:tcPr>
            <w:tcW w:w="2970" w:type="dxa"/>
            <w:shd w:val="clear" w:color="auto" w:fill="D9E2F3" w:themeFill="accent5"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iCs/>
                <w:sz w:val="20"/>
                <w:szCs w:val="20"/>
              </w:rPr>
              <w:t>Funding provided to First Nations for housing and for construction, acquisition, renovation or significant repair projects with value below $1.5 million.</w:t>
            </w:r>
          </w:p>
        </w:tc>
        <w:tc>
          <w:tcPr>
            <w:tcW w:w="3510" w:type="dxa"/>
            <w:shd w:val="clear" w:color="auto" w:fill="FFF2CC" w:themeFill="accent4"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N/A</w:t>
            </w:r>
          </w:p>
        </w:tc>
        <w:tc>
          <w:tcPr>
            <w:tcW w:w="4050" w:type="dxa"/>
            <w:shd w:val="clear" w:color="auto" w:fill="EEDDFF"/>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N/A</w:t>
            </w:r>
          </w:p>
        </w:tc>
        <w:tc>
          <w:tcPr>
            <w:tcW w:w="3690" w:type="dxa"/>
            <w:shd w:val="clear" w:color="auto" w:fill="E7E6E6" w:themeFill="background2"/>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635C2F">
              <w:rPr>
                <w:rFonts w:cstheme="minorHAnsi"/>
                <w:sz w:val="20"/>
                <w:szCs w:val="20"/>
              </w:rPr>
              <w:t>N/A</w:t>
            </w:r>
          </w:p>
        </w:tc>
      </w:tr>
      <w:tr w:rsidR="00635C2F" w:rsidRPr="00635C2F" w:rsidTr="00B44763">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rsidR="00635C2F" w:rsidRPr="00635C2F" w:rsidRDefault="00635C2F" w:rsidP="00635C2F">
            <w:pPr>
              <w:spacing w:after="160" w:line="259" w:lineRule="auto"/>
              <w:contextualSpacing/>
              <w:rPr>
                <w:rFonts w:cstheme="minorHAnsi"/>
                <w:szCs w:val="20"/>
              </w:rPr>
            </w:pPr>
            <w:r w:rsidRPr="00635C2F">
              <w:rPr>
                <w:rFonts w:cstheme="minorHAnsi"/>
                <w:szCs w:val="20"/>
              </w:rPr>
              <w:t>Major Capital</w:t>
            </w:r>
          </w:p>
        </w:tc>
        <w:tc>
          <w:tcPr>
            <w:tcW w:w="3510" w:type="dxa"/>
            <w:shd w:val="clear" w:color="auto" w:fill="E2EFD9" w:themeFill="accent6"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635C2F">
              <w:rPr>
                <w:rFonts w:cstheme="minorHAnsi"/>
                <w:iCs/>
                <w:sz w:val="20"/>
                <w:szCs w:val="20"/>
              </w:rPr>
              <w:t>Funding provided to First Nations for specific, proposal-driven construction, acquisition, renovation or significant repair projects with value exceeding $1.5 million.</w:t>
            </w:r>
          </w:p>
        </w:tc>
        <w:tc>
          <w:tcPr>
            <w:tcW w:w="2970" w:type="dxa"/>
            <w:shd w:val="clear" w:color="auto" w:fill="D9E2F3" w:themeFill="accent5"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iCs/>
                <w:sz w:val="20"/>
                <w:szCs w:val="20"/>
              </w:rPr>
              <w:t>Funding provided to First Nations for specific, proposal-driven construction, acquisition, renovation or significant repair projects with value exceeding $1.5 million.</w:t>
            </w:r>
          </w:p>
        </w:tc>
        <w:tc>
          <w:tcPr>
            <w:tcW w:w="3510" w:type="dxa"/>
            <w:shd w:val="clear" w:color="auto" w:fill="FFF2CC" w:themeFill="accent4"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N/A</w:t>
            </w:r>
          </w:p>
        </w:tc>
        <w:tc>
          <w:tcPr>
            <w:tcW w:w="4050" w:type="dxa"/>
            <w:shd w:val="clear" w:color="auto" w:fill="EEDDFF"/>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N/A</w:t>
            </w:r>
          </w:p>
        </w:tc>
        <w:tc>
          <w:tcPr>
            <w:tcW w:w="3690" w:type="dxa"/>
            <w:shd w:val="clear" w:color="auto" w:fill="E7E6E6" w:themeFill="background2"/>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635C2F">
              <w:rPr>
                <w:rFonts w:cstheme="minorHAnsi"/>
                <w:sz w:val="20"/>
                <w:szCs w:val="20"/>
              </w:rPr>
              <w:t>N/A</w:t>
            </w:r>
          </w:p>
        </w:tc>
      </w:tr>
      <w:tr w:rsidR="00635C2F" w:rsidRPr="00635C2F" w:rsidTr="00B44763">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rsidR="00635C2F" w:rsidRPr="00635C2F" w:rsidRDefault="00635C2F" w:rsidP="00635C2F">
            <w:pPr>
              <w:spacing w:after="160" w:line="259" w:lineRule="auto"/>
              <w:contextualSpacing/>
              <w:rPr>
                <w:rFonts w:cstheme="minorHAnsi"/>
                <w:szCs w:val="20"/>
              </w:rPr>
            </w:pPr>
            <w:r w:rsidRPr="00635C2F">
              <w:rPr>
                <w:rFonts w:cstheme="minorHAnsi"/>
                <w:szCs w:val="20"/>
              </w:rPr>
              <w:t>Due diligence and reporting</w:t>
            </w:r>
          </w:p>
        </w:tc>
        <w:tc>
          <w:tcPr>
            <w:tcW w:w="3510" w:type="dxa"/>
            <w:shd w:val="clear" w:color="auto" w:fill="E2EFD9" w:themeFill="accent6"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 Data Collection Instruments (DCIs);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Grants and Contributions Information Management System (GCIMS).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Additionally, the CFMP conducts two different types of inspections to assist </w:t>
            </w:r>
            <w:r w:rsidRPr="00635C2F">
              <w:rPr>
                <w:rFonts w:cstheme="minorHAnsi"/>
                <w:sz w:val="20"/>
                <w:szCs w:val="20"/>
              </w:rPr>
              <w:lastRenderedPageBreak/>
              <w:t>with the monitoring of assets on reserve:</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Asset Condition Reporting System Inspections (ACRS)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Annual Performance Inspections (API)</w:t>
            </w:r>
          </w:p>
        </w:tc>
        <w:tc>
          <w:tcPr>
            <w:tcW w:w="2970" w:type="dxa"/>
            <w:shd w:val="clear" w:color="auto" w:fill="D9E2F3" w:themeFill="accent5"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lastRenderedPageBreak/>
              <w:t>- Data Collection Instruments (DCIs)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510" w:type="dxa"/>
            <w:shd w:val="clear" w:color="auto" w:fill="FFF2CC" w:themeFill="accent4" w:themeFillTint="33"/>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The contribution agreement contains provisions that outline the financial and non-financial reporting required from recipients. The level and frequency of reporting will vary depending on the mode of delivery. For targeted programs, reporting and accountability </w:t>
            </w:r>
            <w:r w:rsidRPr="00635C2F">
              <w:rPr>
                <w:rFonts w:cstheme="minorHAnsi"/>
                <w:sz w:val="20"/>
                <w:szCs w:val="20"/>
              </w:rPr>
              <w:lastRenderedPageBreak/>
              <w:t>requirements specified in the contribution agreement will be at a level and frequency that is appropriate to determine whether program specific delivery requirements have been met and if expenditures were made by the recipient in accordance with the terms of the agreement.</w:t>
            </w:r>
          </w:p>
        </w:tc>
        <w:tc>
          <w:tcPr>
            <w:tcW w:w="4050" w:type="dxa"/>
            <w:shd w:val="clear" w:color="auto" w:fill="EEDDFF"/>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lastRenderedPageBreak/>
              <w:t xml:space="preserve">The recipient will be requested to submit data, schedules, plans and reports in sufficient detail to enable the Department to: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Assess the progress of the project;</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xml:space="preserve">- Carry out the post-completion monitoring called for in the funding arrangement;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lastRenderedPageBreak/>
              <w:t>- Evaluate the effectiveness of the contributions.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A monitoring plan will be developed for each project funded under this authority. The purpose of the monitoring plan will be to provide periodic information regarding the progress of the initiative against the milestones proposed in the application and to identify unanticipated risks or impediments to achieving intended results. The proposed level of monitoring will correspond to the level of risk associated with the project.</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Reporting requirements will be determined by the Department for each project or initiative. Progress and financial reports will be required at a minimum on an annual basis by recipients. Recipients will also be required to submit a final report at the conclusion of a project, in accordance with the terms of the funding arrangements, for review and acceptance by the Department.</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90" w:type="dxa"/>
            <w:shd w:val="clear" w:color="auto" w:fill="E7E6E6" w:themeFill="background2"/>
          </w:tcPr>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lastRenderedPageBreak/>
              <w:t xml:space="preserve">The recipient will be requested to submit data, schedules, plans and reports in sufficient detail to enable the Department to: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Assess the progress of the project;</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lastRenderedPageBreak/>
              <w:t xml:space="preserve">- Carry out the post-completion monitoring called for in the funding arrangement; </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 Evaluate the effectiveness of the contributions.</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A monitoring plan will be developed for each project funded under this authority. The purpose of the monitoring plan will be to provide periodic information regarding the progress of the initiative against the milestones proposed in the application and to identify unanticipated risks or impediments to achieving intended results. The proposed level of monitoring will correspond to the level of risk associated with the project.</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35C2F">
              <w:rPr>
                <w:rFonts w:cstheme="minorHAnsi"/>
                <w:sz w:val="20"/>
                <w:szCs w:val="20"/>
              </w:rPr>
              <w:t>Reporting requirements will be determined by the Department for each project or initiative. Progress and financial reports will be required at a minimum on an annual basis by recipients. Recipients will also be required to submit a final report at the conclusion of a project, in accordance with the terms of the funding arrangements, for review and acceptance by the Department.</w:t>
            </w:r>
          </w:p>
          <w:p w:rsidR="00635C2F" w:rsidRPr="00635C2F" w:rsidRDefault="00635C2F" w:rsidP="00635C2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635C2F" w:rsidRPr="00635C2F" w:rsidRDefault="00635C2F" w:rsidP="00635C2F">
      <w:pPr>
        <w:contextualSpacing/>
        <w:rPr>
          <w:rFonts w:cstheme="minorHAnsi"/>
          <w:sz w:val="20"/>
          <w:szCs w:val="20"/>
        </w:rPr>
      </w:pPr>
    </w:p>
    <w:p w:rsidR="00635C2F" w:rsidRPr="00635C2F" w:rsidRDefault="00635C2F" w:rsidP="00635C2F">
      <w:pPr>
        <w:contextualSpacing/>
        <w:rPr>
          <w:rFonts w:cstheme="minorHAnsi"/>
          <w:sz w:val="20"/>
          <w:szCs w:val="20"/>
        </w:rPr>
      </w:pPr>
    </w:p>
    <w:p w:rsidR="00E26958" w:rsidRPr="00635C2F" w:rsidRDefault="00E26958" w:rsidP="00635C2F">
      <w:pPr>
        <w:contextualSpacing/>
        <w:rPr>
          <w:rFonts w:cstheme="minorHAnsi"/>
          <w:sz w:val="20"/>
          <w:szCs w:val="20"/>
        </w:rPr>
      </w:pPr>
    </w:p>
    <w:sectPr w:rsidR="00E26958" w:rsidRPr="00635C2F" w:rsidSect="00315101">
      <w:headerReference w:type="default" r:id="rId15"/>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BB4" w:rsidRPr="00B4763C" w:rsidRDefault="00635C2F">
    <w:pPr>
      <w:pStyle w:val="Header"/>
      <w:rPr>
        <w:b/>
        <w:sz w:val="24"/>
        <w:szCs w:val="24"/>
      </w:rPr>
    </w:pPr>
    <w:r w:rsidRPr="00B4763C">
      <w:rPr>
        <w:b/>
        <w:sz w:val="24"/>
        <w:szCs w:val="24"/>
      </w:rPr>
      <w:t>DRAFT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95"/>
    <w:rsid w:val="003423CB"/>
    <w:rsid w:val="00635C2F"/>
    <w:rsid w:val="00E26958"/>
    <w:rsid w:val="00F91395"/>
    <w:rsid w:val="00FC4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05E50-1CEE-4A06-B2F3-49E010CA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1">
    <w:name w:val="Grid Table 1 Light Accent 1"/>
    <w:basedOn w:val="TableNormal"/>
    <w:uiPriority w:val="46"/>
    <w:rsid w:val="00635C2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35C2F"/>
    <w:pPr>
      <w:tabs>
        <w:tab w:val="center" w:pos="4680"/>
        <w:tab w:val="right" w:pos="9360"/>
      </w:tabs>
      <w:spacing w:after="0" w:line="240" w:lineRule="auto"/>
    </w:pPr>
    <w:rPr>
      <w:rFonts w:ascii="Calibri" w:hAnsi="Calibri" w:cs="Calibri"/>
    </w:rPr>
  </w:style>
  <w:style w:type="character" w:customStyle="1" w:styleId="HeaderChar">
    <w:name w:val="Header Char"/>
    <w:basedOn w:val="DefaultParagraphFont"/>
    <w:link w:val="Header"/>
    <w:uiPriority w:val="99"/>
    <w:rsid w:val="00635C2F"/>
    <w:rPr>
      <w:rFonts w:ascii="Calibri" w:hAnsi="Calibri" w:cs="Calibri"/>
    </w:rPr>
  </w:style>
  <w:style w:type="character" w:styleId="Hyperlink">
    <w:name w:val="Hyperlink"/>
    <w:basedOn w:val="DefaultParagraphFont"/>
    <w:uiPriority w:val="99"/>
    <w:unhideWhenUsed/>
    <w:rsid w:val="00635C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ac-isc.gc.ca/eng/1386549231377/1615723253856" TargetMode="External"/><Relationship Id="rId13" Type="http://schemas.openxmlformats.org/officeDocument/2006/relationships/hyperlink" Target="Transfer%20Payment%20Program%20Terms%20and%20Conditions:%20Contributions%20to%20support%20the%20construction%20and%20maintenance%20of%20community%20infrastructure%20(sac-isc.gc.ca)" TargetMode="External"/><Relationship Id="rId3" Type="http://schemas.openxmlformats.org/officeDocument/2006/relationships/webSettings" Target="webSettings.xml"/><Relationship Id="rId7" Type="http://schemas.openxmlformats.org/officeDocument/2006/relationships/hyperlink" Target="https://www.sac-isc.gc.ca/eng/1386549231377/1615723253856" TargetMode="External"/><Relationship Id="rId12" Type="http://schemas.openxmlformats.org/officeDocument/2006/relationships/hyperlink" Target="Health%20Infrastructure%20Support%20Authority%20(sac-isc.gc.c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ac-isc.gc.ca/eng/1525115054098/1615723519912" TargetMode="External"/><Relationship Id="rId11" Type="http://schemas.openxmlformats.org/officeDocument/2006/relationships/hyperlink" Target="https://gcdocs.intra.pri/aanc-inac/llisapi.dll/Overview/106884192" TargetMode="External"/><Relationship Id="rId5" Type="http://schemas.openxmlformats.org/officeDocument/2006/relationships/hyperlink" Target="https://www.sac-isc.gc.ca/eng/1386694148066/1615723191777" TargetMode="External"/><Relationship Id="rId15" Type="http://schemas.openxmlformats.org/officeDocument/2006/relationships/header" Target="header1.xml"/><Relationship Id="rId10" Type="http://schemas.openxmlformats.org/officeDocument/2006/relationships/hyperlink" Target="https://gcdocs.intra.pri/aanc-inac/llisapi.dll/Overview/106884192" TargetMode="External"/><Relationship Id="rId4" Type="http://schemas.openxmlformats.org/officeDocument/2006/relationships/hyperlink" Target="https://www.sac-isc.gc.ca/eng/1386694148066/1615723191777" TargetMode="External"/><Relationship Id="rId9" Type="http://schemas.openxmlformats.org/officeDocument/2006/relationships/hyperlink" Target="https://gcdocs.intra.pri/aanc-inac/llisapi.dll/Overview/106884192" TargetMode="External"/><Relationship Id="rId14" Type="http://schemas.openxmlformats.org/officeDocument/2006/relationships/hyperlink" Target="Health%20Infrastructure%20Support%20Authority%20(sac-isc.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3945</Words>
  <Characters>22492</Characters>
  <Application>Microsoft Office Word</Application>
  <DocSecurity>0</DocSecurity>
  <Lines>187</Lines>
  <Paragraphs>52</Paragraphs>
  <ScaleCrop>false</ScaleCrop>
  <Company>RCAANC-CIRNAC</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 Jason</dc:creator>
  <cp:keywords/>
  <dc:description/>
  <cp:lastModifiedBy>Pope, Jason</cp:lastModifiedBy>
  <cp:revision>2</cp:revision>
  <dcterms:created xsi:type="dcterms:W3CDTF">2023-02-02T14:37:00Z</dcterms:created>
  <dcterms:modified xsi:type="dcterms:W3CDTF">2023-02-02T14:40:00Z</dcterms:modified>
</cp:coreProperties>
</file>