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FD48" w14:textId="2C97A39C" w:rsidR="00C724A5" w:rsidRDefault="0097359E" w:rsidP="00886B8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Ébauche des L</w:t>
      </w:r>
      <w:r w:rsidR="0093381B">
        <w:rPr>
          <w:b/>
          <w:sz w:val="28"/>
          <w:szCs w:val="28"/>
        </w:rPr>
        <w:t>igne</w:t>
      </w:r>
      <w:r w:rsidR="00CC1006">
        <w:rPr>
          <w:b/>
          <w:sz w:val="28"/>
          <w:szCs w:val="28"/>
        </w:rPr>
        <w:t>s</w:t>
      </w:r>
      <w:r w:rsidR="0093381B">
        <w:rPr>
          <w:b/>
          <w:sz w:val="28"/>
          <w:szCs w:val="28"/>
        </w:rPr>
        <w:t xml:space="preserve"> directrice</w:t>
      </w:r>
      <w:r w:rsidR="00CC1006">
        <w:rPr>
          <w:b/>
          <w:sz w:val="28"/>
          <w:szCs w:val="28"/>
        </w:rPr>
        <w:t>s</w:t>
      </w:r>
      <w:r w:rsidR="0093381B">
        <w:rPr>
          <w:b/>
          <w:sz w:val="28"/>
          <w:szCs w:val="28"/>
        </w:rPr>
        <w:t xml:space="preserve"> sur la publication </w:t>
      </w:r>
      <w:r w:rsidR="002A3DA6">
        <w:rPr>
          <w:b/>
          <w:sz w:val="28"/>
          <w:szCs w:val="28"/>
        </w:rPr>
        <w:t xml:space="preserve">                                                     </w:t>
      </w:r>
      <w:r w:rsidR="0093381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s</w:t>
      </w:r>
      <w:r w:rsidR="0093381B">
        <w:rPr>
          <w:b/>
          <w:sz w:val="28"/>
          <w:szCs w:val="28"/>
        </w:rPr>
        <w:t xml:space="preserve"> normes de service et du rendement connexe</w:t>
      </w:r>
    </w:p>
    <w:p w14:paraId="506C696B" w14:textId="77777777" w:rsidR="00321105" w:rsidRDefault="00321105" w:rsidP="00886B84">
      <w:pPr>
        <w:pStyle w:val="NoSpacing"/>
        <w:jc w:val="center"/>
        <w:rPr>
          <w:b/>
          <w:sz w:val="28"/>
          <w:szCs w:val="28"/>
        </w:rPr>
      </w:pPr>
    </w:p>
    <w:p w14:paraId="6F347D8B" w14:textId="508F9A7E" w:rsidR="00321105" w:rsidRDefault="00321105" w:rsidP="00886B84">
      <w:pPr>
        <w:pStyle w:val="NoSpacing"/>
        <w:jc w:val="center"/>
        <w:rPr>
          <w:b/>
          <w:sz w:val="28"/>
          <w:szCs w:val="28"/>
        </w:rPr>
      </w:pPr>
      <w:bookmarkStart w:id="0" w:name="_Hlk65831871"/>
      <w:r>
        <w:rPr>
          <w:b/>
          <w:sz w:val="28"/>
          <w:szCs w:val="28"/>
        </w:rPr>
        <w:t>(</w:t>
      </w:r>
      <w:r w:rsidRPr="00D34BB5">
        <w:rPr>
          <w:b/>
          <w:sz w:val="28"/>
          <w:szCs w:val="28"/>
        </w:rPr>
        <w:t>Archivée</w:t>
      </w:r>
      <w:r>
        <w:rPr>
          <w:b/>
          <w:sz w:val="28"/>
          <w:szCs w:val="28"/>
        </w:rPr>
        <w:t xml:space="preserve"> </w:t>
      </w:r>
      <w:r w:rsidRPr="00321105">
        <w:rPr>
          <w:b/>
          <w:sz w:val="28"/>
          <w:szCs w:val="28"/>
        </w:rPr>
        <w:t xml:space="preserve">en </w:t>
      </w:r>
      <w:r w:rsidR="003C080F">
        <w:rPr>
          <w:b/>
          <w:sz w:val="28"/>
          <w:szCs w:val="28"/>
        </w:rPr>
        <w:t>avril</w:t>
      </w:r>
      <w:r w:rsidRPr="00321105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)</w:t>
      </w:r>
    </w:p>
    <w:bookmarkEnd w:id="0"/>
    <w:p w14:paraId="7628D767" w14:textId="77777777" w:rsidR="00321105" w:rsidRPr="004E6275" w:rsidRDefault="00321105" w:rsidP="00886B84">
      <w:pPr>
        <w:pStyle w:val="NoSpacing"/>
        <w:jc w:val="center"/>
        <w:rPr>
          <w:b/>
          <w:sz w:val="28"/>
          <w:szCs w:val="28"/>
        </w:rPr>
      </w:pPr>
    </w:p>
    <w:p w14:paraId="311AB7D3" w14:textId="77777777" w:rsidR="00A10AC1" w:rsidRDefault="00A10AC1" w:rsidP="00A10AC1">
      <w:pPr>
        <w:pStyle w:val="NoSpacing"/>
        <w:rPr>
          <w:sz w:val="24"/>
          <w:szCs w:val="24"/>
        </w:rPr>
      </w:pPr>
      <w:bookmarkStart w:id="1" w:name="_____replyseparator"/>
      <w:bookmarkEnd w:id="1"/>
    </w:p>
    <w:p w14:paraId="1EB73BA3" w14:textId="77777777" w:rsidR="00461FF8" w:rsidRDefault="00461FF8" w:rsidP="00A10AC1">
      <w:pPr>
        <w:pStyle w:val="NoSpacing"/>
        <w:rPr>
          <w:b/>
          <w:sz w:val="24"/>
          <w:szCs w:val="24"/>
          <w:lang w:eastAsia="en-CA"/>
        </w:rPr>
      </w:pPr>
    </w:p>
    <w:p w14:paraId="0D47D7AF" w14:textId="54CA7F03" w:rsidR="00FB254C" w:rsidRDefault="00CC1006" w:rsidP="00A10A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sujet </w:t>
      </w:r>
      <w:r w:rsidR="002A3DA6">
        <w:rPr>
          <w:b/>
          <w:sz w:val="24"/>
          <w:szCs w:val="24"/>
        </w:rPr>
        <w:t>du présent</w:t>
      </w:r>
      <w:r w:rsidR="00A10AC1">
        <w:rPr>
          <w:b/>
          <w:sz w:val="24"/>
          <w:szCs w:val="24"/>
        </w:rPr>
        <w:t xml:space="preserve"> document</w:t>
      </w:r>
    </w:p>
    <w:p w14:paraId="16F13C60" w14:textId="77777777" w:rsidR="00826619" w:rsidRDefault="00826619" w:rsidP="00A10AC1">
      <w:pPr>
        <w:pStyle w:val="NoSpacing"/>
      </w:pPr>
    </w:p>
    <w:p w14:paraId="03B6BCAF" w14:textId="08266270" w:rsidR="00A10AC1" w:rsidRPr="004E6275" w:rsidRDefault="00A10AC1" w:rsidP="00A10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 présent document </w:t>
      </w:r>
      <w:r w:rsidR="008D6DBC">
        <w:rPr>
          <w:sz w:val="24"/>
          <w:szCs w:val="24"/>
        </w:rPr>
        <w:t xml:space="preserve">contient l’ébauche </w:t>
      </w:r>
      <w:r>
        <w:rPr>
          <w:sz w:val="24"/>
          <w:szCs w:val="24"/>
        </w:rPr>
        <w:t xml:space="preserve">des lignes directrices </w:t>
      </w:r>
      <w:r w:rsidR="002A3DA6">
        <w:rPr>
          <w:sz w:val="24"/>
          <w:szCs w:val="24"/>
        </w:rPr>
        <w:t>qui suit </w:t>
      </w:r>
      <w:r>
        <w:rPr>
          <w:sz w:val="24"/>
          <w:szCs w:val="24"/>
        </w:rPr>
        <w:t>:</w:t>
      </w:r>
    </w:p>
    <w:p w14:paraId="56CBD7B6" w14:textId="08626FAB" w:rsidR="00A10AC1" w:rsidRPr="004E6275" w:rsidRDefault="00A10AC1" w:rsidP="00A10AC1">
      <w:pPr>
        <w:pStyle w:val="NoSpacing"/>
        <w:numPr>
          <w:ilvl w:val="0"/>
          <w:numId w:val="2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un nouveau paragraphe à l</w:t>
      </w:r>
      <w:r w:rsidR="001A3ACB">
        <w:rPr>
          <w:sz w:val="24"/>
          <w:szCs w:val="24"/>
        </w:rPr>
        <w:t>’</w:t>
      </w:r>
      <w:r>
        <w:rPr>
          <w:sz w:val="24"/>
          <w:szCs w:val="24"/>
        </w:rPr>
        <w:t xml:space="preserve">intention </w:t>
      </w:r>
      <w:r w:rsidR="00A72272">
        <w:rPr>
          <w:sz w:val="24"/>
          <w:szCs w:val="24"/>
        </w:rPr>
        <w:t>des ministères et organismes indiquant</w:t>
      </w:r>
      <w:r>
        <w:rPr>
          <w:sz w:val="24"/>
          <w:szCs w:val="24"/>
        </w:rPr>
        <w:t xml:space="preserve"> les renseignements à inclure sur le site Canada.ca (annexe A), lequel sera incorporé dans </w:t>
      </w:r>
      <w:r w:rsidR="002A3DA6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Ligne directrice sur la gestion des services</w:t>
        </w:r>
      </w:hyperlink>
      <w:r>
        <w:rPr>
          <w:sz w:val="24"/>
          <w:szCs w:val="24"/>
        </w:rPr>
        <w:t xml:space="preserve"> lors d’une prochaine mise à jour</w:t>
      </w:r>
      <w:r w:rsidR="00044F2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51F51A8" w14:textId="39593BDE" w:rsidR="00A10AC1" w:rsidRPr="004E6275" w:rsidRDefault="00A10AC1" w:rsidP="00A10AC1">
      <w:pPr>
        <w:pStyle w:val="NoSpacing"/>
        <w:numPr>
          <w:ilvl w:val="0"/>
          <w:numId w:val="2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un nouveau modèle pour les normes de service et l</w:t>
      </w:r>
      <w:r w:rsidR="001A3ACB">
        <w:rPr>
          <w:sz w:val="24"/>
          <w:szCs w:val="24"/>
        </w:rPr>
        <w:t>’</w:t>
      </w:r>
      <w:r>
        <w:rPr>
          <w:sz w:val="24"/>
          <w:szCs w:val="24"/>
        </w:rPr>
        <w:t xml:space="preserve">information sur le rendement doit être affiché sur le site Canada.ca (annexe B) </w:t>
      </w:r>
      <w:r w:rsidR="00A72272">
        <w:rPr>
          <w:sz w:val="24"/>
          <w:szCs w:val="24"/>
        </w:rPr>
        <w:t>afin de remplacer</w:t>
      </w:r>
      <w:r>
        <w:rPr>
          <w:sz w:val="24"/>
          <w:szCs w:val="24"/>
        </w:rPr>
        <w:t xml:space="preserve"> la </w:t>
      </w:r>
      <w:hyperlink r:id="rId9" w:history="1">
        <w:r>
          <w:rPr>
            <w:rStyle w:val="Hyperlink"/>
            <w:sz w:val="24"/>
            <w:szCs w:val="24"/>
          </w:rPr>
          <w:t>Page de compte rendu du rendement des services institutionnels sur Canada.ca</w:t>
        </w:r>
      </w:hyperlink>
      <w:r w:rsidR="002A3DA6">
        <w:rPr>
          <w:sz w:val="24"/>
          <w:szCs w:val="24"/>
        </w:rPr>
        <w:t xml:space="preserve"> comme</w:t>
      </w:r>
      <w:r>
        <w:rPr>
          <w:sz w:val="24"/>
          <w:szCs w:val="24"/>
        </w:rPr>
        <w:t xml:space="preserve"> </w:t>
      </w:r>
      <w:r w:rsidR="00A72272">
        <w:rPr>
          <w:sz w:val="24"/>
          <w:szCs w:val="24"/>
        </w:rPr>
        <w:t>Spécifications du c</w:t>
      </w:r>
      <w:r>
        <w:rPr>
          <w:sz w:val="24"/>
          <w:szCs w:val="24"/>
        </w:rPr>
        <w:t xml:space="preserve">ontenu et </w:t>
      </w:r>
      <w:r w:rsidR="00A72272">
        <w:rPr>
          <w:sz w:val="24"/>
          <w:szCs w:val="24"/>
        </w:rPr>
        <w:t xml:space="preserve">de </w:t>
      </w:r>
      <w:r>
        <w:rPr>
          <w:sz w:val="24"/>
          <w:szCs w:val="24"/>
        </w:rPr>
        <w:t>l</w:t>
      </w:r>
      <w:r w:rsidR="001A3ACB">
        <w:rPr>
          <w:sz w:val="24"/>
          <w:szCs w:val="24"/>
        </w:rPr>
        <w:t>’</w:t>
      </w:r>
      <w:r>
        <w:rPr>
          <w:sz w:val="24"/>
          <w:szCs w:val="24"/>
        </w:rPr>
        <w:t>architecture de l</w:t>
      </w:r>
      <w:r w:rsidR="001A3ACB">
        <w:rPr>
          <w:sz w:val="24"/>
          <w:szCs w:val="24"/>
        </w:rPr>
        <w:t>’</w:t>
      </w:r>
      <w:r>
        <w:rPr>
          <w:sz w:val="24"/>
          <w:szCs w:val="24"/>
        </w:rPr>
        <w:t xml:space="preserve">information </w:t>
      </w:r>
      <w:r w:rsidR="00A72272">
        <w:rPr>
          <w:sz w:val="24"/>
          <w:szCs w:val="24"/>
        </w:rPr>
        <w:t>po</w:t>
      </w:r>
      <w:r>
        <w:rPr>
          <w:sz w:val="24"/>
          <w:szCs w:val="24"/>
        </w:rPr>
        <w:t>ur Canada.ca</w:t>
      </w:r>
      <w:r w:rsidR="00044F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A10FA0" w14:textId="77777777" w:rsidR="00844214" w:rsidRPr="004E6275" w:rsidRDefault="00844214" w:rsidP="005D5567">
      <w:pPr>
        <w:pStyle w:val="NoSpacing"/>
        <w:rPr>
          <w:sz w:val="24"/>
          <w:szCs w:val="24"/>
          <w:lang w:eastAsia="en-CA"/>
        </w:rPr>
      </w:pPr>
    </w:p>
    <w:p w14:paraId="5E5A008D" w14:textId="64A75190" w:rsidR="00124049" w:rsidRDefault="00CC314E" w:rsidP="0017362A">
      <w:pPr>
        <w:pStyle w:val="NoSpacing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Le présent document</w:t>
      </w:r>
      <w:r w:rsidR="0091368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 </w:t>
      </w:r>
      <w:r w:rsidR="0091368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été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élaboré par les employés d</w:t>
      </w:r>
      <w:r w:rsidR="0091368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es </w:t>
      </w:r>
      <w:r w:rsidR="00A7227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secteur</w:t>
      </w:r>
      <w:r w:rsidR="0091368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 suivants du Secrétariat du Conseil du Trésor du Canada :</w:t>
      </w:r>
    </w:p>
    <w:p w14:paraId="2691037F" w14:textId="2411B1D0" w:rsidR="00124049" w:rsidRDefault="00124049" w:rsidP="0091368B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Direction du dirigeant principal de l’information</w:t>
      </w:r>
    </w:p>
    <w:p w14:paraId="7EC571E6" w14:textId="108A138A" w:rsidR="00FB254C" w:rsidRDefault="00CC314E" w:rsidP="00FB254C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Bureau du c</w:t>
      </w:r>
      <w:r w:rsidR="001240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ontrôleur général du Canada</w:t>
      </w:r>
    </w:p>
    <w:p w14:paraId="20E90AAC" w14:textId="0775EAAF" w:rsidR="00124049" w:rsidRPr="00FB254C" w:rsidRDefault="00CC314E" w:rsidP="00FB254C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Secteur des a</w:t>
      </w:r>
      <w:r w:rsidR="001240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ffaires réglementaires </w:t>
      </w:r>
    </w:p>
    <w:p w14:paraId="08B5FC85" w14:textId="3C9B2FB5" w:rsidR="00124049" w:rsidRPr="00124049" w:rsidRDefault="00124049" w:rsidP="0091368B">
      <w:pPr>
        <w:pStyle w:val="NoSpacing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Communications stratégiqu</w:t>
      </w:r>
      <w:r w:rsidR="00CC314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es et affaires ministérielles (B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ureau de la transformation numérique)</w:t>
      </w:r>
    </w:p>
    <w:p w14:paraId="09CCA367" w14:textId="77777777" w:rsidR="00124049" w:rsidRDefault="00124049" w:rsidP="00F54879">
      <w:pPr>
        <w:pStyle w:val="NoSpacing"/>
        <w:rPr>
          <w:sz w:val="24"/>
          <w:szCs w:val="24"/>
          <w:lang w:eastAsia="en-CA"/>
        </w:rPr>
      </w:pPr>
    </w:p>
    <w:p w14:paraId="46360525" w14:textId="21702D37" w:rsidR="0093381B" w:rsidRPr="0017362A" w:rsidRDefault="0093381B" w:rsidP="00F548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Commentaires</w:t>
      </w:r>
    </w:p>
    <w:p w14:paraId="7B81CE37" w14:textId="77777777" w:rsidR="0091368B" w:rsidRDefault="0091368B" w:rsidP="00F54879">
      <w:pPr>
        <w:pStyle w:val="NoSpacing"/>
        <w:rPr>
          <w:sz w:val="24"/>
          <w:szCs w:val="24"/>
          <w:lang w:eastAsia="en-CA"/>
        </w:rPr>
      </w:pPr>
    </w:p>
    <w:p w14:paraId="336DB613" w14:textId="07DA9194" w:rsidR="0025230E" w:rsidRPr="004E6275" w:rsidRDefault="004E6275" w:rsidP="00F548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 ministères et organismes </w:t>
      </w:r>
      <w:r w:rsidR="00CC314E">
        <w:rPr>
          <w:sz w:val="24"/>
          <w:szCs w:val="24"/>
        </w:rPr>
        <w:t xml:space="preserve">sont encouragés de fournir des commentaires </w:t>
      </w:r>
      <w:r>
        <w:rPr>
          <w:sz w:val="24"/>
          <w:szCs w:val="24"/>
        </w:rPr>
        <w:t xml:space="preserve">sur </w:t>
      </w:r>
      <w:r w:rsidR="00CC314E">
        <w:rPr>
          <w:sz w:val="24"/>
          <w:szCs w:val="24"/>
        </w:rPr>
        <w:t xml:space="preserve">la présente ébauche </w:t>
      </w:r>
      <w:r>
        <w:rPr>
          <w:sz w:val="24"/>
          <w:szCs w:val="24"/>
        </w:rPr>
        <w:t>de</w:t>
      </w:r>
      <w:r w:rsidR="00CC314E">
        <w:rPr>
          <w:sz w:val="24"/>
          <w:szCs w:val="24"/>
        </w:rPr>
        <w:t>s</w:t>
      </w:r>
      <w:r>
        <w:rPr>
          <w:sz w:val="24"/>
          <w:szCs w:val="24"/>
        </w:rPr>
        <w:t xml:space="preserve"> ligne</w:t>
      </w:r>
      <w:r w:rsidR="00CC314E">
        <w:rPr>
          <w:sz w:val="24"/>
          <w:szCs w:val="24"/>
        </w:rPr>
        <w:t>s</w:t>
      </w:r>
      <w:r>
        <w:rPr>
          <w:sz w:val="24"/>
          <w:szCs w:val="24"/>
        </w:rPr>
        <w:t xml:space="preserve"> directrice</w:t>
      </w:r>
      <w:r w:rsidR="00CC314E">
        <w:rPr>
          <w:sz w:val="24"/>
          <w:szCs w:val="24"/>
        </w:rPr>
        <w:t>s</w:t>
      </w:r>
      <w:r>
        <w:rPr>
          <w:sz w:val="24"/>
          <w:szCs w:val="24"/>
        </w:rPr>
        <w:t xml:space="preserve"> en communiquant avec :</w:t>
      </w:r>
    </w:p>
    <w:p w14:paraId="6A640D64" w14:textId="77777777" w:rsidR="0025230E" w:rsidRPr="004E6275" w:rsidRDefault="0025230E" w:rsidP="00F54879">
      <w:pPr>
        <w:pStyle w:val="NoSpacing"/>
        <w:rPr>
          <w:sz w:val="24"/>
          <w:szCs w:val="24"/>
          <w:lang w:eastAsia="en-CA"/>
        </w:rPr>
      </w:pPr>
    </w:p>
    <w:p w14:paraId="2FAAEFD4" w14:textId="213828BC" w:rsidR="0025230E" w:rsidRPr="004E6275" w:rsidRDefault="00CC314E" w:rsidP="0017362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Angela Doyle, Secteur des a</w:t>
      </w:r>
      <w:r w:rsidR="007201EC">
        <w:rPr>
          <w:sz w:val="24"/>
          <w:szCs w:val="24"/>
        </w:rPr>
        <w:t>ffaires réglementaires</w:t>
      </w:r>
    </w:p>
    <w:p w14:paraId="71AF8E40" w14:textId="5AA4A691" w:rsidR="0025230E" w:rsidRPr="004E6275" w:rsidRDefault="0025230E" w:rsidP="0017362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Tél. : 613</w:t>
      </w:r>
      <w:r>
        <w:rPr>
          <w:sz w:val="24"/>
          <w:szCs w:val="24"/>
        </w:rPr>
        <w:noBreakHyphen/>
        <w:t>793</w:t>
      </w:r>
      <w:r>
        <w:rPr>
          <w:sz w:val="24"/>
          <w:szCs w:val="24"/>
        </w:rPr>
        <w:noBreakHyphen/>
        <w:t>4925</w:t>
      </w:r>
    </w:p>
    <w:p w14:paraId="0FD186FD" w14:textId="5EF3A933" w:rsidR="0025230E" w:rsidRPr="004E6275" w:rsidRDefault="00D97813" w:rsidP="0017362A">
      <w:pPr>
        <w:pStyle w:val="NoSpacing"/>
        <w:ind w:left="720"/>
        <w:rPr>
          <w:sz w:val="24"/>
          <w:szCs w:val="24"/>
        </w:rPr>
      </w:pPr>
      <w:hyperlink r:id="rId10" w:history="1">
        <w:r w:rsidR="009575F9">
          <w:rPr>
            <w:rStyle w:val="Hyperlink"/>
            <w:sz w:val="24"/>
            <w:szCs w:val="24"/>
          </w:rPr>
          <w:t>Angela.Doyle@tbs-sct.gc.ca</w:t>
        </w:r>
      </w:hyperlink>
    </w:p>
    <w:p w14:paraId="44AEE2FE" w14:textId="77777777" w:rsidR="0025230E" w:rsidRPr="004E6275" w:rsidRDefault="0025230E" w:rsidP="00F54879">
      <w:pPr>
        <w:pStyle w:val="NoSpacing"/>
        <w:rPr>
          <w:sz w:val="24"/>
          <w:szCs w:val="24"/>
          <w:lang w:eastAsia="en-CA"/>
        </w:rPr>
      </w:pPr>
    </w:p>
    <w:p w14:paraId="1A0CAE67" w14:textId="47D5584B" w:rsidR="004E6275" w:rsidRDefault="004E6275">
      <w:pPr>
        <w:spacing w:after="160" w:line="259" w:lineRule="auto"/>
        <w:rPr>
          <w:sz w:val="24"/>
          <w:szCs w:val="24"/>
        </w:rPr>
      </w:pPr>
      <w:r>
        <w:br w:type="page"/>
      </w:r>
    </w:p>
    <w:p w14:paraId="47996050" w14:textId="020F0BE9" w:rsidR="000561A3" w:rsidRDefault="006622A7" w:rsidP="003C79D5">
      <w:pPr>
        <w:pStyle w:val="NoSpacing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lastRenderedPageBreak/>
        <w:t>Annexe A</w:t>
      </w:r>
      <w:r w:rsidR="001A3ACB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 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: </w:t>
      </w:r>
      <w:r w:rsidR="00CC314E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N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ouvelle section </w:t>
      </w:r>
      <w:r w:rsidR="00CC314E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concernant les renseignements                                 </w:t>
      </w:r>
      <w:r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sur les normes de service à inclure sur le site Canada.ca</w:t>
      </w:r>
    </w:p>
    <w:p w14:paraId="2A249B56" w14:textId="77777777" w:rsidR="003E6CD0" w:rsidRPr="004E6275" w:rsidRDefault="003E6CD0" w:rsidP="003C79D5">
      <w:pPr>
        <w:pStyle w:val="NoSpacing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</w:p>
    <w:p w14:paraId="5C345FAE" w14:textId="37BC00C4" w:rsidR="0001387A" w:rsidRPr="004E6275" w:rsidRDefault="00CE1164" w:rsidP="000561A3">
      <w:pPr>
        <w:pStyle w:val="NoSpacing"/>
      </w:pPr>
      <w:r>
        <w:t>Chaque exercice</w:t>
      </w:r>
      <w:r w:rsidR="00CC314E">
        <w:t xml:space="preserve"> financier</w:t>
      </w:r>
      <w:r>
        <w:t xml:space="preserve">, tous les ministères doivent inclure les renseignements suivants </w:t>
      </w:r>
      <w:r w:rsidR="000459D7">
        <w:t xml:space="preserve">concernant les services qu’ils fournissent </w:t>
      </w:r>
      <w:r>
        <w:t>sur le site Canada.ca</w:t>
      </w:r>
      <w:r w:rsidR="00CC314E">
        <w:t>. L</w:t>
      </w:r>
      <w:r>
        <w:t xml:space="preserve">es renseignements </w:t>
      </w:r>
      <w:r w:rsidR="00CC314E">
        <w:t xml:space="preserve">devraient correspondre aux renseignements </w:t>
      </w:r>
      <w:r>
        <w:t>fournis dans leur répertoire de service</w:t>
      </w:r>
      <w:r w:rsidR="00CC314E">
        <w:t>s</w:t>
      </w:r>
      <w:r>
        <w:t>.</w:t>
      </w:r>
    </w:p>
    <w:p w14:paraId="72E5F1EA" w14:textId="77777777" w:rsidR="000561A3" w:rsidRPr="004E6275" w:rsidRDefault="000561A3" w:rsidP="000561A3">
      <w:pPr>
        <w:pStyle w:val="NoSpacing"/>
      </w:pPr>
    </w:p>
    <w:p w14:paraId="2A157168" w14:textId="1EFF92CF" w:rsidR="00885D7B" w:rsidRPr="004E6275" w:rsidRDefault="0001387A" w:rsidP="0001387A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Nom du service</w:t>
      </w:r>
      <w:r w:rsidR="001A3ACB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 xml:space="preserve">: </w:t>
      </w:r>
      <w:r w:rsidR="000459D7">
        <w:rPr>
          <w:rFonts w:asciiTheme="minorHAnsi" w:hAnsiTheme="minorHAnsi"/>
        </w:rPr>
        <w:t>Nom officiel du service</w:t>
      </w:r>
    </w:p>
    <w:p w14:paraId="2FD63211" w14:textId="77777777" w:rsidR="0001387A" w:rsidRPr="004E6275" w:rsidRDefault="0001387A" w:rsidP="0001387A">
      <w:pPr>
        <w:ind w:left="1080"/>
        <w:contextualSpacing/>
        <w:rPr>
          <w:rFonts w:asciiTheme="minorHAnsi" w:hAnsiTheme="minorHAnsi"/>
        </w:rPr>
      </w:pPr>
    </w:p>
    <w:p w14:paraId="3390BDB8" w14:textId="4EC3640B" w:rsidR="006E731F" w:rsidRPr="004E6275" w:rsidRDefault="0001387A" w:rsidP="00271DD6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Description du service</w:t>
      </w:r>
      <w:r w:rsidR="001A3ACB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 xml:space="preserve">: </w:t>
      </w:r>
      <w:r w:rsidR="000459D7">
        <w:rPr>
          <w:rFonts w:asciiTheme="minorHAnsi" w:hAnsiTheme="minorHAnsi"/>
        </w:rPr>
        <w:t>U</w:t>
      </w:r>
      <w:r>
        <w:rPr>
          <w:rFonts w:asciiTheme="minorHAnsi" w:hAnsiTheme="minorHAnsi"/>
        </w:rPr>
        <w:t>ne brève description du service et des besoins auxquels il</w:t>
      </w:r>
      <w:r w:rsidR="000459D7">
        <w:rPr>
          <w:rFonts w:asciiTheme="minorHAnsi" w:hAnsiTheme="minorHAnsi"/>
        </w:rPr>
        <w:t xml:space="preserve"> répond. Les ministères de</w:t>
      </w:r>
      <w:r>
        <w:rPr>
          <w:rFonts w:asciiTheme="minorHAnsi" w:hAnsiTheme="minorHAnsi"/>
        </w:rPr>
        <w:t>v</w:t>
      </w:r>
      <w:r w:rsidR="000459D7">
        <w:rPr>
          <w:rFonts w:asciiTheme="minorHAnsi" w:hAnsiTheme="minorHAnsi"/>
        </w:rPr>
        <w:t>rai</w:t>
      </w:r>
      <w:r>
        <w:rPr>
          <w:rFonts w:asciiTheme="minorHAnsi" w:hAnsiTheme="minorHAnsi"/>
        </w:rPr>
        <w:t>ent également inclure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URL du service </w:t>
      </w:r>
      <w:r w:rsidR="000459D7">
        <w:rPr>
          <w:rFonts w:asciiTheme="minorHAnsi" w:hAnsiTheme="minorHAnsi"/>
        </w:rPr>
        <w:t>fourni</w:t>
      </w:r>
      <w:r>
        <w:rPr>
          <w:rFonts w:asciiTheme="minorHAnsi" w:hAnsiTheme="minorHAnsi"/>
        </w:rPr>
        <w:t xml:space="preserve">. Conformément à la Politique sur la transparence et la responsabilisation en matière de réglementation, les ministères doivent indiquer si le service </w:t>
      </w:r>
      <w:r w:rsidR="000459D7">
        <w:rPr>
          <w:rFonts w:asciiTheme="minorHAnsi" w:hAnsiTheme="minorHAnsi"/>
        </w:rPr>
        <w:t xml:space="preserve">qu’ils offrent est une </w:t>
      </w:r>
      <w:r>
        <w:rPr>
          <w:rFonts w:asciiTheme="minorHAnsi" w:hAnsiTheme="minorHAnsi"/>
        </w:rPr>
        <w:t>tran</w:t>
      </w:r>
      <w:r w:rsidR="000459D7">
        <w:rPr>
          <w:rFonts w:asciiTheme="minorHAnsi" w:hAnsiTheme="minorHAnsi"/>
        </w:rPr>
        <w:t>saction réglementaire à demande élevée</w:t>
      </w:r>
      <w:r>
        <w:rPr>
          <w:rFonts w:asciiTheme="minorHAnsi" w:hAnsiTheme="minorHAnsi"/>
        </w:rPr>
        <w:t>.</w:t>
      </w:r>
    </w:p>
    <w:p w14:paraId="302B28F4" w14:textId="319E44CE" w:rsidR="0001387A" w:rsidRPr="004E6275" w:rsidRDefault="00A0731C" w:rsidP="00D16DA2">
      <w:pPr>
        <w:pStyle w:val="ListParagraph"/>
        <w:numPr>
          <w:ilvl w:val="0"/>
          <w:numId w:val="1"/>
        </w:numPr>
        <w:spacing w:after="160" w:line="252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Norme de service</w:t>
      </w:r>
      <w:r w:rsidR="001A3ACB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 xml:space="preserve">: </w:t>
      </w:r>
      <w:r w:rsidR="000459D7">
        <w:rPr>
          <w:rFonts w:asciiTheme="minorHAnsi" w:hAnsiTheme="minorHAnsi"/>
          <w:bCs/>
        </w:rPr>
        <w:t>U</w:t>
      </w:r>
      <w:r>
        <w:rPr>
          <w:rFonts w:asciiTheme="minorHAnsi" w:hAnsiTheme="minorHAnsi"/>
          <w:bCs/>
        </w:rPr>
        <w:t>ne déclaration concise qui précise la norme de service, y</w:t>
      </w:r>
      <w:r w:rsidR="000D654C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compris</w:t>
      </w:r>
      <w:r>
        <w:rPr>
          <w:rFonts w:asciiTheme="minorHAnsi" w:hAnsiTheme="minorHAnsi"/>
        </w:rPr>
        <w:t xml:space="preserve"> le temps nécessaire pour </w:t>
      </w:r>
      <w:r w:rsidR="000D654C">
        <w:rPr>
          <w:rFonts w:asciiTheme="minorHAnsi" w:hAnsiTheme="minorHAnsi"/>
        </w:rPr>
        <w:t xml:space="preserve">que le </w:t>
      </w:r>
      <w:r>
        <w:rPr>
          <w:rFonts w:asciiTheme="minorHAnsi" w:hAnsiTheme="minorHAnsi"/>
        </w:rPr>
        <w:t xml:space="preserve">gouvernement </w:t>
      </w:r>
      <w:r w:rsidR="000D654C">
        <w:rPr>
          <w:rFonts w:asciiTheme="minorHAnsi" w:hAnsiTheme="minorHAnsi"/>
        </w:rPr>
        <w:t xml:space="preserve">prenne une décision </w:t>
      </w:r>
      <w:r w:rsidR="00BF7362">
        <w:rPr>
          <w:rFonts w:asciiTheme="minorHAnsi" w:hAnsiTheme="minorHAnsi"/>
        </w:rPr>
        <w:t>au sujet d’une</w:t>
      </w:r>
      <w:r>
        <w:rPr>
          <w:rFonts w:asciiTheme="minorHAnsi" w:hAnsiTheme="minorHAnsi"/>
        </w:rPr>
        <w:t xml:space="preserve"> demande. </w:t>
      </w:r>
      <w:r w:rsidR="000D654C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 ministère ou organisme </w:t>
      </w:r>
      <w:r w:rsidR="000D654C">
        <w:rPr>
          <w:rFonts w:asciiTheme="minorHAnsi" w:hAnsiTheme="minorHAnsi"/>
        </w:rPr>
        <w:t xml:space="preserve">pourrait </w:t>
      </w:r>
      <w:r>
        <w:rPr>
          <w:rFonts w:asciiTheme="minorHAnsi" w:hAnsiTheme="minorHAnsi"/>
        </w:rPr>
        <w:t>indiquer «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Notre norme </w:t>
      </w:r>
      <w:r w:rsidR="003358A9">
        <w:rPr>
          <w:rFonts w:asciiTheme="minorHAnsi" w:hAnsiTheme="minorHAnsi"/>
        </w:rPr>
        <w:t>consiste à</w:t>
      </w:r>
      <w:r>
        <w:rPr>
          <w:rFonts w:asciiTheme="minorHAnsi" w:hAnsiTheme="minorHAnsi"/>
        </w:rPr>
        <w:t xml:space="preserve"> rendre une décision finale dans un délai de 20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>jours ouvrables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>».</w:t>
      </w:r>
    </w:p>
    <w:p w14:paraId="2DFA8A18" w14:textId="5EF19A11" w:rsidR="0001387A" w:rsidRPr="004E6275" w:rsidRDefault="0001387A" w:rsidP="00D16DA2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Cible de rendement opérationnel</w:t>
      </w:r>
      <w:r w:rsidR="000D654C">
        <w:rPr>
          <w:rFonts w:asciiTheme="minorHAnsi" w:hAnsiTheme="minorHAnsi"/>
          <w:b/>
          <w:bCs/>
        </w:rPr>
        <w:t> :</w:t>
      </w:r>
      <w:r w:rsidR="000D654C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 xml:space="preserve">a fréquence </w:t>
      </w:r>
      <w:r w:rsidR="00723603">
        <w:rPr>
          <w:rFonts w:asciiTheme="minorHAnsi" w:hAnsiTheme="minorHAnsi"/>
        </w:rPr>
        <w:t xml:space="preserve">à </w:t>
      </w:r>
      <w:r>
        <w:rPr>
          <w:rFonts w:asciiTheme="minorHAnsi" w:hAnsiTheme="minorHAnsi"/>
        </w:rPr>
        <w:t>laquelle le ministère ou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>organisme s</w:t>
      </w:r>
      <w:r w:rsidR="001A3ACB">
        <w:rPr>
          <w:rFonts w:asciiTheme="minorHAnsi" w:hAnsiTheme="minorHAnsi"/>
        </w:rPr>
        <w:t>’</w:t>
      </w:r>
      <w:r w:rsidR="000D654C">
        <w:rPr>
          <w:rFonts w:asciiTheme="minorHAnsi" w:hAnsiTheme="minorHAnsi"/>
        </w:rPr>
        <w:t>attend de</w:t>
      </w:r>
      <w:r>
        <w:rPr>
          <w:rFonts w:asciiTheme="minorHAnsi" w:hAnsiTheme="minorHAnsi"/>
        </w:rPr>
        <w:t xml:space="preserve"> respecter l</w:t>
      </w:r>
      <w:r w:rsidR="000D654C"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>norme</w:t>
      </w:r>
      <w:r w:rsidR="000D654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de service dans des circonstances normales, exprimé</w:t>
      </w:r>
      <w:r w:rsidR="000D654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en une phrase simple et décrit</w:t>
      </w:r>
      <w:r w:rsidR="00044F27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sous forme de pourcentage. </w:t>
      </w:r>
      <w:r w:rsidR="000D654C">
        <w:rPr>
          <w:rFonts w:asciiTheme="minorHAnsi" w:hAnsiTheme="minorHAnsi"/>
        </w:rPr>
        <w:t xml:space="preserve">Voici un </w:t>
      </w:r>
      <w:r>
        <w:rPr>
          <w:rFonts w:asciiTheme="minorHAnsi" w:hAnsiTheme="minorHAnsi"/>
        </w:rPr>
        <w:t>exemple</w:t>
      </w:r>
      <w:r w:rsidR="000D654C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«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Notre objectif est de </w:t>
      </w:r>
      <w:r w:rsidR="000D654C">
        <w:rPr>
          <w:rFonts w:asciiTheme="minorHAnsi" w:hAnsiTheme="minorHAnsi"/>
        </w:rPr>
        <w:t>respecter</w:t>
      </w:r>
      <w:r>
        <w:rPr>
          <w:rFonts w:asciiTheme="minorHAnsi" w:hAnsiTheme="minorHAnsi"/>
        </w:rPr>
        <w:t xml:space="preserve"> notre norme de service pour au moins 90</w:t>
      </w:r>
      <w:r w:rsidR="000D654C">
        <w:rPr>
          <w:rFonts w:asciiTheme="minorHAnsi" w:hAnsiTheme="minorHAnsi"/>
        </w:rPr>
        <w:t> p. 100 des demandes soumises à </w:t>
      </w:r>
      <w:r>
        <w:rPr>
          <w:rFonts w:asciiTheme="minorHAnsi" w:hAnsiTheme="minorHAnsi"/>
        </w:rPr>
        <w:t>[nom de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>organisation].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» </w:t>
      </w:r>
    </w:p>
    <w:p w14:paraId="0227E58C" w14:textId="77777777" w:rsidR="004B1A8A" w:rsidRPr="004E6275" w:rsidRDefault="004B1A8A" w:rsidP="004B1A8A">
      <w:pPr>
        <w:spacing w:after="160" w:line="252" w:lineRule="auto"/>
        <w:ind w:left="720"/>
        <w:contextualSpacing/>
        <w:rPr>
          <w:rFonts w:asciiTheme="minorHAnsi" w:hAnsiTheme="minorHAnsi"/>
          <w:b/>
          <w:bCs/>
        </w:rPr>
      </w:pPr>
    </w:p>
    <w:p w14:paraId="759ED790" w14:textId="58263CB9" w:rsidR="003124CB" w:rsidRPr="004E6275" w:rsidRDefault="0001387A" w:rsidP="003124CB">
      <w:pPr>
        <w:numPr>
          <w:ilvl w:val="0"/>
          <w:numId w:val="1"/>
        </w:numPr>
        <w:spacing w:after="160" w:line="252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Résultats sur le rendement opérationnel</w:t>
      </w:r>
      <w:r w:rsidR="000D654C">
        <w:rPr>
          <w:rFonts w:asciiTheme="minorHAnsi" w:hAnsiTheme="minorHAnsi"/>
          <w:b/>
          <w:bCs/>
        </w:rPr>
        <w:t> :</w:t>
      </w:r>
      <w:r w:rsidR="000D654C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ésultats sur le rendement des services pour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exercice </w:t>
      </w:r>
      <w:r w:rsidR="000D654C">
        <w:rPr>
          <w:rFonts w:asciiTheme="minorHAnsi" w:hAnsiTheme="minorHAnsi"/>
        </w:rPr>
        <w:t xml:space="preserve">financier </w:t>
      </w:r>
      <w:r>
        <w:rPr>
          <w:rFonts w:asciiTheme="minorHAnsi" w:hAnsiTheme="minorHAnsi"/>
        </w:rPr>
        <w:t>précédent. Le rendement doit être exprimé en pourcentage, par exemple</w:t>
      </w:r>
      <w:r w:rsidR="000D654C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«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>La norme a été respectée dans 79</w:t>
      </w:r>
      <w:r w:rsidR="000D654C">
        <w:rPr>
          <w:rFonts w:asciiTheme="minorHAnsi" w:hAnsiTheme="minorHAnsi"/>
        </w:rPr>
        <w:t> p. 100</w:t>
      </w:r>
      <w:r>
        <w:rPr>
          <w:rFonts w:asciiTheme="minorHAnsi" w:hAnsiTheme="minorHAnsi"/>
        </w:rPr>
        <w:t xml:space="preserve"> des cas</w:t>
      </w:r>
      <w:r w:rsidR="00B761FF">
        <w:rPr>
          <w:rFonts w:asciiTheme="minorHAnsi" w:hAnsiTheme="minorHAnsi"/>
        </w:rPr>
        <w:t> </w:t>
      </w:r>
      <w:r>
        <w:rPr>
          <w:rFonts w:asciiTheme="minorHAnsi" w:hAnsiTheme="minorHAnsi"/>
        </w:rPr>
        <w:t>»</w:t>
      </w:r>
      <w:r w:rsidR="00B761F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Pour les services prioritaires,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information en temps réel sur le rendement doit également être </w:t>
      </w:r>
      <w:r w:rsidR="00A0465B">
        <w:rPr>
          <w:rFonts w:asciiTheme="minorHAnsi" w:hAnsiTheme="minorHAnsi"/>
        </w:rPr>
        <w:t>fourni</w:t>
      </w:r>
      <w:r>
        <w:rPr>
          <w:rFonts w:asciiTheme="minorHAnsi" w:hAnsiTheme="minorHAnsi"/>
        </w:rPr>
        <w:t>e (</w:t>
      </w:r>
      <w:r w:rsidR="000D654C">
        <w:rPr>
          <w:rFonts w:asciiTheme="minorHAnsi" w:hAnsiTheme="minorHAnsi"/>
        </w:rPr>
        <w:t>consultez</w:t>
      </w:r>
      <w:r>
        <w:rPr>
          <w:rFonts w:asciiTheme="minorHAnsi" w:hAnsiTheme="minorHAnsi"/>
        </w:rPr>
        <w:t xml:space="preserve"> la section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2.7.4 de la </w:t>
      </w:r>
      <w:hyperlink r:id="rId11" w:history="1">
        <w:r>
          <w:rPr>
            <w:rStyle w:val="Hyperlink"/>
            <w:rFonts w:asciiTheme="minorHAnsi" w:hAnsiTheme="minorHAnsi"/>
          </w:rPr>
          <w:t>Ligne directrice sur la gestion de services</w:t>
        </w:r>
      </w:hyperlink>
      <w:r>
        <w:rPr>
          <w:rFonts w:asciiTheme="minorHAnsi" w:hAnsiTheme="minorHAnsi"/>
        </w:rPr>
        <w:t>).</w:t>
      </w:r>
    </w:p>
    <w:p w14:paraId="5343720F" w14:textId="77777777" w:rsidR="001C4088" w:rsidRPr="004E6275" w:rsidRDefault="001C4088" w:rsidP="0001387A">
      <w:pPr>
        <w:rPr>
          <w:rFonts w:asciiTheme="minorHAnsi" w:hAnsiTheme="minorHAnsi"/>
          <w:sz w:val="24"/>
          <w:szCs w:val="24"/>
        </w:rPr>
      </w:pPr>
    </w:p>
    <w:p w14:paraId="27F09518" w14:textId="5FB1BBA7" w:rsidR="00C73E61" w:rsidRDefault="00812FB6" w:rsidP="000138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 </w:t>
      </w:r>
      <w:r w:rsidR="00A0465B">
        <w:rPr>
          <w:rFonts w:asciiTheme="minorHAnsi" w:hAnsiTheme="minorHAnsi"/>
        </w:rPr>
        <w:t xml:space="preserve">il est </w:t>
      </w:r>
      <w:r>
        <w:rPr>
          <w:rFonts w:asciiTheme="minorHAnsi" w:hAnsiTheme="minorHAnsi"/>
        </w:rPr>
        <w:t xml:space="preserve">indiqué dans la </w:t>
      </w:r>
      <w:hyperlink r:id="rId12" w:history="1">
        <w:r w:rsidR="008E7EC2">
          <w:rPr>
            <w:rStyle w:val="Hyperlink"/>
            <w:rFonts w:asciiTheme="minorHAnsi" w:hAnsiTheme="minorHAnsi"/>
          </w:rPr>
          <w:t>Politique sur la transparence et la responsabilisation en matière de réglementation</w:t>
        </w:r>
      </w:hyperlink>
      <w:r w:rsidR="008E7EC2">
        <w:rPr>
          <w:rFonts w:asciiTheme="minorHAnsi" w:hAnsiTheme="minorHAnsi"/>
        </w:rPr>
        <w:t xml:space="preserve"> du Conseil du Trésor,</w:t>
      </w:r>
      <w:r>
        <w:rPr>
          <w:rFonts w:asciiTheme="minorHAnsi" w:hAnsiTheme="minorHAnsi"/>
        </w:rPr>
        <w:t xml:space="preserve"> </w:t>
      </w:r>
      <w:r w:rsidR="004B1730">
        <w:rPr>
          <w:rFonts w:asciiTheme="minorHAnsi" w:hAnsiTheme="minorHAnsi"/>
        </w:rPr>
        <w:t xml:space="preserve">dans certains cas, </w:t>
      </w:r>
      <w:r>
        <w:rPr>
          <w:rFonts w:asciiTheme="minorHAnsi" w:hAnsiTheme="minorHAnsi"/>
        </w:rPr>
        <w:t xml:space="preserve">une ou plusieurs normes de service en matière de </w:t>
      </w:r>
      <w:r w:rsidR="008E7EC2">
        <w:rPr>
          <w:rFonts w:asciiTheme="minorHAnsi" w:hAnsiTheme="minorHAnsi"/>
        </w:rPr>
        <w:t>rapidité pour</w:t>
      </w:r>
      <w:r w:rsidR="004B1730">
        <w:rPr>
          <w:rFonts w:asciiTheme="minorHAnsi" w:hAnsiTheme="minorHAnsi"/>
        </w:rPr>
        <w:t>raient être associées aux</w:t>
      </w:r>
      <w:r w:rsidR="008E7E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transaction</w:t>
      </w:r>
      <w:r w:rsidR="008E7EC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réglementaire</w:t>
      </w:r>
      <w:r w:rsidR="008E7EC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8E7EC2">
        <w:rPr>
          <w:rFonts w:asciiTheme="minorHAnsi" w:hAnsiTheme="minorHAnsi"/>
        </w:rPr>
        <w:t>à demande élevée</w:t>
      </w:r>
      <w:r>
        <w:rPr>
          <w:rFonts w:asciiTheme="minorHAnsi" w:hAnsiTheme="minorHAnsi"/>
        </w:rPr>
        <w:t xml:space="preserve">. </w:t>
      </w:r>
      <w:r w:rsidR="001A3ACB">
        <w:rPr>
          <w:rFonts w:asciiTheme="minorHAnsi" w:hAnsiTheme="minorHAnsi"/>
        </w:rPr>
        <w:t>L</w:t>
      </w:r>
      <w:r>
        <w:rPr>
          <w:rFonts w:asciiTheme="minorHAnsi" w:hAnsiTheme="minorHAnsi"/>
        </w:rPr>
        <w:t>orsqu’il y a plus d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une norme de service pour une transaction réglementaire </w:t>
      </w:r>
      <w:r w:rsidR="00301B2A">
        <w:rPr>
          <w:rFonts w:asciiTheme="minorHAnsi" w:hAnsiTheme="minorHAnsi"/>
        </w:rPr>
        <w:t xml:space="preserve">à demande </w:t>
      </w:r>
      <w:r>
        <w:rPr>
          <w:rFonts w:asciiTheme="minorHAnsi" w:hAnsiTheme="minorHAnsi"/>
        </w:rPr>
        <w:t>élevé</w:t>
      </w:r>
      <w:r w:rsidR="00301B2A">
        <w:rPr>
          <w:rFonts w:asciiTheme="minorHAnsi" w:hAnsiTheme="minorHAnsi"/>
        </w:rPr>
        <w:t>e</w:t>
      </w:r>
      <w:r>
        <w:rPr>
          <w:rFonts w:asciiTheme="minorHAnsi" w:hAnsiTheme="minorHAnsi"/>
        </w:rPr>
        <w:t>, les ministères :</w:t>
      </w:r>
    </w:p>
    <w:p w14:paraId="066BC3EC" w14:textId="06BD9CF7" w:rsidR="00C73E61" w:rsidRPr="00912153" w:rsidRDefault="007E2572" w:rsidP="00912153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peuvent présenter les normes de service séparément;</w:t>
      </w:r>
    </w:p>
    <w:p w14:paraId="5D7B94F8" w14:textId="704105EA" w:rsidR="007E2572" w:rsidRPr="00912153" w:rsidRDefault="007E2572" w:rsidP="00912153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doivent </w:t>
      </w:r>
      <w:r w:rsidR="00647C26">
        <w:rPr>
          <w:rFonts w:asciiTheme="minorHAnsi" w:hAnsiTheme="minorHAnsi"/>
        </w:rPr>
        <w:t xml:space="preserve">indiquer </w:t>
      </w:r>
      <w:r>
        <w:rPr>
          <w:rFonts w:asciiTheme="minorHAnsi" w:hAnsiTheme="minorHAnsi"/>
        </w:rPr>
        <w:t>clairement l</w:t>
      </w:r>
      <w:r w:rsidR="001A3ACB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autorisation réglementaire associée aux normes de service.</w:t>
      </w:r>
    </w:p>
    <w:p w14:paraId="690EE108" w14:textId="77777777" w:rsidR="007E2572" w:rsidRPr="004E6275" w:rsidRDefault="007E2572" w:rsidP="0001387A">
      <w:pPr>
        <w:rPr>
          <w:rFonts w:asciiTheme="minorHAnsi" w:hAnsiTheme="minorHAnsi"/>
        </w:rPr>
      </w:pPr>
    </w:p>
    <w:p w14:paraId="7ADBE22B" w14:textId="41789114" w:rsidR="0001387A" w:rsidRPr="004E6275" w:rsidRDefault="00647C26" w:rsidP="0001387A">
      <w:pPr>
        <w:rPr>
          <w:rFonts w:asciiTheme="minorHAnsi" w:hAnsiTheme="minorHAnsi"/>
        </w:rPr>
      </w:pPr>
      <w:r>
        <w:rPr>
          <w:rFonts w:asciiTheme="minorHAnsi" w:hAnsiTheme="minorHAnsi"/>
        </w:rPr>
        <w:t>Tous les renseignements sur les</w:t>
      </w:r>
      <w:r w:rsidR="0001387A">
        <w:rPr>
          <w:rFonts w:asciiTheme="minorHAnsi" w:hAnsiTheme="minorHAnsi"/>
        </w:rPr>
        <w:t xml:space="preserve"> norme</w:t>
      </w:r>
      <w:r>
        <w:rPr>
          <w:rFonts w:asciiTheme="minorHAnsi" w:hAnsiTheme="minorHAnsi"/>
        </w:rPr>
        <w:t>s</w:t>
      </w:r>
      <w:r w:rsidR="0001387A">
        <w:rPr>
          <w:rFonts w:asciiTheme="minorHAnsi" w:hAnsiTheme="minorHAnsi"/>
        </w:rPr>
        <w:t xml:space="preserve"> de service du ministère doi</w:t>
      </w:r>
      <w:r>
        <w:rPr>
          <w:rFonts w:asciiTheme="minorHAnsi" w:hAnsiTheme="minorHAnsi"/>
        </w:rPr>
        <w:t>ven</w:t>
      </w:r>
      <w:r w:rsidR="0001387A">
        <w:rPr>
          <w:rFonts w:asciiTheme="minorHAnsi" w:hAnsiTheme="minorHAnsi"/>
        </w:rPr>
        <w:t>t être accessible</w:t>
      </w:r>
      <w:r>
        <w:rPr>
          <w:rFonts w:asciiTheme="minorHAnsi" w:hAnsiTheme="minorHAnsi"/>
        </w:rPr>
        <w:t>s</w:t>
      </w:r>
      <w:r w:rsidR="0001387A">
        <w:rPr>
          <w:rFonts w:asciiTheme="minorHAnsi" w:hAnsiTheme="minorHAnsi"/>
        </w:rPr>
        <w:t xml:space="preserve"> à partir d’un emplacement sur Canada.ca (situé sur le site ou lié </w:t>
      </w:r>
      <w:r>
        <w:rPr>
          <w:rFonts w:asciiTheme="minorHAnsi" w:hAnsiTheme="minorHAnsi"/>
        </w:rPr>
        <w:t>à celui-ci). La publication d</w:t>
      </w:r>
      <w:r w:rsidR="0001387A">
        <w:rPr>
          <w:rFonts w:asciiTheme="minorHAnsi" w:hAnsiTheme="minorHAnsi"/>
        </w:rPr>
        <w:t xml:space="preserve">es renseignements sur </w:t>
      </w:r>
      <w:r w:rsidR="00C3695D" w:rsidRPr="00C3695D">
        <w:rPr>
          <w:rFonts w:asciiTheme="minorHAnsi" w:hAnsiTheme="minorHAnsi"/>
        </w:rPr>
        <w:t>open.canada.ca/fr</w:t>
      </w:r>
      <w:r w:rsidR="00C3695D">
        <w:rPr>
          <w:rFonts w:asciiTheme="minorHAnsi" w:hAnsiTheme="minorHAnsi"/>
        </w:rPr>
        <w:t>,</w:t>
      </w:r>
      <w:r w:rsidR="0001387A">
        <w:rPr>
          <w:rFonts w:asciiTheme="minorHAnsi" w:hAnsiTheme="minorHAnsi"/>
        </w:rPr>
        <w:t xml:space="preserve"> dans le </w:t>
      </w:r>
      <w:hyperlink r:id="rId13" w:history="1">
        <w:r w:rsidR="0001387A">
          <w:rPr>
            <w:rStyle w:val="Hyperlink"/>
            <w:rFonts w:asciiTheme="minorHAnsi" w:hAnsiTheme="minorHAnsi"/>
          </w:rPr>
          <w:t>Répertoire de services</w:t>
        </w:r>
      </w:hyperlink>
      <w:r w:rsidR="0001387A">
        <w:rPr>
          <w:rFonts w:asciiTheme="minorHAnsi" w:hAnsiTheme="minorHAnsi"/>
        </w:rPr>
        <w:t xml:space="preserve"> </w:t>
      </w:r>
      <w:r w:rsidR="00C3695D">
        <w:rPr>
          <w:rFonts w:asciiTheme="minorHAnsi" w:hAnsiTheme="minorHAnsi"/>
        </w:rPr>
        <w:t>et</w:t>
      </w:r>
      <w:r w:rsidR="0001387A">
        <w:rPr>
          <w:rFonts w:asciiTheme="minorHAnsi" w:hAnsiTheme="minorHAnsi"/>
        </w:rPr>
        <w:t xml:space="preserve"> le rapport annuel conformément à la </w:t>
      </w:r>
      <w:hyperlink r:id="rId14" w:history="1">
        <w:r w:rsidR="00C3695D">
          <w:rPr>
            <w:rStyle w:val="Hyperlink"/>
            <w:rFonts w:asciiTheme="minorHAnsi" w:hAnsiTheme="minorHAnsi"/>
            <w:i/>
          </w:rPr>
          <w:t xml:space="preserve">Loi sur les frais de </w:t>
        </w:r>
        <w:r w:rsidR="00C3695D" w:rsidRPr="00C3695D">
          <w:rPr>
            <w:rStyle w:val="Hyperlink"/>
            <w:rFonts w:asciiTheme="minorHAnsi" w:hAnsiTheme="minorHAnsi"/>
            <w:u w:val="none"/>
          </w:rPr>
          <w:t>service</w:t>
        </w:r>
      </w:hyperlink>
      <w:r w:rsidR="00C3695D" w:rsidRPr="00C3695D">
        <w:t xml:space="preserve"> </w:t>
      </w:r>
      <w:r w:rsidR="0001387A" w:rsidRPr="00C3695D">
        <w:rPr>
          <w:rFonts w:asciiTheme="minorHAnsi" w:hAnsiTheme="minorHAnsi"/>
        </w:rPr>
        <w:t>ne</w:t>
      </w:r>
      <w:r w:rsidR="0001387A">
        <w:rPr>
          <w:rFonts w:asciiTheme="minorHAnsi" w:hAnsiTheme="minorHAnsi"/>
        </w:rPr>
        <w:t xml:space="preserve"> doit pas </w:t>
      </w:r>
      <w:r w:rsidR="00486539">
        <w:rPr>
          <w:rFonts w:asciiTheme="minorHAnsi" w:hAnsiTheme="minorHAnsi"/>
        </w:rPr>
        <w:t xml:space="preserve">remplacer </w:t>
      </w:r>
      <w:r w:rsidR="0001387A">
        <w:rPr>
          <w:rFonts w:asciiTheme="minorHAnsi" w:hAnsiTheme="minorHAnsi"/>
        </w:rPr>
        <w:t>l</w:t>
      </w:r>
      <w:r w:rsidR="00486539">
        <w:rPr>
          <w:rFonts w:asciiTheme="minorHAnsi" w:hAnsiTheme="minorHAnsi"/>
        </w:rPr>
        <w:t>eur</w:t>
      </w:r>
      <w:r w:rsidR="0001387A">
        <w:rPr>
          <w:rFonts w:asciiTheme="minorHAnsi" w:hAnsiTheme="minorHAnsi"/>
        </w:rPr>
        <w:t xml:space="preserve"> publication sur le site Canada.ca.</w:t>
      </w:r>
    </w:p>
    <w:p w14:paraId="44EE2F01" w14:textId="77777777" w:rsidR="005B7719" w:rsidRDefault="005B7719" w:rsidP="0054136B">
      <w:pPr>
        <w:rPr>
          <w:rFonts w:asciiTheme="minorHAnsi" w:hAnsiTheme="minorHAnsi"/>
        </w:rPr>
      </w:pPr>
    </w:p>
    <w:p w14:paraId="214E8957" w14:textId="49627ADD" w:rsidR="0054136B" w:rsidRDefault="003F1A32" w:rsidP="0054136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Lors de la publication de leurs normes de service et renseignements sur le rendement, les ministères doivent tenir compte des points énumérés à la section</w:t>
      </w:r>
      <w:r w:rsidR="001A3ACB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2.9.5 de la </w:t>
      </w:r>
      <w:hyperlink r:id="rId15" w:history="1">
        <w:r>
          <w:rPr>
            <w:rStyle w:val="Hyperlink"/>
            <w:rFonts w:asciiTheme="minorHAnsi" w:hAnsiTheme="minorHAnsi"/>
          </w:rPr>
          <w:t>Ligne directrice sur la gestion de services</w:t>
        </w:r>
      </w:hyperlink>
      <w:r>
        <w:rPr>
          <w:rFonts w:asciiTheme="minorHAnsi" w:hAnsiTheme="minorHAnsi"/>
        </w:rPr>
        <w:t>.</w:t>
      </w:r>
    </w:p>
    <w:p w14:paraId="56781E31" w14:textId="77777777" w:rsidR="00461FF8" w:rsidRPr="004E6275" w:rsidRDefault="00461FF8" w:rsidP="0054136B">
      <w:pPr>
        <w:rPr>
          <w:rFonts w:asciiTheme="minorHAnsi" w:hAnsiTheme="minorHAnsi"/>
        </w:rPr>
      </w:pPr>
    </w:p>
    <w:p w14:paraId="6210AA63" w14:textId="77777777" w:rsidR="000561A3" w:rsidRPr="004E6275" w:rsidRDefault="000561A3" w:rsidP="0054136B">
      <w:pPr>
        <w:rPr>
          <w:rFonts w:asciiTheme="minorHAnsi" w:hAnsiTheme="minorHAnsi"/>
        </w:rPr>
      </w:pPr>
    </w:p>
    <w:p w14:paraId="34658330" w14:textId="77777777" w:rsidR="000561A3" w:rsidRPr="004E6275" w:rsidRDefault="000561A3" w:rsidP="0054136B">
      <w:pPr>
        <w:rPr>
          <w:rFonts w:asciiTheme="minorHAnsi" w:hAnsiTheme="minorHAnsi"/>
        </w:rPr>
      </w:pPr>
    </w:p>
    <w:p w14:paraId="5E4A3FD2" w14:textId="526DE419" w:rsidR="007201A6" w:rsidRPr="004E6275" w:rsidRDefault="006622A7" w:rsidP="00D931B2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Annexe B</w:t>
      </w:r>
      <w:r w:rsidR="001A3ACB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: Exemple de modèle</w:t>
      </w:r>
    </w:p>
    <w:p w14:paraId="26B5D2EC" w14:textId="2BB83028" w:rsidR="003E6CD0" w:rsidRDefault="00074FA1" w:rsidP="003E6CD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8"/>
          <w:szCs w:val="48"/>
        </w:rPr>
        <w:t>Normes de service et rense</w:t>
      </w:r>
      <w:r w:rsidR="00486539">
        <w:rPr>
          <w:rFonts w:ascii="Times New Roman" w:hAnsi="Times New Roman"/>
          <w:b/>
          <w:bCs/>
          <w:sz w:val="48"/>
          <w:szCs w:val="48"/>
        </w:rPr>
        <w:t>ignements sur le rendement de [n</w:t>
      </w:r>
      <w:r>
        <w:rPr>
          <w:rFonts w:ascii="Times New Roman" w:hAnsi="Times New Roman"/>
          <w:b/>
          <w:bCs/>
          <w:sz w:val="48"/>
          <w:szCs w:val="48"/>
        </w:rPr>
        <w:t>om de l’institution] pour l</w:t>
      </w:r>
      <w:r w:rsidR="001A3ACB">
        <w:rPr>
          <w:rFonts w:ascii="Times New Roman" w:hAnsi="Times New Roman"/>
          <w:b/>
          <w:bCs/>
          <w:sz w:val="48"/>
          <w:szCs w:val="48"/>
        </w:rPr>
        <w:t>’</w:t>
      </w:r>
      <w:r>
        <w:rPr>
          <w:rFonts w:ascii="Times New Roman" w:hAnsi="Times New Roman"/>
          <w:b/>
          <w:bCs/>
          <w:sz w:val="48"/>
          <w:szCs w:val="48"/>
        </w:rPr>
        <w:t>exercice</w:t>
      </w:r>
      <w:r w:rsidR="00486539">
        <w:rPr>
          <w:rFonts w:ascii="Times New Roman" w:hAnsi="Times New Roman"/>
          <w:b/>
          <w:bCs/>
          <w:sz w:val="48"/>
          <w:szCs w:val="48"/>
        </w:rPr>
        <w:t xml:space="preserve"> financier</w:t>
      </w:r>
      <w:r>
        <w:rPr>
          <w:rFonts w:ascii="Times New Roman" w:hAnsi="Times New Roman"/>
          <w:b/>
          <w:bCs/>
          <w:sz w:val="48"/>
          <w:szCs w:val="48"/>
        </w:rPr>
        <w:t xml:space="preserve"> 2018</w:t>
      </w:r>
      <w:r w:rsidR="00486539">
        <w:rPr>
          <w:rFonts w:ascii="Times New Roman" w:hAnsi="Times New Roman"/>
          <w:b/>
          <w:bCs/>
          <w:sz w:val="48"/>
          <w:szCs w:val="48"/>
        </w:rPr>
        <w:noBreakHyphen/>
      </w:r>
      <w:r>
        <w:rPr>
          <w:rFonts w:ascii="Times New Roman" w:hAnsi="Times New Roman"/>
          <w:b/>
          <w:bCs/>
          <w:sz w:val="48"/>
          <w:szCs w:val="48"/>
        </w:rPr>
        <w:t>2019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34FE3DB" w14:textId="28697F07" w:rsidR="00074FA1" w:rsidRPr="003E6CD0" w:rsidRDefault="00D97813" w:rsidP="003E6CD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hyperlink r:id="rId16" w:history="1">
        <w:r w:rsidR="009575F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[Nom de l’institution]</w:t>
        </w:r>
      </w:hyperlink>
    </w:p>
    <w:p w14:paraId="2AE50960" w14:textId="770CACFA" w:rsidR="00074FA1" w:rsidRPr="004E6275" w:rsidRDefault="00074FA1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présent rapport porte sur l</w:t>
      </w:r>
      <w:r w:rsidR="001A3A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exercice</w:t>
      </w:r>
      <w:r w:rsidR="00486539">
        <w:rPr>
          <w:rFonts w:ascii="Times New Roman" w:hAnsi="Times New Roman"/>
          <w:sz w:val="24"/>
          <w:szCs w:val="24"/>
        </w:rPr>
        <w:t xml:space="preserve"> financier</w:t>
      </w:r>
      <w:r w:rsidR="001A3A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2018</w:t>
      </w:r>
      <w:r w:rsidR="00486539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2019. Un </w:t>
      </w:r>
      <w:r w:rsidR="00486539">
        <w:rPr>
          <w:rFonts w:ascii="Times New Roman" w:hAnsi="Times New Roman"/>
          <w:sz w:val="24"/>
          <w:szCs w:val="24"/>
        </w:rPr>
        <w:t xml:space="preserve">exercice </w:t>
      </w:r>
      <w:r>
        <w:rPr>
          <w:rFonts w:ascii="Times New Roman" w:hAnsi="Times New Roman"/>
          <w:sz w:val="24"/>
          <w:szCs w:val="24"/>
        </w:rPr>
        <w:t>financi</w:t>
      </w:r>
      <w:r w:rsidR="00486539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s</w:t>
      </w:r>
      <w:r w:rsidR="001A3A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é</w:t>
      </w:r>
      <w:r w:rsidR="00486539">
        <w:rPr>
          <w:rFonts w:ascii="Times New Roman" w:hAnsi="Times New Roman"/>
          <w:sz w:val="24"/>
          <w:szCs w:val="24"/>
        </w:rPr>
        <w:t xml:space="preserve">chelonne </w:t>
      </w:r>
      <w:r>
        <w:rPr>
          <w:rFonts w:ascii="Times New Roman" w:hAnsi="Times New Roman"/>
          <w:sz w:val="24"/>
          <w:szCs w:val="24"/>
        </w:rPr>
        <w:t>du 1</w:t>
      </w:r>
      <w:r w:rsidRPr="000001CF">
        <w:rPr>
          <w:rFonts w:ascii="Times New Roman" w:hAnsi="Times New Roman"/>
          <w:sz w:val="24"/>
          <w:szCs w:val="24"/>
          <w:vertAlign w:val="superscript"/>
        </w:rPr>
        <w:t>er</w:t>
      </w:r>
      <w:r w:rsidR="001A3A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avril au 31</w:t>
      </w:r>
      <w:r w:rsidR="001A3A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mars.</w:t>
      </w:r>
    </w:p>
    <w:p w14:paraId="2FA55FED" w14:textId="77777777" w:rsidR="00074FA1" w:rsidRPr="004E6275" w:rsidRDefault="00074FA1" w:rsidP="00074FA1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Sur cette page</w:t>
      </w:r>
    </w:p>
    <w:p w14:paraId="765DCC7A" w14:textId="07E43926" w:rsidR="00074FA1" w:rsidRPr="004E6275" w:rsidRDefault="00D97813" w:rsidP="00074FA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17" w:anchor="toc1" w:history="1">
        <w:r w:rsidR="009575F9">
          <w:rPr>
            <w:rFonts w:ascii="Times New Roman" w:hAnsi="Times New Roman"/>
            <w:color w:val="0000FF"/>
            <w:sz w:val="24"/>
            <w:szCs w:val="24"/>
            <w:u w:val="single"/>
          </w:rPr>
          <w:t>[Nom du service</w:t>
        </w:r>
        <w:r w:rsidR="001A3ACB">
          <w:rPr>
            <w:rFonts w:ascii="Times New Roman" w:hAnsi="Times New Roman"/>
            <w:color w:val="0000FF"/>
            <w:sz w:val="24"/>
            <w:szCs w:val="24"/>
            <w:u w:val="single"/>
          </w:rPr>
          <w:t> </w:t>
        </w:r>
        <w:r w:rsidR="009575F9">
          <w:rPr>
            <w:rFonts w:ascii="Times New Roman" w:hAnsi="Times New Roman"/>
            <w:color w:val="0000FF"/>
            <w:sz w:val="24"/>
            <w:szCs w:val="24"/>
            <w:u w:val="single"/>
          </w:rPr>
          <w:t>1]</w:t>
        </w:r>
      </w:hyperlink>
    </w:p>
    <w:p w14:paraId="077A6C2B" w14:textId="636049F2" w:rsidR="00074FA1" w:rsidRPr="004E6275" w:rsidRDefault="00D97813" w:rsidP="00074FA1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18" w:anchor="toc2" w:history="1">
        <w:r w:rsidR="009575F9">
          <w:rPr>
            <w:rFonts w:ascii="Times New Roman" w:hAnsi="Times New Roman"/>
            <w:color w:val="0000FF"/>
            <w:sz w:val="24"/>
            <w:szCs w:val="24"/>
            <w:u w:val="single"/>
          </w:rPr>
          <w:t>[Nom du service</w:t>
        </w:r>
        <w:r w:rsidR="001A3ACB">
          <w:rPr>
            <w:rFonts w:ascii="Times New Roman" w:hAnsi="Times New Roman"/>
            <w:color w:val="0000FF"/>
            <w:sz w:val="24"/>
            <w:szCs w:val="24"/>
            <w:u w:val="single"/>
          </w:rPr>
          <w:t> </w:t>
        </w:r>
        <w:r w:rsidR="009575F9">
          <w:rPr>
            <w:rFonts w:ascii="Times New Roman" w:hAnsi="Times New Roman"/>
            <w:color w:val="0000FF"/>
            <w:sz w:val="24"/>
            <w:szCs w:val="24"/>
            <w:u w:val="single"/>
          </w:rPr>
          <w:t>2]</w:t>
        </w:r>
      </w:hyperlink>
    </w:p>
    <w:p w14:paraId="1F2F78CE" w14:textId="697A6183" w:rsidR="00074FA1" w:rsidRPr="004E6275" w:rsidRDefault="00486539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Suivant</w:t>
      </w:r>
      <w:r w:rsidR="00D2326A">
        <w:rPr>
          <w:rFonts w:ascii="Times New Roman" w:hAnsi="Times New Roman"/>
          <w:sz w:val="24"/>
          <w:szCs w:val="24"/>
        </w:rPr>
        <w:t xml:space="preserve"> son engagement continu à fournir un service de qualité aux clients</w:t>
      </w:r>
      <w:r>
        <w:rPr>
          <w:rFonts w:ascii="Times New Roman" w:hAnsi="Times New Roman"/>
          <w:sz w:val="24"/>
          <w:szCs w:val="24"/>
        </w:rPr>
        <w:t>,</w:t>
      </w:r>
      <w:r w:rsidR="00D2326A">
        <w:rPr>
          <w:rFonts w:ascii="Times New Roman" w:hAnsi="Times New Roman"/>
          <w:sz w:val="24"/>
          <w:szCs w:val="24"/>
        </w:rPr>
        <w:t xml:space="preserve"> </w:t>
      </w:r>
      <w:r w:rsidR="00D2326A">
        <w:rPr>
          <w:rFonts w:ascii="Times New Roman" w:hAnsi="Times New Roman"/>
          <w:color w:val="0000FF"/>
          <w:sz w:val="24"/>
          <w:szCs w:val="24"/>
        </w:rPr>
        <w:t>[nom de l</w:t>
      </w:r>
      <w:r w:rsidR="001A3ACB">
        <w:rPr>
          <w:rFonts w:ascii="Times New Roman" w:hAnsi="Times New Roman"/>
          <w:color w:val="0000FF"/>
          <w:sz w:val="24"/>
          <w:szCs w:val="24"/>
        </w:rPr>
        <w:t>’</w:t>
      </w:r>
      <w:r w:rsidR="00D2326A">
        <w:rPr>
          <w:rFonts w:ascii="Times New Roman" w:hAnsi="Times New Roman"/>
          <w:color w:val="0000FF"/>
          <w:sz w:val="24"/>
          <w:szCs w:val="24"/>
        </w:rPr>
        <w:t>institution]</w:t>
      </w:r>
      <w:r w:rsidR="00D2326A">
        <w:rPr>
          <w:rFonts w:ascii="Times New Roman" w:hAnsi="Times New Roman"/>
          <w:sz w:val="24"/>
          <w:szCs w:val="24"/>
        </w:rPr>
        <w:t xml:space="preserve"> a élaboré des normes de service. Les normes de service déterminent le niveau de rendement </w:t>
      </w:r>
      <w:r>
        <w:rPr>
          <w:rFonts w:ascii="Times New Roman" w:hAnsi="Times New Roman"/>
          <w:sz w:val="24"/>
          <w:szCs w:val="24"/>
        </w:rPr>
        <w:t>que</w:t>
      </w:r>
      <w:r w:rsidR="00D2326A">
        <w:rPr>
          <w:rFonts w:ascii="Times New Roman" w:hAnsi="Times New Roman"/>
          <w:sz w:val="24"/>
          <w:szCs w:val="24"/>
        </w:rPr>
        <w:t xml:space="preserve"> les citoyens peuvent raisonnablement s</w:t>
      </w:r>
      <w:r w:rsidR="001A3ACB">
        <w:rPr>
          <w:rFonts w:ascii="Times New Roman" w:hAnsi="Times New Roman"/>
          <w:sz w:val="24"/>
          <w:szCs w:val="24"/>
        </w:rPr>
        <w:t>’</w:t>
      </w:r>
      <w:r w:rsidR="00D2326A">
        <w:rPr>
          <w:rFonts w:ascii="Times New Roman" w:hAnsi="Times New Roman"/>
          <w:sz w:val="24"/>
          <w:szCs w:val="24"/>
        </w:rPr>
        <w:t xml:space="preserve">attendre à recevoir dans des circonstances normales. </w:t>
      </w:r>
    </w:p>
    <w:p w14:paraId="7B3A40C9" w14:textId="45A994BF" w:rsidR="00074FA1" w:rsidRPr="004E6275" w:rsidRDefault="00923463" w:rsidP="00074F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[Les institutions peuvent inclure des renseignements </w:t>
      </w:r>
      <w:r w:rsidR="00486539">
        <w:rPr>
          <w:rFonts w:ascii="Times New Roman" w:hAnsi="Times New Roman"/>
          <w:sz w:val="24"/>
          <w:szCs w:val="24"/>
        </w:rPr>
        <w:t>additionnel</w:t>
      </w:r>
      <w:r w:rsidR="000753E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tel</w:t>
      </w:r>
      <w:r w:rsidR="000753E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que</w:t>
      </w:r>
      <w:r w:rsidR="00486539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«</w:t>
      </w:r>
      <w:r w:rsidR="001A3ACB">
        <w:rPr>
          <w:rFonts w:ascii="Times New Roman" w:hAnsi="Times New Roman"/>
          <w:sz w:val="24"/>
          <w:szCs w:val="24"/>
        </w:rPr>
        <w:t> </w:t>
      </w:r>
      <w:r w:rsidR="004865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ous avons dépassé nos objectifs de rendement pour 89</w:t>
      </w:r>
      <w:r w:rsidR="00486539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services que nous offrons. Nos résultats sur le rendement sont décrits en détail ci-dessous.</w:t>
      </w:r>
      <w:r w:rsidR="001A3A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»]</w:t>
      </w:r>
    </w:p>
    <w:p w14:paraId="167BE5C8" w14:textId="5F08835B" w:rsidR="00142F38" w:rsidRPr="004E6275" w:rsidRDefault="00142F38" w:rsidP="00142F3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[Nom du service</w:t>
      </w:r>
      <w:r w:rsidR="001A3ACB">
        <w:rPr>
          <w:rFonts w:ascii="Times New Roman" w:hAnsi="Times New Roman"/>
          <w:b/>
          <w:bCs/>
          <w:color w:val="FF0000"/>
          <w:sz w:val="36"/>
          <w:szCs w:val="36"/>
        </w:rPr>
        <w:t> </w:t>
      </w:r>
      <w:r>
        <w:rPr>
          <w:rFonts w:ascii="Times New Roman" w:hAnsi="Times New Roman"/>
          <w:b/>
          <w:bCs/>
          <w:sz w:val="36"/>
          <w:szCs w:val="36"/>
        </w:rPr>
        <w:t>1]</w:t>
      </w:r>
    </w:p>
    <w:p w14:paraId="2A2AD5F1" w14:textId="20FEE9BC" w:rsidR="00142F38" w:rsidRPr="004E6275" w:rsidRDefault="007D6935" w:rsidP="00142F38">
      <w:pPr>
        <w:spacing w:before="100" w:beforeAutospacing="1" w:after="100" w:afterAutospacing="1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Description du service</w:t>
      </w:r>
      <w:r w:rsidR="001A3AC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FF"/>
          <w:sz w:val="24"/>
          <w:szCs w:val="24"/>
        </w:rPr>
        <w:t>[</w:t>
      </w:r>
      <w:r w:rsidR="000753E0">
        <w:rPr>
          <w:rFonts w:ascii="Times New Roman" w:hAnsi="Times New Roman"/>
          <w:bCs/>
          <w:color w:val="0000FF"/>
          <w:sz w:val="24"/>
          <w:szCs w:val="24"/>
        </w:rPr>
        <w:t>d</w:t>
      </w:r>
      <w:r>
        <w:rPr>
          <w:rFonts w:ascii="Times New Roman" w:hAnsi="Times New Roman"/>
          <w:bCs/>
          <w:color w:val="0000FF"/>
          <w:sz w:val="24"/>
          <w:szCs w:val="24"/>
        </w:rPr>
        <w:t>escription du service]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(NOUVEAU)</w:t>
      </w:r>
    </w:p>
    <w:p w14:paraId="353AC208" w14:textId="71C04F05" w:rsidR="00142F38" w:rsidRPr="004E6275" w:rsidRDefault="001F5FA1" w:rsidP="00142F3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Norme de service :</w:t>
      </w:r>
      <w:r w:rsidR="00332DB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épond</w:t>
      </w:r>
      <w:r w:rsidR="00332DBC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aux appels téléphoniques en </w:t>
      </w:r>
      <w:r w:rsidR="00332DBC">
        <w:rPr>
          <w:rFonts w:ascii="Times New Roman" w:hAnsi="Times New Roman"/>
          <w:sz w:val="24"/>
          <w:szCs w:val="24"/>
        </w:rPr>
        <w:t>moins de dix</w:t>
      </w:r>
      <w:r w:rsidR="001A3ACB">
        <w:rPr>
          <w:rFonts w:ascii="Times New Roman" w:hAnsi="Times New Roman"/>
          <w:sz w:val="24"/>
          <w:szCs w:val="24"/>
        </w:rPr>
        <w:t> </w:t>
      </w:r>
      <w:r w:rsidR="00332DBC">
        <w:rPr>
          <w:rFonts w:ascii="Times New Roman" w:hAnsi="Times New Roman"/>
          <w:sz w:val="24"/>
          <w:szCs w:val="24"/>
        </w:rPr>
        <w:t>minutes</w:t>
      </w:r>
    </w:p>
    <w:p w14:paraId="2A328E77" w14:textId="2108FDAF" w:rsidR="00142F38" w:rsidRPr="004E6275" w:rsidRDefault="001F5FA1" w:rsidP="00142F3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Objectif de rendement :</w:t>
      </w:r>
      <w:r>
        <w:rPr>
          <w:rFonts w:ascii="Times New Roman" w:hAnsi="Times New Roman"/>
          <w:sz w:val="24"/>
          <w:szCs w:val="24"/>
        </w:rPr>
        <w:t xml:space="preserve"> </w:t>
      </w:r>
      <w:r w:rsidR="00332DBC">
        <w:rPr>
          <w:rFonts w:ascii="Times New Roman" w:hAnsi="Times New Roman"/>
          <w:sz w:val="24"/>
          <w:szCs w:val="24"/>
        </w:rPr>
        <w:t>Suivre</w:t>
      </w:r>
      <w:r>
        <w:rPr>
          <w:rFonts w:ascii="Times New Roman" w:hAnsi="Times New Roman"/>
          <w:sz w:val="24"/>
          <w:szCs w:val="24"/>
        </w:rPr>
        <w:t xml:space="preserve"> la norme pour au moins 95</w:t>
      </w:r>
      <w:r w:rsidR="00332DBC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appels reçus</w:t>
      </w:r>
    </w:p>
    <w:p w14:paraId="4EF70B69" w14:textId="2821A775" w:rsidR="00920156" w:rsidRPr="004E6275" w:rsidRDefault="001F5FA1" w:rsidP="0092015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Résultats liés au rendement au cours de l</w:t>
      </w:r>
      <w:r w:rsidR="001A3ACB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exercice</w:t>
      </w:r>
      <w:r w:rsidR="00332DBC">
        <w:rPr>
          <w:rFonts w:ascii="Times New Roman" w:hAnsi="Times New Roman"/>
          <w:b/>
          <w:bCs/>
          <w:sz w:val="24"/>
          <w:szCs w:val="24"/>
        </w:rPr>
        <w:t xml:space="preserve"> financier</w:t>
      </w:r>
      <w:r w:rsidR="001A3AC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="00332DBC">
        <w:rPr>
          <w:rFonts w:ascii="Times New Roman" w:hAnsi="Times New Roman"/>
          <w:b/>
          <w:bCs/>
          <w:sz w:val="24"/>
          <w:szCs w:val="24"/>
        </w:rPr>
        <w:noBreakHyphen/>
      </w:r>
      <w:r>
        <w:rPr>
          <w:rFonts w:ascii="Times New Roman" w:hAnsi="Times New Roman"/>
          <w:b/>
          <w:bCs/>
          <w:sz w:val="24"/>
          <w:szCs w:val="24"/>
        </w:rPr>
        <w:t>2019 :</w:t>
      </w:r>
      <w:r>
        <w:rPr>
          <w:rFonts w:ascii="Times New Roman" w:hAnsi="Times New Roman"/>
          <w:sz w:val="24"/>
          <w:szCs w:val="24"/>
        </w:rPr>
        <w:t xml:space="preserve"> Nous avons répondu à 98</w:t>
      </w:r>
      <w:r w:rsidR="00332DBC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appels téléphoniques</w:t>
      </w:r>
      <w:r w:rsidR="007B6FB7">
        <w:rPr>
          <w:rFonts w:ascii="Times New Roman" w:hAnsi="Times New Roman"/>
          <w:sz w:val="24"/>
          <w:szCs w:val="24"/>
        </w:rPr>
        <w:t xml:space="preserve"> </w:t>
      </w:r>
      <w:r w:rsidR="00332DBC">
        <w:rPr>
          <w:rFonts w:ascii="Times New Roman" w:hAnsi="Times New Roman"/>
          <w:sz w:val="24"/>
          <w:szCs w:val="24"/>
        </w:rPr>
        <w:t>dans le délai standard de dix</w:t>
      </w:r>
      <w:r>
        <w:rPr>
          <w:rFonts w:ascii="Times New Roman" w:hAnsi="Times New Roman"/>
          <w:sz w:val="24"/>
          <w:szCs w:val="24"/>
        </w:rPr>
        <w:t xml:space="preserve"> </w:t>
      </w:r>
      <w:r w:rsidR="007B6FB7"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>.</w:t>
      </w:r>
    </w:p>
    <w:p w14:paraId="2780F301" w14:textId="28373624" w:rsidR="00920156" w:rsidRPr="004E6275" w:rsidRDefault="00920156" w:rsidP="00A6433C">
      <w:pPr>
        <w:keepNext/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[Nom du service</w:t>
      </w:r>
      <w:r w:rsidR="001A3ACB">
        <w:rPr>
          <w:rFonts w:ascii="Times New Roman" w:hAnsi="Times New Roman"/>
          <w:b/>
          <w:bCs/>
          <w:sz w:val="36"/>
          <w:szCs w:val="36"/>
        </w:rPr>
        <w:t> </w:t>
      </w:r>
      <w:r>
        <w:rPr>
          <w:rFonts w:ascii="Times New Roman" w:hAnsi="Times New Roman"/>
          <w:b/>
          <w:bCs/>
          <w:sz w:val="36"/>
          <w:szCs w:val="36"/>
        </w:rPr>
        <w:t>2]</w:t>
      </w:r>
    </w:p>
    <w:p w14:paraId="18F733F3" w14:textId="18715AFE" w:rsidR="00920156" w:rsidRPr="004E6275" w:rsidRDefault="004B5E47" w:rsidP="00A6433C">
      <w:pPr>
        <w:keepNext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Description du service</w:t>
      </w:r>
      <w:r w:rsidR="001A3AC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FF"/>
          <w:sz w:val="24"/>
          <w:szCs w:val="24"/>
        </w:rPr>
        <w:t>[</w:t>
      </w:r>
      <w:r w:rsidR="00CB579E">
        <w:rPr>
          <w:rFonts w:ascii="Times New Roman" w:hAnsi="Times New Roman"/>
          <w:bCs/>
          <w:color w:val="0000FF"/>
          <w:sz w:val="24"/>
          <w:szCs w:val="24"/>
        </w:rPr>
        <w:t>d</w:t>
      </w:r>
      <w:r>
        <w:rPr>
          <w:rFonts w:ascii="Times New Roman" w:hAnsi="Times New Roman"/>
          <w:bCs/>
          <w:color w:val="0000FF"/>
          <w:sz w:val="24"/>
          <w:szCs w:val="24"/>
        </w:rPr>
        <w:t>escription du service]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(NOUVEAU)</w:t>
      </w:r>
    </w:p>
    <w:p w14:paraId="52E1BB81" w14:textId="39468B07" w:rsidR="00920156" w:rsidRPr="004E6275" w:rsidRDefault="00332DBC" w:rsidP="0092015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Période</w:t>
      </w:r>
      <w:r w:rsidR="00451F92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1A3ACB">
        <w:rPr>
          <w:rFonts w:ascii="Times New Roman" w:hAnsi="Times New Roman"/>
          <w:b/>
          <w:bCs/>
          <w:sz w:val="24"/>
          <w:szCs w:val="24"/>
        </w:rPr>
        <w:t>’</w:t>
      </w:r>
      <w:r w:rsidR="00451F92">
        <w:rPr>
          <w:rFonts w:ascii="Times New Roman" w:hAnsi="Times New Roman"/>
          <w:b/>
          <w:bCs/>
          <w:sz w:val="24"/>
          <w:szCs w:val="24"/>
        </w:rPr>
        <w:t>attente pour une décision concernant une demande</w:t>
      </w:r>
    </w:p>
    <w:p w14:paraId="38E32665" w14:textId="574348A3" w:rsidR="00920156" w:rsidRPr="004E6275" w:rsidRDefault="00920156" w:rsidP="0092015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Demandes soumises en personne à un bureau de service</w:t>
      </w:r>
    </w:p>
    <w:p w14:paraId="7D44C50F" w14:textId="56CCC968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Norme de service :</w:t>
      </w:r>
      <w:r w:rsidR="00332DBC">
        <w:rPr>
          <w:rFonts w:ascii="Times New Roman" w:hAnsi="Times New Roman"/>
          <w:sz w:val="24"/>
          <w:szCs w:val="24"/>
        </w:rPr>
        <w:t xml:space="preserve"> </w:t>
      </w:r>
      <w:r w:rsidR="00480584">
        <w:rPr>
          <w:rFonts w:ascii="Times New Roman" w:hAnsi="Times New Roman"/>
          <w:sz w:val="24"/>
          <w:szCs w:val="24"/>
        </w:rPr>
        <w:t>Rend</w:t>
      </w:r>
      <w:r w:rsidR="00332D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une décision finale </w:t>
      </w:r>
      <w:r w:rsidR="0052625C">
        <w:rPr>
          <w:rFonts w:ascii="Times New Roman" w:hAnsi="Times New Roman"/>
          <w:sz w:val="24"/>
          <w:szCs w:val="24"/>
        </w:rPr>
        <w:t xml:space="preserve">concernant </w:t>
      </w:r>
      <w:r>
        <w:rPr>
          <w:rFonts w:ascii="Times New Roman" w:hAnsi="Times New Roman"/>
          <w:sz w:val="24"/>
          <w:szCs w:val="24"/>
        </w:rPr>
        <w:t>une demande en</w:t>
      </w:r>
      <w:r w:rsidR="00332DBC">
        <w:rPr>
          <w:rFonts w:ascii="Times New Roman" w:hAnsi="Times New Roman"/>
          <w:sz w:val="24"/>
          <w:szCs w:val="24"/>
        </w:rPr>
        <w:t xml:space="preserve"> moins de</w:t>
      </w:r>
      <w:r>
        <w:rPr>
          <w:rFonts w:ascii="Times New Roman" w:hAnsi="Times New Roman"/>
          <w:sz w:val="24"/>
          <w:szCs w:val="24"/>
        </w:rPr>
        <w:t xml:space="preserve"> 35</w:t>
      </w:r>
      <w:r w:rsidR="00332DB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jours ouvrables</w:t>
      </w:r>
    </w:p>
    <w:p w14:paraId="5248BE85" w14:textId="75FCCA1A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Objectif de rendement :</w:t>
      </w:r>
      <w:r>
        <w:rPr>
          <w:rFonts w:ascii="Times New Roman" w:hAnsi="Times New Roman"/>
          <w:sz w:val="24"/>
          <w:szCs w:val="24"/>
        </w:rPr>
        <w:t xml:space="preserve"> </w:t>
      </w:r>
      <w:r w:rsidR="00332DBC">
        <w:rPr>
          <w:rFonts w:ascii="Times New Roman" w:hAnsi="Times New Roman"/>
          <w:sz w:val="24"/>
          <w:szCs w:val="24"/>
        </w:rPr>
        <w:t>Suivre</w:t>
      </w:r>
      <w:r>
        <w:rPr>
          <w:rFonts w:ascii="Times New Roman" w:hAnsi="Times New Roman"/>
          <w:sz w:val="24"/>
          <w:szCs w:val="24"/>
        </w:rPr>
        <w:t xml:space="preserve"> la norme pour au moins 90</w:t>
      </w:r>
      <w:r w:rsidR="00332DBC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demandes </w:t>
      </w:r>
    </w:p>
    <w:p w14:paraId="4BC1C7B6" w14:textId="020538D7" w:rsidR="00920156" w:rsidRPr="004E6275" w:rsidRDefault="001F5FA1" w:rsidP="0092015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Résultats liés au rendement au cours de l</w:t>
      </w:r>
      <w:r w:rsidR="001A3ACB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exercice</w:t>
      </w:r>
      <w:r w:rsidR="00332DBC">
        <w:rPr>
          <w:rFonts w:ascii="Times New Roman" w:hAnsi="Times New Roman"/>
          <w:b/>
          <w:bCs/>
          <w:sz w:val="24"/>
          <w:szCs w:val="24"/>
        </w:rPr>
        <w:t xml:space="preserve"> financier</w:t>
      </w:r>
      <w:r w:rsidR="001A3AC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="00332DBC">
        <w:rPr>
          <w:rFonts w:ascii="Times New Roman" w:hAnsi="Times New Roman"/>
          <w:b/>
          <w:bCs/>
          <w:sz w:val="24"/>
          <w:szCs w:val="24"/>
        </w:rPr>
        <w:noBreakHyphen/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="00332DB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Nous avons </w:t>
      </w:r>
      <w:r w:rsidR="001A3ACB">
        <w:rPr>
          <w:rFonts w:ascii="Times New Roman" w:hAnsi="Times New Roman"/>
          <w:sz w:val="24"/>
          <w:szCs w:val="24"/>
        </w:rPr>
        <w:t>rendu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une décision finale </w:t>
      </w:r>
      <w:r w:rsidR="00332DBC">
        <w:rPr>
          <w:rFonts w:ascii="Times New Roman" w:hAnsi="Times New Roman"/>
          <w:sz w:val="24"/>
          <w:szCs w:val="24"/>
        </w:rPr>
        <w:t xml:space="preserve">dans le délai standard de </w:t>
      </w:r>
      <w:r>
        <w:rPr>
          <w:rFonts w:ascii="Times New Roman" w:hAnsi="Times New Roman"/>
          <w:sz w:val="24"/>
          <w:szCs w:val="24"/>
        </w:rPr>
        <w:t>35</w:t>
      </w:r>
      <w:r w:rsidR="00332DB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jours ouvrables </w:t>
      </w:r>
      <w:r>
        <w:rPr>
          <w:rFonts w:ascii="Times New Roman" w:hAnsi="Times New Roman"/>
          <w:bCs/>
          <w:sz w:val="24"/>
          <w:szCs w:val="24"/>
        </w:rPr>
        <w:t xml:space="preserve">pour </w:t>
      </w:r>
      <w:r>
        <w:rPr>
          <w:rFonts w:ascii="Times New Roman" w:hAnsi="Times New Roman"/>
          <w:sz w:val="24"/>
          <w:szCs w:val="24"/>
        </w:rPr>
        <w:t>96</w:t>
      </w:r>
      <w:r w:rsidR="00332DBC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demandes. </w:t>
      </w:r>
    </w:p>
    <w:p w14:paraId="64177153" w14:textId="77777777" w:rsidR="00920156" w:rsidRPr="004E6275" w:rsidRDefault="00920156" w:rsidP="0092015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Demandes soumises par la poste</w:t>
      </w:r>
    </w:p>
    <w:p w14:paraId="72635FAE" w14:textId="52A2FCA9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Norme de service :</w:t>
      </w:r>
      <w:r w:rsidR="0089180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endre une décision finale </w:t>
      </w:r>
      <w:r w:rsidR="002D73B7">
        <w:rPr>
          <w:rFonts w:ascii="Times New Roman" w:hAnsi="Times New Roman"/>
          <w:sz w:val="24"/>
          <w:szCs w:val="24"/>
        </w:rPr>
        <w:t xml:space="preserve">concernant </w:t>
      </w:r>
      <w:r>
        <w:rPr>
          <w:rFonts w:ascii="Times New Roman" w:hAnsi="Times New Roman"/>
          <w:sz w:val="24"/>
          <w:szCs w:val="24"/>
        </w:rPr>
        <w:t>une demande en</w:t>
      </w:r>
      <w:r w:rsidR="00891804">
        <w:rPr>
          <w:rFonts w:ascii="Times New Roman" w:hAnsi="Times New Roman"/>
          <w:sz w:val="24"/>
          <w:szCs w:val="24"/>
        </w:rPr>
        <w:t xml:space="preserve"> moins de </w:t>
      </w:r>
      <w:r>
        <w:rPr>
          <w:rFonts w:ascii="Times New Roman" w:hAnsi="Times New Roman"/>
          <w:sz w:val="24"/>
          <w:szCs w:val="24"/>
        </w:rPr>
        <w:t xml:space="preserve"> 40</w:t>
      </w:r>
      <w:r w:rsidR="001A3A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jours ouvrables</w:t>
      </w:r>
    </w:p>
    <w:p w14:paraId="695A90F1" w14:textId="13124E69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Objectif de rendement :</w:t>
      </w:r>
      <w:r>
        <w:rPr>
          <w:rFonts w:ascii="Times New Roman" w:hAnsi="Times New Roman"/>
          <w:sz w:val="24"/>
          <w:szCs w:val="24"/>
        </w:rPr>
        <w:t xml:space="preserve"> </w:t>
      </w:r>
      <w:r w:rsidR="00891804">
        <w:rPr>
          <w:rFonts w:ascii="Times New Roman" w:hAnsi="Times New Roman"/>
          <w:sz w:val="24"/>
          <w:szCs w:val="24"/>
        </w:rPr>
        <w:t>Suivre</w:t>
      </w:r>
      <w:r>
        <w:rPr>
          <w:rFonts w:ascii="Times New Roman" w:hAnsi="Times New Roman"/>
          <w:sz w:val="24"/>
          <w:szCs w:val="24"/>
        </w:rPr>
        <w:t xml:space="preserve"> la norme pour au moins 90</w:t>
      </w:r>
      <w:r w:rsidR="00891804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demandes</w:t>
      </w:r>
    </w:p>
    <w:p w14:paraId="52775BC5" w14:textId="1AEA7622" w:rsidR="00920156" w:rsidRPr="004E6275" w:rsidRDefault="001F5FA1" w:rsidP="0092015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Résultats liés au rendement au cours de l</w:t>
      </w:r>
      <w:r w:rsidR="001A3ACB"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exercice</w:t>
      </w:r>
      <w:r w:rsidR="00891804">
        <w:rPr>
          <w:rFonts w:ascii="Times New Roman" w:hAnsi="Times New Roman"/>
          <w:b/>
          <w:bCs/>
          <w:sz w:val="24"/>
          <w:szCs w:val="24"/>
        </w:rPr>
        <w:t xml:space="preserve"> financier</w:t>
      </w:r>
      <w:r w:rsidR="001A3AC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="00891804">
        <w:rPr>
          <w:rFonts w:ascii="Times New Roman" w:hAnsi="Times New Roman"/>
          <w:b/>
          <w:bCs/>
          <w:sz w:val="24"/>
          <w:szCs w:val="24"/>
        </w:rPr>
        <w:noBreakHyphen/>
      </w:r>
      <w:r>
        <w:rPr>
          <w:rFonts w:ascii="Times New Roman" w:hAnsi="Times New Roman"/>
          <w:b/>
          <w:bCs/>
          <w:sz w:val="24"/>
          <w:szCs w:val="24"/>
        </w:rPr>
        <w:t>2019 :</w:t>
      </w:r>
      <w:r>
        <w:rPr>
          <w:rFonts w:ascii="Times New Roman" w:hAnsi="Times New Roman"/>
          <w:sz w:val="24"/>
          <w:szCs w:val="24"/>
        </w:rPr>
        <w:t xml:space="preserve"> Nous avons </w:t>
      </w:r>
      <w:r w:rsidR="001A3ACB">
        <w:rPr>
          <w:rFonts w:ascii="Times New Roman" w:hAnsi="Times New Roman"/>
          <w:sz w:val="24"/>
          <w:szCs w:val="24"/>
        </w:rPr>
        <w:t>rendu</w:t>
      </w:r>
      <w:r>
        <w:rPr>
          <w:rFonts w:ascii="Times New Roman" w:hAnsi="Times New Roman"/>
          <w:sz w:val="24"/>
          <w:szCs w:val="24"/>
        </w:rPr>
        <w:t xml:space="preserve"> une décision finale </w:t>
      </w:r>
      <w:r w:rsidR="00891804">
        <w:rPr>
          <w:rFonts w:ascii="Times New Roman" w:hAnsi="Times New Roman"/>
          <w:sz w:val="24"/>
          <w:szCs w:val="24"/>
        </w:rPr>
        <w:t xml:space="preserve">dans le délai standard de </w:t>
      </w:r>
      <w:r>
        <w:rPr>
          <w:rFonts w:ascii="Times New Roman" w:hAnsi="Times New Roman"/>
          <w:sz w:val="24"/>
          <w:szCs w:val="24"/>
        </w:rPr>
        <w:t>40</w:t>
      </w:r>
      <w:r w:rsidR="001A3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jours ouvrables </w:t>
      </w:r>
      <w:r w:rsidR="00891804">
        <w:rPr>
          <w:rFonts w:ascii="Times New Roman" w:hAnsi="Times New Roman"/>
          <w:sz w:val="24"/>
          <w:szCs w:val="24"/>
        </w:rPr>
        <w:t xml:space="preserve">pour </w:t>
      </w:r>
      <w:r>
        <w:rPr>
          <w:rFonts w:ascii="Times New Roman" w:hAnsi="Times New Roman"/>
          <w:sz w:val="24"/>
          <w:szCs w:val="24"/>
        </w:rPr>
        <w:t>98</w:t>
      </w:r>
      <w:r w:rsidR="00891804">
        <w:rPr>
          <w:rFonts w:ascii="Times New Roman" w:hAnsi="Times New Roman"/>
          <w:sz w:val="24"/>
          <w:szCs w:val="24"/>
        </w:rPr>
        <w:t> p. 100</w:t>
      </w:r>
      <w:r>
        <w:rPr>
          <w:rFonts w:ascii="Times New Roman" w:hAnsi="Times New Roman"/>
          <w:sz w:val="24"/>
          <w:szCs w:val="24"/>
        </w:rPr>
        <w:t xml:space="preserve"> des demandes. </w:t>
      </w:r>
    </w:p>
    <w:p w14:paraId="66D0F693" w14:textId="0477FF51" w:rsidR="00142F38" w:rsidRPr="004E6275" w:rsidRDefault="0069186F" w:rsidP="00142F3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Normes de service et résultats liés au rendement pour l</w:t>
      </w:r>
      <w:r w:rsidR="00891804">
        <w:rPr>
          <w:rFonts w:ascii="Times New Roman" w:hAnsi="Times New Roman"/>
          <w:b/>
          <w:bCs/>
          <w:sz w:val="36"/>
          <w:szCs w:val="36"/>
        </w:rPr>
        <w:t>es exercices financiers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891804">
        <w:rPr>
          <w:rFonts w:ascii="Times New Roman" w:hAnsi="Times New Roman"/>
          <w:b/>
          <w:bCs/>
          <w:sz w:val="36"/>
          <w:szCs w:val="36"/>
        </w:rPr>
        <w:t>antérieurs</w:t>
      </w:r>
    </w:p>
    <w:p w14:paraId="79905A36" w14:textId="7BD85715" w:rsidR="00142F38" w:rsidRPr="004E6275" w:rsidRDefault="00142F38" w:rsidP="00142F3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2017</w:t>
      </w:r>
      <w:r w:rsidR="00891804">
        <w:rPr>
          <w:rFonts w:ascii="Times New Roman" w:hAnsi="Times New Roman"/>
          <w:color w:val="0000FF"/>
          <w:sz w:val="24"/>
          <w:szCs w:val="24"/>
          <w:u w:val="single"/>
        </w:rPr>
        <w:noBreakHyphen/>
      </w:r>
      <w:r>
        <w:rPr>
          <w:rFonts w:ascii="Times New Roman" w:hAnsi="Times New Roman"/>
          <w:color w:val="0000FF"/>
          <w:sz w:val="24"/>
          <w:szCs w:val="24"/>
          <w:u w:val="single"/>
        </w:rPr>
        <w:t>2018</w:t>
      </w:r>
    </w:p>
    <w:p w14:paraId="31E1D0A4" w14:textId="2FE24844" w:rsidR="00142F38" w:rsidRPr="004E6275" w:rsidRDefault="00142F38" w:rsidP="00142F3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2016</w:t>
      </w:r>
      <w:r w:rsidR="00891804">
        <w:rPr>
          <w:rFonts w:ascii="Times New Roman" w:hAnsi="Times New Roman"/>
          <w:color w:val="0000FF"/>
          <w:sz w:val="24"/>
          <w:szCs w:val="24"/>
          <w:u w:val="single"/>
        </w:rPr>
        <w:noBreakHyphen/>
      </w:r>
      <w:r>
        <w:rPr>
          <w:rFonts w:ascii="Times New Roman" w:hAnsi="Times New Roman"/>
          <w:color w:val="0000FF"/>
          <w:sz w:val="24"/>
          <w:szCs w:val="24"/>
          <w:u w:val="single"/>
        </w:rPr>
        <w:t>2017</w:t>
      </w:r>
    </w:p>
    <w:p w14:paraId="5CAD9981" w14:textId="5604F2FD" w:rsidR="002C0DC4" w:rsidRPr="004E6275" w:rsidRDefault="002C0DC4" w:rsidP="00C760C6"/>
    <w:sectPr w:rsidR="002C0DC4" w:rsidRPr="004E6275" w:rsidSect="00CB57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A84B" w14:textId="77777777" w:rsidR="00886510" w:rsidRDefault="00886510" w:rsidP="00513547">
      <w:r>
        <w:separator/>
      </w:r>
    </w:p>
  </w:endnote>
  <w:endnote w:type="continuationSeparator" w:id="0">
    <w:p w14:paraId="4AB3392E" w14:textId="77777777" w:rsidR="00886510" w:rsidRDefault="00886510" w:rsidP="0051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92B2" w14:textId="77777777" w:rsidR="00D97813" w:rsidRDefault="00D9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A0BC" w14:textId="43EF6A37" w:rsidR="003C080F" w:rsidRDefault="003C080F">
    <w:pPr>
      <w:pStyle w:val="Footer"/>
    </w:pPr>
    <w:r w:rsidRPr="003C080F">
      <w:rPr>
        <w:b/>
      </w:rPr>
      <w:t>Archivée</w:t>
    </w:r>
    <w:r>
      <w:rPr>
        <w:b/>
      </w:rPr>
      <w:t> : 14</w:t>
    </w:r>
    <w:r w:rsidRPr="003C080F">
      <w:rPr>
        <w:b/>
      </w:rPr>
      <w:t xml:space="preserve"> avril</w:t>
    </w:r>
    <w:r>
      <w:rPr>
        <w:b/>
      </w:rPr>
      <w:t xml:space="preserve">, </w:t>
    </w:r>
    <w:r w:rsidRPr="003C080F">
      <w:rPr>
        <w:b/>
      </w:rPr>
      <w:t>2021</w:t>
    </w:r>
  </w:p>
  <w:p w14:paraId="47D32A9E" w14:textId="77777777" w:rsidR="008505A1" w:rsidRDefault="00850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CB70" w14:textId="77777777" w:rsidR="00D97813" w:rsidRDefault="00D9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9C21" w14:textId="77777777" w:rsidR="00886510" w:rsidRDefault="00886510" w:rsidP="00513547">
      <w:r>
        <w:separator/>
      </w:r>
    </w:p>
  </w:footnote>
  <w:footnote w:type="continuationSeparator" w:id="0">
    <w:p w14:paraId="7218C553" w14:textId="77777777" w:rsidR="00886510" w:rsidRDefault="00886510" w:rsidP="0051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8EA9" w14:textId="77777777" w:rsidR="00D97813" w:rsidRDefault="00D9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F0BB" w14:textId="6B33C584" w:rsidR="00513547" w:rsidRDefault="005400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2D5BA1" wp14:editId="703470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ae74acfb3a859ddf7d535e2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4F388" w14:textId="211E379D" w:rsidR="00540033" w:rsidRPr="00540033" w:rsidRDefault="00540033" w:rsidP="0054003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4003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D5BA1" id="_x0000_t202" coordsize="21600,21600" o:spt="202" path="m,l,21600r21600,l21600,xe">
              <v:stroke joinstyle="miter"/>
              <v:path gradientshapeok="t" o:connecttype="rect"/>
            </v:shapetype>
            <v:shape id="MSIPCMaae74acfb3a859ddf7d535e2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" o:allowincell="f" filled="f" stroked="f" strokeweight=".5pt">
              <v:textbox inset=",0,20pt,0">
                <w:txbxContent>
                  <w:p w14:paraId="53F4F388" w14:textId="211E379D" w:rsidR="00540033" w:rsidRPr="00540033" w:rsidRDefault="00540033" w:rsidP="00540033">
                    <w:pPr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4003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534413083"/>
      <w:docPartObj>
        <w:docPartGallery w:val="Watermarks"/>
        <w:docPartUnique/>
      </w:docPartObj>
    </w:sdtPr>
    <w:sdtEndPr/>
    <w:sdtContent>
      <w:p w14:paraId="00A3C2B5" w14:textId="77777777" w:rsidR="00513547" w:rsidRDefault="00D97813">
        <w:pPr>
          <w:pStyle w:val="Header"/>
        </w:pPr>
        <w:r>
          <w:pict w14:anchorId="72BFAF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C681" w14:textId="77777777" w:rsidR="00D97813" w:rsidRDefault="00D9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155"/>
    <w:multiLevelType w:val="hybridMultilevel"/>
    <w:tmpl w:val="9F40E7CA"/>
    <w:lvl w:ilvl="0" w:tplc="E1E6D1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645"/>
    <w:multiLevelType w:val="hybridMultilevel"/>
    <w:tmpl w:val="7B76C04C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F00B40"/>
    <w:multiLevelType w:val="multilevel"/>
    <w:tmpl w:val="6DF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7478"/>
    <w:multiLevelType w:val="hybridMultilevel"/>
    <w:tmpl w:val="5D8C5482"/>
    <w:lvl w:ilvl="0" w:tplc="38D464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75EE"/>
    <w:multiLevelType w:val="hybridMultilevel"/>
    <w:tmpl w:val="DA081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91C"/>
    <w:multiLevelType w:val="multilevel"/>
    <w:tmpl w:val="69E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F0FCB"/>
    <w:multiLevelType w:val="hybridMultilevel"/>
    <w:tmpl w:val="29DE7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9A"/>
    <w:multiLevelType w:val="hybridMultilevel"/>
    <w:tmpl w:val="6D0A8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F2CD0"/>
    <w:multiLevelType w:val="multilevel"/>
    <w:tmpl w:val="C31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B79DF"/>
    <w:multiLevelType w:val="multilevel"/>
    <w:tmpl w:val="8B7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66910"/>
    <w:multiLevelType w:val="hybridMultilevel"/>
    <w:tmpl w:val="A3A6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2A23"/>
    <w:multiLevelType w:val="hybridMultilevel"/>
    <w:tmpl w:val="531A73CA"/>
    <w:lvl w:ilvl="0" w:tplc="E1E6D19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25778"/>
    <w:multiLevelType w:val="hybridMultilevel"/>
    <w:tmpl w:val="D064199A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65BA"/>
    <w:multiLevelType w:val="hybridMultilevel"/>
    <w:tmpl w:val="49583E04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763"/>
    <w:multiLevelType w:val="multilevel"/>
    <w:tmpl w:val="B11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1718B"/>
    <w:multiLevelType w:val="multilevel"/>
    <w:tmpl w:val="58762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72FDB"/>
    <w:multiLevelType w:val="multilevel"/>
    <w:tmpl w:val="4B0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1548C"/>
    <w:multiLevelType w:val="multilevel"/>
    <w:tmpl w:val="AE4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68FA"/>
    <w:multiLevelType w:val="multilevel"/>
    <w:tmpl w:val="31D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D6457"/>
    <w:multiLevelType w:val="hybridMultilevel"/>
    <w:tmpl w:val="F8A44148"/>
    <w:lvl w:ilvl="0" w:tplc="3BEC5DE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CB60AB"/>
    <w:multiLevelType w:val="hybridMultilevel"/>
    <w:tmpl w:val="9F309FBC"/>
    <w:lvl w:ilvl="0" w:tplc="AC1657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6467"/>
    <w:multiLevelType w:val="hybridMultilevel"/>
    <w:tmpl w:val="1062C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5545"/>
    <w:multiLevelType w:val="hybridMultilevel"/>
    <w:tmpl w:val="057481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815C5"/>
    <w:multiLevelType w:val="multilevel"/>
    <w:tmpl w:val="DA2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5B2CB0"/>
    <w:multiLevelType w:val="hybridMultilevel"/>
    <w:tmpl w:val="865ACB56"/>
    <w:lvl w:ilvl="0" w:tplc="E1E6D1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1073"/>
    <w:multiLevelType w:val="hybridMultilevel"/>
    <w:tmpl w:val="9104B04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AB41B8A"/>
    <w:multiLevelType w:val="hybridMultilevel"/>
    <w:tmpl w:val="47FE2E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5605B"/>
    <w:multiLevelType w:val="multilevel"/>
    <w:tmpl w:val="7D68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20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17"/>
  </w:num>
  <w:num w:numId="13">
    <w:abstractNumId w:val="2"/>
  </w:num>
  <w:num w:numId="14">
    <w:abstractNumId w:val="24"/>
  </w:num>
  <w:num w:numId="15">
    <w:abstractNumId w:val="0"/>
  </w:num>
  <w:num w:numId="16">
    <w:abstractNumId w:val="11"/>
  </w:num>
  <w:num w:numId="17">
    <w:abstractNumId w:val="22"/>
  </w:num>
  <w:num w:numId="18">
    <w:abstractNumId w:val="6"/>
  </w:num>
  <w:num w:numId="19">
    <w:abstractNumId w:val="10"/>
  </w:num>
  <w:num w:numId="20">
    <w:abstractNumId w:val="8"/>
  </w:num>
  <w:num w:numId="21">
    <w:abstractNumId w:val="5"/>
  </w:num>
  <w:num w:numId="22">
    <w:abstractNumId w:val="23"/>
  </w:num>
  <w:num w:numId="23">
    <w:abstractNumId w:val="18"/>
  </w:num>
  <w:num w:numId="24">
    <w:abstractNumId w:val="9"/>
  </w:num>
  <w:num w:numId="25">
    <w:abstractNumId w:val="26"/>
  </w:num>
  <w:num w:numId="26">
    <w:abstractNumId w:val="19"/>
  </w:num>
  <w:num w:numId="27">
    <w:abstractNumId w:val="4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A"/>
    <w:rsid w:val="0000010F"/>
    <w:rsid w:val="000001CF"/>
    <w:rsid w:val="00012971"/>
    <w:rsid w:val="00013666"/>
    <w:rsid w:val="0001387A"/>
    <w:rsid w:val="000250F5"/>
    <w:rsid w:val="0003505A"/>
    <w:rsid w:val="00035870"/>
    <w:rsid w:val="00037CA9"/>
    <w:rsid w:val="000405C2"/>
    <w:rsid w:val="00040DE9"/>
    <w:rsid w:val="00044F27"/>
    <w:rsid w:val="000459D7"/>
    <w:rsid w:val="00045AEC"/>
    <w:rsid w:val="00053C66"/>
    <w:rsid w:val="000560EF"/>
    <w:rsid w:val="000561A3"/>
    <w:rsid w:val="00056E90"/>
    <w:rsid w:val="00074FA1"/>
    <w:rsid w:val="000753E0"/>
    <w:rsid w:val="00083C7C"/>
    <w:rsid w:val="000846C6"/>
    <w:rsid w:val="0008509B"/>
    <w:rsid w:val="00095A7C"/>
    <w:rsid w:val="000A5632"/>
    <w:rsid w:val="000A772C"/>
    <w:rsid w:val="000B32DF"/>
    <w:rsid w:val="000C2FF4"/>
    <w:rsid w:val="000D3425"/>
    <w:rsid w:val="000D3B4F"/>
    <w:rsid w:val="000D654C"/>
    <w:rsid w:val="000E5A1A"/>
    <w:rsid w:val="000F416E"/>
    <w:rsid w:val="00100EC1"/>
    <w:rsid w:val="001059D1"/>
    <w:rsid w:val="00110625"/>
    <w:rsid w:val="0011220F"/>
    <w:rsid w:val="00112B7A"/>
    <w:rsid w:val="00112D91"/>
    <w:rsid w:val="00114625"/>
    <w:rsid w:val="0012117E"/>
    <w:rsid w:val="00121FEB"/>
    <w:rsid w:val="00124049"/>
    <w:rsid w:val="0012749F"/>
    <w:rsid w:val="00130589"/>
    <w:rsid w:val="00136165"/>
    <w:rsid w:val="00137D4D"/>
    <w:rsid w:val="00141C84"/>
    <w:rsid w:val="00142F38"/>
    <w:rsid w:val="00145D19"/>
    <w:rsid w:val="00153B43"/>
    <w:rsid w:val="001556AF"/>
    <w:rsid w:val="00156F19"/>
    <w:rsid w:val="0015703E"/>
    <w:rsid w:val="001667FA"/>
    <w:rsid w:val="00173196"/>
    <w:rsid w:val="0017341E"/>
    <w:rsid w:val="0017362A"/>
    <w:rsid w:val="00185C1C"/>
    <w:rsid w:val="001914BC"/>
    <w:rsid w:val="001976B4"/>
    <w:rsid w:val="001A3ACB"/>
    <w:rsid w:val="001B415B"/>
    <w:rsid w:val="001C4088"/>
    <w:rsid w:val="001C443E"/>
    <w:rsid w:val="001C7D94"/>
    <w:rsid w:val="001D3875"/>
    <w:rsid w:val="001D4616"/>
    <w:rsid w:val="001E62BF"/>
    <w:rsid w:val="001F2CB3"/>
    <w:rsid w:val="001F423A"/>
    <w:rsid w:val="001F5FA1"/>
    <w:rsid w:val="0020103A"/>
    <w:rsid w:val="002012F7"/>
    <w:rsid w:val="002046D8"/>
    <w:rsid w:val="00212740"/>
    <w:rsid w:val="00234FA7"/>
    <w:rsid w:val="002407C6"/>
    <w:rsid w:val="00241B8E"/>
    <w:rsid w:val="0025230E"/>
    <w:rsid w:val="00252CA9"/>
    <w:rsid w:val="00255BAA"/>
    <w:rsid w:val="002717F2"/>
    <w:rsid w:val="00271DD6"/>
    <w:rsid w:val="00291C6D"/>
    <w:rsid w:val="0029542D"/>
    <w:rsid w:val="00295C8D"/>
    <w:rsid w:val="002A3DA6"/>
    <w:rsid w:val="002A44D0"/>
    <w:rsid w:val="002B2F2B"/>
    <w:rsid w:val="002B5D52"/>
    <w:rsid w:val="002B60EF"/>
    <w:rsid w:val="002C0DC4"/>
    <w:rsid w:val="002C4003"/>
    <w:rsid w:val="002D4E93"/>
    <w:rsid w:val="002D6F70"/>
    <w:rsid w:val="002D73B7"/>
    <w:rsid w:val="002F2371"/>
    <w:rsid w:val="00300561"/>
    <w:rsid w:val="00301B2A"/>
    <w:rsid w:val="003124CB"/>
    <w:rsid w:val="00315B1A"/>
    <w:rsid w:val="00321105"/>
    <w:rsid w:val="0033050A"/>
    <w:rsid w:val="00331A2A"/>
    <w:rsid w:val="00332DBC"/>
    <w:rsid w:val="00333CED"/>
    <w:rsid w:val="00334AD3"/>
    <w:rsid w:val="003358A9"/>
    <w:rsid w:val="00345EB3"/>
    <w:rsid w:val="00346A84"/>
    <w:rsid w:val="00352028"/>
    <w:rsid w:val="0035230C"/>
    <w:rsid w:val="00354E29"/>
    <w:rsid w:val="003566A2"/>
    <w:rsid w:val="003566E0"/>
    <w:rsid w:val="00360F88"/>
    <w:rsid w:val="00365AE0"/>
    <w:rsid w:val="00375843"/>
    <w:rsid w:val="00394EF8"/>
    <w:rsid w:val="003973C9"/>
    <w:rsid w:val="003A1806"/>
    <w:rsid w:val="003B5060"/>
    <w:rsid w:val="003B6801"/>
    <w:rsid w:val="003B6B26"/>
    <w:rsid w:val="003C080F"/>
    <w:rsid w:val="003C0DED"/>
    <w:rsid w:val="003C79D5"/>
    <w:rsid w:val="003D247C"/>
    <w:rsid w:val="003D52E8"/>
    <w:rsid w:val="003E6CD0"/>
    <w:rsid w:val="003F1A32"/>
    <w:rsid w:val="0040319B"/>
    <w:rsid w:val="00412DCB"/>
    <w:rsid w:val="00415DD2"/>
    <w:rsid w:val="004341D8"/>
    <w:rsid w:val="00437ACD"/>
    <w:rsid w:val="0044475C"/>
    <w:rsid w:val="00451F92"/>
    <w:rsid w:val="00453E45"/>
    <w:rsid w:val="00457102"/>
    <w:rsid w:val="00461FF8"/>
    <w:rsid w:val="004749E7"/>
    <w:rsid w:val="00480584"/>
    <w:rsid w:val="00484A1C"/>
    <w:rsid w:val="00486539"/>
    <w:rsid w:val="00491487"/>
    <w:rsid w:val="004A3D50"/>
    <w:rsid w:val="004A42B3"/>
    <w:rsid w:val="004A4DF0"/>
    <w:rsid w:val="004B1730"/>
    <w:rsid w:val="004B1A8A"/>
    <w:rsid w:val="004B5E47"/>
    <w:rsid w:val="004B731A"/>
    <w:rsid w:val="004C172B"/>
    <w:rsid w:val="004D0A69"/>
    <w:rsid w:val="004D152B"/>
    <w:rsid w:val="004D4FD5"/>
    <w:rsid w:val="004D758F"/>
    <w:rsid w:val="004E3F49"/>
    <w:rsid w:val="004E6275"/>
    <w:rsid w:val="004F6E66"/>
    <w:rsid w:val="004F7122"/>
    <w:rsid w:val="005003D7"/>
    <w:rsid w:val="00513547"/>
    <w:rsid w:val="0052425C"/>
    <w:rsid w:val="00524697"/>
    <w:rsid w:val="00524ABC"/>
    <w:rsid w:val="0052625C"/>
    <w:rsid w:val="00532E4D"/>
    <w:rsid w:val="00540033"/>
    <w:rsid w:val="0054136B"/>
    <w:rsid w:val="00560257"/>
    <w:rsid w:val="00563DD8"/>
    <w:rsid w:val="005746F5"/>
    <w:rsid w:val="00575980"/>
    <w:rsid w:val="005768D9"/>
    <w:rsid w:val="005816D3"/>
    <w:rsid w:val="005948B3"/>
    <w:rsid w:val="00595A4C"/>
    <w:rsid w:val="00596951"/>
    <w:rsid w:val="005A0E55"/>
    <w:rsid w:val="005A36D8"/>
    <w:rsid w:val="005B7719"/>
    <w:rsid w:val="005D1FE8"/>
    <w:rsid w:val="005D2645"/>
    <w:rsid w:val="005D5567"/>
    <w:rsid w:val="005E3FE8"/>
    <w:rsid w:val="005F117C"/>
    <w:rsid w:val="006028B2"/>
    <w:rsid w:val="00603159"/>
    <w:rsid w:val="00603EF3"/>
    <w:rsid w:val="00604A56"/>
    <w:rsid w:val="0061561F"/>
    <w:rsid w:val="00637D81"/>
    <w:rsid w:val="0064151D"/>
    <w:rsid w:val="00642F44"/>
    <w:rsid w:val="006464FD"/>
    <w:rsid w:val="00647C26"/>
    <w:rsid w:val="00651CC7"/>
    <w:rsid w:val="006548DD"/>
    <w:rsid w:val="006553CE"/>
    <w:rsid w:val="006607FA"/>
    <w:rsid w:val="006622A7"/>
    <w:rsid w:val="006625D6"/>
    <w:rsid w:val="00663966"/>
    <w:rsid w:val="00670602"/>
    <w:rsid w:val="00670B5E"/>
    <w:rsid w:val="006726ED"/>
    <w:rsid w:val="00673A77"/>
    <w:rsid w:val="00673BE0"/>
    <w:rsid w:val="006804EA"/>
    <w:rsid w:val="00685ADA"/>
    <w:rsid w:val="0069069F"/>
    <w:rsid w:val="0069186F"/>
    <w:rsid w:val="006A16B2"/>
    <w:rsid w:val="006B5BC5"/>
    <w:rsid w:val="006C1905"/>
    <w:rsid w:val="006C4643"/>
    <w:rsid w:val="006C4A7B"/>
    <w:rsid w:val="006C700E"/>
    <w:rsid w:val="006D503F"/>
    <w:rsid w:val="006D668A"/>
    <w:rsid w:val="006D6721"/>
    <w:rsid w:val="006E56DC"/>
    <w:rsid w:val="006E731F"/>
    <w:rsid w:val="006F1362"/>
    <w:rsid w:val="006F13D7"/>
    <w:rsid w:val="006F1E68"/>
    <w:rsid w:val="00707E27"/>
    <w:rsid w:val="007201A6"/>
    <w:rsid w:val="007201EC"/>
    <w:rsid w:val="00723510"/>
    <w:rsid w:val="00723603"/>
    <w:rsid w:val="00725784"/>
    <w:rsid w:val="00725B15"/>
    <w:rsid w:val="00745AB3"/>
    <w:rsid w:val="0074651B"/>
    <w:rsid w:val="0076600B"/>
    <w:rsid w:val="00777FFA"/>
    <w:rsid w:val="00786800"/>
    <w:rsid w:val="00786951"/>
    <w:rsid w:val="007966F2"/>
    <w:rsid w:val="00796D25"/>
    <w:rsid w:val="007979A1"/>
    <w:rsid w:val="007A1CF2"/>
    <w:rsid w:val="007A5B73"/>
    <w:rsid w:val="007B6FB7"/>
    <w:rsid w:val="007C283A"/>
    <w:rsid w:val="007C3B13"/>
    <w:rsid w:val="007C6ED1"/>
    <w:rsid w:val="007D6935"/>
    <w:rsid w:val="007D7C89"/>
    <w:rsid w:val="007E2572"/>
    <w:rsid w:val="007F14AF"/>
    <w:rsid w:val="007F6F8E"/>
    <w:rsid w:val="00812FB6"/>
    <w:rsid w:val="008172E1"/>
    <w:rsid w:val="008251E4"/>
    <w:rsid w:val="00826619"/>
    <w:rsid w:val="00833F81"/>
    <w:rsid w:val="00843F70"/>
    <w:rsid w:val="00844214"/>
    <w:rsid w:val="008461F2"/>
    <w:rsid w:val="0084737D"/>
    <w:rsid w:val="008505A1"/>
    <w:rsid w:val="0085456E"/>
    <w:rsid w:val="00865A4C"/>
    <w:rsid w:val="008674CB"/>
    <w:rsid w:val="00881703"/>
    <w:rsid w:val="00885D7B"/>
    <w:rsid w:val="00886510"/>
    <w:rsid w:val="00886B84"/>
    <w:rsid w:val="00890906"/>
    <w:rsid w:val="00891804"/>
    <w:rsid w:val="008B048A"/>
    <w:rsid w:val="008B13C3"/>
    <w:rsid w:val="008C0EA4"/>
    <w:rsid w:val="008C1F6A"/>
    <w:rsid w:val="008C3B68"/>
    <w:rsid w:val="008D1967"/>
    <w:rsid w:val="008D6DBC"/>
    <w:rsid w:val="008E224A"/>
    <w:rsid w:val="008E34A8"/>
    <w:rsid w:val="008E7EC2"/>
    <w:rsid w:val="008F264D"/>
    <w:rsid w:val="008F2B16"/>
    <w:rsid w:val="009114AC"/>
    <w:rsid w:val="0091163D"/>
    <w:rsid w:val="00912153"/>
    <w:rsid w:val="00913045"/>
    <w:rsid w:val="0091368B"/>
    <w:rsid w:val="00913A1F"/>
    <w:rsid w:val="00916A2A"/>
    <w:rsid w:val="00920156"/>
    <w:rsid w:val="00923463"/>
    <w:rsid w:val="0093381B"/>
    <w:rsid w:val="00935ECA"/>
    <w:rsid w:val="0093700A"/>
    <w:rsid w:val="009447F3"/>
    <w:rsid w:val="009575F9"/>
    <w:rsid w:val="0097359E"/>
    <w:rsid w:val="0098089F"/>
    <w:rsid w:val="009957A3"/>
    <w:rsid w:val="009A380A"/>
    <w:rsid w:val="009A3822"/>
    <w:rsid w:val="009C24E4"/>
    <w:rsid w:val="009C7634"/>
    <w:rsid w:val="009C7AAF"/>
    <w:rsid w:val="009E1318"/>
    <w:rsid w:val="009F0D45"/>
    <w:rsid w:val="009F0E21"/>
    <w:rsid w:val="009F4AD9"/>
    <w:rsid w:val="00A00A59"/>
    <w:rsid w:val="00A0465B"/>
    <w:rsid w:val="00A0731C"/>
    <w:rsid w:val="00A07C9A"/>
    <w:rsid w:val="00A10AC1"/>
    <w:rsid w:val="00A1325E"/>
    <w:rsid w:val="00A17389"/>
    <w:rsid w:val="00A27A44"/>
    <w:rsid w:val="00A307D1"/>
    <w:rsid w:val="00A31253"/>
    <w:rsid w:val="00A33276"/>
    <w:rsid w:val="00A33FDD"/>
    <w:rsid w:val="00A34731"/>
    <w:rsid w:val="00A40791"/>
    <w:rsid w:val="00A47ED1"/>
    <w:rsid w:val="00A6433C"/>
    <w:rsid w:val="00A72272"/>
    <w:rsid w:val="00A73296"/>
    <w:rsid w:val="00A75D9B"/>
    <w:rsid w:val="00A90B88"/>
    <w:rsid w:val="00AA0AD3"/>
    <w:rsid w:val="00AB03BD"/>
    <w:rsid w:val="00AB1D51"/>
    <w:rsid w:val="00AC3FF9"/>
    <w:rsid w:val="00AC6E9E"/>
    <w:rsid w:val="00AD1601"/>
    <w:rsid w:val="00AE6710"/>
    <w:rsid w:val="00B052B7"/>
    <w:rsid w:val="00B2188E"/>
    <w:rsid w:val="00B23853"/>
    <w:rsid w:val="00B30C27"/>
    <w:rsid w:val="00B353EF"/>
    <w:rsid w:val="00B5765F"/>
    <w:rsid w:val="00B761FF"/>
    <w:rsid w:val="00B76B8E"/>
    <w:rsid w:val="00B84726"/>
    <w:rsid w:val="00B86687"/>
    <w:rsid w:val="00B90E11"/>
    <w:rsid w:val="00BA1896"/>
    <w:rsid w:val="00BB0025"/>
    <w:rsid w:val="00BB6ED8"/>
    <w:rsid w:val="00BC02EA"/>
    <w:rsid w:val="00BC1C44"/>
    <w:rsid w:val="00BD1A77"/>
    <w:rsid w:val="00BD4E93"/>
    <w:rsid w:val="00BD5153"/>
    <w:rsid w:val="00BE52A8"/>
    <w:rsid w:val="00BE7244"/>
    <w:rsid w:val="00BF5023"/>
    <w:rsid w:val="00BF7362"/>
    <w:rsid w:val="00C1026D"/>
    <w:rsid w:val="00C123BD"/>
    <w:rsid w:val="00C15E25"/>
    <w:rsid w:val="00C2374A"/>
    <w:rsid w:val="00C26EF0"/>
    <w:rsid w:val="00C27D6B"/>
    <w:rsid w:val="00C322EF"/>
    <w:rsid w:val="00C3242A"/>
    <w:rsid w:val="00C32DA1"/>
    <w:rsid w:val="00C34481"/>
    <w:rsid w:val="00C3695D"/>
    <w:rsid w:val="00C501D0"/>
    <w:rsid w:val="00C51635"/>
    <w:rsid w:val="00C6553C"/>
    <w:rsid w:val="00C724A5"/>
    <w:rsid w:val="00C73E61"/>
    <w:rsid w:val="00C760C6"/>
    <w:rsid w:val="00C83364"/>
    <w:rsid w:val="00C83816"/>
    <w:rsid w:val="00C91866"/>
    <w:rsid w:val="00C92058"/>
    <w:rsid w:val="00C9552E"/>
    <w:rsid w:val="00C975ED"/>
    <w:rsid w:val="00CA7F74"/>
    <w:rsid w:val="00CB05BE"/>
    <w:rsid w:val="00CB3DC5"/>
    <w:rsid w:val="00CB4A7D"/>
    <w:rsid w:val="00CB579E"/>
    <w:rsid w:val="00CC1006"/>
    <w:rsid w:val="00CC314E"/>
    <w:rsid w:val="00CC31F2"/>
    <w:rsid w:val="00CD2CF4"/>
    <w:rsid w:val="00CD7505"/>
    <w:rsid w:val="00CE1164"/>
    <w:rsid w:val="00CE731F"/>
    <w:rsid w:val="00CF1192"/>
    <w:rsid w:val="00D05A2D"/>
    <w:rsid w:val="00D073A9"/>
    <w:rsid w:val="00D07537"/>
    <w:rsid w:val="00D12022"/>
    <w:rsid w:val="00D13090"/>
    <w:rsid w:val="00D15E2D"/>
    <w:rsid w:val="00D16DA2"/>
    <w:rsid w:val="00D2326A"/>
    <w:rsid w:val="00D31C73"/>
    <w:rsid w:val="00D34BB5"/>
    <w:rsid w:val="00D458AE"/>
    <w:rsid w:val="00D54523"/>
    <w:rsid w:val="00D61245"/>
    <w:rsid w:val="00D65EE6"/>
    <w:rsid w:val="00D66094"/>
    <w:rsid w:val="00D71BAB"/>
    <w:rsid w:val="00D72F9D"/>
    <w:rsid w:val="00D75ACC"/>
    <w:rsid w:val="00D83A57"/>
    <w:rsid w:val="00D90874"/>
    <w:rsid w:val="00D931B2"/>
    <w:rsid w:val="00D97813"/>
    <w:rsid w:val="00D97F3B"/>
    <w:rsid w:val="00DC0E8A"/>
    <w:rsid w:val="00DC20EE"/>
    <w:rsid w:val="00DD42EE"/>
    <w:rsid w:val="00DD477B"/>
    <w:rsid w:val="00DF76B3"/>
    <w:rsid w:val="00E02EC7"/>
    <w:rsid w:val="00E039DE"/>
    <w:rsid w:val="00E10E7D"/>
    <w:rsid w:val="00E11B1C"/>
    <w:rsid w:val="00E162B7"/>
    <w:rsid w:val="00E178A9"/>
    <w:rsid w:val="00E222DD"/>
    <w:rsid w:val="00E3143C"/>
    <w:rsid w:val="00E330F3"/>
    <w:rsid w:val="00E36A54"/>
    <w:rsid w:val="00E40C4E"/>
    <w:rsid w:val="00E4355C"/>
    <w:rsid w:val="00E44209"/>
    <w:rsid w:val="00E66C8B"/>
    <w:rsid w:val="00E675A0"/>
    <w:rsid w:val="00E806A4"/>
    <w:rsid w:val="00E81D31"/>
    <w:rsid w:val="00E84F76"/>
    <w:rsid w:val="00E92318"/>
    <w:rsid w:val="00EA7786"/>
    <w:rsid w:val="00EB49C1"/>
    <w:rsid w:val="00EB6167"/>
    <w:rsid w:val="00EC272B"/>
    <w:rsid w:val="00EC4AA9"/>
    <w:rsid w:val="00ED3104"/>
    <w:rsid w:val="00ED337C"/>
    <w:rsid w:val="00ED7352"/>
    <w:rsid w:val="00EE08DE"/>
    <w:rsid w:val="00F063FA"/>
    <w:rsid w:val="00F31222"/>
    <w:rsid w:val="00F53C24"/>
    <w:rsid w:val="00F5406C"/>
    <w:rsid w:val="00F54879"/>
    <w:rsid w:val="00F602D9"/>
    <w:rsid w:val="00F621BF"/>
    <w:rsid w:val="00F774F9"/>
    <w:rsid w:val="00F82378"/>
    <w:rsid w:val="00F827B3"/>
    <w:rsid w:val="00F82827"/>
    <w:rsid w:val="00F85606"/>
    <w:rsid w:val="00F9769A"/>
    <w:rsid w:val="00FB254C"/>
    <w:rsid w:val="00FB55EB"/>
    <w:rsid w:val="00FB7691"/>
    <w:rsid w:val="00FD1B09"/>
    <w:rsid w:val="00FE71F9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804328"/>
  <w15:chartTrackingRefBased/>
  <w15:docId w15:val="{6C0CDDF0-CBBF-4705-8886-E5A09B7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7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7A"/>
    <w:rPr>
      <w:color w:val="0000FF"/>
      <w:u w:val="single"/>
    </w:rPr>
  </w:style>
  <w:style w:type="paragraph" w:styleId="NoSpacing">
    <w:name w:val="No Spacing"/>
    <w:uiPriority w:val="1"/>
    <w:qFormat/>
    <w:rsid w:val="00886B8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C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47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4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8B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B2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9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9E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9E7"/>
    <w:rPr>
      <w:vertAlign w:val="superscript"/>
    </w:rPr>
  </w:style>
  <w:style w:type="paragraph" w:styleId="Revision">
    <w:name w:val="Revision"/>
    <w:hidden/>
    <w:uiPriority w:val="99"/>
    <w:semiHidden/>
    <w:rsid w:val="00A10A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s-sct.gc.ca/pol/doc-fra.aspx?id=28422" TargetMode="External"/><Relationship Id="rId13" Type="http://schemas.openxmlformats.org/officeDocument/2006/relationships/hyperlink" Target="https://ouvert.canada.ca/data/fr/dataset/3ac0d080-6149-499a-8b06-7ce5f00ec56c" TargetMode="External"/><Relationship Id="rId18" Type="http://schemas.openxmlformats.org/officeDocument/2006/relationships/hyperlink" Target="http://wet-boew.github.io/themes-dist/GCWeb/institutional-service-performance-fr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ecretariat-conseil-tresor/services/gestion-reglementation-federale/lignes-directrices-outils/politique-transparence-imputabilite-matiere-reglementation.html" TargetMode="External"/><Relationship Id="rId17" Type="http://schemas.openxmlformats.org/officeDocument/2006/relationships/hyperlink" Target="http://wet-boew.github.io/themes-dist/GCWeb/institutional-service-performance-fr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t-boew.github.io/themes-dist/GCWeb/institutional-service-performance-fr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s-sct.gc.ca/pol/doc-fra.aspx?id=28422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bs-sct.gc.ca/pol/doc-fra.aspx?id=28422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gela.Doyle@tbs-sct.gc.c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ecretariat-conseil-tresor/services/communications-gouvernementales/specifications-contenu-architecture-information-canada/modeles-specifications-detailles/pages-comptes-rendu-rendement-services-insitutionnels.html" TargetMode="External"/><Relationship Id="rId14" Type="http://schemas.openxmlformats.org/officeDocument/2006/relationships/hyperlink" Target="http://laws-lois.justice.gc.ca/fra/lois/S-8.4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9C44-22C8-4AD5-8449-8BD0139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5723</Characters>
  <Application>Microsoft Office Word</Application>
  <DocSecurity>0</DocSecurity>
  <Lines>127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Angela</dc:creator>
  <cp:keywords/>
  <dc:description/>
  <cp:lastModifiedBy>Doyle, Angela</cp:lastModifiedBy>
  <cp:revision>2</cp:revision>
  <cp:lastPrinted>2018-09-18T19:53:00Z</cp:lastPrinted>
  <dcterms:created xsi:type="dcterms:W3CDTF">2021-04-14T20:41:00Z</dcterms:created>
  <dcterms:modified xsi:type="dcterms:W3CDTF">2021-04-14T20:41:00Z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db59aa2a-bf7c-4613-af35-44fab184e338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Owner">
    <vt:lpwstr>ADOYLE@tbs-sct.gc.ca</vt:lpwstr>
  </property>
  <property fmtid="{D5CDD505-2E9C-101B-9397-08002B2CF9AE}" pid="8" name="MSIP_Label_3d0ca00b-3f0e-465a-aac7-1a6a22fcea40_SetDate">
    <vt:lpwstr>2021-03-05T15:11:46.7236008Z</vt:lpwstr>
  </property>
  <property fmtid="{D5CDD505-2E9C-101B-9397-08002B2CF9AE}" pid="9" name="MSIP_Label_3d0ca00b-3f0e-465a-aac7-1a6a22fcea40_Name">
    <vt:lpwstr>UNCLASSIFIED</vt:lpwstr>
  </property>
  <property fmtid="{D5CDD505-2E9C-101B-9397-08002B2CF9AE}" pid="10" name="MSIP_Label_3d0ca00b-3f0e-465a-aac7-1a6a22fcea40_Application">
    <vt:lpwstr>Microsoft Azure Information Protection</vt:lpwstr>
  </property>
  <property fmtid="{D5CDD505-2E9C-101B-9397-08002B2CF9AE}" pid="11" name="MSIP_Label_3d0ca00b-3f0e-465a-aac7-1a6a22fcea40_ActionId">
    <vt:lpwstr>98298ec9-bb26-401c-a177-30ba199f26d3</vt:lpwstr>
  </property>
  <property fmtid="{D5CDD505-2E9C-101B-9397-08002B2CF9AE}" pid="12" name="MSIP_Label_3d0ca00b-3f0e-465a-aac7-1a6a22fcea40_Extended_MSFT_Method">
    <vt:lpwstr>Manual</vt:lpwstr>
  </property>
  <property fmtid="{D5CDD505-2E9C-101B-9397-08002B2CF9AE}" pid="13" name="Sensitivity">
    <vt:lpwstr>UNCLASSIFIED</vt:lpwstr>
  </property>
</Properties>
</file>