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80717" w14:textId="41887891" w:rsidR="00DA1ACA" w:rsidRPr="00DA1ACA" w:rsidRDefault="00DA1ACA" w:rsidP="005A5D3C">
      <w:pPr>
        <w:pStyle w:val="FootnoteText"/>
        <w:rPr>
          <w:b/>
          <w:bCs/>
          <w:sz w:val="36"/>
          <w:szCs w:val="36"/>
        </w:rPr>
      </w:pPr>
      <w:r w:rsidRPr="00DA1ACA">
        <w:rPr>
          <w:b/>
          <w:bCs/>
          <w:sz w:val="36"/>
          <w:szCs w:val="36"/>
        </w:rPr>
        <w:t>Qs and As on Bill C-20</w:t>
      </w:r>
    </w:p>
    <w:p w14:paraId="5FE6ED6C" w14:textId="77777777" w:rsidR="00DA1ACA" w:rsidRDefault="00DA1ACA" w:rsidP="005A5D3C">
      <w:pPr>
        <w:pStyle w:val="FootnoteText"/>
        <w:rPr>
          <w:sz w:val="24"/>
          <w:szCs w:val="24"/>
        </w:rPr>
      </w:pPr>
    </w:p>
    <w:p w14:paraId="7439F353" w14:textId="484D60FD" w:rsidR="005A5D3C" w:rsidRPr="00DA1ACA" w:rsidRDefault="005A5D3C" w:rsidP="005A5D3C">
      <w:pPr>
        <w:pStyle w:val="FootnoteText"/>
        <w:rPr>
          <w:sz w:val="24"/>
          <w:szCs w:val="24"/>
          <w:lang w:val="en-US"/>
        </w:rPr>
      </w:pPr>
      <w:r w:rsidRPr="00DA1ACA">
        <w:rPr>
          <w:sz w:val="24"/>
          <w:szCs w:val="24"/>
        </w:rPr>
        <w:t xml:space="preserve">Bill C-20 enacts the </w:t>
      </w:r>
      <w:r w:rsidRPr="00DA1ACA">
        <w:rPr>
          <w:i/>
          <w:sz w:val="24"/>
          <w:szCs w:val="24"/>
        </w:rPr>
        <w:t>Time Limits and Other Periods Act (COVID-19)</w:t>
      </w:r>
      <w:r w:rsidR="00C13B19">
        <w:rPr>
          <w:i/>
          <w:sz w:val="24"/>
          <w:szCs w:val="24"/>
        </w:rPr>
        <w:t xml:space="preserve"> </w:t>
      </w:r>
      <w:r w:rsidR="00C13B19" w:rsidRPr="0006207A">
        <w:rPr>
          <w:sz w:val="24"/>
          <w:szCs w:val="24"/>
        </w:rPr>
        <w:t>(the “</w:t>
      </w:r>
      <w:r w:rsidR="00C13B19" w:rsidRPr="00C13B19">
        <w:rPr>
          <w:i/>
          <w:sz w:val="24"/>
          <w:szCs w:val="24"/>
        </w:rPr>
        <w:t>TLA”</w:t>
      </w:r>
      <w:r w:rsidR="00C13B19" w:rsidRPr="0006207A">
        <w:rPr>
          <w:sz w:val="24"/>
          <w:szCs w:val="24"/>
        </w:rPr>
        <w:t>)</w:t>
      </w:r>
      <w:r w:rsidRPr="00DA1ACA">
        <w:rPr>
          <w:sz w:val="24"/>
          <w:szCs w:val="24"/>
        </w:rPr>
        <w:t xml:space="preserve">, which suspends the timelines for commencing a proceeding before a court (subsection 6(1) of the </w:t>
      </w:r>
      <w:r w:rsidR="00C13B19">
        <w:rPr>
          <w:i/>
          <w:sz w:val="24"/>
          <w:szCs w:val="24"/>
        </w:rPr>
        <w:t>TLA</w:t>
      </w:r>
      <w:r w:rsidRPr="00DA1ACA">
        <w:rPr>
          <w:sz w:val="24"/>
          <w:szCs w:val="24"/>
        </w:rPr>
        <w:t>), including applications for judicial review under section</w:t>
      </w:r>
      <w:r w:rsidR="00E36935">
        <w:rPr>
          <w:sz w:val="24"/>
          <w:szCs w:val="24"/>
        </w:rPr>
        <w:t xml:space="preserve">s </w:t>
      </w:r>
      <w:r w:rsidR="00E36935" w:rsidRPr="00FB0F64">
        <w:rPr>
          <w:sz w:val="24"/>
          <w:szCs w:val="24"/>
        </w:rPr>
        <w:t>41 and</w:t>
      </w:r>
      <w:r w:rsidRPr="00FB0F64">
        <w:rPr>
          <w:sz w:val="24"/>
          <w:szCs w:val="24"/>
        </w:rPr>
        <w:t xml:space="preserve"> 44 of the </w:t>
      </w:r>
      <w:r w:rsidRPr="00FB0F64">
        <w:rPr>
          <w:i/>
          <w:sz w:val="24"/>
          <w:szCs w:val="24"/>
        </w:rPr>
        <w:t>ATIA</w:t>
      </w:r>
      <w:r w:rsidRPr="00FB0F64">
        <w:rPr>
          <w:sz w:val="24"/>
          <w:szCs w:val="24"/>
        </w:rPr>
        <w:t xml:space="preserve">. In accordance with the </w:t>
      </w:r>
      <w:r w:rsidR="00C13B19" w:rsidRPr="00FB0F64">
        <w:rPr>
          <w:i/>
          <w:sz w:val="24"/>
          <w:szCs w:val="24"/>
        </w:rPr>
        <w:t>TLA</w:t>
      </w:r>
      <w:r w:rsidRPr="00FB0F64">
        <w:rPr>
          <w:sz w:val="24"/>
          <w:szCs w:val="24"/>
        </w:rPr>
        <w:t>, timelines under section</w:t>
      </w:r>
      <w:r w:rsidR="00E36935" w:rsidRPr="00FB0F64">
        <w:rPr>
          <w:sz w:val="24"/>
          <w:szCs w:val="24"/>
        </w:rPr>
        <w:t>s 41 and</w:t>
      </w:r>
      <w:r w:rsidRPr="00FB0F64">
        <w:rPr>
          <w:sz w:val="24"/>
          <w:szCs w:val="24"/>
        </w:rPr>
        <w:t xml:space="preserve"> 44 of the </w:t>
      </w:r>
      <w:r w:rsidRPr="00FB0F64">
        <w:rPr>
          <w:i/>
          <w:sz w:val="24"/>
          <w:szCs w:val="24"/>
        </w:rPr>
        <w:t>ATIA</w:t>
      </w:r>
      <w:r w:rsidRPr="00DA1ACA">
        <w:rPr>
          <w:sz w:val="24"/>
          <w:szCs w:val="24"/>
        </w:rPr>
        <w:t xml:space="preserve"> are suspended starting March 13, 2020, and ending September 13, 2020 or any earlier day fixed by order of the Governor in Council.</w:t>
      </w:r>
    </w:p>
    <w:p w14:paraId="1A5CC68E" w14:textId="77777777" w:rsidR="005A5D3C" w:rsidRDefault="005A5D3C" w:rsidP="00586D94">
      <w:pPr>
        <w:rPr>
          <w:b/>
          <w:bCs/>
          <w:color w:val="1F497D"/>
          <w:sz w:val="24"/>
          <w:szCs w:val="24"/>
          <w:lang w:eastAsia="en-US"/>
        </w:rPr>
      </w:pPr>
    </w:p>
    <w:p w14:paraId="0ADC5FD0" w14:textId="2F1A2DD3" w:rsidR="00586D94" w:rsidRPr="005A5D3C" w:rsidRDefault="00586D94" w:rsidP="00586D94">
      <w:pPr>
        <w:rPr>
          <w:b/>
          <w:bCs/>
          <w:color w:val="1F497D"/>
          <w:sz w:val="24"/>
          <w:szCs w:val="24"/>
          <w:lang w:eastAsia="en-US"/>
        </w:rPr>
      </w:pPr>
      <w:r w:rsidRPr="005A5D3C">
        <w:rPr>
          <w:b/>
          <w:bCs/>
          <w:color w:val="1F497D"/>
          <w:sz w:val="24"/>
          <w:szCs w:val="24"/>
          <w:lang w:eastAsia="en-US"/>
        </w:rPr>
        <w:t xml:space="preserve">Q1: </w:t>
      </w:r>
      <w:r w:rsidR="00A56FB2" w:rsidRPr="005A5D3C">
        <w:rPr>
          <w:b/>
          <w:bCs/>
          <w:color w:val="1F497D"/>
          <w:sz w:val="24"/>
          <w:szCs w:val="24"/>
          <w:lang w:eastAsia="en-US"/>
        </w:rPr>
        <w:t>What impact d</w:t>
      </w:r>
      <w:r w:rsidR="00902969" w:rsidRPr="005A5D3C">
        <w:rPr>
          <w:b/>
          <w:bCs/>
          <w:color w:val="1F497D"/>
          <w:sz w:val="24"/>
          <w:szCs w:val="24"/>
          <w:lang w:eastAsia="en-US"/>
        </w:rPr>
        <w:t xml:space="preserve">oes </w:t>
      </w:r>
      <w:r w:rsidR="006644F9" w:rsidRPr="005A5D3C">
        <w:rPr>
          <w:b/>
          <w:bCs/>
          <w:color w:val="1F497D"/>
          <w:sz w:val="24"/>
          <w:szCs w:val="24"/>
          <w:lang w:eastAsia="en-US"/>
        </w:rPr>
        <w:t xml:space="preserve">the </w:t>
      </w:r>
      <w:r w:rsidR="006644F9" w:rsidRPr="005A5D3C">
        <w:rPr>
          <w:b/>
          <w:bCs/>
          <w:i/>
          <w:color w:val="1F497D"/>
          <w:sz w:val="24"/>
          <w:szCs w:val="24"/>
          <w:lang w:eastAsia="en-US"/>
        </w:rPr>
        <w:t xml:space="preserve">Time Limits and Other Periods Act (COVID-19) </w:t>
      </w:r>
      <w:r w:rsidR="00A56FB2" w:rsidRPr="005A5D3C">
        <w:rPr>
          <w:b/>
          <w:bCs/>
          <w:color w:val="1F497D"/>
          <w:sz w:val="24"/>
          <w:szCs w:val="24"/>
          <w:lang w:eastAsia="en-US"/>
        </w:rPr>
        <w:t xml:space="preserve">have on the </w:t>
      </w:r>
      <w:r w:rsidR="007023FF" w:rsidRPr="005A5D3C">
        <w:rPr>
          <w:b/>
          <w:bCs/>
          <w:color w:val="1F497D"/>
          <w:sz w:val="24"/>
          <w:szCs w:val="24"/>
          <w:lang w:eastAsia="en-US"/>
        </w:rPr>
        <w:t xml:space="preserve">timelines and </w:t>
      </w:r>
      <w:r w:rsidR="00A56FB2" w:rsidRPr="005A5D3C">
        <w:rPr>
          <w:b/>
          <w:bCs/>
          <w:color w:val="1F497D"/>
          <w:sz w:val="24"/>
          <w:szCs w:val="24"/>
          <w:lang w:eastAsia="en-US"/>
        </w:rPr>
        <w:t xml:space="preserve">operation of </w:t>
      </w:r>
      <w:r w:rsidR="00902969" w:rsidRPr="005A5D3C">
        <w:rPr>
          <w:b/>
          <w:bCs/>
          <w:color w:val="1F497D"/>
          <w:sz w:val="24"/>
          <w:szCs w:val="24"/>
          <w:lang w:eastAsia="en-US"/>
        </w:rPr>
        <w:t>procedures relating to third parties</w:t>
      </w:r>
      <w:r w:rsidR="00A56FB2" w:rsidRPr="005A5D3C">
        <w:rPr>
          <w:b/>
          <w:bCs/>
          <w:color w:val="1F497D"/>
          <w:sz w:val="24"/>
          <w:szCs w:val="24"/>
          <w:lang w:eastAsia="en-US"/>
        </w:rPr>
        <w:t xml:space="preserve"> </w:t>
      </w:r>
      <w:r w:rsidRPr="005A5D3C">
        <w:rPr>
          <w:b/>
          <w:bCs/>
          <w:color w:val="1F497D"/>
          <w:sz w:val="24"/>
          <w:szCs w:val="24"/>
          <w:lang w:eastAsia="en-US"/>
        </w:rPr>
        <w:t>under</w:t>
      </w:r>
      <w:r w:rsidR="006644F9" w:rsidRPr="005A5D3C">
        <w:rPr>
          <w:b/>
          <w:bCs/>
          <w:color w:val="1F497D"/>
          <w:sz w:val="24"/>
          <w:szCs w:val="24"/>
          <w:lang w:eastAsia="en-US"/>
        </w:rPr>
        <w:t xml:space="preserve"> s</w:t>
      </w:r>
      <w:r w:rsidR="00065340" w:rsidRPr="005A5D3C">
        <w:rPr>
          <w:b/>
          <w:bCs/>
          <w:color w:val="1F497D"/>
          <w:sz w:val="24"/>
          <w:szCs w:val="24"/>
          <w:lang w:eastAsia="en-US"/>
        </w:rPr>
        <w:t>ection</w:t>
      </w:r>
      <w:r w:rsidR="006644F9" w:rsidRPr="005A5D3C">
        <w:rPr>
          <w:b/>
          <w:bCs/>
          <w:color w:val="1F497D"/>
          <w:sz w:val="24"/>
          <w:szCs w:val="24"/>
          <w:lang w:eastAsia="en-US"/>
        </w:rPr>
        <w:t xml:space="preserve"> 28 of the </w:t>
      </w:r>
      <w:r w:rsidR="008E38D2" w:rsidRPr="005A5D3C">
        <w:rPr>
          <w:b/>
          <w:bCs/>
          <w:i/>
          <w:color w:val="1F497D"/>
          <w:sz w:val="24"/>
          <w:szCs w:val="24"/>
          <w:lang w:eastAsia="en-US"/>
        </w:rPr>
        <w:t>Access to Information Act</w:t>
      </w:r>
      <w:r w:rsidR="008E38D2" w:rsidRPr="005A5D3C">
        <w:rPr>
          <w:b/>
          <w:bCs/>
          <w:color w:val="1F497D"/>
          <w:sz w:val="24"/>
          <w:szCs w:val="24"/>
          <w:lang w:eastAsia="en-US"/>
        </w:rPr>
        <w:t xml:space="preserve"> (</w:t>
      </w:r>
      <w:r w:rsidR="006644F9" w:rsidRPr="005A5D3C">
        <w:rPr>
          <w:b/>
          <w:bCs/>
          <w:i/>
          <w:color w:val="1F497D"/>
          <w:sz w:val="24"/>
          <w:szCs w:val="24"/>
          <w:lang w:eastAsia="en-US"/>
        </w:rPr>
        <w:t>A</w:t>
      </w:r>
      <w:r w:rsidRPr="005A5D3C">
        <w:rPr>
          <w:b/>
          <w:bCs/>
          <w:i/>
          <w:color w:val="1F497D"/>
          <w:sz w:val="24"/>
          <w:szCs w:val="24"/>
          <w:lang w:eastAsia="en-US"/>
        </w:rPr>
        <w:t>TIA</w:t>
      </w:r>
      <w:r w:rsidR="00065340" w:rsidRPr="005A5D3C">
        <w:rPr>
          <w:b/>
          <w:bCs/>
          <w:color w:val="1F497D"/>
          <w:sz w:val="24"/>
          <w:szCs w:val="24"/>
          <w:lang w:eastAsia="en-US"/>
        </w:rPr>
        <w:t>)</w:t>
      </w:r>
      <w:r w:rsidRPr="005A5D3C">
        <w:rPr>
          <w:b/>
          <w:bCs/>
          <w:color w:val="1F497D"/>
          <w:sz w:val="24"/>
          <w:szCs w:val="24"/>
          <w:lang w:eastAsia="en-US"/>
        </w:rPr>
        <w:t>?</w:t>
      </w:r>
    </w:p>
    <w:p w14:paraId="43546722" w14:textId="77777777" w:rsidR="00586D94" w:rsidRDefault="00586D94" w:rsidP="00586D94">
      <w:pPr>
        <w:rPr>
          <w:color w:val="1F497D"/>
          <w:sz w:val="24"/>
          <w:szCs w:val="24"/>
          <w:lang w:eastAsia="en-US"/>
        </w:rPr>
      </w:pPr>
    </w:p>
    <w:p w14:paraId="18056283" w14:textId="4A02740D" w:rsidR="006644F9" w:rsidRPr="00A655AE" w:rsidRDefault="00586D94" w:rsidP="00A56FB2">
      <w:pPr>
        <w:rPr>
          <w:sz w:val="24"/>
        </w:rPr>
      </w:pPr>
      <w:r w:rsidRPr="00A655AE">
        <w:rPr>
          <w:sz w:val="24"/>
        </w:rPr>
        <w:t xml:space="preserve">R1: </w:t>
      </w:r>
      <w:r w:rsidR="00461E04" w:rsidRPr="00A655AE">
        <w:rPr>
          <w:sz w:val="24"/>
        </w:rPr>
        <w:t>Although</w:t>
      </w:r>
      <w:r w:rsidR="0021281E" w:rsidRPr="00A655AE">
        <w:rPr>
          <w:sz w:val="24"/>
        </w:rPr>
        <w:t xml:space="preserve"> the </w:t>
      </w:r>
      <w:r w:rsidR="008E38D2" w:rsidRPr="00065340">
        <w:rPr>
          <w:i/>
          <w:sz w:val="24"/>
        </w:rPr>
        <w:t>TLA</w:t>
      </w:r>
      <w:r w:rsidR="0021281E" w:rsidRPr="00A655AE">
        <w:rPr>
          <w:sz w:val="24"/>
        </w:rPr>
        <w:t xml:space="preserve"> </w:t>
      </w:r>
      <w:r w:rsidR="00461E04" w:rsidRPr="00A655AE">
        <w:rPr>
          <w:sz w:val="24"/>
        </w:rPr>
        <w:t>does not direc</w:t>
      </w:r>
      <w:r w:rsidR="00065340">
        <w:rPr>
          <w:sz w:val="24"/>
        </w:rPr>
        <w:t>tly alter the timelines under section</w:t>
      </w:r>
      <w:r w:rsidR="00461E04" w:rsidRPr="00A655AE">
        <w:rPr>
          <w:sz w:val="24"/>
        </w:rPr>
        <w:t xml:space="preserve"> 28 of the </w:t>
      </w:r>
      <w:r w:rsidR="00461E04" w:rsidRPr="005A446F">
        <w:rPr>
          <w:i/>
          <w:sz w:val="24"/>
        </w:rPr>
        <w:t>ATIA</w:t>
      </w:r>
      <w:r w:rsidR="00461E04" w:rsidRPr="00A655AE">
        <w:rPr>
          <w:sz w:val="24"/>
        </w:rPr>
        <w:t>, its susp</w:t>
      </w:r>
      <w:r w:rsidR="00065340">
        <w:rPr>
          <w:sz w:val="24"/>
        </w:rPr>
        <w:t>ension of the timelines under section</w:t>
      </w:r>
      <w:r w:rsidR="00461E04" w:rsidRPr="00A655AE">
        <w:rPr>
          <w:sz w:val="24"/>
        </w:rPr>
        <w:t xml:space="preserve"> 44 of the </w:t>
      </w:r>
      <w:r w:rsidR="00461E04" w:rsidRPr="00A655AE">
        <w:rPr>
          <w:i/>
          <w:sz w:val="24"/>
        </w:rPr>
        <w:t xml:space="preserve">ATIA </w:t>
      </w:r>
      <w:r w:rsidR="00461E04" w:rsidRPr="00A655AE">
        <w:rPr>
          <w:sz w:val="24"/>
        </w:rPr>
        <w:t xml:space="preserve">indirectly affects the </w:t>
      </w:r>
      <w:r w:rsidR="007023FF" w:rsidRPr="00A655AE">
        <w:rPr>
          <w:sz w:val="24"/>
        </w:rPr>
        <w:t xml:space="preserve">timing of certain </w:t>
      </w:r>
      <w:r w:rsidR="00065340">
        <w:rPr>
          <w:sz w:val="24"/>
        </w:rPr>
        <w:t>procedures under section</w:t>
      </w:r>
      <w:r w:rsidR="00461E04" w:rsidRPr="00A655AE">
        <w:rPr>
          <w:sz w:val="24"/>
        </w:rPr>
        <w:t xml:space="preserve"> 28.</w:t>
      </w:r>
      <w:r w:rsidR="007023FF" w:rsidRPr="00A655AE">
        <w:rPr>
          <w:sz w:val="24"/>
        </w:rPr>
        <w:t xml:space="preserve"> </w:t>
      </w:r>
    </w:p>
    <w:p w14:paraId="21A1094B" w14:textId="77777777" w:rsidR="006644F9" w:rsidRPr="00A655AE" w:rsidRDefault="006644F9" w:rsidP="00A56FB2">
      <w:pPr>
        <w:rPr>
          <w:sz w:val="24"/>
        </w:rPr>
      </w:pPr>
    </w:p>
    <w:p w14:paraId="39EE4396" w14:textId="77777777" w:rsidR="006644F9" w:rsidRPr="00A655AE" w:rsidRDefault="0021281E" w:rsidP="00A56FB2">
      <w:pPr>
        <w:rPr>
          <w:sz w:val="24"/>
        </w:rPr>
      </w:pPr>
      <w:r w:rsidRPr="00A655AE">
        <w:rPr>
          <w:sz w:val="24"/>
        </w:rPr>
        <w:t>The</w:t>
      </w:r>
      <w:r w:rsidR="00065340">
        <w:rPr>
          <w:sz w:val="24"/>
        </w:rPr>
        <w:t xml:space="preserve"> </w:t>
      </w:r>
      <w:r w:rsidR="00065340">
        <w:rPr>
          <w:i/>
          <w:sz w:val="24"/>
        </w:rPr>
        <w:t xml:space="preserve">TLA </w:t>
      </w:r>
      <w:r w:rsidR="007023FF" w:rsidRPr="00A655AE">
        <w:rPr>
          <w:sz w:val="24"/>
          <w:u w:val="single"/>
        </w:rPr>
        <w:t>does not affect</w:t>
      </w:r>
      <w:r w:rsidR="007023FF" w:rsidRPr="00A655AE">
        <w:rPr>
          <w:sz w:val="24"/>
        </w:rPr>
        <w:t xml:space="preserve"> the timelines</w:t>
      </w:r>
      <w:r w:rsidR="00461E04" w:rsidRPr="00A655AE">
        <w:rPr>
          <w:sz w:val="24"/>
        </w:rPr>
        <w:t xml:space="preserve"> </w:t>
      </w:r>
      <w:r w:rsidR="00586D94" w:rsidRPr="00A655AE">
        <w:rPr>
          <w:sz w:val="24"/>
        </w:rPr>
        <w:t>relating to third party representations</w:t>
      </w:r>
      <w:r w:rsidR="00065340">
        <w:rPr>
          <w:sz w:val="24"/>
        </w:rPr>
        <w:t>. As usual, once a section</w:t>
      </w:r>
      <w:r w:rsidR="007023FF" w:rsidRPr="00A655AE">
        <w:rPr>
          <w:sz w:val="24"/>
        </w:rPr>
        <w:t xml:space="preserve"> 27 notice is sent out, the third party has 20 days to provide repr</w:t>
      </w:r>
      <w:r w:rsidR="00065340">
        <w:rPr>
          <w:sz w:val="24"/>
        </w:rPr>
        <w:t>esentations in accordance with paragraph 28(1)(a) and subsection</w:t>
      </w:r>
      <w:r w:rsidR="007023FF" w:rsidRPr="00A655AE">
        <w:rPr>
          <w:sz w:val="24"/>
        </w:rPr>
        <w:t xml:space="preserve"> 28(2) of the </w:t>
      </w:r>
      <w:r w:rsidR="007023FF" w:rsidRPr="00A655AE">
        <w:rPr>
          <w:i/>
          <w:sz w:val="24"/>
        </w:rPr>
        <w:t>ATIA</w:t>
      </w:r>
      <w:r w:rsidR="007023FF" w:rsidRPr="00A655AE">
        <w:rPr>
          <w:sz w:val="24"/>
        </w:rPr>
        <w:t xml:space="preserve">. </w:t>
      </w:r>
    </w:p>
    <w:p w14:paraId="04A393F5" w14:textId="77777777" w:rsidR="006644F9" w:rsidRPr="00A655AE" w:rsidRDefault="006644F9" w:rsidP="00A56FB2">
      <w:pPr>
        <w:rPr>
          <w:sz w:val="24"/>
        </w:rPr>
      </w:pPr>
    </w:p>
    <w:p w14:paraId="126FD5E7" w14:textId="6C07ECC5" w:rsidR="006644F9" w:rsidRPr="00A655AE" w:rsidRDefault="0021281E" w:rsidP="00A56FB2">
      <w:pPr>
        <w:rPr>
          <w:sz w:val="24"/>
        </w:rPr>
      </w:pPr>
      <w:r w:rsidRPr="00A655AE">
        <w:rPr>
          <w:sz w:val="24"/>
        </w:rPr>
        <w:t xml:space="preserve">The </w:t>
      </w:r>
      <w:r w:rsidR="008E38D2" w:rsidRPr="00065340">
        <w:rPr>
          <w:i/>
          <w:sz w:val="24"/>
        </w:rPr>
        <w:t>TLA</w:t>
      </w:r>
      <w:r w:rsidR="008E38D2" w:rsidRPr="00A655AE">
        <w:rPr>
          <w:sz w:val="24"/>
        </w:rPr>
        <w:t xml:space="preserve"> </w:t>
      </w:r>
      <w:r w:rsidR="006644F9" w:rsidRPr="00A655AE">
        <w:rPr>
          <w:sz w:val="24"/>
          <w:u w:val="single"/>
        </w:rPr>
        <w:t>does not affect</w:t>
      </w:r>
      <w:r w:rsidR="006644F9" w:rsidRPr="00A655AE">
        <w:rPr>
          <w:sz w:val="24"/>
        </w:rPr>
        <w:t xml:space="preserve"> the timelines relating to </w:t>
      </w:r>
      <w:r w:rsidR="00065340">
        <w:rPr>
          <w:sz w:val="24"/>
        </w:rPr>
        <w:t>decision notices issued under paragraph</w:t>
      </w:r>
      <w:r w:rsidR="006644F9" w:rsidRPr="00A655AE">
        <w:rPr>
          <w:sz w:val="24"/>
        </w:rPr>
        <w:t xml:space="preserve"> 28(1)(b), although the standard wording of those notices may nee</w:t>
      </w:r>
      <w:r w:rsidRPr="00A655AE">
        <w:rPr>
          <w:sz w:val="24"/>
        </w:rPr>
        <w:t xml:space="preserve">d to be updated to reflect the </w:t>
      </w:r>
      <w:r w:rsidR="008E38D2" w:rsidRPr="00A655AE">
        <w:rPr>
          <w:sz w:val="24"/>
        </w:rPr>
        <w:t>suspen</w:t>
      </w:r>
      <w:r w:rsidR="008E38D2">
        <w:rPr>
          <w:sz w:val="24"/>
        </w:rPr>
        <w:t xml:space="preserve">sion of </w:t>
      </w:r>
      <w:r w:rsidRPr="00A655AE">
        <w:rPr>
          <w:sz w:val="24"/>
        </w:rPr>
        <w:t>timelines for filing a judicial review under s</w:t>
      </w:r>
      <w:r w:rsidR="00065340">
        <w:rPr>
          <w:sz w:val="24"/>
        </w:rPr>
        <w:t>ection</w:t>
      </w:r>
      <w:r w:rsidRPr="00A655AE">
        <w:rPr>
          <w:sz w:val="24"/>
        </w:rPr>
        <w:t xml:space="preserve"> 44. </w:t>
      </w:r>
      <w:r w:rsidR="006644F9" w:rsidRPr="00A655AE">
        <w:rPr>
          <w:sz w:val="24"/>
        </w:rPr>
        <w:t xml:space="preserve">While the </w:t>
      </w:r>
      <w:r w:rsidRPr="00A655AE">
        <w:rPr>
          <w:sz w:val="24"/>
        </w:rPr>
        <w:t xml:space="preserve">decision </w:t>
      </w:r>
      <w:r w:rsidR="006644F9" w:rsidRPr="00A655AE">
        <w:rPr>
          <w:sz w:val="24"/>
        </w:rPr>
        <w:t xml:space="preserve">notices must still contain the information </w:t>
      </w:r>
      <w:r w:rsidRPr="00A655AE">
        <w:rPr>
          <w:sz w:val="24"/>
        </w:rPr>
        <w:t>prescribed</w:t>
      </w:r>
      <w:r w:rsidR="006644F9" w:rsidRPr="00A655AE">
        <w:rPr>
          <w:sz w:val="24"/>
        </w:rPr>
        <w:t xml:space="preserve"> in s</w:t>
      </w:r>
      <w:r w:rsidR="00065340">
        <w:rPr>
          <w:sz w:val="24"/>
        </w:rPr>
        <w:t>ubsection</w:t>
      </w:r>
      <w:r w:rsidR="006644F9" w:rsidRPr="00A655AE">
        <w:rPr>
          <w:sz w:val="24"/>
        </w:rPr>
        <w:t xml:space="preserve"> 28(3), they should include an additional line referencing the timeline suspensions as provided by</w:t>
      </w:r>
      <w:r w:rsidR="00C13B19">
        <w:rPr>
          <w:sz w:val="24"/>
        </w:rPr>
        <w:t xml:space="preserve"> the</w:t>
      </w:r>
      <w:r w:rsidR="006644F9" w:rsidRPr="00A655AE">
        <w:rPr>
          <w:sz w:val="24"/>
        </w:rPr>
        <w:t xml:space="preserve"> </w:t>
      </w:r>
      <w:r w:rsidR="008E38D2" w:rsidRPr="00065340">
        <w:rPr>
          <w:i/>
          <w:sz w:val="24"/>
        </w:rPr>
        <w:t>TLA</w:t>
      </w:r>
      <w:r w:rsidR="006644F9" w:rsidRPr="00065340">
        <w:rPr>
          <w:sz w:val="24"/>
        </w:rPr>
        <w:t xml:space="preserve"> </w:t>
      </w:r>
      <w:r w:rsidR="006644F9" w:rsidRPr="00A655AE">
        <w:rPr>
          <w:sz w:val="24"/>
        </w:rPr>
        <w:t xml:space="preserve">so that the third parties </w:t>
      </w:r>
      <w:r w:rsidRPr="00A655AE">
        <w:rPr>
          <w:sz w:val="24"/>
        </w:rPr>
        <w:t xml:space="preserve">are aware that the regular timelines are suspended. </w:t>
      </w:r>
    </w:p>
    <w:p w14:paraId="676DC5B9" w14:textId="77777777" w:rsidR="006644F9" w:rsidRPr="00A655AE" w:rsidRDefault="006644F9" w:rsidP="00A56FB2">
      <w:pPr>
        <w:rPr>
          <w:sz w:val="24"/>
        </w:rPr>
      </w:pPr>
    </w:p>
    <w:p w14:paraId="79473CFE" w14:textId="7CDE621C" w:rsidR="00586D94" w:rsidRPr="00A655AE" w:rsidRDefault="0021281E" w:rsidP="00A56FB2">
      <w:pPr>
        <w:rPr>
          <w:sz w:val="24"/>
        </w:rPr>
      </w:pPr>
      <w:r w:rsidRPr="00A655AE">
        <w:rPr>
          <w:sz w:val="24"/>
        </w:rPr>
        <w:t xml:space="preserve">As of July 27, 2020, the </w:t>
      </w:r>
      <w:r w:rsidR="008E38D2" w:rsidRPr="00065340">
        <w:rPr>
          <w:i/>
          <w:sz w:val="24"/>
        </w:rPr>
        <w:t>TLA</w:t>
      </w:r>
      <w:r w:rsidR="008E38D2" w:rsidRPr="00A655AE">
        <w:rPr>
          <w:sz w:val="24"/>
        </w:rPr>
        <w:t xml:space="preserve"> </w:t>
      </w:r>
      <w:r w:rsidR="006644F9" w:rsidRPr="00A655AE">
        <w:rPr>
          <w:sz w:val="24"/>
          <w:u w:val="single"/>
        </w:rPr>
        <w:t>does affect</w:t>
      </w:r>
      <w:r w:rsidR="006644F9" w:rsidRPr="00A655AE">
        <w:rPr>
          <w:sz w:val="24"/>
        </w:rPr>
        <w:t xml:space="preserve"> </w:t>
      </w:r>
      <w:r w:rsidR="007023FF" w:rsidRPr="00A655AE">
        <w:rPr>
          <w:sz w:val="24"/>
        </w:rPr>
        <w:t>the timelines relating to the disclosure of reco</w:t>
      </w:r>
      <w:r w:rsidR="00065340">
        <w:rPr>
          <w:sz w:val="24"/>
        </w:rPr>
        <w:t>rds to access requesters under paragraph</w:t>
      </w:r>
      <w:r w:rsidR="007023FF" w:rsidRPr="00A655AE">
        <w:rPr>
          <w:sz w:val="24"/>
        </w:rPr>
        <w:t xml:space="preserve"> 28(4)</w:t>
      </w:r>
      <w:r w:rsidR="00DA7E56">
        <w:rPr>
          <w:sz w:val="24"/>
        </w:rPr>
        <w:t xml:space="preserve"> of the </w:t>
      </w:r>
      <w:r w:rsidR="00DA7E56" w:rsidRPr="00DA7E56">
        <w:rPr>
          <w:i/>
          <w:iCs/>
          <w:sz w:val="24"/>
        </w:rPr>
        <w:t>ATIA</w:t>
      </w:r>
      <w:r w:rsidR="007023FF" w:rsidRPr="00A655AE">
        <w:rPr>
          <w:sz w:val="24"/>
        </w:rPr>
        <w:t>.</w:t>
      </w:r>
      <w:r w:rsidRPr="00A655AE">
        <w:rPr>
          <w:sz w:val="24"/>
        </w:rPr>
        <w:t xml:space="preserve"> Because the </w:t>
      </w:r>
      <w:r w:rsidR="008E38D2" w:rsidRPr="00065340">
        <w:rPr>
          <w:i/>
          <w:sz w:val="24"/>
        </w:rPr>
        <w:t>TLA</w:t>
      </w:r>
      <w:r w:rsidR="008E38D2" w:rsidRPr="00A655AE">
        <w:rPr>
          <w:sz w:val="24"/>
        </w:rPr>
        <w:t xml:space="preserve"> </w:t>
      </w:r>
      <w:r w:rsidRPr="00A655AE">
        <w:rPr>
          <w:sz w:val="24"/>
        </w:rPr>
        <w:t>suspends the timelines for seeking a judicial review under s</w:t>
      </w:r>
      <w:r w:rsidR="00065340">
        <w:rPr>
          <w:sz w:val="24"/>
        </w:rPr>
        <w:t>ection</w:t>
      </w:r>
      <w:r w:rsidRPr="00A655AE">
        <w:rPr>
          <w:sz w:val="24"/>
        </w:rPr>
        <w:t xml:space="preserve"> 44 of the </w:t>
      </w:r>
      <w:r w:rsidRPr="00A655AE">
        <w:rPr>
          <w:i/>
          <w:sz w:val="24"/>
        </w:rPr>
        <w:t>ATIA</w:t>
      </w:r>
      <w:r w:rsidRPr="00A655AE">
        <w:rPr>
          <w:sz w:val="24"/>
        </w:rPr>
        <w:t xml:space="preserve">, the government institution </w:t>
      </w:r>
      <w:r w:rsidR="00E335CC">
        <w:rPr>
          <w:sz w:val="24"/>
          <w:u w:val="single"/>
        </w:rPr>
        <w:t>will have to</w:t>
      </w:r>
      <w:r w:rsidR="00E335CC" w:rsidRPr="00A655AE">
        <w:rPr>
          <w:sz w:val="24"/>
          <w:u w:val="single"/>
        </w:rPr>
        <w:t xml:space="preserve"> </w:t>
      </w:r>
      <w:r w:rsidRPr="00A655AE">
        <w:rPr>
          <w:sz w:val="24"/>
          <w:u w:val="single"/>
        </w:rPr>
        <w:t>wait</w:t>
      </w:r>
      <w:r w:rsidRPr="00A655AE">
        <w:rPr>
          <w:sz w:val="24"/>
        </w:rPr>
        <w:t xml:space="preserve"> until 20 days following the expiration of the timeline suspension before releasing the records, in order to see whether the third party requests a review under s</w:t>
      </w:r>
      <w:r w:rsidR="00065340">
        <w:rPr>
          <w:sz w:val="24"/>
        </w:rPr>
        <w:t>ection</w:t>
      </w:r>
      <w:r w:rsidRPr="00A655AE">
        <w:rPr>
          <w:sz w:val="24"/>
        </w:rPr>
        <w:t xml:space="preserve"> 44</w:t>
      </w:r>
      <w:r w:rsidR="00E335CC">
        <w:rPr>
          <w:sz w:val="24"/>
        </w:rPr>
        <w:t>, regardless of the date when the notice under paragraph 28(1)(a) has been given</w:t>
      </w:r>
      <w:r w:rsidRPr="00A655AE">
        <w:rPr>
          <w:sz w:val="24"/>
        </w:rPr>
        <w:t xml:space="preserve">. </w:t>
      </w:r>
    </w:p>
    <w:p w14:paraId="3CFBE6F7" w14:textId="77777777" w:rsidR="00586D94" w:rsidRDefault="00586D94" w:rsidP="00586D94">
      <w:pPr>
        <w:rPr>
          <w:sz w:val="24"/>
          <w:szCs w:val="24"/>
        </w:rPr>
      </w:pPr>
    </w:p>
    <w:p w14:paraId="26D873F7" w14:textId="77777777" w:rsidR="00586D94" w:rsidRPr="005A5D3C" w:rsidRDefault="00A655AE" w:rsidP="00586D94">
      <w:pPr>
        <w:rPr>
          <w:b/>
          <w:bCs/>
          <w:color w:val="1F497D"/>
          <w:sz w:val="24"/>
          <w:szCs w:val="24"/>
          <w:lang w:eastAsia="en-US"/>
        </w:rPr>
      </w:pPr>
      <w:r w:rsidRPr="005A5D3C">
        <w:rPr>
          <w:b/>
          <w:bCs/>
          <w:color w:val="1F497D"/>
          <w:sz w:val="24"/>
          <w:szCs w:val="24"/>
          <w:lang w:eastAsia="en-US"/>
        </w:rPr>
        <w:t>Q2: What happens if a government</w:t>
      </w:r>
      <w:r w:rsidR="00586D94" w:rsidRPr="005A5D3C">
        <w:rPr>
          <w:b/>
          <w:bCs/>
          <w:color w:val="1F497D"/>
          <w:sz w:val="24"/>
          <w:szCs w:val="24"/>
          <w:lang w:eastAsia="en-US"/>
        </w:rPr>
        <w:t xml:space="preserve"> institution disclosed third party records just before the</w:t>
      </w:r>
      <w:r w:rsidR="0021281E" w:rsidRPr="005A5D3C">
        <w:rPr>
          <w:b/>
          <w:bCs/>
          <w:color w:val="1F497D"/>
          <w:sz w:val="24"/>
          <w:szCs w:val="24"/>
          <w:lang w:eastAsia="en-US"/>
        </w:rPr>
        <w:t xml:space="preserve"> coming</w:t>
      </w:r>
      <w:r w:rsidR="00586D94" w:rsidRPr="005A5D3C">
        <w:rPr>
          <w:b/>
          <w:bCs/>
          <w:color w:val="1F497D"/>
          <w:sz w:val="24"/>
          <w:szCs w:val="24"/>
          <w:lang w:eastAsia="en-US"/>
        </w:rPr>
        <w:t xml:space="preserve"> into force of </w:t>
      </w:r>
      <w:r w:rsidR="00CD5C2B" w:rsidRPr="005A5D3C">
        <w:rPr>
          <w:b/>
          <w:bCs/>
          <w:color w:val="1F497D"/>
          <w:sz w:val="24"/>
          <w:szCs w:val="24"/>
          <w:lang w:eastAsia="en-US"/>
        </w:rPr>
        <w:t xml:space="preserve">the </w:t>
      </w:r>
      <w:r w:rsidR="00CD5C2B" w:rsidRPr="005A5D3C">
        <w:rPr>
          <w:b/>
          <w:bCs/>
          <w:i/>
          <w:color w:val="1F497D"/>
          <w:sz w:val="24"/>
          <w:szCs w:val="24"/>
          <w:lang w:eastAsia="en-US"/>
        </w:rPr>
        <w:t>Time Limits and Other Periods Act (COVID-19)</w:t>
      </w:r>
      <w:r w:rsidR="00CD5C2B" w:rsidRPr="005A5D3C">
        <w:rPr>
          <w:b/>
          <w:bCs/>
          <w:color w:val="1F497D"/>
          <w:sz w:val="24"/>
          <w:szCs w:val="24"/>
          <w:lang w:eastAsia="en-US"/>
        </w:rPr>
        <w:t xml:space="preserve"> </w:t>
      </w:r>
      <w:r w:rsidR="00586D94" w:rsidRPr="005A5D3C">
        <w:rPr>
          <w:b/>
          <w:bCs/>
          <w:color w:val="1F497D"/>
          <w:sz w:val="24"/>
          <w:szCs w:val="24"/>
          <w:lang w:eastAsia="en-US"/>
        </w:rPr>
        <w:t>and the third party did not benefit from the suspended time limit to file a judicial review under s</w:t>
      </w:r>
      <w:r w:rsidR="00065340" w:rsidRPr="005A5D3C">
        <w:rPr>
          <w:b/>
          <w:bCs/>
          <w:color w:val="1F497D"/>
          <w:sz w:val="24"/>
          <w:szCs w:val="24"/>
          <w:lang w:eastAsia="en-US"/>
        </w:rPr>
        <w:t>ection</w:t>
      </w:r>
      <w:r w:rsidR="00586D94" w:rsidRPr="005A5D3C">
        <w:rPr>
          <w:b/>
          <w:bCs/>
          <w:color w:val="1F497D"/>
          <w:sz w:val="24"/>
          <w:szCs w:val="24"/>
          <w:lang w:eastAsia="en-US"/>
        </w:rPr>
        <w:t xml:space="preserve"> 44 of the </w:t>
      </w:r>
      <w:r w:rsidR="00586D94" w:rsidRPr="005A5D3C">
        <w:rPr>
          <w:b/>
          <w:bCs/>
          <w:i/>
          <w:color w:val="1F497D"/>
          <w:sz w:val="24"/>
          <w:szCs w:val="24"/>
          <w:lang w:eastAsia="en-US"/>
        </w:rPr>
        <w:t>ATIA</w:t>
      </w:r>
      <w:r w:rsidR="00586D94" w:rsidRPr="005A5D3C">
        <w:rPr>
          <w:b/>
          <w:bCs/>
          <w:color w:val="1F497D"/>
          <w:sz w:val="24"/>
          <w:szCs w:val="24"/>
          <w:lang w:eastAsia="en-US"/>
        </w:rPr>
        <w:t>?</w:t>
      </w:r>
    </w:p>
    <w:p w14:paraId="58E5833A" w14:textId="77777777" w:rsidR="00586D94" w:rsidRDefault="00586D94" w:rsidP="00586D94">
      <w:pPr>
        <w:rPr>
          <w:color w:val="1F497D"/>
          <w:sz w:val="24"/>
          <w:szCs w:val="24"/>
          <w:lang w:eastAsia="en-US"/>
        </w:rPr>
      </w:pPr>
    </w:p>
    <w:p w14:paraId="45725B67" w14:textId="5E18690B" w:rsidR="00FB0F64" w:rsidRDefault="00A655AE" w:rsidP="00586D94">
      <w:pPr>
        <w:rPr>
          <w:sz w:val="24"/>
          <w:szCs w:val="24"/>
          <w:lang w:eastAsia="en-US"/>
        </w:rPr>
      </w:pPr>
      <w:r w:rsidRPr="00B86F46">
        <w:rPr>
          <w:sz w:val="24"/>
          <w:szCs w:val="24"/>
          <w:lang w:eastAsia="en-US"/>
        </w:rPr>
        <w:t xml:space="preserve">R2: </w:t>
      </w:r>
      <w:r w:rsidR="003356DF" w:rsidRPr="00B86F46">
        <w:rPr>
          <w:sz w:val="24"/>
          <w:szCs w:val="24"/>
          <w:lang w:eastAsia="en-US"/>
        </w:rPr>
        <w:t xml:space="preserve">Disclosure of records that preceded </w:t>
      </w:r>
      <w:r w:rsidR="0064573E" w:rsidRPr="00B86F46">
        <w:rPr>
          <w:sz w:val="24"/>
          <w:szCs w:val="24"/>
          <w:lang w:eastAsia="en-US"/>
        </w:rPr>
        <w:t xml:space="preserve">the coming into force of the </w:t>
      </w:r>
      <w:r w:rsidR="008E38D2" w:rsidRPr="00065340">
        <w:rPr>
          <w:i/>
          <w:sz w:val="24"/>
          <w:szCs w:val="24"/>
          <w:lang w:eastAsia="en-US"/>
        </w:rPr>
        <w:t>TLA</w:t>
      </w:r>
      <w:r w:rsidR="008E38D2" w:rsidRPr="00B86F46">
        <w:rPr>
          <w:sz w:val="24"/>
          <w:szCs w:val="24"/>
          <w:lang w:eastAsia="en-US"/>
        </w:rPr>
        <w:t xml:space="preserve"> </w:t>
      </w:r>
      <w:r w:rsidR="0064573E" w:rsidRPr="00B86F46">
        <w:rPr>
          <w:sz w:val="24"/>
          <w:szCs w:val="24"/>
          <w:lang w:eastAsia="en-US"/>
        </w:rPr>
        <w:t>(i.e., July 27</w:t>
      </w:r>
      <w:r w:rsidR="005A5D3C" w:rsidRPr="005A5D3C">
        <w:rPr>
          <w:sz w:val="24"/>
          <w:szCs w:val="24"/>
          <w:lang w:eastAsia="en-US"/>
        </w:rPr>
        <w:t>, 2020</w:t>
      </w:r>
      <w:r w:rsidR="0064573E" w:rsidRPr="00B86F46">
        <w:rPr>
          <w:sz w:val="24"/>
          <w:szCs w:val="24"/>
          <w:lang w:eastAsia="en-US"/>
        </w:rPr>
        <w:t xml:space="preserve">) </w:t>
      </w:r>
      <w:r w:rsidR="003356DF" w:rsidRPr="00B86F46">
        <w:rPr>
          <w:sz w:val="24"/>
          <w:szCs w:val="24"/>
          <w:lang w:eastAsia="en-US"/>
        </w:rPr>
        <w:t xml:space="preserve">would have complied with the law at the time the disclosure </w:t>
      </w:r>
      <w:r w:rsidR="0064573E" w:rsidRPr="00B86F46">
        <w:rPr>
          <w:sz w:val="24"/>
          <w:szCs w:val="24"/>
          <w:lang w:eastAsia="en-US"/>
        </w:rPr>
        <w:t>occurred.</w:t>
      </w:r>
      <w:r w:rsidR="003356DF" w:rsidRPr="00B86F46">
        <w:rPr>
          <w:sz w:val="24"/>
          <w:szCs w:val="24"/>
          <w:lang w:eastAsia="en-US"/>
        </w:rPr>
        <w:t xml:space="preserve"> In other words, </w:t>
      </w:r>
      <w:r w:rsidR="00B86F46">
        <w:rPr>
          <w:sz w:val="24"/>
          <w:szCs w:val="24"/>
          <w:lang w:eastAsia="en-US"/>
        </w:rPr>
        <w:t xml:space="preserve">in cases </w:t>
      </w:r>
      <w:r w:rsidR="0064573E" w:rsidRPr="00B86F46">
        <w:rPr>
          <w:sz w:val="24"/>
          <w:szCs w:val="24"/>
          <w:lang w:eastAsia="en-US"/>
        </w:rPr>
        <w:t xml:space="preserve">where the </w:t>
      </w:r>
      <w:r w:rsidR="002D2F08" w:rsidRPr="00065340">
        <w:rPr>
          <w:i/>
          <w:sz w:val="24"/>
          <w:szCs w:val="24"/>
          <w:lang w:eastAsia="en-US"/>
        </w:rPr>
        <w:t>TLA</w:t>
      </w:r>
      <w:r w:rsidR="002D2F08">
        <w:rPr>
          <w:sz w:val="24"/>
          <w:szCs w:val="24"/>
          <w:lang w:eastAsia="en-US"/>
        </w:rPr>
        <w:t xml:space="preserve"> provision</w:t>
      </w:r>
      <w:r w:rsidR="002D2F08" w:rsidRPr="00B86F46">
        <w:rPr>
          <w:sz w:val="24"/>
          <w:szCs w:val="24"/>
          <w:lang w:eastAsia="en-US"/>
        </w:rPr>
        <w:t xml:space="preserve"> suspen</w:t>
      </w:r>
      <w:r w:rsidR="002D2F08">
        <w:rPr>
          <w:sz w:val="24"/>
          <w:szCs w:val="24"/>
          <w:lang w:eastAsia="en-US"/>
        </w:rPr>
        <w:t>ding</w:t>
      </w:r>
      <w:r w:rsidR="002D2F08" w:rsidRPr="00B86F46">
        <w:rPr>
          <w:sz w:val="24"/>
          <w:szCs w:val="24"/>
          <w:lang w:eastAsia="en-US"/>
        </w:rPr>
        <w:t xml:space="preserve"> </w:t>
      </w:r>
      <w:r w:rsidR="0064573E" w:rsidRPr="00B86F46">
        <w:rPr>
          <w:sz w:val="24"/>
          <w:szCs w:val="24"/>
          <w:lang w:eastAsia="en-US"/>
        </w:rPr>
        <w:t xml:space="preserve">the timeline to proceed to court was not </w:t>
      </w:r>
      <w:r w:rsidR="00B86F46">
        <w:rPr>
          <w:sz w:val="24"/>
          <w:szCs w:val="24"/>
          <w:lang w:eastAsia="en-US"/>
        </w:rPr>
        <w:t xml:space="preserve">yet </w:t>
      </w:r>
      <w:r w:rsidR="0064573E" w:rsidRPr="00B86F46">
        <w:rPr>
          <w:sz w:val="24"/>
          <w:szCs w:val="24"/>
          <w:lang w:eastAsia="en-US"/>
        </w:rPr>
        <w:t xml:space="preserve">in force, the </w:t>
      </w:r>
      <w:r w:rsidR="0064573E" w:rsidRPr="00B86F46">
        <w:rPr>
          <w:sz w:val="24"/>
          <w:szCs w:val="24"/>
          <w:lang w:eastAsia="en-US"/>
        </w:rPr>
        <w:lastRenderedPageBreak/>
        <w:t>institution had no obligation to give additional time to a third party to file for</w:t>
      </w:r>
      <w:r w:rsidR="004F6333" w:rsidRPr="00B86F46">
        <w:rPr>
          <w:sz w:val="24"/>
          <w:szCs w:val="24"/>
          <w:lang w:eastAsia="en-US"/>
        </w:rPr>
        <w:t xml:space="preserve"> judicial review.</w:t>
      </w:r>
      <w:r w:rsidR="003356DF" w:rsidRPr="00B86F46">
        <w:rPr>
          <w:sz w:val="24"/>
          <w:szCs w:val="24"/>
          <w:lang w:eastAsia="en-US"/>
        </w:rPr>
        <w:t> </w:t>
      </w:r>
      <w:r w:rsidR="00B86F46" w:rsidRPr="00B86F46">
        <w:rPr>
          <w:sz w:val="24"/>
          <w:szCs w:val="24"/>
          <w:lang w:eastAsia="en-US"/>
        </w:rPr>
        <w:t>Nevertheless, a</w:t>
      </w:r>
      <w:r w:rsidR="004F6333" w:rsidRPr="00B86F46">
        <w:rPr>
          <w:sz w:val="24"/>
          <w:szCs w:val="24"/>
          <w:lang w:eastAsia="en-US"/>
        </w:rPr>
        <w:t xml:space="preserve">s a third party may have suffered a prejudice </w:t>
      </w:r>
      <w:r w:rsidR="005A446F">
        <w:rPr>
          <w:sz w:val="24"/>
          <w:szCs w:val="24"/>
          <w:lang w:eastAsia="en-US"/>
        </w:rPr>
        <w:t>by</w:t>
      </w:r>
      <w:r w:rsidR="004F6333" w:rsidRPr="00B86F46">
        <w:rPr>
          <w:sz w:val="24"/>
          <w:szCs w:val="24"/>
          <w:lang w:eastAsia="en-US"/>
        </w:rPr>
        <w:t xml:space="preserve"> not benefiting from the extended timelines,</w:t>
      </w:r>
      <w:r w:rsidR="00FB0F64">
        <w:rPr>
          <w:sz w:val="24"/>
          <w:szCs w:val="24"/>
          <w:lang w:eastAsia="en-US"/>
        </w:rPr>
        <w:t xml:space="preserve"> </w:t>
      </w:r>
      <w:r w:rsidR="00FB0F64" w:rsidRPr="00FB0F64">
        <w:rPr>
          <w:sz w:val="24"/>
          <w:szCs w:val="24"/>
          <w:lang w:eastAsia="en-US"/>
        </w:rPr>
        <w:t xml:space="preserve">it is of course possible that a third party may decide to commence legal proceedings against the Government. Government institutions should seek legal advice should such a scenario arise. </w:t>
      </w:r>
    </w:p>
    <w:p w14:paraId="1F2A7C2A" w14:textId="77777777" w:rsidR="00CD5C2B" w:rsidRPr="00185867" w:rsidRDefault="00CD5C2B" w:rsidP="00586D94">
      <w:pPr>
        <w:rPr>
          <w:lang w:eastAsia="en-US"/>
        </w:rPr>
      </w:pPr>
    </w:p>
    <w:p w14:paraId="3BEA1839" w14:textId="0C9E51FC" w:rsidR="00BE1B3A" w:rsidRPr="005A5D3C" w:rsidRDefault="00BE1B3A" w:rsidP="00BE1B3A">
      <w:pPr>
        <w:rPr>
          <w:b/>
          <w:bCs/>
          <w:color w:val="1F497D"/>
          <w:sz w:val="24"/>
          <w:szCs w:val="24"/>
          <w:lang w:eastAsia="en-US"/>
        </w:rPr>
      </w:pPr>
      <w:r w:rsidRPr="005A5D3C">
        <w:rPr>
          <w:b/>
          <w:bCs/>
          <w:color w:val="1F497D"/>
          <w:sz w:val="24"/>
          <w:szCs w:val="24"/>
          <w:lang w:eastAsia="en-US"/>
        </w:rPr>
        <w:t>Q3:</w:t>
      </w:r>
      <w:r w:rsidR="00E36935">
        <w:rPr>
          <w:b/>
          <w:bCs/>
          <w:color w:val="1F497D"/>
          <w:sz w:val="24"/>
          <w:szCs w:val="24"/>
          <w:lang w:eastAsia="en-US"/>
        </w:rPr>
        <w:t xml:space="preserve"> I</w:t>
      </w:r>
      <w:r w:rsidRPr="005A5D3C">
        <w:rPr>
          <w:b/>
          <w:bCs/>
          <w:color w:val="1F497D"/>
          <w:sz w:val="24"/>
          <w:szCs w:val="24"/>
          <w:lang w:eastAsia="en-US"/>
        </w:rPr>
        <w:t>f a government institution has made a decision to release third party records</w:t>
      </w:r>
      <w:r w:rsidR="00B23C59" w:rsidRPr="005A5D3C">
        <w:rPr>
          <w:b/>
          <w:bCs/>
          <w:color w:val="1F497D"/>
          <w:sz w:val="24"/>
          <w:szCs w:val="24"/>
          <w:lang w:eastAsia="en-US"/>
        </w:rPr>
        <w:t xml:space="preserve"> but has not yet sent a decision notice to the third party</w:t>
      </w:r>
      <w:r w:rsidR="00E36935">
        <w:rPr>
          <w:b/>
          <w:bCs/>
          <w:color w:val="1F497D"/>
          <w:sz w:val="24"/>
          <w:szCs w:val="24"/>
          <w:lang w:eastAsia="en-US"/>
        </w:rPr>
        <w:t>,</w:t>
      </w:r>
      <w:r w:rsidRPr="005A5D3C">
        <w:rPr>
          <w:b/>
          <w:bCs/>
          <w:color w:val="1F497D"/>
          <w:sz w:val="24"/>
          <w:szCs w:val="24"/>
          <w:lang w:eastAsia="en-US"/>
        </w:rPr>
        <w:t xml:space="preserve"> </w:t>
      </w:r>
      <w:r w:rsidR="00E36935">
        <w:rPr>
          <w:b/>
          <w:bCs/>
          <w:color w:val="1F497D"/>
          <w:sz w:val="24"/>
          <w:szCs w:val="24"/>
          <w:lang w:eastAsia="en-US"/>
        </w:rPr>
        <w:t>s</w:t>
      </w:r>
      <w:r w:rsidRPr="005A5D3C">
        <w:rPr>
          <w:b/>
          <w:bCs/>
          <w:color w:val="1F497D"/>
          <w:sz w:val="24"/>
          <w:szCs w:val="24"/>
          <w:lang w:eastAsia="en-US"/>
        </w:rPr>
        <w:t xml:space="preserve">hould the government institution delay the sending of its decision notice to the third party as a result of the </w:t>
      </w:r>
      <w:r w:rsidRPr="005A5D3C">
        <w:rPr>
          <w:b/>
          <w:bCs/>
          <w:i/>
          <w:color w:val="1F497D"/>
          <w:sz w:val="24"/>
          <w:szCs w:val="24"/>
          <w:lang w:eastAsia="en-US"/>
        </w:rPr>
        <w:t>Time Limits and Other Periods Act (COVID-19)</w:t>
      </w:r>
      <w:r w:rsidRPr="005A5D3C">
        <w:rPr>
          <w:b/>
          <w:bCs/>
          <w:color w:val="1F497D"/>
          <w:sz w:val="24"/>
          <w:szCs w:val="24"/>
          <w:lang w:eastAsia="en-US"/>
        </w:rPr>
        <w:t xml:space="preserve">? </w:t>
      </w:r>
    </w:p>
    <w:p w14:paraId="1EB008B1" w14:textId="77777777" w:rsidR="00185867" w:rsidRDefault="00185867" w:rsidP="00BE1B3A">
      <w:pPr>
        <w:rPr>
          <w:color w:val="1F497D"/>
          <w:sz w:val="24"/>
          <w:szCs w:val="24"/>
          <w:lang w:eastAsia="en-US"/>
        </w:rPr>
      </w:pPr>
    </w:p>
    <w:p w14:paraId="624A3ACD" w14:textId="77777777" w:rsidR="00BE1B3A" w:rsidRPr="00BE1B3A" w:rsidRDefault="00BE1B3A" w:rsidP="00BE1B3A">
      <w:pPr>
        <w:rPr>
          <w:sz w:val="24"/>
          <w:szCs w:val="24"/>
          <w:lang w:eastAsia="en-US"/>
        </w:rPr>
      </w:pPr>
      <w:r w:rsidRPr="00BE1B3A">
        <w:rPr>
          <w:sz w:val="24"/>
          <w:szCs w:val="24"/>
          <w:lang w:eastAsia="en-US"/>
        </w:rPr>
        <w:t>R3: No</w:t>
      </w:r>
      <w:r>
        <w:rPr>
          <w:sz w:val="24"/>
          <w:szCs w:val="24"/>
          <w:lang w:eastAsia="en-US"/>
        </w:rPr>
        <w:t>. Assuming the third party has been given proper notice under s</w:t>
      </w:r>
      <w:r w:rsidR="00993065">
        <w:rPr>
          <w:sz w:val="24"/>
          <w:szCs w:val="24"/>
          <w:lang w:eastAsia="en-US"/>
        </w:rPr>
        <w:t>ubsection</w:t>
      </w:r>
      <w:r>
        <w:rPr>
          <w:sz w:val="24"/>
          <w:szCs w:val="24"/>
          <w:lang w:eastAsia="en-US"/>
        </w:rPr>
        <w:t xml:space="preserve"> 27(1)</w:t>
      </w:r>
      <w:r w:rsidR="00993065">
        <w:rPr>
          <w:sz w:val="24"/>
          <w:szCs w:val="24"/>
          <w:lang w:eastAsia="en-US"/>
        </w:rPr>
        <w:t xml:space="preserve"> of the </w:t>
      </w:r>
      <w:r w:rsidR="00993065" w:rsidRPr="00B86F46">
        <w:rPr>
          <w:i/>
          <w:sz w:val="24"/>
          <w:szCs w:val="24"/>
          <w:lang w:eastAsia="en-US"/>
        </w:rPr>
        <w:t>ATIA</w:t>
      </w:r>
      <w:r>
        <w:rPr>
          <w:sz w:val="24"/>
          <w:szCs w:val="24"/>
          <w:lang w:eastAsia="en-US"/>
        </w:rPr>
        <w:t xml:space="preserve"> and has had a minimum of 20 days to provide its representations on the proposed disclosure</w:t>
      </w:r>
      <w:r w:rsidR="00993065">
        <w:rPr>
          <w:sz w:val="24"/>
          <w:szCs w:val="24"/>
          <w:lang w:eastAsia="en-US"/>
        </w:rPr>
        <w:t xml:space="preserve"> under paragraph 28(1)(a) of the </w:t>
      </w:r>
      <w:r w:rsidR="00993065" w:rsidRPr="00B86F46">
        <w:rPr>
          <w:i/>
          <w:sz w:val="24"/>
          <w:szCs w:val="24"/>
          <w:lang w:eastAsia="en-US"/>
        </w:rPr>
        <w:t>ATIA</w:t>
      </w:r>
      <w:r>
        <w:rPr>
          <w:sz w:val="24"/>
          <w:szCs w:val="24"/>
          <w:lang w:eastAsia="en-US"/>
        </w:rPr>
        <w:t xml:space="preserve">, the government institution must make a decision as to whether or not to disclose the record and issue its decision notice to the third party within 30 days of the </w:t>
      </w:r>
      <w:r w:rsidR="00A372C5">
        <w:rPr>
          <w:sz w:val="24"/>
          <w:szCs w:val="24"/>
          <w:lang w:eastAsia="en-US"/>
        </w:rPr>
        <w:t>subsection 27(1) notice being sent.</w:t>
      </w:r>
      <w:r>
        <w:rPr>
          <w:sz w:val="24"/>
          <w:szCs w:val="24"/>
          <w:lang w:eastAsia="en-US"/>
        </w:rPr>
        <w:t xml:space="preserve"> </w:t>
      </w:r>
      <w:r w:rsidR="002D2F08">
        <w:rPr>
          <w:sz w:val="24"/>
          <w:szCs w:val="24"/>
          <w:lang w:eastAsia="en-US"/>
        </w:rPr>
        <w:t xml:space="preserve">This notice should draw the third party’s attention to the </w:t>
      </w:r>
      <w:r w:rsidR="002D2F08" w:rsidRPr="00065340">
        <w:rPr>
          <w:i/>
          <w:sz w:val="24"/>
          <w:szCs w:val="24"/>
          <w:lang w:eastAsia="en-US"/>
        </w:rPr>
        <w:t>TLA</w:t>
      </w:r>
      <w:r w:rsidR="002D2F08">
        <w:rPr>
          <w:sz w:val="24"/>
          <w:szCs w:val="24"/>
          <w:lang w:eastAsia="en-US"/>
        </w:rPr>
        <w:t xml:space="preserve">’s suspension of the timelines for filing a judicial review under section 44 of the </w:t>
      </w:r>
      <w:r w:rsidR="002D2F08" w:rsidRPr="00065340">
        <w:rPr>
          <w:i/>
          <w:sz w:val="24"/>
          <w:szCs w:val="24"/>
          <w:lang w:eastAsia="en-US"/>
        </w:rPr>
        <w:t>ATIA</w:t>
      </w:r>
      <w:r w:rsidR="002D2F08">
        <w:rPr>
          <w:sz w:val="24"/>
          <w:szCs w:val="24"/>
          <w:lang w:eastAsia="en-US"/>
        </w:rPr>
        <w:t>.</w:t>
      </w:r>
    </w:p>
    <w:p w14:paraId="54BEB5C5" w14:textId="77777777" w:rsidR="00BE1B3A" w:rsidRDefault="00BE1B3A" w:rsidP="00BE1B3A">
      <w:pPr>
        <w:rPr>
          <w:color w:val="1F497D"/>
          <w:sz w:val="24"/>
          <w:szCs w:val="24"/>
          <w:lang w:eastAsia="en-US"/>
        </w:rPr>
      </w:pPr>
    </w:p>
    <w:p w14:paraId="3350249A" w14:textId="77777777" w:rsidR="00A372C5" w:rsidRPr="005A5D3C" w:rsidRDefault="00A372C5" w:rsidP="00586D94">
      <w:pPr>
        <w:rPr>
          <w:b/>
          <w:bCs/>
          <w:color w:val="1F497D"/>
          <w:sz w:val="24"/>
          <w:szCs w:val="24"/>
          <w:lang w:eastAsia="en-US"/>
        </w:rPr>
      </w:pPr>
      <w:r w:rsidRPr="005A5D3C">
        <w:rPr>
          <w:b/>
          <w:bCs/>
          <w:color w:val="1F497D"/>
          <w:sz w:val="24"/>
          <w:szCs w:val="24"/>
          <w:lang w:eastAsia="en-US"/>
        </w:rPr>
        <w:t xml:space="preserve">Q4: Should a government institution make any changes to the wording of the decision notice to reflect the suspended timelines under the </w:t>
      </w:r>
      <w:r w:rsidRPr="005A5D3C">
        <w:rPr>
          <w:b/>
          <w:bCs/>
          <w:i/>
          <w:color w:val="1F497D"/>
          <w:sz w:val="24"/>
          <w:szCs w:val="24"/>
          <w:lang w:eastAsia="en-US"/>
        </w:rPr>
        <w:t>Time Limits and Other Periods Act (COVID-19)</w:t>
      </w:r>
      <w:r w:rsidRPr="005A5D3C">
        <w:rPr>
          <w:b/>
          <w:bCs/>
          <w:color w:val="1F497D"/>
          <w:sz w:val="24"/>
          <w:szCs w:val="24"/>
          <w:lang w:eastAsia="en-US"/>
        </w:rPr>
        <w:t>?</w:t>
      </w:r>
    </w:p>
    <w:p w14:paraId="24990036" w14:textId="77777777" w:rsidR="00A372C5" w:rsidRDefault="00A372C5" w:rsidP="00586D94">
      <w:pPr>
        <w:rPr>
          <w:color w:val="1F497D"/>
          <w:sz w:val="24"/>
          <w:szCs w:val="24"/>
          <w:lang w:eastAsia="en-US"/>
        </w:rPr>
      </w:pPr>
    </w:p>
    <w:p w14:paraId="1CA9F069" w14:textId="77777777" w:rsidR="00A372C5" w:rsidRPr="00185867" w:rsidRDefault="00A372C5" w:rsidP="00586D94">
      <w:pPr>
        <w:rPr>
          <w:sz w:val="24"/>
          <w:szCs w:val="24"/>
          <w:lang w:eastAsia="en-US"/>
        </w:rPr>
      </w:pPr>
      <w:r w:rsidRPr="00185867">
        <w:rPr>
          <w:sz w:val="24"/>
          <w:szCs w:val="24"/>
          <w:lang w:eastAsia="en-US"/>
        </w:rPr>
        <w:t>R4: Yes. As soon as possible the government institution should temporarily amend the wording of their decision notices so as to inform third parties that they have 20 days following the expiration of the suspended timelines to seek judicial review under s</w:t>
      </w:r>
      <w:r w:rsidR="00A43FA1">
        <w:rPr>
          <w:sz w:val="24"/>
          <w:szCs w:val="24"/>
          <w:lang w:eastAsia="en-US"/>
        </w:rPr>
        <w:t>ection</w:t>
      </w:r>
      <w:r w:rsidRPr="00185867">
        <w:rPr>
          <w:sz w:val="24"/>
          <w:szCs w:val="24"/>
          <w:lang w:eastAsia="en-US"/>
        </w:rPr>
        <w:t xml:space="preserve"> 44 of the </w:t>
      </w:r>
      <w:r w:rsidRPr="00185867">
        <w:rPr>
          <w:i/>
          <w:sz w:val="24"/>
          <w:szCs w:val="24"/>
          <w:lang w:eastAsia="en-US"/>
        </w:rPr>
        <w:t>ATIA</w:t>
      </w:r>
      <w:r w:rsidRPr="00185867">
        <w:rPr>
          <w:sz w:val="24"/>
          <w:szCs w:val="24"/>
          <w:lang w:eastAsia="en-US"/>
        </w:rPr>
        <w:t xml:space="preserve">. </w:t>
      </w:r>
      <w:r w:rsidR="008E38D2">
        <w:rPr>
          <w:sz w:val="24"/>
          <w:szCs w:val="24"/>
          <w:lang w:eastAsia="en-US"/>
        </w:rPr>
        <w:t>Model letters will be updated to assist government institutions</w:t>
      </w:r>
      <w:r w:rsidR="00C601A4" w:rsidRPr="00185867">
        <w:rPr>
          <w:sz w:val="24"/>
          <w:szCs w:val="24"/>
          <w:lang w:eastAsia="en-US"/>
        </w:rPr>
        <w:t xml:space="preserve">. </w:t>
      </w:r>
    </w:p>
    <w:p w14:paraId="3E78A8FD" w14:textId="77777777" w:rsidR="00A372C5" w:rsidRDefault="00A372C5" w:rsidP="00586D94">
      <w:pPr>
        <w:rPr>
          <w:color w:val="1F497D"/>
          <w:sz w:val="24"/>
          <w:szCs w:val="24"/>
          <w:lang w:eastAsia="en-US"/>
        </w:rPr>
      </w:pPr>
    </w:p>
    <w:p w14:paraId="35F7B845" w14:textId="34DFBFCC" w:rsidR="00586D94" w:rsidRPr="005A5D3C" w:rsidRDefault="00A655AE" w:rsidP="00586D94">
      <w:pPr>
        <w:rPr>
          <w:b/>
          <w:bCs/>
          <w:color w:val="1F497D"/>
          <w:sz w:val="24"/>
          <w:szCs w:val="24"/>
          <w:lang w:eastAsia="en-US"/>
        </w:rPr>
      </w:pPr>
      <w:r w:rsidRPr="005A5D3C">
        <w:rPr>
          <w:b/>
          <w:bCs/>
          <w:color w:val="1F497D"/>
          <w:sz w:val="24"/>
          <w:szCs w:val="24"/>
          <w:lang w:eastAsia="en-US"/>
        </w:rPr>
        <w:t>Q</w:t>
      </w:r>
      <w:r w:rsidR="00A372C5" w:rsidRPr="005A5D3C">
        <w:rPr>
          <w:b/>
          <w:bCs/>
          <w:color w:val="1F497D"/>
          <w:sz w:val="24"/>
          <w:szCs w:val="24"/>
          <w:lang w:eastAsia="en-US"/>
        </w:rPr>
        <w:t>5</w:t>
      </w:r>
      <w:r w:rsidR="0021281E" w:rsidRPr="005A5D3C">
        <w:rPr>
          <w:b/>
          <w:bCs/>
          <w:color w:val="1F497D"/>
          <w:sz w:val="24"/>
          <w:szCs w:val="24"/>
          <w:lang w:eastAsia="en-US"/>
        </w:rPr>
        <w:t xml:space="preserve">: </w:t>
      </w:r>
      <w:r w:rsidR="00C2663C">
        <w:rPr>
          <w:b/>
          <w:bCs/>
          <w:color w:val="1F497D"/>
          <w:sz w:val="24"/>
          <w:szCs w:val="24"/>
          <w:lang w:eastAsia="en-US"/>
        </w:rPr>
        <w:t>I</w:t>
      </w:r>
      <w:r w:rsidR="00586D94" w:rsidRPr="005A5D3C">
        <w:rPr>
          <w:b/>
          <w:bCs/>
          <w:color w:val="1F497D"/>
          <w:sz w:val="24"/>
          <w:szCs w:val="24"/>
          <w:lang w:eastAsia="en-US"/>
        </w:rPr>
        <w:t>f a</w:t>
      </w:r>
      <w:r w:rsidRPr="005A5D3C">
        <w:rPr>
          <w:b/>
          <w:bCs/>
          <w:color w:val="1F497D"/>
          <w:sz w:val="24"/>
          <w:szCs w:val="24"/>
          <w:lang w:eastAsia="en-US"/>
        </w:rPr>
        <w:t xml:space="preserve"> government institution has </w:t>
      </w:r>
      <w:r w:rsidR="007A1B25" w:rsidRPr="005A5D3C">
        <w:rPr>
          <w:b/>
          <w:bCs/>
          <w:color w:val="1F497D"/>
          <w:sz w:val="24"/>
          <w:szCs w:val="24"/>
          <w:lang w:eastAsia="en-US"/>
        </w:rPr>
        <w:t>sent the third party notice of the institution’s</w:t>
      </w:r>
      <w:r w:rsidRPr="005A5D3C">
        <w:rPr>
          <w:b/>
          <w:bCs/>
          <w:color w:val="1F497D"/>
          <w:sz w:val="24"/>
          <w:szCs w:val="24"/>
          <w:lang w:eastAsia="en-US"/>
        </w:rPr>
        <w:t xml:space="preserve"> decision to release</w:t>
      </w:r>
      <w:r w:rsidR="007A1B25" w:rsidRPr="005A5D3C">
        <w:rPr>
          <w:b/>
          <w:bCs/>
          <w:color w:val="1F497D"/>
          <w:sz w:val="24"/>
          <w:szCs w:val="24"/>
          <w:lang w:eastAsia="en-US"/>
        </w:rPr>
        <w:t xml:space="preserve"> the</w:t>
      </w:r>
      <w:r w:rsidRPr="005A5D3C">
        <w:rPr>
          <w:b/>
          <w:bCs/>
          <w:color w:val="1F497D"/>
          <w:sz w:val="24"/>
          <w:szCs w:val="24"/>
          <w:lang w:eastAsia="en-US"/>
        </w:rPr>
        <w:t xml:space="preserve"> third party</w:t>
      </w:r>
      <w:r w:rsidR="007A1B25" w:rsidRPr="005A5D3C">
        <w:rPr>
          <w:b/>
          <w:bCs/>
          <w:color w:val="1F497D"/>
          <w:sz w:val="24"/>
          <w:szCs w:val="24"/>
          <w:lang w:eastAsia="en-US"/>
        </w:rPr>
        <w:t>’s</w:t>
      </w:r>
      <w:r w:rsidRPr="005A5D3C">
        <w:rPr>
          <w:b/>
          <w:bCs/>
          <w:color w:val="1F497D"/>
          <w:sz w:val="24"/>
          <w:szCs w:val="24"/>
          <w:lang w:eastAsia="en-US"/>
        </w:rPr>
        <w:t xml:space="preserve"> records</w:t>
      </w:r>
      <w:r w:rsidR="00A43FA1" w:rsidRPr="005A5D3C">
        <w:rPr>
          <w:b/>
          <w:bCs/>
          <w:color w:val="1F497D"/>
          <w:sz w:val="24"/>
          <w:szCs w:val="24"/>
          <w:lang w:eastAsia="en-US"/>
        </w:rPr>
        <w:t xml:space="preserve"> pursuant to paragraph</w:t>
      </w:r>
      <w:r w:rsidR="007A1B25" w:rsidRPr="005A5D3C">
        <w:rPr>
          <w:b/>
          <w:bCs/>
          <w:color w:val="1F497D"/>
          <w:sz w:val="24"/>
          <w:szCs w:val="24"/>
          <w:lang w:eastAsia="en-US"/>
        </w:rPr>
        <w:t xml:space="preserve"> 28(1)(b) </w:t>
      </w:r>
      <w:r w:rsidR="00A43FA1" w:rsidRPr="005A5D3C">
        <w:rPr>
          <w:b/>
          <w:bCs/>
          <w:color w:val="1F497D"/>
          <w:sz w:val="24"/>
          <w:szCs w:val="24"/>
          <w:lang w:eastAsia="en-US"/>
        </w:rPr>
        <w:t xml:space="preserve">of the </w:t>
      </w:r>
      <w:r w:rsidR="00A43FA1" w:rsidRPr="005A5D3C">
        <w:rPr>
          <w:b/>
          <w:bCs/>
          <w:i/>
          <w:color w:val="1F497D"/>
          <w:sz w:val="24"/>
          <w:szCs w:val="24"/>
          <w:lang w:eastAsia="en-US"/>
        </w:rPr>
        <w:t xml:space="preserve">ATIA </w:t>
      </w:r>
      <w:r w:rsidR="007A1B25" w:rsidRPr="005A5D3C">
        <w:rPr>
          <w:b/>
          <w:bCs/>
          <w:color w:val="1F497D"/>
          <w:sz w:val="24"/>
          <w:szCs w:val="24"/>
          <w:lang w:eastAsia="en-US"/>
        </w:rPr>
        <w:t xml:space="preserve">but </w:t>
      </w:r>
      <w:r w:rsidR="00586D94" w:rsidRPr="005A5D3C">
        <w:rPr>
          <w:b/>
          <w:bCs/>
          <w:color w:val="1F497D"/>
          <w:sz w:val="24"/>
          <w:szCs w:val="24"/>
          <w:lang w:eastAsia="en-US"/>
        </w:rPr>
        <w:t>has not</w:t>
      </w:r>
      <w:r w:rsidR="007A1B25" w:rsidRPr="005A5D3C">
        <w:rPr>
          <w:b/>
          <w:bCs/>
          <w:color w:val="1F497D"/>
          <w:sz w:val="24"/>
          <w:szCs w:val="24"/>
          <w:lang w:eastAsia="en-US"/>
        </w:rPr>
        <w:t xml:space="preserve"> yet</w:t>
      </w:r>
      <w:r w:rsidR="00586D94" w:rsidRPr="005A5D3C">
        <w:rPr>
          <w:b/>
          <w:bCs/>
          <w:color w:val="1F497D"/>
          <w:sz w:val="24"/>
          <w:szCs w:val="24"/>
          <w:lang w:eastAsia="en-US"/>
        </w:rPr>
        <w:t xml:space="preserve"> been notified </w:t>
      </w:r>
      <w:r w:rsidR="007A1B25" w:rsidRPr="005A5D3C">
        <w:rPr>
          <w:b/>
          <w:bCs/>
          <w:color w:val="1F497D"/>
          <w:sz w:val="24"/>
          <w:szCs w:val="24"/>
          <w:lang w:eastAsia="en-US"/>
        </w:rPr>
        <w:t xml:space="preserve">by </w:t>
      </w:r>
      <w:r w:rsidR="00586D94" w:rsidRPr="005A5D3C">
        <w:rPr>
          <w:b/>
          <w:bCs/>
          <w:color w:val="1F497D"/>
          <w:sz w:val="24"/>
          <w:szCs w:val="24"/>
          <w:lang w:eastAsia="en-US"/>
        </w:rPr>
        <w:t>the third party</w:t>
      </w:r>
      <w:r w:rsidR="007A1B25" w:rsidRPr="005A5D3C">
        <w:rPr>
          <w:b/>
          <w:bCs/>
          <w:color w:val="1F497D"/>
          <w:sz w:val="24"/>
          <w:szCs w:val="24"/>
          <w:lang w:eastAsia="en-US"/>
        </w:rPr>
        <w:t xml:space="preserve"> of it</w:t>
      </w:r>
      <w:r w:rsidR="00586D94" w:rsidRPr="005A5D3C">
        <w:rPr>
          <w:b/>
          <w:bCs/>
          <w:color w:val="1F497D"/>
          <w:sz w:val="24"/>
          <w:szCs w:val="24"/>
          <w:lang w:eastAsia="en-US"/>
        </w:rPr>
        <w:t xml:space="preserve">s intent to file </w:t>
      </w:r>
      <w:r w:rsidRPr="005A5D3C">
        <w:rPr>
          <w:b/>
          <w:bCs/>
          <w:color w:val="1F497D"/>
          <w:sz w:val="24"/>
          <w:szCs w:val="24"/>
          <w:lang w:eastAsia="en-US"/>
        </w:rPr>
        <w:t xml:space="preserve">for </w:t>
      </w:r>
      <w:r w:rsidR="003027B6" w:rsidRPr="005A5D3C">
        <w:rPr>
          <w:b/>
          <w:bCs/>
          <w:color w:val="1F497D"/>
          <w:sz w:val="24"/>
          <w:szCs w:val="24"/>
          <w:lang w:eastAsia="en-US"/>
        </w:rPr>
        <w:t>judicial review under s</w:t>
      </w:r>
      <w:r w:rsidR="00A43FA1" w:rsidRPr="005A5D3C">
        <w:rPr>
          <w:b/>
          <w:bCs/>
          <w:color w:val="1F497D"/>
          <w:sz w:val="24"/>
          <w:szCs w:val="24"/>
          <w:lang w:eastAsia="en-US"/>
        </w:rPr>
        <w:t>ection</w:t>
      </w:r>
      <w:r w:rsidR="003027B6" w:rsidRPr="005A5D3C">
        <w:rPr>
          <w:b/>
          <w:bCs/>
          <w:color w:val="1F497D"/>
          <w:sz w:val="24"/>
          <w:szCs w:val="24"/>
          <w:lang w:eastAsia="en-US"/>
        </w:rPr>
        <w:t xml:space="preserve"> 44</w:t>
      </w:r>
      <w:r w:rsidR="00C2663C">
        <w:rPr>
          <w:b/>
          <w:bCs/>
          <w:color w:val="1F497D"/>
          <w:sz w:val="24"/>
          <w:szCs w:val="24"/>
          <w:lang w:eastAsia="en-US"/>
        </w:rPr>
        <w:t>, s</w:t>
      </w:r>
      <w:r w:rsidRPr="005A5D3C">
        <w:rPr>
          <w:b/>
          <w:bCs/>
          <w:color w:val="1F497D"/>
          <w:sz w:val="24"/>
          <w:szCs w:val="24"/>
          <w:lang w:eastAsia="en-US"/>
        </w:rPr>
        <w:t>hould the government institution delay the release of the third party records</w:t>
      </w:r>
      <w:r w:rsidR="00993065" w:rsidRPr="005A5D3C">
        <w:rPr>
          <w:b/>
          <w:bCs/>
          <w:color w:val="1F497D"/>
          <w:sz w:val="24"/>
          <w:szCs w:val="24"/>
          <w:lang w:eastAsia="en-US"/>
        </w:rPr>
        <w:t xml:space="preserve"> to the requester</w:t>
      </w:r>
      <w:r w:rsidRPr="005A5D3C">
        <w:rPr>
          <w:b/>
          <w:bCs/>
          <w:color w:val="1F497D"/>
          <w:sz w:val="24"/>
          <w:szCs w:val="24"/>
          <w:lang w:eastAsia="en-US"/>
        </w:rPr>
        <w:t>?</w:t>
      </w:r>
    </w:p>
    <w:p w14:paraId="7B64F80B" w14:textId="77777777" w:rsidR="00A655AE" w:rsidRDefault="00A655AE" w:rsidP="00586D94">
      <w:pPr>
        <w:rPr>
          <w:color w:val="1F497D"/>
          <w:sz w:val="24"/>
          <w:szCs w:val="24"/>
          <w:lang w:eastAsia="en-US"/>
        </w:rPr>
      </w:pPr>
    </w:p>
    <w:p w14:paraId="6B8CBB0D" w14:textId="621C9330" w:rsidR="00B23C59" w:rsidRPr="00B23C59" w:rsidRDefault="00B23C59" w:rsidP="00586D94">
      <w:pPr>
        <w:rPr>
          <w:sz w:val="24"/>
          <w:szCs w:val="24"/>
          <w:lang w:eastAsia="en-US"/>
        </w:rPr>
      </w:pPr>
      <w:r w:rsidRPr="00B23C59">
        <w:rPr>
          <w:sz w:val="24"/>
          <w:szCs w:val="24"/>
          <w:lang w:eastAsia="en-US"/>
        </w:rPr>
        <w:t>R</w:t>
      </w:r>
      <w:r w:rsidR="00A372C5">
        <w:rPr>
          <w:sz w:val="24"/>
          <w:szCs w:val="24"/>
          <w:lang w:eastAsia="en-US"/>
        </w:rPr>
        <w:t>5</w:t>
      </w:r>
      <w:r w:rsidRPr="00B23C59">
        <w:rPr>
          <w:sz w:val="24"/>
          <w:szCs w:val="24"/>
          <w:lang w:eastAsia="en-US"/>
        </w:rPr>
        <w:t xml:space="preserve">: Yes. </w:t>
      </w:r>
      <w:r>
        <w:rPr>
          <w:sz w:val="24"/>
          <w:szCs w:val="24"/>
          <w:lang w:eastAsia="en-US"/>
        </w:rPr>
        <w:t xml:space="preserve">Government institutions must wait until the third party has had an opportunity </w:t>
      </w:r>
      <w:r w:rsidR="00A43FA1">
        <w:rPr>
          <w:sz w:val="24"/>
          <w:szCs w:val="24"/>
          <w:lang w:eastAsia="en-US"/>
        </w:rPr>
        <w:t>to seek judicial review under section</w:t>
      </w:r>
      <w:r>
        <w:rPr>
          <w:sz w:val="24"/>
          <w:szCs w:val="24"/>
          <w:lang w:eastAsia="en-US"/>
        </w:rPr>
        <w:t xml:space="preserve"> 44 of the </w:t>
      </w:r>
      <w:r>
        <w:rPr>
          <w:i/>
          <w:sz w:val="24"/>
          <w:szCs w:val="24"/>
          <w:lang w:eastAsia="en-US"/>
        </w:rPr>
        <w:t>ATIA</w:t>
      </w:r>
      <w:r>
        <w:rPr>
          <w:sz w:val="24"/>
          <w:szCs w:val="24"/>
          <w:lang w:eastAsia="en-US"/>
        </w:rPr>
        <w:t xml:space="preserve"> before releasing any records containing third party information. As a result of the</w:t>
      </w:r>
      <w:r w:rsidR="00A43FA1">
        <w:rPr>
          <w:sz w:val="24"/>
          <w:szCs w:val="24"/>
          <w:lang w:eastAsia="en-US"/>
        </w:rPr>
        <w:t xml:space="preserve"> </w:t>
      </w:r>
      <w:r w:rsidR="00A43FA1">
        <w:rPr>
          <w:i/>
          <w:sz w:val="24"/>
          <w:szCs w:val="24"/>
          <w:lang w:eastAsia="en-US"/>
        </w:rPr>
        <w:t>TLA</w:t>
      </w:r>
      <w:r>
        <w:rPr>
          <w:sz w:val="24"/>
          <w:szCs w:val="24"/>
          <w:lang w:eastAsia="en-US"/>
        </w:rPr>
        <w:t xml:space="preserve">, the third party has 20 days following the expiration of the suspended timelines to file for judicial review. The government institution should wait until that time has passed to release the records. </w:t>
      </w:r>
    </w:p>
    <w:p w14:paraId="10F0C1B6" w14:textId="77777777" w:rsidR="00A655AE" w:rsidRDefault="00A655AE" w:rsidP="00586D94">
      <w:pPr>
        <w:rPr>
          <w:color w:val="1F497D"/>
          <w:sz w:val="24"/>
          <w:szCs w:val="24"/>
          <w:lang w:eastAsia="en-US"/>
        </w:rPr>
      </w:pPr>
    </w:p>
    <w:p w14:paraId="7F440A73" w14:textId="48D71E7B" w:rsidR="006371F3" w:rsidRPr="008A44DD" w:rsidRDefault="006371F3" w:rsidP="006371F3">
      <w:pPr>
        <w:rPr>
          <w:b/>
          <w:bCs/>
          <w:color w:val="1F497D"/>
          <w:sz w:val="24"/>
          <w:szCs w:val="24"/>
          <w:lang w:eastAsia="en-US"/>
        </w:rPr>
      </w:pPr>
      <w:bookmarkStart w:id="0" w:name="_GoBack"/>
      <w:bookmarkEnd w:id="0"/>
      <w:r w:rsidRPr="008A44DD">
        <w:rPr>
          <w:b/>
          <w:bCs/>
          <w:color w:val="1F497D"/>
          <w:sz w:val="24"/>
          <w:szCs w:val="24"/>
          <w:lang w:eastAsia="en-US"/>
        </w:rPr>
        <w:t xml:space="preserve">Q6: What </w:t>
      </w:r>
      <w:r w:rsidRPr="00FB0F64">
        <w:rPr>
          <w:b/>
          <w:bCs/>
          <w:color w:val="1F497D"/>
          <w:sz w:val="24"/>
          <w:szCs w:val="24"/>
          <w:lang w:eastAsia="en-US"/>
        </w:rPr>
        <w:t xml:space="preserve">happens if the Information Commissioner </w:t>
      </w:r>
      <w:r w:rsidR="009D2452" w:rsidRPr="00FB0F64">
        <w:rPr>
          <w:b/>
          <w:bCs/>
          <w:color w:val="1F497D"/>
          <w:sz w:val="24"/>
          <w:szCs w:val="24"/>
          <w:lang w:eastAsia="en-US"/>
        </w:rPr>
        <w:t xml:space="preserve">gives notice to a government institution under s. 37(1) </w:t>
      </w:r>
      <w:r w:rsidR="00C2663C" w:rsidRPr="00FB0F64">
        <w:rPr>
          <w:b/>
          <w:bCs/>
          <w:color w:val="1F497D"/>
          <w:sz w:val="24"/>
          <w:szCs w:val="24"/>
          <w:lang w:eastAsia="en-US"/>
        </w:rPr>
        <w:t xml:space="preserve">of the </w:t>
      </w:r>
      <w:r w:rsidR="00C2663C" w:rsidRPr="00FB0F64">
        <w:rPr>
          <w:b/>
          <w:bCs/>
          <w:i/>
          <w:iCs/>
          <w:color w:val="1F497D"/>
          <w:sz w:val="24"/>
          <w:szCs w:val="24"/>
          <w:lang w:eastAsia="en-US"/>
        </w:rPr>
        <w:t xml:space="preserve">ATIA </w:t>
      </w:r>
      <w:r w:rsidR="00C2663C" w:rsidRPr="00FB0F64">
        <w:rPr>
          <w:b/>
          <w:bCs/>
          <w:color w:val="1F497D"/>
          <w:sz w:val="24"/>
          <w:szCs w:val="24"/>
          <w:lang w:eastAsia="en-US"/>
        </w:rPr>
        <w:t>t</w:t>
      </w:r>
      <w:r w:rsidR="009D2452" w:rsidRPr="00FB0F64">
        <w:rPr>
          <w:b/>
          <w:bCs/>
          <w:color w:val="1F497D"/>
          <w:sz w:val="24"/>
          <w:szCs w:val="24"/>
          <w:lang w:eastAsia="en-US"/>
        </w:rPr>
        <w:t>hat</w:t>
      </w:r>
      <w:r w:rsidR="009D2452">
        <w:rPr>
          <w:b/>
          <w:bCs/>
          <w:color w:val="1F497D"/>
          <w:sz w:val="24"/>
          <w:szCs w:val="24"/>
          <w:lang w:eastAsia="en-US"/>
        </w:rPr>
        <w:t xml:space="preserve"> she intends to </w:t>
      </w:r>
      <w:r w:rsidRPr="008A44DD">
        <w:rPr>
          <w:b/>
          <w:bCs/>
          <w:color w:val="1F497D"/>
          <w:sz w:val="24"/>
          <w:szCs w:val="24"/>
          <w:lang w:eastAsia="en-US"/>
        </w:rPr>
        <w:t xml:space="preserve">recommend or order a government institution to disclose third party records </w:t>
      </w:r>
      <w:r w:rsidR="009D2452">
        <w:rPr>
          <w:b/>
          <w:bCs/>
          <w:color w:val="1F497D"/>
          <w:sz w:val="24"/>
          <w:szCs w:val="24"/>
          <w:lang w:eastAsia="en-US"/>
        </w:rPr>
        <w:t>in her report issued pursuant to</w:t>
      </w:r>
      <w:r w:rsidR="009D2452" w:rsidRPr="008A44DD">
        <w:rPr>
          <w:b/>
          <w:bCs/>
          <w:color w:val="1F497D"/>
          <w:sz w:val="24"/>
          <w:szCs w:val="24"/>
          <w:lang w:eastAsia="en-US"/>
        </w:rPr>
        <w:t xml:space="preserve"> </w:t>
      </w:r>
      <w:r w:rsidRPr="008A44DD">
        <w:rPr>
          <w:b/>
          <w:bCs/>
          <w:color w:val="1F497D"/>
          <w:sz w:val="24"/>
          <w:szCs w:val="24"/>
          <w:lang w:eastAsia="en-US"/>
        </w:rPr>
        <w:t xml:space="preserve">subsection 37(2) and the government institution </w:t>
      </w:r>
      <w:r w:rsidR="009D2452">
        <w:rPr>
          <w:b/>
          <w:bCs/>
          <w:color w:val="1F497D"/>
          <w:sz w:val="24"/>
          <w:szCs w:val="24"/>
          <w:lang w:eastAsia="en-US"/>
        </w:rPr>
        <w:t>gives notice as required under s. 37(1)(</w:t>
      </w:r>
      <w:r w:rsidR="0073193E">
        <w:rPr>
          <w:b/>
          <w:bCs/>
          <w:color w:val="1F497D"/>
          <w:sz w:val="24"/>
          <w:szCs w:val="24"/>
          <w:lang w:eastAsia="en-US"/>
        </w:rPr>
        <w:t>c</w:t>
      </w:r>
      <w:r w:rsidR="009D2452">
        <w:rPr>
          <w:b/>
          <w:bCs/>
          <w:color w:val="1F497D"/>
          <w:sz w:val="24"/>
          <w:szCs w:val="24"/>
          <w:lang w:eastAsia="en-US"/>
        </w:rPr>
        <w:t>) that it intends</w:t>
      </w:r>
      <w:r w:rsidR="009D2452" w:rsidRPr="008A44DD">
        <w:rPr>
          <w:b/>
          <w:bCs/>
          <w:color w:val="1F497D"/>
          <w:sz w:val="24"/>
          <w:szCs w:val="24"/>
          <w:lang w:eastAsia="en-US"/>
        </w:rPr>
        <w:t xml:space="preserve"> </w:t>
      </w:r>
      <w:r w:rsidRPr="008A44DD">
        <w:rPr>
          <w:b/>
          <w:bCs/>
          <w:color w:val="1F497D"/>
          <w:sz w:val="24"/>
          <w:szCs w:val="24"/>
          <w:lang w:eastAsia="en-US"/>
        </w:rPr>
        <w:t xml:space="preserve">to </w:t>
      </w:r>
      <w:r w:rsidR="009D2452">
        <w:rPr>
          <w:b/>
          <w:bCs/>
          <w:color w:val="1F497D"/>
          <w:sz w:val="24"/>
          <w:szCs w:val="24"/>
          <w:lang w:eastAsia="en-US"/>
        </w:rPr>
        <w:t>follow the Commissioner’s recommendation or comply with that order to disclose the third party records</w:t>
      </w:r>
      <w:r w:rsidRPr="008A44DD">
        <w:rPr>
          <w:b/>
          <w:bCs/>
          <w:color w:val="1F497D"/>
          <w:sz w:val="24"/>
          <w:szCs w:val="24"/>
          <w:lang w:eastAsia="en-US"/>
        </w:rPr>
        <w:t xml:space="preserve">? </w:t>
      </w:r>
      <w:r w:rsidR="009D2452">
        <w:rPr>
          <w:b/>
          <w:bCs/>
          <w:color w:val="1F497D"/>
          <w:sz w:val="24"/>
          <w:szCs w:val="24"/>
          <w:lang w:eastAsia="en-US"/>
        </w:rPr>
        <w:t>Once the Commissioner’s s. 37(2) report has been issued, s</w:t>
      </w:r>
      <w:r w:rsidRPr="008A44DD">
        <w:rPr>
          <w:b/>
          <w:bCs/>
          <w:color w:val="1F497D"/>
          <w:sz w:val="24"/>
          <w:szCs w:val="24"/>
          <w:lang w:eastAsia="en-US"/>
        </w:rPr>
        <w:t xml:space="preserve">hould the government </w:t>
      </w:r>
      <w:r w:rsidRPr="008A44DD">
        <w:rPr>
          <w:b/>
          <w:bCs/>
          <w:color w:val="1F497D"/>
          <w:sz w:val="24"/>
          <w:szCs w:val="24"/>
          <w:lang w:eastAsia="en-US"/>
        </w:rPr>
        <w:lastRenderedPageBreak/>
        <w:t>institution delay the release of the third party records to the requester</w:t>
      </w:r>
      <w:r w:rsidR="008A44DD">
        <w:rPr>
          <w:b/>
          <w:bCs/>
          <w:color w:val="1F497D"/>
          <w:sz w:val="24"/>
          <w:szCs w:val="24"/>
          <w:lang w:eastAsia="en-US"/>
        </w:rPr>
        <w:t xml:space="preserve"> </w:t>
      </w:r>
      <w:r w:rsidR="009102BD">
        <w:rPr>
          <w:b/>
          <w:bCs/>
          <w:color w:val="1F497D"/>
          <w:sz w:val="24"/>
          <w:szCs w:val="24"/>
          <w:lang w:eastAsia="en-US"/>
        </w:rPr>
        <w:t xml:space="preserve">as </w:t>
      </w:r>
      <w:r w:rsidR="009D2452">
        <w:rPr>
          <w:b/>
          <w:bCs/>
          <w:color w:val="1F497D"/>
          <w:sz w:val="24"/>
          <w:szCs w:val="24"/>
          <w:lang w:eastAsia="en-US"/>
        </w:rPr>
        <w:t xml:space="preserve">would have been required </w:t>
      </w:r>
      <w:r w:rsidR="00D459C0">
        <w:rPr>
          <w:b/>
          <w:bCs/>
          <w:color w:val="1F497D"/>
          <w:sz w:val="24"/>
          <w:szCs w:val="24"/>
          <w:lang w:eastAsia="en-US"/>
        </w:rPr>
        <w:t>by</w:t>
      </w:r>
      <w:r w:rsidR="008A44DD">
        <w:rPr>
          <w:b/>
          <w:bCs/>
          <w:color w:val="1F497D"/>
          <w:sz w:val="24"/>
          <w:szCs w:val="24"/>
          <w:lang w:eastAsia="en-US"/>
        </w:rPr>
        <w:t xml:space="preserve"> paragraph 37(4)(b)</w:t>
      </w:r>
      <w:r w:rsidRPr="008A44DD">
        <w:rPr>
          <w:b/>
          <w:bCs/>
          <w:color w:val="1F497D"/>
          <w:sz w:val="24"/>
          <w:szCs w:val="24"/>
          <w:lang w:eastAsia="en-US"/>
        </w:rPr>
        <w:t>?</w:t>
      </w:r>
    </w:p>
    <w:p w14:paraId="7051EBD7" w14:textId="77777777" w:rsidR="006371F3" w:rsidRDefault="006371F3" w:rsidP="006371F3">
      <w:pPr>
        <w:rPr>
          <w:rFonts w:asciiTheme="minorHAnsi" w:hAnsiTheme="minorHAnsi" w:cstheme="minorBidi"/>
          <w:lang w:eastAsia="en-US"/>
        </w:rPr>
      </w:pPr>
    </w:p>
    <w:p w14:paraId="11D17FEF" w14:textId="72FBB1BC" w:rsidR="00586D94" w:rsidRPr="008A44DD" w:rsidRDefault="006371F3" w:rsidP="00586D94">
      <w:pPr>
        <w:rPr>
          <w:sz w:val="24"/>
          <w:szCs w:val="24"/>
          <w:lang w:eastAsia="en-US"/>
        </w:rPr>
      </w:pPr>
      <w:r w:rsidRPr="008A44DD">
        <w:rPr>
          <w:sz w:val="24"/>
          <w:szCs w:val="24"/>
          <w:lang w:eastAsia="en-US"/>
        </w:rPr>
        <w:t xml:space="preserve">R6: Yes. </w:t>
      </w:r>
      <w:r w:rsidR="00EC5B9D" w:rsidRPr="00EC5B9D">
        <w:rPr>
          <w:sz w:val="24"/>
          <w:szCs w:val="24"/>
          <w:lang w:val="en-US"/>
        </w:rPr>
        <w:t>The government institution is deemed to have received the Information Commissioner’s subsection 37(2) report on the 5</w:t>
      </w:r>
      <w:r w:rsidR="00EC5B9D" w:rsidRPr="00EC5B9D">
        <w:rPr>
          <w:sz w:val="24"/>
          <w:szCs w:val="24"/>
          <w:vertAlign w:val="superscript"/>
          <w:lang w:val="en-US"/>
        </w:rPr>
        <w:t>th</w:t>
      </w:r>
      <w:r w:rsidR="00EC5B9D" w:rsidRPr="00EC5B9D">
        <w:rPr>
          <w:sz w:val="24"/>
          <w:szCs w:val="24"/>
          <w:lang w:val="en-US"/>
        </w:rPr>
        <w:t xml:space="preserve"> business day following the date of the report</w:t>
      </w:r>
      <w:r w:rsidR="0006207A">
        <w:rPr>
          <w:sz w:val="24"/>
          <w:szCs w:val="24"/>
          <w:lang w:val="en-US"/>
        </w:rPr>
        <w:t xml:space="preserve">. </w:t>
      </w:r>
      <w:r w:rsidR="00EC5B9D">
        <w:rPr>
          <w:sz w:val="24"/>
          <w:szCs w:val="24"/>
          <w:lang w:eastAsia="en-US"/>
        </w:rPr>
        <w:t xml:space="preserve">Ordinarily, </w:t>
      </w:r>
      <w:r w:rsidRPr="008A44DD">
        <w:rPr>
          <w:sz w:val="24"/>
          <w:szCs w:val="24"/>
          <w:lang w:eastAsia="en-US"/>
        </w:rPr>
        <w:t>the government institution would release the third party records</w:t>
      </w:r>
      <w:r w:rsidR="00EC5B9D">
        <w:rPr>
          <w:sz w:val="24"/>
          <w:szCs w:val="24"/>
          <w:lang w:eastAsia="en-US"/>
        </w:rPr>
        <w:t xml:space="preserve"> on the expiry of the </w:t>
      </w:r>
      <w:r w:rsidRPr="008A44DD">
        <w:rPr>
          <w:sz w:val="24"/>
          <w:szCs w:val="24"/>
          <w:lang w:eastAsia="en-US"/>
        </w:rPr>
        <w:t xml:space="preserve"> </w:t>
      </w:r>
      <w:r w:rsidRPr="00EC5B9D">
        <w:rPr>
          <w:sz w:val="24"/>
          <w:szCs w:val="24"/>
          <w:lang w:eastAsia="en-US"/>
        </w:rPr>
        <w:t>40</w:t>
      </w:r>
      <w:r w:rsidR="002A54B8" w:rsidRPr="002A54B8">
        <w:rPr>
          <w:sz w:val="24"/>
          <w:szCs w:val="24"/>
          <w:vertAlign w:val="superscript"/>
          <w:lang w:eastAsia="en-US"/>
        </w:rPr>
        <w:t>th</w:t>
      </w:r>
      <w:r w:rsidR="002A54B8">
        <w:rPr>
          <w:sz w:val="24"/>
          <w:szCs w:val="24"/>
          <w:lang w:eastAsia="en-US"/>
        </w:rPr>
        <w:t xml:space="preserve"> </w:t>
      </w:r>
      <w:r w:rsidR="00D459C0" w:rsidRPr="00EC5B9D">
        <w:rPr>
          <w:sz w:val="24"/>
          <w:szCs w:val="24"/>
          <w:lang w:eastAsia="en-US"/>
        </w:rPr>
        <w:t xml:space="preserve"> business</w:t>
      </w:r>
      <w:r w:rsidRPr="00EC5B9D">
        <w:rPr>
          <w:sz w:val="24"/>
          <w:szCs w:val="24"/>
          <w:lang w:eastAsia="en-US"/>
        </w:rPr>
        <w:t xml:space="preserve"> day following the deemed receipt of the Information Commissioner’s subsection 37(2) report if no party has sought judicial review under subsection 41(1) (the complainant within 30 business days) or subsection 41(3) (the third party w</w:t>
      </w:r>
      <w:r w:rsidRPr="008A44DD">
        <w:rPr>
          <w:sz w:val="24"/>
          <w:szCs w:val="24"/>
          <w:lang w:eastAsia="en-US"/>
        </w:rPr>
        <w:t xml:space="preserve">ithin 10 business days following the expiry of the 30 business days provided by subsection 41(1)) of the </w:t>
      </w:r>
      <w:r w:rsidRPr="00FB0F64">
        <w:rPr>
          <w:i/>
          <w:iCs/>
          <w:sz w:val="24"/>
          <w:szCs w:val="24"/>
          <w:lang w:eastAsia="en-US"/>
        </w:rPr>
        <w:t>ATIA</w:t>
      </w:r>
      <w:r w:rsidRPr="008A44DD">
        <w:rPr>
          <w:sz w:val="24"/>
          <w:szCs w:val="24"/>
          <w:lang w:eastAsia="en-US"/>
        </w:rPr>
        <w:t>.</w:t>
      </w:r>
      <w:r w:rsidRPr="009102BD">
        <w:rPr>
          <w:sz w:val="24"/>
          <w:szCs w:val="24"/>
          <w:vertAlign w:val="superscript"/>
          <w:lang w:eastAsia="en-US"/>
        </w:rPr>
        <w:t xml:space="preserve"> </w:t>
      </w:r>
      <w:r w:rsidRPr="008A44DD">
        <w:rPr>
          <w:sz w:val="24"/>
          <w:szCs w:val="24"/>
          <w:lang w:eastAsia="en-US"/>
        </w:rPr>
        <w:t xml:space="preserve">However, the </w:t>
      </w:r>
      <w:r w:rsidRPr="00FB0F64">
        <w:rPr>
          <w:i/>
          <w:iCs/>
          <w:sz w:val="24"/>
          <w:szCs w:val="24"/>
          <w:lang w:eastAsia="en-US"/>
        </w:rPr>
        <w:t>TLA</w:t>
      </w:r>
      <w:r w:rsidRPr="008A44DD">
        <w:rPr>
          <w:sz w:val="24"/>
          <w:szCs w:val="24"/>
          <w:lang w:eastAsia="en-US"/>
        </w:rPr>
        <w:t xml:space="preserve"> temporarily suspends the timelines under both subsections 41(1) and 41(3)</w:t>
      </w:r>
      <w:r w:rsidR="004D1ED1" w:rsidRPr="008A44DD">
        <w:rPr>
          <w:sz w:val="24"/>
          <w:szCs w:val="24"/>
          <w:lang w:eastAsia="en-US"/>
        </w:rPr>
        <w:t xml:space="preserve"> for seeking judicial review. Government institutions must wait until all parties have had an opportunity to seek judicial review under section 41 of the </w:t>
      </w:r>
      <w:r w:rsidR="004D1ED1" w:rsidRPr="00FB0F64">
        <w:rPr>
          <w:i/>
          <w:iCs/>
          <w:sz w:val="24"/>
          <w:szCs w:val="24"/>
          <w:lang w:eastAsia="en-US"/>
        </w:rPr>
        <w:t>ATIA</w:t>
      </w:r>
      <w:r w:rsidR="004D1ED1" w:rsidRPr="008A44DD">
        <w:rPr>
          <w:sz w:val="24"/>
          <w:szCs w:val="24"/>
          <w:lang w:eastAsia="en-US"/>
        </w:rPr>
        <w:t xml:space="preserve"> before releasing any records containing third party information. </w:t>
      </w:r>
      <w:r w:rsidR="004D1ED1" w:rsidRPr="00FB0F64">
        <w:rPr>
          <w:sz w:val="24"/>
          <w:szCs w:val="24"/>
          <w:lang w:eastAsia="en-US"/>
        </w:rPr>
        <w:t xml:space="preserve">Therefore, </w:t>
      </w:r>
      <w:r w:rsidRPr="00FB0F64">
        <w:rPr>
          <w:sz w:val="24"/>
          <w:szCs w:val="24"/>
          <w:lang w:eastAsia="en-US"/>
        </w:rPr>
        <w:t xml:space="preserve">the government institution must wait until </w:t>
      </w:r>
      <w:r w:rsidR="002A54B8" w:rsidRPr="00FB0F64">
        <w:rPr>
          <w:sz w:val="24"/>
          <w:szCs w:val="24"/>
          <w:lang w:eastAsia="en-US"/>
        </w:rPr>
        <w:t xml:space="preserve">the expiry of the </w:t>
      </w:r>
      <w:r w:rsidRPr="00FB0F64">
        <w:rPr>
          <w:sz w:val="24"/>
          <w:szCs w:val="24"/>
          <w:lang w:eastAsia="en-US"/>
        </w:rPr>
        <w:t>40</w:t>
      </w:r>
      <w:r w:rsidR="002A54B8" w:rsidRPr="00FB0F64">
        <w:rPr>
          <w:sz w:val="24"/>
          <w:szCs w:val="24"/>
          <w:vertAlign w:val="superscript"/>
          <w:lang w:eastAsia="en-US"/>
        </w:rPr>
        <w:t>th</w:t>
      </w:r>
      <w:r w:rsidR="002A54B8" w:rsidRPr="00FB0F64">
        <w:rPr>
          <w:sz w:val="24"/>
          <w:szCs w:val="24"/>
          <w:lang w:eastAsia="en-US"/>
        </w:rPr>
        <w:t xml:space="preserve"> business</w:t>
      </w:r>
      <w:r w:rsidRPr="00FB0F64">
        <w:rPr>
          <w:sz w:val="24"/>
          <w:szCs w:val="24"/>
          <w:lang w:eastAsia="en-US"/>
        </w:rPr>
        <w:t xml:space="preserve"> day following the expiration of the suspended timelines to release the records.</w:t>
      </w:r>
      <w:r w:rsidRPr="008A44DD">
        <w:rPr>
          <w:sz w:val="24"/>
          <w:szCs w:val="24"/>
          <w:lang w:eastAsia="en-US"/>
        </w:rPr>
        <w:t xml:space="preserve"> </w:t>
      </w:r>
    </w:p>
    <w:p w14:paraId="2D25ABCC" w14:textId="77777777" w:rsidR="00586D94" w:rsidRPr="008A44DD" w:rsidRDefault="00586D94" w:rsidP="00586D94">
      <w:pPr>
        <w:rPr>
          <w:sz w:val="24"/>
          <w:szCs w:val="24"/>
          <w:lang w:eastAsia="en-US"/>
        </w:rPr>
      </w:pPr>
    </w:p>
    <w:p w14:paraId="193C7EE3" w14:textId="77777777" w:rsidR="00586D94" w:rsidRDefault="00586D94" w:rsidP="00586D94">
      <w:pPr>
        <w:rPr>
          <w:rFonts w:asciiTheme="minorHAnsi" w:hAnsiTheme="minorHAnsi" w:cstheme="minorBidi"/>
          <w:lang w:eastAsia="en-US"/>
        </w:rPr>
      </w:pPr>
    </w:p>
    <w:p w14:paraId="40DC92C5" w14:textId="77777777" w:rsidR="00586D94" w:rsidRDefault="00586D94" w:rsidP="00586D94">
      <w:pPr>
        <w:rPr>
          <w:color w:val="1F497D"/>
          <w:sz w:val="24"/>
          <w:szCs w:val="24"/>
          <w:lang w:eastAsia="en-US"/>
        </w:rPr>
      </w:pPr>
    </w:p>
    <w:p w14:paraId="68F77445" w14:textId="77777777" w:rsidR="0083569D" w:rsidRDefault="0083569D"/>
    <w:sectPr w:rsidR="008356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6CA95" w14:textId="77777777" w:rsidR="00D22FD8" w:rsidRDefault="00D22FD8" w:rsidP="009002AD">
      <w:r>
        <w:separator/>
      </w:r>
    </w:p>
  </w:endnote>
  <w:endnote w:type="continuationSeparator" w:id="0">
    <w:p w14:paraId="2D6C07A7" w14:textId="77777777" w:rsidR="00D22FD8" w:rsidRDefault="00D22FD8" w:rsidP="0090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0E2" w14:textId="77777777" w:rsidR="0073193E" w:rsidRDefault="007319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E5003" w14:textId="77777777" w:rsidR="0073193E" w:rsidRDefault="00731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410F" w14:textId="77777777" w:rsidR="0073193E" w:rsidRDefault="00731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BC651" w14:textId="77777777" w:rsidR="00D22FD8" w:rsidRDefault="00D22FD8" w:rsidP="009002AD">
      <w:r>
        <w:separator/>
      </w:r>
    </w:p>
  </w:footnote>
  <w:footnote w:type="continuationSeparator" w:id="0">
    <w:p w14:paraId="6B5E118A" w14:textId="77777777" w:rsidR="00D22FD8" w:rsidRDefault="00D22FD8" w:rsidP="00900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201B" w14:textId="77777777" w:rsidR="0073193E" w:rsidRDefault="007319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719D0" w14:textId="1F59F35D" w:rsidR="008A44DD" w:rsidRDefault="00DA1ACA">
    <w:pPr>
      <w:pStyle w:val="Header"/>
    </w:pPr>
    <w:r>
      <w:rPr>
        <w:noProof/>
      </w:rPr>
      <mc:AlternateContent>
        <mc:Choice Requires="wps">
          <w:drawing>
            <wp:anchor distT="0" distB="0" distL="114300" distR="114300" simplePos="0" relativeHeight="251659264" behindDoc="0" locked="0" layoutInCell="0" allowOverlap="1" wp14:anchorId="58D9F6EC" wp14:editId="0FE0EB84">
              <wp:simplePos x="0" y="0"/>
              <wp:positionH relativeFrom="page">
                <wp:posOffset>0</wp:posOffset>
              </wp:positionH>
              <wp:positionV relativeFrom="page">
                <wp:posOffset>190500</wp:posOffset>
              </wp:positionV>
              <wp:extent cx="7772400" cy="266700"/>
              <wp:effectExtent l="0" t="0" r="0" b="0"/>
              <wp:wrapNone/>
              <wp:docPr id="1" name="MSIPCMcb6b4e829b9c4983953bf771" descr="{&quot;HashCode&quot;:-188039879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BB1C1" w14:textId="050FBB5C" w:rsidR="00DA1ACA" w:rsidRPr="00DA1ACA" w:rsidRDefault="00DA1ACA" w:rsidP="00DA1ACA">
                          <w:pPr>
                            <w:jc w:val="right"/>
                            <w:rPr>
                              <w:rFonts w:ascii="Arial" w:hAnsi="Arial" w:cs="Arial"/>
                              <w:color w:val="000000"/>
                              <w:sz w:val="24"/>
                            </w:rPr>
                          </w:pPr>
                          <w:r w:rsidRPr="00DA1ACA">
                            <w:rPr>
                              <w:rFonts w:ascii="Arial" w:hAnsi="Arial" w:cs="Arial"/>
                              <w:color w:val="000000"/>
                              <w:sz w:val="24"/>
                            </w:rPr>
                            <w:t>UNCLASSIFIED / NON CLASSIFIÉ</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8D9F6EC" id="_x0000_t202" coordsize="21600,21600" o:spt="202" path="m,l,21600r21600,l21600,xe">
              <v:stroke joinstyle="miter"/>
              <v:path gradientshapeok="t" o:connecttype="rect"/>
            </v:shapetype>
            <v:shape id="MSIPCMcb6b4e829b9c4983953bf771" o:spid="_x0000_s1026" type="#_x0000_t202" alt="{&quot;HashCode&quot;:-1880398799,&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8nsQIAAEgFAAAOAAAAZHJzL2Uyb0RvYy54bWysVMlu2zAQvRfoPxA89NRY8hLLUiMHroM0&#10;AZzEgFPkTFGURUAiGZKO5Bb99w4lymnTnopeyNk4y5sZXly2dYVemDZcihSPRyFGTFCZc7FP8dfH&#10;67MFRsYSkZNKCpbiIzP4cvn+3UWjEjaRpaxyphE4ESZpVIpLa1USBIaWrCZmJBUToCykrokFVu+D&#10;XJMGvNdVMAnDedBInSstKTMGpFe9Ei87/0XBqH0oCsMsqlIMudnu1N2ZuTNYXpBkr4kqOfVpkH/I&#10;oiZcQNCTqytiCTpo/oermlMtjSzsiMo6kEXBKetqgGrG4ZtqdiVRrKsFwDHqBJP5f27p/ctWI55D&#10;7zASpIYW3e1ut+s7ms2zGVtM4iyms3gxjc+nWRFFYJUzQwHB7x+eD9J+uiGmXMuc9VxyNl4swmm8&#10;iOL4ozdgfF9ar47iySj0iiee29LL5+NX+bYilNVMDG8GNwQmpae9g1uRs9Y76K+t5jXRx9+sdjAD&#10;MJzebuzfPkrlJeEpoQ0rhpgg/OFmo1EmAYh2CkCy7WfZOpy83IDQtbwtdO1uaCYCPUzZ8TRZrLWI&#10;gjCKosksBBUF3WQ+j4AGN8Hra6WN/cJkjRyRYg1ZdwNFXjbG9qaDiQsm5DWvKpCTpBKoSfF8eh52&#10;D04acF4JiOFq6HN1lG2z1heQyfwIdWnZb4VR9JpD8A0xdks0rAHkC6ttH+AoKglBpKcwKqX+9je5&#10;s4fpBC1GDaxVis3zgWiGUXUrYG7j8Wzm9rBjgNAdMTkHcIDLBrE41GsJKwvjBml1pDO21UAWWtZP&#10;sPorFw5URFAImmI7kGsLHCjg66BstepoWDlF7EbsFHWuHXgO08f2iWjlgbfQsns5bB5J3uDf2/Yd&#10;WB2sLHjXHIdsD6cHHNa1a6//Wtx/8CvfWb1+gMufAAAA//8DAFBLAwQUAAYACAAAACEAUoaBz9sA&#10;AAAHAQAADwAAAGRycy9kb3ducmV2LnhtbEyPQU+EMBCF7yb+h2ZMvLmtuFGDDJtdE24mhlWz10JH&#10;INIpoYWFf2/3pKd5kzd575tst9hezDT6zjHC/UaBIK6d6bhB+Pwo7p5B+KDZ6N4xIazkYZdfX2U6&#10;Ne7MJc3H0IgYwj7VCG0IQyqlr1uy2m/cQBy9bzdaHeI6NtKM+hzDbS8TpR6l1R3HhlYP9NpS/XOc&#10;LMK03R+q1SXz2/vh9FUuBa9lcUK8vVn2LyACLeHvGC74ER3yyFS5iY0XPUJ8JCA8qDgvbpJso6oQ&#10;nhIFMs/kf/78FwAA//8DAFBLAQItABQABgAIAAAAIQC2gziS/gAAAOEBAAATAAAAAAAAAAAAAAAA&#10;AAAAAABbQ29udGVudF9UeXBlc10ueG1sUEsBAi0AFAAGAAgAAAAhADj9If/WAAAAlAEAAAsAAAAA&#10;AAAAAAAAAAAALwEAAF9yZWxzLy5yZWxzUEsBAi0AFAAGAAgAAAAhAAGUvyexAgAASAUAAA4AAAAA&#10;AAAAAAAAAAAALgIAAGRycy9lMm9Eb2MueG1sUEsBAi0AFAAGAAgAAAAhAFKGgc/bAAAABwEAAA8A&#10;AAAAAAAAAAAAAAAACwUAAGRycy9kb3ducmV2LnhtbFBLBQYAAAAABAAEAPMAAAATBgAAAAA=&#10;" o:allowincell="f" filled="f" stroked="f" strokeweight=".5pt">
              <v:textbox inset=",0,20pt,0">
                <w:txbxContent>
                  <w:p w14:paraId="698BB1C1" w14:textId="050FBB5C" w:rsidR="00DA1ACA" w:rsidRPr="00DA1ACA" w:rsidRDefault="00DA1ACA" w:rsidP="00DA1ACA">
                    <w:pPr>
                      <w:jc w:val="right"/>
                      <w:rPr>
                        <w:rFonts w:ascii="Arial" w:hAnsi="Arial" w:cs="Arial"/>
                        <w:color w:val="000000"/>
                        <w:sz w:val="24"/>
                      </w:rPr>
                    </w:pPr>
                    <w:r w:rsidRPr="00DA1ACA">
                      <w:rPr>
                        <w:rFonts w:ascii="Arial" w:hAnsi="Arial" w:cs="Arial"/>
                        <w:color w:val="000000"/>
                        <w:sz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A3AD" w14:textId="77777777" w:rsidR="0073193E" w:rsidRDefault="007319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94"/>
    <w:rsid w:val="0006207A"/>
    <w:rsid w:val="00065340"/>
    <w:rsid w:val="00072C84"/>
    <w:rsid w:val="001542E0"/>
    <w:rsid w:val="00185867"/>
    <w:rsid w:val="001D1736"/>
    <w:rsid w:val="0021281E"/>
    <w:rsid w:val="00252C17"/>
    <w:rsid w:val="00256000"/>
    <w:rsid w:val="002875C1"/>
    <w:rsid w:val="002A54B8"/>
    <w:rsid w:val="002D2F08"/>
    <w:rsid w:val="003027B6"/>
    <w:rsid w:val="003356DF"/>
    <w:rsid w:val="0038648A"/>
    <w:rsid w:val="003C78C2"/>
    <w:rsid w:val="00461E04"/>
    <w:rsid w:val="004B73D4"/>
    <w:rsid w:val="004D1ED1"/>
    <w:rsid w:val="004F6333"/>
    <w:rsid w:val="00531898"/>
    <w:rsid w:val="0055030A"/>
    <w:rsid w:val="005708C0"/>
    <w:rsid w:val="00586D94"/>
    <w:rsid w:val="005A446F"/>
    <w:rsid w:val="005A5D3C"/>
    <w:rsid w:val="0061730D"/>
    <w:rsid w:val="006371F3"/>
    <w:rsid w:val="0064573E"/>
    <w:rsid w:val="00660151"/>
    <w:rsid w:val="006644F9"/>
    <w:rsid w:val="006B30A0"/>
    <w:rsid w:val="00700E34"/>
    <w:rsid w:val="007023FF"/>
    <w:rsid w:val="0073193E"/>
    <w:rsid w:val="00771DAF"/>
    <w:rsid w:val="007A1B25"/>
    <w:rsid w:val="007B7431"/>
    <w:rsid w:val="0083569D"/>
    <w:rsid w:val="0087351A"/>
    <w:rsid w:val="008A44DD"/>
    <w:rsid w:val="008E38D2"/>
    <w:rsid w:val="008E5294"/>
    <w:rsid w:val="008F11CC"/>
    <w:rsid w:val="009002AD"/>
    <w:rsid w:val="00902969"/>
    <w:rsid w:val="009102BD"/>
    <w:rsid w:val="00935A17"/>
    <w:rsid w:val="00980C36"/>
    <w:rsid w:val="00993065"/>
    <w:rsid w:val="009D2452"/>
    <w:rsid w:val="00A127D3"/>
    <w:rsid w:val="00A372C5"/>
    <w:rsid w:val="00A43FA1"/>
    <w:rsid w:val="00A56FB2"/>
    <w:rsid w:val="00A655AE"/>
    <w:rsid w:val="00A85AE1"/>
    <w:rsid w:val="00B110BA"/>
    <w:rsid w:val="00B11B3D"/>
    <w:rsid w:val="00B23C59"/>
    <w:rsid w:val="00B7199E"/>
    <w:rsid w:val="00B86F46"/>
    <w:rsid w:val="00BD2161"/>
    <w:rsid w:val="00BD7AB5"/>
    <w:rsid w:val="00BE1B3A"/>
    <w:rsid w:val="00C13B19"/>
    <w:rsid w:val="00C2663C"/>
    <w:rsid w:val="00C601A4"/>
    <w:rsid w:val="00CD5C2B"/>
    <w:rsid w:val="00CF0EBF"/>
    <w:rsid w:val="00D22FD8"/>
    <w:rsid w:val="00D43868"/>
    <w:rsid w:val="00D459C0"/>
    <w:rsid w:val="00DA1ACA"/>
    <w:rsid w:val="00DA7E56"/>
    <w:rsid w:val="00DF4B21"/>
    <w:rsid w:val="00E257E5"/>
    <w:rsid w:val="00E335CC"/>
    <w:rsid w:val="00E36935"/>
    <w:rsid w:val="00EB290B"/>
    <w:rsid w:val="00EC5B9D"/>
    <w:rsid w:val="00FB0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994DE"/>
  <w15:chartTrackingRefBased/>
  <w15:docId w15:val="{4D8FAA38-74CB-45BA-A4A4-26C6466C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D94"/>
    <w:pPr>
      <w:spacing w:after="0" w:line="240" w:lineRule="auto"/>
    </w:pPr>
    <w:rPr>
      <w:rFonts w:ascii="Calibri" w:hAnsi="Calibri" w:cs="Calibri"/>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0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2AD"/>
    <w:rPr>
      <w:rFonts w:ascii="Segoe UI" w:hAnsi="Segoe UI" w:cs="Segoe UI"/>
      <w:sz w:val="18"/>
      <w:szCs w:val="18"/>
      <w:lang w:eastAsia="en-CA"/>
    </w:rPr>
  </w:style>
  <w:style w:type="paragraph" w:styleId="FootnoteText">
    <w:name w:val="footnote text"/>
    <w:basedOn w:val="Normal"/>
    <w:link w:val="FootnoteTextChar"/>
    <w:uiPriority w:val="99"/>
    <w:semiHidden/>
    <w:unhideWhenUsed/>
    <w:rsid w:val="009002AD"/>
    <w:rPr>
      <w:sz w:val="20"/>
      <w:szCs w:val="20"/>
    </w:rPr>
  </w:style>
  <w:style w:type="character" w:customStyle="1" w:styleId="FootnoteTextChar">
    <w:name w:val="Footnote Text Char"/>
    <w:basedOn w:val="DefaultParagraphFont"/>
    <w:link w:val="FootnoteText"/>
    <w:uiPriority w:val="99"/>
    <w:semiHidden/>
    <w:rsid w:val="009002AD"/>
    <w:rPr>
      <w:rFonts w:ascii="Calibri" w:hAnsi="Calibri" w:cs="Calibri"/>
      <w:sz w:val="20"/>
      <w:szCs w:val="20"/>
      <w:lang w:eastAsia="en-CA"/>
    </w:rPr>
  </w:style>
  <w:style w:type="character" w:styleId="FootnoteReference">
    <w:name w:val="footnote reference"/>
    <w:basedOn w:val="DefaultParagraphFont"/>
    <w:uiPriority w:val="99"/>
    <w:semiHidden/>
    <w:unhideWhenUsed/>
    <w:rsid w:val="009002AD"/>
    <w:rPr>
      <w:vertAlign w:val="superscript"/>
    </w:rPr>
  </w:style>
  <w:style w:type="character" w:styleId="CommentReference">
    <w:name w:val="annotation reference"/>
    <w:basedOn w:val="DefaultParagraphFont"/>
    <w:uiPriority w:val="99"/>
    <w:semiHidden/>
    <w:unhideWhenUsed/>
    <w:rsid w:val="007023FF"/>
    <w:rPr>
      <w:sz w:val="16"/>
      <w:szCs w:val="16"/>
    </w:rPr>
  </w:style>
  <w:style w:type="paragraph" w:styleId="CommentText">
    <w:name w:val="annotation text"/>
    <w:basedOn w:val="Normal"/>
    <w:link w:val="CommentTextChar"/>
    <w:uiPriority w:val="99"/>
    <w:semiHidden/>
    <w:unhideWhenUsed/>
    <w:rsid w:val="007023FF"/>
    <w:rPr>
      <w:sz w:val="20"/>
      <w:szCs w:val="20"/>
    </w:rPr>
  </w:style>
  <w:style w:type="character" w:customStyle="1" w:styleId="CommentTextChar">
    <w:name w:val="Comment Text Char"/>
    <w:basedOn w:val="DefaultParagraphFont"/>
    <w:link w:val="CommentText"/>
    <w:uiPriority w:val="99"/>
    <w:semiHidden/>
    <w:rsid w:val="007023FF"/>
    <w:rPr>
      <w:rFonts w:ascii="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7023FF"/>
    <w:rPr>
      <w:b/>
      <w:bCs/>
    </w:rPr>
  </w:style>
  <w:style w:type="character" w:customStyle="1" w:styleId="CommentSubjectChar">
    <w:name w:val="Comment Subject Char"/>
    <w:basedOn w:val="CommentTextChar"/>
    <w:link w:val="CommentSubject"/>
    <w:uiPriority w:val="99"/>
    <w:semiHidden/>
    <w:rsid w:val="007023FF"/>
    <w:rPr>
      <w:rFonts w:ascii="Calibri" w:hAnsi="Calibri" w:cs="Calibri"/>
      <w:b/>
      <w:bCs/>
      <w:sz w:val="20"/>
      <w:szCs w:val="20"/>
      <w:lang w:eastAsia="en-CA"/>
    </w:rPr>
  </w:style>
  <w:style w:type="paragraph" w:styleId="Title">
    <w:name w:val="Title"/>
    <w:basedOn w:val="Normal"/>
    <w:next w:val="Normal"/>
    <w:link w:val="TitleChar"/>
    <w:uiPriority w:val="10"/>
    <w:qFormat/>
    <w:rsid w:val="004B73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D4"/>
    <w:rPr>
      <w:rFonts w:asciiTheme="majorHAnsi" w:eastAsiaTheme="majorEastAsia" w:hAnsiTheme="majorHAnsi" w:cstheme="majorBidi"/>
      <w:spacing w:val="-10"/>
      <w:kern w:val="28"/>
      <w:sz w:val="56"/>
      <w:szCs w:val="56"/>
      <w:lang w:eastAsia="en-CA"/>
    </w:rPr>
  </w:style>
  <w:style w:type="paragraph" w:styleId="Header">
    <w:name w:val="header"/>
    <w:basedOn w:val="Normal"/>
    <w:link w:val="HeaderChar"/>
    <w:uiPriority w:val="99"/>
    <w:unhideWhenUsed/>
    <w:rsid w:val="008A44DD"/>
    <w:pPr>
      <w:tabs>
        <w:tab w:val="center" w:pos="4680"/>
        <w:tab w:val="right" w:pos="9360"/>
      </w:tabs>
    </w:pPr>
  </w:style>
  <w:style w:type="character" w:customStyle="1" w:styleId="HeaderChar">
    <w:name w:val="Header Char"/>
    <w:basedOn w:val="DefaultParagraphFont"/>
    <w:link w:val="Header"/>
    <w:uiPriority w:val="99"/>
    <w:rsid w:val="008A44DD"/>
    <w:rPr>
      <w:rFonts w:ascii="Calibri" w:hAnsi="Calibri" w:cs="Calibri"/>
      <w:lang w:eastAsia="en-CA"/>
    </w:rPr>
  </w:style>
  <w:style w:type="paragraph" w:styleId="Footer">
    <w:name w:val="footer"/>
    <w:basedOn w:val="Normal"/>
    <w:link w:val="FooterChar"/>
    <w:uiPriority w:val="99"/>
    <w:unhideWhenUsed/>
    <w:rsid w:val="008A44DD"/>
    <w:pPr>
      <w:tabs>
        <w:tab w:val="center" w:pos="4680"/>
        <w:tab w:val="right" w:pos="9360"/>
      </w:tabs>
    </w:pPr>
  </w:style>
  <w:style w:type="character" w:customStyle="1" w:styleId="FooterChar">
    <w:name w:val="Footer Char"/>
    <w:basedOn w:val="DefaultParagraphFont"/>
    <w:link w:val="Footer"/>
    <w:uiPriority w:val="99"/>
    <w:rsid w:val="008A44DD"/>
    <w:rPr>
      <w:rFonts w:ascii="Calibri" w:hAnsi="Calibri" w:cs="Calibri"/>
      <w:lang w:eastAsia="en-CA"/>
    </w:rPr>
  </w:style>
  <w:style w:type="character" w:customStyle="1" w:styleId="lawlabel2">
    <w:name w:val="lawlabel2"/>
    <w:basedOn w:val="DefaultParagraphFont"/>
    <w:rsid w:val="009D2452"/>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7138">
      <w:bodyDiv w:val="1"/>
      <w:marLeft w:val="0"/>
      <w:marRight w:val="0"/>
      <w:marTop w:val="0"/>
      <w:marBottom w:val="0"/>
      <w:divBdr>
        <w:top w:val="none" w:sz="0" w:space="0" w:color="auto"/>
        <w:left w:val="none" w:sz="0" w:space="0" w:color="auto"/>
        <w:bottom w:val="none" w:sz="0" w:space="0" w:color="auto"/>
        <w:right w:val="none" w:sz="0" w:space="0" w:color="auto"/>
      </w:divBdr>
    </w:div>
    <w:div w:id="1774010133">
      <w:bodyDiv w:val="1"/>
      <w:marLeft w:val="0"/>
      <w:marRight w:val="0"/>
      <w:marTop w:val="0"/>
      <w:marBottom w:val="0"/>
      <w:divBdr>
        <w:top w:val="none" w:sz="0" w:space="0" w:color="auto"/>
        <w:left w:val="none" w:sz="0" w:space="0" w:color="auto"/>
        <w:bottom w:val="none" w:sz="0" w:space="0" w:color="auto"/>
        <w:right w:val="none" w:sz="0" w:space="0" w:color="auto"/>
      </w:divBdr>
    </w:div>
    <w:div w:id="18289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0913-EFDA-4D1C-81BC-A9DC5312B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1177</Words>
  <Characters>6015</Characters>
  <Application>Microsoft Office Word</Application>
  <DocSecurity>0</DocSecurity>
  <Lines>106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Bailer, Andrea</dc:creator>
  <cp:keywords/>
  <dc:description/>
  <cp:lastModifiedBy>Marko, Lukas</cp:lastModifiedBy>
  <cp:revision>9</cp:revision>
  <dcterms:created xsi:type="dcterms:W3CDTF">2020-08-21T22:01:00Z</dcterms:created>
  <dcterms:modified xsi:type="dcterms:W3CDTF">2020-08-26T17:30:00Z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0ca00b-3f0e-465a-aac7-1a6a22fcea40_Enabled">
    <vt:lpwstr>True</vt:lpwstr>
  </property>
  <property fmtid="{D5CDD505-2E9C-101B-9397-08002B2CF9AE}" pid="3" name="MSIP_Label_3d0ca00b-3f0e-465a-aac7-1a6a22fcea40_SiteId">
    <vt:lpwstr>6397df10-4595-4047-9c4f-03311282152b</vt:lpwstr>
  </property>
  <property fmtid="{D5CDD505-2E9C-101B-9397-08002B2CF9AE}" pid="4" name="MSIP_Label_3d0ca00b-3f0e-465a-aac7-1a6a22fcea40_Owner">
    <vt:lpwstr>HAUBE@tbs-sct.gc.ca</vt:lpwstr>
  </property>
  <property fmtid="{D5CDD505-2E9C-101B-9397-08002B2CF9AE}" pid="5" name="MSIP_Label_3d0ca00b-3f0e-465a-aac7-1a6a22fcea40_SetDate">
    <vt:lpwstr>2020-08-21T19:49:40.2816040Z</vt:lpwstr>
  </property>
  <property fmtid="{D5CDD505-2E9C-101B-9397-08002B2CF9AE}" pid="6" name="MSIP_Label_3d0ca00b-3f0e-465a-aac7-1a6a22fcea40_Name">
    <vt:lpwstr>UNCLASSIFIED</vt:lpwstr>
  </property>
  <property fmtid="{D5CDD505-2E9C-101B-9397-08002B2CF9AE}" pid="7" name="MSIP_Label_3d0ca00b-3f0e-465a-aac7-1a6a22fcea40_Application">
    <vt:lpwstr>Microsoft Azure Information Protection</vt:lpwstr>
  </property>
  <property fmtid="{D5CDD505-2E9C-101B-9397-08002B2CF9AE}" pid="8" name="MSIP_Label_3d0ca00b-3f0e-465a-aac7-1a6a22fcea40_ActionId">
    <vt:lpwstr>7f9ca39b-54d9-466d-97f1-071bb0b111a3</vt:lpwstr>
  </property>
  <property fmtid="{D5CDD505-2E9C-101B-9397-08002B2CF9AE}" pid="9" name="MSIP_Label_3d0ca00b-3f0e-465a-aac7-1a6a22fcea40_Extended_MSFT_Method">
    <vt:lpwstr>Manual</vt:lpwstr>
  </property>
  <property fmtid="{D5CDD505-2E9C-101B-9397-08002B2CF9AE}" pid="10" name="Sensitivity">
    <vt:lpwstr>UNCLASSIFIED</vt:lpwstr>
  </property>
</Properties>
</file>