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027C" w14:textId="7F8E442F" w:rsidR="00A8636D" w:rsidRPr="00CD3515" w:rsidRDefault="00CF6A01" w:rsidP="00CD3515">
      <w:pPr>
        <w:pStyle w:val="Heading1"/>
      </w:pPr>
      <w:r w:rsidRPr="00CD3515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00BEE7F" wp14:editId="0EDEEC97">
                <wp:simplePos x="0" y="0"/>
                <wp:positionH relativeFrom="margin">
                  <wp:align>left</wp:align>
                </wp:positionH>
                <wp:positionV relativeFrom="margin">
                  <wp:posOffset>670560</wp:posOffset>
                </wp:positionV>
                <wp:extent cx="5810250" cy="1490345"/>
                <wp:effectExtent l="0" t="0" r="19050" b="1460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4903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B81E" w14:textId="77777777" w:rsidR="00821BAC" w:rsidRPr="00FF4AE4" w:rsidRDefault="00821BAC" w:rsidP="00821BAC">
                            <w:pPr>
                              <w:pStyle w:val="Heading2"/>
                            </w:pPr>
                            <w:r w:rsidRPr="00FF4AE4">
                              <w:t>Sole Source  vs. Competitive</w:t>
                            </w:r>
                          </w:p>
                          <w:p w14:paraId="5C4647E4" w14:textId="5E8CAE9A" w:rsidR="00821BAC" w:rsidRDefault="00821BAC" w:rsidP="00821BAC">
                            <w:pPr>
                              <w:pStyle w:val="NoSpacing"/>
                            </w:pPr>
                            <w:r>
                              <w:t xml:space="preserve">In all </w:t>
                            </w:r>
                            <w:r w:rsidRPr="00073DFF">
                              <w:t>instances where bids are not solicited, the legal authority to use an exception to soliciting bids must be fully justified by the client by prior to th</w:t>
                            </w:r>
                            <w:r>
                              <w:t>e request being considered:</w:t>
                            </w:r>
                          </w:p>
                          <w:p w14:paraId="0F40CC60" w14:textId="77777777" w:rsidR="00821BAC" w:rsidRDefault="00821BAC" w:rsidP="00821BAC">
                            <w:pPr>
                              <w:pStyle w:val="NoSpacing"/>
                            </w:pPr>
                          </w:p>
                          <w:p w14:paraId="43ED2A7C" w14:textId="77777777" w:rsidR="00821BAC" w:rsidRDefault="00821BAC" w:rsidP="00821BAC">
                            <w:pPr>
                              <w:pStyle w:val="NoSpacing"/>
                            </w:pPr>
                            <w:r>
                              <w:t xml:space="preserve">1. Referencing the applicable </w:t>
                            </w:r>
                            <w:hyperlink r:id="rId7" w:history="1">
                              <w:r w:rsidRPr="00E1186B">
                                <w:rPr>
                                  <w:rStyle w:val="Hyperlink"/>
                                </w:rPr>
                                <w:t>Government Contracting Regulations</w:t>
                              </w:r>
                            </w:hyperlink>
                          </w:p>
                          <w:p w14:paraId="7C83A5F1" w14:textId="77777777" w:rsidR="00821BAC" w:rsidRDefault="00821BAC" w:rsidP="00821BAC">
                            <w:pPr>
                              <w:pStyle w:val="NoSpacing"/>
                            </w:pPr>
                            <w:r>
                              <w:t xml:space="preserve">2. Providing responses to the </w:t>
                            </w:r>
                            <w:hyperlink r:id="rId8" w:anchor="_3-1" w:history="1">
                              <w:r w:rsidRPr="00E46ECF">
                                <w:rPr>
                                  <w:rFonts w:eastAsia="Times New Roman" w:cstheme="minorHAnsi"/>
                                  <w:color w:val="A4131D"/>
                                  <w:u w:val="single"/>
                                  <w:lang w:eastAsia="en-CA"/>
                                </w:rPr>
                                <w:t>Annex 3.1: Treasury Board questions for sole source</w:t>
                              </w:r>
                            </w:hyperlink>
                            <w:r w:rsidRPr="00E46ECF">
                              <w:rPr>
                                <w:rFonts w:eastAsia="Times New Roman" w:cstheme="minorHAnsi"/>
                                <w:color w:val="333333"/>
                                <w:lang w:eastAsia="en-CA"/>
                              </w:rPr>
                              <w:t> </w:t>
                            </w:r>
                          </w:p>
                          <w:p w14:paraId="61821904" w14:textId="77777777" w:rsidR="00821BAC" w:rsidRPr="00DA3C60" w:rsidRDefault="00821BAC" w:rsidP="00821BAC">
                            <w:pPr>
                              <w:pStyle w:val="NoSpacing"/>
                            </w:pPr>
                          </w:p>
                          <w:p w14:paraId="5706A211" w14:textId="77777777" w:rsidR="00821BAC" w:rsidRDefault="00821BAC" w:rsidP="00821BAC"/>
                          <w:p w14:paraId="34844A6E" w14:textId="77777777" w:rsidR="00821BAC" w:rsidRDefault="00821BAC" w:rsidP="00821BAC"/>
                          <w:p w14:paraId="66EEB38D" w14:textId="10A4DB86" w:rsidR="000B3FA4" w:rsidRDefault="000B3FA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EE7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52.8pt;width:457.5pt;height:117.35pt;z-index:-251657216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LCAQMAAOgGAAAOAAAAZHJzL2Uyb0RvYy54bWysVd1P2zAQf5+0/8Hy+0hSKCoRKepATJMY&#10;IGDi2XWcJprj82y3TffXc3a+WtbtYRoP4Xy+z9+df728ampJNsLYClRGk5OYEqE45JVaZfT7y+2n&#10;GSXWMZUzCUpkdCcsvZp//HC51amYQAkyF4ZgEGXTrc5o6ZxOo8jyUtTMnoAWCi8LMDVzeDSrKDds&#10;i9FrGU3i+Dzagsm1AS6sRe1Ne0nnIX5RCO4eisIKR2RGsTYXviZ8l/4bzS9ZujJMlxXvymD/UEXN&#10;KoVJh1A3zDGyNtVvoeqKG7BQuBMOdQRFUXEResBukvhdN88l0yL0guBYPcBk/19Yfr951o+GuOYz&#10;NDhAD8hW29Si0vfTFKb2/7FSgvcI4W6ATTSOcFROZ0k8meIVx7vk7CI+PZv6ONHoro11XwTUxAsZ&#10;NTiXABfb3FnXmvYmHYr5bSVlkC2atALRgK3HwTNsiLiWhmwYzla6SVC7SrlWcxHjXztfy9w3yDs1&#10;bk2nlut6UCdeHfRY9RA79LCy+9kTb/fXEmzJctElm3VBMeZeDWMylu4XcdGbH60BlaseC81cSfwn&#10;o7wyXPotYWmBkL3AE4Lr130aCvUr30m49l31BHe/EzvwMVTbrGED8lKRbUbPT3G0ProFWQ13A0Rt&#10;o4xzoVzYHl/7aIknqby3CI+xm/a4YUFyOym8jVRPoiBVHhYtpPQ0MA75MEuw9la+7cER2zr904K0&#10;vXbmY1GD79GxHiZt20CPkBiUG5zrSoE5ljn/0eNStPYI9F7bXnTNssHivLiEfIfv0UBLVVbz2wrf&#10;zB2z7pEZ5CZ8Z8i37gE/hQQcEHQSJSWYX8f03h4pA28p2SLXZdT+XDMjKJFfFb6oZDaZzTw7HpzM&#10;wWl5cFLr+hpwxxJkd82DiP7GyV4sDNSvSM0LnxmvmOKYP6OuF68dnvACqZ2LxSLISIm403fqWXMf&#10;2kPsWeGleWVGd9ThkHXuoWdGlr5jkNbWeypYrB0UVaCXEdkOfKTTft899Xu+3j8Hq/EHav4GAAD/&#10;/wMAUEsDBBQABgAIAAAAIQB+kAki3wAAAAgBAAAPAAAAZHJzL2Rvd25yZXYueG1sTI/NTsMwEITv&#10;SH0HaytxQdQO/VEJcaqCKJeqBwoSHN14m0SN11Hspunbs5zguDOrmW+y1eAa0WMXak8akokCgVR4&#10;W1Op4fNjc78EEaIhaxpPqOGKAVb56CYzqfUXesd+H0vBIRRSo6GKsU2lDEWFzoSJb5HYO/rOmchn&#10;V0rbmQuHu0Y+KLWQztTEDZVp8aXC4rQ/Oy6JtPlKrruwxH779j27e33e9Setb8fD+glExCH+PcMv&#10;PqNDzkwHfyYbRKOBh0RW1XwBgu3HZM7KQcN0pqYg80z+H5D/AAAA//8DAFBLAQItABQABgAIAAAA&#10;IQC2gziS/gAAAOEBAAATAAAAAAAAAAAAAAAAAAAAAABbQ29udGVudF9UeXBlc10ueG1sUEsBAi0A&#10;FAAGAAgAAAAhADj9If/WAAAAlAEAAAsAAAAAAAAAAAAAAAAALwEAAF9yZWxzLy5yZWxzUEsBAi0A&#10;FAAGAAgAAAAhAE8YosIBAwAA6AYAAA4AAAAAAAAAAAAAAAAALgIAAGRycy9lMm9Eb2MueG1sUEsB&#10;Ai0AFAAGAAgAAAAhAH6QCSLfAAAACAEAAA8AAAAAAAAAAAAAAAAAWwUAAGRycy9kb3ducmV2Lnht&#10;bFBLBQYAAAAABAAEAPMAAABnBgAAAAA=&#10;" fillcolor="#e9e8e8 [2899]" strokecolor="#4472c4 [3204]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5E0AB81E" w14:textId="77777777" w:rsidR="00821BAC" w:rsidRPr="00FF4AE4" w:rsidRDefault="00821BAC" w:rsidP="00821BAC">
                      <w:pPr>
                        <w:pStyle w:val="Heading2"/>
                      </w:pPr>
                      <w:r w:rsidRPr="00FF4AE4">
                        <w:t>Sole Source  vs. Competitive</w:t>
                      </w:r>
                    </w:p>
                    <w:p w14:paraId="5C4647E4" w14:textId="5E8CAE9A" w:rsidR="00821BAC" w:rsidRDefault="00821BAC" w:rsidP="00821BAC">
                      <w:pPr>
                        <w:pStyle w:val="NoSpacing"/>
                      </w:pPr>
                      <w:r>
                        <w:t xml:space="preserve">In all </w:t>
                      </w:r>
                      <w:r w:rsidRPr="00073DFF">
                        <w:t>instances where bids are not solicited, the legal authority to use an exception to soliciting bids must be fully justified by the client by prior to th</w:t>
                      </w:r>
                      <w:r>
                        <w:t>e request being considered:</w:t>
                      </w:r>
                    </w:p>
                    <w:p w14:paraId="0F40CC60" w14:textId="77777777" w:rsidR="00821BAC" w:rsidRDefault="00821BAC" w:rsidP="00821BAC">
                      <w:pPr>
                        <w:pStyle w:val="NoSpacing"/>
                      </w:pPr>
                    </w:p>
                    <w:p w14:paraId="43ED2A7C" w14:textId="77777777" w:rsidR="00821BAC" w:rsidRDefault="00821BAC" w:rsidP="00821BAC">
                      <w:pPr>
                        <w:pStyle w:val="NoSpacing"/>
                      </w:pPr>
                      <w:r>
                        <w:t xml:space="preserve">1. Referencing the applicable </w:t>
                      </w:r>
                      <w:hyperlink r:id="rId9" w:history="1">
                        <w:r w:rsidRPr="00E1186B">
                          <w:rPr>
                            <w:rStyle w:val="Hyperlink"/>
                          </w:rPr>
                          <w:t>Government Contracting Regulations</w:t>
                        </w:r>
                      </w:hyperlink>
                    </w:p>
                    <w:p w14:paraId="7C83A5F1" w14:textId="77777777" w:rsidR="00821BAC" w:rsidRDefault="00821BAC" w:rsidP="00821BAC">
                      <w:pPr>
                        <w:pStyle w:val="NoSpacing"/>
                      </w:pPr>
                      <w:r>
                        <w:t xml:space="preserve">2. Providing responses to the </w:t>
                      </w:r>
                      <w:hyperlink r:id="rId10" w:anchor="_3-1" w:history="1">
                        <w:r w:rsidRPr="00E46ECF">
                          <w:rPr>
                            <w:rFonts w:eastAsia="Times New Roman" w:cstheme="minorHAnsi"/>
                            <w:color w:val="A4131D"/>
                            <w:u w:val="single"/>
                            <w:lang w:eastAsia="en-CA"/>
                          </w:rPr>
                          <w:t>Annex 3.1: Treasury Board questions for sole source</w:t>
                        </w:r>
                      </w:hyperlink>
                      <w:r w:rsidRPr="00E46ECF">
                        <w:rPr>
                          <w:rFonts w:eastAsia="Times New Roman" w:cstheme="minorHAnsi"/>
                          <w:color w:val="333333"/>
                          <w:lang w:eastAsia="en-CA"/>
                        </w:rPr>
                        <w:t> </w:t>
                      </w:r>
                    </w:p>
                    <w:p w14:paraId="61821904" w14:textId="77777777" w:rsidR="00821BAC" w:rsidRPr="00DA3C60" w:rsidRDefault="00821BAC" w:rsidP="00821BAC">
                      <w:pPr>
                        <w:pStyle w:val="NoSpacing"/>
                      </w:pPr>
                    </w:p>
                    <w:p w14:paraId="5706A211" w14:textId="77777777" w:rsidR="00821BAC" w:rsidRDefault="00821BAC" w:rsidP="00821BAC"/>
                    <w:p w14:paraId="34844A6E" w14:textId="77777777" w:rsidR="00821BAC" w:rsidRDefault="00821BAC" w:rsidP="00821BAC"/>
                    <w:p w14:paraId="66EEB38D" w14:textId="10A4DB86" w:rsidR="000B3FA4" w:rsidRDefault="000B3FA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636D" w:rsidRPr="00CD3515">
        <w:t>NON-COMPETITIVE CONTRACTING PROCESS</w:t>
      </w:r>
    </w:p>
    <w:p w14:paraId="572A8F96" w14:textId="2AFF19DE" w:rsidR="00C94D40" w:rsidRPr="00D91960" w:rsidRDefault="00C94D40" w:rsidP="00D91960">
      <w:pPr>
        <w:pStyle w:val="Heading2"/>
      </w:pPr>
      <w:r w:rsidRPr="00D91960">
        <w:t>Procurement Objective</w:t>
      </w:r>
    </w:p>
    <w:p w14:paraId="246C1AF0" w14:textId="77777777" w:rsidR="00AF0F17" w:rsidRPr="00AF0F17" w:rsidRDefault="00C94D40" w:rsidP="00AF0F17">
      <w:pPr>
        <w:pStyle w:val="NoSpacing"/>
      </w:pPr>
      <w:r w:rsidRPr="00AF0F17">
        <w:t>The objective of government contracting is to acquire goods, services and construction in a manner that:</w:t>
      </w:r>
      <w:r w:rsidR="00AF0F17" w:rsidRPr="00AF0F17">
        <w:t xml:space="preserve">  </w:t>
      </w:r>
    </w:p>
    <w:p w14:paraId="08BCD6E6" w14:textId="4B0595CA" w:rsidR="00AF0F17" w:rsidRPr="00AF0F17" w:rsidRDefault="00C94D40" w:rsidP="00FF69A9">
      <w:pPr>
        <w:pStyle w:val="NoSpacing"/>
        <w:numPr>
          <w:ilvl w:val="0"/>
          <w:numId w:val="15"/>
        </w:numPr>
      </w:pPr>
      <w:r w:rsidRPr="00AF0F17">
        <w:t>Enhances access</w:t>
      </w:r>
    </w:p>
    <w:p w14:paraId="754DC0D9" w14:textId="036FAE22" w:rsidR="00AF0F17" w:rsidRPr="00AF0F17" w:rsidRDefault="00C94D40" w:rsidP="00FF69A9">
      <w:pPr>
        <w:pStyle w:val="NoSpacing"/>
        <w:numPr>
          <w:ilvl w:val="0"/>
          <w:numId w:val="15"/>
        </w:numPr>
      </w:pPr>
      <w:r w:rsidRPr="00AF0F17">
        <w:t>Provides</w:t>
      </w:r>
      <w:r w:rsidR="00AF0F17" w:rsidRPr="00AF0F17">
        <w:t xml:space="preserve"> </w:t>
      </w:r>
      <w:r w:rsidRPr="00AF0F17">
        <w:t>competition</w:t>
      </w:r>
    </w:p>
    <w:p w14:paraId="35369072" w14:textId="5DD35D6B" w:rsidR="00C94D40" w:rsidRPr="00AF0F17" w:rsidRDefault="00C94D40" w:rsidP="00FF69A9">
      <w:pPr>
        <w:pStyle w:val="NoSpacing"/>
        <w:numPr>
          <w:ilvl w:val="0"/>
          <w:numId w:val="15"/>
        </w:numPr>
      </w:pPr>
      <w:r w:rsidRPr="00AF0F17">
        <w:t>Treats industry fairly and,</w:t>
      </w:r>
    </w:p>
    <w:p w14:paraId="576B3FD9" w14:textId="3C28B89A" w:rsidR="006C267C" w:rsidRDefault="00C94D40" w:rsidP="006C267C">
      <w:pPr>
        <w:pStyle w:val="NoSpacing"/>
        <w:numPr>
          <w:ilvl w:val="0"/>
          <w:numId w:val="15"/>
        </w:numPr>
      </w:pPr>
      <w:r w:rsidRPr="00AF0F17">
        <w:t>Results in the best value or optimal balance of overall benefits to the Crown and Canadian people.</w:t>
      </w:r>
    </w:p>
    <w:p w14:paraId="716AEAF0" w14:textId="68204416" w:rsidR="008549FE" w:rsidRDefault="008549FE" w:rsidP="00AF0F17">
      <w:pPr>
        <w:pStyle w:val="NoSpacing"/>
      </w:pPr>
    </w:p>
    <w:p w14:paraId="574666C1" w14:textId="40E7AEFB" w:rsidR="00487C49" w:rsidRDefault="006C267C" w:rsidP="00487C49">
      <w:pPr>
        <w:pStyle w:val="NoSpacing"/>
        <w:rPr>
          <w:rFonts w:cstheme="minorHAnsi"/>
        </w:rPr>
      </w:pPr>
      <w:r>
        <w:t xml:space="preserve">As per the </w:t>
      </w:r>
      <w:hyperlink r:id="rId11" w:history="1">
        <w:r w:rsidR="002271C5" w:rsidRPr="002271C5">
          <w:rPr>
            <w:rStyle w:val="Hyperlink"/>
          </w:rPr>
          <w:t>Government Contracting Regulations</w:t>
        </w:r>
      </w:hyperlink>
      <w:r w:rsidR="002271C5">
        <w:t xml:space="preserve"> </w:t>
      </w:r>
      <w:r w:rsidR="00A652EC">
        <w:t xml:space="preserve">a contracting authority </w:t>
      </w:r>
      <w:r w:rsidR="00104C5E">
        <w:t>must solicit bids</w:t>
      </w:r>
      <w:r w:rsidR="00780E16">
        <w:t xml:space="preserve"> prior to entering into a contract.  </w:t>
      </w:r>
      <w:r w:rsidR="00C94D40" w:rsidRPr="00AF0F17">
        <w:rPr>
          <w:rFonts w:cstheme="minorHAnsi"/>
          <w:color w:val="002050"/>
        </w:rPr>
        <w:t>There are four exceptions that permit the contracting authority to set aside the requirement to solicit</w:t>
      </w:r>
      <w:r w:rsidR="00C94D40" w:rsidRPr="00AF0F17">
        <w:rPr>
          <w:rFonts w:cstheme="minorHAnsi"/>
          <w:color w:val="002050"/>
          <w:spacing w:val="51"/>
        </w:rPr>
        <w:t xml:space="preserve"> </w:t>
      </w:r>
      <w:r w:rsidR="00C94D40" w:rsidRPr="00AF0F17">
        <w:rPr>
          <w:rFonts w:cstheme="minorHAnsi"/>
          <w:color w:val="002050"/>
        </w:rPr>
        <w:t>bids.</w:t>
      </w:r>
    </w:p>
    <w:p w14:paraId="277BA0E9" w14:textId="77777777" w:rsidR="00C16507" w:rsidRPr="00C16507" w:rsidRDefault="00C94D40" w:rsidP="00C16507">
      <w:pPr>
        <w:pStyle w:val="NoSpacing"/>
        <w:numPr>
          <w:ilvl w:val="0"/>
          <w:numId w:val="7"/>
        </w:numPr>
        <w:rPr>
          <w:rFonts w:cstheme="minorHAnsi"/>
        </w:rPr>
      </w:pPr>
      <w:r w:rsidRPr="00DD59AC">
        <w:rPr>
          <w:rFonts w:cstheme="minorHAnsi"/>
          <w:color w:val="002050"/>
        </w:rPr>
        <w:t>the need is one of pressing emergency in which delay would be injurious to the public</w:t>
      </w:r>
      <w:r w:rsidRPr="00DD59AC">
        <w:rPr>
          <w:rFonts w:cstheme="minorHAnsi"/>
          <w:color w:val="002050"/>
          <w:spacing w:val="32"/>
        </w:rPr>
        <w:t xml:space="preserve"> </w:t>
      </w:r>
      <w:r w:rsidRPr="00DD59AC">
        <w:rPr>
          <w:rFonts w:cstheme="minorHAnsi"/>
          <w:color w:val="002050"/>
        </w:rPr>
        <w:t>interest;</w:t>
      </w:r>
    </w:p>
    <w:p w14:paraId="76B09718" w14:textId="5BECD386" w:rsidR="00C16507" w:rsidRPr="00C16507" w:rsidRDefault="00C94D40" w:rsidP="00C16507">
      <w:pPr>
        <w:pStyle w:val="NoSpacing"/>
        <w:numPr>
          <w:ilvl w:val="0"/>
          <w:numId w:val="7"/>
        </w:numPr>
        <w:rPr>
          <w:rFonts w:cstheme="minorHAnsi"/>
        </w:rPr>
      </w:pPr>
      <w:r w:rsidRPr="00C16507">
        <w:rPr>
          <w:rFonts w:cstheme="minorHAnsi"/>
          <w:color w:val="002050"/>
        </w:rPr>
        <w:t xml:space="preserve">the estimated expenditure </w:t>
      </w:r>
      <w:r w:rsidRPr="00C16507">
        <w:rPr>
          <w:rFonts w:cstheme="minorHAnsi"/>
          <w:color w:val="002050"/>
          <w:spacing w:val="-3"/>
        </w:rPr>
        <w:t xml:space="preserve">does </w:t>
      </w:r>
      <w:r w:rsidRPr="00C16507">
        <w:rPr>
          <w:rFonts w:cstheme="minorHAnsi"/>
          <w:color w:val="002050"/>
        </w:rPr>
        <w:t>not</w:t>
      </w:r>
      <w:r w:rsidR="00431C2C" w:rsidRPr="00C16507">
        <w:rPr>
          <w:rFonts w:cstheme="minorHAnsi"/>
          <w:color w:val="002050"/>
          <w:spacing w:val="41"/>
        </w:rPr>
        <w:t xml:space="preserve"> </w:t>
      </w:r>
      <w:r w:rsidRPr="00C16507">
        <w:rPr>
          <w:rFonts w:cstheme="minorHAnsi"/>
          <w:color w:val="002050"/>
        </w:rPr>
        <w:t>exceed</w:t>
      </w:r>
      <w:r w:rsidR="00C16507" w:rsidRPr="00C16507">
        <w:rPr>
          <w:rFonts w:cstheme="minorHAnsi"/>
          <w:color w:val="002050"/>
        </w:rPr>
        <w:t xml:space="preserve"> </w:t>
      </w:r>
      <w:r w:rsidR="00C16507" w:rsidRPr="00C16507">
        <w:rPr>
          <w:rFonts w:eastAsia="Times New Roman" w:cstheme="minorHAnsi"/>
          <w:color w:val="000000"/>
          <w:lang w:eastAsia="en-CA"/>
        </w:rPr>
        <w:t>$25,000 for goods, and $40,000 for services and construction contracts;</w:t>
      </w:r>
    </w:p>
    <w:p w14:paraId="41466B3F" w14:textId="1B477D34" w:rsidR="00C94D40" w:rsidRPr="00AF0F17" w:rsidRDefault="00C94D40" w:rsidP="00DD59AC">
      <w:pPr>
        <w:pStyle w:val="NoSpacing"/>
        <w:numPr>
          <w:ilvl w:val="0"/>
          <w:numId w:val="7"/>
        </w:numPr>
        <w:rPr>
          <w:rFonts w:cstheme="minorHAnsi"/>
        </w:rPr>
      </w:pPr>
      <w:r w:rsidRPr="00AF0F17">
        <w:rPr>
          <w:rFonts w:cstheme="minorHAnsi"/>
          <w:color w:val="002050"/>
        </w:rPr>
        <w:t xml:space="preserve">the nature of the work is such that it would not be in the public interest to solicit bids; </w:t>
      </w:r>
      <w:r w:rsidRPr="00AF0F17">
        <w:rPr>
          <w:rFonts w:cstheme="minorHAnsi"/>
          <w:color w:val="002050"/>
          <w:spacing w:val="12"/>
        </w:rPr>
        <w:t xml:space="preserve"> </w:t>
      </w:r>
      <w:r w:rsidRPr="00AF0F17">
        <w:rPr>
          <w:rFonts w:cstheme="minorHAnsi"/>
          <w:color w:val="002050"/>
        </w:rPr>
        <w:t>or</w:t>
      </w:r>
    </w:p>
    <w:p w14:paraId="458D28D4" w14:textId="77777777" w:rsidR="00C94D40" w:rsidRPr="00AA0525" w:rsidRDefault="00C94D40" w:rsidP="00DD59AC">
      <w:pPr>
        <w:pStyle w:val="NoSpacing"/>
        <w:numPr>
          <w:ilvl w:val="0"/>
          <w:numId w:val="7"/>
        </w:numPr>
        <w:rPr>
          <w:rFonts w:cstheme="minorHAnsi"/>
        </w:rPr>
      </w:pPr>
      <w:r w:rsidRPr="00AF0F17">
        <w:rPr>
          <w:rFonts w:cstheme="minorHAnsi"/>
          <w:color w:val="002050"/>
        </w:rPr>
        <w:t>only one person or firm is capable of performing the contract.</w:t>
      </w:r>
    </w:p>
    <w:p w14:paraId="3D379BAC" w14:textId="77777777" w:rsidR="00AA0525" w:rsidRDefault="00AA0525" w:rsidP="00AA0525">
      <w:pPr>
        <w:pStyle w:val="NoSpacing"/>
        <w:rPr>
          <w:rFonts w:cstheme="minorHAnsi"/>
          <w:color w:val="002050"/>
        </w:rPr>
      </w:pPr>
    </w:p>
    <w:p w14:paraId="18CFCE9D" w14:textId="77777777" w:rsidR="009530CE" w:rsidRPr="00083356" w:rsidRDefault="00AA0525" w:rsidP="00AA0525">
      <w:pPr>
        <w:rPr>
          <w:rFonts w:eastAsia="Times New Roman" w:cstheme="minorHAnsi"/>
          <w:lang w:eastAsia="en-CA"/>
        </w:rPr>
      </w:pPr>
      <w:r w:rsidRPr="00E46ECF">
        <w:rPr>
          <w:rFonts w:eastAsia="Times New Roman" w:cstheme="minorHAnsi"/>
          <w:color w:val="333333"/>
          <w:lang w:eastAsia="en-CA"/>
        </w:rPr>
        <w:t>When invoking exception 6(d) of the GCR s for procurements above $25K, the responses to the questions contained in </w:t>
      </w:r>
      <w:r w:rsidR="00CD3515">
        <w:rPr>
          <w:rFonts w:eastAsia="Times New Roman" w:cstheme="minorHAnsi"/>
          <w:color w:val="333333"/>
          <w:lang w:eastAsia="en-CA"/>
        </w:rPr>
        <w:t>the Treasury Board questions for sole source must b</w:t>
      </w:r>
      <w:r>
        <w:rPr>
          <w:rFonts w:eastAsia="Times New Roman" w:cstheme="minorHAnsi"/>
          <w:color w:val="333333"/>
          <w:lang w:eastAsia="en-CA"/>
        </w:rPr>
        <w:t xml:space="preserve">e part of your </w:t>
      </w:r>
      <w:r w:rsidR="00C160D8">
        <w:rPr>
          <w:rFonts w:eastAsia="Times New Roman" w:cstheme="minorHAnsi"/>
          <w:color w:val="333333"/>
          <w:lang w:eastAsia="en-CA"/>
        </w:rPr>
        <w:t xml:space="preserve">file </w:t>
      </w:r>
      <w:r w:rsidRPr="00083356">
        <w:rPr>
          <w:rFonts w:eastAsia="Times New Roman" w:cstheme="minorHAnsi"/>
          <w:lang w:eastAsia="en-CA"/>
        </w:rPr>
        <w:t xml:space="preserve">submission.  </w:t>
      </w:r>
      <w:r w:rsidR="00E3625D" w:rsidRPr="00083356">
        <w:rPr>
          <w:rFonts w:eastAsia="Times New Roman" w:cstheme="minorHAnsi"/>
          <w:lang w:eastAsia="en-CA"/>
        </w:rPr>
        <w:t xml:space="preserve">This exception is primarily used </w:t>
      </w:r>
      <w:r w:rsidR="00137D5A" w:rsidRPr="00083356">
        <w:rPr>
          <w:rFonts w:eastAsia="Times New Roman" w:cstheme="minorHAnsi"/>
          <w:lang w:eastAsia="en-CA"/>
        </w:rPr>
        <w:t>for compatibility or proprietary issues such as</w:t>
      </w:r>
      <w:r w:rsidR="009530CE" w:rsidRPr="00083356">
        <w:rPr>
          <w:rFonts w:eastAsia="Times New Roman" w:cstheme="minorHAnsi"/>
          <w:lang w:eastAsia="en-CA"/>
        </w:rPr>
        <w:t>:</w:t>
      </w:r>
    </w:p>
    <w:p w14:paraId="2D8B16AC" w14:textId="77777777" w:rsidR="009530CE" w:rsidRPr="00083356" w:rsidRDefault="0004689E" w:rsidP="002008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83356">
        <w:rPr>
          <w:rFonts w:asciiTheme="minorHAnsi" w:eastAsia="Times New Roman" w:hAnsiTheme="minorHAnsi" w:cstheme="minorHAnsi"/>
          <w:lang w:eastAsia="en-CA"/>
        </w:rPr>
        <w:t>for software compatibility issues</w:t>
      </w:r>
    </w:p>
    <w:p w14:paraId="47279060" w14:textId="272E97C8" w:rsidR="00AE6B32" w:rsidRPr="00083356" w:rsidRDefault="00AE6B32" w:rsidP="002008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83356">
        <w:rPr>
          <w:rFonts w:asciiTheme="minorHAnsi" w:hAnsiTheme="minorHAnsi" w:cstheme="minorHAnsi"/>
        </w:rPr>
        <w:t xml:space="preserve">you are dealing with the </w:t>
      </w:r>
      <w:r w:rsidR="009530CE" w:rsidRPr="00083356">
        <w:rPr>
          <w:rFonts w:asciiTheme="minorHAnsi" w:hAnsiTheme="minorHAnsi" w:cstheme="minorHAnsi"/>
        </w:rPr>
        <w:t>original equipment manufacturer (</w:t>
      </w:r>
      <w:r w:rsidRPr="00083356">
        <w:rPr>
          <w:rFonts w:asciiTheme="minorHAnsi" w:hAnsiTheme="minorHAnsi" w:cstheme="minorHAnsi"/>
        </w:rPr>
        <w:t>OEM</w:t>
      </w:r>
      <w:r w:rsidR="00083356" w:rsidRPr="00083356">
        <w:rPr>
          <w:rFonts w:asciiTheme="minorHAnsi" w:hAnsiTheme="minorHAnsi" w:cstheme="minorHAnsi"/>
        </w:rPr>
        <w:t>)</w:t>
      </w:r>
      <w:r w:rsidRPr="00083356">
        <w:rPr>
          <w:rFonts w:asciiTheme="minorHAnsi" w:hAnsiTheme="minorHAnsi" w:cstheme="minorHAnsi"/>
        </w:rPr>
        <w:t xml:space="preserve"> </w:t>
      </w:r>
    </w:p>
    <w:p w14:paraId="53DA7B54" w14:textId="50FC6E97" w:rsidR="00AE6B32" w:rsidRPr="00083356" w:rsidRDefault="00AE6B32" w:rsidP="00AE6B32">
      <w:pPr>
        <w:pStyle w:val="NoSpacing"/>
        <w:numPr>
          <w:ilvl w:val="0"/>
          <w:numId w:val="14"/>
        </w:numPr>
        <w:rPr>
          <w:rFonts w:cstheme="minorHAnsi"/>
        </w:rPr>
      </w:pPr>
      <w:r w:rsidRPr="00083356">
        <w:rPr>
          <w:rFonts w:cstheme="minorHAnsi"/>
        </w:rPr>
        <w:t>patent</w:t>
      </w:r>
      <w:r w:rsidR="006C5894">
        <w:rPr>
          <w:rFonts w:cstheme="minorHAnsi"/>
        </w:rPr>
        <w:t xml:space="preserve"> or copyright</w:t>
      </w:r>
      <w:r w:rsidRPr="00083356">
        <w:rPr>
          <w:rFonts w:cstheme="minorHAnsi"/>
        </w:rPr>
        <w:t xml:space="preserve"> is held </w:t>
      </w:r>
    </w:p>
    <w:p w14:paraId="26092CED" w14:textId="0E1F1565" w:rsidR="00AE6B32" w:rsidRPr="00083356" w:rsidRDefault="00247446" w:rsidP="00AE6B3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technical compatibility factors suggest only one contractor exists</w:t>
      </w:r>
    </w:p>
    <w:p w14:paraId="1CFE835E" w14:textId="7F7EA86C" w:rsidR="00AE6B32" w:rsidRPr="00083356" w:rsidRDefault="00AE6B32" w:rsidP="00083356">
      <w:pPr>
        <w:pStyle w:val="NoSpacing"/>
        <w:ind w:left="720"/>
        <w:rPr>
          <w:rFonts w:cstheme="minorHAnsi"/>
          <w:color w:val="0000FF"/>
        </w:rPr>
      </w:pPr>
    </w:p>
    <w:p w14:paraId="22316D77" w14:textId="5CB636BB" w:rsidR="00C94D40" w:rsidRPr="00D91960" w:rsidRDefault="00000000" w:rsidP="00D91960">
      <w:pPr>
        <w:pStyle w:val="Heading2"/>
      </w:pPr>
      <w:hyperlink r:id="rId12" w:anchor="_3-15-5" w:history="1">
        <w:r w:rsidR="008C2238" w:rsidRPr="00D91960">
          <w:rPr>
            <w:rStyle w:val="Hyperlink"/>
            <w:color w:val="2F5496" w:themeColor="accent1" w:themeShade="BF"/>
            <w:u w:val="none"/>
          </w:rPr>
          <w:t>Advance Contract Award Notice</w:t>
        </w:r>
      </w:hyperlink>
    </w:p>
    <w:p w14:paraId="7027B095" w14:textId="0A6971B0" w:rsidR="00C94D40" w:rsidRPr="00DA3C60" w:rsidRDefault="00C94D40" w:rsidP="00DA3C60">
      <w:pPr>
        <w:pStyle w:val="NoSpacing"/>
      </w:pPr>
      <w:r w:rsidRPr="00DA3C60">
        <w:t xml:space="preserve">An ACAN is a </w:t>
      </w:r>
      <w:r w:rsidR="0007083B">
        <w:t xml:space="preserve">public </w:t>
      </w:r>
      <w:r w:rsidRPr="00DA3C60">
        <w:t xml:space="preserve">notice </w:t>
      </w:r>
      <w:r w:rsidR="0007083B">
        <w:t xml:space="preserve">to the supplier community </w:t>
      </w:r>
      <w:r w:rsidR="009873D0">
        <w:t xml:space="preserve">the </w:t>
      </w:r>
      <w:r w:rsidRPr="00DA3C60">
        <w:t xml:space="preserve">intent to award a contract by soliciting a bid from and negotiating with only one </w:t>
      </w:r>
      <w:r w:rsidR="009873D0">
        <w:t xml:space="preserve">supplier, believed to be the only one capable of performing the work or providing the goods.  </w:t>
      </w:r>
      <w:r w:rsidRPr="00DA3C60">
        <w:t xml:space="preserve"> However, potential suppliers who feel they can also meet the requirements can submit a Statement of Capabilities to challenge the award.</w:t>
      </w:r>
      <w:r w:rsidR="00FF4AE4">
        <w:t xml:space="preserve">  </w:t>
      </w:r>
      <w:r w:rsidRPr="00DA3C60">
        <w:t xml:space="preserve">If no valid challenge is received, the contract can be awarded and is deemed competitive. If a valid challenge is received, the requirement must be </w:t>
      </w:r>
      <w:r w:rsidRPr="00DA3C60">
        <w:lastRenderedPageBreak/>
        <w:t>tendered through a full RFP process.</w:t>
      </w:r>
      <w:r w:rsidR="00FD2381">
        <w:t xml:space="preserve"> </w:t>
      </w:r>
      <w:r w:rsidR="007D51F3">
        <w:t xml:space="preserve">  </w:t>
      </w:r>
      <w:r w:rsidRPr="00DA3C60">
        <w:t>The notice must be posted on MERX for a minimum of 15 calendar days.</w:t>
      </w:r>
      <w:r w:rsidR="00D57987">
        <w:t xml:space="preserve">  </w:t>
      </w:r>
      <w:hyperlink r:id="rId13" w:anchor="_3-15-5" w:history="1">
        <w:r w:rsidR="001E3F39" w:rsidRPr="001E3F39">
          <w:rPr>
            <w:rStyle w:val="Hyperlink"/>
          </w:rPr>
          <w:t>Supply Manual 3.15.5 Advance Contract Award Notice</w:t>
        </w:r>
      </w:hyperlink>
    </w:p>
    <w:p w14:paraId="4939A9FE" w14:textId="78A4E27A" w:rsidR="00C94D40" w:rsidRPr="00DA3C60" w:rsidRDefault="00C94D40" w:rsidP="00DA3C60">
      <w:pPr>
        <w:pStyle w:val="NoSpacing"/>
      </w:pPr>
    </w:p>
    <w:p w14:paraId="43D1E0DB" w14:textId="5664C50C" w:rsidR="00CF17C8" w:rsidRPr="00DA3C60" w:rsidRDefault="00CF17C8" w:rsidP="00FD2381">
      <w:pPr>
        <w:pStyle w:val="Heading2"/>
      </w:pPr>
      <w:r w:rsidRPr="00415344">
        <w:t>No A</w:t>
      </w:r>
      <w:r w:rsidR="00FD2381" w:rsidRPr="00415344">
        <w:t>CAN</w:t>
      </w:r>
      <w:r w:rsidRPr="00415344">
        <w:t xml:space="preserve"> Process</w:t>
      </w:r>
      <w:r w:rsidR="009F15B5">
        <w:t xml:space="preserve"> </w:t>
      </w:r>
    </w:p>
    <w:p w14:paraId="1132428C" w14:textId="4DABDD9D" w:rsidR="00AD4280" w:rsidRPr="004670CF" w:rsidRDefault="00CF17C8" w:rsidP="00DA3C60">
      <w:pPr>
        <w:pStyle w:val="NoSpacing"/>
        <w:rPr>
          <w:rStyle w:val="HTMLAcronym"/>
        </w:rPr>
      </w:pPr>
      <w:r w:rsidRPr="004670CF">
        <w:t xml:space="preserve">An ACAN may be published only for requirements where Canada is able to accept a statement of capabilities from another supplier. Contracting officers must ensure that Canada is in a position to accept a statement of capabilities before publishing an ACAN. In circumstances where there is no possibility of another supplier submitting a statement of capabilities or where Canada cannot, for program or policy reasons, accept a statement of capabilities from another supplier, an ACAN must not be published. </w:t>
      </w:r>
      <w:hyperlink r:id="rId14" w:anchor="_3-15-5-10" w:history="1">
        <w:r w:rsidR="001E3F39" w:rsidRPr="001E3F39">
          <w:rPr>
            <w:rStyle w:val="Hyperlink"/>
          </w:rPr>
          <w:t>Supply Manual 3.15.5.10 Statement of Capabilities (challenge process)</w:t>
        </w:r>
      </w:hyperlink>
    </w:p>
    <w:p w14:paraId="51B561C1" w14:textId="2EBC6ADC" w:rsidR="00AD4280" w:rsidRPr="004670CF" w:rsidRDefault="00AD4280" w:rsidP="00DA3C60">
      <w:pPr>
        <w:pStyle w:val="NoSpacing"/>
        <w:rPr>
          <w:rStyle w:val="HTMLAcronym"/>
        </w:rPr>
      </w:pPr>
    </w:p>
    <w:p w14:paraId="577A6FFE" w14:textId="77777777" w:rsidR="0047130B" w:rsidRDefault="0047130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</w:rPr>
      </w:pPr>
    </w:p>
    <w:p w14:paraId="3AFA6D8B" w14:textId="79078F83" w:rsidR="00CF17C8" w:rsidRPr="0047130B" w:rsidRDefault="0047130B" w:rsidP="0077032B">
      <w:pPr>
        <w:pStyle w:val="Heading2"/>
        <w:rPr>
          <w:rFonts w:eastAsia="Times New Roman"/>
        </w:rPr>
      </w:pPr>
      <w:r w:rsidRPr="0047130B">
        <w:rPr>
          <w:rFonts w:eastAsia="Times New Roman"/>
        </w:rPr>
        <w:t>N</w:t>
      </w:r>
      <w:r>
        <w:rPr>
          <w:rFonts w:eastAsia="Times New Roman"/>
        </w:rPr>
        <w:t>o Substitute</w:t>
      </w:r>
    </w:p>
    <w:p w14:paraId="2C20D7CA" w14:textId="0F21D17E" w:rsidR="0047130B" w:rsidRDefault="0077032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21437">
        <w:t xml:space="preserve">A “No Substitute” request is </w:t>
      </w:r>
      <w:r w:rsidR="003C3865" w:rsidRPr="00021437">
        <w:t xml:space="preserve">when the client considers only one specific product or good will meet their </w:t>
      </w:r>
      <w:r w:rsidR="00540922" w:rsidRPr="00021437">
        <w:t xml:space="preserve">requirement.  A “No Substitute” </w:t>
      </w:r>
      <w:r w:rsidR="003402C0" w:rsidRPr="00021437">
        <w:t>requirement is usually related to a compatibility or interchanging of</w:t>
      </w:r>
      <w:r w:rsidR="00673923" w:rsidRPr="00021437">
        <w:t xml:space="preserve"> parts, inte</w:t>
      </w:r>
      <w:r w:rsidR="006470FE" w:rsidRPr="00021437">
        <w:t>g</w:t>
      </w:r>
      <w:r w:rsidR="00673923" w:rsidRPr="00021437">
        <w:t>ral to existing equipment</w:t>
      </w:r>
      <w:r w:rsidR="006470FE" w:rsidRPr="00021437">
        <w:t xml:space="preserve"> or performing </w:t>
      </w:r>
      <w:r w:rsidR="001660C3" w:rsidRPr="00021437">
        <w:t>specific functions critical to the operational success of a program</w:t>
      </w:r>
      <w:r w:rsidR="00544A6A" w:rsidRPr="00021437">
        <w:t xml:space="preserve">. </w:t>
      </w:r>
      <w:r w:rsidR="00D17B4B" w:rsidRPr="00021437">
        <w:t xml:space="preserve"> </w:t>
      </w:r>
      <w:r w:rsidR="00544A6A" w:rsidRPr="00021437">
        <w:t>A “No Substitute</w:t>
      </w:r>
      <w:r w:rsidR="00CF12EB" w:rsidRPr="00021437">
        <w:t>” requires a s</w:t>
      </w:r>
      <w:r w:rsidR="004C1FB3" w:rsidRPr="00021437">
        <w:t xml:space="preserve">pecific product or good, but that good may be </w:t>
      </w:r>
      <w:r w:rsidR="00D17B4B" w:rsidRPr="00021437">
        <w:t xml:space="preserve">fulfilled competitively by multiple suppliers.  </w:t>
      </w:r>
      <w:r w:rsidR="00AE6B32" w:rsidRPr="00021437">
        <w:t>Answers to the</w:t>
      </w:r>
      <w:r w:rsidR="00AE6B32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15" w:anchor="_3-1" w:history="1">
        <w:r w:rsidR="00D17B4B" w:rsidRPr="00E46ECF">
          <w:rPr>
            <w:rFonts w:eastAsia="Times New Roman" w:cstheme="minorHAnsi"/>
            <w:color w:val="A4131D"/>
            <w:u w:val="single"/>
            <w:lang w:eastAsia="en-CA"/>
          </w:rPr>
          <w:t>Annex 3.1: Treasury Board questions for sole source</w:t>
        </w:r>
      </w:hyperlink>
      <w:r w:rsidR="00D17B4B" w:rsidRPr="00E46ECF">
        <w:rPr>
          <w:rFonts w:eastAsia="Times New Roman" w:cstheme="minorHAnsi"/>
          <w:color w:val="333333"/>
          <w:lang w:eastAsia="en-CA"/>
        </w:rPr>
        <w:t> </w:t>
      </w:r>
      <w:r w:rsidR="00AE6B32">
        <w:rPr>
          <w:rFonts w:eastAsia="Times New Roman" w:cstheme="minorHAnsi"/>
          <w:color w:val="333333"/>
          <w:lang w:eastAsia="en-CA"/>
        </w:rPr>
        <w:t xml:space="preserve">must be provided for the request to be considered.  </w:t>
      </w:r>
    </w:p>
    <w:p w14:paraId="70913D95" w14:textId="77777777" w:rsidR="00D17B4B" w:rsidRPr="00CF12EB" w:rsidRDefault="00D17B4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</w:rPr>
      </w:pPr>
    </w:p>
    <w:p w14:paraId="2D36B5E2" w14:textId="77777777" w:rsidR="0047130B" w:rsidRDefault="0047130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  <w:highlight w:val="yellow"/>
        </w:rPr>
      </w:pPr>
    </w:p>
    <w:p w14:paraId="546AD1F4" w14:textId="77777777" w:rsidR="0047130B" w:rsidRDefault="0047130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  <w:highlight w:val="yellow"/>
        </w:rPr>
      </w:pPr>
    </w:p>
    <w:p w14:paraId="691E8BA2" w14:textId="77777777" w:rsidR="0047130B" w:rsidRDefault="0047130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  <w:highlight w:val="yellow"/>
        </w:rPr>
      </w:pPr>
    </w:p>
    <w:p w14:paraId="74DDEB91" w14:textId="77777777" w:rsidR="007D7631" w:rsidRPr="00C94D40" w:rsidRDefault="007D7631" w:rsidP="00AF0F17">
      <w:pPr>
        <w:pStyle w:val="NoSpacing"/>
      </w:pPr>
    </w:p>
    <w:sectPr w:rsidR="007D7631" w:rsidRPr="00C94D40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5F3D" w14:textId="77777777" w:rsidR="0020308C" w:rsidRDefault="0020308C" w:rsidP="00722840">
      <w:pPr>
        <w:spacing w:after="0" w:line="240" w:lineRule="auto"/>
      </w:pPr>
      <w:r>
        <w:separator/>
      </w:r>
    </w:p>
  </w:endnote>
  <w:endnote w:type="continuationSeparator" w:id="0">
    <w:p w14:paraId="3D9F651A" w14:textId="77777777" w:rsidR="0020308C" w:rsidRDefault="0020308C" w:rsidP="0072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8054" w14:textId="77777777" w:rsidR="0020308C" w:rsidRDefault="0020308C" w:rsidP="00722840">
      <w:pPr>
        <w:spacing w:after="0" w:line="240" w:lineRule="auto"/>
      </w:pPr>
      <w:r>
        <w:separator/>
      </w:r>
    </w:p>
  </w:footnote>
  <w:footnote w:type="continuationSeparator" w:id="0">
    <w:p w14:paraId="522F2742" w14:textId="77777777" w:rsidR="0020308C" w:rsidRDefault="0020308C" w:rsidP="0072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A8E2" w14:textId="31F36F28" w:rsidR="00722840" w:rsidRPr="00980B07" w:rsidRDefault="006B5DDA" w:rsidP="00980B07">
    <w:pPr>
      <w:pStyle w:val="Header"/>
    </w:pPr>
    <w:r w:rsidRPr="00CA546A">
      <w:rPr>
        <w:noProof/>
      </w:rPr>
      <w:drawing>
        <wp:anchor distT="0" distB="0" distL="114300" distR="114300" simplePos="0" relativeHeight="251660288" behindDoc="0" locked="0" layoutInCell="1" allowOverlap="1" wp14:anchorId="62FC2B72" wp14:editId="4E9EB316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224915" cy="292100"/>
          <wp:effectExtent l="0" t="0" r="0" b="0"/>
          <wp:wrapNone/>
          <wp:docPr id="24" name="Picture 24" descr="Canad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nada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B07">
      <w:rPr>
        <w:noProof/>
      </w:rPr>
      <w:drawing>
        <wp:anchor distT="0" distB="0" distL="114300" distR="114300" simplePos="0" relativeHeight="251658240" behindDoc="0" locked="0" layoutInCell="1" allowOverlap="1" wp14:anchorId="5F10C7C0" wp14:editId="0FAB2E1E">
          <wp:simplePos x="0" y="0"/>
          <wp:positionH relativeFrom="page">
            <wp:posOffset>347345</wp:posOffset>
          </wp:positionH>
          <wp:positionV relativeFrom="page">
            <wp:posOffset>461010</wp:posOffset>
          </wp:positionV>
          <wp:extent cx="3238500" cy="228600"/>
          <wp:effectExtent l="0" t="0" r="0" b="0"/>
          <wp:wrapNone/>
          <wp:docPr id="1" name="Picture 1" descr="Public Services and Procurement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blic Services and Procurement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328"/>
    <w:multiLevelType w:val="multilevel"/>
    <w:tmpl w:val="75269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D5B38"/>
    <w:multiLevelType w:val="hybridMultilevel"/>
    <w:tmpl w:val="0B96F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A69"/>
    <w:multiLevelType w:val="multilevel"/>
    <w:tmpl w:val="A99C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C54C7"/>
    <w:multiLevelType w:val="hybridMultilevel"/>
    <w:tmpl w:val="50A8AE14"/>
    <w:lvl w:ilvl="0" w:tplc="BC0CA7B2">
      <w:start w:val="1"/>
      <w:numFmt w:val="lowerLetter"/>
      <w:lvlText w:val="%1)"/>
      <w:lvlJc w:val="left"/>
      <w:pPr>
        <w:ind w:left="424" w:hanging="296"/>
      </w:pPr>
      <w:rPr>
        <w:rFonts w:ascii="Calibri" w:eastAsia="Calibri" w:hAnsi="Calibri" w:cs="Calibri" w:hint="default"/>
        <w:color w:val="002050"/>
        <w:w w:val="105"/>
        <w:sz w:val="25"/>
        <w:szCs w:val="25"/>
      </w:rPr>
    </w:lvl>
    <w:lvl w:ilvl="1" w:tplc="D1067EC0">
      <w:numFmt w:val="bullet"/>
      <w:lvlText w:val="•"/>
      <w:lvlJc w:val="left"/>
      <w:pPr>
        <w:ind w:left="995" w:hanging="296"/>
      </w:pPr>
      <w:rPr>
        <w:rFonts w:hint="default"/>
      </w:rPr>
    </w:lvl>
    <w:lvl w:ilvl="2" w:tplc="21DEBBD0">
      <w:numFmt w:val="bullet"/>
      <w:lvlText w:val="•"/>
      <w:lvlJc w:val="left"/>
      <w:pPr>
        <w:ind w:left="1570" w:hanging="296"/>
      </w:pPr>
      <w:rPr>
        <w:rFonts w:hint="default"/>
      </w:rPr>
    </w:lvl>
    <w:lvl w:ilvl="3" w:tplc="D4F07F3C">
      <w:numFmt w:val="bullet"/>
      <w:lvlText w:val="•"/>
      <w:lvlJc w:val="left"/>
      <w:pPr>
        <w:ind w:left="2145" w:hanging="296"/>
      </w:pPr>
      <w:rPr>
        <w:rFonts w:hint="default"/>
      </w:rPr>
    </w:lvl>
    <w:lvl w:ilvl="4" w:tplc="9C888032">
      <w:numFmt w:val="bullet"/>
      <w:lvlText w:val="•"/>
      <w:lvlJc w:val="left"/>
      <w:pPr>
        <w:ind w:left="2720" w:hanging="296"/>
      </w:pPr>
      <w:rPr>
        <w:rFonts w:hint="default"/>
      </w:rPr>
    </w:lvl>
    <w:lvl w:ilvl="5" w:tplc="86D6408C">
      <w:numFmt w:val="bullet"/>
      <w:lvlText w:val="•"/>
      <w:lvlJc w:val="left"/>
      <w:pPr>
        <w:ind w:left="3295" w:hanging="296"/>
      </w:pPr>
      <w:rPr>
        <w:rFonts w:hint="default"/>
      </w:rPr>
    </w:lvl>
    <w:lvl w:ilvl="6" w:tplc="852087D0">
      <w:numFmt w:val="bullet"/>
      <w:lvlText w:val="•"/>
      <w:lvlJc w:val="left"/>
      <w:pPr>
        <w:ind w:left="3870" w:hanging="296"/>
      </w:pPr>
      <w:rPr>
        <w:rFonts w:hint="default"/>
      </w:rPr>
    </w:lvl>
    <w:lvl w:ilvl="7" w:tplc="A62C89DC">
      <w:numFmt w:val="bullet"/>
      <w:lvlText w:val="•"/>
      <w:lvlJc w:val="left"/>
      <w:pPr>
        <w:ind w:left="4445" w:hanging="296"/>
      </w:pPr>
      <w:rPr>
        <w:rFonts w:hint="default"/>
      </w:rPr>
    </w:lvl>
    <w:lvl w:ilvl="8" w:tplc="3D3228C2">
      <w:numFmt w:val="bullet"/>
      <w:lvlText w:val="•"/>
      <w:lvlJc w:val="left"/>
      <w:pPr>
        <w:ind w:left="5020" w:hanging="296"/>
      </w:pPr>
      <w:rPr>
        <w:rFonts w:hint="default"/>
      </w:rPr>
    </w:lvl>
  </w:abstractNum>
  <w:abstractNum w:abstractNumId="4" w15:restartNumberingAfterBreak="0">
    <w:nsid w:val="10454DFC"/>
    <w:multiLevelType w:val="hybridMultilevel"/>
    <w:tmpl w:val="C694C9C4"/>
    <w:lvl w:ilvl="0" w:tplc="F61AE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51AB"/>
    <w:multiLevelType w:val="hybridMultilevel"/>
    <w:tmpl w:val="65666D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67BC"/>
    <w:multiLevelType w:val="multilevel"/>
    <w:tmpl w:val="A8D8E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12C2E"/>
    <w:multiLevelType w:val="multilevel"/>
    <w:tmpl w:val="2FA060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4638F"/>
    <w:multiLevelType w:val="multilevel"/>
    <w:tmpl w:val="4FEEBE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15266"/>
    <w:multiLevelType w:val="multilevel"/>
    <w:tmpl w:val="D3C0EF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F7EE2"/>
    <w:multiLevelType w:val="hybridMultilevel"/>
    <w:tmpl w:val="CBE4931E"/>
    <w:lvl w:ilvl="0" w:tplc="6B90E2CC">
      <w:numFmt w:val="bullet"/>
      <w:lvlText w:val="•"/>
      <w:lvlJc w:val="left"/>
      <w:pPr>
        <w:ind w:left="1808" w:hanging="346"/>
      </w:pPr>
      <w:rPr>
        <w:rFonts w:ascii="Trebuchet MS" w:eastAsia="Trebuchet MS" w:hAnsi="Trebuchet MS" w:cs="Trebuchet MS" w:hint="default"/>
        <w:color w:val="002053"/>
        <w:w w:val="76"/>
        <w:sz w:val="30"/>
        <w:szCs w:val="30"/>
      </w:rPr>
    </w:lvl>
    <w:lvl w:ilvl="1" w:tplc="4E6E2DDE">
      <w:numFmt w:val="bullet"/>
      <w:lvlText w:val="•"/>
      <w:lvlJc w:val="left"/>
      <w:pPr>
        <w:ind w:left="2432" w:hanging="576"/>
      </w:pPr>
      <w:rPr>
        <w:rFonts w:ascii="Tahoma" w:eastAsia="Tahoma" w:hAnsi="Tahoma" w:cs="Tahoma" w:hint="default"/>
        <w:color w:val="002053"/>
        <w:w w:val="84"/>
        <w:position w:val="3"/>
        <w:sz w:val="27"/>
        <w:szCs w:val="27"/>
      </w:rPr>
    </w:lvl>
    <w:lvl w:ilvl="2" w:tplc="05A292F2">
      <w:numFmt w:val="bullet"/>
      <w:lvlText w:val="•"/>
      <w:lvlJc w:val="left"/>
      <w:pPr>
        <w:ind w:left="3280" w:hanging="576"/>
      </w:pPr>
      <w:rPr>
        <w:rFonts w:hint="default"/>
      </w:rPr>
    </w:lvl>
    <w:lvl w:ilvl="3" w:tplc="BA26E3CC">
      <w:numFmt w:val="bullet"/>
      <w:lvlText w:val="•"/>
      <w:lvlJc w:val="left"/>
      <w:pPr>
        <w:ind w:left="4120" w:hanging="576"/>
      </w:pPr>
      <w:rPr>
        <w:rFonts w:hint="default"/>
      </w:rPr>
    </w:lvl>
    <w:lvl w:ilvl="4" w:tplc="C74E80E6">
      <w:numFmt w:val="bullet"/>
      <w:lvlText w:val="•"/>
      <w:lvlJc w:val="left"/>
      <w:pPr>
        <w:ind w:left="4960" w:hanging="576"/>
      </w:pPr>
      <w:rPr>
        <w:rFonts w:hint="default"/>
      </w:rPr>
    </w:lvl>
    <w:lvl w:ilvl="5" w:tplc="6636817A">
      <w:numFmt w:val="bullet"/>
      <w:lvlText w:val="•"/>
      <w:lvlJc w:val="left"/>
      <w:pPr>
        <w:ind w:left="5800" w:hanging="576"/>
      </w:pPr>
      <w:rPr>
        <w:rFonts w:hint="default"/>
      </w:rPr>
    </w:lvl>
    <w:lvl w:ilvl="6" w:tplc="B448A7A6">
      <w:numFmt w:val="bullet"/>
      <w:lvlText w:val="•"/>
      <w:lvlJc w:val="left"/>
      <w:pPr>
        <w:ind w:left="6640" w:hanging="576"/>
      </w:pPr>
      <w:rPr>
        <w:rFonts w:hint="default"/>
      </w:rPr>
    </w:lvl>
    <w:lvl w:ilvl="7" w:tplc="21621DA2">
      <w:numFmt w:val="bullet"/>
      <w:lvlText w:val="•"/>
      <w:lvlJc w:val="left"/>
      <w:pPr>
        <w:ind w:left="7480" w:hanging="576"/>
      </w:pPr>
      <w:rPr>
        <w:rFonts w:hint="default"/>
      </w:rPr>
    </w:lvl>
    <w:lvl w:ilvl="8" w:tplc="4412C582">
      <w:numFmt w:val="bullet"/>
      <w:lvlText w:val="•"/>
      <w:lvlJc w:val="left"/>
      <w:pPr>
        <w:ind w:left="8320" w:hanging="576"/>
      </w:pPr>
      <w:rPr>
        <w:rFonts w:hint="default"/>
      </w:rPr>
    </w:lvl>
  </w:abstractNum>
  <w:abstractNum w:abstractNumId="11" w15:restartNumberingAfterBreak="0">
    <w:nsid w:val="4790235B"/>
    <w:multiLevelType w:val="hybridMultilevel"/>
    <w:tmpl w:val="333CF47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92CE5"/>
    <w:multiLevelType w:val="multilevel"/>
    <w:tmpl w:val="EC226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E0E23"/>
    <w:multiLevelType w:val="multilevel"/>
    <w:tmpl w:val="1E447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21F6C"/>
    <w:multiLevelType w:val="multilevel"/>
    <w:tmpl w:val="71C8A6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41A42"/>
    <w:multiLevelType w:val="multilevel"/>
    <w:tmpl w:val="2AAED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585582">
    <w:abstractNumId w:val="10"/>
  </w:num>
  <w:num w:numId="2" w16cid:durableId="1302466706">
    <w:abstractNumId w:val="3"/>
  </w:num>
  <w:num w:numId="3" w16cid:durableId="429393482">
    <w:abstractNumId w:val="0"/>
  </w:num>
  <w:num w:numId="4" w16cid:durableId="117260914">
    <w:abstractNumId w:val="2"/>
  </w:num>
  <w:num w:numId="5" w16cid:durableId="1184586044">
    <w:abstractNumId w:val="1"/>
  </w:num>
  <w:num w:numId="6" w16cid:durableId="2058118292">
    <w:abstractNumId w:val="11"/>
  </w:num>
  <w:num w:numId="7" w16cid:durableId="1358847693">
    <w:abstractNumId w:val="5"/>
  </w:num>
  <w:num w:numId="8" w16cid:durableId="2055932319">
    <w:abstractNumId w:val="8"/>
  </w:num>
  <w:num w:numId="9" w16cid:durableId="216405970">
    <w:abstractNumId w:val="6"/>
  </w:num>
  <w:num w:numId="10" w16cid:durableId="301152366">
    <w:abstractNumId w:val="15"/>
  </w:num>
  <w:num w:numId="11" w16cid:durableId="625550467">
    <w:abstractNumId w:val="7"/>
  </w:num>
  <w:num w:numId="12" w16cid:durableId="1891456748">
    <w:abstractNumId w:val="9"/>
  </w:num>
  <w:num w:numId="13" w16cid:durableId="1746292570">
    <w:abstractNumId w:val="14"/>
  </w:num>
  <w:num w:numId="14" w16cid:durableId="1815370866">
    <w:abstractNumId w:val="13"/>
  </w:num>
  <w:num w:numId="15" w16cid:durableId="2022316016">
    <w:abstractNumId w:val="4"/>
  </w:num>
  <w:num w:numId="16" w16cid:durableId="2056077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40"/>
    <w:rsid w:val="00021437"/>
    <w:rsid w:val="0004689E"/>
    <w:rsid w:val="00064232"/>
    <w:rsid w:val="0007083B"/>
    <w:rsid w:val="00073DFF"/>
    <w:rsid w:val="0008160D"/>
    <w:rsid w:val="00083356"/>
    <w:rsid w:val="000B3FA4"/>
    <w:rsid w:val="00104C5E"/>
    <w:rsid w:val="00125C2E"/>
    <w:rsid w:val="00137D5A"/>
    <w:rsid w:val="001463D3"/>
    <w:rsid w:val="001660C3"/>
    <w:rsid w:val="0017402C"/>
    <w:rsid w:val="001839E2"/>
    <w:rsid w:val="001E3F39"/>
    <w:rsid w:val="0020308C"/>
    <w:rsid w:val="0022134F"/>
    <w:rsid w:val="002271C5"/>
    <w:rsid w:val="00247446"/>
    <w:rsid w:val="00292F4C"/>
    <w:rsid w:val="003334F5"/>
    <w:rsid w:val="003402C0"/>
    <w:rsid w:val="00351BAA"/>
    <w:rsid w:val="003C3865"/>
    <w:rsid w:val="00415344"/>
    <w:rsid w:val="00431C2C"/>
    <w:rsid w:val="004567EF"/>
    <w:rsid w:val="0045688F"/>
    <w:rsid w:val="004670CF"/>
    <w:rsid w:val="0047130B"/>
    <w:rsid w:val="00487C49"/>
    <w:rsid w:val="004A5A4A"/>
    <w:rsid w:val="004A73AE"/>
    <w:rsid w:val="004B34A6"/>
    <w:rsid w:val="004C1FB3"/>
    <w:rsid w:val="00532D0E"/>
    <w:rsid w:val="00540922"/>
    <w:rsid w:val="00544A6A"/>
    <w:rsid w:val="005D322E"/>
    <w:rsid w:val="006470FE"/>
    <w:rsid w:val="00673923"/>
    <w:rsid w:val="00677F0E"/>
    <w:rsid w:val="006B5DDA"/>
    <w:rsid w:val="006C267C"/>
    <w:rsid w:val="006C4BA4"/>
    <w:rsid w:val="006C5894"/>
    <w:rsid w:val="00722840"/>
    <w:rsid w:val="00731F00"/>
    <w:rsid w:val="007325F1"/>
    <w:rsid w:val="0077032B"/>
    <w:rsid w:val="00780E16"/>
    <w:rsid w:val="007D51F3"/>
    <w:rsid w:val="007D7631"/>
    <w:rsid w:val="007F18B6"/>
    <w:rsid w:val="00801FCB"/>
    <w:rsid w:val="00821BAC"/>
    <w:rsid w:val="008549FE"/>
    <w:rsid w:val="00891DA2"/>
    <w:rsid w:val="008B1DA6"/>
    <w:rsid w:val="008C2238"/>
    <w:rsid w:val="008F59F4"/>
    <w:rsid w:val="00945F0F"/>
    <w:rsid w:val="009530CE"/>
    <w:rsid w:val="00980B07"/>
    <w:rsid w:val="009873D0"/>
    <w:rsid w:val="009F15B5"/>
    <w:rsid w:val="00A00B6D"/>
    <w:rsid w:val="00A01621"/>
    <w:rsid w:val="00A652EC"/>
    <w:rsid w:val="00A8636D"/>
    <w:rsid w:val="00AA0525"/>
    <w:rsid w:val="00AD4280"/>
    <w:rsid w:val="00AE6B32"/>
    <w:rsid w:val="00AF0F17"/>
    <w:rsid w:val="00B21390"/>
    <w:rsid w:val="00B55291"/>
    <w:rsid w:val="00BB47F1"/>
    <w:rsid w:val="00C160D8"/>
    <w:rsid w:val="00C16507"/>
    <w:rsid w:val="00C94D40"/>
    <w:rsid w:val="00CC720C"/>
    <w:rsid w:val="00CD14CC"/>
    <w:rsid w:val="00CD3515"/>
    <w:rsid w:val="00CF12EB"/>
    <w:rsid w:val="00CF17C8"/>
    <w:rsid w:val="00CF6A01"/>
    <w:rsid w:val="00CF6F60"/>
    <w:rsid w:val="00D050F9"/>
    <w:rsid w:val="00D17B4B"/>
    <w:rsid w:val="00D57987"/>
    <w:rsid w:val="00D91960"/>
    <w:rsid w:val="00DA3C60"/>
    <w:rsid w:val="00DD2172"/>
    <w:rsid w:val="00DD59AC"/>
    <w:rsid w:val="00DF6F3A"/>
    <w:rsid w:val="00E1186B"/>
    <w:rsid w:val="00E14F46"/>
    <w:rsid w:val="00E2102F"/>
    <w:rsid w:val="00E3625D"/>
    <w:rsid w:val="00E46ECF"/>
    <w:rsid w:val="00EB72DE"/>
    <w:rsid w:val="00F161DA"/>
    <w:rsid w:val="00F373BD"/>
    <w:rsid w:val="00FC7BF7"/>
    <w:rsid w:val="00FD2381"/>
    <w:rsid w:val="00FF4AE4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203A4"/>
  <w15:chartTrackingRefBased/>
  <w15:docId w15:val="{773FA927-FB72-4A26-8A31-C2B5CD7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94D40"/>
    <w:pPr>
      <w:widowControl w:val="0"/>
      <w:autoSpaceDE w:val="0"/>
      <w:autoSpaceDN w:val="0"/>
      <w:spacing w:after="0" w:line="240" w:lineRule="auto"/>
      <w:outlineLvl w:val="2"/>
    </w:pPr>
    <w:rPr>
      <w:rFonts w:ascii="Arial Black" w:eastAsia="Arial Black" w:hAnsi="Arial Black" w:cs="Arial Black"/>
      <w:b/>
      <w:bCs/>
      <w:sz w:val="33"/>
      <w:szCs w:val="33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C94D40"/>
    <w:pPr>
      <w:widowControl w:val="0"/>
      <w:autoSpaceDE w:val="0"/>
      <w:autoSpaceDN w:val="0"/>
      <w:spacing w:after="0" w:line="447" w:lineRule="exact"/>
      <w:ind w:left="4"/>
      <w:outlineLvl w:val="3"/>
    </w:pPr>
    <w:rPr>
      <w:rFonts w:ascii="Lucida Sans Unicode" w:eastAsia="Lucida Sans Unicode" w:hAnsi="Lucida Sans Unicode" w:cs="Lucida Sans Unicode"/>
      <w:sz w:val="30"/>
      <w:szCs w:val="30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C94D40"/>
    <w:pPr>
      <w:widowControl w:val="0"/>
      <w:autoSpaceDE w:val="0"/>
      <w:autoSpaceDN w:val="0"/>
      <w:spacing w:after="0" w:line="240" w:lineRule="auto"/>
      <w:outlineLvl w:val="4"/>
    </w:pPr>
    <w:rPr>
      <w:rFonts w:ascii="Tahoma" w:eastAsia="Tahoma" w:hAnsi="Tahoma" w:cs="Tahom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D40"/>
    <w:rPr>
      <w:rFonts w:ascii="Arial Black" w:eastAsia="Arial Black" w:hAnsi="Arial Black" w:cs="Arial Black"/>
      <w:b/>
      <w:bCs/>
      <w:sz w:val="33"/>
      <w:szCs w:val="33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4D40"/>
    <w:rPr>
      <w:rFonts w:ascii="Lucida Sans Unicode" w:eastAsia="Lucida Sans Unicode" w:hAnsi="Lucida Sans Unicode" w:cs="Lucida Sans Unicode"/>
      <w:sz w:val="30"/>
      <w:szCs w:val="3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94D40"/>
    <w:rPr>
      <w:rFonts w:ascii="Tahoma" w:eastAsia="Tahoma" w:hAnsi="Tahoma" w:cs="Tahoma"/>
      <w:sz w:val="27"/>
      <w:szCs w:val="27"/>
      <w:lang w:val="en-US"/>
    </w:rPr>
  </w:style>
  <w:style w:type="paragraph" w:styleId="ListParagraph">
    <w:name w:val="List Paragraph"/>
    <w:basedOn w:val="Normal"/>
    <w:uiPriority w:val="1"/>
    <w:qFormat/>
    <w:rsid w:val="00C94D40"/>
    <w:pPr>
      <w:widowControl w:val="0"/>
      <w:autoSpaceDE w:val="0"/>
      <w:autoSpaceDN w:val="0"/>
      <w:spacing w:after="0" w:line="240" w:lineRule="auto"/>
      <w:ind w:left="2378" w:hanging="562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CF1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F17C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F17C8"/>
  </w:style>
  <w:style w:type="character" w:customStyle="1" w:styleId="Heading1Char">
    <w:name w:val="Heading 1 Char"/>
    <w:basedOn w:val="DefaultParagraphFont"/>
    <w:link w:val="Heading1"/>
    <w:uiPriority w:val="9"/>
    <w:rsid w:val="00AF0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AF0F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40"/>
  </w:style>
  <w:style w:type="paragraph" w:styleId="Footer">
    <w:name w:val="footer"/>
    <w:basedOn w:val="Normal"/>
    <w:link w:val="FooterChar"/>
    <w:uiPriority w:val="99"/>
    <w:unhideWhenUsed/>
    <w:rsid w:val="0072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40"/>
  </w:style>
  <w:style w:type="character" w:styleId="Hyperlink">
    <w:name w:val="Hyperlink"/>
    <w:basedOn w:val="DefaultParagraphFont"/>
    <w:uiPriority w:val="99"/>
    <w:unhideWhenUsed/>
    <w:rsid w:val="00227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1C5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A01621"/>
  </w:style>
  <w:style w:type="character" w:styleId="FollowedHyperlink">
    <w:name w:val="FollowedHyperlink"/>
    <w:basedOn w:val="DefaultParagraphFont"/>
    <w:uiPriority w:val="99"/>
    <w:semiHidden/>
    <w:unhideWhenUsed/>
    <w:rsid w:val="00146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buys.canada.ca/en/how-procurement-works/policies-and-guidelines/supply-manual/chapter-3-annexes" TargetMode="External"/><Relationship Id="rId13" Type="http://schemas.openxmlformats.org/officeDocument/2006/relationships/hyperlink" Target="https://canadabuys.canada.ca/en/how-procurement-works/policies-and-guidelines/supply-manual/chapter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s-lois.justice.gc.ca/eng/regulations/SOR-87-402/FullText.html" TargetMode="External"/><Relationship Id="rId12" Type="http://schemas.openxmlformats.org/officeDocument/2006/relationships/hyperlink" Target="https://canadabuys.canada.ca/en/how-procurement-works/policies-and-guidelines/supply-manual/chapter-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s-lois.justice.gc.ca/eng/regulations/sor-87-402/fulltex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nadabuys.canada.ca/en/how-procurement-works/policies-and-guidelines/supply-manual/chapter-3-annexes" TargetMode="External"/><Relationship Id="rId10" Type="http://schemas.openxmlformats.org/officeDocument/2006/relationships/hyperlink" Target="https://canadabuys.canada.ca/en/how-procurement-works/policies-and-guidelines/supply-manual/chapter-3-annex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s-lois.justice.gc.ca/eng/regulations/SOR-87-402/FullText.html" TargetMode="External"/><Relationship Id="rId14" Type="http://schemas.openxmlformats.org/officeDocument/2006/relationships/hyperlink" Target="https://canadabuys.canada.ca/en/how-procurement-works/policies-and-guidelines/supply-manual/chapter-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Kozak, Tammy (SPAC/PSPC)</dc:creator>
  <cp:keywords/>
  <dc:description/>
  <cp:lastModifiedBy>Kozak, Tammy (SPAC/PSPC)</cp:lastModifiedBy>
  <cp:revision>2</cp:revision>
  <dcterms:created xsi:type="dcterms:W3CDTF">2023-10-30T17:21:00Z</dcterms:created>
  <dcterms:modified xsi:type="dcterms:W3CDTF">2023-10-30T17:21:00Z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2023-10-03T20:06:44Z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1ec14bbb-7c97-452b-9e9b-cccf8b71f922</vt:lpwstr>
  </property>
  <property fmtid="{D5CDD505-2E9C-101B-9397-08002B2CF9AE}" pid="8" name="MSIP_Label_834ed4f5-eae4-40c7-82be-b1cdf720a1b9_ContentBits">
    <vt:lpwstr>0</vt:lpwstr>
  </property>
</Properties>
</file>