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B748" w14:textId="27F9F05A" w:rsidR="009A4DE3" w:rsidRPr="007E78C3" w:rsidRDefault="009453A6">
      <w:pPr>
        <w:rPr>
          <w:b/>
          <w:bCs/>
          <w:sz w:val="28"/>
          <w:szCs w:val="28"/>
          <w:u w:val="single"/>
        </w:rPr>
      </w:pPr>
      <w:r>
        <w:rPr>
          <w:b/>
          <w:sz w:val="28"/>
          <w:u w:val="single"/>
        </w:rPr>
        <w:t>QUESTIONS ET RÉPONSES</w:t>
      </w:r>
      <w:r w:rsidR="003A1A79">
        <w:rPr>
          <w:b/>
          <w:sz w:val="28"/>
          <w:u w:val="single"/>
        </w:rPr>
        <w:t> </w:t>
      </w:r>
      <w:r>
        <w:rPr>
          <w:b/>
          <w:sz w:val="28"/>
          <w:u w:val="single"/>
        </w:rPr>
        <w:t>: NORME ANSI/BIFMA</w:t>
      </w:r>
      <w:r w:rsidR="003A1A79">
        <w:rPr>
          <w:b/>
          <w:sz w:val="28"/>
          <w:u w:val="single"/>
        </w:rPr>
        <w:t> </w:t>
      </w:r>
      <w:r>
        <w:rPr>
          <w:b/>
          <w:sz w:val="28"/>
          <w:u w:val="single"/>
        </w:rPr>
        <w:t xml:space="preserve">e3 </w:t>
      </w:r>
      <w:r w:rsidR="003A1A79">
        <w:rPr>
          <w:b/>
          <w:sz w:val="28"/>
          <w:u w:val="single"/>
        </w:rPr>
        <w:t>–</w:t>
      </w:r>
      <w:r>
        <w:rPr>
          <w:b/>
          <w:sz w:val="28"/>
          <w:u w:val="single"/>
        </w:rPr>
        <w:t xml:space="preserve"> NIVEAUX</w:t>
      </w:r>
      <w:r w:rsidR="00F474EE">
        <w:rPr>
          <w:b/>
          <w:sz w:val="28"/>
          <w:u w:val="single"/>
        </w:rPr>
        <w:t xml:space="preserve"> (LEVELS)</w:t>
      </w:r>
    </w:p>
    <w:tbl>
      <w:tblPr>
        <w:tblStyle w:val="TableGrid"/>
        <w:tblW w:w="9535" w:type="dxa"/>
        <w:tblLook w:val="04A0" w:firstRow="1" w:lastRow="0" w:firstColumn="1" w:lastColumn="0" w:noHBand="0" w:noVBand="1"/>
      </w:tblPr>
      <w:tblGrid>
        <w:gridCol w:w="352"/>
        <w:gridCol w:w="3957"/>
        <w:gridCol w:w="5226"/>
      </w:tblGrid>
      <w:tr w:rsidR="009A4DE3" w14:paraId="580A260B" w14:textId="77777777" w:rsidTr="009C7568">
        <w:tc>
          <w:tcPr>
            <w:tcW w:w="4309" w:type="dxa"/>
            <w:gridSpan w:val="2"/>
          </w:tcPr>
          <w:p w14:paraId="4F901DF5" w14:textId="77777777" w:rsidR="009A4DE3" w:rsidRPr="009C7568" w:rsidRDefault="009A4DE3">
            <w:pPr>
              <w:rPr>
                <w:b/>
                <w:bCs/>
              </w:rPr>
            </w:pPr>
            <w:r>
              <w:rPr>
                <w:b/>
              </w:rPr>
              <w:t>QUESTIONS</w:t>
            </w:r>
          </w:p>
        </w:tc>
        <w:tc>
          <w:tcPr>
            <w:tcW w:w="5226" w:type="dxa"/>
          </w:tcPr>
          <w:p w14:paraId="66DA1951" w14:textId="77777777" w:rsidR="009A4DE3" w:rsidRPr="009C7568" w:rsidRDefault="009A4DE3">
            <w:pPr>
              <w:rPr>
                <w:b/>
                <w:bCs/>
              </w:rPr>
            </w:pPr>
            <w:r>
              <w:rPr>
                <w:b/>
              </w:rPr>
              <w:t>RÉPONSES</w:t>
            </w:r>
          </w:p>
        </w:tc>
      </w:tr>
      <w:tr w:rsidR="00042D35" w14:paraId="6F1DC61D" w14:textId="77777777" w:rsidTr="009C7568">
        <w:tc>
          <w:tcPr>
            <w:tcW w:w="352" w:type="dxa"/>
          </w:tcPr>
          <w:p w14:paraId="69533FF6" w14:textId="6D84EFA5" w:rsidR="00042D35" w:rsidRDefault="00451325">
            <w:pPr>
              <w:rPr>
                <w:rFonts w:eastAsia="Times New Roman"/>
              </w:rPr>
            </w:pPr>
            <w:r>
              <w:t>1</w:t>
            </w:r>
          </w:p>
        </w:tc>
        <w:tc>
          <w:tcPr>
            <w:tcW w:w="3957" w:type="dxa"/>
          </w:tcPr>
          <w:p w14:paraId="654FA16B" w14:textId="11CE54DD" w:rsidR="003C76EA" w:rsidRDefault="00042D35">
            <w:r>
              <w:t xml:space="preserve">Qu’est-ce que la </w:t>
            </w:r>
            <w:r>
              <w:rPr>
                <w:b/>
                <w:bCs/>
              </w:rPr>
              <w:t>norme BIFMA</w:t>
            </w:r>
            <w:r w:rsidR="003A1A79">
              <w:rPr>
                <w:b/>
                <w:bCs/>
              </w:rPr>
              <w:t> </w:t>
            </w:r>
            <w:r>
              <w:rPr>
                <w:b/>
                <w:bCs/>
              </w:rPr>
              <w:t>e3</w:t>
            </w:r>
            <w:r>
              <w:t xml:space="preserve">? </w:t>
            </w:r>
          </w:p>
          <w:p w14:paraId="3779E267" w14:textId="77777777" w:rsidR="003C76EA" w:rsidRDefault="003C76EA"/>
          <w:p w14:paraId="17E28584" w14:textId="53613C2D" w:rsidR="00042D35" w:rsidRDefault="003C76EA">
            <w:r>
              <w:t>…et à quoi correspondent les</w:t>
            </w:r>
            <w:r>
              <w:rPr>
                <w:b/>
              </w:rPr>
              <w:t xml:space="preserve"> NIVEAUX</w:t>
            </w:r>
            <w:r w:rsidR="002003D3">
              <w:rPr>
                <w:b/>
              </w:rPr>
              <w:t xml:space="preserve"> (LEVELS)</w:t>
            </w:r>
            <w:r>
              <w:t>?</w:t>
            </w:r>
          </w:p>
          <w:p w14:paraId="390E6DA9" w14:textId="77777777" w:rsidR="003C76EA" w:rsidRDefault="003C76EA"/>
          <w:p w14:paraId="39C9A200" w14:textId="08253A61" w:rsidR="00042D35" w:rsidRDefault="003C76EA">
            <w:r>
              <w:rPr>
                <w:noProof/>
              </w:rPr>
              <w:drawing>
                <wp:inline distT="0" distB="0" distL="0" distR="0" wp14:anchorId="173D4ABF" wp14:editId="1D299332">
                  <wp:extent cx="2228850" cy="65738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7403" cy="671707"/>
                          </a:xfrm>
                          <a:prstGeom prst="rect">
                            <a:avLst/>
                          </a:prstGeom>
                        </pic:spPr>
                      </pic:pic>
                    </a:graphicData>
                  </a:graphic>
                </wp:inline>
              </w:drawing>
            </w:r>
          </w:p>
        </w:tc>
        <w:tc>
          <w:tcPr>
            <w:tcW w:w="5226" w:type="dxa"/>
          </w:tcPr>
          <w:p w14:paraId="28FE614C" w14:textId="431B088A" w:rsidR="00042D35" w:rsidRPr="009F1F2B" w:rsidRDefault="00042D35" w:rsidP="00042D35">
            <w:pPr>
              <w:pStyle w:val="NormalWeb"/>
              <w:shd w:val="clear" w:color="auto" w:fill="FFFFFF"/>
              <w:spacing w:before="0" w:beforeAutospacing="0" w:after="150" w:afterAutospacing="0"/>
              <w:rPr>
                <w:rFonts w:asciiTheme="minorHAnsi" w:hAnsiTheme="minorHAnsi" w:cstheme="minorHAnsi"/>
                <w:color w:val="4472C4" w:themeColor="accent1"/>
                <w:sz w:val="22"/>
                <w:szCs w:val="22"/>
              </w:rPr>
            </w:pPr>
            <w:r>
              <w:rPr>
                <w:rFonts w:asciiTheme="minorHAnsi" w:hAnsiTheme="minorHAnsi"/>
                <w:color w:val="4472C4" w:themeColor="accent1"/>
                <w:sz w:val="22"/>
              </w:rPr>
              <w:t>La norme ANSI/BIFMA</w:t>
            </w:r>
            <w:r w:rsidR="003A1A79">
              <w:rPr>
                <w:rFonts w:asciiTheme="minorHAnsi" w:hAnsiTheme="minorHAnsi"/>
                <w:color w:val="4472C4" w:themeColor="accent1"/>
                <w:sz w:val="22"/>
              </w:rPr>
              <w:t> </w:t>
            </w:r>
            <w:r>
              <w:rPr>
                <w:rFonts w:asciiTheme="minorHAnsi" w:hAnsiTheme="minorHAnsi"/>
                <w:color w:val="4472C4" w:themeColor="accent1"/>
                <w:sz w:val="22"/>
              </w:rPr>
              <w:t xml:space="preserve">E3 – Furniture </w:t>
            </w:r>
            <w:proofErr w:type="spellStart"/>
            <w:r>
              <w:rPr>
                <w:rFonts w:asciiTheme="minorHAnsi" w:hAnsiTheme="minorHAnsi"/>
                <w:color w:val="4472C4" w:themeColor="accent1"/>
                <w:sz w:val="22"/>
              </w:rPr>
              <w:t>Sustainability</w:t>
            </w:r>
            <w:proofErr w:type="spellEnd"/>
            <w:r>
              <w:rPr>
                <w:rFonts w:asciiTheme="minorHAnsi" w:hAnsiTheme="minorHAnsi"/>
                <w:color w:val="4472C4" w:themeColor="accent1"/>
                <w:sz w:val="22"/>
              </w:rPr>
              <w:t xml:space="preserve"> Standard est une </w:t>
            </w:r>
            <w:r>
              <w:rPr>
                <w:rFonts w:asciiTheme="minorHAnsi" w:hAnsiTheme="minorHAnsi"/>
                <w:b/>
                <w:color w:val="4472C4" w:themeColor="accent1"/>
                <w:sz w:val="22"/>
              </w:rPr>
              <w:t>norme volontaire utilisée pour établir des critères de performance pour le produit, son lieu de fabrication et son organisation</w:t>
            </w:r>
            <w:r>
              <w:rPr>
                <w:rFonts w:asciiTheme="minorHAnsi" w:hAnsiTheme="minorHAnsi"/>
                <w:color w:val="4472C4" w:themeColor="accent1"/>
                <w:sz w:val="22"/>
              </w:rPr>
              <w:t>, qui évalue trois éléments</w:t>
            </w:r>
            <w:r w:rsidR="003A1A79">
              <w:rPr>
                <w:rFonts w:asciiTheme="minorHAnsi" w:hAnsiTheme="minorHAnsi"/>
                <w:color w:val="4472C4" w:themeColor="accent1"/>
                <w:sz w:val="22"/>
              </w:rPr>
              <w:t> </w:t>
            </w:r>
            <w:r>
              <w:rPr>
                <w:rFonts w:asciiTheme="minorHAnsi" w:hAnsiTheme="minorHAnsi"/>
                <w:color w:val="4472C4" w:themeColor="accent1"/>
                <w:sz w:val="22"/>
              </w:rPr>
              <w:t xml:space="preserve">: les impacts environnementaux, sanitaires et sociaux.  </w:t>
            </w:r>
          </w:p>
          <w:p w14:paraId="616DD125" w14:textId="17D18971" w:rsidR="0036782B" w:rsidRDefault="000B59F4" w:rsidP="00042D35">
            <w:pPr>
              <w:pStyle w:val="NormalWeb"/>
              <w:shd w:val="clear" w:color="auto" w:fill="FFFFFF"/>
              <w:spacing w:before="0" w:beforeAutospacing="0" w:after="150" w:afterAutospacing="0"/>
              <w:rPr>
                <w:rFonts w:asciiTheme="minorHAnsi" w:hAnsiTheme="minorHAnsi" w:cstheme="minorHAnsi"/>
                <w:color w:val="4472C4" w:themeColor="accent1"/>
                <w:sz w:val="22"/>
                <w:szCs w:val="22"/>
              </w:rPr>
            </w:pPr>
            <w:bookmarkStart w:id="0" w:name="Organizations"/>
            <w:r>
              <w:rPr>
                <w:rFonts w:asciiTheme="minorHAnsi" w:hAnsiTheme="minorHAnsi"/>
                <w:color w:val="4472C4" w:themeColor="accent1"/>
                <w:sz w:val="22"/>
              </w:rPr>
              <w:t>Les organisations</w:t>
            </w:r>
            <w:bookmarkEnd w:id="0"/>
            <w:r>
              <w:rPr>
                <w:rFonts w:asciiTheme="minorHAnsi" w:hAnsiTheme="minorHAnsi"/>
                <w:color w:val="4472C4" w:themeColor="accent1"/>
                <w:sz w:val="22"/>
              </w:rPr>
              <w:t xml:space="preserve"> peuvent respecter cette norme par l’entremise </w:t>
            </w:r>
            <w:r>
              <w:rPr>
                <w:rFonts w:asciiTheme="minorHAnsi" w:hAnsiTheme="minorHAnsi"/>
                <w:b/>
                <w:color w:val="4472C4" w:themeColor="accent1"/>
                <w:sz w:val="22"/>
              </w:rPr>
              <w:t xml:space="preserve">de divers crédits préalables </w:t>
            </w:r>
            <w:r>
              <w:rPr>
                <w:rFonts w:asciiTheme="minorHAnsi" w:hAnsiTheme="minorHAnsi"/>
                <w:color w:val="4472C4" w:themeColor="accent1"/>
                <w:sz w:val="22"/>
              </w:rPr>
              <w:t>(</w:t>
            </w:r>
            <w:r>
              <w:rPr>
                <w:rFonts w:asciiTheme="minorHAnsi" w:hAnsiTheme="minorHAnsi"/>
                <w:i/>
                <w:color w:val="4472C4" w:themeColor="accent1"/>
                <w:sz w:val="22"/>
              </w:rPr>
              <w:t>8 points</w:t>
            </w:r>
            <w:r>
              <w:rPr>
                <w:rFonts w:asciiTheme="minorHAnsi" w:hAnsiTheme="minorHAnsi"/>
                <w:color w:val="4472C4" w:themeColor="accent1"/>
                <w:sz w:val="22"/>
              </w:rPr>
              <w:t>)</w:t>
            </w:r>
            <w:r>
              <w:rPr>
                <w:rFonts w:asciiTheme="minorHAnsi" w:hAnsiTheme="minorHAnsi"/>
                <w:b/>
                <w:color w:val="4472C4" w:themeColor="accent1"/>
                <w:sz w:val="22"/>
              </w:rPr>
              <w:t xml:space="preserve"> et facultatifs </w:t>
            </w:r>
            <w:r>
              <w:rPr>
                <w:rFonts w:asciiTheme="minorHAnsi" w:hAnsiTheme="minorHAnsi"/>
                <w:color w:val="4472C4" w:themeColor="accent1"/>
                <w:sz w:val="22"/>
              </w:rPr>
              <w:t>(103</w:t>
            </w:r>
            <w:r>
              <w:rPr>
                <w:rFonts w:asciiTheme="minorHAnsi" w:hAnsiTheme="minorHAnsi"/>
                <w:i/>
                <w:color w:val="4472C4" w:themeColor="accent1"/>
                <w:sz w:val="22"/>
              </w:rPr>
              <w:t xml:space="preserve"> points</w:t>
            </w:r>
            <w:r>
              <w:rPr>
                <w:rFonts w:asciiTheme="minorHAnsi" w:hAnsiTheme="minorHAnsi"/>
                <w:color w:val="4472C4" w:themeColor="accent1"/>
                <w:sz w:val="22"/>
              </w:rPr>
              <w:t>). Les crédits facultatifs peuvent être obtenus en fonction de l’un ou l’autre des trois éléments. Chaque crédit est assorti d’un ou de plusieurs points qui sont accumulés vers un niveau de conformité.</w:t>
            </w:r>
          </w:p>
          <w:p w14:paraId="0C0C3CB4" w14:textId="77777777" w:rsidR="00042D35" w:rsidRDefault="00042D35" w:rsidP="0036782B">
            <w:pPr>
              <w:pStyle w:val="NormalWeb"/>
              <w:shd w:val="clear" w:color="auto" w:fill="FFFFFF"/>
              <w:spacing w:before="0" w:beforeAutospacing="0" w:after="150" w:afterAutospacing="0"/>
              <w:rPr>
                <w:rFonts w:ascii="Arial" w:hAnsi="Arial" w:cs="Arial"/>
                <w:color w:val="4472C4" w:themeColor="accent1"/>
                <w:sz w:val="21"/>
                <w:szCs w:val="21"/>
              </w:rPr>
            </w:pPr>
            <w:r>
              <w:rPr>
                <w:rFonts w:asciiTheme="minorHAnsi" w:hAnsiTheme="minorHAnsi"/>
                <w:b/>
                <w:color w:val="4472C4" w:themeColor="accent1"/>
                <w:sz w:val="22"/>
              </w:rPr>
              <w:t>LEVEL®</w:t>
            </w:r>
            <w:r>
              <w:rPr>
                <w:rFonts w:asciiTheme="minorHAnsi" w:hAnsiTheme="minorHAnsi"/>
                <w:color w:val="4472C4" w:themeColor="accent1"/>
                <w:sz w:val="22"/>
              </w:rPr>
              <w:t xml:space="preserve"> est un programme de certification tiers pour cette norme en matière de durabilité.</w:t>
            </w:r>
            <w:r>
              <w:rPr>
                <w:rFonts w:ascii="Arial" w:hAnsi="Arial"/>
                <w:color w:val="4472C4" w:themeColor="accent1"/>
                <w:sz w:val="21"/>
              </w:rPr>
              <w:t xml:space="preserve"> </w:t>
            </w:r>
          </w:p>
          <w:tbl>
            <w:tblPr>
              <w:tblStyle w:val="TableGrid"/>
              <w:tblW w:w="0" w:type="auto"/>
              <w:tblLook w:val="04A0" w:firstRow="1" w:lastRow="0" w:firstColumn="1" w:lastColumn="0" w:noHBand="0" w:noVBand="1"/>
            </w:tblPr>
            <w:tblGrid>
              <w:gridCol w:w="975"/>
              <w:gridCol w:w="4025"/>
            </w:tblGrid>
            <w:tr w:rsidR="009F1F2B" w14:paraId="3A16A96C" w14:textId="77777777" w:rsidTr="007159C4">
              <w:tc>
                <w:tcPr>
                  <w:tcW w:w="975" w:type="dxa"/>
                </w:tcPr>
                <w:p w14:paraId="57CC8B92" w14:textId="77777777" w:rsidR="00AD1541" w:rsidRDefault="009F1F2B" w:rsidP="00AD1541">
                  <w:pPr>
                    <w:pStyle w:val="NormalWeb"/>
                    <w:spacing w:before="0" w:beforeAutospacing="0" w:after="0" w:afterAutospacing="0"/>
                    <w:rPr>
                      <w:rFonts w:asciiTheme="minorHAnsi" w:hAnsiTheme="minorHAnsi"/>
                      <w:i/>
                      <w:color w:val="4472C4" w:themeColor="accent1"/>
                      <w:sz w:val="18"/>
                    </w:rPr>
                  </w:pPr>
                  <w:r>
                    <w:rPr>
                      <w:rFonts w:asciiTheme="minorHAnsi" w:hAnsiTheme="minorHAnsi"/>
                      <w:i/>
                      <w:color w:val="4472C4" w:themeColor="accent1"/>
                      <w:sz w:val="18"/>
                    </w:rPr>
                    <w:t>NIVEAU</w:t>
                  </w:r>
                  <w:r w:rsidR="003A1A79">
                    <w:rPr>
                      <w:rFonts w:asciiTheme="minorHAnsi" w:hAnsiTheme="minorHAnsi"/>
                      <w:i/>
                      <w:color w:val="4472C4" w:themeColor="accent1"/>
                      <w:sz w:val="18"/>
                    </w:rPr>
                    <w:t> </w:t>
                  </w:r>
                  <w:r>
                    <w:rPr>
                      <w:rFonts w:asciiTheme="minorHAnsi" w:hAnsiTheme="minorHAnsi"/>
                      <w:i/>
                      <w:color w:val="4472C4" w:themeColor="accent1"/>
                      <w:sz w:val="18"/>
                    </w:rPr>
                    <w:t>1</w:t>
                  </w:r>
                </w:p>
                <w:p w14:paraId="4C8187C7" w14:textId="6A87A729" w:rsidR="005F77AD" w:rsidRPr="00AD1541" w:rsidRDefault="005F77AD" w:rsidP="00AD1541">
                  <w:pPr>
                    <w:pStyle w:val="NormalWeb"/>
                    <w:spacing w:before="0" w:beforeAutospacing="0" w:after="0" w:afterAutospacing="0"/>
                    <w:rPr>
                      <w:rFonts w:asciiTheme="minorHAnsi" w:hAnsiTheme="minorHAnsi"/>
                      <w:i/>
                      <w:color w:val="4472C4" w:themeColor="accent1"/>
                      <w:sz w:val="18"/>
                    </w:rPr>
                  </w:pPr>
                  <w:r>
                    <w:rPr>
                      <w:rFonts w:asciiTheme="minorHAnsi" w:hAnsiTheme="minorHAnsi" w:cstheme="minorHAnsi"/>
                      <w:i/>
                      <w:iCs/>
                      <w:color w:val="4472C4" w:themeColor="accent1"/>
                      <w:sz w:val="18"/>
                      <w:szCs w:val="18"/>
                    </w:rPr>
                    <w:t>(LEVEL 1)</w:t>
                  </w:r>
                </w:p>
              </w:tc>
              <w:tc>
                <w:tcPr>
                  <w:tcW w:w="4025" w:type="dxa"/>
                </w:tcPr>
                <w:p w14:paraId="2042B496" w14:textId="5E70B3C4" w:rsidR="009F1F2B" w:rsidRPr="00B334C1" w:rsidRDefault="00B334C1" w:rsidP="00AD1541">
                  <w:pPr>
                    <w:pStyle w:val="NormalWeb"/>
                    <w:spacing w:before="0" w:beforeAutospacing="0" w:after="0" w:afterAutospacing="0"/>
                    <w:rPr>
                      <w:rFonts w:asciiTheme="minorHAnsi" w:hAnsiTheme="minorHAnsi" w:cstheme="minorHAnsi"/>
                      <w:i/>
                      <w:iCs/>
                      <w:color w:val="4472C4" w:themeColor="accent1"/>
                      <w:sz w:val="18"/>
                      <w:szCs w:val="18"/>
                    </w:rPr>
                  </w:pPr>
                  <w:r>
                    <w:rPr>
                      <w:rFonts w:asciiTheme="minorHAnsi" w:hAnsiTheme="minorHAnsi"/>
                      <w:i/>
                      <w:color w:val="4472C4" w:themeColor="accent1"/>
                      <w:sz w:val="18"/>
                    </w:rPr>
                    <w:t>* De 32 à 48</w:t>
                  </w:r>
                  <w:r w:rsidR="003A1A79">
                    <w:rPr>
                      <w:rFonts w:asciiTheme="minorHAnsi" w:hAnsiTheme="minorHAnsi"/>
                      <w:i/>
                      <w:color w:val="4472C4" w:themeColor="accent1"/>
                      <w:sz w:val="18"/>
                    </w:rPr>
                    <w:t> </w:t>
                  </w:r>
                  <w:r>
                    <w:rPr>
                      <w:rFonts w:asciiTheme="minorHAnsi" w:hAnsiTheme="minorHAnsi"/>
                      <w:i/>
                      <w:color w:val="4472C4" w:themeColor="accent1"/>
                      <w:sz w:val="18"/>
                    </w:rPr>
                    <w:t>points au total, dont au moins 5 sont des points liés au produit</w:t>
                  </w:r>
                </w:p>
              </w:tc>
            </w:tr>
            <w:tr w:rsidR="009F1F2B" w14:paraId="125DE4EA" w14:textId="77777777" w:rsidTr="007159C4">
              <w:tc>
                <w:tcPr>
                  <w:tcW w:w="975" w:type="dxa"/>
                </w:tcPr>
                <w:p w14:paraId="6006FADC" w14:textId="77777777" w:rsidR="00AD1541" w:rsidRDefault="009F1F2B" w:rsidP="00AD1541">
                  <w:pPr>
                    <w:pStyle w:val="NormalWeb"/>
                    <w:spacing w:before="0" w:beforeAutospacing="0" w:after="0" w:afterAutospacing="0"/>
                    <w:rPr>
                      <w:rFonts w:asciiTheme="minorHAnsi" w:hAnsiTheme="minorHAnsi"/>
                      <w:i/>
                      <w:color w:val="4472C4" w:themeColor="accent1"/>
                      <w:sz w:val="18"/>
                    </w:rPr>
                  </w:pPr>
                  <w:r>
                    <w:rPr>
                      <w:rFonts w:asciiTheme="minorHAnsi" w:hAnsiTheme="minorHAnsi"/>
                      <w:i/>
                      <w:color w:val="4472C4" w:themeColor="accent1"/>
                      <w:sz w:val="18"/>
                    </w:rPr>
                    <w:t>NIVEAU</w:t>
                  </w:r>
                  <w:r w:rsidR="003A1A79">
                    <w:rPr>
                      <w:rFonts w:asciiTheme="minorHAnsi" w:hAnsiTheme="minorHAnsi"/>
                      <w:i/>
                      <w:color w:val="4472C4" w:themeColor="accent1"/>
                      <w:sz w:val="18"/>
                    </w:rPr>
                    <w:t> </w:t>
                  </w:r>
                  <w:r>
                    <w:rPr>
                      <w:rFonts w:asciiTheme="minorHAnsi" w:hAnsiTheme="minorHAnsi"/>
                      <w:i/>
                      <w:color w:val="4472C4" w:themeColor="accent1"/>
                      <w:sz w:val="18"/>
                    </w:rPr>
                    <w:t>2</w:t>
                  </w:r>
                </w:p>
                <w:p w14:paraId="126E604A" w14:textId="5600D0F8" w:rsidR="005F77AD" w:rsidRPr="00AD1541" w:rsidRDefault="005F77AD" w:rsidP="00AD1541">
                  <w:pPr>
                    <w:pStyle w:val="NormalWeb"/>
                    <w:spacing w:before="0" w:beforeAutospacing="0" w:after="0" w:afterAutospacing="0"/>
                    <w:rPr>
                      <w:rFonts w:asciiTheme="minorHAnsi" w:hAnsiTheme="minorHAnsi"/>
                      <w:i/>
                      <w:color w:val="4472C4" w:themeColor="accent1"/>
                      <w:sz w:val="18"/>
                    </w:rPr>
                  </w:pPr>
                  <w:r>
                    <w:rPr>
                      <w:rFonts w:asciiTheme="minorHAnsi" w:hAnsiTheme="minorHAnsi"/>
                      <w:i/>
                      <w:color w:val="4472C4" w:themeColor="accent1"/>
                      <w:sz w:val="18"/>
                    </w:rPr>
                    <w:t>(LEVEL 2)</w:t>
                  </w:r>
                </w:p>
              </w:tc>
              <w:tc>
                <w:tcPr>
                  <w:tcW w:w="4025" w:type="dxa"/>
                </w:tcPr>
                <w:p w14:paraId="2F70B85F" w14:textId="2910CE8B" w:rsidR="009F1F2B" w:rsidRPr="00B334C1" w:rsidRDefault="00B334C1" w:rsidP="00AD1541">
                  <w:pPr>
                    <w:pStyle w:val="NormalWeb"/>
                    <w:spacing w:before="0" w:beforeAutospacing="0" w:after="0" w:afterAutospacing="0"/>
                    <w:rPr>
                      <w:rFonts w:asciiTheme="minorHAnsi" w:hAnsiTheme="minorHAnsi" w:cstheme="minorHAnsi"/>
                      <w:i/>
                      <w:iCs/>
                      <w:color w:val="4472C4" w:themeColor="accent1"/>
                      <w:sz w:val="18"/>
                      <w:szCs w:val="18"/>
                    </w:rPr>
                  </w:pPr>
                  <w:r>
                    <w:rPr>
                      <w:rFonts w:asciiTheme="minorHAnsi" w:hAnsiTheme="minorHAnsi"/>
                      <w:i/>
                      <w:color w:val="4472C4" w:themeColor="accent1"/>
                      <w:sz w:val="18"/>
                    </w:rPr>
                    <w:t>* De 49 à 68</w:t>
                  </w:r>
                  <w:r w:rsidR="003A1A79">
                    <w:rPr>
                      <w:rFonts w:asciiTheme="minorHAnsi" w:hAnsiTheme="minorHAnsi"/>
                      <w:i/>
                      <w:color w:val="4472C4" w:themeColor="accent1"/>
                      <w:sz w:val="18"/>
                    </w:rPr>
                    <w:t> </w:t>
                  </w:r>
                  <w:r>
                    <w:rPr>
                      <w:rFonts w:asciiTheme="minorHAnsi" w:hAnsiTheme="minorHAnsi"/>
                      <w:i/>
                      <w:color w:val="4472C4" w:themeColor="accent1"/>
                      <w:sz w:val="18"/>
                    </w:rPr>
                    <w:t>points au total, dont au moins 16 sont des points liés au produit</w:t>
                  </w:r>
                </w:p>
              </w:tc>
            </w:tr>
            <w:tr w:rsidR="009F1F2B" w14:paraId="20D7B9D0" w14:textId="77777777" w:rsidTr="007159C4">
              <w:tc>
                <w:tcPr>
                  <w:tcW w:w="975" w:type="dxa"/>
                </w:tcPr>
                <w:p w14:paraId="644B4B77" w14:textId="77777777" w:rsidR="00AD1541" w:rsidRDefault="009F1F2B" w:rsidP="00AD1541">
                  <w:pPr>
                    <w:pStyle w:val="NormalWeb"/>
                    <w:spacing w:before="0" w:beforeAutospacing="0" w:after="0" w:afterAutospacing="0"/>
                    <w:rPr>
                      <w:rFonts w:asciiTheme="minorHAnsi" w:hAnsiTheme="minorHAnsi"/>
                      <w:i/>
                      <w:color w:val="4472C4" w:themeColor="accent1"/>
                      <w:sz w:val="18"/>
                    </w:rPr>
                  </w:pPr>
                  <w:r>
                    <w:rPr>
                      <w:rFonts w:asciiTheme="minorHAnsi" w:hAnsiTheme="minorHAnsi"/>
                      <w:i/>
                      <w:color w:val="4472C4" w:themeColor="accent1"/>
                      <w:sz w:val="18"/>
                    </w:rPr>
                    <w:t>NIVEAU</w:t>
                  </w:r>
                  <w:r w:rsidR="003A1A79">
                    <w:rPr>
                      <w:rFonts w:asciiTheme="minorHAnsi" w:hAnsiTheme="minorHAnsi"/>
                      <w:i/>
                      <w:color w:val="4472C4" w:themeColor="accent1"/>
                      <w:sz w:val="18"/>
                    </w:rPr>
                    <w:t> </w:t>
                  </w:r>
                  <w:r>
                    <w:rPr>
                      <w:rFonts w:asciiTheme="minorHAnsi" w:hAnsiTheme="minorHAnsi"/>
                      <w:i/>
                      <w:color w:val="4472C4" w:themeColor="accent1"/>
                      <w:sz w:val="18"/>
                    </w:rPr>
                    <w:t>3</w:t>
                  </w:r>
                </w:p>
                <w:p w14:paraId="372394AA" w14:textId="0C09B138" w:rsidR="005F77AD" w:rsidRPr="00AD1541" w:rsidRDefault="005F77AD" w:rsidP="00AD1541">
                  <w:pPr>
                    <w:pStyle w:val="NormalWeb"/>
                    <w:spacing w:before="0" w:beforeAutospacing="0" w:after="0" w:afterAutospacing="0"/>
                    <w:rPr>
                      <w:rFonts w:asciiTheme="minorHAnsi" w:hAnsiTheme="minorHAnsi"/>
                      <w:i/>
                      <w:color w:val="4472C4" w:themeColor="accent1"/>
                      <w:sz w:val="18"/>
                    </w:rPr>
                  </w:pPr>
                  <w:r>
                    <w:rPr>
                      <w:rFonts w:asciiTheme="minorHAnsi" w:hAnsiTheme="minorHAnsi"/>
                      <w:i/>
                      <w:iCs/>
                      <w:color w:val="4472C4" w:themeColor="accent1"/>
                      <w:sz w:val="18"/>
                    </w:rPr>
                    <w:t>(LEVEL 3)</w:t>
                  </w:r>
                </w:p>
              </w:tc>
              <w:tc>
                <w:tcPr>
                  <w:tcW w:w="4025" w:type="dxa"/>
                </w:tcPr>
                <w:p w14:paraId="6B0B0550" w14:textId="4D74B44B" w:rsidR="009F1F2B" w:rsidRPr="00B334C1" w:rsidRDefault="00B334C1" w:rsidP="00AD1541">
                  <w:pPr>
                    <w:pStyle w:val="NormalWeb"/>
                    <w:tabs>
                      <w:tab w:val="left" w:pos="1402"/>
                    </w:tabs>
                    <w:spacing w:before="0" w:beforeAutospacing="0" w:after="0" w:afterAutospacing="0"/>
                    <w:rPr>
                      <w:rFonts w:asciiTheme="minorHAnsi" w:hAnsiTheme="minorHAnsi" w:cstheme="minorHAnsi"/>
                      <w:i/>
                      <w:iCs/>
                      <w:color w:val="4472C4" w:themeColor="accent1"/>
                      <w:sz w:val="18"/>
                      <w:szCs w:val="18"/>
                    </w:rPr>
                  </w:pPr>
                  <w:r>
                    <w:rPr>
                      <w:rFonts w:asciiTheme="minorHAnsi" w:hAnsiTheme="minorHAnsi"/>
                      <w:i/>
                      <w:color w:val="4472C4" w:themeColor="accent1"/>
                      <w:sz w:val="18"/>
                    </w:rPr>
                    <w:t>* De 69 à 111</w:t>
                  </w:r>
                  <w:r w:rsidR="003A1A79">
                    <w:rPr>
                      <w:rFonts w:asciiTheme="minorHAnsi" w:hAnsiTheme="minorHAnsi"/>
                      <w:i/>
                      <w:color w:val="4472C4" w:themeColor="accent1"/>
                      <w:sz w:val="18"/>
                    </w:rPr>
                    <w:t> </w:t>
                  </w:r>
                  <w:r>
                    <w:rPr>
                      <w:rFonts w:asciiTheme="minorHAnsi" w:hAnsiTheme="minorHAnsi"/>
                      <w:i/>
                      <w:color w:val="4472C4" w:themeColor="accent1"/>
                      <w:sz w:val="18"/>
                    </w:rPr>
                    <w:t>points au total, dont au moins 26 sont des points liés au produit</w:t>
                  </w:r>
                </w:p>
              </w:tc>
            </w:tr>
          </w:tbl>
          <w:p w14:paraId="0758A77B" w14:textId="0AC57513" w:rsidR="009F1F2B" w:rsidRPr="00B334C1" w:rsidRDefault="00B334C1" w:rsidP="0036782B">
            <w:pPr>
              <w:pStyle w:val="NormalWeb"/>
              <w:shd w:val="clear" w:color="auto" w:fill="FFFFFF"/>
              <w:spacing w:before="0" w:beforeAutospacing="0" w:after="150" w:afterAutospacing="0"/>
              <w:rPr>
                <w:rFonts w:ascii="Arial" w:hAnsi="Arial" w:cs="Arial"/>
                <w:i/>
                <w:iCs/>
                <w:color w:val="4472C4" w:themeColor="accent1"/>
                <w:sz w:val="16"/>
                <w:szCs w:val="16"/>
              </w:rPr>
            </w:pPr>
            <w:r>
              <w:rPr>
                <w:rFonts w:asciiTheme="minorHAnsi" w:hAnsiTheme="minorHAnsi"/>
                <w:i/>
                <w:color w:val="4472C4"/>
                <w:sz w:val="18"/>
              </w:rPr>
              <w:t>Les produits nouvellement certifiés le sont en fonction de la norme</w:t>
            </w:r>
            <w:r w:rsidR="003A1A79">
              <w:rPr>
                <w:rFonts w:asciiTheme="minorHAnsi" w:hAnsiTheme="minorHAnsi"/>
                <w:i/>
                <w:color w:val="4472C4"/>
                <w:sz w:val="18"/>
              </w:rPr>
              <w:t> </w:t>
            </w:r>
            <w:r>
              <w:rPr>
                <w:rFonts w:asciiTheme="minorHAnsi" w:hAnsiTheme="minorHAnsi"/>
                <w:i/>
                <w:color w:val="4472C4"/>
                <w:sz w:val="18"/>
              </w:rPr>
              <w:t>e3 v2019.</w:t>
            </w:r>
          </w:p>
        </w:tc>
      </w:tr>
      <w:tr w:rsidR="009A4DE3" w14:paraId="013A9BD2" w14:textId="77777777" w:rsidTr="009C7568">
        <w:tc>
          <w:tcPr>
            <w:tcW w:w="352" w:type="dxa"/>
          </w:tcPr>
          <w:p w14:paraId="18626A3C" w14:textId="1FEA8AD3" w:rsidR="009A4DE3" w:rsidRDefault="00451325">
            <w:pPr>
              <w:rPr>
                <w:rFonts w:eastAsia="Times New Roman"/>
              </w:rPr>
            </w:pPr>
            <w:r>
              <w:t>2</w:t>
            </w:r>
          </w:p>
        </w:tc>
        <w:tc>
          <w:tcPr>
            <w:tcW w:w="3957" w:type="dxa"/>
          </w:tcPr>
          <w:p w14:paraId="12924B67" w14:textId="67F9398D" w:rsidR="009A4DE3" w:rsidRDefault="009C7568">
            <w:r>
              <w:t xml:space="preserve">Comment puis-je savoir quel NIVEAU </w:t>
            </w:r>
            <w:r w:rsidR="005F77AD">
              <w:t xml:space="preserve">(LEVELS) </w:t>
            </w:r>
            <w:r>
              <w:t>un produit a atteint pour la norme BIFMA</w:t>
            </w:r>
            <w:r w:rsidR="003A1A79">
              <w:t> </w:t>
            </w:r>
            <w:r>
              <w:t>e3?</w:t>
            </w:r>
          </w:p>
        </w:tc>
        <w:tc>
          <w:tcPr>
            <w:tcW w:w="5226" w:type="dxa"/>
          </w:tcPr>
          <w:p w14:paraId="1A5ADAFD" w14:textId="14453CD7" w:rsidR="00C74A2C" w:rsidRDefault="00A819F9" w:rsidP="00C74A2C">
            <w:pPr>
              <w:rPr>
                <w:rFonts w:eastAsia="Times New Roman"/>
                <w:color w:val="4472C4"/>
              </w:rPr>
            </w:pPr>
            <w:r>
              <w:rPr>
                <w:color w:val="4472C4"/>
              </w:rPr>
              <w:t>Les programmes des AMA de mobilier de bureau exigent les NIVEAUX minimaux de conformité suivant</w:t>
            </w:r>
            <w:r w:rsidR="003A1A79">
              <w:rPr>
                <w:color w:val="4472C4"/>
              </w:rPr>
              <w:t>s</w:t>
            </w:r>
            <w:r>
              <w:rPr>
                <w:color w:val="4472C4"/>
              </w:rPr>
              <w:t xml:space="preserve"> à la norme BIFMA</w:t>
            </w:r>
            <w:r w:rsidR="003A1A79">
              <w:rPr>
                <w:color w:val="4472C4"/>
              </w:rPr>
              <w:t> </w:t>
            </w:r>
            <w:r>
              <w:rPr>
                <w:color w:val="4472C4"/>
              </w:rPr>
              <w:t>e3;</w:t>
            </w:r>
          </w:p>
          <w:p w14:paraId="4472A8C6" w14:textId="77CEDFF1" w:rsidR="009C7568" w:rsidRPr="00C74A2C" w:rsidRDefault="005F77AD" w:rsidP="00C74A2C">
            <w:pPr>
              <w:pStyle w:val="ListParagraph"/>
              <w:numPr>
                <w:ilvl w:val="0"/>
                <w:numId w:val="1"/>
              </w:numPr>
              <w:rPr>
                <w:rFonts w:eastAsia="Times New Roman"/>
                <w:color w:val="4472C4"/>
              </w:rPr>
            </w:pPr>
            <w:r>
              <w:rPr>
                <w:color w:val="4472C4"/>
              </w:rPr>
              <w:t>Fauteuils</w:t>
            </w:r>
            <w:r w:rsidR="009D62A8">
              <w:rPr>
                <w:color w:val="4472C4"/>
              </w:rPr>
              <w:t xml:space="preserve"> de bureau = </w:t>
            </w:r>
            <w:r w:rsidR="009D62A8">
              <w:rPr>
                <w:b/>
                <w:color w:val="4472C4"/>
              </w:rPr>
              <w:t>NIVEAU</w:t>
            </w:r>
            <w:r w:rsidR="003A1A79">
              <w:rPr>
                <w:b/>
                <w:color w:val="4472C4"/>
              </w:rPr>
              <w:t> </w:t>
            </w:r>
            <w:r w:rsidR="009D62A8">
              <w:rPr>
                <w:b/>
                <w:color w:val="4472C4"/>
              </w:rPr>
              <w:t>1</w:t>
            </w:r>
            <w:r w:rsidR="009D62A8" w:rsidRPr="005F77AD">
              <w:rPr>
                <w:b/>
                <w:bCs/>
                <w:color w:val="4472C4"/>
              </w:rPr>
              <w:t xml:space="preserve"> </w:t>
            </w:r>
            <w:r w:rsidRPr="005F77AD">
              <w:rPr>
                <w:b/>
                <w:bCs/>
                <w:color w:val="4472C4"/>
              </w:rPr>
              <w:t>(LEVEL 1)</w:t>
            </w:r>
          </w:p>
          <w:p w14:paraId="308B9B98" w14:textId="617E6E45" w:rsidR="009D62A8" w:rsidRPr="009C7568" w:rsidRDefault="005F77AD" w:rsidP="009C7568">
            <w:pPr>
              <w:pStyle w:val="ListParagraph"/>
              <w:numPr>
                <w:ilvl w:val="0"/>
                <w:numId w:val="1"/>
              </w:numPr>
              <w:rPr>
                <w:rFonts w:eastAsia="Times New Roman"/>
                <w:color w:val="4472C4"/>
              </w:rPr>
            </w:pPr>
            <w:r>
              <w:rPr>
                <w:color w:val="4472C4"/>
              </w:rPr>
              <w:t>Espace</w:t>
            </w:r>
            <w:r w:rsidR="009D62A8">
              <w:rPr>
                <w:color w:val="4472C4"/>
              </w:rPr>
              <w:t xml:space="preserve"> de travail = </w:t>
            </w:r>
            <w:r w:rsidR="009D62A8">
              <w:rPr>
                <w:b/>
                <w:color w:val="4472C4"/>
              </w:rPr>
              <w:t>NIVEAU</w:t>
            </w:r>
            <w:r w:rsidR="003A1A79">
              <w:rPr>
                <w:b/>
                <w:color w:val="4472C4"/>
              </w:rPr>
              <w:t> </w:t>
            </w:r>
            <w:r w:rsidR="009D62A8">
              <w:rPr>
                <w:b/>
                <w:color w:val="4472C4"/>
              </w:rPr>
              <w:t>2</w:t>
            </w:r>
            <w:r>
              <w:rPr>
                <w:b/>
                <w:color w:val="4472C4"/>
              </w:rPr>
              <w:t xml:space="preserve"> (LEVEL 2)</w:t>
            </w:r>
          </w:p>
          <w:p w14:paraId="538A3E36" w14:textId="7981907B" w:rsidR="009D62A8" w:rsidRDefault="009D62A8" w:rsidP="009D62A8">
            <w:pPr>
              <w:rPr>
                <w:rFonts w:eastAsia="Times New Roman"/>
                <w:color w:val="4472C4"/>
              </w:rPr>
            </w:pPr>
          </w:p>
          <w:p w14:paraId="7A90A9FA" w14:textId="1E4CFA71" w:rsidR="009D62A8" w:rsidRDefault="00A819F9" w:rsidP="009D62A8">
            <w:pPr>
              <w:rPr>
                <w:rFonts w:eastAsia="Times New Roman"/>
                <w:color w:val="4472C4"/>
              </w:rPr>
            </w:pPr>
            <w:r>
              <w:rPr>
                <w:color w:val="4472C4"/>
              </w:rPr>
              <w:t>Renseignements supplémentaires</w:t>
            </w:r>
            <w:r w:rsidR="003A1A79">
              <w:rPr>
                <w:color w:val="4472C4"/>
              </w:rPr>
              <w:t> </w:t>
            </w:r>
            <w:r>
              <w:rPr>
                <w:color w:val="4472C4"/>
              </w:rPr>
              <w:t xml:space="preserve">: </w:t>
            </w:r>
          </w:p>
          <w:p w14:paraId="5CE71311" w14:textId="511C7E6B" w:rsidR="009D62A8" w:rsidRPr="0066260B" w:rsidRDefault="0018164C" w:rsidP="009D62A8">
            <w:pPr>
              <w:rPr>
                <w:rFonts w:eastAsia="Times New Roman"/>
                <w:color w:val="70AD47" w:themeColor="accent6"/>
              </w:rPr>
            </w:pPr>
            <w:hyperlink r:id="rId8" w:history="1">
              <w:r w:rsidR="0024103A">
                <w:rPr>
                  <w:rStyle w:val="Hyperlink"/>
                  <w:color w:val="70AD47" w:themeColor="accent6"/>
                </w:rPr>
                <w:t>https://www.bifma.org/mpage/levelcertifiedproducts</w:t>
              </w:r>
            </w:hyperlink>
          </w:p>
          <w:p w14:paraId="1C90FCB0" w14:textId="70E67B02" w:rsidR="009A4DE3" w:rsidRDefault="009A4DE3"/>
        </w:tc>
      </w:tr>
      <w:tr w:rsidR="009A4DE3" w14:paraId="0D2384BE" w14:textId="77777777" w:rsidTr="009C7568">
        <w:tc>
          <w:tcPr>
            <w:tcW w:w="352" w:type="dxa"/>
          </w:tcPr>
          <w:p w14:paraId="40787D63" w14:textId="03DC7A20" w:rsidR="009A4DE3" w:rsidRDefault="00451325">
            <w:r>
              <w:t>3</w:t>
            </w:r>
          </w:p>
        </w:tc>
        <w:tc>
          <w:tcPr>
            <w:tcW w:w="3957" w:type="dxa"/>
          </w:tcPr>
          <w:p w14:paraId="696F1E59" w14:textId="23BB3400" w:rsidR="009A4DE3" w:rsidRDefault="009D62A8">
            <w:r>
              <w:t xml:space="preserve">Si un client veut s’assurer que son produit tient compte d’un </w:t>
            </w:r>
            <w:r>
              <w:rPr>
                <w:b/>
                <w:bCs/>
              </w:rPr>
              <w:t>critère de durabilité précis</w:t>
            </w:r>
            <w:r>
              <w:t xml:space="preserve"> (c.-à-d. faibles émissions), demander un </w:t>
            </w:r>
            <w:r>
              <w:rPr>
                <w:b/>
              </w:rPr>
              <w:t>NIVEAU</w:t>
            </w:r>
            <w:r w:rsidR="003A1A79">
              <w:rPr>
                <w:b/>
              </w:rPr>
              <w:t> </w:t>
            </w:r>
            <w:r>
              <w:rPr>
                <w:b/>
              </w:rPr>
              <w:t>3</w:t>
            </w:r>
            <w:r>
              <w:t xml:space="preserve"> de conformité à la norme BIFMA permettrait-il de s’assurer que le produit est plus performant sur le plan des émissions qu</w:t>
            </w:r>
            <w:r w:rsidR="003A1A79">
              <w:t>’</w:t>
            </w:r>
            <w:r>
              <w:t xml:space="preserve">un produit avec un </w:t>
            </w:r>
            <w:r>
              <w:rPr>
                <w:b/>
              </w:rPr>
              <w:t>NIVEAU</w:t>
            </w:r>
            <w:r w:rsidR="003A1A79">
              <w:rPr>
                <w:b/>
              </w:rPr>
              <w:t> </w:t>
            </w:r>
            <w:r>
              <w:rPr>
                <w:b/>
              </w:rPr>
              <w:t>1</w:t>
            </w:r>
            <w:r>
              <w:t xml:space="preserve"> ou </w:t>
            </w:r>
            <w:r w:rsidR="00AE5A87">
              <w:rPr>
                <w:b/>
              </w:rPr>
              <w:t>NIVEAU </w:t>
            </w:r>
            <w:r>
              <w:rPr>
                <w:b/>
              </w:rPr>
              <w:t>2</w:t>
            </w:r>
            <w:r>
              <w:t>?</w:t>
            </w:r>
          </w:p>
        </w:tc>
        <w:tc>
          <w:tcPr>
            <w:tcW w:w="5226" w:type="dxa"/>
          </w:tcPr>
          <w:p w14:paraId="2BBEB468" w14:textId="7F6A4DBA" w:rsidR="009D62A8" w:rsidRDefault="009D62A8" w:rsidP="009D62A8">
            <w:pPr>
              <w:rPr>
                <w:rFonts w:eastAsia="Times New Roman"/>
                <w:color w:val="4472C4"/>
              </w:rPr>
            </w:pPr>
            <w:r>
              <w:rPr>
                <w:color w:val="4472C4"/>
              </w:rPr>
              <w:t xml:space="preserve">Non. </w:t>
            </w:r>
          </w:p>
          <w:p w14:paraId="4124B1B0" w14:textId="39BC7F23" w:rsidR="009D62A8" w:rsidRDefault="009D62A8" w:rsidP="009D62A8">
            <w:pPr>
              <w:rPr>
                <w:rFonts w:eastAsia="Times New Roman"/>
                <w:color w:val="4472C4"/>
              </w:rPr>
            </w:pPr>
            <w:r>
              <w:rPr>
                <w:color w:val="4472C4"/>
              </w:rPr>
              <w:t xml:space="preserve">Pour ceux qui s’intéressent à un domaine précis de la durabilité, il </w:t>
            </w:r>
            <w:r>
              <w:rPr>
                <w:b/>
                <w:color w:val="4472C4"/>
              </w:rPr>
              <w:t>est recommandé d’inclure ces crédits précis dans leurs spécifications</w:t>
            </w:r>
            <w:r>
              <w:rPr>
                <w:color w:val="4472C4"/>
              </w:rPr>
              <w:t>.</w:t>
            </w:r>
          </w:p>
          <w:p w14:paraId="14D5638E" w14:textId="77777777" w:rsidR="009D62A8" w:rsidRDefault="009D62A8" w:rsidP="009D62A8">
            <w:pPr>
              <w:rPr>
                <w:rFonts w:eastAsia="Times New Roman"/>
                <w:color w:val="4472C4"/>
              </w:rPr>
            </w:pPr>
          </w:p>
          <w:p w14:paraId="6FC19C44" w14:textId="184DECEC" w:rsidR="009D62A8" w:rsidRDefault="009D62A8" w:rsidP="009D62A8">
            <w:pPr>
              <w:rPr>
                <w:rFonts w:eastAsia="Times New Roman"/>
                <w:color w:val="4472C4"/>
              </w:rPr>
            </w:pPr>
            <w:r>
              <w:rPr>
                <w:color w:val="4472C4"/>
              </w:rPr>
              <w:t>Les fabricants choisissent actuellement si la ventilation de leurs crédits gagnés est publi</w:t>
            </w:r>
            <w:r w:rsidR="003A1A79">
              <w:rPr>
                <w:color w:val="4472C4"/>
              </w:rPr>
              <w:t>que</w:t>
            </w:r>
            <w:r>
              <w:rPr>
                <w:color w:val="4472C4"/>
              </w:rPr>
              <w:t xml:space="preserve"> ou privé</w:t>
            </w:r>
            <w:r w:rsidR="003A1A79">
              <w:rPr>
                <w:color w:val="4472C4"/>
              </w:rPr>
              <w:t>e</w:t>
            </w:r>
            <w:r>
              <w:rPr>
                <w:color w:val="4472C4"/>
              </w:rPr>
              <w:t>. Ceux qui gardent ces renseignements privés les transmettront sur demande.</w:t>
            </w:r>
          </w:p>
          <w:p w14:paraId="66EC2A66" w14:textId="77777777" w:rsidR="009A4DE3" w:rsidRDefault="009A4DE3"/>
        </w:tc>
      </w:tr>
      <w:tr w:rsidR="003615C2" w14:paraId="1FF75C7B" w14:textId="77777777" w:rsidTr="009C7568">
        <w:tc>
          <w:tcPr>
            <w:tcW w:w="352" w:type="dxa"/>
          </w:tcPr>
          <w:p w14:paraId="26A81FE7" w14:textId="3C45DD51" w:rsidR="003615C2" w:rsidRDefault="00451325" w:rsidP="003615C2">
            <w:r>
              <w:t>4</w:t>
            </w:r>
          </w:p>
        </w:tc>
        <w:tc>
          <w:tcPr>
            <w:tcW w:w="3957" w:type="dxa"/>
          </w:tcPr>
          <w:p w14:paraId="26E4DD44" w14:textId="4FB6096D" w:rsidR="00FE07D0" w:rsidRDefault="003615C2" w:rsidP="003615C2">
            <w:pPr>
              <w:rPr>
                <w:rFonts w:eastAsia="Times New Roman"/>
              </w:rPr>
            </w:pPr>
            <w:r>
              <w:t>Un produit de NIVEAU</w:t>
            </w:r>
            <w:r w:rsidR="003A1A79">
              <w:t> </w:t>
            </w:r>
            <w:r>
              <w:t xml:space="preserve">3 offrira-t-il le plus </w:t>
            </w:r>
            <w:r>
              <w:rPr>
                <w:b/>
              </w:rPr>
              <w:t>de points pour le programme LEEDS?</w:t>
            </w:r>
            <w:r>
              <w:t xml:space="preserve">  </w:t>
            </w:r>
          </w:p>
          <w:p w14:paraId="1ADCA136" w14:textId="6F415877" w:rsidR="003615C2" w:rsidRDefault="003615C2" w:rsidP="003615C2"/>
        </w:tc>
        <w:tc>
          <w:tcPr>
            <w:tcW w:w="5226" w:type="dxa"/>
          </w:tcPr>
          <w:p w14:paraId="76C5046F" w14:textId="77777777" w:rsidR="002006E2" w:rsidRDefault="002006E2" w:rsidP="003615C2">
            <w:pPr>
              <w:rPr>
                <w:rFonts w:eastAsia="Times New Roman"/>
                <w:color w:val="4472C4"/>
              </w:rPr>
            </w:pPr>
            <w:r>
              <w:rPr>
                <w:color w:val="4472C4"/>
              </w:rPr>
              <w:t>Non.</w:t>
            </w:r>
          </w:p>
          <w:p w14:paraId="61485E78" w14:textId="2725FA4F" w:rsidR="009F1F2B" w:rsidRDefault="00FE07D0" w:rsidP="003615C2">
            <w:pPr>
              <w:rPr>
                <w:rFonts w:eastAsia="Times New Roman"/>
                <w:color w:val="4472C4"/>
              </w:rPr>
            </w:pPr>
            <w:r>
              <w:rPr>
                <w:color w:val="4472C4"/>
              </w:rPr>
              <w:t>Le NIVEAU</w:t>
            </w:r>
            <w:r w:rsidR="003A1A79">
              <w:rPr>
                <w:color w:val="4472C4"/>
              </w:rPr>
              <w:t> </w:t>
            </w:r>
            <w:r>
              <w:rPr>
                <w:color w:val="4472C4"/>
              </w:rPr>
              <w:t xml:space="preserve">1 </w:t>
            </w:r>
            <w:r w:rsidR="005F77AD">
              <w:rPr>
                <w:color w:val="4472C4"/>
              </w:rPr>
              <w:t xml:space="preserve">(LEVEL 1) </w:t>
            </w:r>
            <w:r>
              <w:rPr>
                <w:color w:val="4472C4"/>
              </w:rPr>
              <w:t>et le NIVEAU</w:t>
            </w:r>
            <w:r w:rsidR="003A1A79">
              <w:rPr>
                <w:color w:val="4472C4"/>
              </w:rPr>
              <w:t> </w:t>
            </w:r>
            <w:r>
              <w:rPr>
                <w:color w:val="4472C4"/>
              </w:rPr>
              <w:t xml:space="preserve">2 </w:t>
            </w:r>
            <w:r w:rsidR="005F77AD">
              <w:rPr>
                <w:color w:val="4472C4"/>
              </w:rPr>
              <w:t xml:space="preserve">(LEVEL 2) </w:t>
            </w:r>
            <w:r>
              <w:rPr>
                <w:color w:val="4472C4"/>
              </w:rPr>
              <w:t xml:space="preserve">pourraient également mener à l’obtention du même </w:t>
            </w:r>
            <w:r>
              <w:rPr>
                <w:color w:val="4472C4"/>
              </w:rPr>
              <w:lastRenderedPageBreak/>
              <w:t>nombre de points pour le programme LEEDS que le NIVEAU</w:t>
            </w:r>
            <w:r w:rsidR="003A1A79">
              <w:rPr>
                <w:color w:val="4472C4"/>
              </w:rPr>
              <w:t> </w:t>
            </w:r>
            <w:r>
              <w:rPr>
                <w:color w:val="4472C4"/>
              </w:rPr>
              <w:t>3.</w:t>
            </w:r>
          </w:p>
          <w:p w14:paraId="7F4E07A2" w14:textId="77777777" w:rsidR="009F1F2B" w:rsidRDefault="009F1F2B" w:rsidP="003615C2">
            <w:pPr>
              <w:rPr>
                <w:rFonts w:eastAsia="Times New Roman"/>
                <w:color w:val="4472C4"/>
              </w:rPr>
            </w:pPr>
          </w:p>
          <w:p w14:paraId="205A0A3D" w14:textId="0B2BBDAD" w:rsidR="002006E2" w:rsidRDefault="003615C2" w:rsidP="003615C2">
            <w:pPr>
              <w:rPr>
                <w:rFonts w:eastAsia="Times New Roman"/>
                <w:color w:val="4472C4"/>
              </w:rPr>
            </w:pPr>
            <w:r>
              <w:rPr>
                <w:color w:val="4472C4"/>
              </w:rPr>
              <w:t>Le crédit</w:t>
            </w:r>
            <w:r w:rsidR="003A1A79">
              <w:rPr>
                <w:color w:val="4472C4"/>
              </w:rPr>
              <w:t> </w:t>
            </w:r>
            <w:r>
              <w:rPr>
                <w:color w:val="4472C4"/>
              </w:rPr>
              <w:t>7.6.1 (</w:t>
            </w:r>
            <w:r>
              <w:rPr>
                <w:i/>
                <w:color w:val="4472C4"/>
                <w:sz w:val="20"/>
              </w:rPr>
              <w:t xml:space="preserve">point </w:t>
            </w:r>
            <w:proofErr w:type="spellStart"/>
            <w:r>
              <w:rPr>
                <w:i/>
                <w:color w:val="4472C4"/>
                <w:sz w:val="20"/>
              </w:rPr>
              <w:t>towards</w:t>
            </w:r>
            <w:proofErr w:type="spellEnd"/>
            <w:r>
              <w:rPr>
                <w:i/>
                <w:color w:val="4472C4"/>
                <w:sz w:val="20"/>
              </w:rPr>
              <w:t xml:space="preserve"> LEEDS</w:t>
            </w:r>
            <w:r>
              <w:rPr>
                <w:color w:val="4472C4"/>
              </w:rPr>
              <w:t xml:space="preserve">) est un crédit préalable obligatoire pour tout NIVEAU (1,2 ou 3).   </w:t>
            </w:r>
          </w:p>
          <w:p w14:paraId="1E56A64A" w14:textId="39477E22" w:rsidR="003615C2" w:rsidRDefault="00FE07D0" w:rsidP="003615C2">
            <w:pPr>
              <w:rPr>
                <w:rFonts w:eastAsia="Times New Roman"/>
                <w:color w:val="4472C4"/>
              </w:rPr>
            </w:pPr>
            <w:r>
              <w:rPr>
                <w:color w:val="4472C4"/>
              </w:rPr>
              <w:t xml:space="preserve">La conformité de tous les produits des AMA est garantie pour au moins ce point comptant pour le programme LEEDS dans leur certification BIFMA.  </w:t>
            </w:r>
          </w:p>
          <w:p w14:paraId="3B1C28D1" w14:textId="61016E1C" w:rsidR="00FE07D0" w:rsidRDefault="00FE07D0" w:rsidP="003615C2">
            <w:pPr>
              <w:rPr>
                <w:rFonts w:eastAsia="Times New Roman"/>
                <w:color w:val="4472C4"/>
              </w:rPr>
            </w:pPr>
            <w:r>
              <w:rPr>
                <w:color w:val="4472C4"/>
              </w:rPr>
              <w:t>Il est recommandé d’inclure des points précis comptant pour le programme LEEDS dans votre demande de soumissions si cela correspond à un objectif.</w:t>
            </w:r>
          </w:p>
          <w:p w14:paraId="1D214240" w14:textId="489FAAC6" w:rsidR="003615C2" w:rsidRDefault="003615C2" w:rsidP="003615C2"/>
        </w:tc>
      </w:tr>
      <w:tr w:rsidR="003615C2" w14:paraId="4F4AB056" w14:textId="77777777" w:rsidTr="009C7568">
        <w:tc>
          <w:tcPr>
            <w:tcW w:w="352" w:type="dxa"/>
          </w:tcPr>
          <w:p w14:paraId="6FA39C3E" w14:textId="38EBB229" w:rsidR="003615C2" w:rsidRDefault="00451325" w:rsidP="003615C2">
            <w:r>
              <w:lastRenderedPageBreak/>
              <w:t>5</w:t>
            </w:r>
          </w:p>
        </w:tc>
        <w:tc>
          <w:tcPr>
            <w:tcW w:w="3957" w:type="dxa"/>
          </w:tcPr>
          <w:p w14:paraId="72ADF440" w14:textId="2D59CCDE" w:rsidR="003615C2" w:rsidRDefault="009E7BED" w:rsidP="009E507F">
            <w:pPr>
              <w:tabs>
                <w:tab w:val="left" w:pos="2595"/>
              </w:tabs>
              <w:jc w:val="both"/>
            </w:pPr>
            <w:r>
              <w:t>Un NIVEAU</w:t>
            </w:r>
            <w:r w:rsidR="003A1A79">
              <w:t> </w:t>
            </w:r>
            <w:r>
              <w:t xml:space="preserve">3 garantit-il qu’un produit est plus </w:t>
            </w:r>
            <w:r>
              <w:rPr>
                <w:b/>
              </w:rPr>
              <w:t>durable ou plus performant</w:t>
            </w:r>
            <w:r>
              <w:t xml:space="preserve"> qu</w:t>
            </w:r>
            <w:r w:rsidR="003A1A79">
              <w:t>’</w:t>
            </w:r>
            <w:r>
              <w:t>un NIVEAU</w:t>
            </w:r>
            <w:r w:rsidR="003A1A79">
              <w:t> </w:t>
            </w:r>
            <w:r>
              <w:t xml:space="preserve">1 ou </w:t>
            </w:r>
            <w:r w:rsidR="005F77AD">
              <w:t xml:space="preserve">NIVEAU </w:t>
            </w:r>
            <w:r>
              <w:t>2?</w:t>
            </w:r>
            <w:r>
              <w:tab/>
            </w:r>
          </w:p>
        </w:tc>
        <w:tc>
          <w:tcPr>
            <w:tcW w:w="5226" w:type="dxa"/>
          </w:tcPr>
          <w:p w14:paraId="29BA5E12" w14:textId="77777777" w:rsidR="009E7BED" w:rsidRDefault="009E7BED" w:rsidP="003615C2">
            <w:pPr>
              <w:rPr>
                <w:rFonts w:eastAsia="Times New Roman"/>
                <w:color w:val="4472C4"/>
              </w:rPr>
            </w:pPr>
            <w:r>
              <w:rPr>
                <w:color w:val="4472C4"/>
              </w:rPr>
              <w:t>Non.</w:t>
            </w:r>
          </w:p>
          <w:p w14:paraId="36DB6B9E" w14:textId="44531F75" w:rsidR="009E7BED" w:rsidRDefault="009E7BED" w:rsidP="003615C2">
            <w:pPr>
              <w:rPr>
                <w:rFonts w:eastAsia="Times New Roman"/>
                <w:color w:val="4472C4"/>
              </w:rPr>
            </w:pPr>
            <w:r>
              <w:rPr>
                <w:color w:val="4472C4"/>
              </w:rPr>
              <w:t>Le maximum de points que tout produit peut obtenir pour la durabilité est de 2 (</w:t>
            </w:r>
            <w:r>
              <w:rPr>
                <w:i/>
                <w:color w:val="4472C4"/>
              </w:rPr>
              <w:t>crédit</w:t>
            </w:r>
            <w:r w:rsidR="003A1A79">
              <w:rPr>
                <w:i/>
                <w:color w:val="4472C4"/>
              </w:rPr>
              <w:t> </w:t>
            </w:r>
            <w:r>
              <w:rPr>
                <w:i/>
                <w:color w:val="4472C4"/>
              </w:rPr>
              <w:t>6.2.1</w:t>
            </w:r>
            <w:r>
              <w:rPr>
                <w:color w:val="4472C4"/>
              </w:rPr>
              <w:t xml:space="preserve">) – pour tout NIVEAU.  </w:t>
            </w:r>
          </w:p>
          <w:p w14:paraId="68C721A7" w14:textId="77777777" w:rsidR="009E7BED" w:rsidRDefault="009E7BED" w:rsidP="003615C2">
            <w:pPr>
              <w:rPr>
                <w:rFonts w:eastAsia="Times New Roman"/>
                <w:color w:val="4472C4"/>
              </w:rPr>
            </w:pPr>
          </w:p>
          <w:p w14:paraId="168033AA" w14:textId="1A57A3D8" w:rsidR="003615C2" w:rsidRDefault="009E7BED" w:rsidP="009E7BED">
            <w:r>
              <w:rPr>
                <w:color w:val="4472C4"/>
              </w:rPr>
              <w:t>Tous les produits des AMA sont déjà conformes à ces 2</w:t>
            </w:r>
            <w:r w:rsidR="003A1A79">
              <w:rPr>
                <w:color w:val="4472C4"/>
              </w:rPr>
              <w:t> </w:t>
            </w:r>
            <w:r>
              <w:rPr>
                <w:color w:val="4472C4"/>
              </w:rPr>
              <w:t>points par l’entremise des critères de spécifications techniques obligatoires (</w:t>
            </w:r>
            <w:r>
              <w:rPr>
                <w:i/>
                <w:color w:val="4472C4"/>
                <w:sz w:val="20"/>
              </w:rPr>
              <w:t>test de performance ANSI/BIFMA d</w:t>
            </w:r>
            <w:r w:rsidR="003A1A79">
              <w:rPr>
                <w:i/>
                <w:color w:val="4472C4"/>
                <w:sz w:val="20"/>
              </w:rPr>
              <w:t>’</w:t>
            </w:r>
            <w:r>
              <w:rPr>
                <w:i/>
                <w:color w:val="4472C4"/>
                <w:sz w:val="20"/>
              </w:rPr>
              <w:t>un laboratoire certifié ISO</w:t>
            </w:r>
            <w:r w:rsidR="003A1A79">
              <w:rPr>
                <w:i/>
                <w:color w:val="4472C4"/>
                <w:sz w:val="20"/>
              </w:rPr>
              <w:t> </w:t>
            </w:r>
            <w:r>
              <w:rPr>
                <w:i/>
                <w:color w:val="4472C4"/>
                <w:sz w:val="20"/>
              </w:rPr>
              <w:t>17025</w:t>
            </w:r>
            <w:r>
              <w:rPr>
                <w:color w:val="4472C4"/>
              </w:rPr>
              <w:t>).</w:t>
            </w:r>
          </w:p>
        </w:tc>
      </w:tr>
      <w:tr w:rsidR="003615C2" w14:paraId="57ACB870" w14:textId="77777777" w:rsidTr="009C7568">
        <w:tc>
          <w:tcPr>
            <w:tcW w:w="352" w:type="dxa"/>
          </w:tcPr>
          <w:p w14:paraId="7F5BBA31" w14:textId="451E9C25" w:rsidR="003615C2" w:rsidRDefault="00451325" w:rsidP="003615C2">
            <w:r>
              <w:t>6</w:t>
            </w:r>
          </w:p>
        </w:tc>
        <w:tc>
          <w:tcPr>
            <w:tcW w:w="3957" w:type="dxa"/>
          </w:tcPr>
          <w:p w14:paraId="7D02D9AA" w14:textId="2BD18B5A" w:rsidR="003615C2" w:rsidRDefault="004A3BEF" w:rsidP="003615C2">
            <w:r>
              <w:t>Un NIVEAU</w:t>
            </w:r>
            <w:r w:rsidR="003A1A79">
              <w:t> </w:t>
            </w:r>
            <w:r>
              <w:t xml:space="preserve">3 garantit-il qu’un produit est plus </w:t>
            </w:r>
            <w:r>
              <w:rPr>
                <w:b/>
              </w:rPr>
              <w:t>ergonomique</w:t>
            </w:r>
            <w:r>
              <w:t>?</w:t>
            </w:r>
          </w:p>
        </w:tc>
        <w:tc>
          <w:tcPr>
            <w:tcW w:w="5226" w:type="dxa"/>
          </w:tcPr>
          <w:p w14:paraId="2A292D14" w14:textId="77777777" w:rsidR="004A3BEF" w:rsidRDefault="004A3BEF" w:rsidP="004A3BEF">
            <w:pPr>
              <w:rPr>
                <w:rFonts w:eastAsia="Times New Roman"/>
                <w:color w:val="4472C4"/>
              </w:rPr>
            </w:pPr>
            <w:r>
              <w:rPr>
                <w:color w:val="4472C4"/>
              </w:rPr>
              <w:t>Non.</w:t>
            </w:r>
          </w:p>
          <w:p w14:paraId="08B33122" w14:textId="2BB2E4EB" w:rsidR="004A3BEF" w:rsidRDefault="004A3BEF" w:rsidP="004A3BEF">
            <w:pPr>
              <w:rPr>
                <w:rFonts w:eastAsia="Times New Roman"/>
                <w:color w:val="4472C4"/>
              </w:rPr>
            </w:pPr>
            <w:r>
              <w:rPr>
                <w:color w:val="4472C4"/>
              </w:rPr>
              <w:t>Le maximum de points que tout produit peut obtenir pour l’ergonomie est de 1 (</w:t>
            </w:r>
            <w:r>
              <w:rPr>
                <w:i/>
                <w:color w:val="4472C4"/>
              </w:rPr>
              <w:t>crédit</w:t>
            </w:r>
            <w:r w:rsidR="003A1A79">
              <w:rPr>
                <w:i/>
                <w:color w:val="4472C4"/>
              </w:rPr>
              <w:t> </w:t>
            </w:r>
            <w:r>
              <w:rPr>
                <w:i/>
                <w:color w:val="4472C4"/>
              </w:rPr>
              <w:t>7.4.1</w:t>
            </w:r>
            <w:r>
              <w:rPr>
                <w:color w:val="4472C4"/>
              </w:rPr>
              <w:t>) – pour tout NIVEAU.</w:t>
            </w:r>
          </w:p>
          <w:p w14:paraId="567E23F1" w14:textId="4035C638" w:rsidR="004A3BEF" w:rsidRDefault="004A3BEF" w:rsidP="004A3BEF">
            <w:pPr>
              <w:rPr>
                <w:rFonts w:eastAsia="Times New Roman"/>
                <w:color w:val="4472C4"/>
              </w:rPr>
            </w:pPr>
          </w:p>
          <w:p w14:paraId="7165564D" w14:textId="712C9EBB" w:rsidR="003615C2" w:rsidRDefault="00DB448F" w:rsidP="00DB448F">
            <w:r>
              <w:rPr>
                <w:color w:val="4472C4"/>
              </w:rPr>
              <w:t xml:space="preserve">Les spécifications techniques des AMA comprennent la norme </w:t>
            </w:r>
            <w:r w:rsidRPr="00F474EE">
              <w:rPr>
                <w:i/>
                <w:iCs/>
                <w:color w:val="4472C4"/>
              </w:rPr>
              <w:t>BIFMA</w:t>
            </w:r>
            <w:r w:rsidR="003A1A79" w:rsidRPr="00F474EE">
              <w:rPr>
                <w:i/>
                <w:iCs/>
                <w:color w:val="4472C4"/>
              </w:rPr>
              <w:t> </w:t>
            </w:r>
            <w:r w:rsidRPr="00F474EE">
              <w:rPr>
                <w:i/>
                <w:iCs/>
                <w:color w:val="4472C4"/>
              </w:rPr>
              <w:t xml:space="preserve">G1 </w:t>
            </w:r>
            <w:r w:rsidR="003A1A79" w:rsidRPr="00F474EE">
              <w:rPr>
                <w:i/>
                <w:iCs/>
                <w:color w:val="4472C4"/>
              </w:rPr>
              <w:t>–</w:t>
            </w:r>
            <w:r w:rsidRPr="00F474EE">
              <w:rPr>
                <w:i/>
                <w:iCs/>
                <w:color w:val="4472C4"/>
              </w:rPr>
              <w:t xml:space="preserve"> </w:t>
            </w:r>
            <w:proofErr w:type="spellStart"/>
            <w:r w:rsidRPr="00F474EE">
              <w:rPr>
                <w:i/>
                <w:iCs/>
                <w:color w:val="4472C4"/>
              </w:rPr>
              <w:t>Ergonomics</w:t>
            </w:r>
            <w:proofErr w:type="spellEnd"/>
            <w:r w:rsidRPr="00F474EE">
              <w:rPr>
                <w:i/>
                <w:iCs/>
                <w:color w:val="4472C4"/>
              </w:rPr>
              <w:t xml:space="preserve"> Guideline for Furniture </w:t>
            </w:r>
            <w:proofErr w:type="spellStart"/>
            <w:r w:rsidRPr="00F474EE">
              <w:rPr>
                <w:i/>
                <w:iCs/>
                <w:color w:val="4472C4"/>
              </w:rPr>
              <w:t>Used</w:t>
            </w:r>
            <w:proofErr w:type="spellEnd"/>
            <w:r w:rsidRPr="00F474EE">
              <w:rPr>
                <w:i/>
                <w:iCs/>
                <w:color w:val="4472C4"/>
              </w:rPr>
              <w:t xml:space="preserve"> in Office Work </w:t>
            </w:r>
            <w:proofErr w:type="spellStart"/>
            <w:r w:rsidRPr="00F474EE">
              <w:rPr>
                <w:i/>
                <w:iCs/>
                <w:color w:val="4472C4"/>
              </w:rPr>
              <w:t>Spaces</w:t>
            </w:r>
            <w:proofErr w:type="spellEnd"/>
            <w:r w:rsidRPr="00F474EE">
              <w:rPr>
                <w:i/>
                <w:iCs/>
                <w:color w:val="4472C4"/>
              </w:rPr>
              <w:t xml:space="preserve"> </w:t>
            </w:r>
            <w:proofErr w:type="spellStart"/>
            <w:r w:rsidRPr="00F474EE">
              <w:rPr>
                <w:i/>
                <w:iCs/>
                <w:color w:val="4472C4"/>
              </w:rPr>
              <w:t>Designed</w:t>
            </w:r>
            <w:proofErr w:type="spellEnd"/>
            <w:r w:rsidRPr="00F474EE">
              <w:rPr>
                <w:i/>
                <w:iCs/>
                <w:color w:val="4472C4"/>
              </w:rPr>
              <w:t xml:space="preserve"> for Computer Use</w:t>
            </w:r>
            <w:r>
              <w:rPr>
                <w:color w:val="4472C4"/>
              </w:rPr>
              <w:t xml:space="preserve"> pour les produits applicables.  Par conséquent, les produits des AMA sont déjà conformes à ce point. </w:t>
            </w:r>
          </w:p>
        </w:tc>
      </w:tr>
      <w:tr w:rsidR="003615C2" w14:paraId="216E69A6" w14:textId="77777777" w:rsidTr="009C7568">
        <w:tc>
          <w:tcPr>
            <w:tcW w:w="352" w:type="dxa"/>
          </w:tcPr>
          <w:p w14:paraId="1EBFCBC0" w14:textId="42591BB2" w:rsidR="003615C2" w:rsidRDefault="00451325" w:rsidP="003615C2">
            <w:r>
              <w:t>7</w:t>
            </w:r>
          </w:p>
        </w:tc>
        <w:tc>
          <w:tcPr>
            <w:tcW w:w="3957" w:type="dxa"/>
          </w:tcPr>
          <w:p w14:paraId="3EF838C0" w14:textId="1A110EDB" w:rsidR="003615C2" w:rsidRDefault="007B5E40" w:rsidP="003615C2">
            <w:r>
              <w:t>Le NIVEAU</w:t>
            </w:r>
            <w:r w:rsidR="003A1A79">
              <w:t> </w:t>
            </w:r>
            <w:r>
              <w:t xml:space="preserve">3 </w:t>
            </w:r>
            <w:r>
              <w:rPr>
                <w:b/>
              </w:rPr>
              <w:t>constitue-t-il une meilleure option</w:t>
            </w:r>
            <w:r>
              <w:t xml:space="preserve"> pour le gouvernement du Canada?</w:t>
            </w:r>
          </w:p>
        </w:tc>
        <w:tc>
          <w:tcPr>
            <w:tcW w:w="5226" w:type="dxa"/>
          </w:tcPr>
          <w:p w14:paraId="7DD91E07" w14:textId="3D74156A" w:rsidR="00583885" w:rsidRDefault="006669DD" w:rsidP="003615C2">
            <w:pPr>
              <w:rPr>
                <w:rFonts w:eastAsia="Times New Roman"/>
                <w:color w:val="4472C4"/>
              </w:rPr>
            </w:pPr>
            <w:r>
              <w:rPr>
                <w:color w:val="4472C4"/>
              </w:rPr>
              <w:t xml:space="preserve">Plus les crédits sont élevés, </w:t>
            </w:r>
            <w:r>
              <w:rPr>
                <w:b/>
                <w:bCs/>
                <w:color w:val="4472C4"/>
              </w:rPr>
              <w:t>plus le produit est durable</w:t>
            </w:r>
            <w:r>
              <w:rPr>
                <w:color w:val="4472C4"/>
              </w:rPr>
              <w:t>. Mais n’oubliez pas que cela pourrait également réduire la concurrence pour vos besoins, car ce ne sont pas tous les fournisseurs des AMA qui ont atteint le NIVEAU</w:t>
            </w:r>
            <w:r w:rsidR="003A1A79">
              <w:rPr>
                <w:color w:val="4472C4"/>
              </w:rPr>
              <w:t> </w:t>
            </w:r>
            <w:r>
              <w:rPr>
                <w:color w:val="4472C4"/>
              </w:rPr>
              <w:t xml:space="preserve">3 pour leurs produits.  </w:t>
            </w:r>
          </w:p>
          <w:p w14:paraId="0270B224" w14:textId="77777777" w:rsidR="00583885" w:rsidRDefault="00583885" w:rsidP="003615C2">
            <w:pPr>
              <w:rPr>
                <w:rFonts w:eastAsia="Times New Roman"/>
                <w:color w:val="4472C4"/>
              </w:rPr>
            </w:pPr>
          </w:p>
          <w:p w14:paraId="00B22900" w14:textId="3C563E10" w:rsidR="003615C2" w:rsidRDefault="00583885" w:rsidP="003615C2">
            <w:pPr>
              <w:rPr>
                <w:rFonts w:eastAsia="Times New Roman"/>
                <w:color w:val="4472C4"/>
              </w:rPr>
            </w:pPr>
            <w:r>
              <w:rPr>
                <w:color w:val="4472C4"/>
              </w:rPr>
              <w:t xml:space="preserve">L’équipe d’approvisionnement de SPAC n’a aucun problème avec le fait de demander une norme de durabilité plus élevée.   Cependant, il est recommandé de </w:t>
            </w:r>
            <w:r>
              <w:rPr>
                <w:b/>
                <w:color w:val="4472C4"/>
              </w:rPr>
              <w:t>demander ces crédits précis</w:t>
            </w:r>
            <w:r>
              <w:rPr>
                <w:color w:val="4472C4"/>
              </w:rPr>
              <w:t xml:space="preserve"> pour justifier vos objectifs environnementaux précis (</w:t>
            </w:r>
            <w:r>
              <w:rPr>
                <w:i/>
                <w:color w:val="4472C4"/>
                <w:sz w:val="20"/>
              </w:rPr>
              <w:t>souvenez-vous qu’un produit de NIVEAU</w:t>
            </w:r>
            <w:r w:rsidR="003A1A79">
              <w:rPr>
                <w:i/>
                <w:color w:val="4472C4"/>
                <w:sz w:val="20"/>
              </w:rPr>
              <w:t> </w:t>
            </w:r>
            <w:r>
              <w:rPr>
                <w:i/>
                <w:color w:val="4472C4"/>
                <w:sz w:val="20"/>
              </w:rPr>
              <w:t>1 pourrait avoir le même nombre de crédits en matière de sécurité, de durabilité et de performance qu’un produit de NIVEAU</w:t>
            </w:r>
            <w:r w:rsidR="003A1A79">
              <w:rPr>
                <w:i/>
                <w:color w:val="4472C4"/>
                <w:sz w:val="20"/>
              </w:rPr>
              <w:t> </w:t>
            </w:r>
            <w:r>
              <w:rPr>
                <w:i/>
                <w:color w:val="4472C4"/>
                <w:sz w:val="20"/>
              </w:rPr>
              <w:t>3</w:t>
            </w:r>
            <w:r>
              <w:rPr>
                <w:color w:val="4472C4"/>
              </w:rPr>
              <w:t>).</w:t>
            </w:r>
          </w:p>
          <w:p w14:paraId="7E8ED9CE" w14:textId="7E7E70C3" w:rsidR="007B5E40" w:rsidRDefault="007B5E40" w:rsidP="003615C2"/>
          <w:tbl>
            <w:tblPr>
              <w:tblStyle w:val="TableGrid"/>
              <w:tblW w:w="0" w:type="auto"/>
              <w:tblLook w:val="04A0" w:firstRow="1" w:lastRow="0" w:firstColumn="1" w:lastColumn="0" w:noHBand="0" w:noVBand="1"/>
            </w:tblPr>
            <w:tblGrid>
              <w:gridCol w:w="5000"/>
            </w:tblGrid>
            <w:tr w:rsidR="00815BC4" w14:paraId="3BD3FE18" w14:textId="77777777" w:rsidTr="00815BC4">
              <w:tc>
                <w:tcPr>
                  <w:tcW w:w="5000" w:type="dxa"/>
                </w:tcPr>
                <w:p w14:paraId="2C2C5560" w14:textId="007A4AA4" w:rsidR="00815BC4" w:rsidRPr="00815BC4" w:rsidRDefault="00815BC4" w:rsidP="003615C2">
                  <w:pPr>
                    <w:rPr>
                      <w:sz w:val="18"/>
                      <w:szCs w:val="18"/>
                    </w:rPr>
                  </w:pPr>
                  <w:r>
                    <w:rPr>
                      <w:color w:val="4472C4"/>
                      <w:sz w:val="18"/>
                    </w:rPr>
                    <w:t>Une autre option durable avant d’acheter un nouveau produit est de prendre en considération les biens excédentaires provenant d’autres ministères</w:t>
                  </w:r>
                  <w:r w:rsidR="003A1A79">
                    <w:rPr>
                      <w:color w:val="4472C4"/>
                      <w:sz w:val="18"/>
                    </w:rPr>
                    <w:t> </w:t>
                  </w:r>
                  <w:r>
                    <w:rPr>
                      <w:color w:val="70AD47" w:themeColor="accent6"/>
                      <w:sz w:val="18"/>
                    </w:rPr>
                    <w:t xml:space="preserve">: </w:t>
                  </w:r>
                  <w:hyperlink r:id="rId9" w:history="1">
                    <w:proofErr w:type="spellStart"/>
                    <w:r>
                      <w:rPr>
                        <w:rStyle w:val="Hyperlink"/>
                        <w:color w:val="70AD47" w:themeColor="accent6"/>
                        <w:sz w:val="18"/>
                      </w:rPr>
                      <w:t>GCTransfert</w:t>
                    </w:r>
                    <w:proofErr w:type="spellEnd"/>
                    <w:r>
                      <w:rPr>
                        <w:rStyle w:val="Hyperlink"/>
                        <w:color w:val="70AD47" w:themeColor="accent6"/>
                        <w:sz w:val="18"/>
                      </w:rPr>
                      <w:t xml:space="preserve"> (gcsurplus.ca)</w:t>
                    </w:r>
                  </w:hyperlink>
                  <w:r>
                    <w:rPr>
                      <w:color w:val="4472C4"/>
                      <w:sz w:val="18"/>
                    </w:rPr>
                    <w:t xml:space="preserve"> (</w:t>
                  </w:r>
                  <w:r>
                    <w:rPr>
                      <w:i/>
                      <w:color w:val="4472C4"/>
                      <w:sz w:val="18"/>
                    </w:rPr>
                    <w:t>c’est durable aussi!</w:t>
                  </w:r>
                  <w:r>
                    <w:rPr>
                      <w:color w:val="4472C4"/>
                      <w:sz w:val="18"/>
                    </w:rPr>
                    <w:t>)</w:t>
                  </w:r>
                </w:p>
              </w:tc>
            </w:tr>
          </w:tbl>
          <w:p w14:paraId="53A5F9D6" w14:textId="3B06F72F" w:rsidR="007B5E40" w:rsidRDefault="0066260B" w:rsidP="007B5E40">
            <w:r>
              <w:t xml:space="preserve"> </w:t>
            </w:r>
          </w:p>
        </w:tc>
      </w:tr>
      <w:tr w:rsidR="003615C2" w14:paraId="49B4D053" w14:textId="77777777" w:rsidTr="009C7568">
        <w:tc>
          <w:tcPr>
            <w:tcW w:w="352" w:type="dxa"/>
          </w:tcPr>
          <w:p w14:paraId="4B72E6FE" w14:textId="6F8856D9" w:rsidR="003615C2" w:rsidRDefault="00451325" w:rsidP="003615C2">
            <w:r>
              <w:lastRenderedPageBreak/>
              <w:t>8</w:t>
            </w:r>
          </w:p>
        </w:tc>
        <w:tc>
          <w:tcPr>
            <w:tcW w:w="3957" w:type="dxa"/>
          </w:tcPr>
          <w:p w14:paraId="12146AA1" w14:textId="2A0CB9F0" w:rsidR="003615C2" w:rsidRDefault="006669DD" w:rsidP="003615C2">
            <w:r>
              <w:t xml:space="preserve">Y a-t-il </w:t>
            </w:r>
            <w:r>
              <w:rPr>
                <w:b/>
              </w:rPr>
              <w:t>une équivalence</w:t>
            </w:r>
            <w:r>
              <w:t xml:space="preserve"> aux NIVEAUX </w:t>
            </w:r>
            <w:r w:rsidR="00F474EE">
              <w:t xml:space="preserve">(LEVELS) </w:t>
            </w:r>
            <w:r>
              <w:t>de la norme BIFMA</w:t>
            </w:r>
            <w:r w:rsidR="003A1A79">
              <w:t> </w:t>
            </w:r>
            <w:r>
              <w:t>e3?</w:t>
            </w:r>
          </w:p>
        </w:tc>
        <w:tc>
          <w:tcPr>
            <w:tcW w:w="5226" w:type="dxa"/>
          </w:tcPr>
          <w:p w14:paraId="720324D4" w14:textId="7352871E" w:rsidR="00770467" w:rsidRDefault="00E916AD" w:rsidP="003615C2">
            <w:pPr>
              <w:rPr>
                <w:rFonts w:eastAsia="Times New Roman"/>
                <w:color w:val="4472C4"/>
              </w:rPr>
            </w:pPr>
            <w:r>
              <w:rPr>
                <w:color w:val="4472C4"/>
              </w:rPr>
              <w:t>Les accords commerciaux sont très précis lorsque vient le temps de permettre des équivalences potentielles. En ce qui concerne les niveaux de la norme BIFMA</w:t>
            </w:r>
            <w:r w:rsidR="003A1A79">
              <w:rPr>
                <w:color w:val="4472C4"/>
              </w:rPr>
              <w:t> </w:t>
            </w:r>
            <w:r>
              <w:rPr>
                <w:color w:val="4472C4"/>
              </w:rPr>
              <w:t>e3, nous devons considérer</w:t>
            </w:r>
            <w:r>
              <w:rPr>
                <w:b/>
                <w:i/>
                <w:color w:val="4472C4"/>
              </w:rPr>
              <w:t xml:space="preserve"> les équivalences</w:t>
            </w:r>
            <w:r>
              <w:rPr>
                <w:color w:val="4472C4"/>
              </w:rPr>
              <w:t xml:space="preserve"> dans nos achats si un fournisseur indique que ses produits sont</w:t>
            </w:r>
            <w:r w:rsidR="003A1A79">
              <w:rPr>
                <w:color w:val="4472C4"/>
              </w:rPr>
              <w:t xml:space="preserve"> </w:t>
            </w:r>
            <w:r>
              <w:rPr>
                <w:b/>
                <w:color w:val="4472C4"/>
              </w:rPr>
              <w:t>équivalents</w:t>
            </w:r>
            <w:r>
              <w:rPr>
                <w:color w:val="4472C4"/>
              </w:rPr>
              <w:t>.</w:t>
            </w:r>
          </w:p>
          <w:p w14:paraId="50902D8B" w14:textId="5698DDC4" w:rsidR="003615C2" w:rsidRPr="00770467" w:rsidRDefault="00E916AD" w:rsidP="003615C2">
            <w:pPr>
              <w:rPr>
                <w:rFonts w:eastAsia="Times New Roman"/>
                <w:i/>
                <w:iCs/>
                <w:color w:val="4472C4"/>
              </w:rPr>
            </w:pPr>
            <w:r>
              <w:rPr>
                <w:i/>
                <w:color w:val="4472C4"/>
              </w:rPr>
              <w:t>Si un fournisseur affirme avoir un produit équivalent à un niveau de la norme BIFMA</w:t>
            </w:r>
            <w:r w:rsidR="003A1A79">
              <w:rPr>
                <w:i/>
                <w:color w:val="4472C4"/>
              </w:rPr>
              <w:t> </w:t>
            </w:r>
            <w:r>
              <w:rPr>
                <w:i/>
                <w:color w:val="4472C4"/>
              </w:rPr>
              <w:t>e3, la demande du fournisseur (avec ses propres justifications) devrait être envoyée au responsable technique de l’AMA et évaluée par celui-ci aux fins de validation.</w:t>
            </w:r>
          </w:p>
          <w:p w14:paraId="344B597D" w14:textId="3E44FF07" w:rsidR="009865FC" w:rsidRDefault="009865FC" w:rsidP="009865FC"/>
        </w:tc>
      </w:tr>
    </w:tbl>
    <w:p w14:paraId="182C9341" w14:textId="77777777" w:rsidR="009A4DE3" w:rsidRDefault="009A4DE3"/>
    <w:sectPr w:rsidR="009A4DE3" w:rsidSect="0066260B">
      <w:headerReference w:type="even"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2BA5" w14:textId="77777777" w:rsidR="0018164C" w:rsidRDefault="0018164C" w:rsidP="009A4DE3">
      <w:pPr>
        <w:spacing w:after="0" w:line="240" w:lineRule="auto"/>
      </w:pPr>
      <w:r>
        <w:separator/>
      </w:r>
    </w:p>
  </w:endnote>
  <w:endnote w:type="continuationSeparator" w:id="0">
    <w:p w14:paraId="3ECF25FD" w14:textId="77777777" w:rsidR="0018164C" w:rsidRDefault="0018164C" w:rsidP="009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41DC" w14:textId="38FDEED1" w:rsidR="0089705F" w:rsidRPr="009A4DE3" w:rsidRDefault="0089705F" w:rsidP="0089705F">
    <w:pPr>
      <w:jc w:val="right"/>
      <w:rPr>
        <w:rFonts w:ascii="Calibri" w:eastAsia="Calibri" w:hAnsi="Calibri" w:cs="Calibri"/>
        <w:color w:val="000000"/>
      </w:rPr>
    </w:pPr>
    <w:r>
      <w:rPr>
        <w:noProof/>
      </w:rPr>
      <w:drawing>
        <wp:anchor distT="0" distB="0" distL="114300" distR="114300" simplePos="0" relativeHeight="251663360" behindDoc="0" locked="0" layoutInCell="1" allowOverlap="1" wp14:anchorId="3BBE80D8" wp14:editId="0DD44EE3">
          <wp:simplePos x="0" y="0"/>
          <wp:positionH relativeFrom="leftMargin">
            <wp:posOffset>4229100</wp:posOffset>
          </wp:positionH>
          <wp:positionV relativeFrom="paragraph">
            <wp:posOffset>10160</wp:posOffset>
          </wp:positionV>
          <wp:extent cx="152400" cy="152400"/>
          <wp:effectExtent l="0" t="0" r="0" b="0"/>
          <wp:wrapNone/>
          <wp:docPr id="7" name="Picture 7" descr="Icon - &amp;#39;Contact Us&amp;#39; or &amp;#39;Edit&amp;#39;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 &amp;#39;Contact Us&amp;#39; or &amp;#39;Edit&amp;#39; Icons PNG - Free PNG and Icons Downlo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olor w:val="000000"/>
      </w:rPr>
      <w:t>Créé par la Direction générale des approvisionnements – Division  des produits de l’ameublement</w:t>
    </w:r>
  </w:p>
  <w:p w14:paraId="3BF51099" w14:textId="77777777" w:rsidR="0089705F" w:rsidRPr="0089705F" w:rsidRDefault="0089705F" w:rsidP="008970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244" w14:textId="77777777" w:rsidR="0018164C" w:rsidRDefault="0018164C" w:rsidP="009A4DE3">
      <w:pPr>
        <w:spacing w:after="0" w:line="240" w:lineRule="auto"/>
      </w:pPr>
      <w:r>
        <w:separator/>
      </w:r>
    </w:p>
  </w:footnote>
  <w:footnote w:type="continuationSeparator" w:id="0">
    <w:p w14:paraId="219B1C59" w14:textId="77777777" w:rsidR="0018164C" w:rsidRDefault="0018164C" w:rsidP="009A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35E8" w14:textId="77777777" w:rsidR="009A4DE3" w:rsidRDefault="009A4DE3">
    <w:pPr>
      <w:pStyle w:val="Header"/>
    </w:pPr>
    <w:r>
      <w:rPr>
        <w:noProof/>
      </w:rPr>
      <mc:AlternateContent>
        <mc:Choice Requires="wps">
          <w:drawing>
            <wp:anchor distT="0" distB="0" distL="0" distR="0" simplePos="0" relativeHeight="251659264" behindDoc="0" locked="0" layoutInCell="1" allowOverlap="1" wp14:anchorId="075A722F" wp14:editId="33DB1C0A">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889EA6" w14:textId="77777777" w:rsidR="009A4DE3" w:rsidRPr="009A4DE3" w:rsidRDefault="009A4DE3">
                          <w:pPr>
                            <w:rPr>
                              <w:rFonts w:ascii="Calibri" w:eastAsia="Calibri" w:hAnsi="Calibri" w:cs="Calibri"/>
                              <w:color w:val="000000"/>
                            </w:rPr>
                          </w:pPr>
                          <w:r>
                            <w:rPr>
                              <w:rFonts w:ascii="Calibri" w:hAnsi="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75A722F"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" filled="f" stroked="f">
              <v:textbox style="mso-fit-shape-to-text:t" inset="0,0,5pt,0">
                <w:txbxContent>
                  <w:p w14:paraId="1F889EA6" w14:textId="77777777" w:rsidR="009A4DE3" w:rsidRPr="009A4DE3" w:rsidRDefault="009A4DE3">
                    <w:pPr>
                      <w:rPr>
                        <w:rFonts w:ascii="Calibri" w:eastAsia="Calibri" w:hAnsi="Calibri" w:cs="Calibri"/>
                        <w:color w:val="000000"/>
                      </w:rPr>
                    </w:pPr>
                    <w:r>
                      <w:rPr>
                        <w:rFonts w:ascii="Calibri" w:hAnsi="Calibri"/>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44D" w14:textId="77777777" w:rsidR="009A4DE3" w:rsidRDefault="009A4DE3">
    <w:pPr>
      <w:pStyle w:val="Header"/>
    </w:pPr>
    <w:r>
      <w:rPr>
        <w:noProof/>
      </w:rPr>
      <mc:AlternateContent>
        <mc:Choice Requires="wps">
          <w:drawing>
            <wp:anchor distT="0" distB="0" distL="0" distR="0" simplePos="0" relativeHeight="251658240" behindDoc="0" locked="0" layoutInCell="1" allowOverlap="1" wp14:anchorId="7291DCA4" wp14:editId="60CA6601">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819E4" w14:textId="77777777" w:rsidR="009A4DE3" w:rsidRPr="009A4DE3" w:rsidRDefault="009A4DE3">
                          <w:pPr>
                            <w:rPr>
                              <w:rFonts w:ascii="Calibri" w:eastAsia="Calibri" w:hAnsi="Calibri" w:cs="Calibri"/>
                              <w:color w:val="000000"/>
                            </w:rPr>
                          </w:pPr>
                          <w:r>
                            <w:rPr>
                              <w:rFonts w:ascii="Calibri" w:hAnsi="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291DCA4" id="_x0000_t202" coordsize="21600,21600" o:spt="202" path="m,l,21600r21600,l21600,xe">
              <v:stroke joinstyle="miter"/>
              <v:path gradientshapeok="t" o:connecttype="rect"/>
            </v:shapetype>
            <v:shape id="Text Box 1" o:spid="_x0000_s1027"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" filled="f" stroked="f">
              <v:textbox style="mso-fit-shape-to-text:t" inset="0,0,5pt,0">
                <w:txbxContent>
                  <w:p w14:paraId="4FB819E4" w14:textId="77777777" w:rsidR="009A4DE3" w:rsidRPr="009A4DE3" w:rsidRDefault="009A4DE3">
                    <w:pPr>
                      <w:rPr>
                        <w:rFonts w:ascii="Calibri" w:eastAsia="Calibri" w:hAnsi="Calibri" w:cs="Calibri"/>
                        <w:color w:val="000000"/>
                      </w:rPr>
                    </w:pPr>
                    <w:r>
                      <w:rPr>
                        <w:rFonts w:ascii="Calibri" w:hAnsi="Calibri"/>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02E47"/>
    <w:multiLevelType w:val="hybridMultilevel"/>
    <w:tmpl w:val="551E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3"/>
    <w:rsid w:val="0002597F"/>
    <w:rsid w:val="00042D35"/>
    <w:rsid w:val="000B59F4"/>
    <w:rsid w:val="0014498F"/>
    <w:rsid w:val="0018164C"/>
    <w:rsid w:val="00194BD2"/>
    <w:rsid w:val="002003D3"/>
    <w:rsid w:val="002006E2"/>
    <w:rsid w:val="00207606"/>
    <w:rsid w:val="0024103A"/>
    <w:rsid w:val="00292D5F"/>
    <w:rsid w:val="003615C2"/>
    <w:rsid w:val="0036782B"/>
    <w:rsid w:val="00371F8F"/>
    <w:rsid w:val="003A1A79"/>
    <w:rsid w:val="003B228C"/>
    <w:rsid w:val="003C3516"/>
    <w:rsid w:val="003C76EA"/>
    <w:rsid w:val="00451325"/>
    <w:rsid w:val="00467DB8"/>
    <w:rsid w:val="004A3BEF"/>
    <w:rsid w:val="00583885"/>
    <w:rsid w:val="005A4FFB"/>
    <w:rsid w:val="005F77AD"/>
    <w:rsid w:val="006250E6"/>
    <w:rsid w:val="00645E32"/>
    <w:rsid w:val="0066260B"/>
    <w:rsid w:val="006669DD"/>
    <w:rsid w:val="0068687B"/>
    <w:rsid w:val="006C7F58"/>
    <w:rsid w:val="00770467"/>
    <w:rsid w:val="00793E58"/>
    <w:rsid w:val="007B5E40"/>
    <w:rsid w:val="007E78C3"/>
    <w:rsid w:val="00815BC4"/>
    <w:rsid w:val="0088073F"/>
    <w:rsid w:val="0089705F"/>
    <w:rsid w:val="008B16C1"/>
    <w:rsid w:val="009130F1"/>
    <w:rsid w:val="009453A6"/>
    <w:rsid w:val="00950B7E"/>
    <w:rsid w:val="009865FC"/>
    <w:rsid w:val="009A4DE3"/>
    <w:rsid w:val="009C7568"/>
    <w:rsid w:val="009D62A8"/>
    <w:rsid w:val="009E507F"/>
    <w:rsid w:val="009E7BED"/>
    <w:rsid w:val="009F1F2B"/>
    <w:rsid w:val="009F48D4"/>
    <w:rsid w:val="00A31EA4"/>
    <w:rsid w:val="00A819F9"/>
    <w:rsid w:val="00AD1541"/>
    <w:rsid w:val="00AE5A87"/>
    <w:rsid w:val="00AF2DD1"/>
    <w:rsid w:val="00B334C1"/>
    <w:rsid w:val="00BD1960"/>
    <w:rsid w:val="00BF6B30"/>
    <w:rsid w:val="00C40ACA"/>
    <w:rsid w:val="00C74A2C"/>
    <w:rsid w:val="00D32BDA"/>
    <w:rsid w:val="00D63BD8"/>
    <w:rsid w:val="00DB448F"/>
    <w:rsid w:val="00DE026D"/>
    <w:rsid w:val="00E916AD"/>
    <w:rsid w:val="00ED1EEC"/>
    <w:rsid w:val="00F32546"/>
    <w:rsid w:val="00F474EE"/>
    <w:rsid w:val="00F978AF"/>
    <w:rsid w:val="00FE0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9B96"/>
  <w15:chartTrackingRefBased/>
  <w15:docId w15:val="{618792EC-646C-4FCC-9B84-622AEA89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E3"/>
  </w:style>
  <w:style w:type="paragraph" w:styleId="Footer">
    <w:name w:val="footer"/>
    <w:basedOn w:val="Normal"/>
    <w:link w:val="FooterChar"/>
    <w:uiPriority w:val="99"/>
    <w:unhideWhenUsed/>
    <w:rsid w:val="009A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E3"/>
  </w:style>
  <w:style w:type="table" w:styleId="TableGrid">
    <w:name w:val="Table Grid"/>
    <w:basedOn w:val="TableNormal"/>
    <w:uiPriority w:val="39"/>
    <w:rsid w:val="009A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2A8"/>
    <w:rPr>
      <w:color w:val="0563C1"/>
      <w:u w:val="single"/>
    </w:rPr>
  </w:style>
  <w:style w:type="paragraph" w:styleId="ListParagraph">
    <w:name w:val="List Paragraph"/>
    <w:basedOn w:val="Normal"/>
    <w:uiPriority w:val="34"/>
    <w:qFormat/>
    <w:rsid w:val="009C7568"/>
    <w:pPr>
      <w:ind w:left="720"/>
      <w:contextualSpacing/>
    </w:pPr>
  </w:style>
  <w:style w:type="paragraph" w:styleId="NormalWeb">
    <w:name w:val="Normal (Web)"/>
    <w:basedOn w:val="Normal"/>
    <w:uiPriority w:val="99"/>
    <w:semiHidden/>
    <w:unhideWhenUsed/>
    <w:rsid w:val="00042D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B5E40"/>
    <w:rPr>
      <w:color w:val="954F72" w:themeColor="followedHyperlink"/>
      <w:u w:val="single"/>
    </w:rPr>
  </w:style>
  <w:style w:type="character" w:styleId="UnresolvedMention">
    <w:name w:val="Unresolved Mention"/>
    <w:basedOn w:val="DefaultParagraphFont"/>
    <w:uiPriority w:val="99"/>
    <w:semiHidden/>
    <w:unhideWhenUsed/>
    <w:rsid w:val="0002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9796">
      <w:bodyDiv w:val="1"/>
      <w:marLeft w:val="0"/>
      <w:marRight w:val="0"/>
      <w:marTop w:val="0"/>
      <w:marBottom w:val="0"/>
      <w:divBdr>
        <w:top w:val="none" w:sz="0" w:space="0" w:color="auto"/>
        <w:left w:val="none" w:sz="0" w:space="0" w:color="auto"/>
        <w:bottom w:val="none" w:sz="0" w:space="0" w:color="auto"/>
        <w:right w:val="none" w:sz="0" w:space="0" w:color="auto"/>
      </w:divBdr>
    </w:div>
    <w:div w:id="845290284">
      <w:bodyDiv w:val="1"/>
      <w:marLeft w:val="0"/>
      <w:marRight w:val="0"/>
      <w:marTop w:val="0"/>
      <w:marBottom w:val="0"/>
      <w:divBdr>
        <w:top w:val="none" w:sz="0" w:space="0" w:color="auto"/>
        <w:left w:val="none" w:sz="0" w:space="0" w:color="auto"/>
        <w:bottom w:val="none" w:sz="0" w:space="0" w:color="auto"/>
        <w:right w:val="none" w:sz="0" w:space="0" w:color="auto"/>
      </w:divBdr>
    </w:div>
    <w:div w:id="13421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fma.org/mpage/levelcertified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csurplus.ca/mn-fra.cfm?snc=wftat&amp;sc=m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Sellers</dc:creator>
  <cp:keywords/>
  <dc:description/>
  <cp:lastModifiedBy>Joy Sellers</cp:lastModifiedBy>
  <cp:revision>2</cp:revision>
  <dcterms:created xsi:type="dcterms:W3CDTF">2022-01-31T18:09:00Z</dcterms:created>
  <dcterms:modified xsi:type="dcterms:W3CDTF">2022-01-31T18:09:00Z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2022-01-07T14:19:10Z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3439565d-1768-47ef-bb17-cc23b18c75e0</vt:lpwstr>
  </property>
  <property fmtid="{D5CDD505-2E9C-101B-9397-08002B2CF9AE}" pid="11" name="MSIP_Label_834ed4f5-eae4-40c7-82be-b1cdf720a1b9_ContentBits">
    <vt:lpwstr>1</vt:lpwstr>
  </property>
  <property fmtid="{D5CDD505-2E9C-101B-9397-08002B2CF9AE}" pid="12" name="_AdHocReviewCycleID">
    <vt:i4>-23023875</vt:i4>
  </property>
  <property fmtid="{D5CDD505-2E9C-101B-9397-08002B2CF9AE}" pid="13" name="_NewReviewCycle">
    <vt:lpwstr/>
  </property>
  <property fmtid="{D5CDD505-2E9C-101B-9397-08002B2CF9AE}" pid="14" name="_EmailSubject">
    <vt:lpwstr>Request for translation - BIFMA e3 Q&amp;A</vt:lpwstr>
  </property>
  <property fmtid="{D5CDD505-2E9C-101B-9397-08002B2CF9AE}" pid="15" name="_AuthorEmail">
    <vt:lpwstr>Joy.Sellers@tpsgc-pwgsc.gc.ca</vt:lpwstr>
  </property>
  <property fmtid="{D5CDD505-2E9C-101B-9397-08002B2CF9AE}" pid="16" name="_AuthorEmailDisplayName">
    <vt:lpwstr>Joy Sellers</vt:lpwstr>
  </property>
  <property fmtid="{D5CDD505-2E9C-101B-9397-08002B2CF9AE}" pid="17" name="_ReviewingToolsShownOnce">
    <vt:lpwstr/>
  </property>
</Properties>
</file>