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946"/>
        <w:tblW w:w="10696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330"/>
        <w:gridCol w:w="6366"/>
      </w:tblGrid>
      <w:tr w:rsidR="00A34AC5" w:rsidRPr="00F52183" w14:paraId="6367FBE8" w14:textId="77777777" w:rsidTr="00A34AC5">
        <w:trPr>
          <w:trHeight w:val="460"/>
        </w:trPr>
        <w:tc>
          <w:tcPr>
            <w:tcW w:w="4330" w:type="dxa"/>
            <w:shd w:val="clear" w:color="auto" w:fill="EDF4F9"/>
          </w:tcPr>
          <w:p w14:paraId="0013294F" w14:textId="77777777" w:rsidR="00A34AC5" w:rsidRPr="00E6177F" w:rsidRDefault="00A34AC5" w:rsidP="00A34AC5">
            <w:pPr>
              <w:spacing w:before="120" w:after="120"/>
              <w:rPr>
                <w:rFonts w:ascii="Arial Narrow" w:hAnsi="Arial Narrow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noProof/>
                <w:color w:val="1F3864" w:themeColor="accent1" w:themeShade="80"/>
                <w:sz w:val="24"/>
                <w:szCs w:val="24"/>
              </w:rPr>
              <w:drawing>
                <wp:inline distT="0" distB="0" distL="0" distR="0" wp14:anchorId="02430B82" wp14:editId="611D3D70">
                  <wp:extent cx="2612764" cy="1657350"/>
                  <wp:effectExtent l="0" t="0" r="0" b="0"/>
                  <wp:docPr id="1927817016" name="Picture 1" descr="A black square academic cap with tasse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817016" name="Picture 1" descr="A black square academic cap with tassel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3" cy="166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6" w:type="dxa"/>
            <w:shd w:val="clear" w:color="auto" w:fill="EDF4F9"/>
          </w:tcPr>
          <w:p w14:paraId="7A24734B" w14:textId="77777777" w:rsidR="00A34AC5" w:rsidRPr="00A34AC5" w:rsidRDefault="00A34AC5" w:rsidP="00A34AC5">
            <w:pPr>
              <w:spacing w:before="120" w:after="120"/>
              <w:rPr>
                <w:rFonts w:ascii="Arial Narrow" w:hAnsi="Arial Narrow"/>
                <w:sz w:val="20"/>
                <w:szCs w:val="20"/>
                <w:lang w:val="fr-CA"/>
              </w:rPr>
            </w:pPr>
            <w:r>
              <w:rPr>
                <w:noProof/>
                <w:lang w:val="fr-CA"/>
              </w:rPr>
              <w:drawing>
                <wp:inline distT="0" distB="0" distL="0" distR="0" wp14:anchorId="39CAC8E8" wp14:editId="338A473F">
                  <wp:extent cx="3905250" cy="1657350"/>
                  <wp:effectExtent l="0" t="0" r="0" b="0"/>
                  <wp:docPr id="1291854265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854265" name="Picture 2" descr="A close up of a sign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6736" cy="1666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AC5" w:rsidRPr="00F52183" w14:paraId="75D224B8" w14:textId="77777777" w:rsidTr="00A34AC5">
        <w:trPr>
          <w:trHeight w:val="460"/>
        </w:trPr>
        <w:tc>
          <w:tcPr>
            <w:tcW w:w="4330" w:type="dxa"/>
            <w:shd w:val="clear" w:color="auto" w:fill="EDF4F9"/>
          </w:tcPr>
          <w:p w14:paraId="2737DDE8" w14:textId="77777777" w:rsidR="00A34AC5" w:rsidRPr="00E6177F" w:rsidRDefault="00A34AC5" w:rsidP="00A34AC5">
            <w:pPr>
              <w:spacing w:before="120" w:after="120"/>
              <w:rPr>
                <w:rFonts w:ascii="Arial Narrow" w:hAnsi="Arial Narrow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 w:rsidRPr="00E6177F">
              <w:rPr>
                <w:rFonts w:ascii="Arial Narrow" w:hAnsi="Arial Narrow"/>
                <w:b/>
                <w:bCs/>
                <w:color w:val="1F3864" w:themeColor="accent1" w:themeShade="80"/>
                <w:sz w:val="24"/>
                <w:szCs w:val="24"/>
              </w:rPr>
              <w:t>Insécurité</w:t>
            </w:r>
            <w:proofErr w:type="spellEnd"/>
            <w:r w:rsidRPr="00E6177F">
              <w:rPr>
                <w:rFonts w:ascii="Arial Narrow" w:hAnsi="Arial Narrow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6177F">
              <w:rPr>
                <w:rFonts w:ascii="Arial Narrow" w:hAnsi="Arial Narrow"/>
                <w:b/>
                <w:bCs/>
                <w:color w:val="1F3864" w:themeColor="accent1" w:themeShade="80"/>
                <w:sz w:val="24"/>
                <w:szCs w:val="24"/>
              </w:rPr>
              <w:t>Linguistique</w:t>
            </w:r>
            <w:proofErr w:type="spellEnd"/>
          </w:p>
        </w:tc>
        <w:tc>
          <w:tcPr>
            <w:tcW w:w="6366" w:type="dxa"/>
            <w:shd w:val="clear" w:color="auto" w:fill="EDF4F9"/>
          </w:tcPr>
          <w:p w14:paraId="2548D2F7" w14:textId="77777777" w:rsidR="00A34AC5" w:rsidRPr="00F52183" w:rsidRDefault="00A34AC5" w:rsidP="00A34AC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lang w:val="fr-CA"/>
              </w:rPr>
            </w:pPr>
            <w:hyperlink r:id="rId7" w:history="1">
              <w:r w:rsidRPr="00287A9D">
                <w:rPr>
                  <w:rStyle w:val="Hyperlink"/>
                  <w:rFonts w:ascii="Arial Narrow" w:hAnsi="Arial Narrow" w:cs="Arial"/>
                  <w:color w:val="3366BB"/>
                  <w:sz w:val="20"/>
                  <w:szCs w:val="20"/>
                  <w:lang w:val="fr-CA"/>
                </w:rPr>
                <w:t>De l'insécurité à la résilience linguistique</w:t>
              </w:r>
            </w:hyperlink>
            <w:r w:rsidRPr="00287A9D">
              <w:rPr>
                <w:rFonts w:ascii="Arial Narrow" w:hAnsi="Arial Narrow" w:cs="Arial"/>
                <w:color w:val="202122"/>
                <w:sz w:val="20"/>
                <w:szCs w:val="20"/>
                <w:shd w:val="clear" w:color="auto" w:fill="FFFFFF"/>
                <w:lang w:val="fr-CA"/>
              </w:rPr>
              <w:t> </w:t>
            </w:r>
          </w:p>
        </w:tc>
      </w:tr>
      <w:tr w:rsidR="00A34AC5" w:rsidRPr="00F52183" w14:paraId="7E07EC2F" w14:textId="77777777" w:rsidTr="00A34AC5">
        <w:trPr>
          <w:trHeight w:val="460"/>
        </w:trPr>
        <w:tc>
          <w:tcPr>
            <w:tcW w:w="4330" w:type="dxa"/>
            <w:shd w:val="clear" w:color="auto" w:fill="EDF4F9"/>
          </w:tcPr>
          <w:p w14:paraId="19D7A2A1" w14:textId="77777777" w:rsidR="00A34AC5" w:rsidRPr="00E6177F" w:rsidRDefault="00A34AC5" w:rsidP="00A34AC5">
            <w:pPr>
              <w:spacing w:before="120" w:after="120"/>
              <w:rPr>
                <w:rFonts w:ascii="Arial Narrow" w:hAnsi="Arial Narrow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 w:rsidRPr="00E6177F">
              <w:rPr>
                <w:rFonts w:ascii="Arial Narrow" w:hAnsi="Arial Narrow"/>
                <w:b/>
                <w:bCs/>
                <w:color w:val="1F3864" w:themeColor="accent1" w:themeShade="80"/>
                <w:sz w:val="24"/>
                <w:szCs w:val="24"/>
              </w:rPr>
              <w:t>Langues</w:t>
            </w:r>
            <w:proofErr w:type="spellEnd"/>
            <w:r w:rsidRPr="00E6177F">
              <w:rPr>
                <w:rFonts w:ascii="Arial Narrow" w:hAnsi="Arial Narrow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6177F">
              <w:rPr>
                <w:rFonts w:ascii="Arial Narrow" w:hAnsi="Arial Narrow"/>
                <w:b/>
                <w:bCs/>
                <w:color w:val="1F3864" w:themeColor="accent1" w:themeShade="80"/>
                <w:sz w:val="24"/>
                <w:szCs w:val="24"/>
              </w:rPr>
              <w:t>Officielles</w:t>
            </w:r>
            <w:proofErr w:type="spellEnd"/>
          </w:p>
        </w:tc>
        <w:tc>
          <w:tcPr>
            <w:tcW w:w="6366" w:type="dxa"/>
            <w:shd w:val="clear" w:color="auto" w:fill="EDF4F9"/>
          </w:tcPr>
          <w:p w14:paraId="0086B0AA" w14:textId="77777777" w:rsidR="00A34AC5" w:rsidRPr="00287A9D" w:rsidRDefault="00A34AC5" w:rsidP="00A34AC5">
            <w:pPr>
              <w:numPr>
                <w:ilvl w:val="0"/>
                <w:numId w:val="1"/>
              </w:numPr>
              <w:shd w:val="clear" w:color="auto" w:fill="EDF4F9"/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0"/>
                <w:szCs w:val="20"/>
                <w:lang w:val="fr-CA" w:eastAsia="en-CA"/>
                <w14:ligatures w14:val="none"/>
              </w:rPr>
            </w:pPr>
            <w:hyperlink r:id="rId8" w:history="1">
              <w:r w:rsidRPr="00287A9D">
                <w:rPr>
                  <w:rFonts w:ascii="Arial Narrow" w:eastAsia="Times New Roman" w:hAnsi="Arial Narrow" w:cs="Arial"/>
                  <w:color w:val="3366BB"/>
                  <w:kern w:val="0"/>
                  <w:sz w:val="20"/>
                  <w:szCs w:val="20"/>
                  <w:u w:val="single"/>
                  <w:lang w:val="fr-CA" w:eastAsia="en-CA"/>
                  <w14:ligatures w14:val="none"/>
                </w:rPr>
                <w:t>Gestion des obligation en matière de langues officielles (FON413)</w:t>
              </w:r>
            </w:hyperlink>
          </w:p>
          <w:p w14:paraId="4A3429BF" w14:textId="77777777" w:rsidR="00A34AC5" w:rsidRPr="00287A9D" w:rsidRDefault="00A34AC5" w:rsidP="00A34AC5">
            <w:pPr>
              <w:numPr>
                <w:ilvl w:val="0"/>
                <w:numId w:val="1"/>
              </w:numPr>
              <w:shd w:val="clear" w:color="auto" w:fill="EDF4F9"/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0"/>
                <w:szCs w:val="20"/>
                <w:lang w:val="fr-CA" w:eastAsia="en-CA"/>
                <w14:ligatures w14:val="none"/>
              </w:rPr>
            </w:pPr>
            <w:hyperlink r:id="rId9" w:history="1">
              <w:r w:rsidRPr="00287A9D">
                <w:rPr>
                  <w:rFonts w:ascii="Arial Narrow" w:eastAsia="Times New Roman" w:hAnsi="Arial Narrow" w:cs="Arial"/>
                  <w:color w:val="3366BB"/>
                  <w:kern w:val="0"/>
                  <w:sz w:val="20"/>
                  <w:szCs w:val="20"/>
                  <w:u w:val="single"/>
                  <w:lang w:val="fr-CA" w:eastAsia="en-CA"/>
                  <w14:ligatures w14:val="none"/>
                </w:rPr>
                <w:t>La langue de travail: Connaître ses droits et responsabilités (FON414)</w:t>
              </w:r>
            </w:hyperlink>
          </w:p>
          <w:p w14:paraId="4E3262DF" w14:textId="77777777" w:rsidR="00A34AC5" w:rsidRPr="001E6A24" w:rsidRDefault="00A34AC5" w:rsidP="00A34AC5">
            <w:pPr>
              <w:numPr>
                <w:ilvl w:val="0"/>
                <w:numId w:val="1"/>
              </w:numPr>
              <w:shd w:val="clear" w:color="auto" w:fill="EDF4F9"/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0"/>
                <w:szCs w:val="20"/>
                <w:lang w:val="fr-CA" w:eastAsia="en-CA"/>
                <w14:ligatures w14:val="none"/>
              </w:rPr>
            </w:pPr>
            <w:hyperlink r:id="rId10" w:history="1">
              <w:r w:rsidRPr="001E6A24">
                <w:rPr>
                  <w:rFonts w:ascii="Arial Narrow" w:eastAsia="Times New Roman" w:hAnsi="Arial Narrow" w:cs="Arial"/>
                  <w:color w:val="3366BB"/>
                  <w:kern w:val="0"/>
                  <w:sz w:val="20"/>
                  <w:szCs w:val="20"/>
                  <w:u w:val="single"/>
                  <w:shd w:val="clear" w:color="auto" w:fill="EDF4F9"/>
                  <w:lang w:val="fr-CA" w:eastAsia="en-CA"/>
                  <w14:ligatures w14:val="none"/>
                </w:rPr>
                <w:t>Respecter les langues officielles dans la fonction publique (FON415)</w:t>
              </w:r>
            </w:hyperlink>
          </w:p>
        </w:tc>
      </w:tr>
      <w:tr w:rsidR="00A34AC5" w:rsidRPr="00F52183" w14:paraId="7B93E22B" w14:textId="77777777" w:rsidTr="00A34AC5">
        <w:tc>
          <w:tcPr>
            <w:tcW w:w="4330" w:type="dxa"/>
            <w:shd w:val="clear" w:color="auto" w:fill="EDF4F9"/>
          </w:tcPr>
          <w:p w14:paraId="10FCCBDA" w14:textId="77777777" w:rsidR="00A34AC5" w:rsidRPr="00E6177F" w:rsidRDefault="00A34AC5" w:rsidP="00A34AC5">
            <w:pPr>
              <w:spacing w:before="120" w:after="120"/>
              <w:rPr>
                <w:rFonts w:ascii="Arial Narrow" w:hAnsi="Arial Narrow"/>
                <w:b/>
                <w:bCs/>
                <w:color w:val="1F3864" w:themeColor="accent1" w:themeShade="80"/>
                <w:sz w:val="24"/>
                <w:szCs w:val="24"/>
                <w:lang w:val="fr-CA"/>
              </w:rPr>
            </w:pPr>
            <w:r w:rsidRPr="00E6177F">
              <w:rPr>
                <w:rFonts w:ascii="Arial Narrow" w:hAnsi="Arial Narrow"/>
                <w:b/>
                <w:bCs/>
                <w:color w:val="1F3864" w:themeColor="accent1" w:themeShade="80"/>
                <w:sz w:val="24"/>
                <w:szCs w:val="24"/>
                <w:lang w:val="fr-CA"/>
              </w:rPr>
              <w:t>Apprentissage de l'anglais et du Français</w:t>
            </w:r>
          </w:p>
        </w:tc>
        <w:tc>
          <w:tcPr>
            <w:tcW w:w="6366" w:type="dxa"/>
            <w:shd w:val="clear" w:color="auto" w:fill="EDF4F9"/>
          </w:tcPr>
          <w:p w14:paraId="4D251893" w14:textId="77777777" w:rsidR="00A34AC5" w:rsidRPr="00287A9D" w:rsidRDefault="00A34AC5" w:rsidP="00A34AC5">
            <w:pPr>
              <w:shd w:val="clear" w:color="auto" w:fill="EDF4F9"/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0"/>
                <w:szCs w:val="20"/>
                <w:lang w:val="fr-CA" w:eastAsia="en-CA"/>
                <w14:ligatures w14:val="none"/>
              </w:rPr>
            </w:pPr>
            <w:r w:rsidRPr="00D2110D">
              <w:rPr>
                <w:rFonts w:ascii="Arial Narrow" w:eastAsia="Times New Roman" w:hAnsi="Arial Narrow" w:cs="Arial"/>
                <w:color w:val="202122"/>
                <w:kern w:val="0"/>
                <w:sz w:val="20"/>
                <w:szCs w:val="20"/>
                <w:shd w:val="clear" w:color="auto" w:fill="EDF4F9"/>
                <w:lang w:val="fr-CA" w:eastAsia="en-CA"/>
                <w14:ligatures w14:val="none"/>
              </w:rPr>
              <w:t>L'</w:t>
            </w:r>
            <w:hyperlink r:id="rId11" w:history="1">
              <w:r w:rsidRPr="00D2110D">
                <w:rPr>
                  <w:rFonts w:ascii="Arial Narrow" w:eastAsia="Times New Roman" w:hAnsi="Arial Narrow" w:cs="Arial"/>
                  <w:color w:val="3366BB"/>
                  <w:kern w:val="0"/>
                  <w:sz w:val="20"/>
                  <w:szCs w:val="20"/>
                  <w:u w:val="single"/>
                  <w:shd w:val="clear" w:color="auto" w:fill="EDF4F9"/>
                  <w:lang w:val="fr-CA" w:eastAsia="en-CA"/>
                  <w14:ligatures w14:val="none"/>
                </w:rPr>
                <w:t>Application Mauril</w:t>
              </w:r>
            </w:hyperlink>
            <w:r w:rsidRPr="00D2110D">
              <w:rPr>
                <w:rFonts w:ascii="Arial Narrow" w:eastAsia="Times New Roman" w:hAnsi="Arial Narrow" w:cs="Arial"/>
                <w:color w:val="202122"/>
                <w:kern w:val="0"/>
                <w:sz w:val="20"/>
                <w:szCs w:val="20"/>
                <w:shd w:val="clear" w:color="auto" w:fill="EDF4F9"/>
                <w:lang w:val="fr-CA" w:eastAsia="en-CA"/>
                <w14:ligatures w14:val="none"/>
              </w:rPr>
              <w:t> est une façon stimulante et divertissante d'apprendre l'anglais</w:t>
            </w:r>
            <w:r w:rsidRPr="00287A9D">
              <w:rPr>
                <w:rFonts w:ascii="Arial Narrow" w:eastAsia="Times New Roman" w:hAnsi="Arial Narrow" w:cs="Arial"/>
                <w:color w:val="202122"/>
                <w:kern w:val="0"/>
                <w:sz w:val="20"/>
                <w:szCs w:val="20"/>
                <w:lang w:val="fr-CA" w:eastAsia="en-CA"/>
                <w14:ligatures w14:val="none"/>
              </w:rPr>
              <w:t xml:space="preserve"> et le français.</w:t>
            </w:r>
          </w:p>
          <w:p w14:paraId="232CA9F4" w14:textId="77777777" w:rsidR="00A34AC5" w:rsidRPr="00287A9D" w:rsidRDefault="00A34AC5" w:rsidP="00A34AC5">
            <w:pPr>
              <w:pStyle w:val="ListParagraph"/>
              <w:numPr>
                <w:ilvl w:val="0"/>
                <w:numId w:val="5"/>
              </w:numPr>
              <w:shd w:val="clear" w:color="auto" w:fill="EDF4F9"/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0"/>
                <w:szCs w:val="20"/>
                <w:lang w:val="fr-CA" w:eastAsia="en-CA"/>
                <w14:ligatures w14:val="none"/>
              </w:rPr>
            </w:pPr>
            <w:r w:rsidRPr="00287A9D">
              <w:rPr>
                <w:rFonts w:ascii="Arial Narrow" w:eastAsia="Times New Roman" w:hAnsi="Arial Narrow" w:cs="Arial"/>
                <w:color w:val="202122"/>
                <w:kern w:val="0"/>
                <w:sz w:val="20"/>
                <w:szCs w:val="20"/>
                <w:lang w:val="fr-CA" w:eastAsia="en-CA"/>
                <w14:ligatures w14:val="none"/>
              </w:rPr>
              <w:t>Modèles de courriel de promotion:</w:t>
            </w:r>
          </w:p>
          <w:p w14:paraId="0380B45C" w14:textId="77777777" w:rsidR="00A34AC5" w:rsidRPr="00D2110D" w:rsidRDefault="00A34AC5" w:rsidP="00A34AC5">
            <w:pPr>
              <w:pStyle w:val="ListParagraph"/>
              <w:numPr>
                <w:ilvl w:val="1"/>
                <w:numId w:val="5"/>
              </w:numPr>
              <w:shd w:val="clear" w:color="auto" w:fill="EDF4F9"/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0"/>
                <w:szCs w:val="20"/>
                <w:lang w:val="fr-CA" w:eastAsia="en-CA"/>
                <w14:ligatures w14:val="none"/>
              </w:rPr>
            </w:pPr>
            <w:hyperlink r:id="rId12" w:tooltip="en:images/2/28/Découvrez Mauril - Discover Mauril.docx" w:history="1">
              <w:r w:rsidRPr="00D2110D">
                <w:rPr>
                  <w:rFonts w:ascii="Arial Narrow" w:eastAsia="Times New Roman" w:hAnsi="Arial Narrow" w:cs="Arial"/>
                  <w:color w:val="3366BB"/>
                  <w:kern w:val="0"/>
                  <w:sz w:val="20"/>
                  <w:szCs w:val="20"/>
                  <w:u w:val="single"/>
                  <w:shd w:val="clear" w:color="auto" w:fill="EDF4F9"/>
                  <w:lang w:val="fr-CA" w:eastAsia="en-CA"/>
                  <w14:ligatures w14:val="none"/>
                </w:rPr>
                <w:t>Découvrez Mauril / Discover Mauril</w:t>
              </w:r>
            </w:hyperlink>
            <w:r w:rsidRPr="00D2110D">
              <w:rPr>
                <w:rFonts w:ascii="Arial Narrow" w:eastAsia="Times New Roman" w:hAnsi="Arial Narrow" w:cs="Arial"/>
                <w:color w:val="202122"/>
                <w:kern w:val="0"/>
                <w:sz w:val="20"/>
                <w:szCs w:val="20"/>
                <w:shd w:val="clear" w:color="auto" w:fill="EDF4F9"/>
                <w:lang w:val="fr-CA" w:eastAsia="en-CA"/>
                <w14:ligatures w14:val="none"/>
              </w:rPr>
              <w:t> (message en français, suivi de l'anglais) ;</w:t>
            </w:r>
          </w:p>
        </w:tc>
      </w:tr>
      <w:tr w:rsidR="00A34AC5" w:rsidRPr="00F52183" w14:paraId="256A837D" w14:textId="77777777" w:rsidTr="00A34AC5">
        <w:tc>
          <w:tcPr>
            <w:tcW w:w="4330" w:type="dxa"/>
            <w:shd w:val="clear" w:color="auto" w:fill="EDF4F9"/>
          </w:tcPr>
          <w:p w14:paraId="73588706" w14:textId="77777777" w:rsidR="00A34AC5" w:rsidRPr="00E6177F" w:rsidRDefault="00A34AC5" w:rsidP="00A34AC5">
            <w:pPr>
              <w:spacing w:before="120" w:after="120"/>
              <w:rPr>
                <w:rFonts w:ascii="Arial Narrow" w:hAnsi="Arial Narrow"/>
                <w:b/>
                <w:bCs/>
                <w:color w:val="1F3864" w:themeColor="accent1" w:themeShade="80"/>
                <w:sz w:val="24"/>
                <w:szCs w:val="24"/>
                <w:lang w:val="fr-CA"/>
              </w:rPr>
            </w:pPr>
            <w:r w:rsidRPr="00E6177F">
              <w:rPr>
                <w:rFonts w:ascii="Arial Narrow" w:hAnsi="Arial Narrow"/>
                <w:b/>
                <w:bCs/>
                <w:color w:val="1F3864" w:themeColor="accent1" w:themeShade="80"/>
                <w:sz w:val="24"/>
                <w:szCs w:val="24"/>
                <w:lang w:val="fr-CA"/>
              </w:rPr>
              <w:t>Outil de maintien des acquis</w:t>
            </w:r>
          </w:p>
        </w:tc>
        <w:tc>
          <w:tcPr>
            <w:tcW w:w="6366" w:type="dxa"/>
            <w:shd w:val="clear" w:color="auto" w:fill="EDF4F9"/>
          </w:tcPr>
          <w:p w14:paraId="2640F7AE" w14:textId="77777777" w:rsidR="00A34AC5" w:rsidRPr="00D2110D" w:rsidRDefault="00A34AC5" w:rsidP="00A34AC5">
            <w:pPr>
              <w:pStyle w:val="ListParagraph"/>
              <w:numPr>
                <w:ilvl w:val="0"/>
                <w:numId w:val="4"/>
              </w:numPr>
              <w:shd w:val="clear" w:color="auto" w:fill="EDF4F9"/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0"/>
                <w:szCs w:val="20"/>
                <w:lang w:val="fr-CA" w:eastAsia="en-CA"/>
                <w14:ligatures w14:val="none"/>
              </w:rPr>
            </w:pPr>
            <w:hyperlink r:id="rId13" w:history="1">
              <w:r w:rsidRPr="00287A9D">
                <w:rPr>
                  <w:rFonts w:ascii="Arial Narrow" w:eastAsia="Times New Roman" w:hAnsi="Arial Narrow" w:cs="Arial"/>
                  <w:color w:val="3366BB"/>
                  <w:kern w:val="0"/>
                  <w:sz w:val="20"/>
                  <w:szCs w:val="20"/>
                  <w:lang w:val="fr-CA" w:eastAsia="en-CA"/>
                  <w14:ligatures w14:val="none"/>
                </w:rPr>
                <w:t>Outils de maintien des acquis linguistiques - EFPC (csps-efpc.gc.ca)</w:t>
              </w:r>
            </w:hyperlink>
          </w:p>
        </w:tc>
      </w:tr>
    </w:tbl>
    <w:p w14:paraId="195E8073" w14:textId="3156E8F2" w:rsidR="007B1858" w:rsidRPr="00F52183" w:rsidRDefault="007B1858" w:rsidP="00A34AC5">
      <w:pPr>
        <w:rPr>
          <w:lang w:val="fr-CA"/>
        </w:rPr>
      </w:pPr>
    </w:p>
    <w:sectPr w:rsidR="007B1858" w:rsidRPr="00F52183" w:rsidSect="00CB791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979A2"/>
    <w:multiLevelType w:val="hybridMultilevel"/>
    <w:tmpl w:val="E0F22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F1096"/>
    <w:multiLevelType w:val="multilevel"/>
    <w:tmpl w:val="10B0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B80EFB"/>
    <w:multiLevelType w:val="hybridMultilevel"/>
    <w:tmpl w:val="B52A90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871E9"/>
    <w:multiLevelType w:val="hybridMultilevel"/>
    <w:tmpl w:val="33F6E8CC"/>
    <w:lvl w:ilvl="0" w:tplc="5EE86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24910"/>
    <w:multiLevelType w:val="multilevel"/>
    <w:tmpl w:val="676C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1082691">
    <w:abstractNumId w:val="3"/>
  </w:num>
  <w:num w:numId="2" w16cid:durableId="2032877822">
    <w:abstractNumId w:val="1"/>
  </w:num>
  <w:num w:numId="3" w16cid:durableId="1189028651">
    <w:abstractNumId w:val="4"/>
  </w:num>
  <w:num w:numId="4" w16cid:durableId="1590456856">
    <w:abstractNumId w:val="2"/>
  </w:num>
  <w:num w:numId="5" w16cid:durableId="24623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EC"/>
    <w:rsid w:val="00030A91"/>
    <w:rsid w:val="00047E92"/>
    <w:rsid w:val="00054B21"/>
    <w:rsid w:val="0006663D"/>
    <w:rsid w:val="00073C90"/>
    <w:rsid w:val="000B40E4"/>
    <w:rsid w:val="000F7615"/>
    <w:rsid w:val="001044AD"/>
    <w:rsid w:val="00122A24"/>
    <w:rsid w:val="001265AB"/>
    <w:rsid w:val="0014120E"/>
    <w:rsid w:val="001E6A24"/>
    <w:rsid w:val="001E70AA"/>
    <w:rsid w:val="001F79D6"/>
    <w:rsid w:val="00200386"/>
    <w:rsid w:val="002074BA"/>
    <w:rsid w:val="00215322"/>
    <w:rsid w:val="00221569"/>
    <w:rsid w:val="00232A71"/>
    <w:rsid w:val="00241780"/>
    <w:rsid w:val="00253579"/>
    <w:rsid w:val="00277278"/>
    <w:rsid w:val="00287A9D"/>
    <w:rsid w:val="002C2E73"/>
    <w:rsid w:val="002C47F5"/>
    <w:rsid w:val="002C6A93"/>
    <w:rsid w:val="002D28AB"/>
    <w:rsid w:val="002E5FD5"/>
    <w:rsid w:val="002E718F"/>
    <w:rsid w:val="002F3C9E"/>
    <w:rsid w:val="00302EA5"/>
    <w:rsid w:val="00305557"/>
    <w:rsid w:val="00343A4C"/>
    <w:rsid w:val="00354EC1"/>
    <w:rsid w:val="00365886"/>
    <w:rsid w:val="003774EC"/>
    <w:rsid w:val="00397A75"/>
    <w:rsid w:val="003F541A"/>
    <w:rsid w:val="00433A41"/>
    <w:rsid w:val="00473349"/>
    <w:rsid w:val="0048359C"/>
    <w:rsid w:val="00484950"/>
    <w:rsid w:val="00484EEB"/>
    <w:rsid w:val="0048552F"/>
    <w:rsid w:val="004B50B1"/>
    <w:rsid w:val="004F124C"/>
    <w:rsid w:val="00504AE5"/>
    <w:rsid w:val="005141CD"/>
    <w:rsid w:val="00521C19"/>
    <w:rsid w:val="00545097"/>
    <w:rsid w:val="0055098A"/>
    <w:rsid w:val="005728AB"/>
    <w:rsid w:val="0057477F"/>
    <w:rsid w:val="00593990"/>
    <w:rsid w:val="005B5DFA"/>
    <w:rsid w:val="0063363F"/>
    <w:rsid w:val="00634EAE"/>
    <w:rsid w:val="00670E00"/>
    <w:rsid w:val="00672DE6"/>
    <w:rsid w:val="00677747"/>
    <w:rsid w:val="00691EFF"/>
    <w:rsid w:val="006A56B3"/>
    <w:rsid w:val="006C3AD1"/>
    <w:rsid w:val="006F5482"/>
    <w:rsid w:val="0070651A"/>
    <w:rsid w:val="00710EE5"/>
    <w:rsid w:val="00742780"/>
    <w:rsid w:val="00771FFC"/>
    <w:rsid w:val="007827CB"/>
    <w:rsid w:val="007938DD"/>
    <w:rsid w:val="007B1858"/>
    <w:rsid w:val="007E0FCB"/>
    <w:rsid w:val="007F42C5"/>
    <w:rsid w:val="007F449D"/>
    <w:rsid w:val="008001F6"/>
    <w:rsid w:val="00834579"/>
    <w:rsid w:val="0083677D"/>
    <w:rsid w:val="00884158"/>
    <w:rsid w:val="0089145A"/>
    <w:rsid w:val="008E4953"/>
    <w:rsid w:val="008E61BE"/>
    <w:rsid w:val="008F6BA0"/>
    <w:rsid w:val="00911443"/>
    <w:rsid w:val="0093262C"/>
    <w:rsid w:val="00947A7B"/>
    <w:rsid w:val="0095149A"/>
    <w:rsid w:val="00956D7B"/>
    <w:rsid w:val="00961226"/>
    <w:rsid w:val="009702C3"/>
    <w:rsid w:val="009723A6"/>
    <w:rsid w:val="00975895"/>
    <w:rsid w:val="009916C4"/>
    <w:rsid w:val="009B4DA5"/>
    <w:rsid w:val="00A3108D"/>
    <w:rsid w:val="00A34AC5"/>
    <w:rsid w:val="00A939C3"/>
    <w:rsid w:val="00AC2A47"/>
    <w:rsid w:val="00AE56C7"/>
    <w:rsid w:val="00AF683D"/>
    <w:rsid w:val="00B549A2"/>
    <w:rsid w:val="00B61832"/>
    <w:rsid w:val="00B7649F"/>
    <w:rsid w:val="00B869D8"/>
    <w:rsid w:val="00B94A57"/>
    <w:rsid w:val="00BA028E"/>
    <w:rsid w:val="00BD382A"/>
    <w:rsid w:val="00BF12EC"/>
    <w:rsid w:val="00C21F0F"/>
    <w:rsid w:val="00C7518F"/>
    <w:rsid w:val="00C852A9"/>
    <w:rsid w:val="00C93A24"/>
    <w:rsid w:val="00CB3F27"/>
    <w:rsid w:val="00CB426F"/>
    <w:rsid w:val="00CB7131"/>
    <w:rsid w:val="00CB7913"/>
    <w:rsid w:val="00CE222F"/>
    <w:rsid w:val="00CE687F"/>
    <w:rsid w:val="00D2110D"/>
    <w:rsid w:val="00D27DD7"/>
    <w:rsid w:val="00D43372"/>
    <w:rsid w:val="00D61B13"/>
    <w:rsid w:val="00D664EA"/>
    <w:rsid w:val="00D91C6E"/>
    <w:rsid w:val="00D974E0"/>
    <w:rsid w:val="00DB310A"/>
    <w:rsid w:val="00DE4318"/>
    <w:rsid w:val="00DF634F"/>
    <w:rsid w:val="00E041A8"/>
    <w:rsid w:val="00E61417"/>
    <w:rsid w:val="00E6177F"/>
    <w:rsid w:val="00E64B48"/>
    <w:rsid w:val="00E676FB"/>
    <w:rsid w:val="00E91CA8"/>
    <w:rsid w:val="00E944C5"/>
    <w:rsid w:val="00E97576"/>
    <w:rsid w:val="00E9758A"/>
    <w:rsid w:val="00E97BE2"/>
    <w:rsid w:val="00EC3499"/>
    <w:rsid w:val="00F0342F"/>
    <w:rsid w:val="00F22226"/>
    <w:rsid w:val="00F43BFA"/>
    <w:rsid w:val="00F52183"/>
    <w:rsid w:val="00F70848"/>
    <w:rsid w:val="00FB122C"/>
    <w:rsid w:val="00FB4FBB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8A7DE"/>
  <w15:chartTrackingRefBased/>
  <w15:docId w15:val="{67549583-9822-41BB-B8F5-9287E883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827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1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1B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827CB"/>
    <w:rPr>
      <w:rFonts w:ascii="Times New Roman" w:eastAsia="Times New Roman" w:hAnsi="Times New Roman" w:cs="Times New Roman"/>
      <w:b/>
      <w:bCs/>
      <w:kern w:val="0"/>
      <w:sz w:val="27"/>
      <w:szCs w:val="27"/>
      <w:lang w:eastAsia="en-CA"/>
      <w14:ligatures w14:val="none"/>
    </w:rPr>
  </w:style>
  <w:style w:type="character" w:customStyle="1" w:styleId="mw-headline">
    <w:name w:val="mw-headline"/>
    <w:basedOn w:val="DefaultParagraphFont"/>
    <w:rsid w:val="007827C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6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CA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649F"/>
    <w:rPr>
      <w:rFonts w:ascii="Courier New" w:eastAsia="Times New Roman" w:hAnsi="Courier New" w:cs="Courier New"/>
      <w:kern w:val="0"/>
      <w:sz w:val="20"/>
      <w:szCs w:val="20"/>
      <w:lang w:eastAsia="en-CA"/>
      <w14:ligatures w14:val="none"/>
    </w:rPr>
  </w:style>
  <w:style w:type="character" w:customStyle="1" w:styleId="y2iqfc">
    <w:name w:val="y2iqfc"/>
    <w:basedOn w:val="DefaultParagraphFont"/>
    <w:rsid w:val="00B7649F"/>
  </w:style>
  <w:style w:type="character" w:styleId="FollowedHyperlink">
    <w:name w:val="FollowedHyperlink"/>
    <w:basedOn w:val="DefaultParagraphFont"/>
    <w:uiPriority w:val="99"/>
    <w:semiHidden/>
    <w:unhideWhenUsed/>
    <w:rsid w:val="00343A4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ue.csps-efpc.gc.ca/product?catalog=FON413&amp;cm_locale=fr" TargetMode="External"/><Relationship Id="rId13" Type="http://schemas.openxmlformats.org/officeDocument/2006/relationships/hyperlink" Target="https://www.csps-efpc.gc.ca/lt/index-fra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sps-efpc.gc.ca/tools/jobaids/linguistic-insecurity-fra.aspx" TargetMode="External"/><Relationship Id="rId12" Type="http://schemas.openxmlformats.org/officeDocument/2006/relationships/hyperlink" Target="https://wiki.gccollab.ca/images/2/28/D%C3%A9couvrez_Mauril_-_Discover_Mauril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auril.ca/index.htm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catalogue.csps-efpc.gc.ca/product?catalog=FON415&amp;cm_locale=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ue.csps-efpc.gc.ca/product?catalog=FON414&amp;cm_locale=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Gaudreau, Elyse (SPAC/PSPC)</dc:creator>
  <cp:keywords/>
  <dc:description/>
  <cp:lastModifiedBy>Gaudreau, Elyse (SPAC/PSPC)</cp:lastModifiedBy>
  <cp:revision>179</cp:revision>
  <dcterms:created xsi:type="dcterms:W3CDTF">2024-10-08T19:04:00Z</dcterms:created>
  <dcterms:modified xsi:type="dcterms:W3CDTF">2024-10-18T17:12:00Z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2024-10-08T19:22:05Z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80c3b093-97ed-4732-9d7c-f1302ea9946a</vt:lpwstr>
  </property>
  <property fmtid="{D5CDD505-2E9C-101B-9397-08002B2CF9AE}" pid="8" name="MSIP_Label_834ed4f5-eae4-40c7-82be-b1cdf720a1b9_ContentBits">
    <vt:lpwstr>0</vt:lpwstr>
  </property>
</Properties>
</file>