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D755" w14:textId="1506E5D3" w:rsidR="00C00AFE" w:rsidRPr="00AD1208" w:rsidRDefault="00AD1208" w:rsidP="0080352D">
      <w:pPr>
        <w:rPr>
          <w:color w:val="FF0000"/>
        </w:rPr>
      </w:pPr>
      <w:r>
        <w:rPr>
          <w:color w:val="FF0000"/>
        </w:rPr>
        <w:t>FINAL v1.0 Approbation du CEAI GC 2018-03-22</w:t>
      </w:r>
    </w:p>
    <w:p w14:paraId="5BCCB397" w14:textId="77777777" w:rsidR="000248A5" w:rsidRPr="002D58FE" w:rsidRDefault="000248A5" w:rsidP="0080352D"/>
    <w:p w14:paraId="57128E48" w14:textId="77777777" w:rsidR="000248A5" w:rsidRPr="002D58FE" w:rsidRDefault="000248A5" w:rsidP="0080352D"/>
    <w:p w14:paraId="7DE9459B" w14:textId="77777777" w:rsidR="00720F35" w:rsidRDefault="00720F35" w:rsidP="00FB0CA0"/>
    <w:p w14:paraId="79204943" w14:textId="77777777" w:rsidR="00534688" w:rsidRPr="00855FBD" w:rsidRDefault="002D58FE" w:rsidP="002D58FE">
      <w:pPr>
        <w:pStyle w:val="DocumentTitle1"/>
        <w:rPr>
          <w:rFonts w:asciiTheme="minorHAnsi" w:hAnsiTheme="minorHAnsi"/>
          <w:sz w:val="48"/>
        </w:rPr>
      </w:pPr>
      <w:r>
        <w:rPr>
          <w:rFonts w:asciiTheme="minorHAnsi" w:hAnsiTheme="minorHAnsi"/>
          <w:sz w:val="48"/>
        </w:rPr>
        <w:t>Gouvernement du Canada</w:t>
      </w:r>
    </w:p>
    <w:p w14:paraId="66A77637" w14:textId="38DB002E" w:rsidR="00FD67C3" w:rsidRPr="00855FBD" w:rsidRDefault="00D018BA" w:rsidP="00FB0CA0">
      <w:pPr>
        <w:pStyle w:val="DocumentTitle2"/>
        <w:rPr>
          <w:rFonts w:asciiTheme="minorHAnsi" w:hAnsiTheme="minorHAnsi"/>
          <w:sz w:val="48"/>
        </w:rPr>
      </w:pPr>
      <w:r>
        <w:rPr>
          <w:rFonts w:asciiTheme="minorHAnsi" w:hAnsiTheme="minorHAnsi"/>
          <w:sz w:val="48"/>
        </w:rPr>
        <w:t xml:space="preserve">Rôles et responsabilités en matière d’informatique en nuage </w:t>
      </w:r>
    </w:p>
    <w:p w14:paraId="416F04F5" w14:textId="77777777" w:rsidR="00596615" w:rsidRPr="002D58FE" w:rsidRDefault="00596615" w:rsidP="002957DF"/>
    <w:p w14:paraId="5B1DF0D6" w14:textId="77777777" w:rsidR="00C961CA" w:rsidRPr="002D58FE" w:rsidRDefault="00C961CA" w:rsidP="002957DF"/>
    <w:p w14:paraId="75088B84" w14:textId="77777777" w:rsidR="006A5DB5" w:rsidRDefault="006A5DB5" w:rsidP="005E7466"/>
    <w:p w14:paraId="63DD48F4" w14:textId="77777777" w:rsidR="006A5DB5" w:rsidRDefault="006A5DB5" w:rsidP="005E7466"/>
    <w:p w14:paraId="3B44982D" w14:textId="77777777" w:rsidR="00313E4D" w:rsidRDefault="00313E4D" w:rsidP="005E7466"/>
    <w:p w14:paraId="518EC087" w14:textId="77777777" w:rsidR="00D37657" w:rsidRDefault="00D37657" w:rsidP="00A20E9F"/>
    <w:p w14:paraId="586B518B" w14:textId="77777777" w:rsidR="00855FBD" w:rsidRDefault="00855FBD" w:rsidP="00A20E9F"/>
    <w:p w14:paraId="28243689" w14:textId="77777777" w:rsidR="00855FBD" w:rsidRDefault="00855FBD" w:rsidP="00A20E9F"/>
    <w:p w14:paraId="104CF4F9" w14:textId="77777777" w:rsidR="00855FBD" w:rsidRPr="002D58FE" w:rsidRDefault="00855FBD" w:rsidP="00A20E9F"/>
    <w:p w14:paraId="0AFCFF6B" w14:textId="77777777" w:rsidR="002957DF" w:rsidRPr="002D58FE" w:rsidRDefault="002957DF" w:rsidP="002957DF"/>
    <w:p w14:paraId="26DF5229" w14:textId="2456471D" w:rsidR="001133EB" w:rsidRDefault="001133EB" w:rsidP="002957DF"/>
    <w:p w14:paraId="1CF2D703" w14:textId="2926E92D" w:rsidR="00CA6CAF" w:rsidRDefault="00CA6CAF" w:rsidP="002957DF"/>
    <w:p w14:paraId="54CC3039" w14:textId="77777777" w:rsidR="00CA6CAF" w:rsidRPr="002D58FE" w:rsidRDefault="00CA6CAF" w:rsidP="002957DF"/>
    <w:p w14:paraId="785CB07C" w14:textId="61D1C0E1" w:rsidR="00DB6CF2" w:rsidRPr="002D58FE" w:rsidRDefault="01F2B1CA" w:rsidP="00087711">
      <w:pPr>
        <w:pStyle w:val="DocumentTitleDate"/>
        <w:sectPr w:rsidR="00DB6CF2" w:rsidRPr="002D58FE" w:rsidSect="00424D4B">
          <w:headerReference w:type="even" r:id="rId12"/>
          <w:headerReference w:type="default" r:id="rId13"/>
          <w:footerReference w:type="even" r:id="rId14"/>
          <w:footerReference w:type="default" r:id="rId15"/>
          <w:headerReference w:type="first" r:id="rId16"/>
          <w:footerReference w:type="first" r:id="rId17"/>
          <w:pgSz w:w="12242" w:h="15842" w:code="1"/>
          <w:pgMar w:top="2160" w:right="1440" w:bottom="1440" w:left="1440" w:header="720" w:footer="675" w:gutter="0"/>
          <w:pgNumType w:start="1"/>
          <w:cols w:space="720"/>
        </w:sectPr>
      </w:pPr>
      <w:r>
        <w:t>27</w:t>
      </w:r>
      <w:r w:rsidR="00FB480F">
        <w:t> </w:t>
      </w:r>
      <w:r w:rsidR="565C7BEA">
        <w:t>septembre 2022</w:t>
      </w:r>
    </w:p>
    <w:p w14:paraId="060BD6FC" w14:textId="77777777" w:rsidR="004A7B76" w:rsidRPr="00983EA1" w:rsidRDefault="004A7B76" w:rsidP="00F769C5">
      <w:pPr>
        <w:pStyle w:val="Heading"/>
      </w:pPr>
      <w:r>
        <w:lastRenderedPageBreak/>
        <w:t>Sommaire</w:t>
      </w:r>
    </w:p>
    <w:p w14:paraId="53C4DB06" w14:textId="3BF2933D" w:rsidR="00CE5938" w:rsidRPr="00E505F2" w:rsidRDefault="00CE5938" w:rsidP="00F3596C">
      <w:r>
        <w:t xml:space="preserve">L’informatique en nuage a le potentiel d’offrir un moyen flexible de fournir des services de systèmes d’information et offre un modèle de prestation de services optionnels permettant au GC de soutenir son programme de transformation numérique. L’adoption de l’informatique en nuage peut aider le GC à maintenir l’excellence de ses services d’information dans une période où les Canadiens demandent de plus en plus de services en ligne et de renseignements exacts en temps opportun. Cette évolution aura une incidence sur la façon dont nous nous procurons, sécurisons et utilisons les systèmes d’information qui soutiennent les programmes et services du GC et des ministères.  </w:t>
      </w:r>
    </w:p>
    <w:p w14:paraId="49AE1A52" w14:textId="096751F0" w:rsidR="00CE5938" w:rsidRPr="00CE5938" w:rsidRDefault="00CE5938" w:rsidP="00F3596C">
      <w:r>
        <w:t xml:space="preserve">Il faut veiller à atténuer les risques liés à l’utilisation des services infonuagiques. L’adoption de ce modèle </w:t>
      </w:r>
      <w:r>
        <w:rPr>
          <w:color w:val="000000" w:themeColor="text1"/>
        </w:rPr>
        <w:t xml:space="preserve">nécessitera une diligence raisonnable et une prudence de la part du GC dans la sélection du fournisseur de services infonuagiques (FSI) approprié, ainsi qu’une délimitation claire des rôles et responsabilités entre le GC et le FSI pour la </w:t>
      </w:r>
      <w:r>
        <w:t xml:space="preserve">mise en œuvre, l’exploitation et le maintien des contrôles de sécurité qui soutiennent les </w:t>
      </w:r>
      <w:r>
        <w:rPr>
          <w:color w:val="000000" w:themeColor="text1"/>
        </w:rPr>
        <w:t xml:space="preserve">obligations du GC en matière de protection des données et de la confidentialité. </w:t>
      </w:r>
      <w:r>
        <w:t xml:space="preserve">Des </w:t>
      </w:r>
      <w:r>
        <w:rPr>
          <w:color w:val="000000" w:themeColor="text1"/>
        </w:rPr>
        <w:t xml:space="preserve">rôles et des responsabilités clairs doivent également être définis au sein du CG afin de </w:t>
      </w:r>
      <w:r>
        <w:t xml:space="preserve">garantir une utilisation rentable et gérée des risques de l’informatique en nuage pour soutenir la prestation des programmes et des services.  </w:t>
      </w:r>
    </w:p>
    <w:p w14:paraId="467FEE92" w14:textId="3734AA89" w:rsidR="00E538BE" w:rsidRDefault="005B6BAE" w:rsidP="00F3596C">
      <w:r>
        <w:t xml:space="preserve">Afin d’assurer une utilisation rentable et gérée des risques de l’informatique en nuage pour soutenir la prestation des programmes et des services, le présent document décrit les rôles et les responsabilités des divers acteurs du GC qui participeront à la gouvernance, à la planification, à l’orchestration, à la mise en œuvre, à l’exploitation et à la maintenance des services informatiques en nuage. </w:t>
      </w:r>
    </w:p>
    <w:p w14:paraId="7CC6DDEC" w14:textId="77777777" w:rsidR="00E538BE" w:rsidRDefault="00E538BE">
      <w:pPr>
        <w:spacing w:after="0" w:line="240" w:lineRule="auto"/>
        <w:rPr>
          <w:b/>
          <w:sz w:val="28"/>
        </w:rPr>
      </w:pPr>
      <w:r>
        <w:br w:type="page"/>
      </w:r>
    </w:p>
    <w:p w14:paraId="30BB8368" w14:textId="4D4C2226" w:rsidR="00E538BE" w:rsidRPr="00983EA1" w:rsidRDefault="00E538BE" w:rsidP="00E538BE">
      <w:pPr>
        <w:pStyle w:val="Heading"/>
      </w:pPr>
      <w:r>
        <w:lastRenderedPageBreak/>
        <w:t>Historique des révisions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192"/>
        <w:gridCol w:w="6299"/>
        <w:gridCol w:w="2111"/>
      </w:tblGrid>
      <w:tr w:rsidR="00E538BE" w:rsidRPr="000802F4" w14:paraId="0CB1634A" w14:textId="77777777" w:rsidTr="07930E81">
        <w:tc>
          <w:tcPr>
            <w:tcW w:w="621" w:type="pct"/>
            <w:tcBorders>
              <w:right w:val="single" w:sz="4" w:space="0" w:color="FFFFFF" w:themeColor="background1"/>
            </w:tcBorders>
            <w:shd w:val="clear" w:color="auto" w:fill="014F6E"/>
            <w:vAlign w:val="center"/>
          </w:tcPr>
          <w:p w14:paraId="24AD0619" w14:textId="77777777" w:rsidR="00E538BE" w:rsidRPr="00CC0866" w:rsidRDefault="00E538BE" w:rsidP="00CE5938">
            <w:pPr>
              <w:pStyle w:val="TableHeader"/>
            </w:pPr>
            <w:r>
              <w:t>N° de la version du document</w:t>
            </w:r>
          </w:p>
        </w:tc>
        <w:tc>
          <w:tcPr>
            <w:tcW w:w="3280" w:type="pct"/>
            <w:tcBorders>
              <w:left w:val="single" w:sz="4" w:space="0" w:color="FFFFFF" w:themeColor="background1"/>
              <w:right w:val="single" w:sz="4" w:space="0" w:color="FFFFFF" w:themeColor="background1"/>
            </w:tcBorders>
            <w:shd w:val="clear" w:color="auto" w:fill="014F6E"/>
            <w:vAlign w:val="center"/>
          </w:tcPr>
          <w:p w14:paraId="1CCFB457" w14:textId="77777777" w:rsidR="00E538BE" w:rsidRDefault="00E538BE" w:rsidP="00CE5938">
            <w:pPr>
              <w:pStyle w:val="TableHeader"/>
            </w:pPr>
            <w:r>
              <w:t>Modifications</w:t>
            </w:r>
          </w:p>
        </w:tc>
        <w:tc>
          <w:tcPr>
            <w:tcW w:w="1099" w:type="pct"/>
            <w:tcBorders>
              <w:left w:val="single" w:sz="4" w:space="0" w:color="FFFFFF" w:themeColor="background1"/>
            </w:tcBorders>
            <w:shd w:val="clear" w:color="auto" w:fill="014F6E"/>
            <w:vAlign w:val="center"/>
          </w:tcPr>
          <w:p w14:paraId="67463D7A" w14:textId="77777777" w:rsidR="00E538BE" w:rsidRPr="00CC0866" w:rsidRDefault="00E538BE" w:rsidP="00CE5938">
            <w:pPr>
              <w:pStyle w:val="TableHeader"/>
            </w:pPr>
            <w:r>
              <w:t>Date</w:t>
            </w:r>
          </w:p>
        </w:tc>
      </w:tr>
      <w:tr w:rsidR="00E538BE" w:rsidRPr="000802F4" w14:paraId="7A3F0EFC" w14:textId="77777777" w:rsidTr="07930E81">
        <w:tc>
          <w:tcPr>
            <w:tcW w:w="621" w:type="pct"/>
          </w:tcPr>
          <w:p w14:paraId="0C3ACBED" w14:textId="77777777" w:rsidR="00E538BE" w:rsidRPr="00CC0866" w:rsidRDefault="00E538BE" w:rsidP="00CE5938">
            <w:pPr>
              <w:pStyle w:val="TableText"/>
              <w:jc w:val="center"/>
            </w:pPr>
            <w:r>
              <w:t>0.1</w:t>
            </w:r>
          </w:p>
        </w:tc>
        <w:tc>
          <w:tcPr>
            <w:tcW w:w="3280" w:type="pct"/>
          </w:tcPr>
          <w:p w14:paraId="46AE05DC" w14:textId="3B14D81E" w:rsidR="00E538BE" w:rsidRPr="00CC0866" w:rsidRDefault="00E538BE" w:rsidP="00CE5938">
            <w:pPr>
              <w:pStyle w:val="TableText"/>
            </w:pPr>
            <w:r>
              <w:t>Projet initial préparé par la DDPI du SCT, Cyber Sécurité.</w:t>
            </w:r>
          </w:p>
        </w:tc>
        <w:tc>
          <w:tcPr>
            <w:tcW w:w="1099" w:type="pct"/>
          </w:tcPr>
          <w:p w14:paraId="1D239CB2" w14:textId="3B68799A" w:rsidR="00E538BE" w:rsidRDefault="009960EA" w:rsidP="00CE5938">
            <w:pPr>
              <w:pStyle w:val="TableText"/>
              <w:jc w:val="center"/>
            </w:pPr>
            <w:r>
              <w:t>29</w:t>
            </w:r>
            <w:r w:rsidR="00FB480F">
              <w:t> </w:t>
            </w:r>
            <w:r>
              <w:t>septembre 2017</w:t>
            </w:r>
          </w:p>
        </w:tc>
      </w:tr>
      <w:tr w:rsidR="00E538BE" w:rsidRPr="000802F4" w14:paraId="3E0FAC43" w14:textId="77777777" w:rsidTr="07930E81">
        <w:tc>
          <w:tcPr>
            <w:tcW w:w="621" w:type="pct"/>
          </w:tcPr>
          <w:p w14:paraId="602ECDD5" w14:textId="403BBC12" w:rsidR="00E538BE" w:rsidRPr="00CC0866" w:rsidRDefault="00450CDB" w:rsidP="00CE5938">
            <w:pPr>
              <w:pStyle w:val="TableText"/>
              <w:jc w:val="center"/>
            </w:pPr>
            <w:r>
              <w:t>0.2</w:t>
            </w:r>
          </w:p>
        </w:tc>
        <w:tc>
          <w:tcPr>
            <w:tcW w:w="3280" w:type="pct"/>
          </w:tcPr>
          <w:p w14:paraId="7E9B60FB" w14:textId="766E6B36" w:rsidR="00450CDB" w:rsidRPr="00CC0866" w:rsidRDefault="00450CDB" w:rsidP="00CE5938">
            <w:pPr>
              <w:pStyle w:val="TableText"/>
            </w:pPr>
            <w:r>
              <w:t>Mise à jour sur la base des commentaires reçus de l’équipe de Cloud Ninja et de la consultation du groupe de travail sur l’informatique en nuage du GC</w:t>
            </w:r>
          </w:p>
        </w:tc>
        <w:tc>
          <w:tcPr>
            <w:tcW w:w="1099" w:type="pct"/>
          </w:tcPr>
          <w:p w14:paraId="29E48003" w14:textId="58D9352A" w:rsidR="00E538BE" w:rsidRPr="00CC0866" w:rsidRDefault="001804E1" w:rsidP="00CE5938">
            <w:pPr>
              <w:pStyle w:val="TableText"/>
              <w:jc w:val="center"/>
            </w:pPr>
            <w:r>
              <w:t>27</w:t>
            </w:r>
            <w:r w:rsidR="00FB480F">
              <w:t> </w:t>
            </w:r>
            <w:r>
              <w:t>novembre 2017</w:t>
            </w:r>
          </w:p>
        </w:tc>
      </w:tr>
      <w:tr w:rsidR="00901400" w:rsidRPr="000802F4" w14:paraId="4C17AD98" w14:textId="77777777" w:rsidTr="07930E81">
        <w:tc>
          <w:tcPr>
            <w:tcW w:w="621" w:type="pct"/>
          </w:tcPr>
          <w:p w14:paraId="08F53E0E" w14:textId="436B8440" w:rsidR="00901400" w:rsidRDefault="00901400" w:rsidP="00CE5938">
            <w:pPr>
              <w:pStyle w:val="TableText"/>
              <w:jc w:val="center"/>
            </w:pPr>
            <w:r>
              <w:t>0.3</w:t>
            </w:r>
          </w:p>
        </w:tc>
        <w:tc>
          <w:tcPr>
            <w:tcW w:w="3280" w:type="pct"/>
          </w:tcPr>
          <w:p w14:paraId="435A56E8" w14:textId="0FEDB6C9" w:rsidR="00901400" w:rsidRDefault="00901400" w:rsidP="00C04EAA">
            <w:pPr>
              <w:pStyle w:val="TableText"/>
            </w:pPr>
            <w:r>
              <w:t>Transfert de la DDPI du SCT Cyber à la DDPI-DTI du SCT</w:t>
            </w:r>
          </w:p>
        </w:tc>
        <w:tc>
          <w:tcPr>
            <w:tcW w:w="1099" w:type="pct"/>
          </w:tcPr>
          <w:p w14:paraId="7BC4E87B" w14:textId="76255119" w:rsidR="00901400" w:rsidRDefault="00901400" w:rsidP="00CE5938">
            <w:pPr>
              <w:pStyle w:val="TableText"/>
              <w:jc w:val="center"/>
            </w:pPr>
            <w:r>
              <w:t>10</w:t>
            </w:r>
            <w:r w:rsidR="00FB480F">
              <w:t> </w:t>
            </w:r>
            <w:r>
              <w:t>décembre 2017</w:t>
            </w:r>
          </w:p>
        </w:tc>
      </w:tr>
      <w:tr w:rsidR="00E538BE" w:rsidRPr="000802F4" w14:paraId="445ECBE5" w14:textId="77777777" w:rsidTr="07930E81">
        <w:tc>
          <w:tcPr>
            <w:tcW w:w="621" w:type="pct"/>
          </w:tcPr>
          <w:p w14:paraId="7A505084" w14:textId="5132ED16" w:rsidR="00E538BE" w:rsidRPr="00CC0866" w:rsidRDefault="00695FAA" w:rsidP="00CE5938">
            <w:pPr>
              <w:pStyle w:val="TableText"/>
              <w:jc w:val="center"/>
            </w:pPr>
            <w:r>
              <w:t>0.4</w:t>
            </w:r>
          </w:p>
        </w:tc>
        <w:tc>
          <w:tcPr>
            <w:tcW w:w="3280" w:type="pct"/>
          </w:tcPr>
          <w:p w14:paraId="56C793EB" w14:textId="2C700365" w:rsidR="00E538BE" w:rsidRPr="00CC0866" w:rsidRDefault="00695FAA" w:rsidP="00C04EAA">
            <w:pPr>
              <w:pStyle w:val="TableText"/>
            </w:pPr>
            <w:r>
              <w:t>Mise à jour pour tenir compte du CE en informatique en nuage du GC comme groupe de travail et la description associée</w:t>
            </w:r>
          </w:p>
        </w:tc>
        <w:tc>
          <w:tcPr>
            <w:tcW w:w="1099" w:type="pct"/>
          </w:tcPr>
          <w:p w14:paraId="41827211" w14:textId="2C0559D1" w:rsidR="00E538BE" w:rsidRPr="00CC0866" w:rsidRDefault="00695FAA" w:rsidP="00CE5938">
            <w:pPr>
              <w:pStyle w:val="TableText"/>
              <w:jc w:val="center"/>
            </w:pPr>
            <w:r>
              <w:t>19</w:t>
            </w:r>
            <w:r w:rsidR="00FB480F">
              <w:t> </w:t>
            </w:r>
            <w:r>
              <w:t>décembre 2017</w:t>
            </w:r>
          </w:p>
        </w:tc>
      </w:tr>
      <w:tr w:rsidR="00E538BE" w:rsidRPr="000802F4" w14:paraId="0D5F78AC" w14:textId="77777777" w:rsidTr="07930E81">
        <w:tc>
          <w:tcPr>
            <w:tcW w:w="621" w:type="pct"/>
          </w:tcPr>
          <w:p w14:paraId="03C0E23E" w14:textId="1747472F" w:rsidR="00E538BE" w:rsidRPr="00CC0866" w:rsidRDefault="005E0B7D" w:rsidP="00CE5938">
            <w:pPr>
              <w:pStyle w:val="TableText"/>
              <w:jc w:val="center"/>
            </w:pPr>
            <w:r>
              <w:t>0.5</w:t>
            </w:r>
          </w:p>
        </w:tc>
        <w:tc>
          <w:tcPr>
            <w:tcW w:w="3280" w:type="pct"/>
          </w:tcPr>
          <w:p w14:paraId="19B41408" w14:textId="24829E9B" w:rsidR="00E538BE" w:rsidRPr="00CC0866" w:rsidRDefault="005E0B7D" w:rsidP="00CE5938">
            <w:pPr>
              <w:pStyle w:val="TableText"/>
            </w:pPr>
            <w:r>
              <w:t>Approuvé par le CEAI GC</w:t>
            </w:r>
          </w:p>
        </w:tc>
        <w:tc>
          <w:tcPr>
            <w:tcW w:w="1099" w:type="pct"/>
          </w:tcPr>
          <w:p w14:paraId="2C713087" w14:textId="7026EBE7" w:rsidR="00E538BE" w:rsidRPr="00CC0866" w:rsidRDefault="005E0B7D" w:rsidP="005E0B7D">
            <w:pPr>
              <w:pStyle w:val="TableText"/>
              <w:jc w:val="center"/>
            </w:pPr>
            <w:r>
              <w:t>22</w:t>
            </w:r>
            <w:r w:rsidR="00FB480F">
              <w:t> </w:t>
            </w:r>
            <w:r>
              <w:t>mars 2018</w:t>
            </w:r>
          </w:p>
        </w:tc>
      </w:tr>
      <w:tr w:rsidR="07930E81" w14:paraId="47313ECC" w14:textId="77777777" w:rsidTr="07930E81">
        <w:tc>
          <w:tcPr>
            <w:tcW w:w="1192" w:type="dxa"/>
          </w:tcPr>
          <w:p w14:paraId="1A4C1C95" w14:textId="72B16AA5" w:rsidR="7DDF685F" w:rsidRDefault="7DDF685F" w:rsidP="07930E81">
            <w:pPr>
              <w:pStyle w:val="TableText"/>
              <w:jc w:val="center"/>
            </w:pPr>
            <w:r>
              <w:t>2.0</w:t>
            </w:r>
          </w:p>
        </w:tc>
        <w:tc>
          <w:tcPr>
            <w:tcW w:w="6299" w:type="dxa"/>
          </w:tcPr>
          <w:p w14:paraId="58AA24C6" w14:textId="180C52D1" w:rsidR="7DDF685F" w:rsidRDefault="7DDF685F" w:rsidP="07930E81">
            <w:pPr>
              <w:pStyle w:val="TableText"/>
            </w:pPr>
            <w:r>
              <w:t xml:space="preserve">Transduction </w:t>
            </w:r>
            <w:r w:rsidR="093402B6">
              <w:t>et les barrières de sécurité</w:t>
            </w:r>
          </w:p>
        </w:tc>
        <w:tc>
          <w:tcPr>
            <w:tcW w:w="2111" w:type="dxa"/>
          </w:tcPr>
          <w:p w14:paraId="4C870B76" w14:textId="132F7881" w:rsidR="093402B6" w:rsidRDefault="093402B6" w:rsidP="07930E81">
            <w:pPr>
              <w:pStyle w:val="TableText"/>
              <w:jc w:val="center"/>
            </w:pPr>
            <w:r>
              <w:t>27 sept 2022</w:t>
            </w:r>
          </w:p>
        </w:tc>
      </w:tr>
    </w:tbl>
    <w:p w14:paraId="4C622300" w14:textId="254E437E" w:rsidR="00371712" w:rsidRDefault="00D37657" w:rsidP="00F3596C">
      <w:r>
        <w:br w:type="page"/>
      </w:r>
    </w:p>
    <w:sdt>
      <w:sdtPr>
        <w:rPr>
          <w:b w:val="0"/>
          <w:sz w:val="22"/>
        </w:rPr>
        <w:id w:val="1364332918"/>
        <w:docPartObj>
          <w:docPartGallery w:val="Table of Contents"/>
          <w:docPartUnique/>
        </w:docPartObj>
      </w:sdtPr>
      <w:sdtEndPr>
        <w:rPr>
          <w:bCs/>
          <w:noProof/>
        </w:rPr>
      </w:sdtEndPr>
      <w:sdtContent>
        <w:p w14:paraId="6BE5A2BF" w14:textId="77777777" w:rsidR="008F0011" w:rsidRPr="008F0011" w:rsidRDefault="00CC5156" w:rsidP="00140D22">
          <w:pPr>
            <w:pStyle w:val="Heading"/>
          </w:pPr>
          <w:r>
            <w:t>Table des matières</w:t>
          </w:r>
        </w:p>
        <w:p w14:paraId="187D6BB8" w14:textId="6514ABF3" w:rsidR="008D5C2D" w:rsidRDefault="00BC1C82">
          <w:pPr>
            <w:pStyle w:val="TOC1"/>
            <w:rPr>
              <w:rFonts w:eastAsiaTheme="minorEastAsia" w:cstheme="minorBidi"/>
              <w:noProof/>
              <w:lang w:eastAsia="fr-CA"/>
            </w:rPr>
          </w:pPr>
          <w:r>
            <w:fldChar w:fldCharType="begin"/>
          </w:r>
          <w:r>
            <w:instrText xml:space="preserve"> TOC \o "1-2" \h \z \u </w:instrText>
          </w:r>
          <w:r>
            <w:fldChar w:fldCharType="separate"/>
          </w:r>
          <w:hyperlink w:anchor="_Toc114841909" w:history="1">
            <w:r w:rsidR="008D5C2D" w:rsidRPr="00052E10">
              <w:rPr>
                <w:rStyle w:val="Hyperlink"/>
                <w:noProof/>
              </w:rPr>
              <w:t>1.</w:t>
            </w:r>
            <w:r w:rsidR="008D5C2D">
              <w:rPr>
                <w:rFonts w:eastAsiaTheme="minorEastAsia" w:cstheme="minorBidi"/>
                <w:noProof/>
                <w:lang w:eastAsia="fr-CA"/>
              </w:rPr>
              <w:tab/>
            </w:r>
            <w:r w:rsidR="008D5C2D" w:rsidRPr="00052E10">
              <w:rPr>
                <w:rStyle w:val="Hyperlink"/>
                <w:noProof/>
              </w:rPr>
              <w:t>Introduction</w:t>
            </w:r>
            <w:r w:rsidR="008D5C2D">
              <w:rPr>
                <w:noProof/>
                <w:webHidden/>
              </w:rPr>
              <w:tab/>
            </w:r>
            <w:r w:rsidR="008D5C2D">
              <w:rPr>
                <w:noProof/>
                <w:webHidden/>
              </w:rPr>
              <w:fldChar w:fldCharType="begin"/>
            </w:r>
            <w:r w:rsidR="008D5C2D">
              <w:rPr>
                <w:noProof/>
                <w:webHidden/>
              </w:rPr>
              <w:instrText xml:space="preserve"> PAGEREF _Toc114841909 \h </w:instrText>
            </w:r>
            <w:r w:rsidR="008D5C2D">
              <w:rPr>
                <w:noProof/>
                <w:webHidden/>
              </w:rPr>
            </w:r>
            <w:r w:rsidR="008D5C2D">
              <w:rPr>
                <w:noProof/>
                <w:webHidden/>
              </w:rPr>
              <w:fldChar w:fldCharType="separate"/>
            </w:r>
            <w:r w:rsidR="008D5C2D">
              <w:rPr>
                <w:noProof/>
                <w:webHidden/>
              </w:rPr>
              <w:t>1</w:t>
            </w:r>
            <w:r w:rsidR="008D5C2D">
              <w:rPr>
                <w:noProof/>
                <w:webHidden/>
              </w:rPr>
              <w:fldChar w:fldCharType="end"/>
            </w:r>
          </w:hyperlink>
        </w:p>
        <w:p w14:paraId="1E9A282B" w14:textId="21E05B74" w:rsidR="008D5C2D" w:rsidRDefault="00E505F2">
          <w:pPr>
            <w:pStyle w:val="TOC2"/>
            <w:rPr>
              <w:rFonts w:eastAsiaTheme="minorEastAsia" w:cstheme="minorBidi"/>
              <w:noProof/>
              <w:lang w:eastAsia="fr-CA"/>
            </w:rPr>
          </w:pPr>
          <w:hyperlink w:anchor="_Toc114841910" w:history="1">
            <w:r w:rsidR="008D5C2D" w:rsidRPr="00052E10">
              <w:rPr>
                <w:rStyle w:val="Hyperlink"/>
                <w:noProof/>
              </w:rPr>
              <w:t>1.1</w:t>
            </w:r>
            <w:r w:rsidR="008D5C2D">
              <w:rPr>
                <w:rFonts w:eastAsiaTheme="minorEastAsia" w:cstheme="minorBidi"/>
                <w:noProof/>
                <w:lang w:eastAsia="fr-CA"/>
              </w:rPr>
              <w:tab/>
            </w:r>
            <w:r w:rsidR="008D5C2D" w:rsidRPr="00052E10">
              <w:rPr>
                <w:rStyle w:val="Hyperlink"/>
                <w:noProof/>
              </w:rPr>
              <w:t>Contexte</w:t>
            </w:r>
            <w:r w:rsidR="008D5C2D">
              <w:rPr>
                <w:noProof/>
                <w:webHidden/>
              </w:rPr>
              <w:tab/>
            </w:r>
            <w:r w:rsidR="008D5C2D">
              <w:rPr>
                <w:noProof/>
                <w:webHidden/>
              </w:rPr>
              <w:fldChar w:fldCharType="begin"/>
            </w:r>
            <w:r w:rsidR="008D5C2D">
              <w:rPr>
                <w:noProof/>
                <w:webHidden/>
              </w:rPr>
              <w:instrText xml:space="preserve"> PAGEREF _Toc114841910 \h </w:instrText>
            </w:r>
            <w:r w:rsidR="008D5C2D">
              <w:rPr>
                <w:noProof/>
                <w:webHidden/>
              </w:rPr>
            </w:r>
            <w:r w:rsidR="008D5C2D">
              <w:rPr>
                <w:noProof/>
                <w:webHidden/>
              </w:rPr>
              <w:fldChar w:fldCharType="separate"/>
            </w:r>
            <w:r w:rsidR="008D5C2D">
              <w:rPr>
                <w:noProof/>
                <w:webHidden/>
              </w:rPr>
              <w:t>1</w:t>
            </w:r>
            <w:r w:rsidR="008D5C2D">
              <w:rPr>
                <w:noProof/>
                <w:webHidden/>
              </w:rPr>
              <w:fldChar w:fldCharType="end"/>
            </w:r>
          </w:hyperlink>
        </w:p>
        <w:p w14:paraId="1B03C78D" w14:textId="36A530DC" w:rsidR="008D5C2D" w:rsidRDefault="00E505F2">
          <w:pPr>
            <w:pStyle w:val="TOC2"/>
            <w:rPr>
              <w:rFonts w:eastAsiaTheme="minorEastAsia" w:cstheme="minorBidi"/>
              <w:noProof/>
              <w:lang w:eastAsia="fr-CA"/>
            </w:rPr>
          </w:pPr>
          <w:hyperlink w:anchor="_Toc114841911" w:history="1">
            <w:r w:rsidR="008D5C2D" w:rsidRPr="00052E10">
              <w:rPr>
                <w:rStyle w:val="Hyperlink"/>
                <w:noProof/>
              </w:rPr>
              <w:t>1.2</w:t>
            </w:r>
            <w:r w:rsidR="008D5C2D">
              <w:rPr>
                <w:rFonts w:eastAsiaTheme="minorEastAsia" w:cstheme="minorBidi"/>
                <w:noProof/>
                <w:lang w:eastAsia="fr-CA"/>
              </w:rPr>
              <w:tab/>
            </w:r>
            <w:r w:rsidR="008D5C2D" w:rsidRPr="00052E10">
              <w:rPr>
                <w:rStyle w:val="Hyperlink"/>
                <w:noProof/>
              </w:rPr>
              <w:t>Objectif du document</w:t>
            </w:r>
            <w:r w:rsidR="008D5C2D">
              <w:rPr>
                <w:noProof/>
                <w:webHidden/>
              </w:rPr>
              <w:tab/>
            </w:r>
            <w:r w:rsidR="008D5C2D">
              <w:rPr>
                <w:noProof/>
                <w:webHidden/>
              </w:rPr>
              <w:fldChar w:fldCharType="begin"/>
            </w:r>
            <w:r w:rsidR="008D5C2D">
              <w:rPr>
                <w:noProof/>
                <w:webHidden/>
              </w:rPr>
              <w:instrText xml:space="preserve"> PAGEREF _Toc114841911 \h </w:instrText>
            </w:r>
            <w:r w:rsidR="008D5C2D">
              <w:rPr>
                <w:noProof/>
                <w:webHidden/>
              </w:rPr>
            </w:r>
            <w:r w:rsidR="008D5C2D">
              <w:rPr>
                <w:noProof/>
                <w:webHidden/>
              </w:rPr>
              <w:fldChar w:fldCharType="separate"/>
            </w:r>
            <w:r w:rsidR="008D5C2D">
              <w:rPr>
                <w:noProof/>
                <w:webHidden/>
              </w:rPr>
              <w:t>1</w:t>
            </w:r>
            <w:r w:rsidR="008D5C2D">
              <w:rPr>
                <w:noProof/>
                <w:webHidden/>
              </w:rPr>
              <w:fldChar w:fldCharType="end"/>
            </w:r>
          </w:hyperlink>
        </w:p>
        <w:p w14:paraId="7B0B1C19" w14:textId="45C0381F" w:rsidR="008D5C2D" w:rsidRDefault="00E505F2">
          <w:pPr>
            <w:pStyle w:val="TOC2"/>
            <w:rPr>
              <w:rFonts w:eastAsiaTheme="minorEastAsia" w:cstheme="minorBidi"/>
              <w:noProof/>
              <w:lang w:eastAsia="fr-CA"/>
            </w:rPr>
          </w:pPr>
          <w:hyperlink w:anchor="_Toc114841912" w:history="1">
            <w:r w:rsidR="008D5C2D" w:rsidRPr="00052E10">
              <w:rPr>
                <w:rStyle w:val="Hyperlink"/>
                <w:noProof/>
              </w:rPr>
              <w:t>1.3</w:t>
            </w:r>
            <w:r w:rsidR="008D5C2D">
              <w:rPr>
                <w:rFonts w:eastAsiaTheme="minorEastAsia" w:cstheme="minorBidi"/>
                <w:noProof/>
                <w:lang w:eastAsia="fr-CA"/>
              </w:rPr>
              <w:tab/>
            </w:r>
            <w:r w:rsidR="008D5C2D" w:rsidRPr="00052E10">
              <w:rPr>
                <w:rStyle w:val="Hyperlink"/>
                <w:noProof/>
              </w:rPr>
              <w:t>Destinataires</w:t>
            </w:r>
            <w:r w:rsidR="008D5C2D">
              <w:rPr>
                <w:noProof/>
                <w:webHidden/>
              </w:rPr>
              <w:tab/>
            </w:r>
            <w:r w:rsidR="008D5C2D">
              <w:rPr>
                <w:noProof/>
                <w:webHidden/>
              </w:rPr>
              <w:fldChar w:fldCharType="begin"/>
            </w:r>
            <w:r w:rsidR="008D5C2D">
              <w:rPr>
                <w:noProof/>
                <w:webHidden/>
              </w:rPr>
              <w:instrText xml:space="preserve"> PAGEREF _Toc114841912 \h </w:instrText>
            </w:r>
            <w:r w:rsidR="008D5C2D">
              <w:rPr>
                <w:noProof/>
                <w:webHidden/>
              </w:rPr>
            </w:r>
            <w:r w:rsidR="008D5C2D">
              <w:rPr>
                <w:noProof/>
                <w:webHidden/>
              </w:rPr>
              <w:fldChar w:fldCharType="separate"/>
            </w:r>
            <w:r w:rsidR="008D5C2D">
              <w:rPr>
                <w:noProof/>
                <w:webHidden/>
              </w:rPr>
              <w:t>2</w:t>
            </w:r>
            <w:r w:rsidR="008D5C2D">
              <w:rPr>
                <w:noProof/>
                <w:webHidden/>
              </w:rPr>
              <w:fldChar w:fldCharType="end"/>
            </w:r>
          </w:hyperlink>
        </w:p>
        <w:p w14:paraId="7441EDE7" w14:textId="566A711C" w:rsidR="008D5C2D" w:rsidRDefault="00E505F2">
          <w:pPr>
            <w:pStyle w:val="TOC2"/>
            <w:rPr>
              <w:rFonts w:eastAsiaTheme="minorEastAsia" w:cstheme="minorBidi"/>
              <w:noProof/>
              <w:lang w:eastAsia="fr-CA"/>
            </w:rPr>
          </w:pPr>
          <w:hyperlink w:anchor="_Toc114841913" w:history="1">
            <w:r w:rsidR="008D5C2D" w:rsidRPr="00052E10">
              <w:rPr>
                <w:rStyle w:val="Hyperlink"/>
                <w:noProof/>
              </w:rPr>
              <w:t>1.4</w:t>
            </w:r>
            <w:r w:rsidR="008D5C2D">
              <w:rPr>
                <w:rFonts w:eastAsiaTheme="minorEastAsia" w:cstheme="minorBidi"/>
                <w:noProof/>
                <w:lang w:eastAsia="fr-CA"/>
              </w:rPr>
              <w:tab/>
            </w:r>
            <w:r w:rsidR="008D5C2D" w:rsidRPr="00052E10">
              <w:rPr>
                <w:rStyle w:val="Hyperlink"/>
                <w:noProof/>
              </w:rPr>
              <w:t>Définitions des termes clés</w:t>
            </w:r>
            <w:r w:rsidR="008D5C2D">
              <w:rPr>
                <w:noProof/>
                <w:webHidden/>
              </w:rPr>
              <w:tab/>
            </w:r>
            <w:r w:rsidR="008D5C2D">
              <w:rPr>
                <w:noProof/>
                <w:webHidden/>
              </w:rPr>
              <w:fldChar w:fldCharType="begin"/>
            </w:r>
            <w:r w:rsidR="008D5C2D">
              <w:rPr>
                <w:noProof/>
                <w:webHidden/>
              </w:rPr>
              <w:instrText xml:space="preserve"> PAGEREF _Toc114841913 \h </w:instrText>
            </w:r>
            <w:r w:rsidR="008D5C2D">
              <w:rPr>
                <w:noProof/>
                <w:webHidden/>
              </w:rPr>
            </w:r>
            <w:r w:rsidR="008D5C2D">
              <w:rPr>
                <w:noProof/>
                <w:webHidden/>
              </w:rPr>
              <w:fldChar w:fldCharType="separate"/>
            </w:r>
            <w:r w:rsidR="008D5C2D">
              <w:rPr>
                <w:noProof/>
                <w:webHidden/>
              </w:rPr>
              <w:t>2</w:t>
            </w:r>
            <w:r w:rsidR="008D5C2D">
              <w:rPr>
                <w:noProof/>
                <w:webHidden/>
              </w:rPr>
              <w:fldChar w:fldCharType="end"/>
            </w:r>
          </w:hyperlink>
        </w:p>
        <w:p w14:paraId="2050BCD1" w14:textId="70A17240" w:rsidR="008D5C2D" w:rsidRDefault="00E505F2">
          <w:pPr>
            <w:pStyle w:val="TOC1"/>
            <w:rPr>
              <w:rFonts w:eastAsiaTheme="minorEastAsia" w:cstheme="minorBidi"/>
              <w:noProof/>
              <w:lang w:eastAsia="fr-CA"/>
            </w:rPr>
          </w:pPr>
          <w:hyperlink w:anchor="_Toc114841914" w:history="1">
            <w:r w:rsidR="008D5C2D" w:rsidRPr="00052E10">
              <w:rPr>
                <w:rStyle w:val="Hyperlink"/>
                <w:noProof/>
              </w:rPr>
              <w:t>2.</w:t>
            </w:r>
            <w:r w:rsidR="008D5C2D">
              <w:rPr>
                <w:rFonts w:eastAsiaTheme="minorEastAsia" w:cstheme="minorBidi"/>
                <w:noProof/>
                <w:lang w:eastAsia="fr-CA"/>
              </w:rPr>
              <w:tab/>
            </w:r>
            <w:r w:rsidR="008D5C2D" w:rsidRPr="00052E10">
              <w:rPr>
                <w:rStyle w:val="Hyperlink"/>
                <w:noProof/>
              </w:rPr>
              <w:t>Contexte</w:t>
            </w:r>
            <w:r w:rsidR="008D5C2D">
              <w:rPr>
                <w:noProof/>
                <w:webHidden/>
              </w:rPr>
              <w:tab/>
            </w:r>
            <w:r w:rsidR="008D5C2D">
              <w:rPr>
                <w:noProof/>
                <w:webHidden/>
              </w:rPr>
              <w:fldChar w:fldCharType="begin"/>
            </w:r>
            <w:r w:rsidR="008D5C2D">
              <w:rPr>
                <w:noProof/>
                <w:webHidden/>
              </w:rPr>
              <w:instrText xml:space="preserve"> PAGEREF _Toc114841914 \h </w:instrText>
            </w:r>
            <w:r w:rsidR="008D5C2D">
              <w:rPr>
                <w:noProof/>
                <w:webHidden/>
              </w:rPr>
            </w:r>
            <w:r w:rsidR="008D5C2D">
              <w:rPr>
                <w:noProof/>
                <w:webHidden/>
              </w:rPr>
              <w:fldChar w:fldCharType="separate"/>
            </w:r>
            <w:r w:rsidR="008D5C2D">
              <w:rPr>
                <w:noProof/>
                <w:webHidden/>
              </w:rPr>
              <w:t>3</w:t>
            </w:r>
            <w:r w:rsidR="008D5C2D">
              <w:rPr>
                <w:noProof/>
                <w:webHidden/>
              </w:rPr>
              <w:fldChar w:fldCharType="end"/>
            </w:r>
          </w:hyperlink>
        </w:p>
        <w:p w14:paraId="5468682E" w14:textId="1869772B" w:rsidR="008D5C2D" w:rsidRDefault="00E505F2">
          <w:pPr>
            <w:pStyle w:val="TOC2"/>
            <w:rPr>
              <w:rFonts w:eastAsiaTheme="minorEastAsia" w:cstheme="minorBidi"/>
              <w:noProof/>
              <w:lang w:eastAsia="fr-CA"/>
            </w:rPr>
          </w:pPr>
          <w:hyperlink w:anchor="_Toc114841915" w:history="1">
            <w:r w:rsidR="008D5C2D" w:rsidRPr="00052E10">
              <w:rPr>
                <w:rStyle w:val="Hyperlink"/>
                <w:noProof/>
              </w:rPr>
              <w:t>2.1</w:t>
            </w:r>
            <w:r w:rsidR="008D5C2D">
              <w:rPr>
                <w:rFonts w:eastAsiaTheme="minorEastAsia" w:cstheme="minorBidi"/>
                <w:noProof/>
                <w:lang w:eastAsia="fr-CA"/>
              </w:rPr>
              <w:tab/>
            </w:r>
            <w:r w:rsidR="008D5C2D" w:rsidRPr="00052E10">
              <w:rPr>
                <w:rStyle w:val="Hyperlink"/>
                <w:noProof/>
              </w:rPr>
              <w:t>Responsabilité partagée</w:t>
            </w:r>
            <w:r w:rsidR="008D5C2D">
              <w:rPr>
                <w:noProof/>
                <w:webHidden/>
              </w:rPr>
              <w:tab/>
            </w:r>
            <w:r w:rsidR="008D5C2D">
              <w:rPr>
                <w:noProof/>
                <w:webHidden/>
              </w:rPr>
              <w:fldChar w:fldCharType="begin"/>
            </w:r>
            <w:r w:rsidR="008D5C2D">
              <w:rPr>
                <w:noProof/>
                <w:webHidden/>
              </w:rPr>
              <w:instrText xml:space="preserve"> PAGEREF _Toc114841915 \h </w:instrText>
            </w:r>
            <w:r w:rsidR="008D5C2D">
              <w:rPr>
                <w:noProof/>
                <w:webHidden/>
              </w:rPr>
            </w:r>
            <w:r w:rsidR="008D5C2D">
              <w:rPr>
                <w:noProof/>
                <w:webHidden/>
              </w:rPr>
              <w:fldChar w:fldCharType="separate"/>
            </w:r>
            <w:r w:rsidR="008D5C2D">
              <w:rPr>
                <w:noProof/>
                <w:webHidden/>
              </w:rPr>
              <w:t>3</w:t>
            </w:r>
            <w:r w:rsidR="008D5C2D">
              <w:rPr>
                <w:noProof/>
                <w:webHidden/>
              </w:rPr>
              <w:fldChar w:fldCharType="end"/>
            </w:r>
          </w:hyperlink>
        </w:p>
        <w:p w14:paraId="447186C6" w14:textId="3E35914C" w:rsidR="008D5C2D" w:rsidRDefault="00E505F2">
          <w:pPr>
            <w:pStyle w:val="TOC2"/>
            <w:rPr>
              <w:rFonts w:eastAsiaTheme="minorEastAsia" w:cstheme="minorBidi"/>
              <w:noProof/>
              <w:lang w:eastAsia="fr-CA"/>
            </w:rPr>
          </w:pPr>
          <w:hyperlink w:anchor="_Toc114841916" w:history="1">
            <w:r w:rsidR="008D5C2D" w:rsidRPr="00052E10">
              <w:rPr>
                <w:rStyle w:val="Hyperlink"/>
                <w:noProof/>
              </w:rPr>
              <w:t>2.2</w:t>
            </w:r>
            <w:r w:rsidR="008D5C2D">
              <w:rPr>
                <w:rFonts w:eastAsiaTheme="minorEastAsia" w:cstheme="minorBidi"/>
                <w:noProof/>
                <w:lang w:eastAsia="fr-CA"/>
              </w:rPr>
              <w:tab/>
            </w:r>
            <w:r w:rsidR="008D5C2D" w:rsidRPr="00052E10">
              <w:rPr>
                <w:rStyle w:val="Hyperlink"/>
                <w:noProof/>
              </w:rPr>
              <w:t>Profils de l’informatique en nuage du GC</w:t>
            </w:r>
            <w:r w:rsidR="008D5C2D">
              <w:rPr>
                <w:noProof/>
                <w:webHidden/>
              </w:rPr>
              <w:tab/>
            </w:r>
            <w:r w:rsidR="008D5C2D">
              <w:rPr>
                <w:noProof/>
                <w:webHidden/>
              </w:rPr>
              <w:fldChar w:fldCharType="begin"/>
            </w:r>
            <w:r w:rsidR="008D5C2D">
              <w:rPr>
                <w:noProof/>
                <w:webHidden/>
              </w:rPr>
              <w:instrText xml:space="preserve"> PAGEREF _Toc114841916 \h </w:instrText>
            </w:r>
            <w:r w:rsidR="008D5C2D">
              <w:rPr>
                <w:noProof/>
                <w:webHidden/>
              </w:rPr>
            </w:r>
            <w:r w:rsidR="008D5C2D">
              <w:rPr>
                <w:noProof/>
                <w:webHidden/>
              </w:rPr>
              <w:fldChar w:fldCharType="separate"/>
            </w:r>
            <w:r w:rsidR="008D5C2D">
              <w:rPr>
                <w:noProof/>
                <w:webHidden/>
              </w:rPr>
              <w:t>4</w:t>
            </w:r>
            <w:r w:rsidR="008D5C2D">
              <w:rPr>
                <w:noProof/>
                <w:webHidden/>
              </w:rPr>
              <w:fldChar w:fldCharType="end"/>
            </w:r>
          </w:hyperlink>
        </w:p>
        <w:p w14:paraId="524C4081" w14:textId="56CE78F9" w:rsidR="008D5C2D" w:rsidRDefault="00E505F2">
          <w:pPr>
            <w:pStyle w:val="TOC2"/>
            <w:rPr>
              <w:rFonts w:eastAsiaTheme="minorEastAsia" w:cstheme="minorBidi"/>
              <w:noProof/>
              <w:lang w:eastAsia="fr-CA"/>
            </w:rPr>
          </w:pPr>
          <w:hyperlink w:anchor="_Toc114841917" w:history="1">
            <w:r w:rsidR="008D5C2D" w:rsidRPr="00052E10">
              <w:rPr>
                <w:rStyle w:val="Hyperlink"/>
                <w:noProof/>
              </w:rPr>
              <w:t>2.3</w:t>
            </w:r>
            <w:r w:rsidR="008D5C2D">
              <w:rPr>
                <w:rFonts w:eastAsiaTheme="minorEastAsia" w:cstheme="minorBidi"/>
                <w:noProof/>
                <w:lang w:eastAsia="fr-CA"/>
              </w:rPr>
              <w:tab/>
            </w:r>
            <w:r w:rsidR="008D5C2D" w:rsidRPr="00052E10">
              <w:rPr>
                <w:rStyle w:val="Hyperlink"/>
                <w:noProof/>
              </w:rPr>
              <w:t>Mise en œuvre de services infonuagiques</w:t>
            </w:r>
            <w:r w:rsidR="008D5C2D">
              <w:rPr>
                <w:noProof/>
                <w:webHidden/>
              </w:rPr>
              <w:tab/>
            </w:r>
            <w:r w:rsidR="008D5C2D">
              <w:rPr>
                <w:noProof/>
                <w:webHidden/>
              </w:rPr>
              <w:fldChar w:fldCharType="begin"/>
            </w:r>
            <w:r w:rsidR="008D5C2D">
              <w:rPr>
                <w:noProof/>
                <w:webHidden/>
              </w:rPr>
              <w:instrText xml:space="preserve"> PAGEREF _Toc114841917 \h </w:instrText>
            </w:r>
            <w:r w:rsidR="008D5C2D">
              <w:rPr>
                <w:noProof/>
                <w:webHidden/>
              </w:rPr>
            </w:r>
            <w:r w:rsidR="008D5C2D">
              <w:rPr>
                <w:noProof/>
                <w:webHidden/>
              </w:rPr>
              <w:fldChar w:fldCharType="separate"/>
            </w:r>
            <w:r w:rsidR="008D5C2D">
              <w:rPr>
                <w:noProof/>
                <w:webHidden/>
              </w:rPr>
              <w:t>6</w:t>
            </w:r>
            <w:r w:rsidR="008D5C2D">
              <w:rPr>
                <w:noProof/>
                <w:webHidden/>
              </w:rPr>
              <w:fldChar w:fldCharType="end"/>
            </w:r>
          </w:hyperlink>
        </w:p>
        <w:p w14:paraId="52538841" w14:textId="5C2AE077" w:rsidR="008D5C2D" w:rsidRDefault="00E505F2">
          <w:pPr>
            <w:pStyle w:val="TOC1"/>
            <w:rPr>
              <w:rFonts w:eastAsiaTheme="minorEastAsia" w:cstheme="minorBidi"/>
              <w:noProof/>
              <w:lang w:eastAsia="fr-CA"/>
            </w:rPr>
          </w:pPr>
          <w:hyperlink w:anchor="_Toc114841918" w:history="1">
            <w:r w:rsidR="008D5C2D" w:rsidRPr="00052E10">
              <w:rPr>
                <w:rStyle w:val="Hyperlink"/>
                <w:noProof/>
              </w:rPr>
              <w:t>3.</w:t>
            </w:r>
            <w:r w:rsidR="008D5C2D">
              <w:rPr>
                <w:rFonts w:eastAsiaTheme="minorEastAsia" w:cstheme="minorBidi"/>
                <w:noProof/>
                <w:lang w:eastAsia="fr-CA"/>
              </w:rPr>
              <w:tab/>
            </w:r>
            <w:r w:rsidR="008D5C2D" w:rsidRPr="00052E10">
              <w:rPr>
                <w:rStyle w:val="Hyperlink"/>
                <w:noProof/>
              </w:rPr>
              <w:t>Intervenants de l’informatique en nuage</w:t>
            </w:r>
            <w:r w:rsidR="008D5C2D">
              <w:rPr>
                <w:noProof/>
                <w:webHidden/>
              </w:rPr>
              <w:tab/>
            </w:r>
            <w:r w:rsidR="008D5C2D">
              <w:rPr>
                <w:noProof/>
                <w:webHidden/>
              </w:rPr>
              <w:fldChar w:fldCharType="begin"/>
            </w:r>
            <w:r w:rsidR="008D5C2D">
              <w:rPr>
                <w:noProof/>
                <w:webHidden/>
              </w:rPr>
              <w:instrText xml:space="preserve"> PAGEREF _Toc114841918 \h </w:instrText>
            </w:r>
            <w:r w:rsidR="008D5C2D">
              <w:rPr>
                <w:noProof/>
                <w:webHidden/>
              </w:rPr>
            </w:r>
            <w:r w:rsidR="008D5C2D">
              <w:rPr>
                <w:noProof/>
                <w:webHidden/>
              </w:rPr>
              <w:fldChar w:fldCharType="separate"/>
            </w:r>
            <w:r w:rsidR="008D5C2D">
              <w:rPr>
                <w:noProof/>
                <w:webHidden/>
              </w:rPr>
              <w:t>8</w:t>
            </w:r>
            <w:r w:rsidR="008D5C2D">
              <w:rPr>
                <w:noProof/>
                <w:webHidden/>
              </w:rPr>
              <w:fldChar w:fldCharType="end"/>
            </w:r>
          </w:hyperlink>
        </w:p>
        <w:p w14:paraId="699EF4F6" w14:textId="6E1BD7A3" w:rsidR="008D5C2D" w:rsidRDefault="00E505F2">
          <w:pPr>
            <w:pStyle w:val="TOC2"/>
            <w:rPr>
              <w:rFonts w:eastAsiaTheme="minorEastAsia" w:cstheme="minorBidi"/>
              <w:noProof/>
              <w:lang w:eastAsia="fr-CA"/>
            </w:rPr>
          </w:pPr>
          <w:hyperlink w:anchor="_Toc114841919" w:history="1">
            <w:r w:rsidR="008D5C2D" w:rsidRPr="00052E10">
              <w:rPr>
                <w:rStyle w:val="Hyperlink"/>
                <w:noProof/>
              </w:rPr>
              <w:t>3.1</w:t>
            </w:r>
            <w:r w:rsidR="008D5C2D">
              <w:rPr>
                <w:rFonts w:eastAsiaTheme="minorEastAsia" w:cstheme="minorBidi"/>
                <w:noProof/>
                <w:lang w:eastAsia="fr-CA"/>
              </w:rPr>
              <w:tab/>
            </w:r>
            <w:r w:rsidR="008D5C2D" w:rsidRPr="00052E10">
              <w:rPr>
                <w:rStyle w:val="Hyperlink"/>
                <w:noProof/>
              </w:rPr>
              <w:t>Portée du GC</w:t>
            </w:r>
            <w:r w:rsidR="008D5C2D">
              <w:rPr>
                <w:noProof/>
                <w:webHidden/>
              </w:rPr>
              <w:tab/>
            </w:r>
            <w:r w:rsidR="008D5C2D">
              <w:rPr>
                <w:noProof/>
                <w:webHidden/>
              </w:rPr>
              <w:fldChar w:fldCharType="begin"/>
            </w:r>
            <w:r w:rsidR="008D5C2D">
              <w:rPr>
                <w:noProof/>
                <w:webHidden/>
              </w:rPr>
              <w:instrText xml:space="preserve"> PAGEREF _Toc114841919 \h </w:instrText>
            </w:r>
            <w:r w:rsidR="008D5C2D">
              <w:rPr>
                <w:noProof/>
                <w:webHidden/>
              </w:rPr>
            </w:r>
            <w:r w:rsidR="008D5C2D">
              <w:rPr>
                <w:noProof/>
                <w:webHidden/>
              </w:rPr>
              <w:fldChar w:fldCharType="separate"/>
            </w:r>
            <w:r w:rsidR="008D5C2D">
              <w:rPr>
                <w:noProof/>
                <w:webHidden/>
              </w:rPr>
              <w:t>8</w:t>
            </w:r>
            <w:r w:rsidR="008D5C2D">
              <w:rPr>
                <w:noProof/>
                <w:webHidden/>
              </w:rPr>
              <w:fldChar w:fldCharType="end"/>
            </w:r>
          </w:hyperlink>
        </w:p>
        <w:p w14:paraId="122868EC" w14:textId="4252E6FE" w:rsidR="008D5C2D" w:rsidRDefault="00E505F2">
          <w:pPr>
            <w:pStyle w:val="TOC2"/>
            <w:rPr>
              <w:rFonts w:eastAsiaTheme="minorEastAsia" w:cstheme="minorBidi"/>
              <w:noProof/>
              <w:lang w:eastAsia="fr-CA"/>
            </w:rPr>
          </w:pPr>
          <w:hyperlink w:anchor="_Toc114841920" w:history="1">
            <w:r w:rsidR="008D5C2D" w:rsidRPr="00052E10">
              <w:rPr>
                <w:rStyle w:val="Hyperlink"/>
                <w:noProof/>
              </w:rPr>
              <w:t>3.2</w:t>
            </w:r>
            <w:r w:rsidR="008D5C2D">
              <w:rPr>
                <w:rFonts w:eastAsiaTheme="minorEastAsia" w:cstheme="minorBidi"/>
                <w:noProof/>
                <w:lang w:eastAsia="fr-CA"/>
              </w:rPr>
              <w:tab/>
            </w:r>
            <w:r w:rsidR="008D5C2D" w:rsidRPr="00052E10">
              <w:rPr>
                <w:rStyle w:val="Hyperlink"/>
                <w:noProof/>
              </w:rPr>
              <w:t>Portée ministérielle</w:t>
            </w:r>
            <w:r w:rsidR="008D5C2D">
              <w:rPr>
                <w:noProof/>
                <w:webHidden/>
              </w:rPr>
              <w:tab/>
            </w:r>
            <w:r w:rsidR="008D5C2D">
              <w:rPr>
                <w:noProof/>
                <w:webHidden/>
              </w:rPr>
              <w:fldChar w:fldCharType="begin"/>
            </w:r>
            <w:r w:rsidR="008D5C2D">
              <w:rPr>
                <w:noProof/>
                <w:webHidden/>
              </w:rPr>
              <w:instrText xml:space="preserve"> PAGEREF _Toc114841920 \h </w:instrText>
            </w:r>
            <w:r w:rsidR="008D5C2D">
              <w:rPr>
                <w:noProof/>
                <w:webHidden/>
              </w:rPr>
            </w:r>
            <w:r w:rsidR="008D5C2D">
              <w:rPr>
                <w:noProof/>
                <w:webHidden/>
              </w:rPr>
              <w:fldChar w:fldCharType="separate"/>
            </w:r>
            <w:r w:rsidR="008D5C2D">
              <w:rPr>
                <w:noProof/>
                <w:webHidden/>
              </w:rPr>
              <w:t>10</w:t>
            </w:r>
            <w:r w:rsidR="008D5C2D">
              <w:rPr>
                <w:noProof/>
                <w:webHidden/>
              </w:rPr>
              <w:fldChar w:fldCharType="end"/>
            </w:r>
          </w:hyperlink>
        </w:p>
        <w:p w14:paraId="334DDA43" w14:textId="40566934" w:rsidR="008D5C2D" w:rsidRDefault="00E505F2">
          <w:pPr>
            <w:pStyle w:val="TOC1"/>
            <w:rPr>
              <w:rFonts w:eastAsiaTheme="minorEastAsia" w:cstheme="minorBidi"/>
              <w:noProof/>
              <w:lang w:eastAsia="fr-CA"/>
            </w:rPr>
          </w:pPr>
          <w:hyperlink w:anchor="_Toc114841921" w:history="1">
            <w:r w:rsidR="008D5C2D" w:rsidRPr="00052E10">
              <w:rPr>
                <w:rStyle w:val="Hyperlink"/>
                <w:noProof/>
              </w:rPr>
              <w:t>4.</w:t>
            </w:r>
            <w:r w:rsidR="008D5C2D">
              <w:rPr>
                <w:rFonts w:eastAsiaTheme="minorEastAsia" w:cstheme="minorBidi"/>
                <w:noProof/>
                <w:lang w:eastAsia="fr-CA"/>
              </w:rPr>
              <w:tab/>
            </w:r>
            <w:r w:rsidR="008D5C2D" w:rsidRPr="00052E10">
              <w:rPr>
                <w:rStyle w:val="Hyperlink"/>
                <w:noProof/>
              </w:rPr>
              <w:t>Matrice des responsabilités de l’informatique en nuage du GC</w:t>
            </w:r>
            <w:r w:rsidR="008D5C2D">
              <w:rPr>
                <w:noProof/>
                <w:webHidden/>
              </w:rPr>
              <w:tab/>
            </w:r>
            <w:r w:rsidR="008D5C2D">
              <w:rPr>
                <w:noProof/>
                <w:webHidden/>
              </w:rPr>
              <w:fldChar w:fldCharType="begin"/>
            </w:r>
            <w:r w:rsidR="008D5C2D">
              <w:rPr>
                <w:noProof/>
                <w:webHidden/>
              </w:rPr>
              <w:instrText xml:space="preserve"> PAGEREF _Toc114841921 \h </w:instrText>
            </w:r>
            <w:r w:rsidR="008D5C2D">
              <w:rPr>
                <w:noProof/>
                <w:webHidden/>
              </w:rPr>
            </w:r>
            <w:r w:rsidR="008D5C2D">
              <w:rPr>
                <w:noProof/>
                <w:webHidden/>
              </w:rPr>
              <w:fldChar w:fldCharType="separate"/>
            </w:r>
            <w:r w:rsidR="008D5C2D">
              <w:rPr>
                <w:noProof/>
                <w:webHidden/>
              </w:rPr>
              <w:t>13</w:t>
            </w:r>
            <w:r w:rsidR="008D5C2D">
              <w:rPr>
                <w:noProof/>
                <w:webHidden/>
              </w:rPr>
              <w:fldChar w:fldCharType="end"/>
            </w:r>
          </w:hyperlink>
        </w:p>
        <w:p w14:paraId="4CBAFC7A" w14:textId="38382830" w:rsidR="008D5C2D" w:rsidRDefault="00E505F2">
          <w:pPr>
            <w:pStyle w:val="TOC1"/>
            <w:rPr>
              <w:rFonts w:eastAsiaTheme="minorEastAsia" w:cstheme="minorBidi"/>
              <w:noProof/>
              <w:lang w:eastAsia="fr-CA"/>
            </w:rPr>
          </w:pPr>
          <w:hyperlink w:anchor="_Toc114841922" w:history="1">
            <w:r w:rsidR="008D5C2D" w:rsidRPr="00052E10">
              <w:rPr>
                <w:rStyle w:val="Hyperlink"/>
                <w:noProof/>
              </w:rPr>
              <w:t>5.</w:t>
            </w:r>
            <w:r w:rsidR="008D5C2D">
              <w:rPr>
                <w:rFonts w:eastAsiaTheme="minorEastAsia" w:cstheme="minorBidi"/>
                <w:noProof/>
                <w:lang w:eastAsia="fr-CA"/>
              </w:rPr>
              <w:tab/>
            </w:r>
            <w:r w:rsidR="008D5C2D" w:rsidRPr="00052E10">
              <w:rPr>
                <w:rStyle w:val="Hyperlink"/>
                <w:noProof/>
              </w:rPr>
              <w:t>Références</w:t>
            </w:r>
            <w:r w:rsidR="008D5C2D">
              <w:rPr>
                <w:noProof/>
                <w:webHidden/>
              </w:rPr>
              <w:tab/>
            </w:r>
            <w:r w:rsidR="008D5C2D">
              <w:rPr>
                <w:noProof/>
                <w:webHidden/>
              </w:rPr>
              <w:fldChar w:fldCharType="begin"/>
            </w:r>
            <w:r w:rsidR="008D5C2D">
              <w:rPr>
                <w:noProof/>
                <w:webHidden/>
              </w:rPr>
              <w:instrText xml:space="preserve"> PAGEREF _Toc114841922 \h </w:instrText>
            </w:r>
            <w:r w:rsidR="008D5C2D">
              <w:rPr>
                <w:noProof/>
                <w:webHidden/>
              </w:rPr>
            </w:r>
            <w:r w:rsidR="008D5C2D">
              <w:rPr>
                <w:noProof/>
                <w:webHidden/>
              </w:rPr>
              <w:fldChar w:fldCharType="separate"/>
            </w:r>
            <w:r w:rsidR="008D5C2D">
              <w:rPr>
                <w:noProof/>
                <w:webHidden/>
              </w:rPr>
              <w:t>15</w:t>
            </w:r>
            <w:r w:rsidR="008D5C2D">
              <w:rPr>
                <w:noProof/>
                <w:webHidden/>
              </w:rPr>
              <w:fldChar w:fldCharType="end"/>
            </w:r>
          </w:hyperlink>
        </w:p>
        <w:p w14:paraId="01BEA0DC" w14:textId="3C74C0BE" w:rsidR="00BC1C82" w:rsidRDefault="00BC1C82" w:rsidP="007628D2">
          <w:pPr>
            <w:pStyle w:val="TOC1"/>
            <w:rPr>
              <w:rFonts w:cs="Arial"/>
              <w:b/>
              <w:sz w:val="28"/>
              <w:szCs w:val="32"/>
            </w:rPr>
          </w:pPr>
          <w:r>
            <w:fldChar w:fldCharType="end"/>
          </w:r>
        </w:p>
      </w:sdtContent>
    </w:sdt>
    <w:bookmarkStart w:id="0" w:name="_Toc229798114" w:displacedByCustomXml="prev"/>
    <w:p w14:paraId="092DCEFF" w14:textId="77777777" w:rsidR="000409F5" w:rsidRPr="00CC0866" w:rsidRDefault="000409F5" w:rsidP="000409F5">
      <w:pPr>
        <w:pStyle w:val="HeadingBasic"/>
        <w:keepNext/>
        <w:keepLines/>
      </w:pPr>
      <w:r>
        <w:t>Liste des tableaux</w:t>
      </w:r>
    </w:p>
    <w:p w14:paraId="7F845464" w14:textId="74FCB578" w:rsidR="008D5C2D" w:rsidRDefault="000409F5">
      <w:pPr>
        <w:pStyle w:val="TableofFigures"/>
        <w:tabs>
          <w:tab w:val="right" w:leader="dot" w:pos="9352"/>
        </w:tabs>
        <w:rPr>
          <w:rFonts w:eastAsiaTheme="minorEastAsia" w:cstheme="minorBidi"/>
          <w:noProof/>
          <w:lang w:eastAsia="fr-CA"/>
        </w:rPr>
      </w:pPr>
      <w:r w:rsidRPr="00B47B7E">
        <w:rPr>
          <w:sz w:val="20"/>
        </w:rPr>
        <w:fldChar w:fldCharType="begin"/>
      </w:r>
      <w:r w:rsidRPr="00B47B7E">
        <w:rPr>
          <w:sz w:val="20"/>
        </w:rPr>
        <w:instrText xml:space="preserve"> TOC \h \z \c "Table" </w:instrText>
      </w:r>
      <w:r w:rsidRPr="00B47B7E">
        <w:rPr>
          <w:sz w:val="20"/>
        </w:rPr>
        <w:fldChar w:fldCharType="separate"/>
      </w:r>
      <w:hyperlink w:anchor="_Toc114841923" w:history="1">
        <w:r w:rsidR="008D5C2D" w:rsidRPr="006E56BA">
          <w:rPr>
            <w:rStyle w:val="Hyperlink"/>
            <w:noProof/>
          </w:rPr>
          <w:t>Tableau</w:t>
        </w:r>
        <w:r w:rsidR="00FB480F">
          <w:rPr>
            <w:rStyle w:val="Hyperlink"/>
            <w:noProof/>
          </w:rPr>
          <w:t> </w:t>
        </w:r>
        <w:r w:rsidR="008D5C2D" w:rsidRPr="006E56BA">
          <w:rPr>
            <w:rStyle w:val="Hyperlink"/>
            <w:noProof/>
          </w:rPr>
          <w:t>3</w:t>
        </w:r>
        <w:r w:rsidR="00FB480F">
          <w:rPr>
            <w:rStyle w:val="Hyperlink"/>
            <w:noProof/>
          </w:rPr>
          <w:t xml:space="preserve">— </w:t>
        </w:r>
        <w:r w:rsidR="008D5C2D" w:rsidRPr="006E56BA">
          <w:rPr>
            <w:rStyle w:val="Hyperlink"/>
            <w:noProof/>
          </w:rPr>
          <w:t>1</w:t>
        </w:r>
        <w:r w:rsidR="00FB480F">
          <w:rPr>
            <w:rStyle w:val="Hyperlink"/>
            <w:noProof/>
          </w:rPr>
          <w:t> </w:t>
        </w:r>
        <w:r w:rsidR="008D5C2D" w:rsidRPr="006E56BA">
          <w:rPr>
            <w:rStyle w:val="Hyperlink"/>
            <w:noProof/>
          </w:rPr>
          <w:t>Intervenant de l’informatique en nuage - Portée du GC</w:t>
        </w:r>
        <w:r w:rsidR="008D5C2D">
          <w:rPr>
            <w:noProof/>
            <w:webHidden/>
          </w:rPr>
          <w:tab/>
        </w:r>
        <w:r w:rsidR="008D5C2D">
          <w:rPr>
            <w:noProof/>
            <w:webHidden/>
          </w:rPr>
          <w:fldChar w:fldCharType="begin"/>
        </w:r>
        <w:r w:rsidR="008D5C2D">
          <w:rPr>
            <w:noProof/>
            <w:webHidden/>
          </w:rPr>
          <w:instrText xml:space="preserve"> PAGEREF _Toc114841923 \h </w:instrText>
        </w:r>
        <w:r w:rsidR="008D5C2D">
          <w:rPr>
            <w:noProof/>
            <w:webHidden/>
          </w:rPr>
        </w:r>
        <w:r w:rsidR="008D5C2D">
          <w:rPr>
            <w:noProof/>
            <w:webHidden/>
          </w:rPr>
          <w:fldChar w:fldCharType="separate"/>
        </w:r>
        <w:r w:rsidR="008D5C2D">
          <w:rPr>
            <w:noProof/>
            <w:webHidden/>
          </w:rPr>
          <w:t>8</w:t>
        </w:r>
        <w:r w:rsidR="008D5C2D">
          <w:rPr>
            <w:noProof/>
            <w:webHidden/>
          </w:rPr>
          <w:fldChar w:fldCharType="end"/>
        </w:r>
      </w:hyperlink>
    </w:p>
    <w:p w14:paraId="12A68926" w14:textId="0585F230" w:rsidR="008D5C2D" w:rsidRDefault="00E505F2">
      <w:pPr>
        <w:pStyle w:val="TableofFigures"/>
        <w:tabs>
          <w:tab w:val="right" w:leader="dot" w:pos="9352"/>
        </w:tabs>
        <w:rPr>
          <w:rFonts w:eastAsiaTheme="minorEastAsia" w:cstheme="minorBidi"/>
          <w:noProof/>
          <w:lang w:eastAsia="fr-CA"/>
        </w:rPr>
      </w:pPr>
      <w:hyperlink w:anchor="_Toc114841924" w:history="1">
        <w:r w:rsidR="008D5C2D" w:rsidRPr="006E56BA">
          <w:rPr>
            <w:rStyle w:val="Hyperlink"/>
            <w:noProof/>
          </w:rPr>
          <w:t>Tableau</w:t>
        </w:r>
        <w:r w:rsidR="00FB480F">
          <w:rPr>
            <w:rStyle w:val="Hyperlink"/>
            <w:noProof/>
          </w:rPr>
          <w:t> </w:t>
        </w:r>
        <w:r w:rsidR="008D5C2D" w:rsidRPr="006E56BA">
          <w:rPr>
            <w:rStyle w:val="Hyperlink"/>
            <w:noProof/>
          </w:rPr>
          <w:t>3</w:t>
        </w:r>
        <w:r w:rsidR="00FB480F">
          <w:rPr>
            <w:rStyle w:val="Hyperlink"/>
            <w:noProof/>
          </w:rPr>
          <w:t xml:space="preserve">— </w:t>
        </w:r>
        <w:r w:rsidR="008D5C2D" w:rsidRPr="006E56BA">
          <w:rPr>
            <w:rStyle w:val="Hyperlink"/>
            <w:noProof/>
          </w:rPr>
          <w:t>2</w:t>
        </w:r>
        <w:r w:rsidR="00FB480F">
          <w:rPr>
            <w:rStyle w:val="Hyperlink"/>
            <w:noProof/>
          </w:rPr>
          <w:t> </w:t>
        </w:r>
        <w:r w:rsidR="008D5C2D" w:rsidRPr="006E56BA">
          <w:rPr>
            <w:rStyle w:val="Hyperlink"/>
            <w:noProof/>
          </w:rPr>
          <w:t>Intervenant de l’informatique en nuage - Portée ministérielle</w:t>
        </w:r>
        <w:r w:rsidR="008D5C2D">
          <w:rPr>
            <w:noProof/>
            <w:webHidden/>
          </w:rPr>
          <w:tab/>
        </w:r>
        <w:r w:rsidR="008D5C2D">
          <w:rPr>
            <w:noProof/>
            <w:webHidden/>
          </w:rPr>
          <w:fldChar w:fldCharType="begin"/>
        </w:r>
        <w:r w:rsidR="008D5C2D">
          <w:rPr>
            <w:noProof/>
            <w:webHidden/>
          </w:rPr>
          <w:instrText xml:space="preserve"> PAGEREF _Toc114841924 \h </w:instrText>
        </w:r>
        <w:r w:rsidR="008D5C2D">
          <w:rPr>
            <w:noProof/>
            <w:webHidden/>
          </w:rPr>
        </w:r>
        <w:r w:rsidR="008D5C2D">
          <w:rPr>
            <w:noProof/>
            <w:webHidden/>
          </w:rPr>
          <w:fldChar w:fldCharType="separate"/>
        </w:r>
        <w:r w:rsidR="008D5C2D">
          <w:rPr>
            <w:noProof/>
            <w:webHidden/>
          </w:rPr>
          <w:t>10</w:t>
        </w:r>
        <w:r w:rsidR="008D5C2D">
          <w:rPr>
            <w:noProof/>
            <w:webHidden/>
          </w:rPr>
          <w:fldChar w:fldCharType="end"/>
        </w:r>
      </w:hyperlink>
    </w:p>
    <w:p w14:paraId="19E8445C" w14:textId="2DAF11D4" w:rsidR="008D5C2D" w:rsidRDefault="00E505F2">
      <w:pPr>
        <w:pStyle w:val="TableofFigures"/>
        <w:tabs>
          <w:tab w:val="right" w:leader="dot" w:pos="9352"/>
        </w:tabs>
        <w:rPr>
          <w:rFonts w:eastAsiaTheme="minorEastAsia" w:cstheme="minorBidi"/>
          <w:noProof/>
          <w:lang w:eastAsia="fr-CA"/>
        </w:rPr>
      </w:pPr>
      <w:hyperlink w:anchor="_Toc114841925" w:history="1">
        <w:r w:rsidR="008D5C2D" w:rsidRPr="006E56BA">
          <w:rPr>
            <w:rStyle w:val="Hyperlink"/>
            <w:noProof/>
          </w:rPr>
          <w:t>Tableau</w:t>
        </w:r>
        <w:r w:rsidR="00FB480F">
          <w:rPr>
            <w:rStyle w:val="Hyperlink"/>
            <w:noProof/>
          </w:rPr>
          <w:t> </w:t>
        </w:r>
        <w:r w:rsidR="008D5C2D" w:rsidRPr="006E56BA">
          <w:rPr>
            <w:rStyle w:val="Hyperlink"/>
            <w:noProof/>
          </w:rPr>
          <w:t>4</w:t>
        </w:r>
        <w:r w:rsidR="00FB480F">
          <w:rPr>
            <w:rStyle w:val="Hyperlink"/>
            <w:noProof/>
          </w:rPr>
          <w:t xml:space="preserve">— </w:t>
        </w:r>
        <w:r w:rsidR="008D5C2D" w:rsidRPr="006E56BA">
          <w:rPr>
            <w:rStyle w:val="Hyperlink"/>
            <w:noProof/>
          </w:rPr>
          <w:t xml:space="preserve">1 Matrice RACI de l’informatique en nuage du GC </w:t>
        </w:r>
        <w:r w:rsidR="00FB480F">
          <w:rPr>
            <w:rStyle w:val="Hyperlink"/>
            <w:noProof/>
          </w:rPr>
          <w:t>—</w:t>
        </w:r>
        <w:r w:rsidR="008D5C2D" w:rsidRPr="006E56BA">
          <w:rPr>
            <w:rStyle w:val="Hyperlink"/>
            <w:noProof/>
          </w:rPr>
          <w:t xml:space="preserve"> Vue d’ensemble</w:t>
        </w:r>
        <w:r w:rsidR="008D5C2D">
          <w:rPr>
            <w:noProof/>
            <w:webHidden/>
          </w:rPr>
          <w:tab/>
        </w:r>
        <w:r w:rsidR="008D5C2D">
          <w:rPr>
            <w:noProof/>
            <w:webHidden/>
          </w:rPr>
          <w:fldChar w:fldCharType="begin"/>
        </w:r>
        <w:r w:rsidR="008D5C2D">
          <w:rPr>
            <w:noProof/>
            <w:webHidden/>
          </w:rPr>
          <w:instrText xml:space="preserve"> PAGEREF _Toc114841925 \h </w:instrText>
        </w:r>
        <w:r w:rsidR="008D5C2D">
          <w:rPr>
            <w:noProof/>
            <w:webHidden/>
          </w:rPr>
        </w:r>
        <w:r w:rsidR="008D5C2D">
          <w:rPr>
            <w:noProof/>
            <w:webHidden/>
          </w:rPr>
          <w:fldChar w:fldCharType="separate"/>
        </w:r>
        <w:r w:rsidR="008D5C2D">
          <w:rPr>
            <w:noProof/>
            <w:webHidden/>
          </w:rPr>
          <w:t>13</w:t>
        </w:r>
        <w:r w:rsidR="008D5C2D">
          <w:rPr>
            <w:noProof/>
            <w:webHidden/>
          </w:rPr>
          <w:fldChar w:fldCharType="end"/>
        </w:r>
      </w:hyperlink>
    </w:p>
    <w:p w14:paraId="46417FB5" w14:textId="7E9330D2" w:rsidR="000409F5" w:rsidRPr="00CC0866" w:rsidRDefault="000409F5" w:rsidP="000409F5">
      <w:pPr>
        <w:pStyle w:val="HeadingBasic"/>
        <w:keepNext/>
        <w:keepLines/>
      </w:pPr>
      <w:r w:rsidRPr="00B47B7E">
        <w:rPr>
          <w:sz w:val="20"/>
        </w:rPr>
        <w:fldChar w:fldCharType="end"/>
      </w:r>
      <w:r>
        <w:t>Liste des figures</w:t>
      </w:r>
    </w:p>
    <w:p w14:paraId="73B62F4F" w14:textId="62CD90C9" w:rsidR="008D5C2D" w:rsidRDefault="000409F5">
      <w:pPr>
        <w:pStyle w:val="TableofFigures"/>
        <w:tabs>
          <w:tab w:val="right" w:leader="dot" w:pos="9352"/>
        </w:tabs>
        <w:rPr>
          <w:rFonts w:eastAsiaTheme="minorEastAsia" w:cstheme="minorBidi"/>
          <w:noProof/>
          <w:lang w:eastAsia="fr-CA"/>
        </w:rPr>
      </w:pPr>
      <w:r w:rsidRPr="00505523">
        <w:fldChar w:fldCharType="begin"/>
      </w:r>
      <w:r w:rsidRPr="00505523">
        <w:instrText xml:space="preserve"> TOC \h \z \c "Figure" </w:instrText>
      </w:r>
      <w:r w:rsidRPr="00505523">
        <w:fldChar w:fldCharType="separate"/>
      </w:r>
      <w:hyperlink w:anchor="_Toc114841926" w:history="1">
        <w:r w:rsidR="008D5C2D" w:rsidRPr="00EB0CCE">
          <w:rPr>
            <w:rStyle w:val="Hyperlink"/>
            <w:noProof/>
          </w:rPr>
          <w:t>Figure</w:t>
        </w:r>
        <w:r w:rsidR="00FB480F">
          <w:rPr>
            <w:rStyle w:val="Hyperlink"/>
            <w:noProof/>
          </w:rPr>
          <w:t> </w:t>
        </w:r>
        <w:r w:rsidR="008D5C2D" w:rsidRPr="00EB0CCE">
          <w:rPr>
            <w:rStyle w:val="Hyperlink"/>
            <w:noProof/>
          </w:rPr>
          <w:t>2</w:t>
        </w:r>
        <w:r w:rsidR="00FB480F">
          <w:rPr>
            <w:rStyle w:val="Hyperlink"/>
            <w:noProof/>
          </w:rPr>
          <w:t xml:space="preserve">— </w:t>
        </w:r>
        <w:r w:rsidR="008D5C2D" w:rsidRPr="00EB0CCE">
          <w:rPr>
            <w:rStyle w:val="Hyperlink"/>
            <w:noProof/>
          </w:rPr>
          <w:t>1</w:t>
        </w:r>
        <w:r w:rsidR="00FB480F">
          <w:rPr>
            <w:rStyle w:val="Hyperlink"/>
            <w:noProof/>
          </w:rPr>
          <w:t> </w:t>
        </w:r>
        <w:r w:rsidR="008D5C2D" w:rsidRPr="00EB0CCE">
          <w:rPr>
            <w:rStyle w:val="Hyperlink"/>
            <w:noProof/>
          </w:rPr>
          <w:t>Champ de responsabilité</w:t>
        </w:r>
        <w:r w:rsidR="008D5C2D">
          <w:rPr>
            <w:noProof/>
            <w:webHidden/>
          </w:rPr>
          <w:tab/>
        </w:r>
        <w:r w:rsidR="008D5C2D">
          <w:rPr>
            <w:noProof/>
            <w:webHidden/>
          </w:rPr>
          <w:fldChar w:fldCharType="begin"/>
        </w:r>
        <w:r w:rsidR="008D5C2D">
          <w:rPr>
            <w:noProof/>
            <w:webHidden/>
          </w:rPr>
          <w:instrText xml:space="preserve"> PAGEREF _Toc114841926 \h </w:instrText>
        </w:r>
        <w:r w:rsidR="008D5C2D">
          <w:rPr>
            <w:noProof/>
            <w:webHidden/>
          </w:rPr>
        </w:r>
        <w:r w:rsidR="008D5C2D">
          <w:rPr>
            <w:noProof/>
            <w:webHidden/>
          </w:rPr>
          <w:fldChar w:fldCharType="separate"/>
        </w:r>
        <w:r w:rsidR="008D5C2D">
          <w:rPr>
            <w:noProof/>
            <w:webHidden/>
          </w:rPr>
          <w:t>4</w:t>
        </w:r>
        <w:r w:rsidR="008D5C2D">
          <w:rPr>
            <w:noProof/>
            <w:webHidden/>
          </w:rPr>
          <w:fldChar w:fldCharType="end"/>
        </w:r>
      </w:hyperlink>
    </w:p>
    <w:p w14:paraId="2F41D932" w14:textId="251B85E2" w:rsidR="008D5C2D" w:rsidRDefault="00E505F2">
      <w:pPr>
        <w:pStyle w:val="TableofFigures"/>
        <w:tabs>
          <w:tab w:val="right" w:leader="dot" w:pos="9352"/>
        </w:tabs>
        <w:rPr>
          <w:rFonts w:eastAsiaTheme="minorEastAsia" w:cstheme="minorBidi"/>
          <w:noProof/>
          <w:lang w:eastAsia="fr-CA"/>
        </w:rPr>
      </w:pPr>
      <w:hyperlink w:anchor="_Toc114841927" w:history="1">
        <w:r w:rsidR="008D5C2D" w:rsidRPr="00EB0CCE">
          <w:rPr>
            <w:rStyle w:val="Hyperlink"/>
            <w:noProof/>
          </w:rPr>
          <w:t>Figure</w:t>
        </w:r>
        <w:r w:rsidR="00FB480F">
          <w:rPr>
            <w:rStyle w:val="Hyperlink"/>
            <w:noProof/>
          </w:rPr>
          <w:t> </w:t>
        </w:r>
        <w:r w:rsidR="008D5C2D" w:rsidRPr="00EB0CCE">
          <w:rPr>
            <w:rStyle w:val="Hyperlink"/>
            <w:noProof/>
          </w:rPr>
          <w:t>2</w:t>
        </w:r>
        <w:r w:rsidR="00FB480F">
          <w:rPr>
            <w:rStyle w:val="Hyperlink"/>
            <w:noProof/>
          </w:rPr>
          <w:t xml:space="preserve">— </w:t>
        </w:r>
        <w:r w:rsidR="008D5C2D" w:rsidRPr="00EB0CCE">
          <w:rPr>
            <w:rStyle w:val="Hyperlink"/>
            <w:noProof/>
          </w:rPr>
          <w:t>2</w:t>
        </w:r>
        <w:r w:rsidR="00FB480F">
          <w:rPr>
            <w:rStyle w:val="Hyperlink"/>
            <w:noProof/>
          </w:rPr>
          <w:t> </w:t>
        </w:r>
        <w:r w:rsidR="008D5C2D" w:rsidRPr="00EB0CCE">
          <w:rPr>
            <w:rStyle w:val="Hyperlink"/>
            <w:noProof/>
          </w:rPr>
          <w:t>Portée des profils d’informatique en nuage du GC</w:t>
        </w:r>
        <w:r w:rsidR="008D5C2D">
          <w:rPr>
            <w:noProof/>
            <w:webHidden/>
          </w:rPr>
          <w:tab/>
        </w:r>
        <w:r w:rsidR="008D5C2D">
          <w:rPr>
            <w:noProof/>
            <w:webHidden/>
          </w:rPr>
          <w:fldChar w:fldCharType="begin"/>
        </w:r>
        <w:r w:rsidR="008D5C2D">
          <w:rPr>
            <w:noProof/>
            <w:webHidden/>
          </w:rPr>
          <w:instrText xml:space="preserve"> PAGEREF _Toc114841927 \h </w:instrText>
        </w:r>
        <w:r w:rsidR="008D5C2D">
          <w:rPr>
            <w:noProof/>
            <w:webHidden/>
          </w:rPr>
        </w:r>
        <w:r w:rsidR="008D5C2D">
          <w:rPr>
            <w:noProof/>
            <w:webHidden/>
          </w:rPr>
          <w:fldChar w:fldCharType="separate"/>
        </w:r>
        <w:r w:rsidR="008D5C2D">
          <w:rPr>
            <w:noProof/>
            <w:webHidden/>
          </w:rPr>
          <w:t>5</w:t>
        </w:r>
        <w:r w:rsidR="008D5C2D">
          <w:rPr>
            <w:noProof/>
            <w:webHidden/>
          </w:rPr>
          <w:fldChar w:fldCharType="end"/>
        </w:r>
      </w:hyperlink>
    </w:p>
    <w:p w14:paraId="0C36116F" w14:textId="17488370" w:rsidR="008D5C2D" w:rsidRDefault="00E505F2">
      <w:pPr>
        <w:pStyle w:val="TableofFigures"/>
        <w:tabs>
          <w:tab w:val="right" w:leader="dot" w:pos="9352"/>
        </w:tabs>
        <w:rPr>
          <w:rFonts w:eastAsiaTheme="minorEastAsia" w:cstheme="minorBidi"/>
          <w:noProof/>
          <w:lang w:eastAsia="fr-CA"/>
        </w:rPr>
      </w:pPr>
      <w:hyperlink w:anchor="_Toc114841928" w:history="1">
        <w:r w:rsidR="008D5C2D" w:rsidRPr="00EB0CCE">
          <w:rPr>
            <w:rStyle w:val="Hyperlink"/>
            <w:noProof/>
          </w:rPr>
          <w:t>Figure</w:t>
        </w:r>
        <w:r w:rsidR="00FB480F">
          <w:rPr>
            <w:rStyle w:val="Hyperlink"/>
            <w:noProof/>
          </w:rPr>
          <w:t> </w:t>
        </w:r>
        <w:r w:rsidR="008D5C2D" w:rsidRPr="00EB0CCE">
          <w:rPr>
            <w:rStyle w:val="Hyperlink"/>
            <w:noProof/>
          </w:rPr>
          <w:t>2</w:t>
        </w:r>
        <w:r w:rsidR="00FB480F">
          <w:rPr>
            <w:rStyle w:val="Hyperlink"/>
            <w:noProof/>
          </w:rPr>
          <w:t xml:space="preserve">— </w:t>
        </w:r>
        <w:r w:rsidR="008D5C2D" w:rsidRPr="00EB0CCE">
          <w:rPr>
            <w:rStyle w:val="Hyperlink"/>
            <w:noProof/>
          </w:rPr>
          <w:t>3</w:t>
        </w:r>
        <w:r w:rsidR="00FB480F">
          <w:rPr>
            <w:rStyle w:val="Hyperlink"/>
            <w:noProof/>
          </w:rPr>
          <w:t> </w:t>
        </w:r>
        <w:r w:rsidR="008D5C2D" w:rsidRPr="00EB0CCE">
          <w:rPr>
            <w:rStyle w:val="Hyperlink"/>
            <w:noProof/>
          </w:rPr>
          <w:t>Modèle théorique de partage de la responsabilité de la mise en œuvre et des opérations</w:t>
        </w:r>
        <w:r w:rsidR="008D5C2D">
          <w:rPr>
            <w:noProof/>
            <w:webHidden/>
          </w:rPr>
          <w:tab/>
        </w:r>
        <w:r w:rsidR="008D5C2D">
          <w:rPr>
            <w:noProof/>
            <w:webHidden/>
          </w:rPr>
          <w:fldChar w:fldCharType="begin"/>
        </w:r>
        <w:r w:rsidR="008D5C2D">
          <w:rPr>
            <w:noProof/>
            <w:webHidden/>
          </w:rPr>
          <w:instrText xml:space="preserve"> PAGEREF _Toc114841928 \h </w:instrText>
        </w:r>
        <w:r w:rsidR="008D5C2D">
          <w:rPr>
            <w:noProof/>
            <w:webHidden/>
          </w:rPr>
        </w:r>
        <w:r w:rsidR="008D5C2D">
          <w:rPr>
            <w:noProof/>
            <w:webHidden/>
          </w:rPr>
          <w:fldChar w:fldCharType="separate"/>
        </w:r>
        <w:r w:rsidR="008D5C2D">
          <w:rPr>
            <w:noProof/>
            <w:webHidden/>
          </w:rPr>
          <w:t>7</w:t>
        </w:r>
        <w:r w:rsidR="008D5C2D">
          <w:rPr>
            <w:noProof/>
            <w:webHidden/>
          </w:rPr>
          <w:fldChar w:fldCharType="end"/>
        </w:r>
      </w:hyperlink>
    </w:p>
    <w:p w14:paraId="7C83470A" w14:textId="114780A1" w:rsidR="0028726F" w:rsidRPr="00CC0866" w:rsidRDefault="000409F5" w:rsidP="000409F5">
      <w:pPr>
        <w:pStyle w:val="Heading"/>
      </w:pPr>
      <w:r w:rsidRPr="00505523">
        <w:rPr>
          <w:sz w:val="22"/>
        </w:rPr>
        <w:fldChar w:fldCharType="end"/>
      </w:r>
      <w:r>
        <w:br w:type="page"/>
      </w:r>
      <w:r>
        <w:lastRenderedPageBreak/>
        <w:t>Liste d’abréviations et d’acronymes</w:t>
      </w:r>
      <w:bookmarkEnd w:id="0"/>
    </w:p>
    <w:tbl>
      <w:tblPr>
        <w:tblW w:w="0" w:type="auto"/>
        <w:tblLook w:val="04A0" w:firstRow="1" w:lastRow="0" w:firstColumn="1" w:lastColumn="0" w:noHBand="0" w:noVBand="1"/>
      </w:tblPr>
      <w:tblGrid>
        <w:gridCol w:w="6"/>
        <w:gridCol w:w="1272"/>
        <w:gridCol w:w="8192"/>
      </w:tblGrid>
      <w:tr w:rsidR="00AE0F9A" w:rsidRPr="005D0255" w14:paraId="3CB87516" w14:textId="77777777" w:rsidTr="00993296">
        <w:tc>
          <w:tcPr>
            <w:tcW w:w="1278" w:type="dxa"/>
            <w:gridSpan w:val="2"/>
            <w:shd w:val="clear" w:color="auto" w:fill="auto"/>
          </w:tcPr>
          <w:p w14:paraId="721C4678" w14:textId="16E01AB9" w:rsidR="00AE0F9A" w:rsidRPr="0055346D" w:rsidRDefault="00AE0F9A" w:rsidP="00993296">
            <w:pPr>
              <w:spacing w:after="80" w:line="240" w:lineRule="auto"/>
            </w:pPr>
            <w:r>
              <w:t>DPI</w:t>
            </w:r>
          </w:p>
        </w:tc>
        <w:tc>
          <w:tcPr>
            <w:tcW w:w="8192" w:type="dxa"/>
            <w:shd w:val="clear" w:color="auto" w:fill="auto"/>
          </w:tcPr>
          <w:p w14:paraId="41C8502C" w14:textId="24159167" w:rsidR="00AE0F9A" w:rsidRPr="0055346D" w:rsidRDefault="00AE0F9A" w:rsidP="00993296">
            <w:pPr>
              <w:spacing w:after="80" w:line="240" w:lineRule="auto"/>
            </w:pPr>
            <w:r>
              <w:t>Directeur principal de l’information</w:t>
            </w:r>
          </w:p>
        </w:tc>
      </w:tr>
      <w:tr w:rsidR="0055346D" w:rsidRPr="005D0255" w14:paraId="13B15FC7" w14:textId="77777777" w:rsidTr="00993296">
        <w:tc>
          <w:tcPr>
            <w:tcW w:w="1278" w:type="dxa"/>
            <w:gridSpan w:val="2"/>
            <w:shd w:val="clear" w:color="auto" w:fill="auto"/>
          </w:tcPr>
          <w:p w14:paraId="05A786D0" w14:textId="1CD622EA" w:rsidR="0055346D" w:rsidRPr="0055346D" w:rsidRDefault="0055346D" w:rsidP="00993296">
            <w:pPr>
              <w:spacing w:after="80" w:line="240" w:lineRule="auto"/>
            </w:pPr>
            <w:r>
              <w:t>DDPI</w:t>
            </w:r>
          </w:p>
        </w:tc>
        <w:tc>
          <w:tcPr>
            <w:tcW w:w="8192" w:type="dxa"/>
            <w:shd w:val="clear" w:color="auto" w:fill="auto"/>
          </w:tcPr>
          <w:p w14:paraId="06EB809B" w14:textId="420E56E9" w:rsidR="0055346D" w:rsidRPr="0055346D" w:rsidRDefault="0055346D" w:rsidP="00993296">
            <w:pPr>
              <w:spacing w:after="80" w:line="240" w:lineRule="auto"/>
            </w:pPr>
            <w:r>
              <w:t>Direction du dirigeant principal de l’information</w:t>
            </w:r>
          </w:p>
        </w:tc>
      </w:tr>
      <w:tr w:rsidR="00CC3BA5" w:rsidRPr="005D0255" w14:paraId="7C972747" w14:textId="77777777" w:rsidTr="00993296">
        <w:tc>
          <w:tcPr>
            <w:tcW w:w="1278" w:type="dxa"/>
            <w:gridSpan w:val="2"/>
            <w:shd w:val="clear" w:color="auto" w:fill="auto"/>
          </w:tcPr>
          <w:p w14:paraId="3A7EA975" w14:textId="67CED27E" w:rsidR="00CC3BA5" w:rsidRPr="0055346D" w:rsidRDefault="00CC3BA5" w:rsidP="00993296">
            <w:pPr>
              <w:spacing w:after="80" w:line="240" w:lineRule="auto"/>
            </w:pPr>
            <w:r>
              <w:t>DSIC</w:t>
            </w:r>
          </w:p>
        </w:tc>
        <w:tc>
          <w:tcPr>
            <w:tcW w:w="8192" w:type="dxa"/>
            <w:shd w:val="clear" w:color="auto" w:fill="auto"/>
          </w:tcPr>
          <w:p w14:paraId="2837B7E9" w14:textId="55699679" w:rsidR="00CC3BA5" w:rsidRPr="0055346D" w:rsidRDefault="00CC3BA5" w:rsidP="00993296">
            <w:pPr>
              <w:spacing w:after="80" w:line="240" w:lineRule="auto"/>
            </w:pPr>
            <w:r>
              <w:t>Direction de la sécurité industrielle du Canada</w:t>
            </w:r>
          </w:p>
        </w:tc>
      </w:tr>
      <w:tr w:rsidR="00A87352" w:rsidRPr="005D0255" w14:paraId="2EE6DFBF" w14:textId="77777777" w:rsidTr="00993296">
        <w:tc>
          <w:tcPr>
            <w:tcW w:w="1278" w:type="dxa"/>
            <w:gridSpan w:val="2"/>
            <w:shd w:val="clear" w:color="auto" w:fill="auto"/>
          </w:tcPr>
          <w:p w14:paraId="7EC42EB8" w14:textId="77777777" w:rsidR="00A87352" w:rsidRPr="00944B6B" w:rsidRDefault="00A87352" w:rsidP="00993296">
            <w:pPr>
              <w:spacing w:after="80" w:line="240" w:lineRule="auto"/>
            </w:pPr>
            <w:r>
              <w:t>CST</w:t>
            </w:r>
          </w:p>
        </w:tc>
        <w:tc>
          <w:tcPr>
            <w:tcW w:w="8192" w:type="dxa"/>
            <w:shd w:val="clear" w:color="auto" w:fill="auto"/>
          </w:tcPr>
          <w:p w14:paraId="47414AFE" w14:textId="77777777" w:rsidR="00A87352" w:rsidRPr="00944B6B" w:rsidRDefault="00A87352" w:rsidP="00993296">
            <w:pPr>
              <w:spacing w:after="80" w:line="240" w:lineRule="auto"/>
            </w:pPr>
            <w:r>
              <w:t>Centre de sécurité des télécommunications</w:t>
            </w:r>
          </w:p>
        </w:tc>
      </w:tr>
      <w:tr w:rsidR="00F769C5" w:rsidRPr="005D0255" w14:paraId="64822F8B" w14:textId="77777777" w:rsidTr="00993296">
        <w:tc>
          <w:tcPr>
            <w:tcW w:w="1278" w:type="dxa"/>
            <w:gridSpan w:val="2"/>
            <w:shd w:val="clear" w:color="auto" w:fill="auto"/>
          </w:tcPr>
          <w:p w14:paraId="599D080D" w14:textId="77777777" w:rsidR="00F769C5" w:rsidRPr="002A7A27" w:rsidRDefault="00F769C5" w:rsidP="00993296">
            <w:pPr>
              <w:spacing w:after="80" w:line="240" w:lineRule="auto"/>
            </w:pPr>
            <w:r>
              <w:t>FSI</w:t>
            </w:r>
          </w:p>
        </w:tc>
        <w:tc>
          <w:tcPr>
            <w:tcW w:w="8192" w:type="dxa"/>
            <w:shd w:val="clear" w:color="auto" w:fill="auto"/>
          </w:tcPr>
          <w:p w14:paraId="784AB156" w14:textId="77777777" w:rsidR="00F769C5" w:rsidRPr="002A7A27" w:rsidRDefault="00F769C5" w:rsidP="00993296">
            <w:pPr>
              <w:spacing w:after="80" w:line="240" w:lineRule="auto"/>
            </w:pPr>
            <w:r>
              <w:t>Fournisseur de services infonuagiques</w:t>
            </w:r>
          </w:p>
        </w:tc>
      </w:tr>
      <w:tr w:rsidR="00A167A6" w:rsidRPr="005D0255" w14:paraId="012D6805" w14:textId="77777777" w:rsidTr="00993296">
        <w:tc>
          <w:tcPr>
            <w:tcW w:w="1278" w:type="dxa"/>
            <w:gridSpan w:val="2"/>
            <w:shd w:val="clear" w:color="auto" w:fill="auto"/>
          </w:tcPr>
          <w:p w14:paraId="628FF883" w14:textId="369DE139" w:rsidR="00A167A6" w:rsidRPr="002A7A27" w:rsidRDefault="00A167A6" w:rsidP="00993296">
            <w:pPr>
              <w:spacing w:after="80" w:line="240" w:lineRule="auto"/>
            </w:pPr>
            <w:r>
              <w:t>SDSM</w:t>
            </w:r>
          </w:p>
        </w:tc>
        <w:tc>
          <w:tcPr>
            <w:tcW w:w="8192" w:type="dxa"/>
            <w:shd w:val="clear" w:color="auto" w:fill="auto"/>
          </w:tcPr>
          <w:p w14:paraId="483DAD47" w14:textId="6A898270" w:rsidR="00A167A6" w:rsidRPr="002A7A27" w:rsidRDefault="00A167A6" w:rsidP="00993296">
            <w:pPr>
              <w:spacing w:after="80" w:line="240" w:lineRule="auto"/>
            </w:pPr>
            <w:r>
              <w:t>Sous-direction de la sécurité ministérielle</w:t>
            </w:r>
          </w:p>
        </w:tc>
      </w:tr>
      <w:tr w:rsidR="0055346D" w:rsidRPr="005D0255" w14:paraId="4AD46158" w14:textId="77777777" w:rsidTr="00993296">
        <w:tc>
          <w:tcPr>
            <w:tcW w:w="1278" w:type="dxa"/>
            <w:gridSpan w:val="2"/>
            <w:shd w:val="clear" w:color="auto" w:fill="auto"/>
          </w:tcPr>
          <w:p w14:paraId="6C01C30F" w14:textId="683A3764" w:rsidR="0055346D" w:rsidRPr="0055346D" w:rsidRDefault="0055346D" w:rsidP="00993296">
            <w:pPr>
              <w:spacing w:after="80" w:line="240" w:lineRule="auto"/>
            </w:pPr>
            <w:r>
              <w:t>AI</w:t>
            </w:r>
          </w:p>
        </w:tc>
        <w:tc>
          <w:tcPr>
            <w:tcW w:w="8192" w:type="dxa"/>
            <w:shd w:val="clear" w:color="auto" w:fill="auto"/>
          </w:tcPr>
          <w:p w14:paraId="1AA5199D" w14:textId="7B99077E" w:rsidR="0055346D" w:rsidRPr="0055346D" w:rsidRDefault="0055346D" w:rsidP="00993296">
            <w:pPr>
              <w:spacing w:after="80" w:line="240" w:lineRule="auto"/>
            </w:pPr>
            <w:r>
              <w:t>Architecture intégrée</w:t>
            </w:r>
          </w:p>
        </w:tc>
      </w:tr>
      <w:tr w:rsidR="0055346D" w:rsidRPr="005D0255" w14:paraId="1DEA1E6A" w14:textId="77777777" w:rsidTr="00993296">
        <w:tc>
          <w:tcPr>
            <w:tcW w:w="1278" w:type="dxa"/>
            <w:gridSpan w:val="2"/>
            <w:shd w:val="clear" w:color="auto" w:fill="auto"/>
          </w:tcPr>
          <w:p w14:paraId="4552D339" w14:textId="60958A1F" w:rsidR="0055346D" w:rsidRPr="0055346D" w:rsidRDefault="0055346D" w:rsidP="00993296">
            <w:pPr>
              <w:spacing w:after="80" w:line="240" w:lineRule="auto"/>
            </w:pPr>
            <w:r>
              <w:t>ASI</w:t>
            </w:r>
          </w:p>
        </w:tc>
        <w:tc>
          <w:tcPr>
            <w:tcW w:w="8192" w:type="dxa"/>
            <w:shd w:val="clear" w:color="auto" w:fill="auto"/>
          </w:tcPr>
          <w:p w14:paraId="157E009C" w14:textId="2BCCF8A6" w:rsidR="0055346D" w:rsidRPr="0055346D" w:rsidRDefault="0055346D" w:rsidP="00993296">
            <w:pPr>
              <w:spacing w:after="80" w:line="240" w:lineRule="auto"/>
            </w:pPr>
            <w:r>
              <w:t>Architecture de sécurité intégrée</w:t>
            </w:r>
          </w:p>
        </w:tc>
      </w:tr>
      <w:tr w:rsidR="00F769C5" w:rsidRPr="005D0255" w14:paraId="512644D6" w14:textId="77777777" w:rsidTr="00993296">
        <w:tc>
          <w:tcPr>
            <w:tcW w:w="1278" w:type="dxa"/>
            <w:gridSpan w:val="2"/>
            <w:shd w:val="clear" w:color="auto" w:fill="auto"/>
          </w:tcPr>
          <w:p w14:paraId="3B23B149" w14:textId="77777777" w:rsidR="00F769C5" w:rsidRPr="007628D2" w:rsidRDefault="00F769C5" w:rsidP="00993296">
            <w:pPr>
              <w:spacing w:after="80" w:line="240" w:lineRule="auto"/>
            </w:pPr>
            <w:r>
              <w:t>GC</w:t>
            </w:r>
          </w:p>
        </w:tc>
        <w:tc>
          <w:tcPr>
            <w:tcW w:w="8192" w:type="dxa"/>
            <w:shd w:val="clear" w:color="auto" w:fill="auto"/>
          </w:tcPr>
          <w:p w14:paraId="63550ED1" w14:textId="77777777" w:rsidR="00F769C5" w:rsidRPr="007628D2" w:rsidRDefault="00F769C5" w:rsidP="00993296">
            <w:pPr>
              <w:spacing w:after="80" w:line="240" w:lineRule="auto"/>
            </w:pPr>
            <w:r>
              <w:t>Gouvernement du Canada</w:t>
            </w:r>
          </w:p>
        </w:tc>
      </w:tr>
      <w:tr w:rsidR="00276DCA" w:rsidRPr="005D0255" w14:paraId="3F257AB8" w14:textId="77777777" w:rsidTr="00993296">
        <w:tc>
          <w:tcPr>
            <w:tcW w:w="1278" w:type="dxa"/>
            <w:gridSpan w:val="2"/>
            <w:shd w:val="clear" w:color="auto" w:fill="auto"/>
          </w:tcPr>
          <w:p w14:paraId="4F4859D7" w14:textId="77777777" w:rsidR="00276DCA" w:rsidRPr="002A7A27" w:rsidRDefault="00276DCA" w:rsidP="00993296">
            <w:pPr>
              <w:spacing w:after="80" w:line="240" w:lineRule="auto"/>
            </w:pPr>
            <w:r>
              <w:t>IaaS</w:t>
            </w:r>
          </w:p>
        </w:tc>
        <w:tc>
          <w:tcPr>
            <w:tcW w:w="8192" w:type="dxa"/>
            <w:shd w:val="clear" w:color="auto" w:fill="auto"/>
          </w:tcPr>
          <w:p w14:paraId="25AB7EA0" w14:textId="77777777" w:rsidR="00276DCA" w:rsidRPr="002A7A27" w:rsidRDefault="00276DCA" w:rsidP="00993296">
            <w:pPr>
              <w:spacing w:after="80" w:line="240" w:lineRule="auto"/>
            </w:pPr>
            <w:r>
              <w:t>Infrastructure comme service</w:t>
            </w:r>
          </w:p>
        </w:tc>
      </w:tr>
      <w:tr w:rsidR="00365BC7" w:rsidRPr="005D0255" w14:paraId="25D56C6A" w14:textId="77777777" w:rsidTr="00993296">
        <w:tc>
          <w:tcPr>
            <w:tcW w:w="1278" w:type="dxa"/>
            <w:gridSpan w:val="2"/>
            <w:shd w:val="clear" w:color="auto" w:fill="auto"/>
          </w:tcPr>
          <w:p w14:paraId="7B3A9148" w14:textId="3B5D6290" w:rsidR="00365BC7" w:rsidRPr="002A7A27" w:rsidRDefault="00365BC7" w:rsidP="00993296">
            <w:pPr>
              <w:spacing w:after="80" w:line="240" w:lineRule="auto"/>
            </w:pPr>
            <w:r>
              <w:t>GIJIA</w:t>
            </w:r>
          </w:p>
        </w:tc>
        <w:tc>
          <w:tcPr>
            <w:tcW w:w="8192" w:type="dxa"/>
            <w:shd w:val="clear" w:color="auto" w:fill="auto"/>
          </w:tcPr>
          <w:p w14:paraId="10E46A79" w14:textId="35405093" w:rsidR="00365BC7" w:rsidRPr="002A7A27" w:rsidRDefault="00365BC7" w:rsidP="00993296">
            <w:pPr>
              <w:spacing w:after="80" w:line="240" w:lineRule="auto"/>
            </w:pPr>
            <w:r>
              <w:t>Gestion de l’identité, des justificatifs d’identité et de l’accès</w:t>
            </w:r>
          </w:p>
        </w:tc>
      </w:tr>
      <w:tr w:rsidR="00F769C5" w:rsidRPr="005D0255" w14:paraId="381DC0F5" w14:textId="77777777" w:rsidTr="00993296">
        <w:tc>
          <w:tcPr>
            <w:tcW w:w="1278" w:type="dxa"/>
            <w:gridSpan w:val="2"/>
            <w:shd w:val="clear" w:color="auto" w:fill="auto"/>
          </w:tcPr>
          <w:p w14:paraId="655A917A" w14:textId="77777777" w:rsidR="00F769C5" w:rsidRPr="00760E18" w:rsidRDefault="00F769C5" w:rsidP="00993296">
            <w:pPr>
              <w:spacing w:after="80" w:line="240" w:lineRule="auto"/>
            </w:pPr>
            <w:r>
              <w:t>TI</w:t>
            </w:r>
          </w:p>
        </w:tc>
        <w:tc>
          <w:tcPr>
            <w:tcW w:w="8192" w:type="dxa"/>
            <w:shd w:val="clear" w:color="auto" w:fill="auto"/>
          </w:tcPr>
          <w:p w14:paraId="5E8BE6AF" w14:textId="77777777" w:rsidR="00F769C5" w:rsidRPr="00760E18" w:rsidRDefault="00F769C5" w:rsidP="00993296">
            <w:pPr>
              <w:spacing w:after="80" w:line="240" w:lineRule="auto"/>
            </w:pPr>
            <w:r>
              <w:t>Technologies de l’information</w:t>
            </w:r>
          </w:p>
        </w:tc>
      </w:tr>
      <w:tr w:rsidR="00CC3BA5" w:rsidRPr="005D0255" w14:paraId="1EE386E6" w14:textId="77777777" w:rsidTr="00993296">
        <w:tc>
          <w:tcPr>
            <w:tcW w:w="1278" w:type="dxa"/>
            <w:gridSpan w:val="2"/>
            <w:shd w:val="clear" w:color="auto" w:fill="auto"/>
          </w:tcPr>
          <w:p w14:paraId="3E0402CF" w14:textId="5D9C7874" w:rsidR="00CC3BA5" w:rsidRPr="00760E18" w:rsidRDefault="00CC3BA5" w:rsidP="00993296">
            <w:pPr>
              <w:spacing w:after="80" w:line="240" w:lineRule="auto"/>
            </w:pPr>
            <w:r>
              <w:t>RUF</w:t>
            </w:r>
          </w:p>
        </w:tc>
        <w:tc>
          <w:tcPr>
            <w:tcW w:w="8192" w:type="dxa"/>
            <w:shd w:val="clear" w:color="auto" w:fill="auto"/>
          </w:tcPr>
          <w:p w14:paraId="3AEC8628" w14:textId="5B8BAAE9" w:rsidR="00CC3BA5" w:rsidRPr="00760E18" w:rsidRDefault="00CC3BA5" w:rsidP="00993296">
            <w:pPr>
              <w:spacing w:after="80" w:line="240" w:lineRule="auto"/>
            </w:pPr>
            <w:r>
              <w:t>Réseaux et utilisateurs Finaux</w:t>
            </w:r>
          </w:p>
        </w:tc>
      </w:tr>
      <w:tr w:rsidR="00A87352" w:rsidRPr="00E505F2" w14:paraId="770FEC9F" w14:textId="77777777" w:rsidTr="00993296">
        <w:tc>
          <w:tcPr>
            <w:tcW w:w="1278" w:type="dxa"/>
            <w:gridSpan w:val="2"/>
            <w:shd w:val="clear" w:color="auto" w:fill="auto"/>
          </w:tcPr>
          <w:p w14:paraId="1538EA96" w14:textId="77777777" w:rsidR="00A87352" w:rsidRPr="00760E18" w:rsidRDefault="00276DCA" w:rsidP="00993296">
            <w:pPr>
              <w:spacing w:after="80" w:line="240" w:lineRule="auto"/>
            </w:pPr>
            <w:r>
              <w:t xml:space="preserve">NIST </w:t>
            </w:r>
          </w:p>
        </w:tc>
        <w:tc>
          <w:tcPr>
            <w:tcW w:w="8192" w:type="dxa"/>
            <w:shd w:val="clear" w:color="auto" w:fill="auto"/>
          </w:tcPr>
          <w:p w14:paraId="438C43C0" w14:textId="77777777" w:rsidR="00A87352" w:rsidRPr="00C81A3B" w:rsidRDefault="00A87352" w:rsidP="00993296">
            <w:pPr>
              <w:spacing w:after="80" w:line="240" w:lineRule="auto"/>
              <w:rPr>
                <w:lang w:val="en-CA"/>
              </w:rPr>
            </w:pPr>
            <w:r w:rsidRPr="00C81A3B">
              <w:rPr>
                <w:lang w:val="en-CA"/>
              </w:rPr>
              <w:t>National Institute of Standard and Technology</w:t>
            </w:r>
          </w:p>
        </w:tc>
      </w:tr>
      <w:tr w:rsidR="00CC3BA5" w:rsidRPr="005D0255" w14:paraId="04E8505E" w14:textId="77777777" w:rsidTr="00993296">
        <w:tc>
          <w:tcPr>
            <w:tcW w:w="1278" w:type="dxa"/>
            <w:gridSpan w:val="2"/>
            <w:shd w:val="clear" w:color="auto" w:fill="auto"/>
          </w:tcPr>
          <w:p w14:paraId="136A38BD" w14:textId="36872D99" w:rsidR="00CC3BA5" w:rsidRPr="00760E18" w:rsidRDefault="00CC3BA5" w:rsidP="00993296">
            <w:pPr>
              <w:spacing w:after="80" w:line="240" w:lineRule="auto"/>
            </w:pPr>
            <w:r>
              <w:t>CER</w:t>
            </w:r>
          </w:p>
        </w:tc>
        <w:tc>
          <w:tcPr>
            <w:tcW w:w="8192" w:type="dxa"/>
            <w:shd w:val="clear" w:color="auto" w:fill="auto"/>
          </w:tcPr>
          <w:p w14:paraId="6D0F742A" w14:textId="3C58BF8F" w:rsidR="00CC3BA5" w:rsidRPr="00760E18" w:rsidRDefault="00CC3BA5" w:rsidP="00993296">
            <w:pPr>
              <w:spacing w:after="80" w:line="240" w:lineRule="auto"/>
            </w:pPr>
            <w:r>
              <w:t>Centre d’exploitation du réseau</w:t>
            </w:r>
          </w:p>
        </w:tc>
      </w:tr>
      <w:tr w:rsidR="00276DCA" w:rsidRPr="005D0255" w14:paraId="3DF53974" w14:textId="77777777" w:rsidTr="00993296">
        <w:tc>
          <w:tcPr>
            <w:tcW w:w="1278" w:type="dxa"/>
            <w:gridSpan w:val="2"/>
            <w:shd w:val="clear" w:color="auto" w:fill="auto"/>
          </w:tcPr>
          <w:p w14:paraId="38F581BA" w14:textId="77777777" w:rsidR="00276DCA" w:rsidRPr="002A7A27" w:rsidRDefault="00276DCA" w:rsidP="00993296">
            <w:pPr>
              <w:spacing w:after="80" w:line="240" w:lineRule="auto"/>
            </w:pPr>
            <w:r>
              <w:t>PaaS</w:t>
            </w:r>
          </w:p>
        </w:tc>
        <w:tc>
          <w:tcPr>
            <w:tcW w:w="8192" w:type="dxa"/>
            <w:shd w:val="clear" w:color="auto" w:fill="auto"/>
          </w:tcPr>
          <w:p w14:paraId="3D7EA10D" w14:textId="77777777" w:rsidR="00276DCA" w:rsidRPr="002A7A27" w:rsidRDefault="00276DCA" w:rsidP="00993296">
            <w:pPr>
              <w:spacing w:after="80" w:line="240" w:lineRule="auto"/>
            </w:pPr>
            <w:r>
              <w:t>Plateforme en tant que service</w:t>
            </w:r>
          </w:p>
        </w:tc>
      </w:tr>
      <w:tr w:rsidR="0081685F" w:rsidRPr="005D0255" w14:paraId="3FCF6967" w14:textId="77777777" w:rsidTr="00993296">
        <w:trPr>
          <w:gridBefore w:val="1"/>
          <w:wBefore w:w="6" w:type="dxa"/>
        </w:trPr>
        <w:tc>
          <w:tcPr>
            <w:tcW w:w="1272" w:type="dxa"/>
            <w:shd w:val="clear" w:color="auto" w:fill="auto"/>
          </w:tcPr>
          <w:p w14:paraId="2BB10DD1" w14:textId="5E170AE8" w:rsidR="00885FC4" w:rsidRPr="0055346D" w:rsidRDefault="00885FC4" w:rsidP="00993296">
            <w:pPr>
              <w:spacing w:after="80" w:line="240" w:lineRule="auto"/>
            </w:pPr>
            <w:r>
              <w:t>EFVP</w:t>
            </w:r>
          </w:p>
        </w:tc>
        <w:tc>
          <w:tcPr>
            <w:tcW w:w="8192" w:type="dxa"/>
            <w:shd w:val="clear" w:color="auto" w:fill="auto"/>
          </w:tcPr>
          <w:p w14:paraId="426BE224" w14:textId="59208BE3" w:rsidR="00885FC4" w:rsidRPr="0055346D" w:rsidRDefault="00885FC4" w:rsidP="00993296">
            <w:pPr>
              <w:spacing w:after="80" w:line="240" w:lineRule="auto"/>
            </w:pPr>
            <w:r>
              <w:t>Évaluation des facteurs relatifs à la vie privée</w:t>
            </w:r>
          </w:p>
        </w:tc>
      </w:tr>
      <w:tr w:rsidR="00944B6B" w:rsidRPr="005D0255" w14:paraId="1DC087B6" w14:textId="77777777" w:rsidTr="00993296">
        <w:trPr>
          <w:gridBefore w:val="1"/>
          <w:wBefore w:w="6" w:type="dxa"/>
        </w:trPr>
        <w:tc>
          <w:tcPr>
            <w:tcW w:w="1272" w:type="dxa"/>
            <w:shd w:val="clear" w:color="auto" w:fill="auto"/>
          </w:tcPr>
          <w:p w14:paraId="7D201C82" w14:textId="7D0DFF08" w:rsidR="00944B6B" w:rsidRPr="00944B6B" w:rsidRDefault="00944B6B" w:rsidP="00993296">
            <w:pPr>
              <w:spacing w:after="80" w:line="240" w:lineRule="auto"/>
            </w:pPr>
            <w:r>
              <w:t>SPAC</w:t>
            </w:r>
          </w:p>
        </w:tc>
        <w:tc>
          <w:tcPr>
            <w:tcW w:w="8192" w:type="dxa"/>
            <w:shd w:val="clear" w:color="auto" w:fill="auto"/>
          </w:tcPr>
          <w:p w14:paraId="53F29EBC" w14:textId="7F47B363" w:rsidR="00944B6B" w:rsidRPr="00944B6B" w:rsidRDefault="00944B6B" w:rsidP="00993296">
            <w:pPr>
              <w:spacing w:after="80" w:line="240" w:lineRule="auto"/>
            </w:pPr>
            <w:r>
              <w:t>Services publics et Approvisionnement Canada</w:t>
            </w:r>
          </w:p>
        </w:tc>
      </w:tr>
      <w:tr w:rsidR="00CF2D61" w:rsidRPr="005D0255" w14:paraId="4A08CFD1" w14:textId="77777777" w:rsidTr="00993296">
        <w:tc>
          <w:tcPr>
            <w:tcW w:w="1278" w:type="dxa"/>
            <w:gridSpan w:val="2"/>
            <w:shd w:val="clear" w:color="auto" w:fill="auto"/>
          </w:tcPr>
          <w:p w14:paraId="03A9E6CB" w14:textId="77777777" w:rsidR="00CF2D61" w:rsidRPr="00B96179" w:rsidRDefault="00CF2D61" w:rsidP="00993296">
            <w:pPr>
              <w:spacing w:after="80" w:line="240" w:lineRule="auto"/>
            </w:pPr>
            <w:r>
              <w:t>RACI</w:t>
            </w:r>
          </w:p>
        </w:tc>
        <w:tc>
          <w:tcPr>
            <w:tcW w:w="8192" w:type="dxa"/>
            <w:shd w:val="clear" w:color="auto" w:fill="auto"/>
          </w:tcPr>
          <w:p w14:paraId="2807B072" w14:textId="77777777" w:rsidR="00CF2D61" w:rsidRPr="00B96179" w:rsidRDefault="00CF2D61" w:rsidP="00993296">
            <w:pPr>
              <w:spacing w:after="80" w:line="240" w:lineRule="auto"/>
            </w:pPr>
            <w:r>
              <w:t>Responsable, approbateur, consulté, informé</w:t>
            </w:r>
          </w:p>
        </w:tc>
      </w:tr>
      <w:tr w:rsidR="00A167A6" w:rsidRPr="005D0255" w14:paraId="779ABF64" w14:textId="77777777" w:rsidTr="00993296">
        <w:tc>
          <w:tcPr>
            <w:tcW w:w="1278" w:type="dxa"/>
            <w:gridSpan w:val="2"/>
            <w:shd w:val="clear" w:color="auto" w:fill="auto"/>
          </w:tcPr>
          <w:p w14:paraId="7DED4625" w14:textId="151CECAF" w:rsidR="00A167A6" w:rsidRPr="00B96179" w:rsidRDefault="00A167A6" w:rsidP="00993296">
            <w:pPr>
              <w:spacing w:after="80" w:line="240" w:lineRule="auto"/>
            </w:pPr>
            <w:r>
              <w:t>GRC</w:t>
            </w:r>
          </w:p>
        </w:tc>
        <w:tc>
          <w:tcPr>
            <w:tcW w:w="8192" w:type="dxa"/>
            <w:shd w:val="clear" w:color="auto" w:fill="auto"/>
          </w:tcPr>
          <w:p w14:paraId="12A8FA65" w14:textId="1CC6C958" w:rsidR="00A167A6" w:rsidRPr="00B96179" w:rsidRDefault="00A167A6" w:rsidP="00993296">
            <w:pPr>
              <w:spacing w:after="80" w:line="240" w:lineRule="auto"/>
            </w:pPr>
            <w:r>
              <w:t>Gendarmerie royale du Canada</w:t>
            </w:r>
          </w:p>
        </w:tc>
      </w:tr>
      <w:tr w:rsidR="00276DCA" w:rsidRPr="005D0255" w14:paraId="1DEED61A" w14:textId="77777777" w:rsidTr="00993296">
        <w:tc>
          <w:tcPr>
            <w:tcW w:w="1278" w:type="dxa"/>
            <w:gridSpan w:val="2"/>
            <w:shd w:val="clear" w:color="auto" w:fill="auto"/>
          </w:tcPr>
          <w:p w14:paraId="4F196CED" w14:textId="77777777" w:rsidR="00276DCA" w:rsidRPr="002A7A27" w:rsidRDefault="00276DCA" w:rsidP="00993296">
            <w:pPr>
              <w:spacing w:after="80" w:line="240" w:lineRule="auto"/>
            </w:pPr>
            <w:r>
              <w:t>SaaS</w:t>
            </w:r>
          </w:p>
        </w:tc>
        <w:tc>
          <w:tcPr>
            <w:tcW w:w="8192" w:type="dxa"/>
            <w:shd w:val="clear" w:color="auto" w:fill="auto"/>
          </w:tcPr>
          <w:p w14:paraId="1D749E6F" w14:textId="77777777" w:rsidR="00276DCA" w:rsidRPr="002A7A27" w:rsidRDefault="00276DCA" w:rsidP="00993296">
            <w:pPr>
              <w:spacing w:after="80" w:line="240" w:lineRule="auto"/>
            </w:pPr>
            <w:r>
              <w:t>Modèle SaaS</w:t>
            </w:r>
          </w:p>
        </w:tc>
      </w:tr>
      <w:tr w:rsidR="00087711" w:rsidRPr="005D0255" w14:paraId="5A2805C6" w14:textId="77777777" w:rsidTr="00993296">
        <w:tc>
          <w:tcPr>
            <w:tcW w:w="1278" w:type="dxa"/>
            <w:gridSpan w:val="2"/>
            <w:shd w:val="clear" w:color="auto" w:fill="auto"/>
          </w:tcPr>
          <w:p w14:paraId="6E986BC0" w14:textId="77777777" w:rsidR="00087711" w:rsidRPr="0055346D" w:rsidRDefault="00087711" w:rsidP="00993296">
            <w:pPr>
              <w:spacing w:after="80" w:line="240" w:lineRule="auto"/>
            </w:pPr>
            <w:r>
              <w:t>CDS</w:t>
            </w:r>
          </w:p>
        </w:tc>
        <w:tc>
          <w:tcPr>
            <w:tcW w:w="8192" w:type="dxa"/>
            <w:shd w:val="clear" w:color="auto" w:fill="auto"/>
          </w:tcPr>
          <w:p w14:paraId="686A8974" w14:textId="77777777" w:rsidR="00087711" w:rsidRPr="0055346D" w:rsidRDefault="00087711" w:rsidP="00993296">
            <w:pPr>
              <w:spacing w:after="80" w:line="240" w:lineRule="auto"/>
            </w:pPr>
            <w:r>
              <w:t>Cycle de développement du système</w:t>
            </w:r>
          </w:p>
        </w:tc>
      </w:tr>
      <w:tr w:rsidR="0055346D" w:rsidRPr="005D0255" w14:paraId="37C92D53" w14:textId="77777777" w:rsidTr="00993296">
        <w:tc>
          <w:tcPr>
            <w:tcW w:w="1278" w:type="dxa"/>
            <w:gridSpan w:val="2"/>
            <w:shd w:val="clear" w:color="auto" w:fill="auto"/>
          </w:tcPr>
          <w:p w14:paraId="064676DB" w14:textId="7EEDB0DA" w:rsidR="0055346D" w:rsidRPr="0055346D" w:rsidRDefault="0055346D" w:rsidP="00993296">
            <w:pPr>
              <w:spacing w:after="80" w:line="240" w:lineRule="auto"/>
            </w:pPr>
            <w:r>
              <w:t>IS</w:t>
            </w:r>
          </w:p>
        </w:tc>
        <w:tc>
          <w:tcPr>
            <w:tcW w:w="8192" w:type="dxa"/>
            <w:shd w:val="clear" w:color="auto" w:fill="auto"/>
          </w:tcPr>
          <w:p w14:paraId="584A5C71" w14:textId="5B531B99" w:rsidR="0055346D" w:rsidRPr="0055346D" w:rsidRDefault="0055346D" w:rsidP="00993296">
            <w:pPr>
              <w:spacing w:after="80" w:line="240" w:lineRule="auto"/>
            </w:pPr>
            <w:r>
              <w:t>Ingénierie des systèmes</w:t>
            </w:r>
          </w:p>
        </w:tc>
      </w:tr>
      <w:tr w:rsidR="00CC3BA5" w:rsidRPr="005D0255" w14:paraId="2C34242C" w14:textId="77777777" w:rsidTr="00993296">
        <w:tc>
          <w:tcPr>
            <w:tcW w:w="1278" w:type="dxa"/>
            <w:gridSpan w:val="2"/>
            <w:shd w:val="clear" w:color="auto" w:fill="auto"/>
          </w:tcPr>
          <w:p w14:paraId="4AA82FDE" w14:textId="7F33620E" w:rsidR="00CC3BA5" w:rsidRPr="00CC3BA5" w:rsidRDefault="00CC3BA5" w:rsidP="00993296">
            <w:pPr>
              <w:spacing w:after="80" w:line="240" w:lineRule="auto"/>
            </w:pPr>
            <w:r>
              <w:t>COS</w:t>
            </w:r>
          </w:p>
        </w:tc>
        <w:tc>
          <w:tcPr>
            <w:tcW w:w="8192" w:type="dxa"/>
            <w:shd w:val="clear" w:color="auto" w:fill="auto"/>
          </w:tcPr>
          <w:p w14:paraId="31412BA5" w14:textId="3752FADE" w:rsidR="00CC3BA5" w:rsidRPr="00CC3BA5" w:rsidRDefault="00CC3BA5" w:rsidP="00993296">
            <w:pPr>
              <w:spacing w:after="80" w:line="240" w:lineRule="auto"/>
            </w:pPr>
            <w:r>
              <w:t>Centre des opérations de sûreté</w:t>
            </w:r>
          </w:p>
        </w:tc>
      </w:tr>
      <w:tr w:rsidR="00993296" w:rsidRPr="005D0255" w14:paraId="5E8713DC" w14:textId="77777777" w:rsidTr="00993296">
        <w:tc>
          <w:tcPr>
            <w:tcW w:w="1278" w:type="dxa"/>
            <w:gridSpan w:val="2"/>
            <w:shd w:val="clear" w:color="auto" w:fill="auto"/>
          </w:tcPr>
          <w:p w14:paraId="2EF7338A" w14:textId="15D70C71" w:rsidR="00993296" w:rsidRPr="00CC3BA5" w:rsidRDefault="00993296" w:rsidP="00993296">
            <w:pPr>
              <w:spacing w:after="80" w:line="240" w:lineRule="auto"/>
            </w:pPr>
            <w:r>
              <w:t>EDT</w:t>
            </w:r>
          </w:p>
        </w:tc>
        <w:tc>
          <w:tcPr>
            <w:tcW w:w="8192" w:type="dxa"/>
            <w:shd w:val="clear" w:color="auto" w:fill="auto"/>
          </w:tcPr>
          <w:p w14:paraId="5C811171" w14:textId="21CD52BF" w:rsidR="00993296" w:rsidRPr="00CC3BA5" w:rsidRDefault="00993296" w:rsidP="00993296">
            <w:pPr>
              <w:spacing w:after="80" w:line="240" w:lineRule="auto"/>
            </w:pPr>
            <w:r>
              <w:t>Énoncé des travaux</w:t>
            </w:r>
          </w:p>
        </w:tc>
      </w:tr>
      <w:tr w:rsidR="00993296" w:rsidRPr="005D0255" w14:paraId="20ECBE93" w14:textId="77777777" w:rsidTr="00993296">
        <w:trPr>
          <w:gridBefore w:val="1"/>
          <w:wBefore w:w="6" w:type="dxa"/>
        </w:trPr>
        <w:tc>
          <w:tcPr>
            <w:tcW w:w="1272" w:type="dxa"/>
            <w:shd w:val="clear" w:color="auto" w:fill="auto"/>
          </w:tcPr>
          <w:p w14:paraId="56EF3A5F" w14:textId="3F0C060A" w:rsidR="00993296" w:rsidRPr="00993296" w:rsidRDefault="00993296" w:rsidP="00993296">
            <w:pPr>
              <w:spacing w:after="80" w:line="240" w:lineRule="auto"/>
            </w:pPr>
            <w:r>
              <w:t>LVERS</w:t>
            </w:r>
          </w:p>
        </w:tc>
        <w:tc>
          <w:tcPr>
            <w:tcW w:w="8192" w:type="dxa"/>
            <w:shd w:val="clear" w:color="auto" w:fill="auto"/>
          </w:tcPr>
          <w:p w14:paraId="329F3624" w14:textId="0071057E" w:rsidR="00993296" w:rsidRPr="00993296" w:rsidRDefault="00993296" w:rsidP="00993296">
            <w:pPr>
              <w:spacing w:after="80" w:line="240" w:lineRule="auto"/>
            </w:pPr>
            <w:r>
              <w:t>Liste de vérification des exigences relatives à la sécurité</w:t>
            </w:r>
          </w:p>
        </w:tc>
      </w:tr>
      <w:tr w:rsidR="0081685F" w:rsidRPr="005D0255" w14:paraId="0B5795A4" w14:textId="77777777" w:rsidTr="00993296">
        <w:trPr>
          <w:gridBefore w:val="1"/>
          <w:wBefore w:w="6" w:type="dxa"/>
        </w:trPr>
        <w:tc>
          <w:tcPr>
            <w:tcW w:w="1272" w:type="dxa"/>
            <w:shd w:val="clear" w:color="auto" w:fill="auto"/>
          </w:tcPr>
          <w:p w14:paraId="5AFAD0F1" w14:textId="4B087ECA" w:rsidR="00804EE3" w:rsidRPr="00993296" w:rsidRDefault="00804EE3" w:rsidP="00993296">
            <w:pPr>
              <w:spacing w:after="80" w:line="240" w:lineRule="auto"/>
            </w:pPr>
            <w:r>
              <w:t>SPC</w:t>
            </w:r>
          </w:p>
        </w:tc>
        <w:tc>
          <w:tcPr>
            <w:tcW w:w="8192" w:type="dxa"/>
            <w:shd w:val="clear" w:color="auto" w:fill="auto"/>
          </w:tcPr>
          <w:p w14:paraId="632E8956" w14:textId="04D6C252" w:rsidR="00804EE3" w:rsidRPr="00993296" w:rsidRDefault="00804EE3" w:rsidP="00993296">
            <w:pPr>
              <w:spacing w:after="80" w:line="240" w:lineRule="auto"/>
            </w:pPr>
            <w:r>
              <w:t>Services partagés Canada</w:t>
            </w:r>
          </w:p>
        </w:tc>
      </w:tr>
      <w:tr w:rsidR="0055346D" w:rsidRPr="005D0255" w14:paraId="7A806101" w14:textId="77777777" w:rsidTr="00993296">
        <w:trPr>
          <w:gridBefore w:val="1"/>
          <w:wBefore w:w="6" w:type="dxa"/>
        </w:trPr>
        <w:tc>
          <w:tcPr>
            <w:tcW w:w="1272" w:type="dxa"/>
            <w:shd w:val="clear" w:color="auto" w:fill="auto"/>
          </w:tcPr>
          <w:p w14:paraId="01CA35C5" w14:textId="5B23D937" w:rsidR="0055346D" w:rsidRPr="0055346D" w:rsidRDefault="0055346D" w:rsidP="00993296">
            <w:pPr>
              <w:spacing w:after="80" w:line="240" w:lineRule="auto"/>
            </w:pPr>
            <w:r>
              <w:t>ISS</w:t>
            </w:r>
          </w:p>
        </w:tc>
        <w:tc>
          <w:tcPr>
            <w:tcW w:w="8192" w:type="dxa"/>
            <w:shd w:val="clear" w:color="auto" w:fill="auto"/>
          </w:tcPr>
          <w:p w14:paraId="457D7F10" w14:textId="6EE425AA" w:rsidR="0055346D" w:rsidRPr="0055346D" w:rsidRDefault="0055346D" w:rsidP="00993296">
            <w:pPr>
              <w:spacing w:after="80" w:line="240" w:lineRule="auto"/>
            </w:pPr>
            <w:r>
              <w:t>Ingénierie de sécurité des systèmes</w:t>
            </w:r>
          </w:p>
        </w:tc>
      </w:tr>
      <w:tr w:rsidR="0055346D" w:rsidRPr="005D0255" w14:paraId="018C3DF8" w14:textId="77777777" w:rsidTr="00993296">
        <w:trPr>
          <w:gridBefore w:val="1"/>
          <w:wBefore w:w="6" w:type="dxa"/>
        </w:trPr>
        <w:tc>
          <w:tcPr>
            <w:tcW w:w="1272" w:type="dxa"/>
            <w:shd w:val="clear" w:color="auto" w:fill="auto"/>
          </w:tcPr>
          <w:p w14:paraId="54CC7EF9" w14:textId="32A9289B" w:rsidR="0055346D" w:rsidRPr="0055346D" w:rsidRDefault="0055346D" w:rsidP="00993296">
            <w:pPr>
              <w:spacing w:after="80" w:line="240" w:lineRule="auto"/>
            </w:pPr>
            <w:r>
              <w:t>EM</w:t>
            </w:r>
          </w:p>
        </w:tc>
        <w:tc>
          <w:tcPr>
            <w:tcW w:w="8192" w:type="dxa"/>
            <w:shd w:val="clear" w:color="auto" w:fill="auto"/>
          </w:tcPr>
          <w:p w14:paraId="44300713" w14:textId="28C21FD7" w:rsidR="0055346D" w:rsidRPr="0055346D" w:rsidRDefault="0055346D" w:rsidP="00993296">
            <w:pPr>
              <w:spacing w:after="80" w:line="240" w:lineRule="auto"/>
            </w:pPr>
            <w:r>
              <w:t>Évaluation des menaces</w:t>
            </w:r>
          </w:p>
        </w:tc>
      </w:tr>
      <w:tr w:rsidR="00087711" w:rsidRPr="005D0255" w14:paraId="461E1AA4" w14:textId="77777777" w:rsidTr="00993296">
        <w:tc>
          <w:tcPr>
            <w:tcW w:w="1278" w:type="dxa"/>
            <w:gridSpan w:val="2"/>
            <w:shd w:val="clear" w:color="auto" w:fill="auto"/>
          </w:tcPr>
          <w:p w14:paraId="2077F03C" w14:textId="77777777" w:rsidR="00087711" w:rsidRPr="0055346D" w:rsidRDefault="00087711" w:rsidP="00993296">
            <w:pPr>
              <w:spacing w:after="80" w:line="240" w:lineRule="auto"/>
            </w:pPr>
            <w:r>
              <w:t xml:space="preserve">SCT </w:t>
            </w:r>
          </w:p>
        </w:tc>
        <w:tc>
          <w:tcPr>
            <w:tcW w:w="8192" w:type="dxa"/>
            <w:shd w:val="clear" w:color="auto" w:fill="auto"/>
          </w:tcPr>
          <w:p w14:paraId="3447EB64" w14:textId="77777777" w:rsidR="00087711" w:rsidRPr="0055346D" w:rsidRDefault="00087711" w:rsidP="00993296">
            <w:pPr>
              <w:spacing w:after="80" w:line="240" w:lineRule="auto"/>
            </w:pPr>
            <w:r>
              <w:t>Secrétariat du Conseil du Trésor du Canada</w:t>
            </w:r>
          </w:p>
        </w:tc>
      </w:tr>
    </w:tbl>
    <w:p w14:paraId="0BF0F214" w14:textId="77777777" w:rsidR="00510345" w:rsidRPr="00644EFB" w:rsidRDefault="00510345" w:rsidP="00510345">
      <w:pPr>
        <w:sectPr w:rsidR="00510345" w:rsidRPr="00644EFB" w:rsidSect="00424D4B">
          <w:headerReference w:type="even" r:id="rId18"/>
          <w:headerReference w:type="default" r:id="rId19"/>
          <w:footerReference w:type="default" r:id="rId20"/>
          <w:headerReference w:type="first" r:id="rId21"/>
          <w:pgSz w:w="12242" w:h="15842" w:code="1"/>
          <w:pgMar w:top="2160" w:right="1440" w:bottom="1440" w:left="1440" w:header="720" w:footer="677" w:gutter="0"/>
          <w:pgNumType w:fmt="lowerRoman" w:start="1"/>
          <w:cols w:space="720"/>
        </w:sectPr>
      </w:pPr>
      <w:bookmarkStart w:id="1" w:name="_Ref183416396"/>
      <w:bookmarkStart w:id="2" w:name="_Ref183416464"/>
    </w:p>
    <w:p w14:paraId="35839D57" w14:textId="77777777" w:rsidR="00C00AFE" w:rsidRDefault="00C00AFE" w:rsidP="00310387">
      <w:pPr>
        <w:pStyle w:val="Heading1"/>
      </w:pPr>
      <w:bookmarkStart w:id="3" w:name="_Ref449349816"/>
      <w:bookmarkStart w:id="4" w:name="_Toc450163557"/>
      <w:bookmarkStart w:id="5" w:name="_Toc114841909"/>
      <w:r>
        <w:lastRenderedPageBreak/>
        <w:t>Introduction</w:t>
      </w:r>
      <w:bookmarkEnd w:id="1"/>
      <w:bookmarkEnd w:id="2"/>
      <w:bookmarkEnd w:id="3"/>
      <w:bookmarkEnd w:id="4"/>
      <w:bookmarkEnd w:id="5"/>
    </w:p>
    <w:p w14:paraId="1537F5AA" w14:textId="77777777" w:rsidR="00A077C6" w:rsidRPr="00644EFB" w:rsidRDefault="003E6CB1" w:rsidP="00310387">
      <w:pPr>
        <w:pStyle w:val="Heading2"/>
      </w:pPr>
      <w:bookmarkStart w:id="6" w:name="_Toc255458797"/>
      <w:bookmarkStart w:id="7" w:name="_Ref322610988"/>
      <w:bookmarkStart w:id="8" w:name="_Toc450163558"/>
      <w:bookmarkStart w:id="9" w:name="_Toc114841910"/>
      <w:r>
        <w:t>Contexte</w:t>
      </w:r>
      <w:bookmarkEnd w:id="6"/>
      <w:bookmarkEnd w:id="7"/>
      <w:bookmarkEnd w:id="8"/>
      <w:bookmarkEnd w:id="9"/>
    </w:p>
    <w:p w14:paraId="2438D7CF" w14:textId="121BF4D7" w:rsidR="00CE5938" w:rsidRDefault="00CE5938" w:rsidP="00CE5938">
      <w:pPr>
        <w:rPr>
          <w:color w:val="000000" w:themeColor="text1"/>
        </w:rPr>
      </w:pPr>
      <w:r>
        <w:t xml:space="preserve">L’informatique en nuage a le potentiel d’offrir un moyen flexible de fournir des services de systèmes d’information et offre un modèle de prestation de services optionnels permettant au gouvernement du Canada (GC) de soutenir son programme de transformation numérique. Ce modèle alternatif de prestation de services permet aux </w:t>
      </w:r>
      <w:r>
        <w:rPr>
          <w:color w:val="000000" w:themeColor="text1"/>
        </w:rPr>
        <w:t>personnes et aux organisations (ou «</w:t>
      </w:r>
      <w:r w:rsidR="00FB480F">
        <w:rPr>
          <w:color w:val="000000" w:themeColor="text1"/>
        </w:rPr>
        <w:t> </w:t>
      </w:r>
      <w:r>
        <w:rPr>
          <w:color w:val="000000" w:themeColor="text1"/>
        </w:rPr>
        <w:t>locataires</w:t>
      </w:r>
      <w:r w:rsidR="00FB480F">
        <w:rPr>
          <w:color w:val="000000" w:themeColor="text1"/>
        </w:rPr>
        <w:t> </w:t>
      </w:r>
      <w:r>
        <w:rPr>
          <w:color w:val="000000" w:themeColor="text1"/>
        </w:rPr>
        <w:t xml:space="preserve">») d’utiliser des logiciels, du matériel et des services hébergés à l’extérieur des installations du GC et gérés par des organisations du secteur privé, y compris des logiciels (p. ex., gestion des relations avec la clientèle, etc.), des plateformes (p. ex., système d’exploitation, base de données) et des infrastructures (p. ex., serveurs, stockage et réseaux).  </w:t>
      </w:r>
    </w:p>
    <w:p w14:paraId="06FF587E" w14:textId="55DD7E28" w:rsidR="00CE5938" w:rsidRPr="00CE5938" w:rsidRDefault="00CE5938" w:rsidP="00CE5938">
      <w:r>
        <w:t xml:space="preserve">L’adoption de l’informatique en nuage peut aider le GC à maintenir l’excellence de ses services d’information dans une période où les Canadiens demandent de plus en plus de services en ligne et de renseignements exacts en temps opportun. Cette évolution aura une incidence sur la façon dont nous nous procurons, sécurisons et utilisons les systèmes d’information qui soutiennent les programmes et services du GC et des ministères. L’adoption de ce modèle </w:t>
      </w:r>
      <w:r>
        <w:rPr>
          <w:color w:val="000000" w:themeColor="text1"/>
        </w:rPr>
        <w:t xml:space="preserve">nécessitera une diligence raisonnable et une prudence de la part du GC dans la sélection du fournisseur de services infonuagiques (FSI) approprié, ainsi qu’une délimitation claire des rôles et responsabilités entre le GC et le FSI pour la </w:t>
      </w:r>
      <w:r>
        <w:t xml:space="preserve">mise en œuvre, l’exploitation et le maintien des contrôles de sécurité qui soutiennent les </w:t>
      </w:r>
      <w:r>
        <w:rPr>
          <w:color w:val="000000" w:themeColor="text1"/>
        </w:rPr>
        <w:t xml:space="preserve">obligations du GC en matière de protection des données et de la confidentialité. </w:t>
      </w:r>
      <w:r>
        <w:t xml:space="preserve">Des </w:t>
      </w:r>
      <w:r>
        <w:rPr>
          <w:color w:val="000000" w:themeColor="text1"/>
        </w:rPr>
        <w:t xml:space="preserve">rôles et des responsabilités clairs doivent également être définis au sein du CG afin de </w:t>
      </w:r>
      <w:r>
        <w:t xml:space="preserve">garantir une utilisation rentable et gérée des risques de l’informatique en nuage pour soutenir la prestation des programmes et des services.  </w:t>
      </w:r>
    </w:p>
    <w:p w14:paraId="409E72C4" w14:textId="17205CEE" w:rsidR="0035510B" w:rsidRDefault="00762CD0" w:rsidP="0035510B">
      <w:pPr>
        <w:pStyle w:val="Heading2"/>
      </w:pPr>
      <w:bookmarkStart w:id="10" w:name="_Toc450163560"/>
      <w:bookmarkStart w:id="11" w:name="_Toc114841911"/>
      <w:bookmarkStart w:id="12" w:name="_Toc450163559"/>
      <w:bookmarkStart w:id="13" w:name="_Toc220293971"/>
      <w:bookmarkStart w:id="14" w:name="OLE_LINK1"/>
      <w:r>
        <w:t>Objectif du document</w:t>
      </w:r>
      <w:bookmarkEnd w:id="10"/>
      <w:bookmarkEnd w:id="11"/>
    </w:p>
    <w:p w14:paraId="16513F5A" w14:textId="6AC67239" w:rsidR="00D231AF" w:rsidRDefault="0035510B" w:rsidP="0035510B">
      <w:r>
        <w:t>Le présent document décrit les rôles et les responsabilités des divers acteurs du GC qui participeront à la gouvernance, à la planification, à l’orchestration, à la mise en œuvre, à l’exploitation et à la maintenance des services du système d’informatique en nuage du GC pour soutenir la prestation des programmes et des services.</w:t>
      </w:r>
    </w:p>
    <w:p w14:paraId="5A18ECBE" w14:textId="4D3AAFF0" w:rsidR="00D231AF" w:rsidRPr="0066215E" w:rsidRDefault="00D231AF" w:rsidP="0035510B">
      <w:r>
        <w:t xml:space="preserve">Ce document appuie également l’avis de mise en œuvre de la politique de sécurité (AMPS) pour l’utilisation sécuritaire des services infonuagiques commerciaux </w:t>
      </w:r>
      <w:sdt>
        <w:sdtPr>
          <w:id w:val="1291776637"/>
          <w:citation/>
        </w:sdtPr>
        <w:sdtEndPr/>
        <w:sdtContent>
          <w:r w:rsidR="0037541C" w:rsidRPr="0037541C">
            <w:fldChar w:fldCharType="begin"/>
          </w:r>
          <w:r w:rsidR="0037541C" w:rsidRPr="0037541C">
            <w:instrText xml:space="preserve"> CITATION Tre174 \l 4105 </w:instrText>
          </w:r>
          <w:r w:rsidR="0037541C" w:rsidRPr="0037541C">
            <w:fldChar w:fldCharType="separate"/>
          </w:r>
          <w:r w:rsidR="008D5C2D">
            <w:rPr>
              <w:noProof/>
            </w:rPr>
            <w:t>[1]</w:t>
          </w:r>
          <w:r w:rsidR="0037541C" w:rsidRPr="0037541C">
            <w:fldChar w:fldCharType="end"/>
          </w:r>
        </w:sdtContent>
      </w:sdt>
      <w:r>
        <w:t xml:space="preserve"> qui aide les ministères et organismes à comprendre les exigences de la politique de sécurité du Conseil du Trésor (CT) dans le contexte de l’informatique en nuage.</w:t>
      </w:r>
    </w:p>
    <w:p w14:paraId="0463B80A" w14:textId="53849374" w:rsidR="0035510B" w:rsidRPr="00837CAA" w:rsidRDefault="0035510B" w:rsidP="0035510B">
      <w:pPr>
        <w:pStyle w:val="Heading2"/>
      </w:pPr>
      <w:bookmarkStart w:id="15" w:name="_Toc450163561"/>
      <w:bookmarkStart w:id="16" w:name="_Toc114841912"/>
      <w:r>
        <w:lastRenderedPageBreak/>
        <w:t>Destinataires</w:t>
      </w:r>
      <w:bookmarkEnd w:id="15"/>
      <w:bookmarkEnd w:id="16"/>
    </w:p>
    <w:p w14:paraId="7C9C5688" w14:textId="3B1EB433" w:rsidR="002B0AA7" w:rsidRDefault="002B0AA7" w:rsidP="002B0AA7">
      <w:r>
        <w:t>Ce document est destiné aux chefs d’entreprise, aux gestionnaires de TI, aux praticiens de l’IT et de la sécurité informatique, ainsi qu’aux autres intervenants de l’informatique en nuage du GC qui cherchent à tirer parti des services infonuagiques.</w:t>
      </w:r>
    </w:p>
    <w:p w14:paraId="29CDB87C" w14:textId="3B400C04" w:rsidR="00C52BE7" w:rsidRDefault="00015DDE" w:rsidP="00015DDE">
      <w:pPr>
        <w:pStyle w:val="Heading2"/>
      </w:pPr>
      <w:bookmarkStart w:id="17" w:name="_Toc114841913"/>
      <w:r>
        <w:t>Définitions des termes clés</w:t>
      </w:r>
      <w:bookmarkEnd w:id="17"/>
    </w:p>
    <w:p w14:paraId="389B7DC1" w14:textId="64F64B7C" w:rsidR="00015DDE" w:rsidRDefault="00015DDE" w:rsidP="00015DDE">
      <w:r>
        <w:t>Vous trouverez ci-dessous les définitions des termes clés utilisés dans le document. Tous les autres termes sont définis dans les références énumérées à la section</w:t>
      </w:r>
      <w:r w:rsidR="00FB480F">
        <w:t> </w:t>
      </w:r>
      <w:r w:rsidR="00840AD2">
        <w:fldChar w:fldCharType="begin"/>
      </w:r>
      <w:r w:rsidR="00840AD2">
        <w:instrText xml:space="preserve"> REF _Ref494114533 \r \h </w:instrText>
      </w:r>
      <w:r w:rsidR="00840AD2">
        <w:fldChar w:fldCharType="separate"/>
      </w:r>
      <w:r w:rsidR="008D5C2D">
        <w:t>5</w:t>
      </w:r>
      <w:r w:rsidR="00840AD2">
        <w:fldChar w:fldCharType="end"/>
      </w:r>
      <w:r>
        <w:t>.</w:t>
      </w:r>
    </w:p>
    <w:p w14:paraId="5253B7D0" w14:textId="77777777" w:rsidR="00840AD2" w:rsidRDefault="00840AD2" w:rsidP="00015D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40"/>
      </w:tblGrid>
      <w:tr w:rsidR="00EB4B37" w14:paraId="30502328" w14:textId="77777777" w:rsidTr="00944130">
        <w:trPr>
          <w:cantSplit/>
        </w:trPr>
        <w:tc>
          <w:tcPr>
            <w:tcW w:w="2358" w:type="dxa"/>
          </w:tcPr>
          <w:p w14:paraId="29D326BF" w14:textId="4EC230C5" w:rsidR="00EB4B37" w:rsidRDefault="00EB4B37" w:rsidP="00944130">
            <w:r>
              <w:t>Service infonuagique</w:t>
            </w:r>
          </w:p>
        </w:tc>
        <w:tc>
          <w:tcPr>
            <w:tcW w:w="7240" w:type="dxa"/>
          </w:tcPr>
          <w:p w14:paraId="24822848" w14:textId="6042686E" w:rsidR="00EB4B37" w:rsidRDefault="00EB4B37">
            <w:r>
              <w:t>Tout service de système d’information fourni par un FSI. Une offre de service infonuagique peut être une infrastructure comme service (IaaS), une plateforme en tant que service (PaaS) ou un modèle SaaS.</w:t>
            </w:r>
          </w:p>
        </w:tc>
      </w:tr>
      <w:tr w:rsidR="00194D3D" w14:paraId="66B2D768" w14:textId="77777777" w:rsidTr="00944130">
        <w:trPr>
          <w:cantSplit/>
        </w:trPr>
        <w:tc>
          <w:tcPr>
            <w:tcW w:w="2358" w:type="dxa"/>
          </w:tcPr>
          <w:p w14:paraId="0CC09E6E" w14:textId="66287796" w:rsidR="00194D3D" w:rsidRDefault="005D20F1" w:rsidP="00944130">
            <w:r>
              <w:t>Service dans le nuage</w:t>
            </w:r>
          </w:p>
        </w:tc>
        <w:tc>
          <w:tcPr>
            <w:tcW w:w="7240" w:type="dxa"/>
          </w:tcPr>
          <w:p w14:paraId="548AAA44" w14:textId="38FD0464" w:rsidR="00194D3D" w:rsidRPr="00944130" w:rsidRDefault="005D20F1" w:rsidP="00BC5628">
            <w:pPr>
              <w:rPr>
                <w:rFonts w:ascii="Calibri" w:hAnsi="Calibri" w:cs="Calibri"/>
                <w:color w:val="000000"/>
              </w:rPr>
            </w:pPr>
            <w:r>
              <w:rPr>
                <w:rFonts w:ascii="Calibri" w:hAnsi="Calibri"/>
                <w:color w:val="000000"/>
              </w:rPr>
              <w:t>Un service de système d’information du GC qui est mis en œuvre dans un service infonuagique. La composition d’un service dans le nuage varie en fonction du modèle du service infonuagique sous-jacent</w:t>
            </w:r>
            <w:r w:rsidR="00FB480F">
              <w:rPr>
                <w:rFonts w:ascii="Calibri" w:hAnsi="Calibri"/>
                <w:color w:val="000000"/>
              </w:rPr>
              <w:t> </w:t>
            </w:r>
            <w:r>
              <w:rPr>
                <w:rFonts w:ascii="Calibri" w:hAnsi="Calibri"/>
                <w:color w:val="000000"/>
              </w:rPr>
              <w:t>: pour l’IaaS, une plateforme et une application; pour la PaaS, une application, et pour le modèle SaaS, la personnalisation et la configuration de l’application SaaS.</w:t>
            </w:r>
          </w:p>
        </w:tc>
      </w:tr>
      <w:tr w:rsidR="00EB4B37" w14:paraId="1C1D57A8" w14:textId="77777777" w:rsidTr="00944130">
        <w:trPr>
          <w:cantSplit/>
        </w:trPr>
        <w:tc>
          <w:tcPr>
            <w:tcW w:w="2358" w:type="dxa"/>
          </w:tcPr>
          <w:p w14:paraId="0D617693" w14:textId="21D470F2" w:rsidR="00EB4B37" w:rsidRDefault="00EB4B37" w:rsidP="00944130">
            <w:r>
              <w:t>Fournisseur de services infonuagiques (FSI)</w:t>
            </w:r>
          </w:p>
        </w:tc>
        <w:tc>
          <w:tcPr>
            <w:tcW w:w="7240" w:type="dxa"/>
          </w:tcPr>
          <w:p w14:paraId="6F0E8BFD" w14:textId="1BDD37C2" w:rsidR="00EB4B37" w:rsidRDefault="00EB4B37">
            <w:r>
              <w:t>Un fournisseur commercial d’un service infonuagique.</w:t>
            </w:r>
          </w:p>
        </w:tc>
      </w:tr>
    </w:tbl>
    <w:p w14:paraId="6505D64C" w14:textId="77777777" w:rsidR="00276DCA" w:rsidRDefault="00276DCA">
      <w:pPr>
        <w:spacing w:after="0" w:line="240" w:lineRule="auto"/>
        <w:rPr>
          <w:rFonts w:cs="Arial"/>
          <w:b/>
          <w:bCs/>
          <w:kern w:val="32"/>
          <w:sz w:val="28"/>
          <w:szCs w:val="32"/>
        </w:rPr>
      </w:pPr>
      <w:bookmarkStart w:id="18" w:name="_Ref322619523"/>
      <w:bookmarkEnd w:id="12"/>
      <w:bookmarkEnd w:id="13"/>
      <w:bookmarkEnd w:id="14"/>
      <w:r>
        <w:br w:type="page"/>
      </w:r>
    </w:p>
    <w:p w14:paraId="74DD555A" w14:textId="77777777" w:rsidR="006E06F9" w:rsidRDefault="006E06F9" w:rsidP="00C30C25">
      <w:pPr>
        <w:pStyle w:val="Heading1"/>
      </w:pPr>
      <w:bookmarkStart w:id="19" w:name="_Toc467062265"/>
      <w:bookmarkStart w:id="20" w:name="_Toc467062924"/>
      <w:bookmarkStart w:id="21" w:name="_Toc467062988"/>
      <w:bookmarkStart w:id="22" w:name="_Toc467064342"/>
      <w:bookmarkStart w:id="23" w:name="_Toc467065791"/>
      <w:bookmarkStart w:id="24" w:name="_Toc467065917"/>
      <w:bookmarkStart w:id="25" w:name="_Toc467065980"/>
      <w:bookmarkStart w:id="26" w:name="_Toc114841914"/>
      <w:bookmarkEnd w:id="19"/>
      <w:bookmarkEnd w:id="20"/>
      <w:bookmarkEnd w:id="21"/>
      <w:bookmarkEnd w:id="22"/>
      <w:bookmarkEnd w:id="23"/>
      <w:bookmarkEnd w:id="24"/>
      <w:bookmarkEnd w:id="25"/>
      <w:r>
        <w:lastRenderedPageBreak/>
        <w:t>Contexte</w:t>
      </w:r>
      <w:bookmarkEnd w:id="26"/>
    </w:p>
    <w:p w14:paraId="5700890A" w14:textId="1DA13902" w:rsidR="00E07255" w:rsidRDefault="00301C43" w:rsidP="00E07255">
      <w:r>
        <w:t xml:space="preserve">Les rôles et responsabilités du GC en matière d’informatique en nuage sont structurés autour du modèle de responsabilité partagée inhérent à l’informatique en nuage. Le document du Conseil du Trésor du Canada (SCT), </w:t>
      </w:r>
      <w:hyperlink r:id="rId22" w:history="1">
        <w:r>
          <w:rPr>
            <w:rStyle w:val="Hyperlink"/>
          </w:rPr>
          <w:t>Approche et procédures de gestion des risques liés à la sécurité de l’informatique en nuage du GC</w:t>
        </w:r>
      </w:hyperlink>
      <w:r>
        <w:t xml:space="preserve"> </w:t>
      </w:r>
      <w:sdt>
        <w:sdtPr>
          <w:id w:val="-1080284310"/>
          <w:citation/>
        </w:sdtPr>
        <w:sdtEndPr/>
        <w:sdtContent>
          <w:r>
            <w:fldChar w:fldCharType="begin"/>
          </w:r>
          <w:r>
            <w:instrText xml:space="preserve"> CITATION Tre17 \l 4105 </w:instrText>
          </w:r>
          <w:r>
            <w:fldChar w:fldCharType="separate"/>
          </w:r>
          <w:r w:rsidR="008D5C2D">
            <w:rPr>
              <w:noProof/>
            </w:rPr>
            <w:t>[2]</w:t>
          </w:r>
          <w:r>
            <w:fldChar w:fldCharType="end"/>
          </w:r>
        </w:sdtContent>
      </w:sdt>
      <w:r>
        <w:t xml:space="preserve">, qui est basé sur le </w:t>
      </w:r>
      <w:hyperlink r:id="rId23" w:history="1">
        <w:r>
          <w:rPr>
            <w:rStyle w:val="Hyperlink"/>
          </w:rPr>
          <w:t>cadre de gestion des risques de sécurité des TI</w:t>
        </w:r>
      </w:hyperlink>
      <w:r>
        <w:t xml:space="preserve"> d’ITSG-33 du Centre de la sécurité des télécommunications (CST)</w:t>
      </w:r>
      <w:r w:rsidR="00FB480F">
        <w:t> </w:t>
      </w:r>
      <w:hyperlink r:id="rId24" w:history="1">
        <w:r>
          <w:rPr>
            <w:rStyle w:val="Hyperlink"/>
          </w:rPr>
          <w:t>:</w:t>
        </w:r>
      </w:hyperlink>
      <w:hyperlink r:id="rId25" w:history="1">
        <w:r>
          <w:rPr>
            <w:rStyle w:val="Hyperlink"/>
          </w:rPr>
          <w:t xml:space="preserve"> Une approche fondée sur le cycle de vie</w:t>
        </w:r>
      </w:hyperlink>
      <w:sdt>
        <w:sdtPr>
          <w:id w:val="238138477"/>
          <w:citation/>
        </w:sdtPr>
        <w:sdtEndPr/>
        <w:sdtContent>
          <w:r>
            <w:fldChar w:fldCharType="begin"/>
          </w:r>
          <w:r>
            <w:instrText xml:space="preserve"> CITATION Com12 \l 4105 </w:instrText>
          </w:r>
          <w:r>
            <w:fldChar w:fldCharType="separate"/>
          </w:r>
          <w:r w:rsidR="008D5C2D">
            <w:rPr>
              <w:noProof/>
            </w:rPr>
            <w:t xml:space="preserve"> [3]</w:t>
          </w:r>
          <w:r>
            <w:fldChar w:fldCharType="end"/>
          </w:r>
        </w:sdtContent>
      </w:sdt>
      <w:r>
        <w:t xml:space="preserve"> souligne la responsabilité partagée dans la mise en œuvre des contrôles de sécurité avec la rigueur appropriée pour permettre l’hébergement des services du GC et des informations connexes sur des services infonuagiques fournis par des FSI commerciaux. Elle décrit également les autorités, l’approche et les procédures de gestion des risques de sécurité informatique lors de l’utilisation de services infonuagiques. Le FSI assume une certaine responsabilité en ce qui concerne l’atténuation des risques, mais les ministères et les organismes portent la responsabilité des risques. Ce modèle de responsabilité partagée est décrit dans le contexte du GC dans les sous-sections qui suivent.</w:t>
      </w:r>
    </w:p>
    <w:p w14:paraId="3E851011" w14:textId="7BBC5AED" w:rsidR="00586558" w:rsidRPr="00586558" w:rsidRDefault="00586558" w:rsidP="00586558">
      <w:pPr>
        <w:pStyle w:val="Heading2"/>
      </w:pPr>
      <w:bookmarkStart w:id="27" w:name="_Toc114841915"/>
      <w:r>
        <w:t>Responsabilité partagée</w:t>
      </w:r>
      <w:bookmarkEnd w:id="27"/>
    </w:p>
    <w:p w14:paraId="0F8909E5" w14:textId="36DFCD75" w:rsidR="0079549E" w:rsidRDefault="00F1787E" w:rsidP="009D5472">
      <w:r>
        <w:t>Les ministères doivent gérer en permanence leurs informations et leurs actifs informatiques pendant toute la durée de vie de leurs programmes et services. Dans le contexte de l’informatique en nuage, la gestion des actifs informatiques repose sur un modèle de responsabilité partagée. Le FSI assume certaines responsabilités en matière d’informatique et de sécurité informatique, mais les ministères conservent la responsabilité globale.</w:t>
      </w:r>
    </w:p>
    <w:p w14:paraId="434F4899" w14:textId="44616051" w:rsidR="009D5472" w:rsidRDefault="009D5472" w:rsidP="009D5472">
      <w:pPr>
        <w:rPr>
          <w:noProof/>
        </w:rPr>
      </w:pPr>
      <w:r>
        <w:fldChar w:fldCharType="begin"/>
      </w:r>
      <w:r>
        <w:instrText xml:space="preserve"> REF _Ref450408518 \h </w:instrText>
      </w:r>
      <w:r>
        <w:fldChar w:fldCharType="separate"/>
      </w:r>
      <w:r w:rsidR="008D5C2D">
        <w:t>Figure</w:t>
      </w:r>
      <w:r w:rsidR="00FB480F">
        <w:t> </w:t>
      </w:r>
      <w:r w:rsidR="008D5C2D">
        <w:rPr>
          <w:noProof/>
        </w:rPr>
        <w:t>2</w:t>
      </w:r>
      <w:r w:rsidR="00FB480F">
        <w:t xml:space="preserve">— </w:t>
      </w:r>
      <w:r w:rsidR="008D5C2D">
        <w:rPr>
          <w:noProof/>
        </w:rPr>
        <w:t>1</w:t>
      </w:r>
      <w:r>
        <w:fldChar w:fldCharType="end"/>
      </w:r>
      <w:r>
        <w:t xml:space="preserve"> une vue simplifiée des couches architecturales de l’informatique en nuage. Décrit le champ de responsabilité des consommateurs et des fournisseurs de services tel qu’il s’applique aux modèles de services infonuagiques définis dans les documents NIST</w:t>
      </w:r>
      <w:r w:rsidR="00FB480F">
        <w:t> </w:t>
      </w:r>
      <w:r>
        <w:t xml:space="preserve">500-292 (architecture de référence infonuagique) </w:t>
      </w:r>
      <w:sdt>
        <w:sdtPr>
          <w:id w:val="-2026319892"/>
          <w:citation/>
        </w:sdtPr>
        <w:sdtEndPr/>
        <w:sdtContent>
          <w:r>
            <w:fldChar w:fldCharType="begin"/>
          </w:r>
          <w:r>
            <w:instrText xml:space="preserve"> CITATION Nat292 \l 4105 </w:instrText>
          </w:r>
          <w:r>
            <w:fldChar w:fldCharType="separate"/>
          </w:r>
          <w:r w:rsidR="008D5C2D">
            <w:rPr>
              <w:noProof/>
            </w:rPr>
            <w:t>[4]</w:t>
          </w:r>
          <w:r>
            <w:fldChar w:fldCharType="end"/>
          </w:r>
        </w:sdtContent>
      </w:sdt>
      <w:r>
        <w:t xml:space="preserve"> et NIST</w:t>
      </w:r>
      <w:r w:rsidR="00FB480F">
        <w:t> </w:t>
      </w:r>
      <w:r>
        <w:t xml:space="preserve">500-299 (architecture de référence pour la sécurité de l’informatique en nuage) </w:t>
      </w:r>
      <w:sdt>
        <w:sdtPr>
          <w:id w:val="-2105717815"/>
          <w:citation/>
        </w:sdtPr>
        <w:sdtEndPr/>
        <w:sdtContent>
          <w:r>
            <w:fldChar w:fldCharType="begin"/>
          </w:r>
          <w:r>
            <w:instrText xml:space="preserve"> CITATION Nat131 \l 4105 </w:instrText>
          </w:r>
          <w:r>
            <w:fldChar w:fldCharType="separate"/>
          </w:r>
          <w:r w:rsidR="008D5C2D">
            <w:rPr>
              <w:noProof/>
            </w:rPr>
            <w:t>[5]</w:t>
          </w:r>
          <w:r>
            <w:fldChar w:fldCharType="end"/>
          </w:r>
        </w:sdtContent>
      </w:sdt>
      <w:r>
        <w:t xml:space="preserve">. </w:t>
      </w:r>
    </w:p>
    <w:p w14:paraId="5F830F93" w14:textId="5F4CE245" w:rsidR="006E06F9" w:rsidRDefault="006E06F9" w:rsidP="006E06F9">
      <w:pPr>
        <w:pStyle w:val="Picture"/>
      </w:pPr>
    </w:p>
    <w:p w14:paraId="4BE08F63" w14:textId="6B2B6B31" w:rsidR="00614C22" w:rsidRDefault="00614C22" w:rsidP="006E06F9">
      <w:pPr>
        <w:pStyle w:val="Picture"/>
      </w:pPr>
      <w:r>
        <w:rPr>
          <w:noProof/>
        </w:rPr>
        <w:drawing>
          <wp:inline distT="0" distB="0" distL="0" distR="0" wp14:anchorId="16D9FFFA" wp14:editId="7EFEF47C">
            <wp:extent cx="4277802" cy="3905284"/>
            <wp:effectExtent l="0" t="0" r="8890" b="0"/>
            <wp:docPr id="7" name="Picture 7" descr="Figure 4-1. Version textuell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4-1. Version textuelle ci-desso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7109" cy="3922910"/>
                    </a:xfrm>
                    <a:prstGeom prst="rect">
                      <a:avLst/>
                    </a:prstGeom>
                    <a:noFill/>
                    <a:ln>
                      <a:noFill/>
                    </a:ln>
                  </pic:spPr>
                </pic:pic>
              </a:graphicData>
            </a:graphic>
          </wp:inline>
        </w:drawing>
      </w:r>
    </w:p>
    <w:p w14:paraId="180C457D" w14:textId="5EE79609" w:rsidR="006E06F9" w:rsidRPr="006E06F9" w:rsidRDefault="006E06F9" w:rsidP="00990C09">
      <w:pPr>
        <w:pStyle w:val="Caption"/>
      </w:pPr>
      <w:bookmarkStart w:id="28" w:name="_Ref450408518"/>
      <w:bookmarkStart w:id="29" w:name="_Toc493157044"/>
      <w:bookmarkStart w:id="30" w:name="_Toc114841926"/>
      <w:r>
        <w:t>Figure</w:t>
      </w:r>
      <w:r w:rsidR="00FB480F">
        <w:t> </w:t>
      </w:r>
      <w:r>
        <w:fldChar w:fldCharType="begin"/>
      </w:r>
      <w:r>
        <w:instrText>STYLEREF 1 \s</w:instrText>
      </w:r>
      <w:r>
        <w:fldChar w:fldCharType="separate"/>
      </w:r>
      <w:r w:rsidR="008D5C2D">
        <w:rPr>
          <w:noProof/>
        </w:rPr>
        <w:t>2</w:t>
      </w:r>
      <w:r>
        <w:fldChar w:fldCharType="end"/>
      </w:r>
      <w:r>
        <w:noBreakHyphen/>
      </w:r>
      <w:r>
        <w:fldChar w:fldCharType="begin"/>
      </w:r>
      <w:r>
        <w:instrText>SEQ Figure \* ARABIC \s 1</w:instrText>
      </w:r>
      <w:r>
        <w:fldChar w:fldCharType="separate"/>
      </w:r>
      <w:r w:rsidR="008D5C2D">
        <w:rPr>
          <w:noProof/>
        </w:rPr>
        <w:t>1</w:t>
      </w:r>
      <w:r>
        <w:fldChar w:fldCharType="end"/>
      </w:r>
      <w:bookmarkEnd w:id="28"/>
      <w:r w:rsidR="00FB480F">
        <w:t> </w:t>
      </w:r>
      <w:r>
        <w:t>Champ de responsabilité</w:t>
      </w:r>
      <w:bookmarkEnd w:id="29"/>
      <w:bookmarkEnd w:id="30"/>
    </w:p>
    <w:p w14:paraId="508002C5" w14:textId="5B25579C" w:rsidR="002E7434" w:rsidRDefault="00AA32EC" w:rsidP="00D879E7">
      <w:pPr>
        <w:pStyle w:val="Heading2"/>
      </w:pPr>
      <w:bookmarkStart w:id="31" w:name="_Toc114841916"/>
      <w:bookmarkStart w:id="32" w:name="_Toc450163566"/>
      <w:r>
        <w:t>Profils de l’informatique en nuage du GC</w:t>
      </w:r>
      <w:bookmarkEnd w:id="31"/>
    </w:p>
    <w:p w14:paraId="648EA4FB" w14:textId="64FEBAE5" w:rsidR="00334BC3" w:rsidRDefault="00301C43" w:rsidP="00F123CE">
      <w:r>
        <w:t xml:space="preserve">La Direction du dirigeant principal de l’information (DDPI) du SCT a élaboré des profils de contrôle de la sécurité pour l’informatique en nuage. Un profil de contrôle de sécurité de base est un ensemble de contrôles de sécurité des TI qu’une organisation établit comme exigences minimales obligatoires pour ses systèmes d’information. En adhérant à un ensemble normalisé de contrôles de sécurité, les ministères peuvent cibler et évaluer les risques, et élaborer des stratégies pour les atténuer de manière appropriée.  </w:t>
      </w:r>
    </w:p>
    <w:p w14:paraId="57249809" w14:textId="73E25F62" w:rsidR="00F123CE" w:rsidRDefault="00D879E7" w:rsidP="00F123CE">
      <w:r>
        <w:t xml:space="preserve">La responsabilité de la mise en œuvre et du maintien de ces contrôles de sécurité dans ces profils est partagée entre le GC et les FSI. En fonction du modèle de service choisi, le GC, en tant que consommateur de services infonuagiques, sera responsable de la mise en œuvre de contrôles de sécurité supplémentaires, soit entièrement, soit partiellement, dans le cadre de sa part du modèle de responsabilité partagée. </w:t>
      </w:r>
      <w:r w:rsidR="00F123CE">
        <w:fldChar w:fldCharType="begin"/>
      </w:r>
      <w:r w:rsidR="00F123CE">
        <w:instrText xml:space="preserve"> REF _Ref451175267 \h </w:instrText>
      </w:r>
      <w:r w:rsidR="00F123CE">
        <w:fldChar w:fldCharType="separate"/>
      </w:r>
      <w:r w:rsidR="008D5C2D">
        <w:t>Figure</w:t>
      </w:r>
      <w:r w:rsidR="00FB480F">
        <w:t> </w:t>
      </w:r>
      <w:r w:rsidR="008D5C2D">
        <w:rPr>
          <w:noProof/>
        </w:rPr>
        <w:t>2</w:t>
      </w:r>
      <w:r w:rsidR="008D5C2D">
        <w:noBreakHyphen/>
      </w:r>
      <w:r w:rsidR="008D5C2D">
        <w:rPr>
          <w:noProof/>
        </w:rPr>
        <w:t>2</w:t>
      </w:r>
      <w:r w:rsidR="00F123CE">
        <w:fldChar w:fldCharType="end"/>
      </w:r>
      <w:r>
        <w:t xml:space="preserve"> donne un aperçu de la répartition de la responsabilité de la mise en œuvre des contrôles de sécurité entre le FSI et l’organisme de défense du consommateur du GC.</w:t>
      </w:r>
    </w:p>
    <w:p w14:paraId="2039B478" w14:textId="12D765A9" w:rsidR="007A11DC" w:rsidRPr="00946263" w:rsidRDefault="007A11DC" w:rsidP="00F123CE">
      <w:pPr>
        <w:pStyle w:val="Picture"/>
        <w:rPr>
          <w:b/>
        </w:rPr>
      </w:pPr>
      <w:r>
        <w:rPr>
          <w:noProof/>
        </w:rPr>
        <w:lastRenderedPageBreak/>
        <w:drawing>
          <wp:inline distT="0" distB="0" distL="0" distR="0" wp14:anchorId="1FF71F76" wp14:editId="6D5805D0">
            <wp:extent cx="5957570" cy="4782185"/>
            <wp:effectExtent l="0" t="0" r="5080" b="0"/>
            <wp:docPr id="6" name="Picture 6" descr="Figure 3-1. Version textuell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1. Version textuelle ci-dessou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57570" cy="4782185"/>
                    </a:xfrm>
                    <a:prstGeom prst="rect">
                      <a:avLst/>
                    </a:prstGeom>
                    <a:noFill/>
                    <a:ln>
                      <a:noFill/>
                    </a:ln>
                  </pic:spPr>
                </pic:pic>
              </a:graphicData>
            </a:graphic>
          </wp:inline>
        </w:drawing>
      </w:r>
    </w:p>
    <w:p w14:paraId="626B8698" w14:textId="0B22BC78" w:rsidR="00F123CE" w:rsidRDefault="00F123CE" w:rsidP="00F123CE">
      <w:pPr>
        <w:pStyle w:val="Caption"/>
        <w:rPr>
          <w:b w:val="0"/>
        </w:rPr>
      </w:pPr>
      <w:bookmarkStart w:id="33" w:name="_Ref451175267"/>
      <w:bookmarkStart w:id="34" w:name="_Ref451354711"/>
      <w:bookmarkStart w:id="35" w:name="_Toc452498953"/>
      <w:bookmarkStart w:id="36" w:name="_Toc488323511"/>
      <w:bookmarkStart w:id="37" w:name="_Toc114841927"/>
      <w:r>
        <w:t>Figure</w:t>
      </w:r>
      <w:r w:rsidR="00FB480F">
        <w:t> </w:t>
      </w:r>
      <w:r>
        <w:fldChar w:fldCharType="begin"/>
      </w:r>
      <w:r>
        <w:instrText>STYLEREF 1 \s</w:instrText>
      </w:r>
      <w:r>
        <w:fldChar w:fldCharType="separate"/>
      </w:r>
      <w:r w:rsidR="008D5C2D">
        <w:rPr>
          <w:noProof/>
        </w:rPr>
        <w:t>2</w:t>
      </w:r>
      <w:r>
        <w:fldChar w:fldCharType="end"/>
      </w:r>
      <w:r>
        <w:noBreakHyphen/>
      </w:r>
      <w:r>
        <w:fldChar w:fldCharType="begin"/>
      </w:r>
      <w:r>
        <w:instrText>SEQ Figure \* ARABIC \s 1</w:instrText>
      </w:r>
      <w:r>
        <w:fldChar w:fldCharType="separate"/>
      </w:r>
      <w:r w:rsidR="008D5C2D">
        <w:rPr>
          <w:noProof/>
        </w:rPr>
        <w:t>2</w:t>
      </w:r>
      <w:r>
        <w:fldChar w:fldCharType="end"/>
      </w:r>
      <w:bookmarkEnd w:id="33"/>
      <w:r w:rsidR="00FB480F">
        <w:t> </w:t>
      </w:r>
      <w:r>
        <w:t>Portée des profils d’informatique en nuage du GC</w:t>
      </w:r>
      <w:bookmarkEnd w:id="34"/>
      <w:bookmarkEnd w:id="35"/>
      <w:bookmarkEnd w:id="36"/>
      <w:bookmarkEnd w:id="37"/>
    </w:p>
    <w:bookmarkEnd w:id="32"/>
    <w:p w14:paraId="5557D313" w14:textId="77777777" w:rsidR="00334BC3" w:rsidRDefault="00334BC3" w:rsidP="00334BC3">
      <w:r>
        <w:t xml:space="preserve">La nature des contrôles de sécurité qu’une organisation du GC doit mettre en œuvre dans le service infonuagique est dictée par le modèle de service sur lequel le service du système d’information est déployé. Par exemple, si le modèle de service est IaaS, l’organisation du GC doit mettre en œuvre les contrôles de sécurité plate-forme et les couches d’application de la technologique infonuagique. Il s’agit notamment des contrôles de sécurité relatifs au contrôle d’accès, à la vérification et à la responsabilité, à l’identification et à l’authentification, à la protection des systèmes et des communications, à la gestion de la configuration, aux plans d’urgence, à la réponse aux incidents, à la maintenance et à l’intégrité des systèmes et des informations. Même dans le cadre du modèle de service SaaS, l’organisation du GC doit mettre en place certains contrôles de sécurité pour gérer l’accès des utilisateurs, effectuer des vérifications et répondre aux incidents. </w:t>
      </w:r>
    </w:p>
    <w:p w14:paraId="1AE0ACEE" w14:textId="027D320E" w:rsidR="00334BC3" w:rsidRDefault="00334BC3" w:rsidP="00334BC3">
      <w:r>
        <w:t xml:space="preserve">Le document </w:t>
      </w:r>
      <w:hyperlink r:id="rId28" w:history="1">
        <w:r>
          <w:rPr>
            <w:rStyle w:val="Hyperlink"/>
          </w:rPr>
          <w:t>Profil des mesures de sécurité pour les services du GC fondés sur l’informatique en nuage</w:t>
        </w:r>
      </w:hyperlink>
      <w:r>
        <w:t xml:space="preserve"> </w:t>
      </w:r>
      <w:sdt>
        <w:sdtPr>
          <w:id w:val="-1518992892"/>
          <w:citation/>
        </w:sdtPr>
        <w:sdtEndPr/>
        <w:sdtContent>
          <w:r w:rsidR="00B628D4">
            <w:fldChar w:fldCharType="begin"/>
          </w:r>
          <w:r w:rsidR="00B628D4">
            <w:instrText xml:space="preserve"> CITATION Tre16 \l 4105 </w:instrText>
          </w:r>
          <w:r w:rsidR="00B628D4">
            <w:fldChar w:fldCharType="separate"/>
          </w:r>
          <w:r w:rsidR="008D5C2D">
            <w:rPr>
              <w:noProof/>
            </w:rPr>
            <w:t>[6]</w:t>
          </w:r>
          <w:r w:rsidR="00B628D4">
            <w:fldChar w:fldCharType="end"/>
          </w:r>
        </w:sdtContent>
      </w:sdt>
      <w:r>
        <w:t xml:space="preserve"> cible les contrôles de sécurité de base dont la mise en œuvre est recommandée par les FSI et les ministères et organismes du GC, afin de protéger de façon appropriée les services infonuagiques ayant </w:t>
      </w:r>
      <w:r>
        <w:lastRenderedPageBreak/>
        <w:t xml:space="preserve">une catégorie de sécurité Protégé B, une intégrité moyenne et une disponibilité moyenne. Il documente également le contexte dans lequel ces contrôles de sécurité devraient être mis en œuvre.  </w:t>
      </w:r>
    </w:p>
    <w:p w14:paraId="195EF2FC" w14:textId="6405D62C" w:rsidR="00651A4F" w:rsidRDefault="00651A4F" w:rsidP="0084741A">
      <w:pPr>
        <w:pStyle w:val="Heading2"/>
      </w:pPr>
      <w:bookmarkStart w:id="38" w:name="_Toc114841917"/>
      <w:r>
        <w:t>Mise en œuvre de services infonuagiques</w:t>
      </w:r>
      <w:bookmarkEnd w:id="38"/>
    </w:p>
    <w:p w14:paraId="310B64F0" w14:textId="2C0F7E64" w:rsidR="00334BC3" w:rsidRDefault="00990C09" w:rsidP="00990C09">
      <w:r>
        <w:t xml:space="preserve">Lors de la mise en œuvre d’un service infonuagique, l’organisation du GC responsable et le FSI de soutien sont chacun responsables de la mise en œuvre et des opérations de leur partie du service du système d’information. Cette responsabilité partagée est illustrée dans la </w:t>
      </w:r>
      <w:r>
        <w:fldChar w:fldCharType="begin"/>
      </w:r>
      <w:r>
        <w:instrText xml:space="preserve"> REF _Ref467241749 \h </w:instrText>
      </w:r>
      <w:r>
        <w:fldChar w:fldCharType="separate"/>
      </w:r>
      <w:r w:rsidR="008D5C2D">
        <w:t>Figure</w:t>
      </w:r>
      <w:r w:rsidR="00FB480F">
        <w:t> </w:t>
      </w:r>
      <w:r w:rsidR="008D5C2D">
        <w:rPr>
          <w:noProof/>
        </w:rPr>
        <w:t>2</w:t>
      </w:r>
      <w:r w:rsidR="008D5C2D">
        <w:noBreakHyphen/>
      </w:r>
      <w:r w:rsidR="008D5C2D">
        <w:rPr>
          <w:noProof/>
        </w:rPr>
        <w:t>3</w:t>
      </w:r>
      <w:r>
        <w:fldChar w:fldCharType="end"/>
      </w:r>
      <w:r>
        <w:t>. Cette figure met également en évidence les principaux apports. Pour le processus de cycle de vie du système, il s’agit des procédures et outils du cycle de vie du développement du système, des procédures et outils de l’ingénierie du système/de la sécurité du système, et des artefacts applicables de l’architecture intégrée/de l’architecture de sécurité intégrée. Pour le processus d’approvisionnement, les données clés comprennent des éléments tels que l’énoncé des travaux pour tout service infonuagique requis, les clauses contractuelles standard et une liste de contrôle des exigences de sécurité.</w:t>
      </w:r>
    </w:p>
    <w:p w14:paraId="569F7F72" w14:textId="77777777" w:rsidR="00DF0438" w:rsidRDefault="00DF0438" w:rsidP="00990C09"/>
    <w:p w14:paraId="51927489" w14:textId="3FC320F2" w:rsidR="00990C09" w:rsidRDefault="00990C09" w:rsidP="00E10FE8">
      <w:pPr>
        <w:pStyle w:val="Picture"/>
        <w:jc w:val="left"/>
      </w:pPr>
    </w:p>
    <w:p w14:paraId="7538B12C" w14:textId="1B1E6C88" w:rsidR="00E10FE8" w:rsidRDefault="00E10FE8" w:rsidP="006B0B05">
      <w:pPr>
        <w:pStyle w:val="Picture"/>
      </w:pPr>
      <w:r>
        <w:rPr>
          <w:noProof/>
        </w:rPr>
        <w:drawing>
          <wp:inline distT="0" distB="0" distL="0" distR="0" wp14:anchorId="79366F86" wp14:editId="71A0C56F">
            <wp:extent cx="5610453" cy="3641697"/>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96DAC541-7B7A-43D3-8B79-37D633B846F1}">
                          <asvg:svgBlip xmlns:asvg="http://schemas.microsoft.com/office/drawing/2016/SVG/main" r:embed="rId30"/>
                        </a:ext>
                      </a:extLst>
                    </a:blip>
                    <a:srcRect l="13346"/>
                    <a:stretch/>
                  </pic:blipFill>
                  <pic:spPr bwMode="auto">
                    <a:xfrm>
                      <a:off x="0" y="0"/>
                      <a:ext cx="5614419" cy="3644271"/>
                    </a:xfrm>
                    <a:prstGeom prst="rect">
                      <a:avLst/>
                    </a:prstGeom>
                    <a:ln>
                      <a:noFill/>
                    </a:ln>
                    <a:extLst>
                      <a:ext uri="{53640926-AAD7-44D8-BBD7-CCE9431645EC}">
                        <a14:shadowObscured xmlns:a14="http://schemas.microsoft.com/office/drawing/2010/main"/>
                      </a:ext>
                    </a:extLst>
                  </pic:spPr>
                </pic:pic>
              </a:graphicData>
            </a:graphic>
          </wp:inline>
        </w:drawing>
      </w:r>
    </w:p>
    <w:p w14:paraId="7A8D9903" w14:textId="1E60A399" w:rsidR="00990C09" w:rsidRDefault="00990C09" w:rsidP="00990C09">
      <w:pPr>
        <w:pStyle w:val="Caption"/>
      </w:pPr>
      <w:bookmarkStart w:id="39" w:name="_Ref467241749"/>
      <w:bookmarkStart w:id="40" w:name="_Toc114841928"/>
      <w:r>
        <w:t>Figure</w:t>
      </w:r>
      <w:r w:rsidR="00FB480F">
        <w:t> </w:t>
      </w:r>
      <w:r>
        <w:fldChar w:fldCharType="begin"/>
      </w:r>
      <w:r>
        <w:instrText>STYLEREF 1 \s</w:instrText>
      </w:r>
      <w:r>
        <w:fldChar w:fldCharType="separate"/>
      </w:r>
      <w:r w:rsidR="008D5C2D">
        <w:rPr>
          <w:noProof/>
        </w:rPr>
        <w:t>2</w:t>
      </w:r>
      <w:r>
        <w:fldChar w:fldCharType="end"/>
      </w:r>
      <w:r>
        <w:noBreakHyphen/>
      </w:r>
      <w:r>
        <w:fldChar w:fldCharType="begin"/>
      </w:r>
      <w:r>
        <w:instrText>SEQ Figure \* ARABIC \s 1</w:instrText>
      </w:r>
      <w:r>
        <w:fldChar w:fldCharType="separate"/>
      </w:r>
      <w:r w:rsidR="008D5C2D">
        <w:rPr>
          <w:noProof/>
        </w:rPr>
        <w:t>3</w:t>
      </w:r>
      <w:r>
        <w:fldChar w:fldCharType="end"/>
      </w:r>
      <w:bookmarkEnd w:id="39"/>
      <w:r w:rsidR="00FB480F">
        <w:t> </w:t>
      </w:r>
      <w:r>
        <w:t>Modèle théorique de partage de la responsabilité de la mise en œuvre et des opérations</w:t>
      </w:r>
      <w:bookmarkEnd w:id="40"/>
    </w:p>
    <w:p w14:paraId="2BFB1141" w14:textId="2BAC248A" w:rsidR="002F206E" w:rsidRPr="00837CAA" w:rsidRDefault="005E3FCE" w:rsidP="00C30C25">
      <w:pPr>
        <w:pStyle w:val="Heading1"/>
      </w:pPr>
      <w:bookmarkStart w:id="41" w:name="_Toc114841918"/>
      <w:r>
        <w:lastRenderedPageBreak/>
        <w:t>Intervenants de l’informatique en nuage</w:t>
      </w:r>
      <w:bookmarkEnd w:id="41"/>
    </w:p>
    <w:p w14:paraId="0721D8B2" w14:textId="76CE94C0" w:rsidR="002E52ED" w:rsidRPr="002E52ED" w:rsidRDefault="002E52ED" w:rsidP="002E52ED">
      <w:pPr>
        <w:pStyle w:val="Heading2"/>
      </w:pPr>
      <w:bookmarkStart w:id="42" w:name="_Toc114841919"/>
      <w:r>
        <w:t>Portée du GC</w:t>
      </w:r>
      <w:bookmarkEnd w:id="42"/>
    </w:p>
    <w:p w14:paraId="5426A215" w14:textId="7EF64210" w:rsidR="002E52ED" w:rsidRPr="002E52ED" w:rsidRDefault="002E52ED" w:rsidP="002E52ED">
      <w:r>
        <w:t>Cette section détermine et décrit les intervenants du GC qui ont un rôle à jouer dans le contexte de l’informatique en nuage. Les intervenants sont regroupés en fonction de l’étendue de leurs responsabilités, qui sont soit à l’échelle du GC, soit à l’échelle du ministère.</w:t>
      </w:r>
    </w:p>
    <w:p w14:paraId="4D28BFFE" w14:textId="1505B09C" w:rsidR="009F75E5" w:rsidRDefault="009F75E5" w:rsidP="00C52BE7">
      <w:pPr>
        <w:pStyle w:val="CaptionforTable"/>
      </w:pPr>
      <w:bookmarkStart w:id="43" w:name="_Toc493157037"/>
      <w:bookmarkStart w:id="44" w:name="_Toc114841923"/>
      <w:r>
        <w:t>Tableau</w:t>
      </w:r>
      <w:r w:rsidR="00FB480F">
        <w:t> </w:t>
      </w:r>
      <w:r>
        <w:fldChar w:fldCharType="begin"/>
      </w:r>
      <w:r>
        <w:instrText>STYLEREF 1 \s</w:instrText>
      </w:r>
      <w:r>
        <w:fldChar w:fldCharType="separate"/>
      </w:r>
      <w:r w:rsidR="008D5C2D">
        <w:rPr>
          <w:noProof/>
        </w:rPr>
        <w:t>3</w:t>
      </w:r>
      <w:r>
        <w:fldChar w:fldCharType="end"/>
      </w:r>
      <w:r>
        <w:noBreakHyphen/>
      </w:r>
      <w:r>
        <w:fldChar w:fldCharType="begin"/>
      </w:r>
      <w:r>
        <w:instrText>SEQ Table \* ARABIC \s 1</w:instrText>
      </w:r>
      <w:r>
        <w:fldChar w:fldCharType="separate"/>
      </w:r>
      <w:r w:rsidR="008D5C2D">
        <w:rPr>
          <w:noProof/>
        </w:rPr>
        <w:t>1</w:t>
      </w:r>
      <w:r>
        <w:fldChar w:fldCharType="end"/>
      </w:r>
      <w:bookmarkEnd w:id="43"/>
      <w:r w:rsidR="00FB480F">
        <w:t> </w:t>
      </w:r>
      <w:r>
        <w:t>Intervenant de l’informatique en nuage - Portée du GC</w:t>
      </w:r>
      <w:bookmarkEnd w:id="44"/>
    </w:p>
    <w:tbl>
      <w:tblPr>
        <w:tblStyle w:val="TableGrid"/>
        <w:tblW w:w="0" w:type="auto"/>
        <w:tblLayout w:type="fixed"/>
        <w:tblLook w:val="04A0" w:firstRow="1" w:lastRow="0" w:firstColumn="1" w:lastColumn="0" w:noHBand="0" w:noVBand="1"/>
      </w:tblPr>
      <w:tblGrid>
        <w:gridCol w:w="2376"/>
        <w:gridCol w:w="7222"/>
      </w:tblGrid>
      <w:tr w:rsidR="009F75E5" w:rsidRPr="00AF0D79" w14:paraId="5190BBC0" w14:textId="77777777" w:rsidTr="002E52ED">
        <w:trPr>
          <w:cantSplit/>
          <w:tblHeader/>
        </w:trPr>
        <w:tc>
          <w:tcPr>
            <w:tcW w:w="2376" w:type="dxa"/>
            <w:tcBorders>
              <w:right w:val="single" w:sz="4" w:space="0" w:color="FFFFFF" w:themeColor="background1"/>
            </w:tcBorders>
            <w:shd w:val="clear" w:color="auto" w:fill="024E6E"/>
            <w:vAlign w:val="center"/>
          </w:tcPr>
          <w:p w14:paraId="2F5A6457" w14:textId="043D9D20" w:rsidR="009F75E5" w:rsidRPr="00AF0D79" w:rsidRDefault="009F75E5" w:rsidP="002E52ED">
            <w:pPr>
              <w:pStyle w:val="TableHeader"/>
              <w:spacing w:before="0" w:after="0" w:line="252" w:lineRule="auto"/>
              <w:rPr>
                <w:sz w:val="20"/>
              </w:rPr>
            </w:pPr>
            <w:r>
              <w:rPr>
                <w:sz w:val="20"/>
              </w:rPr>
              <w:t>Intervenant</w:t>
            </w:r>
          </w:p>
        </w:tc>
        <w:tc>
          <w:tcPr>
            <w:tcW w:w="7222" w:type="dxa"/>
            <w:tcBorders>
              <w:left w:val="single" w:sz="4" w:space="0" w:color="FFFFFF" w:themeColor="background1"/>
            </w:tcBorders>
            <w:shd w:val="clear" w:color="auto" w:fill="024E6E"/>
            <w:vAlign w:val="center"/>
          </w:tcPr>
          <w:p w14:paraId="39C83B1E" w14:textId="028C3061" w:rsidR="009F75E5" w:rsidRPr="00AF0D79" w:rsidRDefault="009F75E5" w:rsidP="002E52ED">
            <w:pPr>
              <w:pStyle w:val="TableHeader"/>
              <w:spacing w:before="0" w:after="0" w:line="252" w:lineRule="auto"/>
              <w:rPr>
                <w:sz w:val="20"/>
              </w:rPr>
            </w:pPr>
            <w:r>
              <w:rPr>
                <w:sz w:val="20"/>
              </w:rPr>
              <w:t>Description</w:t>
            </w:r>
          </w:p>
        </w:tc>
      </w:tr>
      <w:tr w:rsidR="009F75E5" w:rsidRPr="00AF0D79" w14:paraId="7721A9D9" w14:textId="77777777" w:rsidTr="002E52ED">
        <w:trPr>
          <w:cantSplit/>
        </w:trPr>
        <w:tc>
          <w:tcPr>
            <w:tcW w:w="2376" w:type="dxa"/>
          </w:tcPr>
          <w:p w14:paraId="387F8406" w14:textId="0C9EF1FE" w:rsidR="009F75E5" w:rsidRPr="00AF0D79" w:rsidRDefault="00334BC3" w:rsidP="002E52ED">
            <w:pPr>
              <w:pStyle w:val="TableText"/>
              <w:spacing w:before="0" w:after="0" w:line="252" w:lineRule="auto"/>
              <w:jc w:val="center"/>
              <w:rPr>
                <w:szCs w:val="24"/>
              </w:rPr>
            </w:pPr>
            <w:r>
              <w:t xml:space="preserve">Dirigeant principal de l’information (DPI) du GC </w:t>
            </w:r>
          </w:p>
        </w:tc>
        <w:tc>
          <w:tcPr>
            <w:tcW w:w="7222" w:type="dxa"/>
          </w:tcPr>
          <w:p w14:paraId="0EF8BAC4" w14:textId="3D6E543A" w:rsidR="009F75E5" w:rsidRPr="00AF0D79" w:rsidRDefault="000E7CE1" w:rsidP="002E52ED">
            <w:pPr>
              <w:pStyle w:val="TableText"/>
              <w:spacing w:before="0" w:after="0" w:line="252" w:lineRule="auto"/>
              <w:rPr>
                <w:szCs w:val="24"/>
              </w:rPr>
            </w:pPr>
            <w:r>
              <w:t>Le DPI du GC a la responsabilité générale de fournir une orientation stratégique pour l’informatique en nuage afin de soutenir la prestation des programmes et des services du GC.</w:t>
            </w:r>
          </w:p>
        </w:tc>
      </w:tr>
      <w:tr w:rsidR="00DF0438" w:rsidRPr="00AF0D79" w14:paraId="3EC5EC53" w14:textId="77777777" w:rsidTr="002E52ED">
        <w:trPr>
          <w:cantSplit/>
        </w:trPr>
        <w:tc>
          <w:tcPr>
            <w:tcW w:w="2376" w:type="dxa"/>
          </w:tcPr>
          <w:p w14:paraId="59EC92FE" w14:textId="3BDF20A3" w:rsidR="00DF0438" w:rsidRDefault="00DF0438" w:rsidP="002E52ED">
            <w:pPr>
              <w:pStyle w:val="TableText"/>
              <w:spacing w:before="0" w:after="0" w:line="252" w:lineRule="auto"/>
              <w:jc w:val="center"/>
              <w:rPr>
                <w:szCs w:val="24"/>
              </w:rPr>
            </w:pPr>
            <w:r>
              <w:t>Comité d’examen de l’architecture intégrée du gouvernement du Canada (CEAI) du GC</w:t>
            </w:r>
          </w:p>
        </w:tc>
        <w:tc>
          <w:tcPr>
            <w:tcW w:w="7222" w:type="dxa"/>
          </w:tcPr>
          <w:p w14:paraId="63D007BE" w14:textId="4EDFB11C" w:rsidR="00DF0438" w:rsidRDefault="002E52ED" w:rsidP="002E52ED">
            <w:pPr>
              <w:pStyle w:val="TableTextBullets"/>
              <w:numPr>
                <w:ilvl w:val="0"/>
                <w:numId w:val="0"/>
              </w:numPr>
              <w:spacing w:before="0" w:after="0" w:line="252" w:lineRule="auto"/>
              <w:rPr>
                <w:szCs w:val="24"/>
              </w:rPr>
            </w:pPr>
            <w:r>
              <w:t xml:space="preserve">Le CEAI du GC fournit une orientation pour les TI d’entreprise dans l’ensemble du gouvernement. Cela inclut la gestion des risques liés à l’adoption de l’informatique en nuage. Le CEAI du GC examine tous les projets d’informatique dématérialisée du point de vue de l’architecture et des risques afin de s’assurer que les </w:t>
            </w:r>
            <w:proofErr w:type="gramStart"/>
            <w:r>
              <w:t>risques potentiels</w:t>
            </w:r>
            <w:proofErr w:type="gramEnd"/>
            <w:r>
              <w:t xml:space="preserve"> sont correctement atténués.</w:t>
            </w:r>
          </w:p>
        </w:tc>
      </w:tr>
      <w:tr w:rsidR="004076B1" w:rsidRPr="00AF0D79" w14:paraId="0A4DFC83" w14:textId="77777777" w:rsidTr="002E52ED">
        <w:trPr>
          <w:cantSplit/>
        </w:trPr>
        <w:tc>
          <w:tcPr>
            <w:tcW w:w="2376" w:type="dxa"/>
          </w:tcPr>
          <w:p w14:paraId="28EDED04" w14:textId="0C58F9B6" w:rsidR="004076B1" w:rsidRDefault="004076B1" w:rsidP="002E52ED">
            <w:pPr>
              <w:pStyle w:val="TableText"/>
              <w:spacing w:before="0" w:after="0" w:line="252" w:lineRule="auto"/>
              <w:jc w:val="center"/>
              <w:rPr>
                <w:szCs w:val="24"/>
              </w:rPr>
            </w:pPr>
            <w:r>
              <w:t>Équipe de l’architecture intégrée (AI)</w:t>
            </w:r>
            <w:r w:rsidR="00FB480F">
              <w:t>/</w:t>
            </w:r>
            <w:r>
              <w:t>de l’architecture de sécurité intégrée (ASI) du GC</w:t>
            </w:r>
          </w:p>
        </w:tc>
        <w:tc>
          <w:tcPr>
            <w:tcW w:w="7222" w:type="dxa"/>
          </w:tcPr>
          <w:p w14:paraId="4AAA821A" w14:textId="18B362FD" w:rsidR="004076B1" w:rsidRDefault="00101B26" w:rsidP="002E52ED">
            <w:pPr>
              <w:pStyle w:val="TableTextBullets"/>
              <w:numPr>
                <w:ilvl w:val="0"/>
                <w:numId w:val="0"/>
              </w:numPr>
              <w:spacing w:before="0" w:after="0" w:line="252" w:lineRule="auto"/>
              <w:rPr>
                <w:szCs w:val="24"/>
              </w:rPr>
            </w:pPr>
            <w:r>
              <w:t xml:space="preserve">L’équipe AI/ASI du GC est responsable de l’établissement et du maintien d’un cadre d’adoption de l’informatique en nuage à l’échelle du GC. Ce cadre se compose d’artefacts architecturaux ainsi que de stratégies et d’outils spécifiques à l’informatique infonuagique pour orchestrer, simplifier et guider l’adoption de services infonuagique par les ministères et les agences. </w:t>
            </w:r>
          </w:p>
        </w:tc>
      </w:tr>
      <w:tr w:rsidR="000E7CE1" w:rsidRPr="00AF0D79" w14:paraId="2F1B82DA" w14:textId="77777777" w:rsidTr="002E52ED">
        <w:tc>
          <w:tcPr>
            <w:tcW w:w="2376" w:type="dxa"/>
          </w:tcPr>
          <w:p w14:paraId="544DED50" w14:textId="2B045553" w:rsidR="000E7CE1" w:rsidRPr="00AF0D79" w:rsidRDefault="00FB6644" w:rsidP="002E52ED">
            <w:pPr>
              <w:pStyle w:val="TableText"/>
              <w:spacing w:before="0" w:after="0" w:line="252" w:lineRule="auto"/>
              <w:jc w:val="center"/>
              <w:rPr>
                <w:szCs w:val="24"/>
              </w:rPr>
            </w:pPr>
            <w:r>
              <w:t>Groupe de travail sur l’informat</w:t>
            </w:r>
            <w:r w:rsidR="00C81A3B">
              <w:t>iqu</w:t>
            </w:r>
            <w:r>
              <w:t>e en nuage du GC</w:t>
            </w:r>
          </w:p>
        </w:tc>
        <w:tc>
          <w:tcPr>
            <w:tcW w:w="7222" w:type="dxa"/>
          </w:tcPr>
          <w:p w14:paraId="0023B04A" w14:textId="32F909B4" w:rsidR="00DF0438" w:rsidRDefault="00B8288D" w:rsidP="002E52ED">
            <w:pPr>
              <w:pStyle w:val="TableTextBullets"/>
              <w:numPr>
                <w:ilvl w:val="0"/>
                <w:numId w:val="0"/>
              </w:numPr>
              <w:spacing w:before="0" w:after="0" w:line="252" w:lineRule="auto"/>
              <w:rPr>
                <w:szCs w:val="24"/>
              </w:rPr>
            </w:pPr>
            <w:r>
              <w:t>Le groupe de travail sur l’informatique en nuage du GC est chargé de fournir aux ministères et aux organismes des conseils et des orientations à l’échelle du GC sur l’adoption de l’informatique en nuage. Il s’agit notamment de contribuer à l’établissement du cadre d’adoption de l’informatique en à l’échelle du GC. Le groupe de travail sur l’informatique en nuage du GC est composé de représentants de diverses organisations, dont la DDPI du SCT, le CST, le SPC et le SPAC, et comprendra des experts en la matière de l’industrie et du ministère, notamment</w:t>
            </w:r>
            <w:r w:rsidR="00FB480F">
              <w:t> </w:t>
            </w:r>
            <w:r>
              <w:t>:</w:t>
            </w:r>
          </w:p>
          <w:p w14:paraId="68CDB71D" w14:textId="40088848" w:rsidR="00DF0438" w:rsidRDefault="00DF0438" w:rsidP="002E52ED">
            <w:pPr>
              <w:pStyle w:val="TableTextBullets"/>
              <w:numPr>
                <w:ilvl w:val="0"/>
                <w:numId w:val="27"/>
              </w:numPr>
              <w:spacing w:before="0" w:after="0" w:line="252" w:lineRule="auto"/>
              <w:rPr>
                <w:szCs w:val="24"/>
              </w:rPr>
            </w:pPr>
            <w:r>
              <w:rPr>
                <w:i/>
              </w:rPr>
              <w:t>Analystes de l’automatisation de l’informatique en nuage</w:t>
            </w:r>
            <w:r>
              <w:t xml:space="preserve"> </w:t>
            </w:r>
            <w:r w:rsidR="00FB480F">
              <w:t>—</w:t>
            </w:r>
            <w:r>
              <w:t xml:space="preserve"> fournir des outils d’automatisation de l’informatique en nuage </w:t>
            </w:r>
          </w:p>
          <w:p w14:paraId="25DABA83" w14:textId="7E611AF6" w:rsidR="00DF0438" w:rsidRDefault="00DF0438" w:rsidP="002E52ED">
            <w:pPr>
              <w:pStyle w:val="TableTextBullets"/>
              <w:numPr>
                <w:ilvl w:val="0"/>
                <w:numId w:val="27"/>
              </w:numPr>
              <w:spacing w:before="0" w:after="0" w:line="252" w:lineRule="auto"/>
              <w:rPr>
                <w:szCs w:val="24"/>
              </w:rPr>
            </w:pPr>
            <w:r>
              <w:rPr>
                <w:i/>
              </w:rPr>
              <w:t xml:space="preserve">Conseillers en transition vers les services </w:t>
            </w:r>
            <w:r>
              <w:t xml:space="preserve">infonuagiques </w:t>
            </w:r>
            <w:r w:rsidR="00FB480F">
              <w:t>—</w:t>
            </w:r>
            <w:r>
              <w:t xml:space="preserve"> fournir des conseils et une orientation en matière de migration et de transition vers l’informatique en nuage   </w:t>
            </w:r>
          </w:p>
          <w:p w14:paraId="4C95EFC0" w14:textId="4EC4BAA7" w:rsidR="00DF0438" w:rsidRPr="00AF0D79" w:rsidRDefault="00DF0438" w:rsidP="002E52ED">
            <w:pPr>
              <w:pStyle w:val="TableTextBullets"/>
              <w:numPr>
                <w:ilvl w:val="0"/>
                <w:numId w:val="27"/>
              </w:numPr>
              <w:spacing w:before="0" w:after="0" w:line="252" w:lineRule="auto"/>
              <w:rPr>
                <w:szCs w:val="24"/>
              </w:rPr>
            </w:pPr>
            <w:r>
              <w:rPr>
                <w:i/>
              </w:rPr>
              <w:t>Conseillers en sécurité de l’informatique en nuage</w:t>
            </w:r>
            <w:r>
              <w:t xml:space="preserve"> - fournir des conseils et des orientations en matière d’architecture et d’ingénierie de la sécurité de l’informatique en nuage </w:t>
            </w:r>
          </w:p>
        </w:tc>
      </w:tr>
      <w:tr w:rsidR="009F75E5" w:rsidRPr="00AF0D79" w14:paraId="397BE0DC" w14:textId="77777777" w:rsidTr="002E52ED">
        <w:tc>
          <w:tcPr>
            <w:tcW w:w="2376" w:type="dxa"/>
          </w:tcPr>
          <w:p w14:paraId="617DCFF5" w14:textId="742EBE8D" w:rsidR="009F75E5" w:rsidRPr="00AF0D79" w:rsidRDefault="002A4C4A" w:rsidP="002E52ED">
            <w:pPr>
              <w:pStyle w:val="TableText"/>
              <w:spacing w:before="0" w:after="0" w:line="252" w:lineRule="auto"/>
              <w:jc w:val="center"/>
              <w:rPr>
                <w:szCs w:val="24"/>
              </w:rPr>
            </w:pPr>
            <w:r>
              <w:t xml:space="preserve">Services de courtage en informatique en nuage du GC, </w:t>
            </w:r>
          </w:p>
        </w:tc>
        <w:tc>
          <w:tcPr>
            <w:tcW w:w="7222" w:type="dxa"/>
          </w:tcPr>
          <w:p w14:paraId="329FDA06" w14:textId="520324BF" w:rsidR="009F75E5" w:rsidRPr="00AF0D79" w:rsidRDefault="002E52ED" w:rsidP="00F4340E">
            <w:pPr>
              <w:pStyle w:val="TableText"/>
              <w:spacing w:before="0" w:after="0" w:line="252" w:lineRule="auto"/>
              <w:rPr>
                <w:szCs w:val="24"/>
              </w:rPr>
            </w:pPr>
            <w:r>
              <w:t xml:space="preserve">Le SPC, dans son rôle de courtier en informatique en nuage du GC, agira comme intermédiaire entre les FSI et les ministères et organismes qui consomment des services infonuagiques en fournissant divers types de </w:t>
            </w:r>
            <w:r>
              <w:lastRenderedPageBreak/>
              <w:t>services de courtage comme l’administration d’un marché de services infonuagiques, l’établissement de véhicules d’approvisionnement en services infonuagiques et la vérification de l’utilisation des services infonuagiques conformément aux politiques, directives et normes applicables.</w:t>
            </w:r>
          </w:p>
        </w:tc>
      </w:tr>
      <w:tr w:rsidR="00C518FA" w:rsidRPr="00AF0D79" w14:paraId="5CC1622C" w14:textId="77777777" w:rsidTr="002E52ED">
        <w:trPr>
          <w:cantSplit/>
        </w:trPr>
        <w:tc>
          <w:tcPr>
            <w:tcW w:w="2376" w:type="dxa"/>
          </w:tcPr>
          <w:p w14:paraId="65919532" w14:textId="51BCEDB6" w:rsidR="00C518FA" w:rsidRDefault="00C518FA" w:rsidP="002E52ED">
            <w:pPr>
              <w:pStyle w:val="TableText"/>
              <w:spacing w:before="0" w:after="0" w:line="252" w:lineRule="auto"/>
              <w:jc w:val="center"/>
              <w:rPr>
                <w:szCs w:val="24"/>
              </w:rPr>
            </w:pPr>
            <w:r>
              <w:lastRenderedPageBreak/>
              <w:t>Analystes de la chaîne d’approvisionnement et de l’assurance des produits</w:t>
            </w:r>
          </w:p>
        </w:tc>
        <w:tc>
          <w:tcPr>
            <w:tcW w:w="7222" w:type="dxa"/>
          </w:tcPr>
          <w:p w14:paraId="1D157F4D" w14:textId="50EBA8CA" w:rsidR="00C518FA" w:rsidRPr="00AF0D79" w:rsidRDefault="00B73FDE" w:rsidP="002E52ED">
            <w:pPr>
              <w:pStyle w:val="TableTextBullets"/>
              <w:numPr>
                <w:ilvl w:val="0"/>
                <w:numId w:val="0"/>
              </w:numPr>
              <w:spacing w:before="0" w:after="0" w:line="252" w:lineRule="auto"/>
              <w:rPr>
                <w:szCs w:val="24"/>
              </w:rPr>
            </w:pPr>
            <w:r>
              <w:t>Les analystes de la chaîne d’approvisionnement/de l’assurance des produits sont responsables de la gestion de la chaîne d’approvisionnement et du processus d’assurance des produits pour l’acquisition de services infonuagique pour le GC.</w:t>
            </w:r>
          </w:p>
        </w:tc>
      </w:tr>
      <w:tr w:rsidR="00781E4B" w:rsidRPr="00AF0D79" w14:paraId="6A39B9A0" w14:textId="77777777" w:rsidTr="002E52ED">
        <w:trPr>
          <w:cantSplit/>
        </w:trPr>
        <w:tc>
          <w:tcPr>
            <w:tcW w:w="2376" w:type="dxa"/>
          </w:tcPr>
          <w:p w14:paraId="76CC920E" w14:textId="115DE666" w:rsidR="00781E4B" w:rsidRDefault="00781E4B" w:rsidP="002E52ED">
            <w:pPr>
              <w:pStyle w:val="TableText"/>
              <w:spacing w:before="0" w:after="0" w:line="252" w:lineRule="auto"/>
              <w:jc w:val="center"/>
              <w:rPr>
                <w:rFonts w:cs="Helvetica"/>
                <w:szCs w:val="22"/>
              </w:rPr>
            </w:pPr>
            <w:r>
              <w:t>Propriétaire du service de gestion de l’identité, des justificatifs d’identité et de l’accès (GIJIA)</w:t>
            </w:r>
          </w:p>
        </w:tc>
        <w:tc>
          <w:tcPr>
            <w:tcW w:w="7222" w:type="dxa"/>
          </w:tcPr>
          <w:p w14:paraId="210C26D0" w14:textId="12B13980" w:rsidR="00781E4B" w:rsidRPr="00C86A4A" w:rsidRDefault="00781E4B" w:rsidP="002E52ED">
            <w:pPr>
              <w:pStyle w:val="TableTextBullets"/>
              <w:numPr>
                <w:ilvl w:val="0"/>
                <w:numId w:val="0"/>
              </w:numPr>
              <w:spacing w:before="0" w:after="0" w:line="252" w:lineRule="auto"/>
            </w:pPr>
            <w:r>
              <w:t xml:space="preserve">Les propriétaires de services de GIJIA d’entreprise. Il s’agit notamment du service d’annuaire, de </w:t>
            </w:r>
            <w:proofErr w:type="spellStart"/>
            <w:r>
              <w:t>maCLÉ</w:t>
            </w:r>
            <w:proofErr w:type="spellEnd"/>
            <w:r>
              <w:t xml:space="preserve"> et de </w:t>
            </w:r>
            <w:proofErr w:type="spellStart"/>
            <w:r>
              <w:t>CléGC</w:t>
            </w:r>
            <w:proofErr w:type="spellEnd"/>
            <w:r>
              <w:t xml:space="preserve">. </w:t>
            </w:r>
          </w:p>
        </w:tc>
      </w:tr>
      <w:tr w:rsidR="00781E4B" w:rsidRPr="00AF0D79" w14:paraId="7A73BFA8" w14:textId="77777777" w:rsidTr="002E52ED">
        <w:trPr>
          <w:cantSplit/>
        </w:trPr>
        <w:tc>
          <w:tcPr>
            <w:tcW w:w="2376" w:type="dxa"/>
          </w:tcPr>
          <w:p w14:paraId="2F50046D" w14:textId="49949796" w:rsidR="00781E4B" w:rsidRPr="004532CF" w:rsidRDefault="00CC3BA5" w:rsidP="002E52ED">
            <w:pPr>
              <w:pStyle w:val="TableText"/>
              <w:spacing w:before="0" w:after="0" w:line="252" w:lineRule="auto"/>
              <w:jc w:val="center"/>
              <w:rPr>
                <w:szCs w:val="24"/>
              </w:rPr>
            </w:pPr>
            <w:r>
              <w:t>Services techniques du réseau, Réseaux et utilisateurs Finaux (RUF)</w:t>
            </w:r>
          </w:p>
        </w:tc>
        <w:tc>
          <w:tcPr>
            <w:tcW w:w="7222" w:type="dxa"/>
          </w:tcPr>
          <w:p w14:paraId="2BC6889D" w14:textId="5CAB2616" w:rsidR="00781E4B" w:rsidRPr="00C86A4A" w:rsidRDefault="00781E4B" w:rsidP="002E52ED">
            <w:pPr>
              <w:pStyle w:val="TableTextBullets"/>
              <w:numPr>
                <w:ilvl w:val="0"/>
                <w:numId w:val="0"/>
              </w:numPr>
              <w:spacing w:before="0" w:after="0" w:line="252" w:lineRule="auto"/>
            </w:pPr>
            <w:r>
              <w:t xml:space="preserve">Les services techniques du réseau sont responsables de la définition, de la conception et de la maintenance des interconnexions entre le GC et les environnements de services infonuagiques commerciaux afin d’assurer une accessibilité optimale des services infonuagiques par les communications internes et externes des utilisateurs finaux. </w:t>
            </w:r>
          </w:p>
        </w:tc>
      </w:tr>
      <w:tr w:rsidR="009526D1" w:rsidRPr="00AF0D79" w14:paraId="216BC27F" w14:textId="77777777" w:rsidTr="002E52ED">
        <w:trPr>
          <w:cantSplit/>
        </w:trPr>
        <w:tc>
          <w:tcPr>
            <w:tcW w:w="2376" w:type="dxa"/>
          </w:tcPr>
          <w:p w14:paraId="1129EE67" w14:textId="691D085A" w:rsidR="009526D1" w:rsidRPr="008717F0" w:rsidRDefault="009526D1" w:rsidP="002E52ED">
            <w:pPr>
              <w:pStyle w:val="TableText"/>
              <w:spacing w:before="0" w:after="0" w:line="252" w:lineRule="auto"/>
              <w:jc w:val="center"/>
              <w:rPr>
                <w:szCs w:val="24"/>
              </w:rPr>
            </w:pPr>
            <w:r>
              <w:t>Centre d’exploitation du réseau (CER)</w:t>
            </w:r>
          </w:p>
        </w:tc>
        <w:tc>
          <w:tcPr>
            <w:tcW w:w="7222" w:type="dxa"/>
          </w:tcPr>
          <w:p w14:paraId="10AB947A" w14:textId="5DA5989D" w:rsidR="009526D1" w:rsidRPr="00C86A4A" w:rsidRDefault="009526D1" w:rsidP="002E52ED">
            <w:pPr>
              <w:pStyle w:val="TableTextBullets"/>
              <w:numPr>
                <w:ilvl w:val="0"/>
                <w:numId w:val="0"/>
              </w:numPr>
              <w:spacing w:before="0" w:after="0" w:line="252" w:lineRule="auto"/>
            </w:pPr>
            <w:r>
              <w:t>Le CER du SPC est responsable de la surveillance centralisée du réseau pour les services dans le nuage. Le CER du SPC surveille et gère les réseaux du GC et les interconnexions des services infonuagiques et réagit aux événements.</w:t>
            </w:r>
          </w:p>
        </w:tc>
      </w:tr>
      <w:tr w:rsidR="00FD268F" w:rsidRPr="00AF0D79" w14:paraId="714CB843" w14:textId="77777777" w:rsidTr="002E52ED">
        <w:trPr>
          <w:cantSplit/>
        </w:trPr>
        <w:tc>
          <w:tcPr>
            <w:tcW w:w="2376" w:type="dxa"/>
          </w:tcPr>
          <w:p w14:paraId="38135863" w14:textId="624A6021" w:rsidR="00FD268F" w:rsidRDefault="00FD268F" w:rsidP="002E52ED">
            <w:pPr>
              <w:pStyle w:val="TableText"/>
              <w:spacing w:before="0" w:after="0" w:line="252" w:lineRule="auto"/>
              <w:jc w:val="center"/>
              <w:rPr>
                <w:szCs w:val="24"/>
              </w:rPr>
            </w:pPr>
            <w:r>
              <w:t>Centre des activités en matière de sécurité (CAMS) :</w:t>
            </w:r>
          </w:p>
        </w:tc>
        <w:tc>
          <w:tcPr>
            <w:tcW w:w="7222" w:type="dxa"/>
          </w:tcPr>
          <w:p w14:paraId="7D6D9DD4" w14:textId="35ED15B7" w:rsidR="00FD268F" w:rsidRPr="00C86A4A" w:rsidRDefault="00FD268F" w:rsidP="002E52ED">
            <w:pPr>
              <w:pStyle w:val="TableTextBullets"/>
              <w:numPr>
                <w:ilvl w:val="0"/>
                <w:numId w:val="0"/>
              </w:numPr>
              <w:spacing w:before="0" w:after="0" w:line="252" w:lineRule="auto"/>
            </w:pPr>
            <w:r>
              <w:t xml:space="preserve">Le CAMS du SPC est responsable des opérations de sécurité centralisées pour les services dans le nuage. Le CAMS du SPC surveille les journaux de sécurité et répond aux incidents de sécurité. Le CAMS du SPC fait office de </w:t>
            </w:r>
            <w:r>
              <w:rPr>
                <w:color w:val="000000"/>
              </w:rPr>
              <w:t xml:space="preserve">point de contact central pour la coordination, la production de rapports et l’analyse des tendances des événements de sécurité qui ont eu ou peuvent avoir un impact sur le GC. </w:t>
            </w:r>
          </w:p>
        </w:tc>
      </w:tr>
      <w:tr w:rsidR="008372D9" w:rsidRPr="00AF0D79" w14:paraId="497451AE" w14:textId="77777777" w:rsidTr="002E52ED">
        <w:trPr>
          <w:cantSplit/>
        </w:trPr>
        <w:tc>
          <w:tcPr>
            <w:tcW w:w="2376" w:type="dxa"/>
          </w:tcPr>
          <w:p w14:paraId="1187988E" w14:textId="541FF83F" w:rsidR="008372D9" w:rsidRDefault="008372D9" w:rsidP="002E52ED">
            <w:pPr>
              <w:pStyle w:val="TableText"/>
              <w:spacing w:before="0" w:after="0" w:line="252" w:lineRule="auto"/>
              <w:jc w:val="center"/>
              <w:rPr>
                <w:szCs w:val="24"/>
              </w:rPr>
            </w:pPr>
            <w:r>
              <w:t>Opérations de cyber défense</w:t>
            </w:r>
          </w:p>
        </w:tc>
        <w:tc>
          <w:tcPr>
            <w:tcW w:w="7222" w:type="dxa"/>
          </w:tcPr>
          <w:p w14:paraId="19F43A7B" w14:textId="5E001C20" w:rsidR="008372D9" w:rsidRDefault="008372D9" w:rsidP="002E52ED">
            <w:pPr>
              <w:pStyle w:val="TableTextBullets"/>
              <w:numPr>
                <w:ilvl w:val="0"/>
                <w:numId w:val="0"/>
              </w:numPr>
              <w:spacing w:before="0" w:after="0" w:line="252" w:lineRule="auto"/>
            </w:pPr>
            <w:r>
              <w:t>Le CST est chargé de fournir des services de surveillance et de défense contre les menaces pour le GC.</w:t>
            </w:r>
          </w:p>
        </w:tc>
      </w:tr>
      <w:tr w:rsidR="00326C77" w:rsidRPr="00AF0D79" w14:paraId="23DA41A4" w14:textId="77777777" w:rsidTr="002E52ED">
        <w:trPr>
          <w:cantSplit/>
        </w:trPr>
        <w:tc>
          <w:tcPr>
            <w:tcW w:w="2376" w:type="dxa"/>
          </w:tcPr>
          <w:p w14:paraId="5EA3B225" w14:textId="45B3A80F" w:rsidR="00326C77" w:rsidRPr="008717F0" w:rsidRDefault="00334BC3" w:rsidP="002E52ED">
            <w:pPr>
              <w:pStyle w:val="TableText"/>
              <w:spacing w:before="0" w:after="0" w:line="252" w:lineRule="auto"/>
              <w:jc w:val="center"/>
              <w:rPr>
                <w:szCs w:val="24"/>
              </w:rPr>
            </w:pPr>
            <w:r>
              <w:t>Évaluateurs de sécurité du GC</w:t>
            </w:r>
          </w:p>
        </w:tc>
        <w:tc>
          <w:tcPr>
            <w:tcW w:w="7222" w:type="dxa"/>
          </w:tcPr>
          <w:p w14:paraId="48F616EC" w14:textId="102920CC" w:rsidR="00326C77" w:rsidRPr="00C86A4A" w:rsidRDefault="00311149" w:rsidP="002E52ED">
            <w:pPr>
              <w:pStyle w:val="TableTextBullets"/>
              <w:numPr>
                <w:ilvl w:val="0"/>
                <w:numId w:val="0"/>
              </w:numPr>
              <w:spacing w:before="0" w:after="0" w:line="252" w:lineRule="auto"/>
            </w:pPr>
            <w:r>
              <w:t>Les évaluateurs de sécurité sont chargés de mener des évaluations des FSI et des services infonuagiques à l’appui de l’autorisation et du maintien de l’autorisation, et dans le cadre du processus de validation de l’assurance par un tiers.</w:t>
            </w:r>
          </w:p>
        </w:tc>
      </w:tr>
      <w:tr w:rsidR="00C86027" w:rsidRPr="00AF0D79" w14:paraId="68D69FE3" w14:textId="77777777" w:rsidTr="002E52ED">
        <w:trPr>
          <w:cantSplit/>
        </w:trPr>
        <w:tc>
          <w:tcPr>
            <w:tcW w:w="2376" w:type="dxa"/>
          </w:tcPr>
          <w:p w14:paraId="126B7359" w14:textId="0CC0A880" w:rsidR="00C86027" w:rsidRDefault="00C86027" w:rsidP="002E52ED">
            <w:pPr>
              <w:pStyle w:val="TableText"/>
              <w:spacing w:before="0" w:after="0" w:line="252" w:lineRule="auto"/>
              <w:jc w:val="center"/>
              <w:rPr>
                <w:szCs w:val="24"/>
              </w:rPr>
            </w:pPr>
            <w:r>
              <w:t>Direction générale des approvisionnements</w:t>
            </w:r>
          </w:p>
        </w:tc>
        <w:tc>
          <w:tcPr>
            <w:tcW w:w="7222" w:type="dxa"/>
          </w:tcPr>
          <w:p w14:paraId="3F34D4DB" w14:textId="27237008" w:rsidR="00C86027" w:rsidRDefault="00FB3D4C" w:rsidP="002E52ED">
            <w:pPr>
              <w:pStyle w:val="TableTextBullets"/>
              <w:numPr>
                <w:ilvl w:val="0"/>
                <w:numId w:val="0"/>
              </w:numPr>
              <w:spacing w:before="0" w:after="0" w:line="252" w:lineRule="auto"/>
              <w:rPr>
                <w:szCs w:val="24"/>
              </w:rPr>
            </w:pPr>
            <w:r>
              <w:t>La Direction générale des approvisionnements de Services publics et Approvisionnements Canada (SPAC) offre des conseils et du soutien pour aider les ministères et organismes du gouvernement fédéral à atteindre leurs objectifs en matière d’approvisionnement.</w:t>
            </w:r>
          </w:p>
        </w:tc>
      </w:tr>
      <w:tr w:rsidR="009D5626" w:rsidRPr="00AF0D79" w14:paraId="5D408421" w14:textId="77777777" w:rsidTr="002E52ED">
        <w:trPr>
          <w:cantSplit/>
        </w:trPr>
        <w:tc>
          <w:tcPr>
            <w:tcW w:w="2376" w:type="dxa"/>
          </w:tcPr>
          <w:p w14:paraId="471F9214" w14:textId="0F36A5F3" w:rsidR="009D5626" w:rsidRDefault="00334BC3" w:rsidP="002E52ED">
            <w:pPr>
              <w:pStyle w:val="TableText"/>
              <w:spacing w:before="0" w:after="0" w:line="252" w:lineRule="auto"/>
              <w:jc w:val="center"/>
              <w:rPr>
                <w:szCs w:val="24"/>
              </w:rPr>
            </w:pPr>
            <w:r>
              <w:t>Programme de sécurité industrielle</w:t>
            </w:r>
          </w:p>
        </w:tc>
        <w:tc>
          <w:tcPr>
            <w:tcW w:w="7222" w:type="dxa"/>
          </w:tcPr>
          <w:p w14:paraId="2133DA0A" w14:textId="1DD1E5CF" w:rsidR="009D5626" w:rsidRDefault="00FB3D4C" w:rsidP="002E52ED">
            <w:pPr>
              <w:pStyle w:val="TableTextBullets"/>
              <w:numPr>
                <w:ilvl w:val="0"/>
                <w:numId w:val="0"/>
              </w:numPr>
              <w:spacing w:before="0" w:after="0" w:line="252" w:lineRule="auto"/>
              <w:rPr>
                <w:szCs w:val="24"/>
              </w:rPr>
            </w:pPr>
            <w:r>
              <w:t>Le programme de sécurité industrielle de SPAC est responsable de la validation de la conformité des entrepreneurs aux exigences de sécurité du contrat. La validation couvre la sécurité physique, la sécurité du personnel et la sécurité des systèmes d’information.</w:t>
            </w:r>
          </w:p>
        </w:tc>
      </w:tr>
      <w:tr w:rsidR="0056574A" w:rsidRPr="00AF0D79" w14:paraId="1E8702E7" w14:textId="77777777" w:rsidTr="002E52ED">
        <w:trPr>
          <w:cantSplit/>
        </w:trPr>
        <w:tc>
          <w:tcPr>
            <w:tcW w:w="2376" w:type="dxa"/>
          </w:tcPr>
          <w:p w14:paraId="4316F953" w14:textId="4E99FEC7" w:rsidR="0056574A" w:rsidRDefault="00334BC3" w:rsidP="002E52ED">
            <w:pPr>
              <w:pStyle w:val="TableText"/>
              <w:spacing w:before="0" w:after="0" w:line="252" w:lineRule="auto"/>
              <w:jc w:val="center"/>
              <w:rPr>
                <w:szCs w:val="24"/>
              </w:rPr>
            </w:pPr>
            <w:r>
              <w:lastRenderedPageBreak/>
              <w:t>Conseillers en sécurité physique</w:t>
            </w:r>
          </w:p>
        </w:tc>
        <w:tc>
          <w:tcPr>
            <w:tcW w:w="7222" w:type="dxa"/>
          </w:tcPr>
          <w:p w14:paraId="6367C1E9" w14:textId="0D47880D" w:rsidR="0056574A" w:rsidRDefault="0037494C" w:rsidP="002E52ED">
            <w:pPr>
              <w:pStyle w:val="TableTextBullets"/>
              <w:numPr>
                <w:ilvl w:val="0"/>
                <w:numId w:val="0"/>
              </w:numPr>
              <w:spacing w:before="0" w:after="0" w:line="252" w:lineRule="auto"/>
              <w:rPr>
                <w:szCs w:val="24"/>
              </w:rPr>
            </w:pPr>
            <w:r>
              <w:t>Les conseillers en sécurité physique contribuent à l’établissement et à la maintenance du cadre d’adoption de l’informatique en nuage à l’échelle du GC en fournissant des conseils et des orientations sur la sécurité physique des installations infonuagiques.</w:t>
            </w:r>
          </w:p>
        </w:tc>
      </w:tr>
    </w:tbl>
    <w:p w14:paraId="52323BD7" w14:textId="77777777" w:rsidR="009F75E5" w:rsidRDefault="009F75E5" w:rsidP="009F75E5"/>
    <w:p w14:paraId="60A56EC1" w14:textId="482275A2" w:rsidR="002E52ED" w:rsidRPr="002E52ED" w:rsidRDefault="002E52ED" w:rsidP="002E52ED">
      <w:pPr>
        <w:pStyle w:val="Heading2"/>
        <w:keepLines/>
      </w:pPr>
      <w:bookmarkStart w:id="45" w:name="_Toc114841920"/>
      <w:r>
        <w:t>Portée ministérielle</w:t>
      </w:r>
      <w:bookmarkEnd w:id="45"/>
    </w:p>
    <w:p w14:paraId="0C5A5728" w14:textId="31B01756" w:rsidR="00B859B2" w:rsidRDefault="00B859B2" w:rsidP="002E52ED">
      <w:pPr>
        <w:keepNext/>
        <w:keepLines/>
      </w:pPr>
      <w:r>
        <w:t>La section suivante détermine et décrit les intervenants ministériels qui ont un rôle à jouer dans le contexte de l’informatique en nuage. Toutefois, si l’étendue des responsabilités décrites concerne les ministères, les mêmes responsabilités pourraient être appliquées pour une organisation fournissant une entreprise ou un service commun.</w:t>
      </w:r>
    </w:p>
    <w:p w14:paraId="6C2E8956" w14:textId="56D1F45F" w:rsidR="009F75E5" w:rsidRDefault="009F75E5" w:rsidP="002E52ED">
      <w:pPr>
        <w:pStyle w:val="CaptionforTable"/>
        <w:keepLines/>
      </w:pPr>
      <w:bookmarkStart w:id="46" w:name="_Toc114841924"/>
      <w:r>
        <w:t>Tableau</w:t>
      </w:r>
      <w:r w:rsidR="00FB480F">
        <w:t> </w:t>
      </w:r>
      <w:r>
        <w:fldChar w:fldCharType="begin"/>
      </w:r>
      <w:r>
        <w:instrText>STYLEREF 1 \s</w:instrText>
      </w:r>
      <w:r>
        <w:fldChar w:fldCharType="separate"/>
      </w:r>
      <w:r w:rsidR="008D5C2D">
        <w:rPr>
          <w:noProof/>
        </w:rPr>
        <w:t>3</w:t>
      </w:r>
      <w:r>
        <w:fldChar w:fldCharType="end"/>
      </w:r>
      <w:r>
        <w:noBreakHyphen/>
      </w:r>
      <w:r>
        <w:fldChar w:fldCharType="begin"/>
      </w:r>
      <w:r>
        <w:instrText>SEQ Table \* ARABIC \s 1</w:instrText>
      </w:r>
      <w:r>
        <w:fldChar w:fldCharType="separate"/>
      </w:r>
      <w:r w:rsidR="008D5C2D">
        <w:rPr>
          <w:noProof/>
        </w:rPr>
        <w:t>2</w:t>
      </w:r>
      <w:r>
        <w:fldChar w:fldCharType="end"/>
      </w:r>
      <w:r w:rsidR="00FB480F">
        <w:t> </w:t>
      </w:r>
      <w:r>
        <w:t>Intervenant de l’informatique en nuage - Portée ministérielle</w:t>
      </w:r>
      <w:bookmarkEnd w:id="46"/>
    </w:p>
    <w:tbl>
      <w:tblPr>
        <w:tblStyle w:val="TableGrid"/>
        <w:tblW w:w="0" w:type="auto"/>
        <w:tblLook w:val="04A0" w:firstRow="1" w:lastRow="0" w:firstColumn="1" w:lastColumn="0" w:noHBand="0" w:noVBand="1"/>
      </w:tblPr>
      <w:tblGrid>
        <w:gridCol w:w="2518"/>
        <w:gridCol w:w="7080"/>
      </w:tblGrid>
      <w:tr w:rsidR="0037494C" w:rsidRPr="00AF0D79" w14:paraId="58ABE709" w14:textId="77777777" w:rsidTr="004C4526">
        <w:trPr>
          <w:cantSplit/>
          <w:tblHeader/>
        </w:trPr>
        <w:tc>
          <w:tcPr>
            <w:tcW w:w="2518" w:type="dxa"/>
            <w:tcBorders>
              <w:right w:val="single" w:sz="4" w:space="0" w:color="FFFFFF" w:themeColor="background1"/>
            </w:tcBorders>
            <w:shd w:val="clear" w:color="auto" w:fill="024E6E"/>
            <w:vAlign w:val="center"/>
          </w:tcPr>
          <w:p w14:paraId="5057871A" w14:textId="77777777" w:rsidR="009F75E5" w:rsidRPr="00AF0D79" w:rsidRDefault="009F75E5" w:rsidP="003D0031">
            <w:pPr>
              <w:pStyle w:val="TableHeader"/>
              <w:rPr>
                <w:sz w:val="20"/>
              </w:rPr>
            </w:pPr>
            <w:r>
              <w:rPr>
                <w:sz w:val="20"/>
              </w:rPr>
              <w:t>Intervenant</w:t>
            </w:r>
          </w:p>
        </w:tc>
        <w:tc>
          <w:tcPr>
            <w:tcW w:w="7080" w:type="dxa"/>
            <w:tcBorders>
              <w:left w:val="single" w:sz="4" w:space="0" w:color="FFFFFF" w:themeColor="background1"/>
            </w:tcBorders>
            <w:shd w:val="clear" w:color="auto" w:fill="024E6E"/>
            <w:vAlign w:val="center"/>
          </w:tcPr>
          <w:p w14:paraId="48E6C8A3" w14:textId="766C6BF6" w:rsidR="009F75E5" w:rsidRPr="00AF0D79" w:rsidRDefault="009F75E5" w:rsidP="003D0031">
            <w:pPr>
              <w:pStyle w:val="TableHeader"/>
              <w:rPr>
                <w:sz w:val="20"/>
              </w:rPr>
            </w:pPr>
            <w:r>
              <w:rPr>
                <w:sz w:val="20"/>
              </w:rPr>
              <w:t>Description du rôle dans le contexte de l’informatique en nuage</w:t>
            </w:r>
          </w:p>
        </w:tc>
      </w:tr>
      <w:tr w:rsidR="0037494C" w:rsidRPr="00AF0D79" w14:paraId="33F0512E" w14:textId="77777777" w:rsidTr="004C4526">
        <w:trPr>
          <w:cantSplit/>
        </w:trPr>
        <w:tc>
          <w:tcPr>
            <w:tcW w:w="2518" w:type="dxa"/>
          </w:tcPr>
          <w:p w14:paraId="55CB2B98" w14:textId="038DB610" w:rsidR="009F75E5" w:rsidRPr="00AF0D79" w:rsidRDefault="004532CF" w:rsidP="003D0031">
            <w:pPr>
              <w:pStyle w:val="TableText"/>
              <w:jc w:val="center"/>
              <w:rPr>
                <w:szCs w:val="24"/>
              </w:rPr>
            </w:pPr>
            <w:r>
              <w:t>Administrateur général</w:t>
            </w:r>
          </w:p>
        </w:tc>
        <w:tc>
          <w:tcPr>
            <w:tcW w:w="7080" w:type="dxa"/>
          </w:tcPr>
          <w:p w14:paraId="6E545290" w14:textId="0102E3B7" w:rsidR="009F75E5" w:rsidRPr="00AF0D79" w:rsidRDefault="00C64E7B" w:rsidP="00AC5E76">
            <w:pPr>
              <w:pStyle w:val="TableText"/>
              <w:rPr>
                <w:szCs w:val="24"/>
              </w:rPr>
            </w:pPr>
            <w:r>
              <w:t>L’administrateur général a la responsabilité globale de l’utilisation rentable et gérée par les risques des services infonuagiques pour soutenir la prestation des programmes et des services du ministère.</w:t>
            </w:r>
          </w:p>
        </w:tc>
      </w:tr>
      <w:tr w:rsidR="0037494C" w:rsidRPr="00AF0D79" w14:paraId="5DB8D9FA" w14:textId="77777777" w:rsidTr="004C4526">
        <w:trPr>
          <w:cantSplit/>
        </w:trPr>
        <w:tc>
          <w:tcPr>
            <w:tcW w:w="2518" w:type="dxa"/>
          </w:tcPr>
          <w:p w14:paraId="256716B9" w14:textId="279BCDDF" w:rsidR="009F75E5" w:rsidRPr="00AF0D79" w:rsidRDefault="00A167A6" w:rsidP="003D0031">
            <w:pPr>
              <w:pStyle w:val="TableText"/>
              <w:jc w:val="center"/>
              <w:rPr>
                <w:szCs w:val="24"/>
              </w:rPr>
            </w:pPr>
            <w:r>
              <w:t>DPI</w:t>
            </w:r>
          </w:p>
        </w:tc>
        <w:tc>
          <w:tcPr>
            <w:tcW w:w="7080" w:type="dxa"/>
          </w:tcPr>
          <w:p w14:paraId="7EDF75D8" w14:textId="23358080" w:rsidR="009F75E5" w:rsidRPr="00AF0D79" w:rsidRDefault="00141F43" w:rsidP="00355D58">
            <w:pPr>
              <w:pStyle w:val="TableText"/>
              <w:rPr>
                <w:szCs w:val="24"/>
              </w:rPr>
            </w:pPr>
            <w:r>
              <w:t xml:space="preserve">Le DPI est responsable de l’établissement et du maintien d’une structure de gouvernance ministérielle et d’un cadre d’adoption de l’informatique en nuage pour la mise en œuvre de services dans le nuage afin de soutenir la prestation de programmes et de services ministériels. </w:t>
            </w:r>
          </w:p>
        </w:tc>
      </w:tr>
      <w:tr w:rsidR="0037494C" w:rsidRPr="00AF0D79" w14:paraId="1AA08374" w14:textId="77777777" w:rsidTr="004C4526">
        <w:trPr>
          <w:cantSplit/>
        </w:trPr>
        <w:tc>
          <w:tcPr>
            <w:tcW w:w="2518" w:type="dxa"/>
          </w:tcPr>
          <w:p w14:paraId="6C17BFAB" w14:textId="77777777" w:rsidR="008E2E6D" w:rsidRDefault="008E2E6D" w:rsidP="008E2E6D">
            <w:pPr>
              <w:pStyle w:val="TableText"/>
              <w:jc w:val="center"/>
            </w:pPr>
            <w:r>
              <w:t>Coordinateur de la sécurité des TI</w:t>
            </w:r>
          </w:p>
        </w:tc>
        <w:tc>
          <w:tcPr>
            <w:tcW w:w="7080" w:type="dxa"/>
          </w:tcPr>
          <w:p w14:paraId="6620FD41" w14:textId="58E836F0" w:rsidR="00016501" w:rsidRPr="00D62291" w:rsidRDefault="008E2E6D" w:rsidP="008E2E6D">
            <w:pPr>
              <w:pStyle w:val="TableText"/>
            </w:pPr>
            <w:r>
              <w:t xml:space="preserve">Le coordinateur de la sécurité des TI est responsable de la coordination générale des activités de sécurité dans l’ensemble du ministère afin de garantir une mise en œuvre et une maintenance des services dans </w:t>
            </w:r>
            <w:proofErr w:type="gramStart"/>
            <w:r>
              <w:t>le nuage axées</w:t>
            </w:r>
            <w:proofErr w:type="gramEnd"/>
            <w:r>
              <w:t xml:space="preserve"> sur les risques. Le coordinateur de la sécurité de TI est également responsable de l’évaluation de la sécurité et des activités de surveillance continue.</w:t>
            </w:r>
          </w:p>
        </w:tc>
      </w:tr>
      <w:tr w:rsidR="0037494C" w:rsidRPr="00AF0D79" w14:paraId="77EA9470" w14:textId="77777777" w:rsidTr="004C4526">
        <w:trPr>
          <w:cantSplit/>
        </w:trPr>
        <w:tc>
          <w:tcPr>
            <w:tcW w:w="2518" w:type="dxa"/>
          </w:tcPr>
          <w:p w14:paraId="178F2510" w14:textId="2CC4F9B0" w:rsidR="00FB6C48" w:rsidRPr="00AF0D79" w:rsidRDefault="00FB6C48" w:rsidP="00FB6C48">
            <w:pPr>
              <w:pStyle w:val="TableText"/>
              <w:jc w:val="center"/>
              <w:rPr>
                <w:szCs w:val="24"/>
              </w:rPr>
            </w:pPr>
            <w:r>
              <w:t>Propriétaires d’entreprise (gestionnaires de programmes et de prestation de services)</w:t>
            </w:r>
          </w:p>
        </w:tc>
        <w:tc>
          <w:tcPr>
            <w:tcW w:w="7080" w:type="dxa"/>
          </w:tcPr>
          <w:p w14:paraId="698D9719" w14:textId="14DBEC8E" w:rsidR="00FB6C48" w:rsidRPr="00AF0D79" w:rsidRDefault="00F1053B" w:rsidP="00860C7D">
            <w:pPr>
              <w:pStyle w:val="TableText"/>
              <w:rPr>
                <w:szCs w:val="24"/>
              </w:rPr>
            </w:pPr>
            <w:r>
              <w:t>Les propriétaires d’entreprises s’appuieront sur des services dans le nuage pour fournir leurs programmes et services. En collaboration avec les propriétaires des données, ils sont chargés de fournir leurs besoins et leurs exigences commerciales, y compris en matière de sécurité, aux concepteurs de services infonuagiques. Parce qu’ils sont responsables des risques qui y sont liés, les propriétaires d’entreprises sont tenus d’autoriser l’exploitation des services infonuagiques qui soutiennent leurs programmes et services.</w:t>
            </w:r>
          </w:p>
        </w:tc>
      </w:tr>
      <w:tr w:rsidR="0037494C" w:rsidRPr="00AF0D79" w14:paraId="2908E269" w14:textId="77777777" w:rsidTr="004C4526">
        <w:trPr>
          <w:cantSplit/>
        </w:trPr>
        <w:tc>
          <w:tcPr>
            <w:tcW w:w="2518" w:type="dxa"/>
          </w:tcPr>
          <w:p w14:paraId="5E4878EA" w14:textId="04F923DB" w:rsidR="00D7753E" w:rsidRDefault="00D7753E" w:rsidP="00FB6C48">
            <w:pPr>
              <w:pStyle w:val="TableText"/>
              <w:jc w:val="center"/>
            </w:pPr>
            <w:r>
              <w:lastRenderedPageBreak/>
              <w:t>Responsables de la protection de la confidentialité</w:t>
            </w:r>
          </w:p>
        </w:tc>
        <w:tc>
          <w:tcPr>
            <w:tcW w:w="7080" w:type="dxa"/>
          </w:tcPr>
          <w:p w14:paraId="1D538B04" w14:textId="17AC32DD" w:rsidR="00D7753E" w:rsidRPr="00884434" w:rsidRDefault="00D7753E" w:rsidP="00D7753E">
            <w:pPr>
              <w:pStyle w:val="TableText"/>
            </w:pPr>
            <w:r>
              <w:t>Les responsables ministériels de la protection de la confidentialité sont chargés de conseiller les propriétaires d’entreprises et les concepteurs de services infonuagiques afin de garantir la conformité des services infonuagiques avec les règles de protection de la confidentialité.</w:t>
            </w:r>
          </w:p>
        </w:tc>
      </w:tr>
      <w:tr w:rsidR="0037494C" w:rsidRPr="00AF0D79" w14:paraId="61CC5F0E" w14:textId="77777777" w:rsidTr="004C4526">
        <w:trPr>
          <w:cantSplit/>
        </w:trPr>
        <w:tc>
          <w:tcPr>
            <w:tcW w:w="2518" w:type="dxa"/>
          </w:tcPr>
          <w:p w14:paraId="5AE137E2" w14:textId="5338A6B2" w:rsidR="00D7753E" w:rsidRDefault="0037494C" w:rsidP="0037494C">
            <w:pPr>
              <w:pStyle w:val="TableText"/>
              <w:jc w:val="center"/>
            </w:pPr>
            <w:r>
              <w:t>Architecte d’entreprise</w:t>
            </w:r>
          </w:p>
        </w:tc>
        <w:tc>
          <w:tcPr>
            <w:tcW w:w="7080" w:type="dxa"/>
          </w:tcPr>
          <w:p w14:paraId="2D95AAF6" w14:textId="5C3EE552" w:rsidR="00D7753E" w:rsidRPr="00AF0D79" w:rsidRDefault="00D7753E" w:rsidP="00D7753E">
            <w:pPr>
              <w:pStyle w:val="TableText"/>
            </w:pPr>
            <w:r>
              <w:t xml:space="preserve">Les architectes d’entreprise (y compris les architectes de l’informatique en nuage et les architectes de la sécurité d’entreprise) sont responsables de l’établissement et de la maintenance d’un cadre d’adoption de l’informatique en nuage à l’échelle du ministère, conformément au cadre d’adoption de l’informatique en nuage à l’échelle du gouvernement. Les architectes d’entreprise collaborent également avec les concepteurs de services infonuagiques pour garantir la conformité de ces services aux artefacts architecturaux. </w:t>
            </w:r>
          </w:p>
        </w:tc>
      </w:tr>
      <w:tr w:rsidR="0037494C" w:rsidRPr="00AF0D79" w14:paraId="7738459A" w14:textId="77777777" w:rsidTr="004C4526">
        <w:trPr>
          <w:cantSplit/>
        </w:trPr>
        <w:tc>
          <w:tcPr>
            <w:tcW w:w="2518" w:type="dxa"/>
          </w:tcPr>
          <w:p w14:paraId="0988451A" w14:textId="1854A444" w:rsidR="00697446" w:rsidRDefault="00697446" w:rsidP="00FB6C48">
            <w:pPr>
              <w:pStyle w:val="TableText"/>
              <w:jc w:val="center"/>
            </w:pPr>
            <w:r>
              <w:t>Concepteurs et développeurs de services infonuagiques</w:t>
            </w:r>
          </w:p>
        </w:tc>
        <w:tc>
          <w:tcPr>
            <w:tcW w:w="7080" w:type="dxa"/>
          </w:tcPr>
          <w:p w14:paraId="4BCF9FF5" w14:textId="13F96332" w:rsidR="00697446" w:rsidRPr="00B73FDE" w:rsidRDefault="00697446" w:rsidP="00FB6C48">
            <w:pPr>
              <w:pStyle w:val="TableTextBullets"/>
              <w:numPr>
                <w:ilvl w:val="0"/>
                <w:numId w:val="0"/>
              </w:numPr>
              <w:rPr>
                <w:rFonts w:cs="Helvetica"/>
              </w:rPr>
            </w:pPr>
            <w:r>
              <w:t xml:space="preserve">Les concepteurs et développeurs de services infonuagiques sont responsables de la conception, du développement, de l’intégration, des tests, du déploiement et de la maintenance des services infonuagiques. Les concepteurs et les développeurs de services infonuagiques prennent en compte les besoins et les exigences de l’entreprise et travaillent avec des architectes d’entreprise, des conseillers en confidentialité, des analystes de sécurité et des évaluateurs de sécurité pour mettre en œuvre des services infonuagiques fiables. </w:t>
            </w:r>
          </w:p>
        </w:tc>
      </w:tr>
      <w:tr w:rsidR="0037494C" w:rsidRPr="00AF0D79" w14:paraId="199F9168" w14:textId="77777777" w:rsidTr="004C4526">
        <w:trPr>
          <w:cantSplit/>
        </w:trPr>
        <w:tc>
          <w:tcPr>
            <w:tcW w:w="2518" w:type="dxa"/>
          </w:tcPr>
          <w:p w14:paraId="4200EA08" w14:textId="77777777" w:rsidR="00697446" w:rsidRDefault="00697446" w:rsidP="00530212">
            <w:pPr>
              <w:pStyle w:val="TableText"/>
              <w:jc w:val="center"/>
            </w:pPr>
            <w:r>
              <w:t>Analyste de l’automatisation de l’informatique infonuagique</w:t>
            </w:r>
          </w:p>
        </w:tc>
        <w:tc>
          <w:tcPr>
            <w:tcW w:w="7080" w:type="dxa"/>
          </w:tcPr>
          <w:p w14:paraId="381F08C0" w14:textId="540ED123" w:rsidR="00697446" w:rsidRPr="00672140" w:rsidRDefault="00697446" w:rsidP="007A6A98">
            <w:pPr>
              <w:pStyle w:val="TableText"/>
            </w:pPr>
            <w:r>
              <w:t xml:space="preserve">Les analystes de l’automatisation de l’informatique infonuagique sont des experts en la matière qui sont responsables du développement et de la maintenance de l’automatisation de l’informatique infonuagique traitée pour être utilisée dans les services dans nuage dans le cadre d’un ministère. </w:t>
            </w:r>
          </w:p>
        </w:tc>
      </w:tr>
      <w:tr w:rsidR="0037494C" w:rsidRPr="00AF0D79" w14:paraId="5E8665C8" w14:textId="77777777" w:rsidTr="004C4526">
        <w:trPr>
          <w:cantSplit/>
        </w:trPr>
        <w:tc>
          <w:tcPr>
            <w:tcW w:w="2518" w:type="dxa"/>
          </w:tcPr>
          <w:p w14:paraId="6DDFB686" w14:textId="5E133087" w:rsidR="00E444D1" w:rsidRDefault="00E444D1" w:rsidP="00530212">
            <w:pPr>
              <w:pStyle w:val="TableText"/>
              <w:jc w:val="center"/>
            </w:pPr>
            <w:r>
              <w:t>Analystes de sécurité</w:t>
            </w:r>
          </w:p>
        </w:tc>
        <w:tc>
          <w:tcPr>
            <w:tcW w:w="7080" w:type="dxa"/>
          </w:tcPr>
          <w:p w14:paraId="134F268B" w14:textId="7DDA8B81" w:rsidR="00E444D1" w:rsidRPr="00BF3CC5" w:rsidRDefault="00E444D1" w:rsidP="00281BD9">
            <w:pPr>
              <w:pStyle w:val="TableText"/>
            </w:pPr>
            <w:r>
              <w:t xml:space="preserve">Les analystes de sécurité sont chargés de fournir un soutien en matière d’ingénierie de la sécurité des systèmes aux concepteurs et développeurs de services infonuagiques et d’assurer la liaison avec les évaluateurs de sécurité. </w:t>
            </w:r>
          </w:p>
        </w:tc>
      </w:tr>
      <w:tr w:rsidR="0037494C" w:rsidRPr="00AF0D79" w14:paraId="380896A1" w14:textId="77777777" w:rsidTr="004C4526">
        <w:trPr>
          <w:cantSplit/>
        </w:trPr>
        <w:tc>
          <w:tcPr>
            <w:tcW w:w="2518" w:type="dxa"/>
          </w:tcPr>
          <w:p w14:paraId="131702AB" w14:textId="5EEAAC64" w:rsidR="00DF2900" w:rsidRDefault="00DF2900" w:rsidP="00AE0F9A">
            <w:pPr>
              <w:pStyle w:val="TableText"/>
              <w:jc w:val="center"/>
            </w:pPr>
            <w:r>
              <w:t>Évaluateurs de sécurité</w:t>
            </w:r>
          </w:p>
        </w:tc>
        <w:tc>
          <w:tcPr>
            <w:tcW w:w="7080" w:type="dxa"/>
          </w:tcPr>
          <w:p w14:paraId="209610A0" w14:textId="7461B28C" w:rsidR="00DF2900" w:rsidRDefault="00C87437" w:rsidP="009A1CDB">
            <w:pPr>
              <w:pStyle w:val="TableText"/>
            </w:pPr>
            <w:r>
              <w:t>Les évaluateurs de sécurité sont chargés de mener des évaluations de sécurité des services basés sur l’informatique en nuage afin de soutenir l’autorisation et la surveillance et l’évaluation continues de la sécurité.</w:t>
            </w:r>
          </w:p>
        </w:tc>
      </w:tr>
      <w:tr w:rsidR="0037494C" w:rsidRPr="00AF0D79" w14:paraId="0B35D74A" w14:textId="77777777" w:rsidTr="004C4526">
        <w:trPr>
          <w:cantSplit/>
        </w:trPr>
        <w:tc>
          <w:tcPr>
            <w:tcW w:w="2518" w:type="dxa"/>
          </w:tcPr>
          <w:p w14:paraId="7D4D7E46" w14:textId="75E1A181" w:rsidR="00FB6C48" w:rsidRPr="00AF0D79" w:rsidRDefault="00FB6C48" w:rsidP="00FB6C48">
            <w:pPr>
              <w:pStyle w:val="TableText"/>
              <w:jc w:val="center"/>
              <w:rPr>
                <w:szCs w:val="24"/>
              </w:rPr>
            </w:pPr>
            <w:r>
              <w:t>Propriétaires de services dans le nuage</w:t>
            </w:r>
          </w:p>
        </w:tc>
        <w:tc>
          <w:tcPr>
            <w:tcW w:w="7080" w:type="dxa"/>
          </w:tcPr>
          <w:p w14:paraId="20F251B9" w14:textId="17185CC4" w:rsidR="00B73232" w:rsidRPr="00B73FDE" w:rsidRDefault="00530212" w:rsidP="00FB6C48">
            <w:pPr>
              <w:pStyle w:val="TableTextBullets"/>
              <w:numPr>
                <w:ilvl w:val="0"/>
                <w:numId w:val="0"/>
              </w:numPr>
              <w:rPr>
                <w:rFonts w:cs="Helvetica"/>
              </w:rPr>
            </w:pPr>
            <w:r>
              <w:t>Les propriétaires de services dans le nuage ont la responsabilité globale de la mise en œuvre, de l’exploitation et de la maintenance des services dans le nuage.</w:t>
            </w:r>
          </w:p>
        </w:tc>
      </w:tr>
      <w:tr w:rsidR="0037494C" w:rsidRPr="00AF0D79" w14:paraId="093C9C8A" w14:textId="77777777" w:rsidTr="004C4526">
        <w:trPr>
          <w:cantSplit/>
        </w:trPr>
        <w:tc>
          <w:tcPr>
            <w:tcW w:w="2518" w:type="dxa"/>
          </w:tcPr>
          <w:p w14:paraId="7B1E1627" w14:textId="44055286" w:rsidR="00FB6C48" w:rsidRDefault="00B1796A" w:rsidP="00FB6C48">
            <w:pPr>
              <w:pStyle w:val="TableText"/>
              <w:jc w:val="center"/>
            </w:pPr>
            <w:r>
              <w:t>Opérateurs et administrateurs de services infonuagiques</w:t>
            </w:r>
          </w:p>
        </w:tc>
        <w:tc>
          <w:tcPr>
            <w:tcW w:w="7080" w:type="dxa"/>
          </w:tcPr>
          <w:p w14:paraId="4C44DF70" w14:textId="63DDB964" w:rsidR="00FB6C48" w:rsidRPr="00884434" w:rsidRDefault="00530212" w:rsidP="00FB3D4C">
            <w:pPr>
              <w:pStyle w:val="TableText"/>
            </w:pPr>
            <w:r>
              <w:t xml:space="preserve">Les opérateurs et administrateurs de services infonuagiques sont responsables des opérations et de l’administration quotidiennes des services dans le nuage.  </w:t>
            </w:r>
          </w:p>
        </w:tc>
      </w:tr>
      <w:tr w:rsidR="0037494C" w:rsidRPr="00AF0D79" w14:paraId="6081CEC0" w14:textId="77777777" w:rsidTr="004C4526">
        <w:trPr>
          <w:cantSplit/>
        </w:trPr>
        <w:tc>
          <w:tcPr>
            <w:tcW w:w="2518" w:type="dxa"/>
          </w:tcPr>
          <w:p w14:paraId="6207FBF0" w14:textId="77777777" w:rsidR="00603FC6" w:rsidRDefault="00603FC6" w:rsidP="00CE5938">
            <w:pPr>
              <w:pStyle w:val="TableText"/>
              <w:jc w:val="center"/>
            </w:pPr>
            <w:r>
              <w:lastRenderedPageBreak/>
              <w:t>Opérations en matière de sécurité</w:t>
            </w:r>
          </w:p>
        </w:tc>
        <w:tc>
          <w:tcPr>
            <w:tcW w:w="7080" w:type="dxa"/>
          </w:tcPr>
          <w:p w14:paraId="67591B86" w14:textId="523574D0" w:rsidR="00603FC6" w:rsidRPr="00603FC6" w:rsidRDefault="00603FC6" w:rsidP="00CE5938">
            <w:pPr>
              <w:pStyle w:val="TableText"/>
            </w:pPr>
            <w:r>
              <w:t>Les opérations en matière de sécurité sont responsables des opérations de sécurité centralisées pour les services dans le nuage. Les opérations de sécurité surveillent les journaux de sécurité et répondent aux incidents de sécurité.</w:t>
            </w:r>
          </w:p>
        </w:tc>
      </w:tr>
      <w:tr w:rsidR="0037494C" w:rsidRPr="00AF0D79" w14:paraId="01AE67AA" w14:textId="77777777" w:rsidTr="004C4526">
        <w:trPr>
          <w:cantSplit/>
        </w:trPr>
        <w:tc>
          <w:tcPr>
            <w:tcW w:w="2518" w:type="dxa"/>
          </w:tcPr>
          <w:p w14:paraId="332168D4" w14:textId="77777777" w:rsidR="00603FC6" w:rsidRDefault="00603FC6" w:rsidP="00CE5938">
            <w:pPr>
              <w:pStyle w:val="TableText"/>
              <w:jc w:val="center"/>
            </w:pPr>
            <w:r>
              <w:t>Bureau des services de TI</w:t>
            </w:r>
          </w:p>
        </w:tc>
        <w:tc>
          <w:tcPr>
            <w:tcW w:w="7080" w:type="dxa"/>
          </w:tcPr>
          <w:p w14:paraId="23BF6C67" w14:textId="08121AD7" w:rsidR="00603FC6" w:rsidRPr="00FA315D" w:rsidRDefault="00603FC6" w:rsidP="00CE5938">
            <w:pPr>
              <w:pStyle w:val="TableText"/>
            </w:pPr>
            <w:r>
              <w:t>Le Bureau des services de TI est chargé de fournir une assistance de première ligne pour les services dans le nuage.</w:t>
            </w:r>
          </w:p>
        </w:tc>
      </w:tr>
      <w:tr w:rsidR="0037494C" w:rsidRPr="00AF0D79" w14:paraId="31B0CCC6" w14:textId="77777777" w:rsidTr="004C4526">
        <w:trPr>
          <w:cantSplit/>
        </w:trPr>
        <w:tc>
          <w:tcPr>
            <w:tcW w:w="2518" w:type="dxa"/>
          </w:tcPr>
          <w:p w14:paraId="71CDDFCD" w14:textId="45471261" w:rsidR="00FB6C48" w:rsidRDefault="00FB6C48" w:rsidP="00FB6C48">
            <w:pPr>
              <w:pStyle w:val="TableText"/>
              <w:jc w:val="center"/>
            </w:pPr>
            <w:r>
              <w:t>Auditeurs de services dans le nuage</w:t>
            </w:r>
          </w:p>
        </w:tc>
        <w:tc>
          <w:tcPr>
            <w:tcW w:w="7080" w:type="dxa"/>
          </w:tcPr>
          <w:p w14:paraId="020FC2CC" w14:textId="6EADCC6B" w:rsidR="00FB6C48" w:rsidRPr="00672140" w:rsidRDefault="00FB6C48" w:rsidP="00DF2900">
            <w:pPr>
              <w:pStyle w:val="TableText"/>
              <w:rPr>
                <w:szCs w:val="24"/>
              </w:rPr>
            </w:pPr>
            <w:r>
              <w:t xml:space="preserve">Les auditeurs des services dans le nuage sont chargés de vérifier les activités d’utilisation des services dans le nuage conformément aux politiques, directives et normes applicables. </w:t>
            </w:r>
          </w:p>
        </w:tc>
      </w:tr>
    </w:tbl>
    <w:p w14:paraId="006A5D71" w14:textId="20D5B9B3" w:rsidR="00232B17" w:rsidRDefault="00BC1C82" w:rsidP="00C83082">
      <w:pPr>
        <w:pStyle w:val="Heading1"/>
        <w:jc w:val="both"/>
      </w:pPr>
      <w:bookmarkStart w:id="47" w:name="bookmark0"/>
      <w:bookmarkStart w:id="48" w:name="_Toc454523745"/>
      <w:bookmarkStart w:id="49" w:name="_Toc454523970"/>
      <w:bookmarkStart w:id="50" w:name="_Toc467062005"/>
      <w:bookmarkStart w:id="51" w:name="_Toc467062292"/>
      <w:bookmarkStart w:id="52" w:name="_Toc467062953"/>
      <w:bookmarkStart w:id="53" w:name="_Toc467063017"/>
      <w:bookmarkStart w:id="54" w:name="_Toc467064371"/>
      <w:bookmarkStart w:id="55" w:name="_Toc467065820"/>
      <w:bookmarkStart w:id="56" w:name="_Toc467065946"/>
      <w:bookmarkStart w:id="57" w:name="_Toc467066009"/>
      <w:bookmarkStart w:id="58" w:name="_Toc467162313"/>
      <w:bookmarkStart w:id="59" w:name="_Toc467222447"/>
      <w:bookmarkStart w:id="60" w:name="_Toc467228106"/>
      <w:bookmarkStart w:id="61" w:name="_Toc467062006"/>
      <w:bookmarkStart w:id="62" w:name="_Toc467062293"/>
      <w:bookmarkStart w:id="63" w:name="_Toc467062954"/>
      <w:bookmarkStart w:id="64" w:name="_Toc467063018"/>
      <w:bookmarkStart w:id="65" w:name="_Toc467064372"/>
      <w:bookmarkStart w:id="66" w:name="_Toc467065821"/>
      <w:bookmarkStart w:id="67" w:name="_Toc467065947"/>
      <w:bookmarkStart w:id="68" w:name="_Toc467066010"/>
      <w:bookmarkStart w:id="69" w:name="_Toc467162314"/>
      <w:bookmarkStart w:id="70" w:name="_Toc467222448"/>
      <w:bookmarkStart w:id="71" w:name="_Toc467228107"/>
      <w:bookmarkStart w:id="72" w:name="_Toc467062007"/>
      <w:bookmarkStart w:id="73" w:name="_Toc467062294"/>
      <w:bookmarkStart w:id="74" w:name="_Toc467062955"/>
      <w:bookmarkStart w:id="75" w:name="_Toc467063019"/>
      <w:bookmarkStart w:id="76" w:name="_Toc467064373"/>
      <w:bookmarkStart w:id="77" w:name="_Toc467065822"/>
      <w:bookmarkStart w:id="78" w:name="_Toc467065948"/>
      <w:bookmarkStart w:id="79" w:name="_Toc467066011"/>
      <w:bookmarkStart w:id="80" w:name="_Toc467162315"/>
      <w:bookmarkStart w:id="81" w:name="_Toc467222449"/>
      <w:bookmarkStart w:id="82" w:name="_Toc467228108"/>
      <w:bookmarkStart w:id="83" w:name="_Toc467062008"/>
      <w:bookmarkStart w:id="84" w:name="_Toc467062295"/>
      <w:bookmarkStart w:id="85" w:name="_Toc467062956"/>
      <w:bookmarkStart w:id="86" w:name="_Toc467063020"/>
      <w:bookmarkStart w:id="87" w:name="_Toc467064374"/>
      <w:bookmarkStart w:id="88" w:name="_Toc467065823"/>
      <w:bookmarkStart w:id="89" w:name="_Toc467065949"/>
      <w:bookmarkStart w:id="90" w:name="_Toc467066012"/>
      <w:bookmarkStart w:id="91" w:name="_Toc467162316"/>
      <w:bookmarkStart w:id="92" w:name="_Toc467222450"/>
      <w:bookmarkStart w:id="93" w:name="_Toc467228109"/>
      <w:bookmarkStart w:id="94" w:name="_Toc467062009"/>
      <w:bookmarkStart w:id="95" w:name="_Toc467062296"/>
      <w:bookmarkStart w:id="96" w:name="_Toc467062957"/>
      <w:bookmarkStart w:id="97" w:name="_Toc467063021"/>
      <w:bookmarkStart w:id="98" w:name="_Toc467064375"/>
      <w:bookmarkStart w:id="99" w:name="_Toc467065824"/>
      <w:bookmarkStart w:id="100" w:name="_Toc467065950"/>
      <w:bookmarkStart w:id="101" w:name="_Toc467066013"/>
      <w:bookmarkStart w:id="102" w:name="_Toc467162317"/>
      <w:bookmarkStart w:id="103" w:name="_Toc467222451"/>
      <w:bookmarkStart w:id="104" w:name="_Toc467228110"/>
      <w:bookmarkStart w:id="105" w:name="_Toc467062010"/>
      <w:bookmarkStart w:id="106" w:name="_Toc467062297"/>
      <w:bookmarkStart w:id="107" w:name="_Toc467062958"/>
      <w:bookmarkStart w:id="108" w:name="_Toc467063022"/>
      <w:bookmarkStart w:id="109" w:name="_Toc467064376"/>
      <w:bookmarkStart w:id="110" w:name="_Toc467065825"/>
      <w:bookmarkStart w:id="111" w:name="_Toc467065951"/>
      <w:bookmarkStart w:id="112" w:name="_Toc467066014"/>
      <w:bookmarkStart w:id="113" w:name="_Toc467162318"/>
      <w:bookmarkStart w:id="114" w:name="_Toc467222452"/>
      <w:bookmarkStart w:id="115" w:name="_Toc467228111"/>
      <w:bookmarkStart w:id="116" w:name="_Toc467062011"/>
      <w:bookmarkStart w:id="117" w:name="_Toc467062298"/>
      <w:bookmarkStart w:id="118" w:name="_Toc467062959"/>
      <w:bookmarkStart w:id="119" w:name="_Toc467063023"/>
      <w:bookmarkStart w:id="120" w:name="_Toc467064377"/>
      <w:bookmarkStart w:id="121" w:name="_Toc467065826"/>
      <w:bookmarkStart w:id="122" w:name="_Toc467065952"/>
      <w:bookmarkStart w:id="123" w:name="_Toc467066015"/>
      <w:bookmarkStart w:id="124" w:name="_Toc467162319"/>
      <w:bookmarkStart w:id="125" w:name="_Toc467222453"/>
      <w:bookmarkStart w:id="126" w:name="_Toc467228112"/>
      <w:bookmarkStart w:id="127" w:name="_Toc467062012"/>
      <w:bookmarkStart w:id="128" w:name="_Toc467062299"/>
      <w:bookmarkStart w:id="129" w:name="_Toc467062960"/>
      <w:bookmarkStart w:id="130" w:name="_Toc467063024"/>
      <w:bookmarkStart w:id="131" w:name="_Toc467064378"/>
      <w:bookmarkStart w:id="132" w:name="_Toc467065827"/>
      <w:bookmarkStart w:id="133" w:name="_Toc467065953"/>
      <w:bookmarkStart w:id="134" w:name="_Toc467066016"/>
      <w:bookmarkStart w:id="135" w:name="_Toc467162320"/>
      <w:bookmarkStart w:id="136" w:name="_Toc467222454"/>
      <w:bookmarkStart w:id="137" w:name="_Toc467228113"/>
      <w:bookmarkStart w:id="138" w:name="_Toc467062013"/>
      <w:bookmarkStart w:id="139" w:name="_Toc467062300"/>
      <w:bookmarkStart w:id="140" w:name="_Toc467062961"/>
      <w:bookmarkStart w:id="141" w:name="_Toc467063025"/>
      <w:bookmarkStart w:id="142" w:name="_Toc467064379"/>
      <w:bookmarkStart w:id="143" w:name="_Toc467065828"/>
      <w:bookmarkStart w:id="144" w:name="_Toc467065954"/>
      <w:bookmarkStart w:id="145" w:name="_Toc467066017"/>
      <w:bookmarkStart w:id="146" w:name="_Toc467162321"/>
      <w:bookmarkStart w:id="147" w:name="_Toc467222455"/>
      <w:bookmarkStart w:id="148" w:name="_Toc467228114"/>
      <w:bookmarkStart w:id="149" w:name="_Toc467062014"/>
      <w:bookmarkStart w:id="150" w:name="_Toc467062301"/>
      <w:bookmarkStart w:id="151" w:name="_Toc467062962"/>
      <w:bookmarkStart w:id="152" w:name="_Toc467063026"/>
      <w:bookmarkStart w:id="153" w:name="_Toc467064380"/>
      <w:bookmarkStart w:id="154" w:name="_Toc467065829"/>
      <w:bookmarkStart w:id="155" w:name="_Toc467065955"/>
      <w:bookmarkStart w:id="156" w:name="_Toc467066018"/>
      <w:bookmarkStart w:id="157" w:name="_Toc467162322"/>
      <w:bookmarkStart w:id="158" w:name="_Toc467222456"/>
      <w:bookmarkStart w:id="159" w:name="_Toc467228115"/>
      <w:bookmarkStart w:id="160" w:name="_Toc467062016"/>
      <w:bookmarkStart w:id="161" w:name="_Toc467062303"/>
      <w:bookmarkStart w:id="162" w:name="_Toc467062964"/>
      <w:bookmarkStart w:id="163" w:name="_Toc467063028"/>
      <w:bookmarkStart w:id="164" w:name="_Toc467064382"/>
      <w:bookmarkStart w:id="165" w:name="_Toc467065831"/>
      <w:bookmarkStart w:id="166" w:name="_Toc467065957"/>
      <w:bookmarkStart w:id="167" w:name="_Toc467066020"/>
      <w:bookmarkStart w:id="168" w:name="_Toc467162324"/>
      <w:bookmarkStart w:id="169" w:name="_Toc467222458"/>
      <w:bookmarkStart w:id="170" w:name="_Toc467228117"/>
      <w:bookmarkStart w:id="171" w:name="_Toc467062017"/>
      <w:bookmarkStart w:id="172" w:name="_Toc467062304"/>
      <w:bookmarkStart w:id="173" w:name="_Toc467062965"/>
      <w:bookmarkStart w:id="174" w:name="_Toc467063029"/>
      <w:bookmarkStart w:id="175" w:name="_Toc467064383"/>
      <w:bookmarkStart w:id="176" w:name="_Toc467065832"/>
      <w:bookmarkStart w:id="177" w:name="_Toc467065958"/>
      <w:bookmarkStart w:id="178" w:name="_Toc467066021"/>
      <w:bookmarkStart w:id="179" w:name="_Toc467162325"/>
      <w:bookmarkStart w:id="180" w:name="_Toc467222459"/>
      <w:bookmarkStart w:id="181" w:name="_Toc467228118"/>
      <w:bookmarkStart w:id="182" w:name="_Toc467062018"/>
      <w:bookmarkStart w:id="183" w:name="_Toc467062305"/>
      <w:bookmarkStart w:id="184" w:name="_Toc467062966"/>
      <w:bookmarkStart w:id="185" w:name="_Toc467063030"/>
      <w:bookmarkStart w:id="186" w:name="_Toc467064384"/>
      <w:bookmarkStart w:id="187" w:name="_Toc467065833"/>
      <w:bookmarkStart w:id="188" w:name="_Toc467065959"/>
      <w:bookmarkStart w:id="189" w:name="_Toc467066022"/>
      <w:bookmarkStart w:id="190" w:name="_Toc467162326"/>
      <w:bookmarkStart w:id="191" w:name="_Toc467222460"/>
      <w:bookmarkStart w:id="192" w:name="_Toc467228119"/>
      <w:bookmarkStart w:id="193" w:name="_Toc467062019"/>
      <w:bookmarkStart w:id="194" w:name="_Toc467062306"/>
      <w:bookmarkStart w:id="195" w:name="_Toc467062967"/>
      <w:bookmarkStart w:id="196" w:name="_Toc467063031"/>
      <w:bookmarkStart w:id="197" w:name="_Toc467064385"/>
      <w:bookmarkStart w:id="198" w:name="_Toc467065834"/>
      <w:bookmarkStart w:id="199" w:name="_Toc467065960"/>
      <w:bookmarkStart w:id="200" w:name="_Toc467066023"/>
      <w:bookmarkStart w:id="201" w:name="_Toc467162327"/>
      <w:bookmarkStart w:id="202" w:name="_Toc467222461"/>
      <w:bookmarkStart w:id="203" w:name="_Toc467228120"/>
      <w:bookmarkStart w:id="204" w:name="_Toc450163567"/>
      <w:bookmarkStart w:id="205" w:name="_Toc114841921"/>
      <w:bookmarkEnd w:id="1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lastRenderedPageBreak/>
        <w:t>Matrice des responsabilités</w:t>
      </w:r>
      <w:bookmarkEnd w:id="204"/>
      <w:r>
        <w:t xml:space="preserve"> de l’informatique en nuage du GC</w:t>
      </w:r>
      <w:bookmarkEnd w:id="205"/>
    </w:p>
    <w:p w14:paraId="6B29E075" w14:textId="798B06EC" w:rsidR="0037494C" w:rsidRDefault="009F13AB" w:rsidP="009F13AB">
      <w:r>
        <w:t>Les responsabilités des intervenants de l’informatique en nuage du GC sont décrites dans une matrice RACI détaillée, qui peut être consultée en cliquant sur le lien suivant</w:t>
      </w:r>
      <w:r w:rsidR="00FB480F">
        <w:t> </w:t>
      </w:r>
      <w:r>
        <w:t xml:space="preserve">:  </w:t>
      </w:r>
    </w:p>
    <w:p w14:paraId="30C1EC2F" w14:textId="69295EC5" w:rsidR="0037494C" w:rsidRPr="00201717" w:rsidRDefault="00201717" w:rsidP="009F13AB">
      <w:pPr>
        <w:rPr>
          <w:rStyle w:val="Hyperlink"/>
        </w:rPr>
      </w:pPr>
      <w:r>
        <w:fldChar w:fldCharType="begin"/>
      </w:r>
      <w:r>
        <w:instrText xml:space="preserve"> HYPERLINK "https://gcconnex.gc.ca/file/view/37162556/gc-public-cloud-raci-matrix-v1?language=en" </w:instrText>
      </w:r>
      <w:r>
        <w:fldChar w:fldCharType="separate"/>
      </w:r>
      <w:r>
        <w:rPr>
          <w:rStyle w:val="Hyperlink"/>
        </w:rPr>
        <w:t xml:space="preserve">Dépôt de fichiers du groupe de travail GC </w:t>
      </w:r>
      <w:proofErr w:type="spellStart"/>
      <w:r>
        <w:rPr>
          <w:rStyle w:val="Hyperlink"/>
        </w:rPr>
        <w:t>Connex</w:t>
      </w:r>
      <w:proofErr w:type="spellEnd"/>
      <w:r>
        <w:rPr>
          <w:rStyle w:val="Hyperlink"/>
        </w:rPr>
        <w:t xml:space="preserve"> de l’informatique en nuage du GC</w:t>
      </w:r>
    </w:p>
    <w:p w14:paraId="78878F0D" w14:textId="677D9EB5" w:rsidR="00F83FD8" w:rsidRDefault="00201717" w:rsidP="009F13AB">
      <w:r>
        <w:fldChar w:fldCharType="end"/>
      </w:r>
    </w:p>
    <w:p w14:paraId="346C1322" w14:textId="45740780" w:rsidR="009F13AB" w:rsidRDefault="00C52BE7" w:rsidP="009F13AB">
      <w:r>
        <w:t>Le tableau ci-dessous résume la matrice RACI par domaine de responsabilité et par les différentes entités du GC, y compris les ministères et les organismes.</w:t>
      </w:r>
    </w:p>
    <w:p w14:paraId="34EBC6D8" w14:textId="338D8536" w:rsidR="00C52BE7" w:rsidRDefault="00C52BE7" w:rsidP="00C52BE7">
      <w:pPr>
        <w:pStyle w:val="CaptionforTable"/>
      </w:pPr>
      <w:bookmarkStart w:id="206" w:name="_Toc114841925"/>
      <w:r>
        <w:t>Tableau</w:t>
      </w:r>
      <w:r w:rsidR="00FB480F">
        <w:t> </w:t>
      </w:r>
      <w:r>
        <w:fldChar w:fldCharType="begin"/>
      </w:r>
      <w:r>
        <w:instrText>STYLEREF 1 \s</w:instrText>
      </w:r>
      <w:r>
        <w:fldChar w:fldCharType="separate"/>
      </w:r>
      <w:r w:rsidR="008D5C2D">
        <w:rPr>
          <w:noProof/>
        </w:rPr>
        <w:t>4</w:t>
      </w:r>
      <w:r>
        <w:fldChar w:fldCharType="end"/>
      </w:r>
      <w:r>
        <w:noBreakHyphen/>
      </w:r>
      <w:r>
        <w:fldChar w:fldCharType="begin"/>
      </w:r>
      <w:r>
        <w:instrText>SEQ Table \* ARABIC \s 1</w:instrText>
      </w:r>
      <w:r>
        <w:fldChar w:fldCharType="separate"/>
      </w:r>
      <w:r w:rsidR="008D5C2D">
        <w:rPr>
          <w:noProof/>
        </w:rPr>
        <w:t>1</w:t>
      </w:r>
      <w:r>
        <w:fldChar w:fldCharType="end"/>
      </w:r>
      <w:r>
        <w:t xml:space="preserve"> Matrice RACI de l’informatique en nuage du GC - Vue d’ensemble</w:t>
      </w:r>
      <w:bookmarkEnd w:id="206"/>
    </w:p>
    <w:p w14:paraId="39EAB6FE" w14:textId="09259F42" w:rsidR="00D92E13" w:rsidRDefault="00D92E13" w:rsidP="00D92E13">
      <w:pPr>
        <w:spacing w:before="60" w:after="60" w:line="240" w:lineRule="auto"/>
        <w:contextualSpacing/>
      </w:pPr>
      <w:r>
        <w:t>R = Responsable, A = Approbateur, C = Consulté, I = Informé</w:t>
      </w:r>
    </w:p>
    <w:tbl>
      <w:tblPr>
        <w:tblW w:w="9851" w:type="dxa"/>
        <w:tblInd w:w="-162" w:type="dxa"/>
        <w:tblLayout w:type="fixed"/>
        <w:tblLook w:val="04A0" w:firstRow="1" w:lastRow="0" w:firstColumn="1" w:lastColumn="0" w:noHBand="0" w:noVBand="1"/>
      </w:tblPr>
      <w:tblGrid>
        <w:gridCol w:w="720"/>
        <w:gridCol w:w="5940"/>
        <w:gridCol w:w="531"/>
        <w:gridCol w:w="532"/>
        <w:gridCol w:w="532"/>
        <w:gridCol w:w="532"/>
        <w:gridCol w:w="532"/>
        <w:gridCol w:w="532"/>
      </w:tblGrid>
      <w:tr w:rsidR="00805D73" w:rsidRPr="00392164" w14:paraId="215D76A6" w14:textId="77777777" w:rsidTr="00F83519">
        <w:trPr>
          <w:trHeight w:val="2273"/>
          <w:tblHeader/>
        </w:trPr>
        <w:tc>
          <w:tcPr>
            <w:tcW w:w="720" w:type="dxa"/>
            <w:tcBorders>
              <w:top w:val="single" w:sz="4" w:space="0" w:color="auto"/>
              <w:left w:val="single" w:sz="4" w:space="0" w:color="auto"/>
              <w:bottom w:val="single" w:sz="4" w:space="0" w:color="auto"/>
              <w:right w:val="single" w:sz="4" w:space="0" w:color="FFFFFF" w:themeColor="background1"/>
            </w:tcBorders>
            <w:shd w:val="clear" w:color="000000" w:fill="024E6E"/>
            <w:vAlign w:val="center"/>
            <w:hideMark/>
          </w:tcPr>
          <w:p w14:paraId="662F56D7" w14:textId="383C91C9" w:rsidR="00805D73" w:rsidRPr="00A17157" w:rsidRDefault="00805D73" w:rsidP="00B4723C">
            <w:pPr>
              <w:spacing w:after="0" w:line="240" w:lineRule="auto"/>
              <w:jc w:val="center"/>
              <w:rPr>
                <w:rFonts w:ascii="Calibri" w:hAnsi="Calibri"/>
                <w:b/>
                <w:bCs/>
                <w:color w:val="FFFFFF" w:themeColor="background1"/>
              </w:rPr>
            </w:pPr>
            <w:r>
              <w:rPr>
                <w:rFonts w:ascii="Calibri" w:hAnsi="Calibri"/>
                <w:b/>
                <w:color w:val="FFFFFF" w:themeColor="background1"/>
                <w:bdr w:val="single" w:sz="4" w:space="0" w:color="1F497D" w:themeColor="text2"/>
              </w:rPr>
              <w:t>Sect.</w:t>
            </w:r>
          </w:p>
        </w:tc>
        <w:tc>
          <w:tcPr>
            <w:tcW w:w="5940" w:type="dxa"/>
            <w:tcBorders>
              <w:top w:val="single" w:sz="4" w:space="0" w:color="auto"/>
              <w:left w:val="single" w:sz="4" w:space="0" w:color="FFFFFF" w:themeColor="background1"/>
              <w:bottom w:val="single" w:sz="4" w:space="0" w:color="auto"/>
              <w:right w:val="single" w:sz="4" w:space="0" w:color="auto"/>
              <w:tl2br w:val="single" w:sz="4" w:space="0" w:color="FFFFFF" w:themeColor="background1"/>
            </w:tcBorders>
            <w:shd w:val="clear" w:color="000000" w:fill="024E6E"/>
            <w:vAlign w:val="center"/>
            <w:hideMark/>
          </w:tcPr>
          <w:p w14:paraId="7C21AE78" w14:textId="77777777" w:rsidR="00D92E13" w:rsidRDefault="00D92E13" w:rsidP="00D92E13">
            <w:pPr>
              <w:pStyle w:val="TableHeader"/>
              <w:jc w:val="right"/>
            </w:pPr>
            <w:r>
              <w:t>Rôles</w:t>
            </w:r>
          </w:p>
          <w:p w14:paraId="332F1AF2" w14:textId="77777777" w:rsidR="00D92E13" w:rsidRDefault="00D92E13" w:rsidP="00D92E13">
            <w:pPr>
              <w:pStyle w:val="TableHeader"/>
            </w:pPr>
          </w:p>
          <w:p w14:paraId="3129783A" w14:textId="77777777" w:rsidR="00D92E13" w:rsidRPr="00D92E13" w:rsidRDefault="00D92E13" w:rsidP="00D92E13">
            <w:pPr>
              <w:pStyle w:val="TableHeader"/>
            </w:pPr>
          </w:p>
          <w:p w14:paraId="1EF61965" w14:textId="77777777" w:rsidR="00D92E13" w:rsidRPr="00D92E13" w:rsidRDefault="00D92E13" w:rsidP="00D92E13">
            <w:pPr>
              <w:pStyle w:val="TableHeader"/>
            </w:pPr>
          </w:p>
          <w:p w14:paraId="623906BD" w14:textId="77777777" w:rsidR="00D92E13" w:rsidRPr="00D92E13" w:rsidRDefault="00D92E13" w:rsidP="00D92E13">
            <w:pPr>
              <w:pStyle w:val="TableHeader"/>
            </w:pPr>
          </w:p>
          <w:p w14:paraId="40C472B4" w14:textId="77777777" w:rsidR="00D92E13" w:rsidRPr="00D92E13" w:rsidRDefault="00D92E13" w:rsidP="00D92E13">
            <w:pPr>
              <w:pStyle w:val="TableHeader"/>
              <w:jc w:val="left"/>
            </w:pPr>
          </w:p>
          <w:p w14:paraId="4B712866" w14:textId="77777777" w:rsidR="00D92E13" w:rsidRPr="00D92E13" w:rsidRDefault="00D92E13" w:rsidP="00D92E13">
            <w:pPr>
              <w:pStyle w:val="TableHeader"/>
              <w:jc w:val="left"/>
            </w:pPr>
          </w:p>
          <w:p w14:paraId="41236706" w14:textId="4A14546F" w:rsidR="00805D73" w:rsidRPr="00A17157" w:rsidRDefault="00D92E13" w:rsidP="00D92E13">
            <w:pPr>
              <w:spacing w:after="0" w:line="240" w:lineRule="auto"/>
              <w:rPr>
                <w:rFonts w:ascii="Calibri" w:hAnsi="Calibri"/>
                <w:b/>
                <w:bCs/>
                <w:color w:val="FFFFFF" w:themeColor="background1"/>
              </w:rPr>
            </w:pPr>
            <w:r>
              <w:rPr>
                <w:rFonts w:ascii="Calibri" w:hAnsi="Calibri"/>
                <w:b/>
                <w:color w:val="FFFFFF" w:themeColor="background1"/>
              </w:rPr>
              <w:t>Résumé des responsabilités de haut niveau</w:t>
            </w:r>
          </w:p>
        </w:tc>
        <w:tc>
          <w:tcPr>
            <w:tcW w:w="531" w:type="dxa"/>
            <w:tcBorders>
              <w:top w:val="single" w:sz="4" w:space="0" w:color="auto"/>
              <w:left w:val="single" w:sz="4" w:space="0" w:color="auto"/>
              <w:bottom w:val="single" w:sz="4" w:space="0" w:color="auto"/>
              <w:right w:val="single" w:sz="4" w:space="0" w:color="auto"/>
            </w:tcBorders>
            <w:shd w:val="clear" w:color="000000" w:fill="C4BD97"/>
            <w:noWrap/>
            <w:textDirection w:val="btLr"/>
            <w:vAlign w:val="center"/>
            <w:hideMark/>
          </w:tcPr>
          <w:p w14:paraId="18D96235" w14:textId="6F701698" w:rsidR="00805D73" w:rsidRPr="00654FCE" w:rsidRDefault="00805D73" w:rsidP="00654FCE">
            <w:pPr>
              <w:pStyle w:val="TableText"/>
              <w:rPr>
                <w:b/>
              </w:rPr>
            </w:pPr>
            <w:r>
              <w:rPr>
                <w:b/>
              </w:rPr>
              <w:t xml:space="preserve"> DDPI du SCT</w:t>
            </w:r>
          </w:p>
        </w:tc>
        <w:tc>
          <w:tcPr>
            <w:tcW w:w="532" w:type="dxa"/>
            <w:tcBorders>
              <w:top w:val="single" w:sz="4" w:space="0" w:color="auto"/>
              <w:left w:val="single" w:sz="4" w:space="0" w:color="auto"/>
              <w:bottom w:val="single" w:sz="4" w:space="0" w:color="auto"/>
              <w:right w:val="single" w:sz="4" w:space="0" w:color="auto"/>
            </w:tcBorders>
            <w:shd w:val="clear" w:color="000000" w:fill="8DB4E2"/>
            <w:textDirection w:val="btLr"/>
            <w:vAlign w:val="center"/>
            <w:hideMark/>
          </w:tcPr>
          <w:p w14:paraId="669959C7" w14:textId="4BC8BECC" w:rsidR="00805D73" w:rsidRPr="00654FCE" w:rsidRDefault="00805D73" w:rsidP="00654FCE">
            <w:pPr>
              <w:pStyle w:val="TableText"/>
              <w:rPr>
                <w:b/>
              </w:rPr>
            </w:pPr>
            <w:r>
              <w:rPr>
                <w:b/>
              </w:rPr>
              <w:t xml:space="preserve"> SPC</w:t>
            </w:r>
          </w:p>
        </w:tc>
        <w:tc>
          <w:tcPr>
            <w:tcW w:w="532" w:type="dxa"/>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vAlign w:val="center"/>
          </w:tcPr>
          <w:p w14:paraId="3EB8CD13" w14:textId="32094599" w:rsidR="00805D73" w:rsidRDefault="00805D73" w:rsidP="00654FCE">
            <w:pPr>
              <w:pStyle w:val="TableText"/>
              <w:rPr>
                <w:b/>
              </w:rPr>
            </w:pPr>
            <w:r>
              <w:rPr>
                <w:b/>
              </w:rPr>
              <w:t xml:space="preserve"> CST</w:t>
            </w:r>
          </w:p>
        </w:tc>
        <w:tc>
          <w:tcPr>
            <w:tcW w:w="532" w:type="dxa"/>
            <w:tcBorders>
              <w:top w:val="single" w:sz="4" w:space="0" w:color="auto"/>
              <w:left w:val="single" w:sz="4" w:space="0" w:color="auto"/>
              <w:bottom w:val="single" w:sz="4" w:space="0" w:color="auto"/>
              <w:right w:val="single" w:sz="4" w:space="0" w:color="auto"/>
            </w:tcBorders>
            <w:shd w:val="clear" w:color="000000" w:fill="76933C"/>
            <w:textDirection w:val="btLr"/>
            <w:vAlign w:val="center"/>
            <w:hideMark/>
          </w:tcPr>
          <w:p w14:paraId="24160EEC" w14:textId="2FBB47A8" w:rsidR="00805D73" w:rsidRPr="00654FCE" w:rsidRDefault="00805D73" w:rsidP="00654FCE">
            <w:pPr>
              <w:pStyle w:val="TableText"/>
              <w:rPr>
                <w:b/>
              </w:rPr>
            </w:pPr>
            <w:r>
              <w:rPr>
                <w:b/>
              </w:rPr>
              <w:t xml:space="preserve"> SPAC</w:t>
            </w:r>
          </w:p>
        </w:tc>
        <w:tc>
          <w:tcPr>
            <w:tcW w:w="532" w:type="dxa"/>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btLr"/>
            <w:vAlign w:val="center"/>
          </w:tcPr>
          <w:p w14:paraId="38D0AAF3" w14:textId="39F2EBC7" w:rsidR="00805D73" w:rsidRPr="00654FCE" w:rsidRDefault="00805D73" w:rsidP="00654FCE">
            <w:pPr>
              <w:pStyle w:val="TableText"/>
              <w:rPr>
                <w:b/>
              </w:rPr>
            </w:pPr>
            <w:r>
              <w:rPr>
                <w:b/>
              </w:rPr>
              <w:t xml:space="preserve"> GRC</w:t>
            </w:r>
          </w:p>
        </w:tc>
        <w:tc>
          <w:tcPr>
            <w:tcW w:w="532" w:type="dxa"/>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14:paraId="2EEBA674" w14:textId="04A963A2" w:rsidR="00805D73" w:rsidRPr="00654FCE" w:rsidRDefault="00805D73" w:rsidP="00654FCE">
            <w:pPr>
              <w:pStyle w:val="TableText"/>
              <w:rPr>
                <w:b/>
              </w:rPr>
            </w:pPr>
            <w:r>
              <w:rPr>
                <w:b/>
              </w:rPr>
              <w:t xml:space="preserve"> </w:t>
            </w:r>
            <w:r>
              <w:rPr>
                <w:b/>
                <w:sz w:val="18"/>
              </w:rPr>
              <w:t>Ministères et agences</w:t>
            </w:r>
            <w:r>
              <w:rPr>
                <w:b/>
              </w:rPr>
              <w:t xml:space="preserve"> </w:t>
            </w:r>
          </w:p>
        </w:tc>
      </w:tr>
      <w:tr w:rsidR="00805D73" w:rsidRPr="00392164" w14:paraId="1D2FB8AE" w14:textId="77777777" w:rsidTr="00D92E1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30389413" w14:textId="77777777" w:rsidR="00805D73" w:rsidRPr="00A17157" w:rsidRDefault="00805D73" w:rsidP="00654FCE">
            <w:pPr>
              <w:spacing w:after="0" w:line="240" w:lineRule="auto"/>
              <w:rPr>
                <w:rFonts w:ascii="Calibri" w:hAnsi="Calibri"/>
                <w:bCs/>
                <w:color w:val="000000"/>
              </w:rPr>
            </w:pPr>
            <w:r>
              <w:rPr>
                <w:rFonts w:ascii="Calibri" w:hAnsi="Calibri"/>
                <w:color w:val="000000"/>
              </w:rPr>
              <w:t>1</w:t>
            </w:r>
          </w:p>
        </w:tc>
        <w:tc>
          <w:tcPr>
            <w:tcW w:w="5940" w:type="dxa"/>
            <w:tcBorders>
              <w:top w:val="single" w:sz="4" w:space="0" w:color="auto"/>
              <w:left w:val="single" w:sz="4" w:space="0" w:color="auto"/>
              <w:bottom w:val="single" w:sz="4" w:space="0" w:color="auto"/>
              <w:right w:val="single" w:sz="4" w:space="0" w:color="auto"/>
            </w:tcBorders>
            <w:shd w:val="clear" w:color="auto" w:fill="auto"/>
            <w:noWrap/>
            <w:hideMark/>
          </w:tcPr>
          <w:p w14:paraId="05955EB1" w14:textId="11742941" w:rsidR="00805D73" w:rsidRPr="00A17157" w:rsidRDefault="00805D73" w:rsidP="00654FCE">
            <w:pPr>
              <w:spacing w:after="0" w:line="240" w:lineRule="auto"/>
              <w:rPr>
                <w:rFonts w:ascii="Calibri" w:hAnsi="Calibri"/>
                <w:bCs/>
                <w:color w:val="000000"/>
              </w:rPr>
            </w:pPr>
            <w:r>
              <w:t>Établir une gouvernance de l’informatique en nuage à l’échelle du GC</w:t>
            </w:r>
          </w:p>
        </w:tc>
        <w:tc>
          <w:tcPr>
            <w:tcW w:w="531" w:type="dxa"/>
            <w:tcBorders>
              <w:top w:val="single" w:sz="4" w:space="0" w:color="auto"/>
              <w:left w:val="nil"/>
              <w:bottom w:val="single" w:sz="4" w:space="0" w:color="auto"/>
              <w:right w:val="single" w:sz="4" w:space="0" w:color="auto"/>
            </w:tcBorders>
            <w:shd w:val="clear" w:color="000000" w:fill="C4BD97"/>
            <w:noWrap/>
            <w:hideMark/>
          </w:tcPr>
          <w:p w14:paraId="18504727" w14:textId="281CF932" w:rsidR="00805D73" w:rsidRPr="00392164" w:rsidRDefault="00805D73"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c>
          <w:tcPr>
            <w:tcW w:w="532" w:type="dxa"/>
            <w:tcBorders>
              <w:top w:val="single" w:sz="4" w:space="0" w:color="auto"/>
              <w:left w:val="nil"/>
              <w:bottom w:val="single" w:sz="4" w:space="0" w:color="auto"/>
              <w:right w:val="single" w:sz="4" w:space="0" w:color="auto"/>
            </w:tcBorders>
            <w:shd w:val="clear" w:color="000000" w:fill="8DB4E2"/>
            <w:noWrap/>
            <w:hideMark/>
          </w:tcPr>
          <w:p w14:paraId="5AC66C39" w14:textId="1F9CB678" w:rsidR="00805D73" w:rsidRPr="00392164" w:rsidRDefault="00805D73"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66A97EF6" w14:textId="28BFD041" w:rsidR="00805D73" w:rsidRDefault="00805D73"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single" w:sz="4" w:space="0" w:color="auto"/>
              <w:left w:val="single" w:sz="4" w:space="0" w:color="auto"/>
              <w:bottom w:val="single" w:sz="4" w:space="0" w:color="auto"/>
              <w:right w:val="single" w:sz="4" w:space="0" w:color="auto"/>
            </w:tcBorders>
            <w:shd w:val="clear" w:color="000000" w:fill="76933C"/>
            <w:noWrap/>
            <w:hideMark/>
          </w:tcPr>
          <w:p w14:paraId="0932A45F" w14:textId="52A031F6" w:rsidR="00805D73" w:rsidRPr="00392164" w:rsidRDefault="00805D73"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4C0A5733" w14:textId="66A556DB" w:rsidR="00805D73" w:rsidRPr="00392164" w:rsidRDefault="00805D73"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single" w:sz="4" w:space="0" w:color="auto"/>
              <w:bottom w:val="single" w:sz="4" w:space="0" w:color="auto"/>
              <w:right w:val="single" w:sz="4" w:space="0" w:color="auto"/>
            </w:tcBorders>
            <w:shd w:val="clear" w:color="000000" w:fill="B1A0C7"/>
            <w:noWrap/>
            <w:hideMark/>
          </w:tcPr>
          <w:p w14:paraId="6B970F38" w14:textId="152FD68C" w:rsidR="00805D73" w:rsidRPr="00392164" w:rsidRDefault="00805D73" w:rsidP="00654FCE">
            <w:pPr>
              <w:spacing w:after="0" w:line="240" w:lineRule="auto"/>
              <w:jc w:val="center"/>
              <w:rPr>
                <w:rFonts w:ascii="Calibri" w:hAnsi="Calibri"/>
                <w:b/>
                <w:bCs/>
                <w:color w:val="000000"/>
              </w:rPr>
            </w:pPr>
            <w:r>
              <w:rPr>
                <w:rFonts w:ascii="Calibri" w:hAnsi="Calibri"/>
                <w:b/>
                <w:color w:val="000000"/>
              </w:rPr>
              <w:t>C</w:t>
            </w:r>
          </w:p>
        </w:tc>
      </w:tr>
      <w:tr w:rsidR="00805D73" w:rsidRPr="00392164" w14:paraId="511985F7" w14:textId="77777777" w:rsidTr="00D92E1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4ACC9CE3" w14:textId="77777777" w:rsidR="00805D73" w:rsidRPr="00A17157" w:rsidRDefault="00805D73" w:rsidP="00654FCE">
            <w:pPr>
              <w:spacing w:after="0" w:line="240" w:lineRule="auto"/>
              <w:rPr>
                <w:rFonts w:ascii="Calibri" w:hAnsi="Calibri"/>
                <w:bCs/>
                <w:color w:val="000000"/>
              </w:rPr>
            </w:pPr>
            <w:r>
              <w:rPr>
                <w:rFonts w:ascii="Calibri" w:hAnsi="Calibri"/>
                <w:color w:val="000000"/>
              </w:rPr>
              <w:t>2</w:t>
            </w:r>
          </w:p>
        </w:tc>
        <w:tc>
          <w:tcPr>
            <w:tcW w:w="5940" w:type="dxa"/>
            <w:tcBorders>
              <w:top w:val="nil"/>
              <w:left w:val="single" w:sz="4" w:space="0" w:color="auto"/>
              <w:bottom w:val="single" w:sz="4" w:space="0" w:color="auto"/>
              <w:right w:val="single" w:sz="4" w:space="0" w:color="auto"/>
            </w:tcBorders>
            <w:shd w:val="clear" w:color="auto" w:fill="auto"/>
            <w:noWrap/>
            <w:hideMark/>
          </w:tcPr>
          <w:p w14:paraId="26AB9AB7" w14:textId="41677111" w:rsidR="00805D73" w:rsidRPr="00A17157" w:rsidRDefault="00805D73" w:rsidP="00654FCE">
            <w:pPr>
              <w:spacing w:after="0" w:line="240" w:lineRule="auto"/>
              <w:rPr>
                <w:rFonts w:ascii="Calibri" w:hAnsi="Calibri"/>
                <w:bCs/>
                <w:color w:val="000000"/>
              </w:rPr>
            </w:pPr>
            <w:r>
              <w:t>Établir un cadre d’adoption de l’informatique en nuage à l’échelle du GC</w:t>
            </w:r>
          </w:p>
        </w:tc>
        <w:tc>
          <w:tcPr>
            <w:tcW w:w="531" w:type="dxa"/>
            <w:tcBorders>
              <w:top w:val="nil"/>
              <w:left w:val="nil"/>
              <w:bottom w:val="single" w:sz="4" w:space="0" w:color="auto"/>
              <w:right w:val="single" w:sz="4" w:space="0" w:color="auto"/>
            </w:tcBorders>
            <w:shd w:val="clear" w:color="000000" w:fill="C4BD97"/>
            <w:noWrap/>
            <w:hideMark/>
          </w:tcPr>
          <w:p w14:paraId="640E502B" w14:textId="15CD98DD" w:rsidR="00805D73" w:rsidRPr="00392164" w:rsidRDefault="00805D73"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c>
          <w:tcPr>
            <w:tcW w:w="532" w:type="dxa"/>
            <w:tcBorders>
              <w:top w:val="nil"/>
              <w:left w:val="nil"/>
              <w:bottom w:val="single" w:sz="4" w:space="0" w:color="auto"/>
              <w:right w:val="single" w:sz="4" w:space="0" w:color="auto"/>
            </w:tcBorders>
            <w:shd w:val="clear" w:color="000000" w:fill="8DB4E2"/>
            <w:noWrap/>
            <w:hideMark/>
          </w:tcPr>
          <w:p w14:paraId="14267B88" w14:textId="1784CEFF" w:rsidR="00805D73" w:rsidRPr="00392164" w:rsidRDefault="00805D73"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1CD28725" w14:textId="61A52700" w:rsidR="00805D73" w:rsidRDefault="00805D73"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235DD831" w14:textId="0F787FFB" w:rsidR="00805D73" w:rsidRPr="00392164" w:rsidRDefault="00805D73"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AD3A5BF" w14:textId="14226CE9" w:rsidR="00805D73" w:rsidRPr="00392164" w:rsidRDefault="00805D73"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20394BB1" w14:textId="59BA0740" w:rsidR="00805D73" w:rsidRPr="00392164" w:rsidRDefault="00805D73" w:rsidP="00654FCE">
            <w:pPr>
              <w:spacing w:after="0" w:line="240" w:lineRule="auto"/>
              <w:jc w:val="center"/>
              <w:rPr>
                <w:rFonts w:ascii="Calibri" w:hAnsi="Calibri"/>
                <w:b/>
                <w:bCs/>
                <w:color w:val="000000"/>
              </w:rPr>
            </w:pPr>
            <w:r>
              <w:rPr>
                <w:rFonts w:ascii="Calibri" w:hAnsi="Calibri"/>
                <w:b/>
                <w:color w:val="000000"/>
              </w:rPr>
              <w:t>C</w:t>
            </w:r>
          </w:p>
        </w:tc>
      </w:tr>
      <w:tr w:rsidR="009F09AF" w:rsidRPr="00392164" w14:paraId="3518401A" w14:textId="77777777" w:rsidTr="00D92E1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8233EA" w14:textId="61B691D8" w:rsidR="009F09AF" w:rsidRPr="00A17157" w:rsidRDefault="009F09AF" w:rsidP="00654FCE">
            <w:pPr>
              <w:spacing w:after="0" w:line="240" w:lineRule="auto"/>
              <w:rPr>
                <w:rFonts w:ascii="Calibri" w:hAnsi="Calibri"/>
                <w:bCs/>
                <w:color w:val="000000"/>
              </w:rPr>
            </w:pPr>
            <w:r>
              <w:rPr>
                <w:rFonts w:ascii="Calibri" w:hAnsi="Calibri"/>
                <w:color w:val="000000"/>
              </w:rPr>
              <w:t>3</w:t>
            </w:r>
          </w:p>
        </w:tc>
        <w:tc>
          <w:tcPr>
            <w:tcW w:w="5940" w:type="dxa"/>
            <w:tcBorders>
              <w:top w:val="nil"/>
              <w:left w:val="single" w:sz="4" w:space="0" w:color="auto"/>
              <w:bottom w:val="single" w:sz="4" w:space="0" w:color="auto"/>
              <w:right w:val="single" w:sz="4" w:space="0" w:color="auto"/>
            </w:tcBorders>
            <w:shd w:val="clear" w:color="auto" w:fill="auto"/>
            <w:noWrap/>
          </w:tcPr>
          <w:p w14:paraId="4B0E4F3B" w14:textId="5CFB6115" w:rsidR="009F09AF" w:rsidRPr="00B419D8" w:rsidRDefault="009F09AF" w:rsidP="00654FCE">
            <w:pPr>
              <w:spacing w:after="0" w:line="240" w:lineRule="auto"/>
            </w:pPr>
            <w:r>
              <w:t>Établir une garantie de sécurité par un tiers</w:t>
            </w:r>
          </w:p>
        </w:tc>
        <w:tc>
          <w:tcPr>
            <w:tcW w:w="531" w:type="dxa"/>
            <w:tcBorders>
              <w:top w:val="nil"/>
              <w:left w:val="nil"/>
              <w:bottom w:val="single" w:sz="4" w:space="0" w:color="auto"/>
              <w:right w:val="single" w:sz="4" w:space="0" w:color="auto"/>
            </w:tcBorders>
            <w:shd w:val="clear" w:color="000000" w:fill="C4BD97"/>
            <w:noWrap/>
          </w:tcPr>
          <w:p w14:paraId="7F025F40" w14:textId="02B146A2"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nil"/>
              <w:left w:val="nil"/>
              <w:bottom w:val="single" w:sz="4" w:space="0" w:color="auto"/>
              <w:right w:val="single" w:sz="4" w:space="0" w:color="auto"/>
            </w:tcBorders>
            <w:shd w:val="clear" w:color="000000" w:fill="8DB4E2"/>
            <w:noWrap/>
          </w:tcPr>
          <w:p w14:paraId="190D0BC5" w14:textId="4E13A8AE"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24893F3D" w14:textId="4713AAE3" w:rsidR="009F09AF" w:rsidRDefault="009F09AF" w:rsidP="00F83519">
            <w:pPr>
              <w:spacing w:after="0" w:line="240" w:lineRule="auto"/>
              <w:jc w:val="center"/>
              <w:rPr>
                <w:rFonts w:ascii="Calibri" w:hAnsi="Calibri" w:cs="Calibri"/>
                <w:b/>
                <w:bCs/>
                <w:color w:val="000000"/>
              </w:rPr>
            </w:pPr>
            <w:proofErr w:type="gramStart"/>
            <w:r>
              <w:rPr>
                <w:rFonts w:ascii="Calibri" w:hAnsi="Calibri"/>
                <w:b/>
                <w:color w:val="000000"/>
              </w:rPr>
              <w:t>A,R</w:t>
            </w:r>
            <w:proofErr w:type="gramEnd"/>
          </w:p>
        </w:tc>
        <w:tc>
          <w:tcPr>
            <w:tcW w:w="532" w:type="dxa"/>
            <w:tcBorders>
              <w:top w:val="nil"/>
              <w:left w:val="single" w:sz="4" w:space="0" w:color="auto"/>
              <w:bottom w:val="single" w:sz="4" w:space="0" w:color="auto"/>
              <w:right w:val="single" w:sz="4" w:space="0" w:color="auto"/>
            </w:tcBorders>
            <w:shd w:val="clear" w:color="000000" w:fill="76933C"/>
            <w:noWrap/>
          </w:tcPr>
          <w:p w14:paraId="404BC341" w14:textId="789A008A"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58E6204" w14:textId="51BDA455"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B1A0C7"/>
            <w:noWrap/>
          </w:tcPr>
          <w:p w14:paraId="3252FF48" w14:textId="73563D13"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r>
      <w:tr w:rsidR="009F09AF" w:rsidRPr="00392164" w14:paraId="29CEE0E3" w14:textId="77777777" w:rsidTr="00F8351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B352534" w14:textId="1768557A" w:rsidR="009F09AF" w:rsidRPr="00A17157" w:rsidRDefault="009F09AF" w:rsidP="00654FCE">
            <w:pPr>
              <w:spacing w:after="0" w:line="240" w:lineRule="auto"/>
              <w:rPr>
                <w:rFonts w:ascii="Calibri" w:hAnsi="Calibri"/>
                <w:bCs/>
                <w:color w:val="000000"/>
              </w:rPr>
            </w:pPr>
            <w:r>
              <w:rPr>
                <w:rFonts w:ascii="Calibri" w:hAnsi="Calibri"/>
                <w:color w:val="000000"/>
              </w:rPr>
              <w:t>4</w:t>
            </w:r>
          </w:p>
        </w:tc>
        <w:tc>
          <w:tcPr>
            <w:tcW w:w="5940" w:type="dxa"/>
            <w:tcBorders>
              <w:top w:val="nil"/>
              <w:left w:val="single" w:sz="4" w:space="0" w:color="auto"/>
              <w:bottom w:val="single" w:sz="4" w:space="0" w:color="auto"/>
              <w:right w:val="single" w:sz="4" w:space="0" w:color="auto"/>
            </w:tcBorders>
            <w:shd w:val="clear" w:color="auto" w:fill="auto"/>
            <w:noWrap/>
            <w:hideMark/>
          </w:tcPr>
          <w:p w14:paraId="20E118E1" w14:textId="588FB0F0" w:rsidR="009F09AF" w:rsidRPr="00A17157" w:rsidRDefault="009F09AF" w:rsidP="00654FCE">
            <w:pPr>
              <w:spacing w:after="0" w:line="240" w:lineRule="auto"/>
              <w:rPr>
                <w:rFonts w:ascii="Calibri" w:hAnsi="Calibri"/>
                <w:bCs/>
                <w:color w:val="000000"/>
              </w:rPr>
            </w:pPr>
            <w:r>
              <w:t>Acquérir des services infonuagiques commerciaux</w:t>
            </w:r>
          </w:p>
        </w:tc>
        <w:tc>
          <w:tcPr>
            <w:tcW w:w="531" w:type="dxa"/>
            <w:tcBorders>
              <w:top w:val="nil"/>
              <w:left w:val="nil"/>
              <w:bottom w:val="single" w:sz="4" w:space="0" w:color="auto"/>
              <w:right w:val="single" w:sz="4" w:space="0" w:color="auto"/>
            </w:tcBorders>
            <w:shd w:val="clear" w:color="000000" w:fill="C4BD97"/>
            <w:noWrap/>
            <w:hideMark/>
          </w:tcPr>
          <w:p w14:paraId="48AC0B1B" w14:textId="552B21C9"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0B32E8D9" w14:textId="6C0BDFBB"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6E0FAD23" w14:textId="17D61F97"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3B1B7EBC" w14:textId="18A3F72C"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29A78C72" w14:textId="5B7737C3"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4650EE32" w14:textId="4696DE22"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r>
      <w:tr w:rsidR="009F09AF" w:rsidRPr="00392164" w14:paraId="1D79BEAF" w14:textId="77777777" w:rsidTr="00F8351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962D73" w14:textId="654E2242" w:rsidR="009F09AF" w:rsidRPr="00A17157" w:rsidRDefault="009F09AF" w:rsidP="00654FCE">
            <w:pPr>
              <w:spacing w:after="0" w:line="240" w:lineRule="auto"/>
              <w:rPr>
                <w:rFonts w:ascii="Calibri" w:hAnsi="Calibri"/>
                <w:bCs/>
                <w:color w:val="000000"/>
              </w:rPr>
            </w:pPr>
            <w:r>
              <w:rPr>
                <w:rFonts w:ascii="Calibri" w:hAnsi="Calibri"/>
                <w:color w:val="000000"/>
              </w:rPr>
              <w:t>5</w:t>
            </w:r>
          </w:p>
        </w:tc>
        <w:tc>
          <w:tcPr>
            <w:tcW w:w="5940" w:type="dxa"/>
            <w:tcBorders>
              <w:top w:val="nil"/>
              <w:left w:val="nil"/>
              <w:bottom w:val="single" w:sz="4" w:space="0" w:color="auto"/>
              <w:right w:val="single" w:sz="4" w:space="0" w:color="auto"/>
            </w:tcBorders>
            <w:shd w:val="clear" w:color="auto" w:fill="auto"/>
            <w:noWrap/>
            <w:hideMark/>
          </w:tcPr>
          <w:p w14:paraId="1C5A451C" w14:textId="552864D4" w:rsidR="009F09AF" w:rsidRPr="00A17157" w:rsidRDefault="009F09AF" w:rsidP="00654FCE">
            <w:pPr>
              <w:spacing w:after="0" w:line="240" w:lineRule="auto"/>
              <w:rPr>
                <w:rFonts w:ascii="Calibri" w:hAnsi="Calibri"/>
                <w:bCs/>
                <w:color w:val="000000"/>
              </w:rPr>
            </w:pPr>
            <w:r>
              <w:t>Fournir des services de courtage en informatique en nuage du GC</w:t>
            </w:r>
          </w:p>
        </w:tc>
        <w:tc>
          <w:tcPr>
            <w:tcW w:w="531" w:type="dxa"/>
            <w:tcBorders>
              <w:top w:val="nil"/>
              <w:left w:val="nil"/>
              <w:bottom w:val="single" w:sz="4" w:space="0" w:color="auto"/>
              <w:right w:val="single" w:sz="4" w:space="0" w:color="auto"/>
            </w:tcBorders>
            <w:shd w:val="clear" w:color="000000" w:fill="C4BD97"/>
            <w:noWrap/>
            <w:hideMark/>
          </w:tcPr>
          <w:p w14:paraId="5600F100" w14:textId="0844967C"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7D2A8089" w14:textId="22E5C9F3"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31A8769C" w14:textId="0C86AF9D"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62920B6B" w14:textId="6A71FA9E"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4128707C" w14:textId="4EB082A2"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2AD08B38" w14:textId="22778634"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r>
      <w:tr w:rsidR="009F09AF" w:rsidRPr="00392164" w14:paraId="23549623"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62950328" w14:textId="01851E90" w:rsidR="009F09AF" w:rsidRPr="00A17157" w:rsidRDefault="009F09AF" w:rsidP="00654FCE">
            <w:pPr>
              <w:spacing w:after="0" w:line="240" w:lineRule="auto"/>
              <w:rPr>
                <w:rFonts w:ascii="Calibri" w:hAnsi="Calibri"/>
                <w:bCs/>
                <w:color w:val="000000"/>
              </w:rPr>
            </w:pPr>
            <w:r>
              <w:rPr>
                <w:rFonts w:ascii="Calibri" w:hAnsi="Calibri"/>
                <w:color w:val="000000"/>
              </w:rPr>
              <w:t>6</w:t>
            </w:r>
          </w:p>
        </w:tc>
        <w:tc>
          <w:tcPr>
            <w:tcW w:w="5940" w:type="dxa"/>
            <w:tcBorders>
              <w:top w:val="nil"/>
              <w:left w:val="nil"/>
              <w:bottom w:val="single" w:sz="4" w:space="0" w:color="auto"/>
              <w:right w:val="single" w:sz="4" w:space="0" w:color="auto"/>
            </w:tcBorders>
            <w:shd w:val="clear" w:color="auto" w:fill="auto"/>
            <w:noWrap/>
            <w:hideMark/>
          </w:tcPr>
          <w:p w14:paraId="09A70F98" w14:textId="1240B57C" w:rsidR="009F09AF" w:rsidRPr="00A17157" w:rsidRDefault="009F09AF" w:rsidP="00654FCE">
            <w:pPr>
              <w:spacing w:after="0" w:line="240" w:lineRule="auto"/>
              <w:rPr>
                <w:rFonts w:ascii="Calibri" w:hAnsi="Calibri"/>
                <w:bCs/>
                <w:color w:val="000000"/>
              </w:rPr>
            </w:pPr>
            <w:r>
              <w:t>Fournir des services d’intégration de réseaux aux services infonuagiques</w:t>
            </w:r>
          </w:p>
        </w:tc>
        <w:tc>
          <w:tcPr>
            <w:tcW w:w="531" w:type="dxa"/>
            <w:tcBorders>
              <w:top w:val="nil"/>
              <w:left w:val="nil"/>
              <w:bottom w:val="single" w:sz="4" w:space="0" w:color="auto"/>
              <w:right w:val="single" w:sz="4" w:space="0" w:color="auto"/>
            </w:tcBorders>
            <w:shd w:val="clear" w:color="000000" w:fill="C4BD97"/>
            <w:noWrap/>
            <w:hideMark/>
          </w:tcPr>
          <w:p w14:paraId="55C67E73" w14:textId="47A47A2D"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3AEDD7A5" w14:textId="10426ABB"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3E39CBE9" w14:textId="260BBFA7"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5176B4EC" w14:textId="26DB1823" w:rsidR="009F09AF" w:rsidRPr="00392164" w:rsidRDefault="009F09AF" w:rsidP="00654FCE">
            <w:pPr>
              <w:spacing w:after="0" w:line="240" w:lineRule="auto"/>
              <w:jc w:val="center"/>
              <w:rPr>
                <w:rFonts w:ascii="Calibri" w:hAnsi="Calibri"/>
                <w:b/>
                <w:bCs/>
                <w:color w:val="000000"/>
              </w:rPr>
            </w:pPr>
            <w:r>
              <w:rPr>
                <w:rFonts w:ascii="Calibri" w:hAnsi="Calibri"/>
                <w:b/>
                <w:color w:val="000000"/>
              </w:rPr>
              <w:t> </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24CA86C" w14:textId="44010671" w:rsidR="009F09AF" w:rsidRPr="00392164" w:rsidRDefault="009F09AF" w:rsidP="00654FCE">
            <w:pPr>
              <w:spacing w:after="0" w:line="240" w:lineRule="auto"/>
              <w:jc w:val="center"/>
              <w:rPr>
                <w:rFonts w:ascii="Calibri" w:hAnsi="Calibri"/>
                <w:b/>
                <w:bCs/>
                <w:color w:val="000000"/>
              </w:rPr>
            </w:pPr>
            <w:r>
              <w:rPr>
                <w:rFonts w:ascii="Calibri" w:hAnsi="Calibri"/>
                <w:color w:val="000000"/>
              </w:rPr>
              <w:t> </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0CD35AF1" w14:textId="023CAB5F"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r>
      <w:tr w:rsidR="009F09AF" w:rsidRPr="00392164" w14:paraId="49AC2453"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7F10743C" w14:textId="6AF232F5" w:rsidR="009F09AF" w:rsidRPr="00A17157" w:rsidRDefault="009F09AF" w:rsidP="00654FCE">
            <w:pPr>
              <w:spacing w:after="0" w:line="240" w:lineRule="auto"/>
              <w:rPr>
                <w:rFonts w:ascii="Calibri" w:hAnsi="Calibri"/>
                <w:bCs/>
                <w:color w:val="000000"/>
              </w:rPr>
            </w:pPr>
            <w:r>
              <w:rPr>
                <w:rFonts w:ascii="Calibri" w:hAnsi="Calibri"/>
                <w:color w:val="000000"/>
              </w:rPr>
              <w:t>7</w:t>
            </w:r>
          </w:p>
        </w:tc>
        <w:tc>
          <w:tcPr>
            <w:tcW w:w="5940" w:type="dxa"/>
            <w:tcBorders>
              <w:top w:val="nil"/>
              <w:left w:val="nil"/>
              <w:bottom w:val="single" w:sz="4" w:space="0" w:color="auto"/>
              <w:right w:val="single" w:sz="4" w:space="0" w:color="auto"/>
            </w:tcBorders>
            <w:shd w:val="clear" w:color="auto" w:fill="auto"/>
            <w:noWrap/>
            <w:hideMark/>
          </w:tcPr>
          <w:p w14:paraId="3548127D" w14:textId="45B149DC" w:rsidR="009F09AF" w:rsidRPr="00A17157" w:rsidRDefault="009F09AF" w:rsidP="00654FCE">
            <w:pPr>
              <w:spacing w:after="0" w:line="240" w:lineRule="auto"/>
              <w:rPr>
                <w:rFonts w:ascii="Calibri" w:hAnsi="Calibri"/>
                <w:bCs/>
                <w:color w:val="000000"/>
              </w:rPr>
            </w:pPr>
            <w:r>
              <w:t>Fournir la GIJIA aux services dans le nuage</w:t>
            </w:r>
          </w:p>
        </w:tc>
        <w:tc>
          <w:tcPr>
            <w:tcW w:w="531" w:type="dxa"/>
            <w:tcBorders>
              <w:top w:val="nil"/>
              <w:left w:val="nil"/>
              <w:bottom w:val="single" w:sz="4" w:space="0" w:color="auto"/>
              <w:right w:val="single" w:sz="4" w:space="0" w:color="auto"/>
            </w:tcBorders>
            <w:shd w:val="clear" w:color="000000" w:fill="C4BD97"/>
            <w:noWrap/>
            <w:hideMark/>
          </w:tcPr>
          <w:p w14:paraId="1FA19F82" w14:textId="16C3B5A7"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16710BA1" w14:textId="7AE63281"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0B167D26" w14:textId="2BC42430"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09D7EB52" w14:textId="4A507147" w:rsidR="009F09AF" w:rsidRPr="00392164" w:rsidRDefault="009F09AF" w:rsidP="00654FCE">
            <w:pPr>
              <w:spacing w:after="0" w:line="240" w:lineRule="auto"/>
              <w:jc w:val="center"/>
              <w:rPr>
                <w:rFonts w:ascii="Calibri" w:hAnsi="Calibri"/>
                <w:b/>
                <w:bCs/>
                <w:color w:val="000000"/>
              </w:rPr>
            </w:pPr>
            <w:r>
              <w:rPr>
                <w:rFonts w:ascii="Calibri" w:hAnsi="Calibri"/>
                <w:b/>
                <w:color w:val="000000"/>
              </w:rPr>
              <w:t> </w:t>
            </w: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3466AC6" w14:textId="11818301" w:rsidR="009F09AF" w:rsidRPr="00392164" w:rsidRDefault="009F09AF" w:rsidP="00654FCE">
            <w:pPr>
              <w:spacing w:after="0" w:line="240" w:lineRule="auto"/>
              <w:jc w:val="center"/>
              <w:rPr>
                <w:rFonts w:ascii="Calibri" w:hAnsi="Calibri"/>
                <w:b/>
                <w:bCs/>
                <w:color w:val="000000"/>
              </w:rPr>
            </w:pPr>
            <w:r>
              <w:rPr>
                <w:rFonts w:ascii="Calibri" w:hAnsi="Calibri"/>
                <w:color w:val="000000"/>
              </w:rPr>
              <w:t> </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1FB6FA46" w14:textId="6EAE8E35"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r>
      <w:tr w:rsidR="009F09AF" w:rsidRPr="00392164" w14:paraId="7B36BF0C"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6BFA5645" w14:textId="6899C721" w:rsidR="009F09AF" w:rsidRPr="00A17157" w:rsidRDefault="009F09AF" w:rsidP="00654FCE">
            <w:pPr>
              <w:spacing w:after="0" w:line="240" w:lineRule="auto"/>
              <w:rPr>
                <w:rFonts w:ascii="Calibri" w:hAnsi="Calibri"/>
                <w:bCs/>
                <w:color w:val="000000"/>
              </w:rPr>
            </w:pPr>
            <w:r>
              <w:rPr>
                <w:rFonts w:ascii="Calibri" w:hAnsi="Calibri"/>
                <w:color w:val="000000"/>
              </w:rPr>
              <w:t>8</w:t>
            </w:r>
          </w:p>
        </w:tc>
        <w:tc>
          <w:tcPr>
            <w:tcW w:w="5940" w:type="dxa"/>
            <w:tcBorders>
              <w:top w:val="nil"/>
              <w:left w:val="nil"/>
              <w:bottom w:val="single" w:sz="4" w:space="0" w:color="auto"/>
              <w:right w:val="single" w:sz="4" w:space="0" w:color="auto"/>
            </w:tcBorders>
            <w:shd w:val="clear" w:color="auto" w:fill="auto"/>
            <w:noWrap/>
            <w:hideMark/>
          </w:tcPr>
          <w:p w14:paraId="7DCC9843" w14:textId="3EAA5A9D" w:rsidR="009F09AF" w:rsidRPr="00494D70" w:rsidRDefault="009F09AF" w:rsidP="00654FCE">
            <w:pPr>
              <w:spacing w:after="0" w:line="240" w:lineRule="auto"/>
            </w:pPr>
            <w:r>
              <w:t>Fournir un soutien à la mise en œuvre et au fonctionnement aux ministères</w:t>
            </w:r>
          </w:p>
        </w:tc>
        <w:tc>
          <w:tcPr>
            <w:tcW w:w="531" w:type="dxa"/>
            <w:tcBorders>
              <w:top w:val="nil"/>
              <w:left w:val="nil"/>
              <w:bottom w:val="single" w:sz="4" w:space="0" w:color="auto"/>
              <w:right w:val="single" w:sz="4" w:space="0" w:color="auto"/>
            </w:tcBorders>
            <w:shd w:val="clear" w:color="000000" w:fill="C4BD97"/>
            <w:noWrap/>
            <w:hideMark/>
          </w:tcPr>
          <w:p w14:paraId="18281CA0" w14:textId="5DA85C59"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55DEDFD2" w14:textId="325029E0"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3E3C8BC0" w14:textId="1EAD19F5" w:rsidR="009F09AF" w:rsidRPr="00392164" w:rsidRDefault="009F09AF" w:rsidP="00654FCE">
            <w:pPr>
              <w:spacing w:after="0" w:line="240" w:lineRule="auto"/>
              <w:jc w:val="center"/>
              <w:rPr>
                <w:rFonts w:ascii="Calibri" w:hAnsi="Calibri"/>
                <w:b/>
                <w:bCs/>
                <w:color w:val="000000"/>
              </w:rPr>
            </w:pPr>
            <w:r>
              <w:rPr>
                <w:rFonts w:ascii="Calibri" w:hAnsi="Calibri"/>
                <w:b/>
                <w:color w:val="000000"/>
              </w:rPr>
              <w:t>R</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623D4FE2" w14:textId="78CBD1CD"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1A2E6D0C" w14:textId="220C820E"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nil"/>
              <w:left w:val="single" w:sz="4" w:space="0" w:color="auto"/>
              <w:bottom w:val="single" w:sz="4" w:space="0" w:color="auto"/>
              <w:right w:val="single" w:sz="4" w:space="0" w:color="auto"/>
            </w:tcBorders>
            <w:shd w:val="clear" w:color="000000" w:fill="B1A0C7"/>
            <w:noWrap/>
            <w:hideMark/>
          </w:tcPr>
          <w:p w14:paraId="4133CC70" w14:textId="6E793865"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r>
      <w:tr w:rsidR="009F09AF" w:rsidRPr="00392164" w14:paraId="3E2D8900"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7E4C31CE" w14:textId="3B755AC0" w:rsidR="009F09AF" w:rsidRPr="00A17157" w:rsidRDefault="009F09AF" w:rsidP="00654FCE">
            <w:pPr>
              <w:spacing w:after="0" w:line="240" w:lineRule="auto"/>
              <w:rPr>
                <w:rFonts w:ascii="Calibri" w:hAnsi="Calibri"/>
                <w:bCs/>
                <w:color w:val="000000"/>
              </w:rPr>
            </w:pPr>
            <w:r>
              <w:rPr>
                <w:rFonts w:ascii="Calibri" w:hAnsi="Calibri"/>
                <w:color w:val="000000"/>
              </w:rPr>
              <w:t>9</w:t>
            </w:r>
          </w:p>
        </w:tc>
        <w:tc>
          <w:tcPr>
            <w:tcW w:w="5940" w:type="dxa"/>
            <w:tcBorders>
              <w:top w:val="nil"/>
              <w:left w:val="nil"/>
              <w:bottom w:val="single" w:sz="4" w:space="0" w:color="auto"/>
              <w:right w:val="single" w:sz="4" w:space="0" w:color="auto"/>
            </w:tcBorders>
            <w:shd w:val="clear" w:color="auto" w:fill="auto"/>
            <w:noWrap/>
            <w:hideMark/>
          </w:tcPr>
          <w:p w14:paraId="4C1FB52E" w14:textId="5AEECA46" w:rsidR="009F09AF" w:rsidRPr="00A17157" w:rsidRDefault="009F09AF" w:rsidP="00654FCE">
            <w:pPr>
              <w:spacing w:after="0" w:line="240" w:lineRule="auto"/>
              <w:rPr>
                <w:rFonts w:ascii="Calibri" w:hAnsi="Calibri"/>
                <w:bCs/>
                <w:color w:val="000000"/>
              </w:rPr>
            </w:pPr>
            <w:r>
              <w:t>Surveiller l’exploitation de l’informatique en nuage à l’échelle du GC</w:t>
            </w:r>
          </w:p>
        </w:tc>
        <w:tc>
          <w:tcPr>
            <w:tcW w:w="531" w:type="dxa"/>
            <w:tcBorders>
              <w:top w:val="nil"/>
              <w:left w:val="nil"/>
              <w:bottom w:val="single" w:sz="4" w:space="0" w:color="auto"/>
              <w:right w:val="single" w:sz="4" w:space="0" w:color="auto"/>
            </w:tcBorders>
            <w:shd w:val="clear" w:color="000000" w:fill="C4BD97"/>
            <w:noWrap/>
            <w:hideMark/>
          </w:tcPr>
          <w:p w14:paraId="17BD5942" w14:textId="31F84EC0"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56160A6C" w14:textId="6487691F"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6BAE1C68" w14:textId="71C9A1A5"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hideMark/>
          </w:tcPr>
          <w:p w14:paraId="269ABC16" w14:textId="33CA1C58"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41599755" w14:textId="50E85A32" w:rsidR="009F09AF" w:rsidRPr="00392164" w:rsidRDefault="009F09AF" w:rsidP="00654FCE">
            <w:pPr>
              <w:spacing w:after="0" w:line="240" w:lineRule="auto"/>
              <w:jc w:val="center"/>
              <w:rPr>
                <w:rFonts w:ascii="Calibri" w:hAnsi="Calibri"/>
                <w:b/>
                <w:bCs/>
                <w:color w:val="000000"/>
              </w:rPr>
            </w:pPr>
            <w:r>
              <w:rPr>
                <w:rFonts w:ascii="Calibri" w:hAnsi="Calibri"/>
                <w:color w:val="000000"/>
              </w:rPr>
              <w:t> </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202ECAF9" w14:textId="3052B827"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r>
      <w:tr w:rsidR="009F09AF" w:rsidRPr="00392164" w14:paraId="5BA0D400"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73ED96F8" w14:textId="20274C59" w:rsidR="009F09AF" w:rsidRPr="00A17157" w:rsidRDefault="009F09AF" w:rsidP="00654FCE">
            <w:pPr>
              <w:spacing w:after="0" w:line="240" w:lineRule="auto"/>
              <w:rPr>
                <w:rFonts w:ascii="Calibri" w:hAnsi="Calibri"/>
                <w:bCs/>
                <w:color w:val="000000"/>
              </w:rPr>
            </w:pPr>
            <w:r>
              <w:rPr>
                <w:rFonts w:ascii="Calibri" w:hAnsi="Calibri"/>
                <w:color w:val="000000"/>
              </w:rPr>
              <w:t>10</w:t>
            </w:r>
          </w:p>
        </w:tc>
        <w:tc>
          <w:tcPr>
            <w:tcW w:w="5940" w:type="dxa"/>
            <w:tcBorders>
              <w:top w:val="nil"/>
              <w:left w:val="nil"/>
              <w:bottom w:val="single" w:sz="4" w:space="0" w:color="auto"/>
              <w:right w:val="single" w:sz="4" w:space="0" w:color="auto"/>
            </w:tcBorders>
            <w:shd w:val="clear" w:color="auto" w:fill="auto"/>
            <w:noWrap/>
            <w:hideMark/>
          </w:tcPr>
          <w:p w14:paraId="7CC59D5A" w14:textId="5292C149" w:rsidR="009F09AF" w:rsidRPr="00A17157" w:rsidRDefault="009F09AF" w:rsidP="00654FCE">
            <w:pPr>
              <w:spacing w:after="0" w:line="240" w:lineRule="auto"/>
              <w:rPr>
                <w:rFonts w:ascii="Calibri" w:hAnsi="Calibri"/>
                <w:bCs/>
                <w:color w:val="000000"/>
              </w:rPr>
            </w:pPr>
            <w:r>
              <w:t>Établir une gouvernance ministérielle pour les services dans le nuage</w:t>
            </w:r>
          </w:p>
        </w:tc>
        <w:tc>
          <w:tcPr>
            <w:tcW w:w="531" w:type="dxa"/>
            <w:tcBorders>
              <w:top w:val="nil"/>
              <w:left w:val="nil"/>
              <w:bottom w:val="single" w:sz="4" w:space="0" w:color="auto"/>
              <w:right w:val="single" w:sz="4" w:space="0" w:color="auto"/>
            </w:tcBorders>
            <w:shd w:val="clear" w:color="000000" w:fill="C4BD97"/>
            <w:noWrap/>
            <w:hideMark/>
          </w:tcPr>
          <w:p w14:paraId="62D44874" w14:textId="01284AC0"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04EC713F" w14:textId="7BFF2D28"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2889668B" w14:textId="5F4B2862"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tcPr>
          <w:p w14:paraId="7DC12EF6" w14:textId="1184A3B7"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5CA4675A" w14:textId="42D089ED"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nil"/>
              <w:left w:val="single" w:sz="4" w:space="0" w:color="auto"/>
              <w:bottom w:val="single" w:sz="4" w:space="0" w:color="auto"/>
              <w:right w:val="single" w:sz="4" w:space="0" w:color="auto"/>
            </w:tcBorders>
            <w:shd w:val="clear" w:color="000000" w:fill="B1A0C7"/>
            <w:noWrap/>
            <w:hideMark/>
          </w:tcPr>
          <w:p w14:paraId="108BBB65" w14:textId="48C2E3A5"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r>
      <w:tr w:rsidR="009F09AF" w:rsidRPr="00392164" w14:paraId="2801C706"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43F1FAB0" w14:textId="1EA8A895" w:rsidR="009F09AF" w:rsidRPr="00A17157" w:rsidRDefault="009F09AF" w:rsidP="00654FCE">
            <w:pPr>
              <w:spacing w:after="0" w:line="240" w:lineRule="auto"/>
              <w:rPr>
                <w:rFonts w:ascii="Calibri" w:hAnsi="Calibri"/>
                <w:bCs/>
                <w:color w:val="000000"/>
              </w:rPr>
            </w:pPr>
            <w:r>
              <w:rPr>
                <w:rFonts w:ascii="Calibri" w:hAnsi="Calibri"/>
                <w:color w:val="000000"/>
              </w:rPr>
              <w:t>11</w:t>
            </w:r>
          </w:p>
        </w:tc>
        <w:tc>
          <w:tcPr>
            <w:tcW w:w="5940" w:type="dxa"/>
            <w:tcBorders>
              <w:top w:val="nil"/>
              <w:left w:val="nil"/>
              <w:bottom w:val="single" w:sz="4" w:space="0" w:color="auto"/>
              <w:right w:val="single" w:sz="4" w:space="0" w:color="auto"/>
            </w:tcBorders>
            <w:shd w:val="clear" w:color="auto" w:fill="auto"/>
            <w:noWrap/>
            <w:hideMark/>
          </w:tcPr>
          <w:p w14:paraId="352B00FD" w14:textId="24C1145A" w:rsidR="009F09AF" w:rsidRPr="00A17157" w:rsidRDefault="009F09AF" w:rsidP="00654FCE">
            <w:pPr>
              <w:spacing w:after="0" w:line="240" w:lineRule="auto"/>
              <w:rPr>
                <w:rFonts w:ascii="Calibri" w:hAnsi="Calibri"/>
                <w:bCs/>
                <w:color w:val="000000"/>
              </w:rPr>
            </w:pPr>
            <w:r>
              <w:t>Établir un cadre ministériel d’adoption de l’informatique en nuage</w:t>
            </w:r>
          </w:p>
        </w:tc>
        <w:tc>
          <w:tcPr>
            <w:tcW w:w="531" w:type="dxa"/>
            <w:tcBorders>
              <w:top w:val="nil"/>
              <w:left w:val="nil"/>
              <w:bottom w:val="single" w:sz="4" w:space="0" w:color="auto"/>
              <w:right w:val="single" w:sz="4" w:space="0" w:color="auto"/>
            </w:tcBorders>
            <w:shd w:val="clear" w:color="000000" w:fill="C4BD97"/>
            <w:noWrap/>
            <w:hideMark/>
          </w:tcPr>
          <w:p w14:paraId="013026DE" w14:textId="6DC24F5B"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2F4FD14A" w14:textId="7A719EBD"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51DDBD7F" w14:textId="61591197"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tcPr>
          <w:p w14:paraId="241CD808" w14:textId="3A2FABC7"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571A0274" w14:textId="55481453"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nil"/>
              <w:left w:val="single" w:sz="4" w:space="0" w:color="auto"/>
              <w:bottom w:val="single" w:sz="4" w:space="0" w:color="auto"/>
              <w:right w:val="single" w:sz="4" w:space="0" w:color="auto"/>
            </w:tcBorders>
            <w:shd w:val="clear" w:color="000000" w:fill="B1A0C7"/>
            <w:noWrap/>
            <w:hideMark/>
          </w:tcPr>
          <w:p w14:paraId="4F090496" w14:textId="227D4261"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r>
      <w:tr w:rsidR="009F09AF" w:rsidRPr="00392164" w14:paraId="64CA57B7"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673CF450" w14:textId="47582316" w:rsidR="009F09AF" w:rsidRPr="00A17157" w:rsidRDefault="009F09AF" w:rsidP="00654FCE">
            <w:pPr>
              <w:spacing w:after="0" w:line="240" w:lineRule="auto"/>
              <w:rPr>
                <w:rFonts w:ascii="Calibri" w:hAnsi="Calibri"/>
                <w:bCs/>
                <w:color w:val="000000"/>
              </w:rPr>
            </w:pPr>
            <w:r>
              <w:rPr>
                <w:rFonts w:ascii="Calibri" w:hAnsi="Calibri"/>
                <w:color w:val="000000"/>
              </w:rPr>
              <w:lastRenderedPageBreak/>
              <w:t>12</w:t>
            </w:r>
          </w:p>
        </w:tc>
        <w:tc>
          <w:tcPr>
            <w:tcW w:w="5940" w:type="dxa"/>
            <w:tcBorders>
              <w:top w:val="nil"/>
              <w:left w:val="nil"/>
              <w:bottom w:val="single" w:sz="4" w:space="0" w:color="auto"/>
              <w:right w:val="single" w:sz="4" w:space="0" w:color="auto"/>
            </w:tcBorders>
            <w:shd w:val="clear" w:color="auto" w:fill="auto"/>
            <w:noWrap/>
            <w:hideMark/>
          </w:tcPr>
          <w:p w14:paraId="287597AD" w14:textId="7B47A54C" w:rsidR="009F09AF" w:rsidRPr="00A17157" w:rsidRDefault="009F09AF" w:rsidP="00654FCE">
            <w:pPr>
              <w:spacing w:after="0" w:line="240" w:lineRule="auto"/>
              <w:rPr>
                <w:rFonts w:ascii="Calibri" w:hAnsi="Calibri"/>
                <w:bCs/>
                <w:color w:val="000000"/>
              </w:rPr>
            </w:pPr>
            <w:r>
              <w:t>Mettre en œuvre des services dans le nuage</w:t>
            </w:r>
          </w:p>
        </w:tc>
        <w:tc>
          <w:tcPr>
            <w:tcW w:w="531" w:type="dxa"/>
            <w:tcBorders>
              <w:top w:val="nil"/>
              <w:left w:val="nil"/>
              <w:bottom w:val="single" w:sz="4" w:space="0" w:color="auto"/>
              <w:right w:val="single" w:sz="4" w:space="0" w:color="auto"/>
            </w:tcBorders>
            <w:shd w:val="clear" w:color="000000" w:fill="C4BD97"/>
            <w:noWrap/>
            <w:hideMark/>
          </w:tcPr>
          <w:p w14:paraId="74C66D42" w14:textId="4F0CEDDA"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nil"/>
              <w:bottom w:val="single" w:sz="4" w:space="0" w:color="auto"/>
              <w:right w:val="single" w:sz="4" w:space="0" w:color="auto"/>
            </w:tcBorders>
            <w:shd w:val="clear" w:color="000000" w:fill="8DB4E2"/>
            <w:noWrap/>
            <w:hideMark/>
          </w:tcPr>
          <w:p w14:paraId="7B5A67F9" w14:textId="2E826DC4"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2E3FDC78" w14:textId="3104AD77"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tcPr>
          <w:p w14:paraId="5653A3FB" w14:textId="42BB8090"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05B5FCCB" w14:textId="49409C14"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nil"/>
              <w:left w:val="single" w:sz="4" w:space="0" w:color="auto"/>
              <w:bottom w:val="single" w:sz="4" w:space="0" w:color="auto"/>
              <w:right w:val="single" w:sz="4" w:space="0" w:color="auto"/>
            </w:tcBorders>
            <w:shd w:val="clear" w:color="000000" w:fill="B1A0C7"/>
            <w:noWrap/>
            <w:hideMark/>
          </w:tcPr>
          <w:p w14:paraId="204DD3FD" w14:textId="39579CBF"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r>
      <w:tr w:rsidR="009F09AF" w:rsidRPr="00392164" w14:paraId="668193AB" w14:textId="77777777" w:rsidTr="00F83519">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4193FA45" w14:textId="1B46DD5C" w:rsidR="009F09AF" w:rsidRPr="00A17157" w:rsidRDefault="009F09AF" w:rsidP="00654FCE">
            <w:pPr>
              <w:spacing w:after="0" w:line="240" w:lineRule="auto"/>
              <w:rPr>
                <w:rFonts w:ascii="Calibri" w:hAnsi="Calibri"/>
                <w:bCs/>
                <w:color w:val="000000"/>
              </w:rPr>
            </w:pPr>
            <w:r>
              <w:rPr>
                <w:rFonts w:ascii="Calibri" w:hAnsi="Calibri"/>
                <w:color w:val="000000"/>
              </w:rPr>
              <w:t>13</w:t>
            </w:r>
          </w:p>
        </w:tc>
        <w:tc>
          <w:tcPr>
            <w:tcW w:w="5940" w:type="dxa"/>
            <w:tcBorders>
              <w:top w:val="nil"/>
              <w:left w:val="nil"/>
              <w:bottom w:val="single" w:sz="4" w:space="0" w:color="auto"/>
              <w:right w:val="single" w:sz="4" w:space="0" w:color="auto"/>
            </w:tcBorders>
            <w:shd w:val="clear" w:color="auto" w:fill="auto"/>
            <w:noWrap/>
            <w:hideMark/>
          </w:tcPr>
          <w:p w14:paraId="64F50D65" w14:textId="5C5E4639" w:rsidR="009F09AF" w:rsidRPr="00A17157" w:rsidRDefault="009F09AF" w:rsidP="00654FCE">
            <w:pPr>
              <w:spacing w:after="0" w:line="240" w:lineRule="auto"/>
              <w:rPr>
                <w:rFonts w:ascii="Calibri" w:hAnsi="Calibri"/>
                <w:bCs/>
                <w:color w:val="000000"/>
              </w:rPr>
            </w:pPr>
            <w:r>
              <w:t>Exploitation et maintenance des services dans le nuage</w:t>
            </w:r>
          </w:p>
        </w:tc>
        <w:tc>
          <w:tcPr>
            <w:tcW w:w="531" w:type="dxa"/>
            <w:tcBorders>
              <w:top w:val="nil"/>
              <w:left w:val="nil"/>
              <w:bottom w:val="single" w:sz="4" w:space="0" w:color="auto"/>
              <w:right w:val="single" w:sz="4" w:space="0" w:color="auto"/>
            </w:tcBorders>
            <w:shd w:val="clear" w:color="000000" w:fill="C4BD97"/>
            <w:noWrap/>
            <w:hideMark/>
          </w:tcPr>
          <w:p w14:paraId="7EF305B8" w14:textId="0607F7FE" w:rsidR="009F09AF" w:rsidRPr="00392164" w:rsidRDefault="009F09AF" w:rsidP="00654FCE">
            <w:pPr>
              <w:spacing w:after="0" w:line="240" w:lineRule="auto"/>
              <w:jc w:val="center"/>
              <w:rPr>
                <w:rFonts w:ascii="Calibri" w:hAnsi="Calibri"/>
                <w:b/>
                <w:bCs/>
                <w:color w:val="000000"/>
              </w:rPr>
            </w:pPr>
            <w:r>
              <w:rPr>
                <w:rFonts w:ascii="Calibri" w:hAnsi="Calibri"/>
                <w:b/>
                <w:color w:val="000000"/>
              </w:rPr>
              <w:t>I</w:t>
            </w:r>
          </w:p>
        </w:tc>
        <w:tc>
          <w:tcPr>
            <w:tcW w:w="532" w:type="dxa"/>
            <w:tcBorders>
              <w:top w:val="nil"/>
              <w:left w:val="nil"/>
              <w:bottom w:val="single" w:sz="4" w:space="0" w:color="auto"/>
              <w:right w:val="single" w:sz="4" w:space="0" w:color="auto"/>
            </w:tcBorders>
            <w:shd w:val="clear" w:color="000000" w:fill="8DB4E2"/>
            <w:noWrap/>
            <w:hideMark/>
          </w:tcPr>
          <w:p w14:paraId="4C2F6685" w14:textId="07A79ED8"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2208B64D" w14:textId="1B7F7F61"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nil"/>
              <w:left w:val="single" w:sz="4" w:space="0" w:color="auto"/>
              <w:bottom w:val="single" w:sz="4" w:space="0" w:color="auto"/>
              <w:right w:val="single" w:sz="4" w:space="0" w:color="auto"/>
            </w:tcBorders>
            <w:shd w:val="clear" w:color="000000" w:fill="76933C"/>
            <w:noWrap/>
          </w:tcPr>
          <w:p w14:paraId="517CCDC3" w14:textId="62F9BE5C"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9BBCD3A" w14:textId="28A398C7" w:rsidR="009F09AF" w:rsidRPr="00392164" w:rsidRDefault="009F09AF" w:rsidP="00654FCE">
            <w:pPr>
              <w:spacing w:after="0" w:line="240" w:lineRule="auto"/>
              <w:jc w:val="center"/>
              <w:rPr>
                <w:rFonts w:ascii="Calibri" w:hAnsi="Calibri"/>
                <w:b/>
                <w:bCs/>
                <w:color w:val="000000"/>
              </w:rPr>
            </w:pPr>
            <w:r>
              <w:rPr>
                <w:rFonts w:ascii="Calibri" w:hAnsi="Calibri"/>
                <w:color w:val="000000"/>
              </w:rPr>
              <w:t> </w:t>
            </w:r>
          </w:p>
        </w:tc>
        <w:tc>
          <w:tcPr>
            <w:tcW w:w="532" w:type="dxa"/>
            <w:tcBorders>
              <w:top w:val="nil"/>
              <w:left w:val="single" w:sz="4" w:space="0" w:color="auto"/>
              <w:bottom w:val="single" w:sz="4" w:space="0" w:color="auto"/>
              <w:right w:val="single" w:sz="4" w:space="0" w:color="auto"/>
            </w:tcBorders>
            <w:shd w:val="clear" w:color="000000" w:fill="B1A0C7"/>
            <w:noWrap/>
            <w:hideMark/>
          </w:tcPr>
          <w:p w14:paraId="4BFDE687" w14:textId="62D3CB6A"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r>
      <w:tr w:rsidR="009F09AF" w:rsidRPr="00392164" w14:paraId="400BE885" w14:textId="77777777" w:rsidTr="00F8351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0B0408" w14:textId="08A6C826" w:rsidR="009F09AF" w:rsidRPr="00A17157" w:rsidRDefault="009F09AF" w:rsidP="00654FCE">
            <w:pPr>
              <w:spacing w:after="0" w:line="240" w:lineRule="auto"/>
              <w:rPr>
                <w:rFonts w:ascii="Calibri" w:hAnsi="Calibri"/>
                <w:bCs/>
                <w:color w:val="000000"/>
              </w:rPr>
            </w:pPr>
            <w:r>
              <w:rPr>
                <w:rFonts w:ascii="Calibri" w:hAnsi="Calibri"/>
                <w:color w:val="000000"/>
              </w:rPr>
              <w:t>14</w:t>
            </w:r>
          </w:p>
        </w:tc>
        <w:tc>
          <w:tcPr>
            <w:tcW w:w="5940" w:type="dxa"/>
            <w:tcBorders>
              <w:top w:val="single" w:sz="4" w:space="0" w:color="auto"/>
              <w:left w:val="nil"/>
              <w:bottom w:val="single" w:sz="4" w:space="0" w:color="auto"/>
              <w:right w:val="single" w:sz="4" w:space="0" w:color="auto"/>
            </w:tcBorders>
            <w:shd w:val="clear" w:color="auto" w:fill="auto"/>
            <w:noWrap/>
            <w:hideMark/>
          </w:tcPr>
          <w:p w14:paraId="05A65285" w14:textId="79E4E5D8" w:rsidR="009F09AF" w:rsidRPr="00A17157" w:rsidRDefault="009F09AF" w:rsidP="00654FCE">
            <w:pPr>
              <w:spacing w:after="0" w:line="240" w:lineRule="auto"/>
              <w:rPr>
                <w:rFonts w:ascii="Calibri" w:hAnsi="Calibri"/>
                <w:bCs/>
                <w:color w:val="000000"/>
              </w:rPr>
            </w:pPr>
            <w:r>
              <w:t>Surveiller les opérations d’exploitation de l’informatique en nuage des ministères</w:t>
            </w:r>
          </w:p>
        </w:tc>
        <w:tc>
          <w:tcPr>
            <w:tcW w:w="531" w:type="dxa"/>
            <w:tcBorders>
              <w:top w:val="single" w:sz="4" w:space="0" w:color="auto"/>
              <w:left w:val="nil"/>
              <w:bottom w:val="single" w:sz="4" w:space="0" w:color="auto"/>
              <w:right w:val="single" w:sz="4" w:space="0" w:color="auto"/>
            </w:tcBorders>
            <w:shd w:val="clear" w:color="000000" w:fill="C4BD97"/>
            <w:noWrap/>
            <w:hideMark/>
          </w:tcPr>
          <w:p w14:paraId="34686F4D" w14:textId="6CC6764E" w:rsidR="009F09AF" w:rsidRPr="00392164" w:rsidRDefault="009F09AF" w:rsidP="00654FCE">
            <w:pPr>
              <w:spacing w:after="0" w:line="240" w:lineRule="auto"/>
              <w:jc w:val="center"/>
              <w:rPr>
                <w:rFonts w:ascii="Calibri" w:hAnsi="Calibri"/>
                <w:b/>
                <w:bCs/>
                <w:color w:val="000000"/>
              </w:rPr>
            </w:pPr>
            <w:r>
              <w:rPr>
                <w:rFonts w:ascii="Calibri" w:hAnsi="Calibri"/>
                <w:b/>
                <w:color w:val="000000"/>
              </w:rPr>
              <w:t>I</w:t>
            </w:r>
          </w:p>
        </w:tc>
        <w:tc>
          <w:tcPr>
            <w:tcW w:w="532" w:type="dxa"/>
            <w:tcBorders>
              <w:top w:val="single" w:sz="4" w:space="0" w:color="auto"/>
              <w:left w:val="nil"/>
              <w:bottom w:val="single" w:sz="4" w:space="0" w:color="auto"/>
              <w:right w:val="single" w:sz="4" w:space="0" w:color="auto"/>
            </w:tcBorders>
            <w:shd w:val="clear" w:color="000000" w:fill="8DB4E2"/>
            <w:noWrap/>
            <w:hideMark/>
          </w:tcPr>
          <w:p w14:paraId="2582AA3A" w14:textId="12A94432"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7F70E273" w14:textId="05467B37" w:rsidR="009F09AF" w:rsidRPr="00392164" w:rsidRDefault="009F09AF" w:rsidP="00654FCE">
            <w:pPr>
              <w:spacing w:after="0" w:line="240" w:lineRule="auto"/>
              <w:jc w:val="center"/>
              <w:rPr>
                <w:rFonts w:ascii="Calibri" w:hAnsi="Calibri"/>
                <w:b/>
                <w:bCs/>
                <w:color w:val="000000"/>
              </w:rPr>
            </w:pPr>
            <w:r>
              <w:rPr>
                <w:rFonts w:ascii="Calibri" w:hAnsi="Calibri"/>
                <w:b/>
                <w:color w:val="000000"/>
              </w:rPr>
              <w:t>C</w:t>
            </w:r>
          </w:p>
        </w:tc>
        <w:tc>
          <w:tcPr>
            <w:tcW w:w="532" w:type="dxa"/>
            <w:tcBorders>
              <w:top w:val="single" w:sz="4" w:space="0" w:color="auto"/>
              <w:left w:val="single" w:sz="4" w:space="0" w:color="auto"/>
              <w:bottom w:val="single" w:sz="4" w:space="0" w:color="auto"/>
              <w:right w:val="single" w:sz="4" w:space="0" w:color="auto"/>
            </w:tcBorders>
            <w:shd w:val="clear" w:color="000000" w:fill="76933C"/>
            <w:noWrap/>
          </w:tcPr>
          <w:p w14:paraId="20C930F7" w14:textId="43466A82"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1137DFBC" w14:textId="3E455214" w:rsidR="009F09AF" w:rsidRPr="00392164" w:rsidRDefault="009F09AF" w:rsidP="00654FCE">
            <w:pPr>
              <w:spacing w:after="0" w:line="240" w:lineRule="auto"/>
              <w:jc w:val="center"/>
              <w:rPr>
                <w:rFonts w:ascii="Calibri" w:hAnsi="Calibri"/>
                <w:b/>
                <w:bCs/>
                <w:color w:val="000000"/>
              </w:rPr>
            </w:pPr>
            <w:r>
              <w:rPr>
                <w:rFonts w:ascii="Calibri" w:hAnsi="Calibri"/>
                <w:color w:val="000000"/>
              </w:rPr>
              <w:t> </w:t>
            </w:r>
          </w:p>
        </w:tc>
        <w:tc>
          <w:tcPr>
            <w:tcW w:w="532" w:type="dxa"/>
            <w:tcBorders>
              <w:top w:val="single" w:sz="4" w:space="0" w:color="auto"/>
              <w:left w:val="single" w:sz="4" w:space="0" w:color="auto"/>
              <w:bottom w:val="single" w:sz="4" w:space="0" w:color="auto"/>
              <w:right w:val="single" w:sz="4" w:space="0" w:color="auto"/>
            </w:tcBorders>
            <w:shd w:val="clear" w:color="000000" w:fill="B1A0C7"/>
            <w:noWrap/>
            <w:hideMark/>
          </w:tcPr>
          <w:p w14:paraId="73E8AB98" w14:textId="091FDE92" w:rsidR="009F09AF" w:rsidRPr="00392164" w:rsidRDefault="009F09AF" w:rsidP="00654FCE">
            <w:pPr>
              <w:spacing w:after="0" w:line="240" w:lineRule="auto"/>
              <w:jc w:val="center"/>
              <w:rPr>
                <w:rFonts w:ascii="Calibri" w:hAnsi="Calibri"/>
                <w:b/>
                <w:bCs/>
                <w:color w:val="000000"/>
              </w:rPr>
            </w:pPr>
            <w:proofErr w:type="gramStart"/>
            <w:r>
              <w:rPr>
                <w:rFonts w:ascii="Calibri" w:hAnsi="Calibri"/>
                <w:b/>
                <w:color w:val="000000"/>
              </w:rPr>
              <w:t>A,R</w:t>
            </w:r>
            <w:proofErr w:type="gramEnd"/>
          </w:p>
        </w:tc>
      </w:tr>
      <w:tr w:rsidR="009F09AF" w:rsidRPr="00392164" w14:paraId="2F470FC6" w14:textId="77777777" w:rsidTr="00B4723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A0D0449" w14:textId="0159165A" w:rsidR="009F09AF" w:rsidRPr="00A17157" w:rsidRDefault="009F09AF" w:rsidP="00654FCE">
            <w:pPr>
              <w:spacing w:after="0" w:line="240" w:lineRule="auto"/>
              <w:rPr>
                <w:rFonts w:ascii="Calibri" w:hAnsi="Calibri"/>
                <w:bCs/>
                <w:color w:val="000000"/>
              </w:rPr>
            </w:pPr>
            <w:r>
              <w:rPr>
                <w:rFonts w:ascii="Calibri" w:hAnsi="Calibri"/>
                <w:color w:val="000000"/>
              </w:rPr>
              <w:t>15</w:t>
            </w:r>
          </w:p>
        </w:tc>
        <w:tc>
          <w:tcPr>
            <w:tcW w:w="5940" w:type="dxa"/>
            <w:tcBorders>
              <w:top w:val="single" w:sz="4" w:space="0" w:color="auto"/>
              <w:left w:val="nil"/>
              <w:bottom w:val="single" w:sz="4" w:space="0" w:color="auto"/>
              <w:right w:val="single" w:sz="4" w:space="0" w:color="auto"/>
            </w:tcBorders>
            <w:shd w:val="clear" w:color="auto" w:fill="auto"/>
            <w:noWrap/>
          </w:tcPr>
          <w:p w14:paraId="406A4494" w14:textId="4A1EEB57" w:rsidR="009F09AF" w:rsidRPr="00B419D8" w:rsidRDefault="009F09AF" w:rsidP="00654FCE">
            <w:pPr>
              <w:spacing w:after="0" w:line="240" w:lineRule="auto"/>
            </w:pPr>
            <w:r>
              <w:t>Effectuer une surveillance continue des services dans le nuage</w:t>
            </w:r>
          </w:p>
        </w:tc>
        <w:tc>
          <w:tcPr>
            <w:tcW w:w="531" w:type="dxa"/>
            <w:tcBorders>
              <w:top w:val="single" w:sz="4" w:space="0" w:color="auto"/>
              <w:left w:val="nil"/>
              <w:bottom w:val="single" w:sz="4" w:space="0" w:color="auto"/>
              <w:right w:val="single" w:sz="4" w:space="0" w:color="auto"/>
            </w:tcBorders>
            <w:shd w:val="clear" w:color="000000" w:fill="C4BD97"/>
            <w:noWrap/>
          </w:tcPr>
          <w:p w14:paraId="47D5B65C" w14:textId="4F85504F" w:rsidR="009F09AF" w:rsidRDefault="009F09AF" w:rsidP="00654FCE">
            <w:pPr>
              <w:spacing w:after="0" w:line="240" w:lineRule="auto"/>
              <w:jc w:val="center"/>
              <w:rPr>
                <w:rFonts w:ascii="Calibri" w:hAnsi="Calibri" w:cs="Calibri"/>
                <w:b/>
                <w:bCs/>
                <w:color w:val="000000"/>
              </w:rPr>
            </w:pPr>
            <w:r>
              <w:rPr>
                <w:rFonts w:ascii="Calibri" w:hAnsi="Calibri"/>
                <w:b/>
                <w:color w:val="000000"/>
              </w:rPr>
              <w:t>I</w:t>
            </w:r>
          </w:p>
        </w:tc>
        <w:tc>
          <w:tcPr>
            <w:tcW w:w="532" w:type="dxa"/>
            <w:tcBorders>
              <w:top w:val="single" w:sz="4" w:space="0" w:color="auto"/>
              <w:left w:val="nil"/>
              <w:bottom w:val="single" w:sz="4" w:space="0" w:color="auto"/>
              <w:right w:val="single" w:sz="4" w:space="0" w:color="auto"/>
            </w:tcBorders>
            <w:shd w:val="clear" w:color="000000" w:fill="8DB4E2"/>
            <w:noWrap/>
          </w:tcPr>
          <w:p w14:paraId="6CC1C408" w14:textId="4866C841"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single" w:sz="4" w:space="0" w:color="auto"/>
              <w:left w:val="nil"/>
              <w:bottom w:val="single" w:sz="4" w:space="0" w:color="auto"/>
              <w:right w:val="single" w:sz="4" w:space="0" w:color="auto"/>
            </w:tcBorders>
            <w:shd w:val="clear" w:color="auto" w:fill="D99594" w:themeFill="accent2" w:themeFillTint="99"/>
          </w:tcPr>
          <w:p w14:paraId="608A543A" w14:textId="2A1D527C" w:rsidR="009F09AF" w:rsidRDefault="009F09AF" w:rsidP="00654FCE">
            <w:pPr>
              <w:spacing w:after="0" w:line="240" w:lineRule="auto"/>
              <w:jc w:val="center"/>
              <w:rPr>
                <w:rFonts w:ascii="Calibri" w:hAnsi="Calibri" w:cs="Calibri"/>
                <w:b/>
                <w:bCs/>
                <w:color w:val="000000"/>
              </w:rPr>
            </w:pPr>
            <w:r>
              <w:rPr>
                <w:rFonts w:ascii="Calibri" w:hAnsi="Calibri"/>
                <w:b/>
                <w:color w:val="000000"/>
              </w:rPr>
              <w:t>C</w:t>
            </w:r>
          </w:p>
        </w:tc>
        <w:tc>
          <w:tcPr>
            <w:tcW w:w="532" w:type="dxa"/>
            <w:tcBorders>
              <w:top w:val="single" w:sz="4" w:space="0" w:color="auto"/>
              <w:left w:val="single" w:sz="4" w:space="0" w:color="auto"/>
              <w:bottom w:val="single" w:sz="4" w:space="0" w:color="auto"/>
              <w:right w:val="single" w:sz="4" w:space="0" w:color="auto"/>
            </w:tcBorders>
            <w:shd w:val="clear" w:color="000000" w:fill="76933C"/>
            <w:noWrap/>
          </w:tcPr>
          <w:p w14:paraId="35CE0F82" w14:textId="77777777" w:rsidR="009F09AF" w:rsidRPr="00392164" w:rsidRDefault="009F09AF" w:rsidP="00654FCE">
            <w:pPr>
              <w:spacing w:after="0" w:line="240" w:lineRule="auto"/>
              <w:jc w:val="center"/>
              <w:rPr>
                <w:rFonts w:ascii="Calibri" w:hAnsi="Calibri"/>
                <w:b/>
                <w:bCs/>
                <w:color w:val="000000"/>
                <w:lang w:eastAsia="en-CA"/>
              </w:rPr>
            </w:pPr>
          </w:p>
        </w:tc>
        <w:tc>
          <w:tcPr>
            <w:tcW w:w="532" w:type="dxa"/>
            <w:tcBorders>
              <w:top w:val="single" w:sz="4" w:space="0" w:color="auto"/>
              <w:left w:val="nil"/>
              <w:bottom w:val="single" w:sz="4" w:space="0" w:color="auto"/>
              <w:right w:val="single" w:sz="4" w:space="0" w:color="auto"/>
            </w:tcBorders>
            <w:shd w:val="clear" w:color="auto" w:fill="FABF8F" w:themeFill="accent6" w:themeFillTint="99"/>
          </w:tcPr>
          <w:p w14:paraId="3D35D148" w14:textId="41F235F7" w:rsidR="009F09AF" w:rsidRDefault="009F09AF" w:rsidP="00654FCE">
            <w:pPr>
              <w:spacing w:after="0" w:line="240" w:lineRule="auto"/>
              <w:jc w:val="center"/>
              <w:rPr>
                <w:rFonts w:ascii="Calibri" w:hAnsi="Calibri" w:cs="Calibri"/>
                <w:color w:val="000000"/>
              </w:rPr>
            </w:pPr>
            <w:r>
              <w:rPr>
                <w:rFonts w:ascii="Calibri" w:hAnsi="Calibri"/>
                <w:color w:val="000000"/>
              </w:rPr>
              <w:t> </w:t>
            </w:r>
          </w:p>
        </w:tc>
        <w:tc>
          <w:tcPr>
            <w:tcW w:w="532" w:type="dxa"/>
            <w:tcBorders>
              <w:top w:val="single" w:sz="4" w:space="0" w:color="auto"/>
              <w:left w:val="single" w:sz="4" w:space="0" w:color="auto"/>
              <w:bottom w:val="single" w:sz="4" w:space="0" w:color="auto"/>
              <w:right w:val="single" w:sz="4" w:space="0" w:color="auto"/>
            </w:tcBorders>
            <w:shd w:val="clear" w:color="000000" w:fill="B1A0C7"/>
            <w:noWrap/>
          </w:tcPr>
          <w:p w14:paraId="54AA95F1" w14:textId="040D132F" w:rsidR="009F09AF" w:rsidRDefault="009F09AF" w:rsidP="00654FCE">
            <w:pPr>
              <w:spacing w:after="0" w:line="240" w:lineRule="auto"/>
              <w:jc w:val="center"/>
              <w:rPr>
                <w:rFonts w:ascii="Calibri" w:hAnsi="Calibri" w:cs="Calibri"/>
                <w:b/>
                <w:bCs/>
                <w:color w:val="000000"/>
              </w:rPr>
            </w:pPr>
            <w:proofErr w:type="gramStart"/>
            <w:r>
              <w:rPr>
                <w:rFonts w:ascii="Calibri" w:hAnsi="Calibri"/>
                <w:b/>
                <w:color w:val="000000"/>
              </w:rPr>
              <w:t>A,R</w:t>
            </w:r>
            <w:proofErr w:type="gramEnd"/>
          </w:p>
        </w:tc>
      </w:tr>
    </w:tbl>
    <w:p w14:paraId="753A2C74" w14:textId="2B8DF052" w:rsidR="00491ED9" w:rsidRDefault="00491ED9" w:rsidP="00491ED9">
      <w:pPr>
        <w:pStyle w:val="Heading1"/>
      </w:pPr>
      <w:bookmarkStart w:id="207" w:name="_Toc450163585"/>
      <w:bookmarkStart w:id="208" w:name="_Ref494113626"/>
      <w:bookmarkStart w:id="209" w:name="_Ref494114533"/>
      <w:bookmarkStart w:id="210" w:name="_Toc114841922"/>
      <w:r>
        <w:lastRenderedPageBreak/>
        <w:t>Références</w:t>
      </w:r>
      <w:bookmarkEnd w:id="207"/>
      <w:bookmarkEnd w:id="208"/>
      <w:bookmarkEnd w:id="209"/>
      <w:bookmarkEnd w:id="210"/>
    </w:p>
    <w:p w14:paraId="6BE90A8C" w14:textId="77777777" w:rsidR="008D5C2D" w:rsidRPr="008D5C2D" w:rsidRDefault="00491ED9" w:rsidP="00491ED9">
      <w:pPr>
        <w:rPr>
          <w:rFonts w:ascii="Times New Roman" w:hAnsi="Times New Roman"/>
          <w:noProof/>
          <w:sz w:val="20"/>
          <w:szCs w:val="20"/>
          <w:lang w:eastAsia="en-CA"/>
        </w:rPr>
      </w:pPr>
      <w:r w:rsidRPr="008D5C2D">
        <w:fldChar w:fldCharType="begin"/>
      </w:r>
      <w:r w:rsidRPr="008D5C2D">
        <w:instrText xml:space="preserve"> BIBLIOGRAPHY  \l 4105 </w:instrText>
      </w:r>
      <w:r w:rsidRPr="008D5C2D">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9039"/>
      </w:tblGrid>
      <w:tr w:rsidR="008D5C2D" w:rsidRPr="00E505F2" w14:paraId="5DC750B3" w14:textId="77777777">
        <w:trPr>
          <w:divId w:val="1414429449"/>
          <w:tblCellSpacing w:w="15" w:type="dxa"/>
        </w:trPr>
        <w:tc>
          <w:tcPr>
            <w:tcW w:w="50" w:type="pct"/>
            <w:hideMark/>
          </w:tcPr>
          <w:p w14:paraId="2F87AABC" w14:textId="27C28159" w:rsidR="008D5C2D" w:rsidRPr="008D5C2D" w:rsidRDefault="008D5C2D">
            <w:pPr>
              <w:pStyle w:val="Bibliography"/>
              <w:rPr>
                <w:noProof/>
                <w:sz w:val="24"/>
                <w:szCs w:val="24"/>
              </w:rPr>
            </w:pPr>
            <w:r w:rsidRPr="008D5C2D">
              <w:rPr>
                <w:noProof/>
              </w:rPr>
              <w:t xml:space="preserve">[1] </w:t>
            </w:r>
          </w:p>
        </w:tc>
        <w:tc>
          <w:tcPr>
            <w:tcW w:w="0" w:type="auto"/>
            <w:hideMark/>
          </w:tcPr>
          <w:p w14:paraId="02ADBA0E" w14:textId="7211E6EC" w:rsidR="008D5C2D" w:rsidRPr="00C81A3B" w:rsidRDefault="008D5C2D">
            <w:pPr>
              <w:pStyle w:val="Bibliography"/>
              <w:rPr>
                <w:noProof/>
                <w:lang w:val="en-CA"/>
              </w:rPr>
            </w:pPr>
            <w:r w:rsidRPr="00C81A3B">
              <w:rPr>
                <w:noProof/>
                <w:lang w:val="en-CA"/>
              </w:rPr>
              <w:t xml:space="preserve">Treasury Board of Canada Secretariat, </w:t>
            </w:r>
            <w:r w:rsidR="00FB480F">
              <w:rPr>
                <w:noProof/>
                <w:lang w:val="en-CA"/>
              </w:rPr>
              <w:t>“</w:t>
            </w:r>
            <w:r w:rsidRPr="00C81A3B">
              <w:rPr>
                <w:noProof/>
                <w:lang w:val="en-CA"/>
              </w:rPr>
              <w:t>Security Policy Implementation Notice (SPIN) for the Secure Use of Commercial Cloud Services,</w:t>
            </w:r>
            <w:r w:rsidR="00FB480F">
              <w:rPr>
                <w:noProof/>
                <w:lang w:val="en-CA"/>
              </w:rPr>
              <w:t>”</w:t>
            </w:r>
            <w:r w:rsidRPr="00C81A3B">
              <w:rPr>
                <w:noProof/>
                <w:lang w:val="en-CA"/>
              </w:rPr>
              <w:t xml:space="preserve"> October 2017.</w:t>
            </w:r>
          </w:p>
        </w:tc>
      </w:tr>
      <w:tr w:rsidR="008D5C2D" w:rsidRPr="00E505F2" w14:paraId="3EEF1733" w14:textId="77777777">
        <w:trPr>
          <w:divId w:val="1414429449"/>
          <w:tblCellSpacing w:w="15" w:type="dxa"/>
        </w:trPr>
        <w:tc>
          <w:tcPr>
            <w:tcW w:w="50" w:type="pct"/>
            <w:hideMark/>
          </w:tcPr>
          <w:p w14:paraId="426FC3EA" w14:textId="77777777" w:rsidR="008D5C2D" w:rsidRPr="008D5C2D" w:rsidRDefault="008D5C2D">
            <w:pPr>
              <w:pStyle w:val="Bibliography"/>
              <w:rPr>
                <w:noProof/>
              </w:rPr>
            </w:pPr>
            <w:r w:rsidRPr="008D5C2D">
              <w:rPr>
                <w:noProof/>
              </w:rPr>
              <w:t xml:space="preserve">[2] </w:t>
            </w:r>
          </w:p>
        </w:tc>
        <w:tc>
          <w:tcPr>
            <w:tcW w:w="0" w:type="auto"/>
            <w:hideMark/>
          </w:tcPr>
          <w:p w14:paraId="54BBAD2A" w14:textId="44364FC7" w:rsidR="008D5C2D" w:rsidRPr="00C81A3B" w:rsidRDefault="008D5C2D">
            <w:pPr>
              <w:pStyle w:val="Bibliography"/>
              <w:rPr>
                <w:noProof/>
                <w:lang w:val="en-CA"/>
              </w:rPr>
            </w:pPr>
            <w:r w:rsidRPr="00C81A3B">
              <w:rPr>
                <w:noProof/>
                <w:lang w:val="en-CA"/>
              </w:rPr>
              <w:t xml:space="preserve">Treasury Board of Canada Secretariat, </w:t>
            </w:r>
            <w:r w:rsidR="00FB480F">
              <w:rPr>
                <w:noProof/>
                <w:lang w:val="en-CA"/>
              </w:rPr>
              <w:t>“</w:t>
            </w:r>
            <w:r w:rsidRPr="00C81A3B">
              <w:rPr>
                <w:noProof/>
                <w:lang w:val="en-CA"/>
              </w:rPr>
              <w:t>Cloud Security Risk Management Approach and Procedures,</w:t>
            </w:r>
            <w:r w:rsidR="00FB480F">
              <w:rPr>
                <w:noProof/>
                <w:lang w:val="en-CA"/>
              </w:rPr>
              <w:t>”</w:t>
            </w:r>
            <w:r w:rsidRPr="00C81A3B">
              <w:rPr>
                <w:noProof/>
                <w:lang w:val="en-CA"/>
              </w:rPr>
              <w:t xml:space="preserve"> Version 1.0, 20 July 2017.</w:t>
            </w:r>
          </w:p>
        </w:tc>
      </w:tr>
      <w:tr w:rsidR="008D5C2D" w:rsidRPr="00E505F2" w14:paraId="32D3AE04" w14:textId="77777777">
        <w:trPr>
          <w:divId w:val="1414429449"/>
          <w:tblCellSpacing w:w="15" w:type="dxa"/>
        </w:trPr>
        <w:tc>
          <w:tcPr>
            <w:tcW w:w="50" w:type="pct"/>
            <w:hideMark/>
          </w:tcPr>
          <w:p w14:paraId="7559CB6D" w14:textId="77777777" w:rsidR="008D5C2D" w:rsidRPr="008D5C2D" w:rsidRDefault="008D5C2D">
            <w:pPr>
              <w:pStyle w:val="Bibliography"/>
              <w:rPr>
                <w:noProof/>
              </w:rPr>
            </w:pPr>
            <w:r w:rsidRPr="008D5C2D">
              <w:rPr>
                <w:noProof/>
              </w:rPr>
              <w:t xml:space="preserve">[3] </w:t>
            </w:r>
          </w:p>
        </w:tc>
        <w:tc>
          <w:tcPr>
            <w:tcW w:w="0" w:type="auto"/>
            <w:hideMark/>
          </w:tcPr>
          <w:p w14:paraId="10DE14E1" w14:textId="52004AEA" w:rsidR="008D5C2D" w:rsidRPr="00C81A3B" w:rsidRDefault="008D5C2D">
            <w:pPr>
              <w:pStyle w:val="Bibliography"/>
              <w:rPr>
                <w:noProof/>
                <w:lang w:val="en-CA"/>
              </w:rPr>
            </w:pPr>
            <w:r w:rsidRPr="00C81A3B">
              <w:rPr>
                <w:noProof/>
                <w:lang w:val="en-CA"/>
              </w:rPr>
              <w:t xml:space="preserve">Communications Security Establishment (CSE), </w:t>
            </w:r>
            <w:r w:rsidR="00FB480F">
              <w:rPr>
                <w:noProof/>
                <w:lang w:val="en-CA"/>
              </w:rPr>
              <w:t>“</w:t>
            </w:r>
            <w:r w:rsidRPr="00C81A3B">
              <w:rPr>
                <w:noProof/>
                <w:lang w:val="en-CA"/>
              </w:rPr>
              <w:t>IT Security Risk Management: A Lifecycle Approach (ITSG-33),</w:t>
            </w:r>
            <w:r w:rsidR="00FB480F">
              <w:rPr>
                <w:noProof/>
                <w:lang w:val="en-CA"/>
              </w:rPr>
              <w:t>”</w:t>
            </w:r>
            <w:r w:rsidRPr="00C81A3B">
              <w:rPr>
                <w:noProof/>
                <w:lang w:val="en-CA"/>
              </w:rPr>
              <w:t xml:space="preserve"> November 2012.</w:t>
            </w:r>
          </w:p>
        </w:tc>
      </w:tr>
      <w:tr w:rsidR="008D5C2D" w:rsidRPr="00E505F2" w14:paraId="7EC29C80" w14:textId="77777777">
        <w:trPr>
          <w:divId w:val="1414429449"/>
          <w:tblCellSpacing w:w="15" w:type="dxa"/>
        </w:trPr>
        <w:tc>
          <w:tcPr>
            <w:tcW w:w="50" w:type="pct"/>
            <w:hideMark/>
          </w:tcPr>
          <w:p w14:paraId="7DC7A4B8" w14:textId="77777777" w:rsidR="008D5C2D" w:rsidRPr="008D5C2D" w:rsidRDefault="008D5C2D">
            <w:pPr>
              <w:pStyle w:val="Bibliography"/>
              <w:rPr>
                <w:noProof/>
              </w:rPr>
            </w:pPr>
            <w:r w:rsidRPr="008D5C2D">
              <w:rPr>
                <w:noProof/>
              </w:rPr>
              <w:t xml:space="preserve">[4] </w:t>
            </w:r>
          </w:p>
        </w:tc>
        <w:tc>
          <w:tcPr>
            <w:tcW w:w="0" w:type="auto"/>
            <w:hideMark/>
          </w:tcPr>
          <w:p w14:paraId="6F071BCE" w14:textId="3978A1D0" w:rsidR="008D5C2D" w:rsidRPr="00C81A3B" w:rsidRDefault="008D5C2D">
            <w:pPr>
              <w:pStyle w:val="Bibliography"/>
              <w:rPr>
                <w:noProof/>
                <w:lang w:val="en-CA"/>
              </w:rPr>
            </w:pPr>
            <w:r w:rsidRPr="00C81A3B">
              <w:rPr>
                <w:noProof/>
                <w:lang w:val="en-CA"/>
              </w:rPr>
              <w:t xml:space="preserve">National Institute of Standards and Technology, </w:t>
            </w:r>
            <w:r w:rsidR="00FB480F">
              <w:rPr>
                <w:noProof/>
                <w:lang w:val="en-CA"/>
              </w:rPr>
              <w:t>“</w:t>
            </w:r>
            <w:r w:rsidRPr="00C81A3B">
              <w:rPr>
                <w:noProof/>
                <w:lang w:val="en-CA"/>
              </w:rPr>
              <w:t>NIST Cloud Computing Reference Architecture (SP 500-292),</w:t>
            </w:r>
            <w:r w:rsidR="00FB480F">
              <w:rPr>
                <w:noProof/>
                <w:lang w:val="en-CA"/>
              </w:rPr>
              <w:t>”</w:t>
            </w:r>
            <w:r w:rsidRPr="00C81A3B">
              <w:rPr>
                <w:noProof/>
                <w:lang w:val="en-CA"/>
              </w:rPr>
              <w:t xml:space="preserve"> September 2011.</w:t>
            </w:r>
          </w:p>
        </w:tc>
      </w:tr>
      <w:tr w:rsidR="008D5C2D" w:rsidRPr="00E505F2" w14:paraId="3CB86C1C" w14:textId="77777777">
        <w:trPr>
          <w:divId w:val="1414429449"/>
          <w:tblCellSpacing w:w="15" w:type="dxa"/>
        </w:trPr>
        <w:tc>
          <w:tcPr>
            <w:tcW w:w="50" w:type="pct"/>
            <w:hideMark/>
          </w:tcPr>
          <w:p w14:paraId="0AFAE5A5" w14:textId="77777777" w:rsidR="008D5C2D" w:rsidRPr="008D5C2D" w:rsidRDefault="008D5C2D">
            <w:pPr>
              <w:pStyle w:val="Bibliography"/>
              <w:rPr>
                <w:noProof/>
              </w:rPr>
            </w:pPr>
            <w:r w:rsidRPr="008D5C2D">
              <w:rPr>
                <w:noProof/>
              </w:rPr>
              <w:t xml:space="preserve">[5] </w:t>
            </w:r>
          </w:p>
        </w:tc>
        <w:tc>
          <w:tcPr>
            <w:tcW w:w="0" w:type="auto"/>
            <w:hideMark/>
          </w:tcPr>
          <w:p w14:paraId="5648AA41" w14:textId="27D930FA" w:rsidR="008D5C2D" w:rsidRPr="00C81A3B" w:rsidRDefault="008D5C2D">
            <w:pPr>
              <w:pStyle w:val="Bibliography"/>
              <w:rPr>
                <w:noProof/>
                <w:lang w:val="en-CA"/>
              </w:rPr>
            </w:pPr>
            <w:r w:rsidRPr="00C81A3B">
              <w:rPr>
                <w:noProof/>
                <w:lang w:val="en-CA"/>
              </w:rPr>
              <w:t xml:space="preserve">National Institute for Standards and Technology, </w:t>
            </w:r>
            <w:r w:rsidR="00FB480F">
              <w:rPr>
                <w:noProof/>
                <w:lang w:val="en-CA"/>
              </w:rPr>
              <w:t>“</w:t>
            </w:r>
            <w:r w:rsidRPr="00C81A3B">
              <w:rPr>
                <w:noProof/>
                <w:lang w:val="en-CA"/>
              </w:rPr>
              <w:t>NIST Cloud Computing Security Reference Architecture [SP 500-299],</w:t>
            </w:r>
            <w:r w:rsidR="00FB480F">
              <w:rPr>
                <w:noProof/>
                <w:lang w:val="en-CA"/>
              </w:rPr>
              <w:t>”</w:t>
            </w:r>
            <w:r w:rsidRPr="00C81A3B">
              <w:rPr>
                <w:noProof/>
                <w:lang w:val="en-CA"/>
              </w:rPr>
              <w:t xml:space="preserve"> Draft, 2013.</w:t>
            </w:r>
          </w:p>
        </w:tc>
      </w:tr>
      <w:tr w:rsidR="008D5C2D" w:rsidRPr="00E505F2" w14:paraId="6B7F9D5A" w14:textId="77777777">
        <w:trPr>
          <w:divId w:val="1414429449"/>
          <w:tblCellSpacing w:w="15" w:type="dxa"/>
        </w:trPr>
        <w:tc>
          <w:tcPr>
            <w:tcW w:w="50" w:type="pct"/>
            <w:hideMark/>
          </w:tcPr>
          <w:p w14:paraId="0A18489D" w14:textId="77777777" w:rsidR="008D5C2D" w:rsidRPr="008D5C2D" w:rsidRDefault="008D5C2D">
            <w:pPr>
              <w:pStyle w:val="Bibliography"/>
              <w:rPr>
                <w:noProof/>
              </w:rPr>
            </w:pPr>
            <w:r w:rsidRPr="008D5C2D">
              <w:rPr>
                <w:noProof/>
              </w:rPr>
              <w:t xml:space="preserve">[6] </w:t>
            </w:r>
          </w:p>
        </w:tc>
        <w:tc>
          <w:tcPr>
            <w:tcW w:w="0" w:type="auto"/>
            <w:hideMark/>
          </w:tcPr>
          <w:p w14:paraId="60A66BBA" w14:textId="599FF76F" w:rsidR="008D5C2D" w:rsidRPr="00C81A3B" w:rsidRDefault="008D5C2D">
            <w:pPr>
              <w:pStyle w:val="Bibliography"/>
              <w:rPr>
                <w:noProof/>
                <w:lang w:val="en-CA"/>
              </w:rPr>
            </w:pPr>
            <w:r w:rsidRPr="00C81A3B">
              <w:rPr>
                <w:noProof/>
                <w:lang w:val="en-CA"/>
              </w:rPr>
              <w:t xml:space="preserve">Treasury Board of Canada Secretariat, </w:t>
            </w:r>
            <w:r w:rsidR="00FB480F">
              <w:rPr>
                <w:noProof/>
                <w:lang w:val="en-CA"/>
              </w:rPr>
              <w:t>“</w:t>
            </w:r>
            <w:r w:rsidRPr="00C81A3B">
              <w:rPr>
                <w:noProof/>
                <w:lang w:val="en-CA"/>
              </w:rPr>
              <w:t>GC Security Control Profile for Cloud-based IT Services</w:t>
            </w:r>
            <w:r w:rsidR="00FB480F">
              <w:rPr>
                <w:noProof/>
                <w:lang w:val="en-CA"/>
              </w:rPr>
              <w:t>—</w:t>
            </w:r>
            <w:r w:rsidRPr="00C81A3B">
              <w:rPr>
                <w:noProof/>
                <w:lang w:val="en-CA"/>
              </w:rPr>
              <w:t>PBMM,</w:t>
            </w:r>
            <w:r w:rsidR="00FB480F">
              <w:rPr>
                <w:noProof/>
                <w:lang w:val="en-CA"/>
              </w:rPr>
              <w:t>”</w:t>
            </w:r>
            <w:r w:rsidRPr="00C81A3B">
              <w:rPr>
                <w:noProof/>
                <w:lang w:val="en-CA"/>
              </w:rPr>
              <w:t xml:space="preserve"> November 2016.</w:t>
            </w:r>
          </w:p>
        </w:tc>
      </w:tr>
      <w:tr w:rsidR="008D5C2D" w:rsidRPr="00E505F2" w14:paraId="02F4EB0A" w14:textId="77777777">
        <w:trPr>
          <w:divId w:val="1414429449"/>
          <w:tblCellSpacing w:w="15" w:type="dxa"/>
        </w:trPr>
        <w:tc>
          <w:tcPr>
            <w:tcW w:w="50" w:type="pct"/>
            <w:hideMark/>
          </w:tcPr>
          <w:p w14:paraId="19C47D49" w14:textId="77777777" w:rsidR="008D5C2D" w:rsidRPr="008D5C2D" w:rsidRDefault="008D5C2D">
            <w:pPr>
              <w:pStyle w:val="Bibliography"/>
              <w:rPr>
                <w:noProof/>
              </w:rPr>
            </w:pPr>
            <w:r w:rsidRPr="008D5C2D">
              <w:rPr>
                <w:noProof/>
              </w:rPr>
              <w:t xml:space="preserve">[7] </w:t>
            </w:r>
          </w:p>
        </w:tc>
        <w:tc>
          <w:tcPr>
            <w:tcW w:w="0" w:type="auto"/>
            <w:hideMark/>
          </w:tcPr>
          <w:p w14:paraId="2207091A" w14:textId="63965244" w:rsidR="008D5C2D" w:rsidRPr="00C81A3B" w:rsidRDefault="008D5C2D">
            <w:pPr>
              <w:pStyle w:val="Bibliography"/>
              <w:rPr>
                <w:noProof/>
                <w:lang w:val="en-CA"/>
              </w:rPr>
            </w:pPr>
            <w:r w:rsidRPr="00C81A3B">
              <w:rPr>
                <w:noProof/>
                <w:lang w:val="en-CA"/>
              </w:rPr>
              <w:t xml:space="preserve">Treasury Board of Canada Secretariat, </w:t>
            </w:r>
            <w:r w:rsidR="00FB480F">
              <w:rPr>
                <w:noProof/>
                <w:lang w:val="en-CA"/>
              </w:rPr>
              <w:t>“</w:t>
            </w:r>
            <w:r w:rsidRPr="00C81A3B">
              <w:rPr>
                <w:noProof/>
                <w:lang w:val="en-CA"/>
              </w:rPr>
              <w:t>GC Cloud Adoption Strategy,</w:t>
            </w:r>
            <w:r w:rsidR="00FB480F">
              <w:rPr>
                <w:noProof/>
                <w:lang w:val="en-CA"/>
              </w:rPr>
              <w:t>”</w:t>
            </w:r>
            <w:r w:rsidRPr="00C81A3B">
              <w:rPr>
                <w:noProof/>
                <w:lang w:val="en-CA"/>
              </w:rPr>
              <w:t xml:space="preserve"> DRAFT, December 2015.</w:t>
            </w:r>
          </w:p>
        </w:tc>
      </w:tr>
      <w:tr w:rsidR="008D5C2D" w:rsidRPr="00E505F2" w14:paraId="6D04DBAF" w14:textId="77777777">
        <w:trPr>
          <w:divId w:val="1414429449"/>
          <w:tblCellSpacing w:w="15" w:type="dxa"/>
        </w:trPr>
        <w:tc>
          <w:tcPr>
            <w:tcW w:w="50" w:type="pct"/>
            <w:hideMark/>
          </w:tcPr>
          <w:p w14:paraId="08E981C7" w14:textId="77777777" w:rsidR="008D5C2D" w:rsidRPr="008D5C2D" w:rsidRDefault="008D5C2D">
            <w:pPr>
              <w:pStyle w:val="Bibliography"/>
              <w:rPr>
                <w:noProof/>
              </w:rPr>
            </w:pPr>
            <w:r w:rsidRPr="008D5C2D">
              <w:rPr>
                <w:noProof/>
              </w:rPr>
              <w:t xml:space="preserve">[8] </w:t>
            </w:r>
          </w:p>
        </w:tc>
        <w:tc>
          <w:tcPr>
            <w:tcW w:w="0" w:type="auto"/>
            <w:hideMark/>
          </w:tcPr>
          <w:p w14:paraId="01246A0B" w14:textId="2EEEDB88" w:rsidR="008D5C2D" w:rsidRPr="00C81A3B" w:rsidRDefault="008D5C2D">
            <w:pPr>
              <w:pStyle w:val="Bibliography"/>
              <w:rPr>
                <w:noProof/>
                <w:lang w:val="en-CA"/>
              </w:rPr>
            </w:pPr>
            <w:r w:rsidRPr="00C81A3B">
              <w:rPr>
                <w:noProof/>
                <w:lang w:val="en-CA"/>
              </w:rPr>
              <w:t xml:space="preserve">Treasury Board of Canada Secretariat, </w:t>
            </w:r>
            <w:r w:rsidR="00FB480F">
              <w:rPr>
                <w:noProof/>
                <w:lang w:val="en-CA"/>
              </w:rPr>
              <w:t>“</w:t>
            </w:r>
            <w:r w:rsidRPr="00C81A3B">
              <w:rPr>
                <w:noProof/>
                <w:lang w:val="en-CA"/>
              </w:rPr>
              <w:t>Government of Canada Cyber Security Event Management Plan (GC CSEMP),</w:t>
            </w:r>
            <w:r w:rsidR="00FB480F">
              <w:rPr>
                <w:noProof/>
                <w:lang w:val="en-CA"/>
              </w:rPr>
              <w:t>”</w:t>
            </w:r>
            <w:r w:rsidRPr="00C81A3B">
              <w:rPr>
                <w:noProof/>
                <w:lang w:val="en-CA"/>
              </w:rPr>
              <w:t xml:space="preserve"> August 2015. [Online]. Available: https://www.tbs-sct.gc.ca/hgw-cgf/oversight-surveillance/atip-aiprp/sim-gsi/msi-gis/csemp-pgec-eng.asp.</w:t>
            </w:r>
          </w:p>
        </w:tc>
      </w:tr>
      <w:tr w:rsidR="008D5C2D" w:rsidRPr="00E505F2" w14:paraId="0EAD7BB1" w14:textId="77777777">
        <w:trPr>
          <w:divId w:val="1414429449"/>
          <w:tblCellSpacing w:w="15" w:type="dxa"/>
        </w:trPr>
        <w:tc>
          <w:tcPr>
            <w:tcW w:w="50" w:type="pct"/>
            <w:hideMark/>
          </w:tcPr>
          <w:p w14:paraId="6E6CC641" w14:textId="77777777" w:rsidR="008D5C2D" w:rsidRPr="008D5C2D" w:rsidRDefault="008D5C2D">
            <w:pPr>
              <w:pStyle w:val="Bibliography"/>
              <w:rPr>
                <w:noProof/>
              </w:rPr>
            </w:pPr>
            <w:r w:rsidRPr="008D5C2D">
              <w:rPr>
                <w:noProof/>
              </w:rPr>
              <w:t xml:space="preserve">[9] </w:t>
            </w:r>
          </w:p>
        </w:tc>
        <w:tc>
          <w:tcPr>
            <w:tcW w:w="0" w:type="auto"/>
            <w:hideMark/>
          </w:tcPr>
          <w:p w14:paraId="5DFEAFDC" w14:textId="72AC8F6B" w:rsidR="008D5C2D" w:rsidRPr="00C81A3B" w:rsidRDefault="008D5C2D">
            <w:pPr>
              <w:pStyle w:val="Bibliography"/>
              <w:rPr>
                <w:noProof/>
                <w:lang w:val="en-CA"/>
              </w:rPr>
            </w:pPr>
            <w:r w:rsidRPr="00C81A3B">
              <w:rPr>
                <w:noProof/>
                <w:lang w:val="en-CA"/>
              </w:rPr>
              <w:t xml:space="preserve">National Institute of Standards and Technology (NIST), </w:t>
            </w:r>
            <w:r w:rsidR="00FB480F">
              <w:rPr>
                <w:noProof/>
                <w:lang w:val="en-CA"/>
              </w:rPr>
              <w:t>“</w:t>
            </w:r>
            <w:r w:rsidRPr="00C81A3B">
              <w:rPr>
                <w:noProof/>
                <w:lang w:val="en-CA"/>
              </w:rPr>
              <w:t>[SP800-53, Rev4] Security and Privacy Controls for Federal Information Systems and Organizations, Revision 4,</w:t>
            </w:r>
            <w:r w:rsidR="00FB480F">
              <w:rPr>
                <w:noProof/>
                <w:lang w:val="en-CA"/>
              </w:rPr>
              <w:t>”</w:t>
            </w:r>
            <w:r w:rsidRPr="00C81A3B">
              <w:rPr>
                <w:noProof/>
                <w:lang w:val="en-CA"/>
              </w:rPr>
              <w:t xml:space="preserve"> April 2013.</w:t>
            </w:r>
          </w:p>
        </w:tc>
      </w:tr>
      <w:tr w:rsidR="008D5C2D" w:rsidRPr="00FB480F" w14:paraId="38396975" w14:textId="77777777">
        <w:trPr>
          <w:divId w:val="1414429449"/>
          <w:tblCellSpacing w:w="15" w:type="dxa"/>
        </w:trPr>
        <w:tc>
          <w:tcPr>
            <w:tcW w:w="50" w:type="pct"/>
            <w:hideMark/>
          </w:tcPr>
          <w:p w14:paraId="306EF6F0" w14:textId="77777777" w:rsidR="008D5C2D" w:rsidRPr="008D5C2D" w:rsidRDefault="008D5C2D">
            <w:pPr>
              <w:pStyle w:val="Bibliography"/>
              <w:rPr>
                <w:noProof/>
              </w:rPr>
            </w:pPr>
            <w:r w:rsidRPr="008D5C2D">
              <w:rPr>
                <w:noProof/>
              </w:rPr>
              <w:t xml:space="preserve">[10] </w:t>
            </w:r>
          </w:p>
        </w:tc>
        <w:tc>
          <w:tcPr>
            <w:tcW w:w="0" w:type="auto"/>
            <w:hideMark/>
          </w:tcPr>
          <w:p w14:paraId="2C043386" w14:textId="15140438" w:rsidR="008D5C2D" w:rsidRPr="00FB480F" w:rsidRDefault="008D5C2D">
            <w:pPr>
              <w:pStyle w:val="Bibliography"/>
              <w:rPr>
                <w:noProof/>
                <w:lang w:val="en-CA"/>
              </w:rPr>
            </w:pPr>
            <w:r w:rsidRPr="00C81A3B">
              <w:rPr>
                <w:noProof/>
                <w:lang w:val="en-CA"/>
              </w:rPr>
              <w:t xml:space="preserve">National Institute of Standards and Technology, </w:t>
            </w:r>
            <w:r w:rsidR="00FB480F">
              <w:rPr>
                <w:noProof/>
                <w:lang w:val="en-CA"/>
              </w:rPr>
              <w:t>“</w:t>
            </w:r>
            <w:r w:rsidRPr="00C81A3B">
              <w:rPr>
                <w:noProof/>
                <w:lang w:val="en-CA"/>
              </w:rPr>
              <w:t>NIST Special Publications, SP800s</w:t>
            </w:r>
            <w:r w:rsidR="00FB480F">
              <w:rPr>
                <w:noProof/>
                <w:lang w:val="en-CA"/>
              </w:rPr>
              <w:t>—</w:t>
            </w:r>
            <w:r w:rsidRPr="00C81A3B">
              <w:rPr>
                <w:noProof/>
                <w:lang w:val="en-CA"/>
              </w:rPr>
              <w:t>Computer Security,</w:t>
            </w:r>
            <w:r w:rsidR="00FB480F">
              <w:rPr>
                <w:noProof/>
                <w:lang w:val="en-CA"/>
              </w:rPr>
              <w:t>”</w:t>
            </w:r>
            <w:r w:rsidRPr="00C81A3B">
              <w:rPr>
                <w:noProof/>
                <w:lang w:val="en-CA"/>
              </w:rPr>
              <w:t xml:space="preserve"> [Online]. </w:t>
            </w:r>
            <w:r w:rsidRPr="00FB480F">
              <w:rPr>
                <w:noProof/>
                <w:lang w:val="en-CA"/>
              </w:rPr>
              <w:t>Available: http://csrc.nist.gov/publications/PubsSPs.html#SP 800.</w:t>
            </w:r>
          </w:p>
        </w:tc>
      </w:tr>
      <w:tr w:rsidR="008D5C2D" w:rsidRPr="00E505F2" w14:paraId="58BCFE8D" w14:textId="77777777">
        <w:trPr>
          <w:divId w:val="1414429449"/>
          <w:tblCellSpacing w:w="15" w:type="dxa"/>
        </w:trPr>
        <w:tc>
          <w:tcPr>
            <w:tcW w:w="50" w:type="pct"/>
            <w:hideMark/>
          </w:tcPr>
          <w:p w14:paraId="0D8F75D0" w14:textId="77777777" w:rsidR="008D5C2D" w:rsidRPr="008D5C2D" w:rsidRDefault="008D5C2D">
            <w:pPr>
              <w:pStyle w:val="Bibliography"/>
              <w:rPr>
                <w:noProof/>
              </w:rPr>
            </w:pPr>
            <w:r w:rsidRPr="008D5C2D">
              <w:rPr>
                <w:noProof/>
              </w:rPr>
              <w:t xml:space="preserve">[11] </w:t>
            </w:r>
          </w:p>
        </w:tc>
        <w:tc>
          <w:tcPr>
            <w:tcW w:w="0" w:type="auto"/>
            <w:hideMark/>
          </w:tcPr>
          <w:p w14:paraId="53A76AE7" w14:textId="59AFE8C2" w:rsidR="008D5C2D" w:rsidRPr="00C81A3B" w:rsidRDefault="008D5C2D">
            <w:pPr>
              <w:pStyle w:val="Bibliography"/>
              <w:rPr>
                <w:noProof/>
                <w:lang w:val="en-CA"/>
              </w:rPr>
            </w:pPr>
            <w:r w:rsidRPr="00C81A3B">
              <w:rPr>
                <w:noProof/>
                <w:lang w:val="en-CA"/>
              </w:rPr>
              <w:t xml:space="preserve">National Institute of Standards and Technology, </w:t>
            </w:r>
            <w:r w:rsidR="00FB480F">
              <w:rPr>
                <w:noProof/>
                <w:lang w:val="en-CA"/>
              </w:rPr>
              <w:t>“</w:t>
            </w:r>
            <w:r w:rsidRPr="00C81A3B">
              <w:rPr>
                <w:noProof/>
                <w:lang w:val="en-CA"/>
              </w:rPr>
              <w:t>Guide for Applying the Risk Management Framework to Federal Information Systems [SP800-37],</w:t>
            </w:r>
            <w:r w:rsidR="00FB480F">
              <w:rPr>
                <w:noProof/>
                <w:lang w:val="en-CA"/>
              </w:rPr>
              <w:t>”</w:t>
            </w:r>
            <w:r w:rsidRPr="00C81A3B">
              <w:rPr>
                <w:noProof/>
                <w:lang w:val="en-CA"/>
              </w:rPr>
              <w:t xml:space="preserve"> February 2010.</w:t>
            </w:r>
          </w:p>
        </w:tc>
      </w:tr>
      <w:tr w:rsidR="008D5C2D" w:rsidRPr="00E505F2" w14:paraId="7AF7B95D" w14:textId="77777777">
        <w:trPr>
          <w:divId w:val="1414429449"/>
          <w:tblCellSpacing w:w="15" w:type="dxa"/>
        </w:trPr>
        <w:tc>
          <w:tcPr>
            <w:tcW w:w="50" w:type="pct"/>
            <w:hideMark/>
          </w:tcPr>
          <w:p w14:paraId="657E50DF" w14:textId="77777777" w:rsidR="008D5C2D" w:rsidRPr="008D5C2D" w:rsidRDefault="008D5C2D">
            <w:pPr>
              <w:pStyle w:val="Bibliography"/>
              <w:rPr>
                <w:noProof/>
              </w:rPr>
            </w:pPr>
            <w:r w:rsidRPr="008D5C2D">
              <w:rPr>
                <w:noProof/>
              </w:rPr>
              <w:t xml:space="preserve">[12] </w:t>
            </w:r>
          </w:p>
        </w:tc>
        <w:tc>
          <w:tcPr>
            <w:tcW w:w="0" w:type="auto"/>
            <w:hideMark/>
          </w:tcPr>
          <w:p w14:paraId="39F15933" w14:textId="154207C5" w:rsidR="008D5C2D" w:rsidRPr="00C81A3B" w:rsidRDefault="008D5C2D">
            <w:pPr>
              <w:pStyle w:val="Bibliography"/>
              <w:rPr>
                <w:noProof/>
                <w:lang w:val="en-CA"/>
              </w:rPr>
            </w:pPr>
            <w:r w:rsidRPr="00C81A3B">
              <w:rPr>
                <w:noProof/>
                <w:lang w:val="en-CA"/>
              </w:rPr>
              <w:t>National Institute of Standards and Technology, NIST Cloud Computing Reference Architecture (Special Publication 500-292),</w:t>
            </w:r>
            <w:r w:rsidR="00FB480F">
              <w:rPr>
                <w:noProof/>
                <w:lang w:val="en-CA"/>
              </w:rPr>
              <w:t>”</w:t>
            </w:r>
            <w:r w:rsidRPr="00C81A3B">
              <w:rPr>
                <w:noProof/>
                <w:lang w:val="en-CA"/>
              </w:rPr>
              <w:t xml:space="preserve"> September 2011.</w:t>
            </w:r>
          </w:p>
        </w:tc>
      </w:tr>
      <w:tr w:rsidR="008D5C2D" w:rsidRPr="00E505F2" w14:paraId="0031F5F3" w14:textId="77777777">
        <w:trPr>
          <w:divId w:val="1414429449"/>
          <w:tblCellSpacing w:w="15" w:type="dxa"/>
        </w:trPr>
        <w:tc>
          <w:tcPr>
            <w:tcW w:w="50" w:type="pct"/>
            <w:hideMark/>
          </w:tcPr>
          <w:p w14:paraId="0C8F1BB3" w14:textId="77777777" w:rsidR="008D5C2D" w:rsidRPr="008D5C2D" w:rsidRDefault="008D5C2D">
            <w:pPr>
              <w:pStyle w:val="Bibliography"/>
              <w:rPr>
                <w:noProof/>
              </w:rPr>
            </w:pPr>
            <w:r w:rsidRPr="008D5C2D">
              <w:rPr>
                <w:noProof/>
              </w:rPr>
              <w:t xml:space="preserve">[13] </w:t>
            </w:r>
          </w:p>
        </w:tc>
        <w:tc>
          <w:tcPr>
            <w:tcW w:w="0" w:type="auto"/>
            <w:hideMark/>
          </w:tcPr>
          <w:p w14:paraId="69265FB1" w14:textId="18F9E575" w:rsidR="008D5C2D" w:rsidRPr="00C81A3B" w:rsidRDefault="008D5C2D">
            <w:pPr>
              <w:pStyle w:val="Bibliography"/>
              <w:rPr>
                <w:noProof/>
                <w:lang w:val="en-CA"/>
              </w:rPr>
            </w:pPr>
            <w:r w:rsidRPr="00C81A3B">
              <w:rPr>
                <w:noProof/>
                <w:lang w:val="en-CA"/>
              </w:rPr>
              <w:t xml:space="preserve">National Institute of Standards and Technology, </w:t>
            </w:r>
            <w:r w:rsidR="00FB480F">
              <w:rPr>
                <w:noProof/>
                <w:lang w:val="en-CA"/>
              </w:rPr>
              <w:t>“</w:t>
            </w:r>
            <w:r w:rsidRPr="00C81A3B">
              <w:rPr>
                <w:noProof/>
                <w:lang w:val="en-CA"/>
              </w:rPr>
              <w:t>NIST Cloud Computing Security Reference Architecture (Special Publication 500-299),</w:t>
            </w:r>
            <w:r w:rsidR="00FB480F">
              <w:rPr>
                <w:noProof/>
                <w:lang w:val="en-CA"/>
              </w:rPr>
              <w:t>”</w:t>
            </w:r>
            <w:r w:rsidRPr="00C81A3B">
              <w:rPr>
                <w:noProof/>
                <w:lang w:val="en-CA"/>
              </w:rPr>
              <w:t xml:space="preserve"> DRAFT.</w:t>
            </w:r>
          </w:p>
        </w:tc>
      </w:tr>
      <w:tr w:rsidR="008D5C2D" w:rsidRPr="00E505F2" w14:paraId="73197C90" w14:textId="77777777">
        <w:trPr>
          <w:divId w:val="1414429449"/>
          <w:tblCellSpacing w:w="15" w:type="dxa"/>
        </w:trPr>
        <w:tc>
          <w:tcPr>
            <w:tcW w:w="50" w:type="pct"/>
            <w:hideMark/>
          </w:tcPr>
          <w:p w14:paraId="17B52D4B" w14:textId="77777777" w:rsidR="008D5C2D" w:rsidRPr="008D5C2D" w:rsidRDefault="008D5C2D">
            <w:pPr>
              <w:pStyle w:val="Bibliography"/>
              <w:rPr>
                <w:noProof/>
              </w:rPr>
            </w:pPr>
            <w:r w:rsidRPr="008D5C2D">
              <w:rPr>
                <w:noProof/>
              </w:rPr>
              <w:t xml:space="preserve">[14] </w:t>
            </w:r>
          </w:p>
        </w:tc>
        <w:tc>
          <w:tcPr>
            <w:tcW w:w="0" w:type="auto"/>
            <w:hideMark/>
          </w:tcPr>
          <w:p w14:paraId="1C974AB3" w14:textId="0A8D0003" w:rsidR="008D5C2D" w:rsidRPr="00C81A3B" w:rsidRDefault="008D5C2D">
            <w:pPr>
              <w:pStyle w:val="Bibliography"/>
              <w:rPr>
                <w:noProof/>
                <w:lang w:val="en-CA"/>
              </w:rPr>
            </w:pPr>
            <w:r w:rsidRPr="00C81A3B">
              <w:rPr>
                <w:noProof/>
                <w:lang w:val="en-CA"/>
              </w:rPr>
              <w:t xml:space="preserve">National Institute of Standards and Technology, </w:t>
            </w:r>
            <w:r w:rsidR="00FB480F">
              <w:rPr>
                <w:noProof/>
                <w:lang w:val="en-CA"/>
              </w:rPr>
              <w:t>“</w:t>
            </w:r>
            <w:r w:rsidRPr="00C81A3B">
              <w:rPr>
                <w:noProof/>
                <w:lang w:val="en-CA"/>
              </w:rPr>
              <w:t>Assessing Security and Privacy Controls in Federal Information (Special Publication 800-53A Revision 4),</w:t>
            </w:r>
            <w:r w:rsidR="00FB480F">
              <w:rPr>
                <w:noProof/>
                <w:lang w:val="en-CA"/>
              </w:rPr>
              <w:t>”</w:t>
            </w:r>
            <w:r w:rsidRPr="00C81A3B">
              <w:rPr>
                <w:noProof/>
                <w:lang w:val="en-CA"/>
              </w:rPr>
              <w:t xml:space="preserve"> December 2014.</w:t>
            </w:r>
          </w:p>
        </w:tc>
      </w:tr>
      <w:tr w:rsidR="008D5C2D" w:rsidRPr="00E505F2" w14:paraId="0C496AC2" w14:textId="77777777">
        <w:trPr>
          <w:divId w:val="1414429449"/>
          <w:tblCellSpacing w:w="15" w:type="dxa"/>
        </w:trPr>
        <w:tc>
          <w:tcPr>
            <w:tcW w:w="50" w:type="pct"/>
            <w:hideMark/>
          </w:tcPr>
          <w:p w14:paraId="33CC93EE" w14:textId="77777777" w:rsidR="008D5C2D" w:rsidRPr="008D5C2D" w:rsidRDefault="008D5C2D">
            <w:pPr>
              <w:pStyle w:val="Bibliography"/>
              <w:rPr>
                <w:noProof/>
              </w:rPr>
            </w:pPr>
            <w:r w:rsidRPr="008D5C2D">
              <w:rPr>
                <w:noProof/>
              </w:rPr>
              <w:t xml:space="preserve">[15] </w:t>
            </w:r>
          </w:p>
        </w:tc>
        <w:tc>
          <w:tcPr>
            <w:tcW w:w="0" w:type="auto"/>
            <w:hideMark/>
          </w:tcPr>
          <w:p w14:paraId="4A53CF6D" w14:textId="5D36B1C2" w:rsidR="008D5C2D" w:rsidRPr="00C81A3B" w:rsidRDefault="008D5C2D">
            <w:pPr>
              <w:pStyle w:val="Bibliography"/>
              <w:rPr>
                <w:noProof/>
                <w:lang w:val="en-CA"/>
              </w:rPr>
            </w:pPr>
            <w:r w:rsidRPr="00C81A3B">
              <w:rPr>
                <w:noProof/>
                <w:lang w:val="en-CA"/>
              </w:rPr>
              <w:t xml:space="preserve">US Government, </w:t>
            </w:r>
            <w:r w:rsidR="00FB480F">
              <w:rPr>
                <w:noProof/>
                <w:lang w:val="en-CA"/>
              </w:rPr>
              <w:t>“</w:t>
            </w:r>
            <w:r w:rsidRPr="00C81A3B">
              <w:rPr>
                <w:noProof/>
                <w:lang w:val="en-CA"/>
              </w:rPr>
              <w:t>Federal Risk and Authorization Program (FedRAMP)</w:t>
            </w:r>
            <w:r w:rsidR="00FB480F">
              <w:rPr>
                <w:noProof/>
                <w:lang w:val="en-CA"/>
              </w:rPr>
              <w:t>”</w:t>
            </w:r>
            <w:r w:rsidRPr="00C81A3B">
              <w:rPr>
                <w:noProof/>
                <w:lang w:val="en-CA"/>
              </w:rPr>
              <w:t>.</w:t>
            </w:r>
          </w:p>
        </w:tc>
      </w:tr>
      <w:tr w:rsidR="008D5C2D" w:rsidRPr="008D5C2D" w14:paraId="38EA6E4C" w14:textId="77777777">
        <w:trPr>
          <w:divId w:val="1414429449"/>
          <w:tblCellSpacing w:w="15" w:type="dxa"/>
        </w:trPr>
        <w:tc>
          <w:tcPr>
            <w:tcW w:w="50" w:type="pct"/>
            <w:hideMark/>
          </w:tcPr>
          <w:p w14:paraId="77914600" w14:textId="77777777" w:rsidR="008D5C2D" w:rsidRPr="008D5C2D" w:rsidRDefault="008D5C2D">
            <w:pPr>
              <w:pStyle w:val="Bibliography"/>
              <w:rPr>
                <w:noProof/>
              </w:rPr>
            </w:pPr>
            <w:r w:rsidRPr="008D5C2D">
              <w:rPr>
                <w:noProof/>
              </w:rPr>
              <w:t xml:space="preserve">[16] </w:t>
            </w:r>
          </w:p>
        </w:tc>
        <w:tc>
          <w:tcPr>
            <w:tcW w:w="0" w:type="auto"/>
            <w:hideMark/>
          </w:tcPr>
          <w:p w14:paraId="1B3770AD" w14:textId="199F9474" w:rsidR="008D5C2D" w:rsidRPr="008D5C2D" w:rsidRDefault="008D5C2D">
            <w:pPr>
              <w:pStyle w:val="Bibliography"/>
              <w:rPr>
                <w:noProof/>
              </w:rPr>
            </w:pPr>
            <w:r w:rsidRPr="00C81A3B">
              <w:rPr>
                <w:noProof/>
                <w:lang w:val="en-CA"/>
              </w:rPr>
              <w:t xml:space="preserve">Treasury Board of Canada Secretariat, </w:t>
            </w:r>
            <w:r w:rsidR="00FB480F">
              <w:rPr>
                <w:noProof/>
                <w:lang w:val="en-CA"/>
              </w:rPr>
              <w:t>“</w:t>
            </w:r>
            <w:r w:rsidRPr="00C81A3B">
              <w:rPr>
                <w:noProof/>
                <w:lang w:val="en-CA"/>
              </w:rPr>
              <w:t>Government of Canada Strategic Reference Model,</w:t>
            </w:r>
            <w:r w:rsidR="00FB480F">
              <w:rPr>
                <w:noProof/>
                <w:lang w:val="en-CA"/>
              </w:rPr>
              <w:t>”</w:t>
            </w:r>
            <w:r w:rsidRPr="00C81A3B">
              <w:rPr>
                <w:noProof/>
                <w:lang w:val="en-CA"/>
              </w:rPr>
              <w:t xml:space="preserve"> </w:t>
            </w:r>
            <w:r w:rsidRPr="00C81A3B">
              <w:rPr>
                <w:noProof/>
                <w:lang w:val="en-CA"/>
              </w:rPr>
              <w:lastRenderedPageBreak/>
              <w:t xml:space="preserve">[Online]. </w:t>
            </w:r>
            <w:r w:rsidRPr="008D5C2D">
              <w:rPr>
                <w:noProof/>
              </w:rPr>
              <w:t>Available: https://tbs-sct.gc.ca/it-ti/itr-rti/srm-mrs-eng.asp.</w:t>
            </w:r>
          </w:p>
        </w:tc>
      </w:tr>
      <w:tr w:rsidR="008D5C2D" w:rsidRPr="00E505F2" w14:paraId="4127F654" w14:textId="77777777">
        <w:trPr>
          <w:divId w:val="1414429449"/>
          <w:tblCellSpacing w:w="15" w:type="dxa"/>
        </w:trPr>
        <w:tc>
          <w:tcPr>
            <w:tcW w:w="50" w:type="pct"/>
            <w:hideMark/>
          </w:tcPr>
          <w:p w14:paraId="14961E19" w14:textId="77777777" w:rsidR="008D5C2D" w:rsidRPr="008D5C2D" w:rsidRDefault="008D5C2D">
            <w:pPr>
              <w:pStyle w:val="Bibliography"/>
              <w:rPr>
                <w:noProof/>
              </w:rPr>
            </w:pPr>
            <w:r w:rsidRPr="008D5C2D">
              <w:rPr>
                <w:noProof/>
              </w:rPr>
              <w:lastRenderedPageBreak/>
              <w:t xml:space="preserve">[17] </w:t>
            </w:r>
          </w:p>
        </w:tc>
        <w:tc>
          <w:tcPr>
            <w:tcW w:w="0" w:type="auto"/>
            <w:hideMark/>
          </w:tcPr>
          <w:p w14:paraId="5E0D594E" w14:textId="00E4080F" w:rsidR="008D5C2D" w:rsidRPr="00C81A3B" w:rsidRDefault="008D5C2D">
            <w:pPr>
              <w:pStyle w:val="Bibliography"/>
              <w:rPr>
                <w:noProof/>
                <w:lang w:val="en-CA"/>
              </w:rPr>
            </w:pPr>
            <w:r w:rsidRPr="00C81A3B">
              <w:rPr>
                <w:noProof/>
                <w:lang w:val="en-CA"/>
              </w:rPr>
              <w:t xml:space="preserve">National Institute of Standards and Technology, </w:t>
            </w:r>
            <w:r w:rsidR="00FB480F">
              <w:rPr>
                <w:noProof/>
                <w:lang w:val="en-CA"/>
              </w:rPr>
              <w:t>“</w:t>
            </w:r>
            <w:r w:rsidRPr="00C81A3B">
              <w:rPr>
                <w:noProof/>
                <w:lang w:val="en-CA"/>
              </w:rPr>
              <w:t>[SP 800-137] Information Security Continuous Monitoring (ISCM) for Federal Information Systems and Organizations,</w:t>
            </w:r>
            <w:r w:rsidR="00FB480F">
              <w:rPr>
                <w:noProof/>
                <w:lang w:val="en-CA"/>
              </w:rPr>
              <w:t>”</w:t>
            </w:r>
            <w:r w:rsidRPr="00C81A3B">
              <w:rPr>
                <w:noProof/>
                <w:lang w:val="en-CA"/>
              </w:rPr>
              <w:t xml:space="preserve"> September 2011.</w:t>
            </w:r>
          </w:p>
        </w:tc>
      </w:tr>
      <w:tr w:rsidR="008D5C2D" w:rsidRPr="00E505F2" w14:paraId="4B838E22" w14:textId="77777777">
        <w:trPr>
          <w:divId w:val="1414429449"/>
          <w:tblCellSpacing w:w="15" w:type="dxa"/>
        </w:trPr>
        <w:tc>
          <w:tcPr>
            <w:tcW w:w="50" w:type="pct"/>
            <w:hideMark/>
          </w:tcPr>
          <w:p w14:paraId="3521CB0F" w14:textId="77777777" w:rsidR="008D5C2D" w:rsidRPr="008D5C2D" w:rsidRDefault="008D5C2D">
            <w:pPr>
              <w:pStyle w:val="Bibliography"/>
              <w:rPr>
                <w:noProof/>
              </w:rPr>
            </w:pPr>
            <w:r w:rsidRPr="008D5C2D">
              <w:rPr>
                <w:noProof/>
              </w:rPr>
              <w:t xml:space="preserve">[18] </w:t>
            </w:r>
          </w:p>
        </w:tc>
        <w:tc>
          <w:tcPr>
            <w:tcW w:w="0" w:type="auto"/>
            <w:hideMark/>
          </w:tcPr>
          <w:p w14:paraId="6C77D06B" w14:textId="17101A18" w:rsidR="008D5C2D" w:rsidRPr="00C81A3B" w:rsidRDefault="008D5C2D">
            <w:pPr>
              <w:pStyle w:val="Bibliography"/>
              <w:rPr>
                <w:noProof/>
                <w:lang w:val="en-CA"/>
              </w:rPr>
            </w:pPr>
            <w:r w:rsidRPr="00C81A3B">
              <w:rPr>
                <w:noProof/>
                <w:lang w:val="en-CA"/>
              </w:rPr>
              <w:t xml:space="preserve">T. B. o. C. Secretariat, </w:t>
            </w:r>
            <w:r w:rsidR="00FB480F">
              <w:rPr>
                <w:noProof/>
                <w:lang w:val="en-CA"/>
              </w:rPr>
              <w:t>“</w:t>
            </w:r>
            <w:r w:rsidRPr="00C81A3B">
              <w:rPr>
                <w:noProof/>
                <w:lang w:val="en-CA"/>
              </w:rPr>
              <w:t>Directive on Privacy Impact Assesssment,</w:t>
            </w:r>
            <w:r w:rsidR="00FB480F">
              <w:rPr>
                <w:noProof/>
                <w:lang w:val="en-CA"/>
              </w:rPr>
              <w:t>”</w:t>
            </w:r>
            <w:r w:rsidRPr="00C81A3B">
              <w:rPr>
                <w:noProof/>
                <w:lang w:val="en-CA"/>
              </w:rPr>
              <w:t xml:space="preserve"> April 2010.</w:t>
            </w:r>
          </w:p>
        </w:tc>
      </w:tr>
      <w:tr w:rsidR="008D5C2D" w:rsidRPr="00E505F2" w14:paraId="3ABFBD42" w14:textId="77777777">
        <w:trPr>
          <w:divId w:val="1414429449"/>
          <w:tblCellSpacing w:w="15" w:type="dxa"/>
        </w:trPr>
        <w:tc>
          <w:tcPr>
            <w:tcW w:w="50" w:type="pct"/>
            <w:hideMark/>
          </w:tcPr>
          <w:p w14:paraId="10F09289" w14:textId="77777777" w:rsidR="008D5C2D" w:rsidRPr="008D5C2D" w:rsidRDefault="008D5C2D">
            <w:pPr>
              <w:pStyle w:val="Bibliography"/>
              <w:rPr>
                <w:noProof/>
              </w:rPr>
            </w:pPr>
            <w:r w:rsidRPr="008D5C2D">
              <w:rPr>
                <w:noProof/>
              </w:rPr>
              <w:t xml:space="preserve">[19] </w:t>
            </w:r>
          </w:p>
        </w:tc>
        <w:tc>
          <w:tcPr>
            <w:tcW w:w="0" w:type="auto"/>
            <w:hideMark/>
          </w:tcPr>
          <w:p w14:paraId="78323F9F" w14:textId="043C594E" w:rsidR="008D5C2D" w:rsidRPr="00C81A3B" w:rsidRDefault="008D5C2D">
            <w:pPr>
              <w:pStyle w:val="Bibliography"/>
              <w:rPr>
                <w:noProof/>
                <w:lang w:val="en-CA"/>
              </w:rPr>
            </w:pPr>
            <w:r w:rsidRPr="00C81A3B">
              <w:rPr>
                <w:noProof/>
                <w:lang w:val="en-CA"/>
              </w:rPr>
              <w:t xml:space="preserve">Communications Security Establishment, </w:t>
            </w:r>
            <w:r w:rsidR="00FB480F">
              <w:rPr>
                <w:noProof/>
                <w:lang w:val="en-CA"/>
              </w:rPr>
              <w:t>“</w:t>
            </w:r>
            <w:r w:rsidRPr="00C81A3B">
              <w:rPr>
                <w:noProof/>
                <w:lang w:val="en-CA"/>
              </w:rPr>
              <w:t>Security Considerations for the Contracting of Public Cloud Computing Services (ITSB-105),</w:t>
            </w:r>
            <w:r w:rsidR="00FB480F">
              <w:rPr>
                <w:noProof/>
                <w:lang w:val="en-CA"/>
              </w:rPr>
              <w:t>”</w:t>
            </w:r>
            <w:r w:rsidRPr="00C81A3B">
              <w:rPr>
                <w:noProof/>
                <w:lang w:val="en-CA"/>
              </w:rPr>
              <w:t xml:space="preserve"> December 2014.</w:t>
            </w:r>
          </w:p>
        </w:tc>
      </w:tr>
    </w:tbl>
    <w:p w14:paraId="68CC689D" w14:textId="77777777" w:rsidR="008D5C2D" w:rsidRPr="00C81A3B" w:rsidRDefault="008D5C2D">
      <w:pPr>
        <w:divId w:val="1414429449"/>
        <w:rPr>
          <w:noProof/>
          <w:lang w:val="en-CA"/>
        </w:rPr>
      </w:pPr>
    </w:p>
    <w:p w14:paraId="79243BC7" w14:textId="0724EDE1" w:rsidR="00491ED9" w:rsidRPr="008D5C2D" w:rsidRDefault="00491ED9" w:rsidP="00491ED9">
      <w:r w:rsidRPr="008D5C2D">
        <w:fldChar w:fldCharType="end"/>
      </w:r>
      <w:sdt>
        <w:sdtPr>
          <w:id w:val="111145805"/>
          <w:showingPlcHdr/>
          <w:bibliography/>
        </w:sdtPr>
        <w:sdtEndPr/>
        <w:sdtContent>
          <w:r w:rsidRPr="008D5C2D">
            <w:t xml:space="preserve">     </w:t>
          </w:r>
        </w:sdtContent>
      </w:sdt>
    </w:p>
    <w:p w14:paraId="7DBFBC11" w14:textId="77777777" w:rsidR="00491ED9" w:rsidRPr="008D5C2D" w:rsidRDefault="00491ED9" w:rsidP="00491ED9">
      <w:pPr>
        <w:spacing w:after="0" w:line="240" w:lineRule="auto"/>
      </w:pPr>
    </w:p>
    <w:sectPr w:rsidR="00491ED9" w:rsidRPr="008D5C2D" w:rsidSect="00491ED9">
      <w:headerReference w:type="even" r:id="rId31"/>
      <w:headerReference w:type="default" r:id="rId32"/>
      <w:headerReference w:type="first" r:id="rId33"/>
      <w:pgSz w:w="12240" w:h="15840" w:code="1"/>
      <w:pgMar w:top="720" w:right="1440" w:bottom="720"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8C15" w14:textId="77777777" w:rsidR="00170C8B" w:rsidRDefault="00170C8B">
      <w:pPr>
        <w:spacing w:after="0"/>
      </w:pPr>
      <w:r>
        <w:separator/>
      </w:r>
    </w:p>
    <w:p w14:paraId="385DBF98" w14:textId="77777777" w:rsidR="00170C8B" w:rsidRDefault="00170C8B"/>
    <w:p w14:paraId="7F8C0C5F" w14:textId="77777777" w:rsidR="00170C8B" w:rsidRDefault="00170C8B"/>
    <w:p w14:paraId="3AC396C4" w14:textId="77777777" w:rsidR="00170C8B" w:rsidRDefault="00170C8B"/>
    <w:p w14:paraId="7C7BB996" w14:textId="77777777" w:rsidR="00170C8B" w:rsidRDefault="00170C8B"/>
    <w:p w14:paraId="318BAE46" w14:textId="77777777" w:rsidR="00170C8B" w:rsidRDefault="00170C8B"/>
  </w:endnote>
  <w:endnote w:type="continuationSeparator" w:id="0">
    <w:p w14:paraId="3DCC0DB6" w14:textId="77777777" w:rsidR="00170C8B" w:rsidRDefault="00170C8B">
      <w:pPr>
        <w:spacing w:after="0"/>
      </w:pPr>
      <w:r>
        <w:continuationSeparator/>
      </w:r>
    </w:p>
    <w:p w14:paraId="5836C639" w14:textId="77777777" w:rsidR="00170C8B" w:rsidRDefault="00170C8B"/>
    <w:p w14:paraId="485F6102" w14:textId="77777777" w:rsidR="00170C8B" w:rsidRDefault="00170C8B"/>
    <w:p w14:paraId="0E195D93" w14:textId="77777777" w:rsidR="00170C8B" w:rsidRDefault="00170C8B"/>
    <w:p w14:paraId="7E278DB1" w14:textId="77777777" w:rsidR="00170C8B" w:rsidRDefault="00170C8B"/>
    <w:p w14:paraId="4E73AF78" w14:textId="77777777" w:rsidR="00170C8B" w:rsidRDefault="00170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D519" w14:textId="77777777" w:rsidR="00814426" w:rsidRDefault="00814426" w:rsidP="00424D4B">
    <w:pPr>
      <w:pStyle w:val="Footer"/>
    </w:pPr>
    <w:r>
      <w:fldChar w:fldCharType="begin"/>
    </w:r>
    <w:r>
      <w:instrText xml:space="preserve">PAGE  </w:instrText>
    </w:r>
    <w:r>
      <w:fldChar w:fldCharType="separate"/>
    </w:r>
    <w:r>
      <w:t>i</w:t>
    </w:r>
    <w:proofErr w:type="gramStart"/>
    <w:r>
      <w:t>i</w:t>
    </w:r>
    <w:proofErr w:type="gramEnd"/>
    <w:r>
      <w:fldChar w:fldCharType="end"/>
    </w:r>
  </w:p>
  <w:p w14:paraId="674907DB" w14:textId="77777777" w:rsidR="00814426" w:rsidRDefault="00814426" w:rsidP="006C5256">
    <w:pPr>
      <w:spacing w:after="0"/>
      <w:ind w:right="36"/>
      <w:jc w:val="center"/>
    </w:pPr>
    <w:r>
      <w:rPr>
        <w:noProof/>
      </w:rPr>
      <w:drawing>
        <wp:inline distT="0" distB="0" distL="0" distR="0" wp14:anchorId="4989FFFE" wp14:editId="4E2E85C5">
          <wp:extent cx="5953125" cy="114300"/>
          <wp:effectExtent l="0" t="0" r="9525" b="0"/>
          <wp:docPr id="5" name="Picture 5" descr="bottom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114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DD07" w14:textId="77777777" w:rsidR="00DC2C48" w:rsidRDefault="00DC2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E322" w14:textId="77777777" w:rsidR="00DC2C48" w:rsidRDefault="00DC2C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AA8A" w14:textId="77777777" w:rsidR="00814426" w:rsidRDefault="00814426" w:rsidP="004C1E85"/>
  <w:p w14:paraId="5439331E" w14:textId="5FC3DE76" w:rsidR="00814426" w:rsidRPr="004E7EB8" w:rsidRDefault="00814426" w:rsidP="00D23698">
    <w:pPr>
      <w:pStyle w:val="Footer"/>
      <w:rPr>
        <w:rFonts w:asciiTheme="minorHAnsi" w:hAnsiTheme="minorHAnsi"/>
      </w:rPr>
    </w:pPr>
    <w:r>
      <w:tab/>
    </w:r>
    <w:r w:rsidRPr="004E7EB8">
      <w:rPr>
        <w:rFonts w:asciiTheme="minorHAnsi" w:hAnsiTheme="minorHAnsi"/>
      </w:rPr>
      <w:fldChar w:fldCharType="begin"/>
    </w:r>
    <w:r w:rsidRPr="004E7EB8">
      <w:rPr>
        <w:rFonts w:asciiTheme="minorHAnsi" w:hAnsiTheme="minorHAnsi"/>
      </w:rPr>
      <w:instrText xml:space="preserve">PAGE  </w:instrText>
    </w:r>
    <w:r w:rsidRPr="004E7EB8">
      <w:rPr>
        <w:rFonts w:asciiTheme="minorHAnsi" w:hAnsiTheme="minorHAnsi"/>
      </w:rPr>
      <w:fldChar w:fldCharType="separate"/>
    </w:r>
    <w:r w:rsidR="00DA38DC">
      <w:rPr>
        <w:rFonts w:asciiTheme="minorHAnsi" w:hAnsiTheme="minorHAnsi"/>
      </w:rPr>
      <w:t>i</w:t>
    </w:r>
    <w:proofErr w:type="gramStart"/>
    <w:r w:rsidR="00DA38DC">
      <w:rPr>
        <w:rFonts w:asciiTheme="minorHAnsi" w:hAnsiTheme="minorHAnsi"/>
      </w:rPr>
      <w:t>i</w:t>
    </w:r>
    <w:proofErr w:type="gramEnd"/>
    <w:r w:rsidRPr="004E7EB8">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8A1C" w14:textId="77777777" w:rsidR="00170C8B" w:rsidRDefault="00170C8B" w:rsidP="00E93B14">
      <w:pPr>
        <w:spacing w:before="20" w:after="20"/>
      </w:pPr>
      <w:r>
        <w:separator/>
      </w:r>
    </w:p>
  </w:footnote>
  <w:footnote w:type="continuationSeparator" w:id="0">
    <w:p w14:paraId="7E80255D" w14:textId="77777777" w:rsidR="00170C8B" w:rsidRDefault="00170C8B">
      <w:pPr>
        <w:spacing w:after="0"/>
      </w:pPr>
      <w:r>
        <w:continuationSeparator/>
      </w:r>
    </w:p>
    <w:p w14:paraId="15266DF4" w14:textId="77777777" w:rsidR="00170C8B" w:rsidRDefault="00170C8B"/>
    <w:p w14:paraId="7E54E535" w14:textId="77777777" w:rsidR="00170C8B" w:rsidRDefault="00170C8B"/>
    <w:p w14:paraId="19EA0B9B" w14:textId="77777777" w:rsidR="00170C8B" w:rsidRDefault="00170C8B"/>
    <w:p w14:paraId="42CBFBC5" w14:textId="77777777" w:rsidR="00170C8B" w:rsidRDefault="00170C8B"/>
    <w:p w14:paraId="268692D4" w14:textId="77777777" w:rsidR="00170C8B" w:rsidRDefault="00170C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BBA1" w14:textId="447A7CE0" w:rsidR="00814426" w:rsidRPr="006C5256" w:rsidRDefault="00E505F2" w:rsidP="00E6758F">
    <w:pPr>
      <w:pStyle w:val="Header"/>
    </w:pPr>
    <w:r>
      <w:pict w14:anchorId="00512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04" o:spid="_x0000_s1026" type="#_x0000_t136" style="position:absolute;margin-left:0;margin-top:0;width:323.45pt;height:146.75pt;rotation:315;z-index:-251651584;mso-position-horizontal:center;mso-position-horizontal-relative:margin;mso-position-vertical:center;mso-position-vertical-relative:margin" o:allowincell="f" fillcolor="silver" stroked="f">
          <v:fill opacity=".5"/>
          <v:textpath style="font-family:&quot;Calibri&quot;;font-size:120pt" string="ÉBAUCHE"/>
          <w10:wrap anchorx="margin" anchory="margin"/>
        </v:shape>
      </w:pict>
    </w:r>
    <w:r w:rsidR="00DA38DC">
      <w:t>NON CLASSIFIÉ</w:t>
    </w:r>
  </w:p>
  <w:p w14:paraId="3EDAE6DB" w14:textId="77777777" w:rsidR="00814426" w:rsidRDefault="00814426" w:rsidP="00E6758F">
    <w:pPr>
      <w:pStyle w:val="Header"/>
    </w:pPr>
    <w:r>
      <w:rPr>
        <w:noProof/>
      </w:rPr>
      <w:drawing>
        <wp:inline distT="0" distB="0" distL="0" distR="0" wp14:anchorId="437FF527" wp14:editId="1EECBAA7">
          <wp:extent cx="5924550" cy="438150"/>
          <wp:effectExtent l="0" t="0" r="0" b="0"/>
          <wp:docPr id="1" name="Picture 1" descr="top-no cr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no cre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438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1D6F" w14:textId="7FAFEB13" w:rsidR="00814426" w:rsidRPr="00D23698" w:rsidRDefault="00F2414A" w:rsidP="00D23698">
    <w:pPr>
      <w:pStyle w:val="Classification"/>
    </w:pPr>
    <w:r>
      <w:rPr>
        <w:noProof/>
      </w:rPr>
      <w:drawing>
        <wp:anchor distT="0" distB="0" distL="114300" distR="114300" simplePos="0" relativeHeight="251658240" behindDoc="1" locked="0" layoutInCell="1" allowOverlap="1" wp14:anchorId="68199081" wp14:editId="778E2989">
          <wp:simplePos x="0" y="0"/>
          <wp:positionH relativeFrom="column">
            <wp:posOffset>-923897</wp:posOffset>
          </wp:positionH>
          <wp:positionV relativeFrom="paragraph">
            <wp:posOffset>-447896</wp:posOffset>
          </wp:positionV>
          <wp:extent cx="7772400" cy="105488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5488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517" w14:textId="77FBA070" w:rsidR="00814426" w:rsidRDefault="00E505F2">
    <w:pPr>
      <w:pStyle w:val="Header"/>
    </w:pPr>
    <w:r>
      <w:pict w14:anchorId="5AC94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03" o:spid="_x0000_s1025" type="#_x0000_t136" style="position:absolute;margin-left:0;margin-top:0;width:323.45pt;height:146.75pt;rotation:315;z-index:-251653632;mso-position-horizontal:center;mso-position-horizontal-relative:margin;mso-position-vertical:center;mso-position-vertical-relative:margin" o:allowincell="f" fillcolor="silver" stroked="f">
          <v:fill opacity=".5"/>
          <v:textpath style="font-family:&quot;Calibri&quot;;font-size:120pt" string="ÉBAUCH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0DF4" w14:textId="37B831E2" w:rsidR="00814426" w:rsidRDefault="00E505F2">
    <w:pPr>
      <w:pStyle w:val="Header"/>
    </w:pPr>
    <w:r>
      <w:pict w14:anchorId="7AC37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07" o:spid="_x0000_s1029" type="#_x0000_t136" style="position:absolute;margin-left:0;margin-top:0;width:323.45pt;height:146.75pt;rotation:315;z-index:-251645440;mso-position-horizontal:center;mso-position-horizontal-relative:margin;mso-position-vertical:center;mso-position-vertical-relative:margin" o:allowincell="f" fillcolor="silver" stroked="f">
          <v:fill opacity=".5"/>
          <v:textpath style="font-family:&quot;Calibri&quot;;font-size:120pt" string="ÉBAUCH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D420" w14:textId="1BDD68C3" w:rsidR="00814426" w:rsidRDefault="00DA38DC" w:rsidP="00E63175">
    <w:pPr>
      <w:pStyle w:val="Header"/>
      <w:spacing w:after="0"/>
      <w:rPr>
        <w:rFonts w:asciiTheme="minorHAnsi" w:hAnsiTheme="minorHAnsi"/>
        <w:sz w:val="18"/>
      </w:rPr>
    </w:pPr>
    <w:r>
      <w:rPr>
        <w:rFonts w:asciiTheme="minorHAnsi" w:hAnsiTheme="minorHAnsi"/>
        <w:sz w:val="18"/>
      </w:rPr>
      <w:t xml:space="preserve">Gouvernement du Canada </w:t>
    </w:r>
  </w:p>
  <w:p w14:paraId="47988EB7" w14:textId="3E692D14" w:rsidR="00814426" w:rsidRPr="000F7709" w:rsidRDefault="00814426" w:rsidP="00E63175">
    <w:pPr>
      <w:pStyle w:val="Header"/>
      <w:spacing w:after="0"/>
      <w:rPr>
        <w:rFonts w:asciiTheme="minorHAnsi" w:hAnsiTheme="minorHAnsi"/>
        <w:sz w:val="18"/>
      </w:rPr>
    </w:pPr>
    <w:r>
      <w:rPr>
        <w:rFonts w:asciiTheme="minorHAnsi" w:hAnsiTheme="minorHAnsi"/>
        <w:sz w:val="18"/>
      </w:rPr>
      <w:t>Rôles et responsabilités en matière d’informatique en nuage</w:t>
    </w:r>
    <w:r>
      <w:rPr>
        <w:rFonts w:asciiTheme="minorHAnsi" w:hAnsiTheme="minorHAnsi"/>
        <w:sz w:val="18"/>
      </w:rPr>
      <w:tab/>
      <w:t>NON CLASSIFIÉ</w:t>
    </w:r>
  </w:p>
  <w:p w14:paraId="42A7DA12" w14:textId="77777777" w:rsidR="00814426" w:rsidRDefault="00814426" w:rsidP="00E631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4DB9" w14:textId="7A0A1482" w:rsidR="00814426" w:rsidRDefault="00E505F2">
    <w:pPr>
      <w:pStyle w:val="Header"/>
    </w:pPr>
    <w:r>
      <w:pict w14:anchorId="57B94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06" o:spid="_x0000_s1028" type="#_x0000_t136" style="position:absolute;margin-left:0;margin-top:0;width:323.45pt;height:146.75pt;rotation:315;z-index:-251647488;mso-position-horizontal:center;mso-position-horizontal-relative:margin;mso-position-vertical:center;mso-position-vertical-relative:margin" o:allowincell="f" fillcolor="silver" stroked="f">
          <v:fill opacity=".5"/>
          <v:textpath style="font-family:&quot;Calibri&quot;;font-size:120pt" string="ÉBAUCH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1278" w14:textId="71F904C3" w:rsidR="00814426" w:rsidRDefault="00E505F2">
    <w:pPr>
      <w:pStyle w:val="Header"/>
    </w:pPr>
    <w:r>
      <w:pict w14:anchorId="61A78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10" o:spid="_x0000_s1032" type="#_x0000_t136" style="position:absolute;margin-left:0;margin-top:0;width:323.45pt;height:146.75pt;rotation:315;z-index:-251639296;mso-position-horizontal:center;mso-position-horizontal-relative:margin;mso-position-vertical:center;mso-position-vertical-relative:margin" o:allowincell="f" fillcolor="silver" stroked="f">
          <v:fill opacity=".5"/>
          <v:textpath style="font-family:&quot;Calibri&quot;;font-size:120pt" string="ÉBAUCH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4A84" w14:textId="4346A526" w:rsidR="00814426" w:rsidRDefault="00DA38DC" w:rsidP="003D281D">
    <w:pPr>
      <w:pStyle w:val="Header"/>
      <w:spacing w:after="0"/>
      <w:rPr>
        <w:rFonts w:asciiTheme="minorHAnsi" w:hAnsiTheme="minorHAnsi"/>
        <w:sz w:val="18"/>
      </w:rPr>
    </w:pPr>
    <w:r>
      <w:rPr>
        <w:rFonts w:asciiTheme="minorHAnsi" w:hAnsiTheme="minorHAnsi"/>
        <w:sz w:val="18"/>
      </w:rPr>
      <w:t xml:space="preserve">Gouvernement du Canada </w:t>
    </w:r>
  </w:p>
  <w:p w14:paraId="27237602" w14:textId="16C75A27" w:rsidR="00814426" w:rsidRPr="000F7709" w:rsidRDefault="00814426" w:rsidP="003D281D">
    <w:pPr>
      <w:pStyle w:val="Header"/>
      <w:spacing w:after="0"/>
      <w:rPr>
        <w:rFonts w:asciiTheme="minorHAnsi" w:hAnsiTheme="minorHAnsi"/>
        <w:sz w:val="18"/>
      </w:rPr>
    </w:pPr>
    <w:r>
      <w:rPr>
        <w:rFonts w:asciiTheme="minorHAnsi" w:hAnsiTheme="minorHAnsi"/>
        <w:sz w:val="18"/>
      </w:rPr>
      <w:t>Rôles et responsabilités en matière d’informatique en nuage</w:t>
    </w:r>
    <w:r>
      <w:rPr>
        <w:rFonts w:asciiTheme="minorHAnsi" w:hAnsiTheme="minorHAnsi"/>
        <w:sz w:val="18"/>
      </w:rPr>
      <w:tab/>
      <w:t>NON CLASSIFIÉ</w:t>
    </w:r>
  </w:p>
  <w:p w14:paraId="1672EC37" w14:textId="77777777" w:rsidR="00814426" w:rsidRDefault="00814426" w:rsidP="00E6317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1E45" w14:textId="1A87031A" w:rsidR="00814426" w:rsidRDefault="00E505F2">
    <w:pPr>
      <w:pStyle w:val="Header"/>
    </w:pPr>
    <w:r>
      <w:pict w14:anchorId="28352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209" o:spid="_x0000_s1031" type="#_x0000_t136" style="position:absolute;margin-left:0;margin-top:0;width:323.45pt;height:146.75pt;rotation:315;z-index:-251641344;mso-position-horizontal:center;mso-position-horizontal-relative:margin;mso-position-vertical:center;mso-position-vertical-relative:margin" o:allowincell="f" fillcolor="silver" stroked="f">
          <v:fill opacity=".5"/>
          <v:textpath style="font-family:&quot;Calibri&quot;;font-size:120pt" string="ÉBAUCH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4EF"/>
    <w:multiLevelType w:val="hybridMultilevel"/>
    <w:tmpl w:val="4236813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 w15:restartNumberingAfterBreak="0">
    <w:nsid w:val="0B0F6CE2"/>
    <w:multiLevelType w:val="hybridMultilevel"/>
    <w:tmpl w:val="CBE8383A"/>
    <w:lvl w:ilvl="0" w:tplc="10090001">
      <w:start w:val="1"/>
      <w:numFmt w:val="bullet"/>
      <w:lvlText w:val=""/>
      <w:lvlJc w:val="left"/>
      <w:pPr>
        <w:ind w:left="818" w:hanging="360"/>
      </w:pPr>
      <w:rPr>
        <w:rFonts w:ascii="Symbol" w:hAnsi="Symbol" w:hint="default"/>
      </w:rPr>
    </w:lvl>
    <w:lvl w:ilvl="1" w:tplc="10090003" w:tentative="1">
      <w:start w:val="1"/>
      <w:numFmt w:val="bullet"/>
      <w:lvlText w:val="o"/>
      <w:lvlJc w:val="left"/>
      <w:pPr>
        <w:ind w:left="1538" w:hanging="360"/>
      </w:pPr>
      <w:rPr>
        <w:rFonts w:ascii="Courier New" w:hAnsi="Courier New" w:cs="Courier New" w:hint="default"/>
      </w:rPr>
    </w:lvl>
    <w:lvl w:ilvl="2" w:tplc="10090005" w:tentative="1">
      <w:start w:val="1"/>
      <w:numFmt w:val="bullet"/>
      <w:lvlText w:val=""/>
      <w:lvlJc w:val="left"/>
      <w:pPr>
        <w:ind w:left="2258" w:hanging="360"/>
      </w:pPr>
      <w:rPr>
        <w:rFonts w:ascii="Wingdings" w:hAnsi="Wingdings" w:hint="default"/>
      </w:rPr>
    </w:lvl>
    <w:lvl w:ilvl="3" w:tplc="10090001" w:tentative="1">
      <w:start w:val="1"/>
      <w:numFmt w:val="bullet"/>
      <w:lvlText w:val=""/>
      <w:lvlJc w:val="left"/>
      <w:pPr>
        <w:ind w:left="2978" w:hanging="360"/>
      </w:pPr>
      <w:rPr>
        <w:rFonts w:ascii="Symbol" w:hAnsi="Symbol" w:hint="default"/>
      </w:rPr>
    </w:lvl>
    <w:lvl w:ilvl="4" w:tplc="10090003" w:tentative="1">
      <w:start w:val="1"/>
      <w:numFmt w:val="bullet"/>
      <w:lvlText w:val="o"/>
      <w:lvlJc w:val="left"/>
      <w:pPr>
        <w:ind w:left="3698" w:hanging="360"/>
      </w:pPr>
      <w:rPr>
        <w:rFonts w:ascii="Courier New" w:hAnsi="Courier New" w:cs="Courier New" w:hint="default"/>
      </w:rPr>
    </w:lvl>
    <w:lvl w:ilvl="5" w:tplc="10090005" w:tentative="1">
      <w:start w:val="1"/>
      <w:numFmt w:val="bullet"/>
      <w:lvlText w:val=""/>
      <w:lvlJc w:val="left"/>
      <w:pPr>
        <w:ind w:left="4418" w:hanging="360"/>
      </w:pPr>
      <w:rPr>
        <w:rFonts w:ascii="Wingdings" w:hAnsi="Wingdings" w:hint="default"/>
      </w:rPr>
    </w:lvl>
    <w:lvl w:ilvl="6" w:tplc="10090001" w:tentative="1">
      <w:start w:val="1"/>
      <w:numFmt w:val="bullet"/>
      <w:lvlText w:val=""/>
      <w:lvlJc w:val="left"/>
      <w:pPr>
        <w:ind w:left="5138" w:hanging="360"/>
      </w:pPr>
      <w:rPr>
        <w:rFonts w:ascii="Symbol" w:hAnsi="Symbol" w:hint="default"/>
      </w:rPr>
    </w:lvl>
    <w:lvl w:ilvl="7" w:tplc="10090003" w:tentative="1">
      <w:start w:val="1"/>
      <w:numFmt w:val="bullet"/>
      <w:lvlText w:val="o"/>
      <w:lvlJc w:val="left"/>
      <w:pPr>
        <w:ind w:left="5858" w:hanging="360"/>
      </w:pPr>
      <w:rPr>
        <w:rFonts w:ascii="Courier New" w:hAnsi="Courier New" w:cs="Courier New" w:hint="default"/>
      </w:rPr>
    </w:lvl>
    <w:lvl w:ilvl="8" w:tplc="10090005" w:tentative="1">
      <w:start w:val="1"/>
      <w:numFmt w:val="bullet"/>
      <w:lvlText w:val=""/>
      <w:lvlJc w:val="left"/>
      <w:pPr>
        <w:ind w:left="6578" w:hanging="360"/>
      </w:pPr>
      <w:rPr>
        <w:rFonts w:ascii="Wingdings" w:hAnsi="Wingdings" w:hint="default"/>
      </w:rPr>
    </w:lvl>
  </w:abstractNum>
  <w:abstractNum w:abstractNumId="2" w15:restartNumberingAfterBreak="0">
    <w:nsid w:val="0D193295"/>
    <w:multiLevelType w:val="hybridMultilevel"/>
    <w:tmpl w:val="99DC2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84F67"/>
    <w:multiLevelType w:val="hybridMultilevel"/>
    <w:tmpl w:val="B34AA6A0"/>
    <w:lvl w:ilvl="0" w:tplc="B0A8C85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1511AC"/>
    <w:multiLevelType w:val="hybridMultilevel"/>
    <w:tmpl w:val="2B6401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F0C4E9E"/>
    <w:multiLevelType w:val="hybridMultilevel"/>
    <w:tmpl w:val="F8F8FB50"/>
    <w:lvl w:ilvl="0" w:tplc="AC6C31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14E93"/>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A32198"/>
    <w:multiLevelType w:val="hybridMultilevel"/>
    <w:tmpl w:val="E7E28F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6374E90"/>
    <w:multiLevelType w:val="hybridMultilevel"/>
    <w:tmpl w:val="43D0D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9103EA"/>
    <w:multiLevelType w:val="hybridMultilevel"/>
    <w:tmpl w:val="69BE33FE"/>
    <w:name w:val="WW8Num53224222"/>
    <w:lvl w:ilvl="0" w:tplc="ED963554">
      <w:start w:val="1"/>
      <w:numFmt w:val="bullet"/>
      <w:lvlText w:val=""/>
      <w:lvlJc w:val="left"/>
      <w:pPr>
        <w:tabs>
          <w:tab w:val="num" w:pos="0"/>
        </w:tabs>
        <w:ind w:left="170" w:hanging="170"/>
      </w:pPr>
      <w:rPr>
        <w:rFonts w:ascii="Symbol" w:hAnsi="Symbol" w:hint="default"/>
      </w:rPr>
    </w:lvl>
    <w:lvl w:ilvl="1" w:tplc="4C887E1A" w:tentative="1">
      <w:start w:val="1"/>
      <w:numFmt w:val="bullet"/>
      <w:lvlText w:val="o"/>
      <w:lvlJc w:val="left"/>
      <w:pPr>
        <w:tabs>
          <w:tab w:val="num" w:pos="1440"/>
        </w:tabs>
        <w:ind w:left="1440" w:hanging="360"/>
      </w:pPr>
      <w:rPr>
        <w:rFonts w:ascii="Courier New" w:hAnsi="Courier New" w:cs="Courier New" w:hint="default"/>
      </w:rPr>
    </w:lvl>
    <w:lvl w:ilvl="2" w:tplc="4104BC18" w:tentative="1">
      <w:start w:val="1"/>
      <w:numFmt w:val="bullet"/>
      <w:lvlText w:val=""/>
      <w:lvlJc w:val="left"/>
      <w:pPr>
        <w:tabs>
          <w:tab w:val="num" w:pos="2160"/>
        </w:tabs>
        <w:ind w:left="2160" w:hanging="360"/>
      </w:pPr>
      <w:rPr>
        <w:rFonts w:ascii="Wingdings" w:hAnsi="Wingdings" w:hint="default"/>
      </w:rPr>
    </w:lvl>
    <w:lvl w:ilvl="3" w:tplc="9A380090" w:tentative="1">
      <w:start w:val="1"/>
      <w:numFmt w:val="bullet"/>
      <w:lvlText w:val=""/>
      <w:lvlJc w:val="left"/>
      <w:pPr>
        <w:tabs>
          <w:tab w:val="num" w:pos="2880"/>
        </w:tabs>
        <w:ind w:left="2880" w:hanging="360"/>
      </w:pPr>
      <w:rPr>
        <w:rFonts w:ascii="Symbol" w:hAnsi="Symbol" w:hint="default"/>
      </w:rPr>
    </w:lvl>
    <w:lvl w:ilvl="4" w:tplc="EC8E99B0" w:tentative="1">
      <w:start w:val="1"/>
      <w:numFmt w:val="bullet"/>
      <w:lvlText w:val="o"/>
      <w:lvlJc w:val="left"/>
      <w:pPr>
        <w:tabs>
          <w:tab w:val="num" w:pos="3600"/>
        </w:tabs>
        <w:ind w:left="3600" w:hanging="360"/>
      </w:pPr>
      <w:rPr>
        <w:rFonts w:ascii="Courier New" w:hAnsi="Courier New" w:cs="Courier New" w:hint="default"/>
      </w:rPr>
    </w:lvl>
    <w:lvl w:ilvl="5" w:tplc="6C881022" w:tentative="1">
      <w:start w:val="1"/>
      <w:numFmt w:val="bullet"/>
      <w:lvlText w:val=""/>
      <w:lvlJc w:val="left"/>
      <w:pPr>
        <w:tabs>
          <w:tab w:val="num" w:pos="4320"/>
        </w:tabs>
        <w:ind w:left="4320" w:hanging="360"/>
      </w:pPr>
      <w:rPr>
        <w:rFonts w:ascii="Wingdings" w:hAnsi="Wingdings" w:hint="default"/>
      </w:rPr>
    </w:lvl>
    <w:lvl w:ilvl="6" w:tplc="69A8B40A" w:tentative="1">
      <w:start w:val="1"/>
      <w:numFmt w:val="bullet"/>
      <w:lvlText w:val=""/>
      <w:lvlJc w:val="left"/>
      <w:pPr>
        <w:tabs>
          <w:tab w:val="num" w:pos="5040"/>
        </w:tabs>
        <w:ind w:left="5040" w:hanging="360"/>
      </w:pPr>
      <w:rPr>
        <w:rFonts w:ascii="Symbol" w:hAnsi="Symbol" w:hint="default"/>
      </w:rPr>
    </w:lvl>
    <w:lvl w:ilvl="7" w:tplc="9BB4B5C2" w:tentative="1">
      <w:start w:val="1"/>
      <w:numFmt w:val="bullet"/>
      <w:lvlText w:val="o"/>
      <w:lvlJc w:val="left"/>
      <w:pPr>
        <w:tabs>
          <w:tab w:val="num" w:pos="5760"/>
        </w:tabs>
        <w:ind w:left="5760" w:hanging="360"/>
      </w:pPr>
      <w:rPr>
        <w:rFonts w:ascii="Courier New" w:hAnsi="Courier New" w:cs="Courier New" w:hint="default"/>
      </w:rPr>
    </w:lvl>
    <w:lvl w:ilvl="8" w:tplc="535697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020C9"/>
    <w:multiLevelType w:val="hybridMultilevel"/>
    <w:tmpl w:val="0B005DFE"/>
    <w:lvl w:ilvl="0" w:tplc="A94E9E5A">
      <w:start w:val="1"/>
      <w:numFmt w:val="bullet"/>
      <w:pStyle w:val="Bulletedlistintable"/>
      <w:lvlText w:val=""/>
      <w:lvlJc w:val="left"/>
      <w:pPr>
        <w:tabs>
          <w:tab w:val="num" w:pos="144"/>
        </w:tabs>
        <w:ind w:left="144" w:hanging="144"/>
      </w:pPr>
      <w:rPr>
        <w:rFonts w:ascii="Symbol" w:hAnsi="Symbol" w:hint="default"/>
        <w:sz w:val="16"/>
        <w:szCs w:val="16"/>
        <w:lang w:val="en-CA"/>
      </w:rPr>
    </w:lvl>
    <w:lvl w:ilvl="1" w:tplc="E8CEBD82">
      <w:start w:val="1"/>
      <w:numFmt w:val="decimal"/>
      <w:lvlText w:val="%2)"/>
      <w:lvlJc w:val="left"/>
      <w:pPr>
        <w:tabs>
          <w:tab w:val="num" w:pos="2016"/>
        </w:tabs>
        <w:ind w:left="2016" w:hanging="360"/>
      </w:pPr>
      <w:rPr>
        <w:rFonts w:hint="default"/>
        <w:sz w:val="16"/>
        <w:szCs w:val="16"/>
      </w:rPr>
    </w:lvl>
    <w:lvl w:ilvl="2" w:tplc="10090005">
      <w:start w:val="1"/>
      <w:numFmt w:val="bullet"/>
      <w:lvlText w:val=""/>
      <w:lvlJc w:val="left"/>
      <w:pPr>
        <w:tabs>
          <w:tab w:val="num" w:pos="2736"/>
        </w:tabs>
        <w:ind w:left="2736" w:hanging="360"/>
      </w:pPr>
      <w:rPr>
        <w:rFonts w:ascii="Wingdings" w:hAnsi="Wingdings" w:hint="default"/>
      </w:rPr>
    </w:lvl>
    <w:lvl w:ilvl="3" w:tplc="10090001" w:tentative="1">
      <w:start w:val="1"/>
      <w:numFmt w:val="bullet"/>
      <w:lvlText w:val=""/>
      <w:lvlJc w:val="left"/>
      <w:pPr>
        <w:tabs>
          <w:tab w:val="num" w:pos="3456"/>
        </w:tabs>
        <w:ind w:left="3456" w:hanging="360"/>
      </w:pPr>
      <w:rPr>
        <w:rFonts w:ascii="Symbol" w:hAnsi="Symbol" w:hint="default"/>
      </w:rPr>
    </w:lvl>
    <w:lvl w:ilvl="4" w:tplc="10090003" w:tentative="1">
      <w:start w:val="1"/>
      <w:numFmt w:val="bullet"/>
      <w:lvlText w:val="o"/>
      <w:lvlJc w:val="left"/>
      <w:pPr>
        <w:tabs>
          <w:tab w:val="num" w:pos="4176"/>
        </w:tabs>
        <w:ind w:left="4176" w:hanging="360"/>
      </w:pPr>
      <w:rPr>
        <w:rFonts w:ascii="Courier New" w:hAnsi="Courier New" w:cs="Courier New" w:hint="default"/>
      </w:rPr>
    </w:lvl>
    <w:lvl w:ilvl="5" w:tplc="10090005" w:tentative="1">
      <w:start w:val="1"/>
      <w:numFmt w:val="bullet"/>
      <w:lvlText w:val=""/>
      <w:lvlJc w:val="left"/>
      <w:pPr>
        <w:tabs>
          <w:tab w:val="num" w:pos="4896"/>
        </w:tabs>
        <w:ind w:left="4896" w:hanging="360"/>
      </w:pPr>
      <w:rPr>
        <w:rFonts w:ascii="Wingdings" w:hAnsi="Wingdings" w:hint="default"/>
      </w:rPr>
    </w:lvl>
    <w:lvl w:ilvl="6" w:tplc="10090001" w:tentative="1">
      <w:start w:val="1"/>
      <w:numFmt w:val="bullet"/>
      <w:lvlText w:val=""/>
      <w:lvlJc w:val="left"/>
      <w:pPr>
        <w:tabs>
          <w:tab w:val="num" w:pos="5616"/>
        </w:tabs>
        <w:ind w:left="5616" w:hanging="360"/>
      </w:pPr>
      <w:rPr>
        <w:rFonts w:ascii="Symbol" w:hAnsi="Symbol" w:hint="default"/>
      </w:rPr>
    </w:lvl>
    <w:lvl w:ilvl="7" w:tplc="10090003" w:tentative="1">
      <w:start w:val="1"/>
      <w:numFmt w:val="bullet"/>
      <w:lvlText w:val="o"/>
      <w:lvlJc w:val="left"/>
      <w:pPr>
        <w:tabs>
          <w:tab w:val="num" w:pos="6336"/>
        </w:tabs>
        <w:ind w:left="6336" w:hanging="360"/>
      </w:pPr>
      <w:rPr>
        <w:rFonts w:ascii="Courier New" w:hAnsi="Courier New" w:cs="Courier New" w:hint="default"/>
      </w:rPr>
    </w:lvl>
    <w:lvl w:ilvl="8" w:tplc="10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2E1470C2"/>
    <w:multiLevelType w:val="multilevel"/>
    <w:tmpl w:val="843EBC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3AA40CB"/>
    <w:multiLevelType w:val="multilevel"/>
    <w:tmpl w:val="843EBC44"/>
    <w:name w:val="WW8Num5322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63E30C1"/>
    <w:multiLevelType w:val="hybridMultilevel"/>
    <w:tmpl w:val="3FFE6E16"/>
    <w:lvl w:ilvl="0" w:tplc="AFEEAB68">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9A5AD5"/>
    <w:multiLevelType w:val="hybridMultilevel"/>
    <w:tmpl w:val="B712D0FC"/>
    <w:lvl w:ilvl="0" w:tplc="AFEEAB6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0B4921"/>
    <w:multiLevelType w:val="hybridMultilevel"/>
    <w:tmpl w:val="7FAC4AA8"/>
    <w:lvl w:ilvl="0" w:tplc="DB9ED3D0">
      <w:start w:val="1"/>
      <w:numFmt w:val="bullet"/>
      <w:pStyle w:val="TableText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A94FF8"/>
    <w:multiLevelType w:val="hybridMultilevel"/>
    <w:tmpl w:val="3EB2B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FB9666B"/>
    <w:multiLevelType w:val="hybridMultilevel"/>
    <w:tmpl w:val="D8E46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BC6D94"/>
    <w:multiLevelType w:val="hybridMultilevel"/>
    <w:tmpl w:val="BDA033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B912E4D"/>
    <w:multiLevelType w:val="hybridMultilevel"/>
    <w:tmpl w:val="014863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816D1F"/>
    <w:multiLevelType w:val="hybridMultilevel"/>
    <w:tmpl w:val="939C372A"/>
    <w:name w:val="WW8Num5322233"/>
    <w:lvl w:ilvl="0" w:tplc="9B98B37E">
      <w:start w:val="1"/>
      <w:numFmt w:val="bullet"/>
      <w:lvlText w:val=""/>
      <w:lvlJc w:val="left"/>
      <w:pPr>
        <w:ind w:left="720" w:hanging="360"/>
      </w:pPr>
      <w:rPr>
        <w:rFonts w:ascii="Symbol" w:hAnsi="Symbol" w:hint="default"/>
      </w:rPr>
    </w:lvl>
    <w:lvl w:ilvl="1" w:tplc="AAA65732">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1" w15:restartNumberingAfterBreak="0">
    <w:nsid w:val="518D66EE"/>
    <w:multiLevelType w:val="hybridMultilevel"/>
    <w:tmpl w:val="0C2AE5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7C03AD1"/>
    <w:multiLevelType w:val="hybridMultilevel"/>
    <w:tmpl w:val="48741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70453B"/>
    <w:multiLevelType w:val="hybridMultilevel"/>
    <w:tmpl w:val="6C86B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9E1A3B"/>
    <w:multiLevelType w:val="hybridMultilevel"/>
    <w:tmpl w:val="ED50C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C2624D"/>
    <w:multiLevelType w:val="hybridMultilevel"/>
    <w:tmpl w:val="C50E677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FD10772"/>
    <w:multiLevelType w:val="hybridMultilevel"/>
    <w:tmpl w:val="C4021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BA5F2C"/>
    <w:multiLevelType w:val="hybridMultilevel"/>
    <w:tmpl w:val="F0F6CE3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4216A7E"/>
    <w:multiLevelType w:val="hybridMultilevel"/>
    <w:tmpl w:val="265E5D2E"/>
    <w:lvl w:ilvl="0" w:tplc="8EBE9B4C">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558245334">
    <w:abstractNumId w:val="6"/>
  </w:num>
  <w:num w:numId="2" w16cid:durableId="1577668959">
    <w:abstractNumId w:val="15"/>
  </w:num>
  <w:num w:numId="3" w16cid:durableId="251554636">
    <w:abstractNumId w:val="10"/>
  </w:num>
  <w:num w:numId="4" w16cid:durableId="1455562621">
    <w:abstractNumId w:val="11"/>
  </w:num>
  <w:num w:numId="5" w16cid:durableId="657882600">
    <w:abstractNumId w:val="17"/>
  </w:num>
  <w:num w:numId="6" w16cid:durableId="1370103469">
    <w:abstractNumId w:val="22"/>
  </w:num>
  <w:num w:numId="7" w16cid:durableId="483161154">
    <w:abstractNumId w:val="13"/>
  </w:num>
  <w:num w:numId="8" w16cid:durableId="126974572">
    <w:abstractNumId w:val="3"/>
  </w:num>
  <w:num w:numId="9" w16cid:durableId="1322537140">
    <w:abstractNumId w:val="5"/>
  </w:num>
  <w:num w:numId="10" w16cid:durableId="1399479983">
    <w:abstractNumId w:val="8"/>
  </w:num>
  <w:num w:numId="11" w16cid:durableId="230166727">
    <w:abstractNumId w:val="23"/>
  </w:num>
  <w:num w:numId="12" w16cid:durableId="2117165803">
    <w:abstractNumId w:val="26"/>
  </w:num>
  <w:num w:numId="13" w16cid:durableId="1022052812">
    <w:abstractNumId w:val="0"/>
  </w:num>
  <w:num w:numId="14" w16cid:durableId="2112309448">
    <w:abstractNumId w:val="14"/>
  </w:num>
  <w:num w:numId="15" w16cid:durableId="814637844">
    <w:abstractNumId w:val="20"/>
  </w:num>
  <w:num w:numId="16" w16cid:durableId="2069258370">
    <w:abstractNumId w:val="2"/>
  </w:num>
  <w:num w:numId="17" w16cid:durableId="1860239689">
    <w:abstractNumId w:val="28"/>
  </w:num>
  <w:num w:numId="18" w16cid:durableId="543493293">
    <w:abstractNumId w:val="1"/>
  </w:num>
  <w:num w:numId="19" w16cid:durableId="976257003">
    <w:abstractNumId w:val="24"/>
  </w:num>
  <w:num w:numId="20" w16cid:durableId="1478568404">
    <w:abstractNumId w:val="19"/>
  </w:num>
  <w:num w:numId="21" w16cid:durableId="1116488424">
    <w:abstractNumId w:val="7"/>
  </w:num>
  <w:num w:numId="22" w16cid:durableId="1136996631">
    <w:abstractNumId w:val="16"/>
  </w:num>
  <w:num w:numId="23" w16cid:durableId="1710452847">
    <w:abstractNumId w:val="18"/>
  </w:num>
  <w:num w:numId="24" w16cid:durableId="1804425049">
    <w:abstractNumId w:val="25"/>
  </w:num>
  <w:num w:numId="25" w16cid:durableId="1725450424">
    <w:abstractNumId w:val="21"/>
  </w:num>
  <w:num w:numId="26" w16cid:durableId="2083792088">
    <w:abstractNumId w:val="27"/>
  </w:num>
  <w:num w:numId="27" w16cid:durableId="153226001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F81"/>
    <w:rsid w:val="00000EF8"/>
    <w:rsid w:val="0000138A"/>
    <w:rsid w:val="00001488"/>
    <w:rsid w:val="00001BEC"/>
    <w:rsid w:val="00002CB6"/>
    <w:rsid w:val="00002DFF"/>
    <w:rsid w:val="0000300D"/>
    <w:rsid w:val="000032F6"/>
    <w:rsid w:val="000033C4"/>
    <w:rsid w:val="00005C4A"/>
    <w:rsid w:val="0000676E"/>
    <w:rsid w:val="00006F94"/>
    <w:rsid w:val="00010845"/>
    <w:rsid w:val="00010D84"/>
    <w:rsid w:val="00012716"/>
    <w:rsid w:val="0001298A"/>
    <w:rsid w:val="00012D64"/>
    <w:rsid w:val="000132A6"/>
    <w:rsid w:val="0001480D"/>
    <w:rsid w:val="00014CC2"/>
    <w:rsid w:val="00015DDE"/>
    <w:rsid w:val="00016096"/>
    <w:rsid w:val="000160B2"/>
    <w:rsid w:val="000164E2"/>
    <w:rsid w:val="00016501"/>
    <w:rsid w:val="000168F0"/>
    <w:rsid w:val="000201AD"/>
    <w:rsid w:val="00020B24"/>
    <w:rsid w:val="000213D4"/>
    <w:rsid w:val="00021CFB"/>
    <w:rsid w:val="00022966"/>
    <w:rsid w:val="00023745"/>
    <w:rsid w:val="000248A5"/>
    <w:rsid w:val="000248B0"/>
    <w:rsid w:val="000258D6"/>
    <w:rsid w:val="00026561"/>
    <w:rsid w:val="00026734"/>
    <w:rsid w:val="00030B0A"/>
    <w:rsid w:val="00030F40"/>
    <w:rsid w:val="000311F0"/>
    <w:rsid w:val="00033124"/>
    <w:rsid w:val="000332D2"/>
    <w:rsid w:val="000345BD"/>
    <w:rsid w:val="00034F31"/>
    <w:rsid w:val="000350D7"/>
    <w:rsid w:val="000353BB"/>
    <w:rsid w:val="00035C74"/>
    <w:rsid w:val="0003643B"/>
    <w:rsid w:val="000378EA"/>
    <w:rsid w:val="000409F5"/>
    <w:rsid w:val="00040E74"/>
    <w:rsid w:val="000412E1"/>
    <w:rsid w:val="000413B3"/>
    <w:rsid w:val="000415B6"/>
    <w:rsid w:val="00041C6F"/>
    <w:rsid w:val="00042623"/>
    <w:rsid w:val="000430CF"/>
    <w:rsid w:val="000434D2"/>
    <w:rsid w:val="00044AE2"/>
    <w:rsid w:val="0004529F"/>
    <w:rsid w:val="000465BF"/>
    <w:rsid w:val="000519B7"/>
    <w:rsid w:val="000529D4"/>
    <w:rsid w:val="0005363A"/>
    <w:rsid w:val="000543A6"/>
    <w:rsid w:val="00055151"/>
    <w:rsid w:val="00055416"/>
    <w:rsid w:val="00056923"/>
    <w:rsid w:val="0006003C"/>
    <w:rsid w:val="00061B8F"/>
    <w:rsid w:val="00061C06"/>
    <w:rsid w:val="00061FE2"/>
    <w:rsid w:val="00062372"/>
    <w:rsid w:val="000643D6"/>
    <w:rsid w:val="00064834"/>
    <w:rsid w:val="00064DB3"/>
    <w:rsid w:val="000673C6"/>
    <w:rsid w:val="00070C40"/>
    <w:rsid w:val="00070E6B"/>
    <w:rsid w:val="000710AC"/>
    <w:rsid w:val="00071A7E"/>
    <w:rsid w:val="00073072"/>
    <w:rsid w:val="00074AB8"/>
    <w:rsid w:val="0007578E"/>
    <w:rsid w:val="00075FBF"/>
    <w:rsid w:val="000766DC"/>
    <w:rsid w:val="000771DB"/>
    <w:rsid w:val="0007722A"/>
    <w:rsid w:val="00077F52"/>
    <w:rsid w:val="000802F4"/>
    <w:rsid w:val="0008154E"/>
    <w:rsid w:val="0008188B"/>
    <w:rsid w:val="00081C87"/>
    <w:rsid w:val="00084657"/>
    <w:rsid w:val="00084BC2"/>
    <w:rsid w:val="00084EB2"/>
    <w:rsid w:val="00085257"/>
    <w:rsid w:val="00087711"/>
    <w:rsid w:val="00087815"/>
    <w:rsid w:val="00087B03"/>
    <w:rsid w:val="0009024C"/>
    <w:rsid w:val="00094349"/>
    <w:rsid w:val="00094E4E"/>
    <w:rsid w:val="000957C0"/>
    <w:rsid w:val="0009584E"/>
    <w:rsid w:val="00097A3C"/>
    <w:rsid w:val="000A1A14"/>
    <w:rsid w:val="000A1BBB"/>
    <w:rsid w:val="000A214C"/>
    <w:rsid w:val="000A449E"/>
    <w:rsid w:val="000A6C3E"/>
    <w:rsid w:val="000A759C"/>
    <w:rsid w:val="000A7CFB"/>
    <w:rsid w:val="000B093B"/>
    <w:rsid w:val="000B0A10"/>
    <w:rsid w:val="000B1CBD"/>
    <w:rsid w:val="000B1FEF"/>
    <w:rsid w:val="000B2BC2"/>
    <w:rsid w:val="000B36FA"/>
    <w:rsid w:val="000B4B26"/>
    <w:rsid w:val="000B4D52"/>
    <w:rsid w:val="000B5567"/>
    <w:rsid w:val="000B5661"/>
    <w:rsid w:val="000B5CE6"/>
    <w:rsid w:val="000B6AC5"/>
    <w:rsid w:val="000B6E60"/>
    <w:rsid w:val="000B7A1E"/>
    <w:rsid w:val="000B7FA8"/>
    <w:rsid w:val="000C037D"/>
    <w:rsid w:val="000C08B3"/>
    <w:rsid w:val="000C0997"/>
    <w:rsid w:val="000C0B1F"/>
    <w:rsid w:val="000C2B55"/>
    <w:rsid w:val="000C2E76"/>
    <w:rsid w:val="000C4CF6"/>
    <w:rsid w:val="000C55EF"/>
    <w:rsid w:val="000C6694"/>
    <w:rsid w:val="000C7794"/>
    <w:rsid w:val="000C784A"/>
    <w:rsid w:val="000C7A96"/>
    <w:rsid w:val="000D009E"/>
    <w:rsid w:val="000D09BC"/>
    <w:rsid w:val="000D0D5A"/>
    <w:rsid w:val="000D1FF5"/>
    <w:rsid w:val="000D207B"/>
    <w:rsid w:val="000D21E0"/>
    <w:rsid w:val="000D3152"/>
    <w:rsid w:val="000D4BCF"/>
    <w:rsid w:val="000D5E69"/>
    <w:rsid w:val="000D61CA"/>
    <w:rsid w:val="000D6693"/>
    <w:rsid w:val="000D674E"/>
    <w:rsid w:val="000D7658"/>
    <w:rsid w:val="000D79C9"/>
    <w:rsid w:val="000E0874"/>
    <w:rsid w:val="000E15A2"/>
    <w:rsid w:val="000E162C"/>
    <w:rsid w:val="000E1686"/>
    <w:rsid w:val="000E2A25"/>
    <w:rsid w:val="000E3059"/>
    <w:rsid w:val="000E3530"/>
    <w:rsid w:val="000E5B6D"/>
    <w:rsid w:val="000E67FF"/>
    <w:rsid w:val="000E6F31"/>
    <w:rsid w:val="000E7CE1"/>
    <w:rsid w:val="000F0859"/>
    <w:rsid w:val="000F12B6"/>
    <w:rsid w:val="000F31D6"/>
    <w:rsid w:val="000F3802"/>
    <w:rsid w:val="000F398D"/>
    <w:rsid w:val="000F5333"/>
    <w:rsid w:val="000F6888"/>
    <w:rsid w:val="000F6A12"/>
    <w:rsid w:val="000F7709"/>
    <w:rsid w:val="00101B26"/>
    <w:rsid w:val="00101D7F"/>
    <w:rsid w:val="00102439"/>
    <w:rsid w:val="001024D9"/>
    <w:rsid w:val="0010260B"/>
    <w:rsid w:val="00102EDE"/>
    <w:rsid w:val="00103948"/>
    <w:rsid w:val="00103F13"/>
    <w:rsid w:val="0010414D"/>
    <w:rsid w:val="00104609"/>
    <w:rsid w:val="00104664"/>
    <w:rsid w:val="0010472C"/>
    <w:rsid w:val="00104A53"/>
    <w:rsid w:val="00110AB3"/>
    <w:rsid w:val="0011116C"/>
    <w:rsid w:val="001124D6"/>
    <w:rsid w:val="00112C9B"/>
    <w:rsid w:val="00112FF8"/>
    <w:rsid w:val="00113241"/>
    <w:rsid w:val="001133EB"/>
    <w:rsid w:val="001135F8"/>
    <w:rsid w:val="00113F39"/>
    <w:rsid w:val="001140F6"/>
    <w:rsid w:val="00115683"/>
    <w:rsid w:val="00115B29"/>
    <w:rsid w:val="00116277"/>
    <w:rsid w:val="00116612"/>
    <w:rsid w:val="001166D4"/>
    <w:rsid w:val="00116969"/>
    <w:rsid w:val="00116BA9"/>
    <w:rsid w:val="00117E33"/>
    <w:rsid w:val="0012187E"/>
    <w:rsid w:val="00121ABE"/>
    <w:rsid w:val="001220B1"/>
    <w:rsid w:val="00122120"/>
    <w:rsid w:val="001227D1"/>
    <w:rsid w:val="00123FBA"/>
    <w:rsid w:val="001247BC"/>
    <w:rsid w:val="001248C1"/>
    <w:rsid w:val="001258A1"/>
    <w:rsid w:val="00125CE9"/>
    <w:rsid w:val="001275C1"/>
    <w:rsid w:val="001302BA"/>
    <w:rsid w:val="001305FD"/>
    <w:rsid w:val="00131186"/>
    <w:rsid w:val="001312D3"/>
    <w:rsid w:val="00131DEA"/>
    <w:rsid w:val="00132FB5"/>
    <w:rsid w:val="0013323F"/>
    <w:rsid w:val="00133ACC"/>
    <w:rsid w:val="00134018"/>
    <w:rsid w:val="00134215"/>
    <w:rsid w:val="00134303"/>
    <w:rsid w:val="0013462F"/>
    <w:rsid w:val="00136D30"/>
    <w:rsid w:val="00140036"/>
    <w:rsid w:val="00140D22"/>
    <w:rsid w:val="00141F43"/>
    <w:rsid w:val="001428CC"/>
    <w:rsid w:val="001437D2"/>
    <w:rsid w:val="00143A72"/>
    <w:rsid w:val="001461B2"/>
    <w:rsid w:val="00147596"/>
    <w:rsid w:val="00147FBB"/>
    <w:rsid w:val="00151492"/>
    <w:rsid w:val="001519D9"/>
    <w:rsid w:val="00151E6A"/>
    <w:rsid w:val="00152CDA"/>
    <w:rsid w:val="0015444E"/>
    <w:rsid w:val="00154BFE"/>
    <w:rsid w:val="00155AF3"/>
    <w:rsid w:val="00156DE4"/>
    <w:rsid w:val="00160382"/>
    <w:rsid w:val="00160707"/>
    <w:rsid w:val="00160DAE"/>
    <w:rsid w:val="00161D95"/>
    <w:rsid w:val="0016235C"/>
    <w:rsid w:val="001623AB"/>
    <w:rsid w:val="00164EC7"/>
    <w:rsid w:val="00165AFD"/>
    <w:rsid w:val="00167240"/>
    <w:rsid w:val="001672B0"/>
    <w:rsid w:val="001675F8"/>
    <w:rsid w:val="001676C5"/>
    <w:rsid w:val="00167802"/>
    <w:rsid w:val="00170C8B"/>
    <w:rsid w:val="00170D0C"/>
    <w:rsid w:val="00170E18"/>
    <w:rsid w:val="00172AE6"/>
    <w:rsid w:val="00172BF9"/>
    <w:rsid w:val="0017339F"/>
    <w:rsid w:val="00173549"/>
    <w:rsid w:val="001736E0"/>
    <w:rsid w:val="00175411"/>
    <w:rsid w:val="00175958"/>
    <w:rsid w:val="00177B1B"/>
    <w:rsid w:val="00177B1F"/>
    <w:rsid w:val="001804E1"/>
    <w:rsid w:val="00180A9D"/>
    <w:rsid w:val="00180ED5"/>
    <w:rsid w:val="00181725"/>
    <w:rsid w:val="00183844"/>
    <w:rsid w:val="00183F04"/>
    <w:rsid w:val="0018465C"/>
    <w:rsid w:val="00184A0D"/>
    <w:rsid w:val="0018532D"/>
    <w:rsid w:val="001854E3"/>
    <w:rsid w:val="00185B12"/>
    <w:rsid w:val="00186DB0"/>
    <w:rsid w:val="00186E17"/>
    <w:rsid w:val="00186F63"/>
    <w:rsid w:val="00190671"/>
    <w:rsid w:val="00191AD2"/>
    <w:rsid w:val="00192524"/>
    <w:rsid w:val="001933FE"/>
    <w:rsid w:val="00193C3B"/>
    <w:rsid w:val="00193DDF"/>
    <w:rsid w:val="00194916"/>
    <w:rsid w:val="00194C95"/>
    <w:rsid w:val="00194D3D"/>
    <w:rsid w:val="00195439"/>
    <w:rsid w:val="001958EA"/>
    <w:rsid w:val="00196499"/>
    <w:rsid w:val="0019740E"/>
    <w:rsid w:val="001A0418"/>
    <w:rsid w:val="001A0482"/>
    <w:rsid w:val="001A09E9"/>
    <w:rsid w:val="001A0B5A"/>
    <w:rsid w:val="001A1644"/>
    <w:rsid w:val="001A1853"/>
    <w:rsid w:val="001A3B3A"/>
    <w:rsid w:val="001A3E20"/>
    <w:rsid w:val="001A6583"/>
    <w:rsid w:val="001A6F96"/>
    <w:rsid w:val="001A747B"/>
    <w:rsid w:val="001B0132"/>
    <w:rsid w:val="001B0B48"/>
    <w:rsid w:val="001B2044"/>
    <w:rsid w:val="001B3996"/>
    <w:rsid w:val="001B54A0"/>
    <w:rsid w:val="001B639D"/>
    <w:rsid w:val="001C1C58"/>
    <w:rsid w:val="001C20DE"/>
    <w:rsid w:val="001C3724"/>
    <w:rsid w:val="001C3916"/>
    <w:rsid w:val="001C3925"/>
    <w:rsid w:val="001C3FA9"/>
    <w:rsid w:val="001C4143"/>
    <w:rsid w:val="001C4DB1"/>
    <w:rsid w:val="001C5877"/>
    <w:rsid w:val="001C656D"/>
    <w:rsid w:val="001C6AEE"/>
    <w:rsid w:val="001C700E"/>
    <w:rsid w:val="001C70E0"/>
    <w:rsid w:val="001C7252"/>
    <w:rsid w:val="001C73FD"/>
    <w:rsid w:val="001C7BF7"/>
    <w:rsid w:val="001D0115"/>
    <w:rsid w:val="001D12AF"/>
    <w:rsid w:val="001D21E2"/>
    <w:rsid w:val="001D2273"/>
    <w:rsid w:val="001D22C7"/>
    <w:rsid w:val="001D32A6"/>
    <w:rsid w:val="001D42BA"/>
    <w:rsid w:val="001D4C09"/>
    <w:rsid w:val="001D4F07"/>
    <w:rsid w:val="001D4FD4"/>
    <w:rsid w:val="001D500F"/>
    <w:rsid w:val="001D503B"/>
    <w:rsid w:val="001D60BC"/>
    <w:rsid w:val="001D667F"/>
    <w:rsid w:val="001D6B64"/>
    <w:rsid w:val="001D746A"/>
    <w:rsid w:val="001D7775"/>
    <w:rsid w:val="001D79D9"/>
    <w:rsid w:val="001E0643"/>
    <w:rsid w:val="001E0704"/>
    <w:rsid w:val="001E1EBC"/>
    <w:rsid w:val="001E24BE"/>
    <w:rsid w:val="001E2D5A"/>
    <w:rsid w:val="001E325F"/>
    <w:rsid w:val="001E3265"/>
    <w:rsid w:val="001E32A2"/>
    <w:rsid w:val="001E3A28"/>
    <w:rsid w:val="001E4560"/>
    <w:rsid w:val="001E45C6"/>
    <w:rsid w:val="001E71C8"/>
    <w:rsid w:val="001F0526"/>
    <w:rsid w:val="001F1248"/>
    <w:rsid w:val="001F2402"/>
    <w:rsid w:val="001F2866"/>
    <w:rsid w:val="001F29DF"/>
    <w:rsid w:val="001F2D26"/>
    <w:rsid w:val="001F4CA1"/>
    <w:rsid w:val="001F5232"/>
    <w:rsid w:val="001F52A4"/>
    <w:rsid w:val="001F67A0"/>
    <w:rsid w:val="001F7A86"/>
    <w:rsid w:val="001F7BC6"/>
    <w:rsid w:val="00200B42"/>
    <w:rsid w:val="00200FD7"/>
    <w:rsid w:val="00201085"/>
    <w:rsid w:val="002010ED"/>
    <w:rsid w:val="00201717"/>
    <w:rsid w:val="00205045"/>
    <w:rsid w:val="00205EE4"/>
    <w:rsid w:val="00207300"/>
    <w:rsid w:val="002079AC"/>
    <w:rsid w:val="00207B54"/>
    <w:rsid w:val="00207F00"/>
    <w:rsid w:val="002107FC"/>
    <w:rsid w:val="002114F7"/>
    <w:rsid w:val="00211E02"/>
    <w:rsid w:val="00212882"/>
    <w:rsid w:val="00213446"/>
    <w:rsid w:val="00213FBC"/>
    <w:rsid w:val="0021421D"/>
    <w:rsid w:val="0021586E"/>
    <w:rsid w:val="00215A4E"/>
    <w:rsid w:val="0021688E"/>
    <w:rsid w:val="002212AA"/>
    <w:rsid w:val="00221855"/>
    <w:rsid w:val="00221904"/>
    <w:rsid w:val="00222377"/>
    <w:rsid w:val="0022346B"/>
    <w:rsid w:val="00224F47"/>
    <w:rsid w:val="00226056"/>
    <w:rsid w:val="00226716"/>
    <w:rsid w:val="00226896"/>
    <w:rsid w:val="002269D4"/>
    <w:rsid w:val="00230ACE"/>
    <w:rsid w:val="002317EE"/>
    <w:rsid w:val="00232B17"/>
    <w:rsid w:val="00232C58"/>
    <w:rsid w:val="00232DAD"/>
    <w:rsid w:val="00233D9B"/>
    <w:rsid w:val="00234650"/>
    <w:rsid w:val="00235A11"/>
    <w:rsid w:val="002365B2"/>
    <w:rsid w:val="00240576"/>
    <w:rsid w:val="00241002"/>
    <w:rsid w:val="00241072"/>
    <w:rsid w:val="00241292"/>
    <w:rsid w:val="00241351"/>
    <w:rsid w:val="00241D7E"/>
    <w:rsid w:val="00241F3C"/>
    <w:rsid w:val="00242058"/>
    <w:rsid w:val="0024305A"/>
    <w:rsid w:val="00246745"/>
    <w:rsid w:val="00246D0D"/>
    <w:rsid w:val="00247A21"/>
    <w:rsid w:val="00247D60"/>
    <w:rsid w:val="00250D40"/>
    <w:rsid w:val="00251306"/>
    <w:rsid w:val="0025152C"/>
    <w:rsid w:val="00251DF2"/>
    <w:rsid w:val="002526C4"/>
    <w:rsid w:val="00253296"/>
    <w:rsid w:val="002538C5"/>
    <w:rsid w:val="002544AD"/>
    <w:rsid w:val="002548DC"/>
    <w:rsid w:val="00255251"/>
    <w:rsid w:val="00255A1A"/>
    <w:rsid w:val="00255F4F"/>
    <w:rsid w:val="00256CB8"/>
    <w:rsid w:val="0025785F"/>
    <w:rsid w:val="00257EB5"/>
    <w:rsid w:val="002603B2"/>
    <w:rsid w:val="00261695"/>
    <w:rsid w:val="00261FB3"/>
    <w:rsid w:val="00262943"/>
    <w:rsid w:val="00262E2D"/>
    <w:rsid w:val="00263DE6"/>
    <w:rsid w:val="0026407C"/>
    <w:rsid w:val="0026432B"/>
    <w:rsid w:val="00264382"/>
    <w:rsid w:val="00265878"/>
    <w:rsid w:val="00266679"/>
    <w:rsid w:val="00266A0E"/>
    <w:rsid w:val="00266A77"/>
    <w:rsid w:val="00266B5A"/>
    <w:rsid w:val="00266CC5"/>
    <w:rsid w:val="00266D5F"/>
    <w:rsid w:val="00266E08"/>
    <w:rsid w:val="00270A4A"/>
    <w:rsid w:val="00270BF5"/>
    <w:rsid w:val="00271586"/>
    <w:rsid w:val="00272E11"/>
    <w:rsid w:val="002733C6"/>
    <w:rsid w:val="00273FD9"/>
    <w:rsid w:val="002741C9"/>
    <w:rsid w:val="00275565"/>
    <w:rsid w:val="0027673E"/>
    <w:rsid w:val="002767F7"/>
    <w:rsid w:val="00276DCA"/>
    <w:rsid w:val="00276F4E"/>
    <w:rsid w:val="0028043F"/>
    <w:rsid w:val="00280A7E"/>
    <w:rsid w:val="00281528"/>
    <w:rsid w:val="00281BD9"/>
    <w:rsid w:val="00281D8E"/>
    <w:rsid w:val="00282018"/>
    <w:rsid w:val="00282DF9"/>
    <w:rsid w:val="002830CC"/>
    <w:rsid w:val="0028353D"/>
    <w:rsid w:val="0028488F"/>
    <w:rsid w:val="00285E7D"/>
    <w:rsid w:val="0028726F"/>
    <w:rsid w:val="002873A5"/>
    <w:rsid w:val="00287D76"/>
    <w:rsid w:val="00287EA6"/>
    <w:rsid w:val="00287FC8"/>
    <w:rsid w:val="00291853"/>
    <w:rsid w:val="00291A40"/>
    <w:rsid w:val="00292706"/>
    <w:rsid w:val="00293017"/>
    <w:rsid w:val="0029384F"/>
    <w:rsid w:val="00293FE2"/>
    <w:rsid w:val="00294386"/>
    <w:rsid w:val="0029453B"/>
    <w:rsid w:val="00294F3B"/>
    <w:rsid w:val="00295450"/>
    <w:rsid w:val="0029562E"/>
    <w:rsid w:val="002956AA"/>
    <w:rsid w:val="002957DF"/>
    <w:rsid w:val="002963BC"/>
    <w:rsid w:val="00296D52"/>
    <w:rsid w:val="002A107F"/>
    <w:rsid w:val="002A111A"/>
    <w:rsid w:val="002A130A"/>
    <w:rsid w:val="002A1502"/>
    <w:rsid w:val="002A1644"/>
    <w:rsid w:val="002A3911"/>
    <w:rsid w:val="002A396F"/>
    <w:rsid w:val="002A4C4A"/>
    <w:rsid w:val="002A5088"/>
    <w:rsid w:val="002A6CAB"/>
    <w:rsid w:val="002A7A27"/>
    <w:rsid w:val="002A7ACC"/>
    <w:rsid w:val="002A7E38"/>
    <w:rsid w:val="002B049C"/>
    <w:rsid w:val="002B0AA7"/>
    <w:rsid w:val="002B12C8"/>
    <w:rsid w:val="002B17BD"/>
    <w:rsid w:val="002B17C9"/>
    <w:rsid w:val="002B186B"/>
    <w:rsid w:val="002B2A0D"/>
    <w:rsid w:val="002B4757"/>
    <w:rsid w:val="002B4869"/>
    <w:rsid w:val="002B5157"/>
    <w:rsid w:val="002B5943"/>
    <w:rsid w:val="002B5B6B"/>
    <w:rsid w:val="002B7EB8"/>
    <w:rsid w:val="002C008E"/>
    <w:rsid w:val="002C0A31"/>
    <w:rsid w:val="002C19C8"/>
    <w:rsid w:val="002C1C98"/>
    <w:rsid w:val="002C37FA"/>
    <w:rsid w:val="002C3A53"/>
    <w:rsid w:val="002C424E"/>
    <w:rsid w:val="002C55A4"/>
    <w:rsid w:val="002C5AF0"/>
    <w:rsid w:val="002C5C68"/>
    <w:rsid w:val="002C5F04"/>
    <w:rsid w:val="002C6926"/>
    <w:rsid w:val="002C7A7B"/>
    <w:rsid w:val="002C7B07"/>
    <w:rsid w:val="002D14D5"/>
    <w:rsid w:val="002D2896"/>
    <w:rsid w:val="002D30DC"/>
    <w:rsid w:val="002D315F"/>
    <w:rsid w:val="002D348B"/>
    <w:rsid w:val="002D36D8"/>
    <w:rsid w:val="002D37A5"/>
    <w:rsid w:val="002D39BE"/>
    <w:rsid w:val="002D4A2D"/>
    <w:rsid w:val="002D511D"/>
    <w:rsid w:val="002D5707"/>
    <w:rsid w:val="002D58FE"/>
    <w:rsid w:val="002D61E1"/>
    <w:rsid w:val="002D6BB8"/>
    <w:rsid w:val="002D797D"/>
    <w:rsid w:val="002D7CA2"/>
    <w:rsid w:val="002E056C"/>
    <w:rsid w:val="002E0856"/>
    <w:rsid w:val="002E121C"/>
    <w:rsid w:val="002E1AF8"/>
    <w:rsid w:val="002E1D0F"/>
    <w:rsid w:val="002E1E1C"/>
    <w:rsid w:val="002E216F"/>
    <w:rsid w:val="002E24BF"/>
    <w:rsid w:val="002E2929"/>
    <w:rsid w:val="002E3E7A"/>
    <w:rsid w:val="002E4993"/>
    <w:rsid w:val="002E4CFD"/>
    <w:rsid w:val="002E52ED"/>
    <w:rsid w:val="002E5A76"/>
    <w:rsid w:val="002E5D52"/>
    <w:rsid w:val="002E687A"/>
    <w:rsid w:val="002E6FED"/>
    <w:rsid w:val="002E7434"/>
    <w:rsid w:val="002F0A95"/>
    <w:rsid w:val="002F16A2"/>
    <w:rsid w:val="002F1A85"/>
    <w:rsid w:val="002F206E"/>
    <w:rsid w:val="002F2BEF"/>
    <w:rsid w:val="002F4C3B"/>
    <w:rsid w:val="002F6EDB"/>
    <w:rsid w:val="0030154B"/>
    <w:rsid w:val="00301C43"/>
    <w:rsid w:val="00302462"/>
    <w:rsid w:val="003030D2"/>
    <w:rsid w:val="003033F4"/>
    <w:rsid w:val="0030370C"/>
    <w:rsid w:val="003044B1"/>
    <w:rsid w:val="0030642B"/>
    <w:rsid w:val="00306537"/>
    <w:rsid w:val="00310387"/>
    <w:rsid w:val="003106D5"/>
    <w:rsid w:val="00310B01"/>
    <w:rsid w:val="00311149"/>
    <w:rsid w:val="003124DB"/>
    <w:rsid w:val="00313E4D"/>
    <w:rsid w:val="003141CD"/>
    <w:rsid w:val="00315309"/>
    <w:rsid w:val="003208CC"/>
    <w:rsid w:val="00320EB5"/>
    <w:rsid w:val="00320F59"/>
    <w:rsid w:val="00321737"/>
    <w:rsid w:val="00323A5B"/>
    <w:rsid w:val="00323F0E"/>
    <w:rsid w:val="00324258"/>
    <w:rsid w:val="00324B8C"/>
    <w:rsid w:val="00325BBF"/>
    <w:rsid w:val="0032643F"/>
    <w:rsid w:val="00326B60"/>
    <w:rsid w:val="00326C77"/>
    <w:rsid w:val="0032723C"/>
    <w:rsid w:val="00330F82"/>
    <w:rsid w:val="00333D23"/>
    <w:rsid w:val="00333D96"/>
    <w:rsid w:val="00333F06"/>
    <w:rsid w:val="00334BC3"/>
    <w:rsid w:val="00335D0D"/>
    <w:rsid w:val="003403EF"/>
    <w:rsid w:val="00340C14"/>
    <w:rsid w:val="00340F33"/>
    <w:rsid w:val="00341C5C"/>
    <w:rsid w:val="0034245A"/>
    <w:rsid w:val="00342E7D"/>
    <w:rsid w:val="003430B4"/>
    <w:rsid w:val="00345169"/>
    <w:rsid w:val="00345E42"/>
    <w:rsid w:val="003460B3"/>
    <w:rsid w:val="00346488"/>
    <w:rsid w:val="003468B9"/>
    <w:rsid w:val="0034760C"/>
    <w:rsid w:val="00347CF4"/>
    <w:rsid w:val="0035068F"/>
    <w:rsid w:val="003519A4"/>
    <w:rsid w:val="00351A8C"/>
    <w:rsid w:val="003523E1"/>
    <w:rsid w:val="00352646"/>
    <w:rsid w:val="00353D37"/>
    <w:rsid w:val="003543B0"/>
    <w:rsid w:val="00354F37"/>
    <w:rsid w:val="0035510B"/>
    <w:rsid w:val="0035577E"/>
    <w:rsid w:val="00355D58"/>
    <w:rsid w:val="00355F49"/>
    <w:rsid w:val="00356968"/>
    <w:rsid w:val="00356C73"/>
    <w:rsid w:val="003577E0"/>
    <w:rsid w:val="0036003D"/>
    <w:rsid w:val="00360C92"/>
    <w:rsid w:val="003611CF"/>
    <w:rsid w:val="00361569"/>
    <w:rsid w:val="003626D6"/>
    <w:rsid w:val="0036301B"/>
    <w:rsid w:val="00363E26"/>
    <w:rsid w:val="00364AA4"/>
    <w:rsid w:val="00365815"/>
    <w:rsid w:val="00365900"/>
    <w:rsid w:val="00365BC7"/>
    <w:rsid w:val="00366626"/>
    <w:rsid w:val="00366714"/>
    <w:rsid w:val="003670E5"/>
    <w:rsid w:val="00367B90"/>
    <w:rsid w:val="00367B9E"/>
    <w:rsid w:val="0037081C"/>
    <w:rsid w:val="003708C8"/>
    <w:rsid w:val="00371712"/>
    <w:rsid w:val="00371723"/>
    <w:rsid w:val="00372067"/>
    <w:rsid w:val="003720E3"/>
    <w:rsid w:val="003725A5"/>
    <w:rsid w:val="003743AD"/>
    <w:rsid w:val="00374469"/>
    <w:rsid w:val="0037494C"/>
    <w:rsid w:val="0037541C"/>
    <w:rsid w:val="00375DB4"/>
    <w:rsid w:val="00376319"/>
    <w:rsid w:val="00376F98"/>
    <w:rsid w:val="00377289"/>
    <w:rsid w:val="003778D1"/>
    <w:rsid w:val="00380E99"/>
    <w:rsid w:val="0038262C"/>
    <w:rsid w:val="00383890"/>
    <w:rsid w:val="00384869"/>
    <w:rsid w:val="00384E87"/>
    <w:rsid w:val="00385333"/>
    <w:rsid w:val="00386208"/>
    <w:rsid w:val="00386587"/>
    <w:rsid w:val="00386AA2"/>
    <w:rsid w:val="00386ADC"/>
    <w:rsid w:val="00386DFA"/>
    <w:rsid w:val="00387526"/>
    <w:rsid w:val="003877A3"/>
    <w:rsid w:val="00387AF9"/>
    <w:rsid w:val="003908BD"/>
    <w:rsid w:val="00391BFA"/>
    <w:rsid w:val="00391F84"/>
    <w:rsid w:val="00392164"/>
    <w:rsid w:val="003924B0"/>
    <w:rsid w:val="0039300C"/>
    <w:rsid w:val="00393171"/>
    <w:rsid w:val="003951AA"/>
    <w:rsid w:val="00395A70"/>
    <w:rsid w:val="0039672C"/>
    <w:rsid w:val="0039784C"/>
    <w:rsid w:val="00397907"/>
    <w:rsid w:val="003A0C7D"/>
    <w:rsid w:val="003A23DB"/>
    <w:rsid w:val="003A2FA8"/>
    <w:rsid w:val="003A30E3"/>
    <w:rsid w:val="003A3247"/>
    <w:rsid w:val="003A3A7A"/>
    <w:rsid w:val="003A3B87"/>
    <w:rsid w:val="003A3FB0"/>
    <w:rsid w:val="003A4122"/>
    <w:rsid w:val="003A4CF8"/>
    <w:rsid w:val="003A6438"/>
    <w:rsid w:val="003A7491"/>
    <w:rsid w:val="003B04C4"/>
    <w:rsid w:val="003B1AA9"/>
    <w:rsid w:val="003B215B"/>
    <w:rsid w:val="003B2376"/>
    <w:rsid w:val="003B2380"/>
    <w:rsid w:val="003B2565"/>
    <w:rsid w:val="003B26C4"/>
    <w:rsid w:val="003B2E40"/>
    <w:rsid w:val="003B6F38"/>
    <w:rsid w:val="003B7107"/>
    <w:rsid w:val="003C25B1"/>
    <w:rsid w:val="003C446B"/>
    <w:rsid w:val="003C5254"/>
    <w:rsid w:val="003C556F"/>
    <w:rsid w:val="003C565B"/>
    <w:rsid w:val="003C65C7"/>
    <w:rsid w:val="003C7160"/>
    <w:rsid w:val="003C7215"/>
    <w:rsid w:val="003C7980"/>
    <w:rsid w:val="003D0031"/>
    <w:rsid w:val="003D089C"/>
    <w:rsid w:val="003D281D"/>
    <w:rsid w:val="003D286E"/>
    <w:rsid w:val="003D2E37"/>
    <w:rsid w:val="003D3EC5"/>
    <w:rsid w:val="003D3F33"/>
    <w:rsid w:val="003D485E"/>
    <w:rsid w:val="003D4B93"/>
    <w:rsid w:val="003D51DE"/>
    <w:rsid w:val="003D533A"/>
    <w:rsid w:val="003D716D"/>
    <w:rsid w:val="003D71A1"/>
    <w:rsid w:val="003D74E5"/>
    <w:rsid w:val="003D75E5"/>
    <w:rsid w:val="003D7F32"/>
    <w:rsid w:val="003E034C"/>
    <w:rsid w:val="003E05E1"/>
    <w:rsid w:val="003E067F"/>
    <w:rsid w:val="003E1792"/>
    <w:rsid w:val="003E1C58"/>
    <w:rsid w:val="003E1F22"/>
    <w:rsid w:val="003E2E68"/>
    <w:rsid w:val="003E4B55"/>
    <w:rsid w:val="003E4CC6"/>
    <w:rsid w:val="003E4DA1"/>
    <w:rsid w:val="003E52CB"/>
    <w:rsid w:val="003E6BFD"/>
    <w:rsid w:val="003E6CB1"/>
    <w:rsid w:val="003E6E7E"/>
    <w:rsid w:val="003E7B62"/>
    <w:rsid w:val="003E7E71"/>
    <w:rsid w:val="003F0654"/>
    <w:rsid w:val="003F08DF"/>
    <w:rsid w:val="003F09EC"/>
    <w:rsid w:val="003F0CBD"/>
    <w:rsid w:val="003F0D8D"/>
    <w:rsid w:val="003F1819"/>
    <w:rsid w:val="003F18BE"/>
    <w:rsid w:val="003F1F19"/>
    <w:rsid w:val="003F2770"/>
    <w:rsid w:val="003F2E49"/>
    <w:rsid w:val="003F325D"/>
    <w:rsid w:val="003F3826"/>
    <w:rsid w:val="003F56E6"/>
    <w:rsid w:val="003F5FB0"/>
    <w:rsid w:val="003F72DD"/>
    <w:rsid w:val="003F73AD"/>
    <w:rsid w:val="003F73D4"/>
    <w:rsid w:val="003F7529"/>
    <w:rsid w:val="00400E7F"/>
    <w:rsid w:val="00400FE9"/>
    <w:rsid w:val="00401747"/>
    <w:rsid w:val="0040277D"/>
    <w:rsid w:val="004028BC"/>
    <w:rsid w:val="00402924"/>
    <w:rsid w:val="004038A9"/>
    <w:rsid w:val="00403B7D"/>
    <w:rsid w:val="004044B3"/>
    <w:rsid w:val="004044E9"/>
    <w:rsid w:val="0040460C"/>
    <w:rsid w:val="00404640"/>
    <w:rsid w:val="004047D4"/>
    <w:rsid w:val="00404CF9"/>
    <w:rsid w:val="004071D9"/>
    <w:rsid w:val="004076B1"/>
    <w:rsid w:val="00407E75"/>
    <w:rsid w:val="00410FD7"/>
    <w:rsid w:val="0041111F"/>
    <w:rsid w:val="00414346"/>
    <w:rsid w:val="004147E2"/>
    <w:rsid w:val="00414857"/>
    <w:rsid w:val="00416BD9"/>
    <w:rsid w:val="00416D49"/>
    <w:rsid w:val="00420587"/>
    <w:rsid w:val="0042085F"/>
    <w:rsid w:val="00420AC5"/>
    <w:rsid w:val="00421AE0"/>
    <w:rsid w:val="0042223A"/>
    <w:rsid w:val="00422309"/>
    <w:rsid w:val="00424153"/>
    <w:rsid w:val="00424D4B"/>
    <w:rsid w:val="0042675A"/>
    <w:rsid w:val="00426EF2"/>
    <w:rsid w:val="00427307"/>
    <w:rsid w:val="004275D8"/>
    <w:rsid w:val="00427F0B"/>
    <w:rsid w:val="00432261"/>
    <w:rsid w:val="00432D75"/>
    <w:rsid w:val="00432DF6"/>
    <w:rsid w:val="00432E7B"/>
    <w:rsid w:val="00433966"/>
    <w:rsid w:val="004343EA"/>
    <w:rsid w:val="00434B44"/>
    <w:rsid w:val="00434B87"/>
    <w:rsid w:val="004350F8"/>
    <w:rsid w:val="0043624C"/>
    <w:rsid w:val="00436284"/>
    <w:rsid w:val="00442A2E"/>
    <w:rsid w:val="00442CA8"/>
    <w:rsid w:val="00443954"/>
    <w:rsid w:val="004440AE"/>
    <w:rsid w:val="0044434F"/>
    <w:rsid w:val="004451A9"/>
    <w:rsid w:val="0044595A"/>
    <w:rsid w:val="00446D8B"/>
    <w:rsid w:val="00446F53"/>
    <w:rsid w:val="00450CDB"/>
    <w:rsid w:val="00451EED"/>
    <w:rsid w:val="004532CF"/>
    <w:rsid w:val="00454B16"/>
    <w:rsid w:val="00454BF4"/>
    <w:rsid w:val="004553F1"/>
    <w:rsid w:val="00455693"/>
    <w:rsid w:val="00455D46"/>
    <w:rsid w:val="00455DB0"/>
    <w:rsid w:val="00456587"/>
    <w:rsid w:val="0045679A"/>
    <w:rsid w:val="0045727A"/>
    <w:rsid w:val="004572A6"/>
    <w:rsid w:val="00460776"/>
    <w:rsid w:val="00460A77"/>
    <w:rsid w:val="00460C63"/>
    <w:rsid w:val="0046173C"/>
    <w:rsid w:val="004631CD"/>
    <w:rsid w:val="00465463"/>
    <w:rsid w:val="00465848"/>
    <w:rsid w:val="00466E80"/>
    <w:rsid w:val="00466EE1"/>
    <w:rsid w:val="00467305"/>
    <w:rsid w:val="00467BF2"/>
    <w:rsid w:val="0047040B"/>
    <w:rsid w:val="004709BF"/>
    <w:rsid w:val="004716BF"/>
    <w:rsid w:val="00472CAA"/>
    <w:rsid w:val="00473E1C"/>
    <w:rsid w:val="00474A6E"/>
    <w:rsid w:val="00474DE5"/>
    <w:rsid w:val="00475ECB"/>
    <w:rsid w:val="004762D6"/>
    <w:rsid w:val="0047679D"/>
    <w:rsid w:val="0047790E"/>
    <w:rsid w:val="00477D5B"/>
    <w:rsid w:val="00480039"/>
    <w:rsid w:val="00480208"/>
    <w:rsid w:val="00483A74"/>
    <w:rsid w:val="00483ACE"/>
    <w:rsid w:val="00484488"/>
    <w:rsid w:val="004849AD"/>
    <w:rsid w:val="00485E30"/>
    <w:rsid w:val="004862B9"/>
    <w:rsid w:val="0048731B"/>
    <w:rsid w:val="0049122E"/>
    <w:rsid w:val="00491ED9"/>
    <w:rsid w:val="00492228"/>
    <w:rsid w:val="00492353"/>
    <w:rsid w:val="00492AF1"/>
    <w:rsid w:val="00492D56"/>
    <w:rsid w:val="00492F4F"/>
    <w:rsid w:val="00493ABC"/>
    <w:rsid w:val="00494593"/>
    <w:rsid w:val="00494D70"/>
    <w:rsid w:val="00496459"/>
    <w:rsid w:val="00496A93"/>
    <w:rsid w:val="00496D75"/>
    <w:rsid w:val="00496E60"/>
    <w:rsid w:val="0049730B"/>
    <w:rsid w:val="00497B01"/>
    <w:rsid w:val="004A0147"/>
    <w:rsid w:val="004A05A9"/>
    <w:rsid w:val="004A07AC"/>
    <w:rsid w:val="004A112C"/>
    <w:rsid w:val="004A1939"/>
    <w:rsid w:val="004A2EEE"/>
    <w:rsid w:val="004A3125"/>
    <w:rsid w:val="004A4B14"/>
    <w:rsid w:val="004A5498"/>
    <w:rsid w:val="004A6D79"/>
    <w:rsid w:val="004A7357"/>
    <w:rsid w:val="004A7662"/>
    <w:rsid w:val="004A7B40"/>
    <w:rsid w:val="004A7B76"/>
    <w:rsid w:val="004B12FD"/>
    <w:rsid w:val="004B2893"/>
    <w:rsid w:val="004B2E10"/>
    <w:rsid w:val="004B38E0"/>
    <w:rsid w:val="004B438C"/>
    <w:rsid w:val="004B46A6"/>
    <w:rsid w:val="004B5B39"/>
    <w:rsid w:val="004B65C4"/>
    <w:rsid w:val="004B71BD"/>
    <w:rsid w:val="004C06DC"/>
    <w:rsid w:val="004C075D"/>
    <w:rsid w:val="004C07B8"/>
    <w:rsid w:val="004C0870"/>
    <w:rsid w:val="004C09D1"/>
    <w:rsid w:val="004C0B72"/>
    <w:rsid w:val="004C1A92"/>
    <w:rsid w:val="004C1E65"/>
    <w:rsid w:val="004C1E85"/>
    <w:rsid w:val="004C4526"/>
    <w:rsid w:val="004C4853"/>
    <w:rsid w:val="004C5C7A"/>
    <w:rsid w:val="004C64C1"/>
    <w:rsid w:val="004C729A"/>
    <w:rsid w:val="004C7782"/>
    <w:rsid w:val="004C7CC9"/>
    <w:rsid w:val="004D2D33"/>
    <w:rsid w:val="004D2F52"/>
    <w:rsid w:val="004D303D"/>
    <w:rsid w:val="004D3AE2"/>
    <w:rsid w:val="004D3E87"/>
    <w:rsid w:val="004D474A"/>
    <w:rsid w:val="004D4B75"/>
    <w:rsid w:val="004D4E71"/>
    <w:rsid w:val="004D55C6"/>
    <w:rsid w:val="004D6BEF"/>
    <w:rsid w:val="004D7035"/>
    <w:rsid w:val="004D798C"/>
    <w:rsid w:val="004E0193"/>
    <w:rsid w:val="004E10D6"/>
    <w:rsid w:val="004E23FC"/>
    <w:rsid w:val="004E3860"/>
    <w:rsid w:val="004E4801"/>
    <w:rsid w:val="004E4F91"/>
    <w:rsid w:val="004E5D4D"/>
    <w:rsid w:val="004E67A1"/>
    <w:rsid w:val="004E7794"/>
    <w:rsid w:val="004E7972"/>
    <w:rsid w:val="004E7B8A"/>
    <w:rsid w:val="004E7E2E"/>
    <w:rsid w:val="004E7EB8"/>
    <w:rsid w:val="004F1960"/>
    <w:rsid w:val="004F2253"/>
    <w:rsid w:val="004F2652"/>
    <w:rsid w:val="004F2C4A"/>
    <w:rsid w:val="004F2F1E"/>
    <w:rsid w:val="004F313C"/>
    <w:rsid w:val="004F31B9"/>
    <w:rsid w:val="004F3456"/>
    <w:rsid w:val="004F365C"/>
    <w:rsid w:val="004F4E72"/>
    <w:rsid w:val="004F5A67"/>
    <w:rsid w:val="005002F4"/>
    <w:rsid w:val="00500329"/>
    <w:rsid w:val="0050064F"/>
    <w:rsid w:val="005009B9"/>
    <w:rsid w:val="005024A3"/>
    <w:rsid w:val="00502A91"/>
    <w:rsid w:val="00503B52"/>
    <w:rsid w:val="00503BE5"/>
    <w:rsid w:val="0050424F"/>
    <w:rsid w:val="00504910"/>
    <w:rsid w:val="00504AD5"/>
    <w:rsid w:val="005052D9"/>
    <w:rsid w:val="005053B8"/>
    <w:rsid w:val="00505523"/>
    <w:rsid w:val="005100AF"/>
    <w:rsid w:val="00510345"/>
    <w:rsid w:val="00510F67"/>
    <w:rsid w:val="00511D6E"/>
    <w:rsid w:val="00512127"/>
    <w:rsid w:val="00512B29"/>
    <w:rsid w:val="00512C70"/>
    <w:rsid w:val="0051381A"/>
    <w:rsid w:val="0051385D"/>
    <w:rsid w:val="005145FE"/>
    <w:rsid w:val="0051550E"/>
    <w:rsid w:val="00515BC2"/>
    <w:rsid w:val="00515DFD"/>
    <w:rsid w:val="00516056"/>
    <w:rsid w:val="005166E1"/>
    <w:rsid w:val="00516C37"/>
    <w:rsid w:val="00516C97"/>
    <w:rsid w:val="00517A34"/>
    <w:rsid w:val="00522AC8"/>
    <w:rsid w:val="00522C88"/>
    <w:rsid w:val="00523FDD"/>
    <w:rsid w:val="005242FD"/>
    <w:rsid w:val="00525DF8"/>
    <w:rsid w:val="00526C59"/>
    <w:rsid w:val="005271C0"/>
    <w:rsid w:val="00527F2B"/>
    <w:rsid w:val="00530212"/>
    <w:rsid w:val="00531054"/>
    <w:rsid w:val="005314BA"/>
    <w:rsid w:val="00532A3C"/>
    <w:rsid w:val="00532B10"/>
    <w:rsid w:val="00532CF1"/>
    <w:rsid w:val="00532D98"/>
    <w:rsid w:val="005334E3"/>
    <w:rsid w:val="005339FD"/>
    <w:rsid w:val="00533E0F"/>
    <w:rsid w:val="00534688"/>
    <w:rsid w:val="00535BC5"/>
    <w:rsid w:val="00535CDD"/>
    <w:rsid w:val="00537935"/>
    <w:rsid w:val="00537B86"/>
    <w:rsid w:val="0054023D"/>
    <w:rsid w:val="00540990"/>
    <w:rsid w:val="00541753"/>
    <w:rsid w:val="005418F3"/>
    <w:rsid w:val="00541B55"/>
    <w:rsid w:val="00541C18"/>
    <w:rsid w:val="0054221B"/>
    <w:rsid w:val="005433D8"/>
    <w:rsid w:val="00543E45"/>
    <w:rsid w:val="00543F9A"/>
    <w:rsid w:val="005460E7"/>
    <w:rsid w:val="00546648"/>
    <w:rsid w:val="0054675A"/>
    <w:rsid w:val="00546B45"/>
    <w:rsid w:val="0055008B"/>
    <w:rsid w:val="00550788"/>
    <w:rsid w:val="00550AE3"/>
    <w:rsid w:val="00550DE7"/>
    <w:rsid w:val="00551BBF"/>
    <w:rsid w:val="00551CF1"/>
    <w:rsid w:val="00551F8D"/>
    <w:rsid w:val="00552447"/>
    <w:rsid w:val="0055346D"/>
    <w:rsid w:val="00554117"/>
    <w:rsid w:val="00554E45"/>
    <w:rsid w:val="00555305"/>
    <w:rsid w:val="005565D5"/>
    <w:rsid w:val="005567A9"/>
    <w:rsid w:val="0055694D"/>
    <w:rsid w:val="00556F1B"/>
    <w:rsid w:val="00557497"/>
    <w:rsid w:val="00560CD9"/>
    <w:rsid w:val="00560EA5"/>
    <w:rsid w:val="00561D39"/>
    <w:rsid w:val="00562619"/>
    <w:rsid w:val="005628AB"/>
    <w:rsid w:val="005641DE"/>
    <w:rsid w:val="00564B67"/>
    <w:rsid w:val="00564F3B"/>
    <w:rsid w:val="0056574A"/>
    <w:rsid w:val="00565765"/>
    <w:rsid w:val="00565F9D"/>
    <w:rsid w:val="005663F4"/>
    <w:rsid w:val="005666CD"/>
    <w:rsid w:val="00566AFD"/>
    <w:rsid w:val="00567D79"/>
    <w:rsid w:val="00570249"/>
    <w:rsid w:val="005716B2"/>
    <w:rsid w:val="0057229C"/>
    <w:rsid w:val="005726DF"/>
    <w:rsid w:val="00573A0A"/>
    <w:rsid w:val="00573C6E"/>
    <w:rsid w:val="00573D11"/>
    <w:rsid w:val="00573DD3"/>
    <w:rsid w:val="005742E3"/>
    <w:rsid w:val="00574368"/>
    <w:rsid w:val="00574706"/>
    <w:rsid w:val="00575AAF"/>
    <w:rsid w:val="00575B03"/>
    <w:rsid w:val="00576ED7"/>
    <w:rsid w:val="00581181"/>
    <w:rsid w:val="00582E4E"/>
    <w:rsid w:val="0058304B"/>
    <w:rsid w:val="005836E9"/>
    <w:rsid w:val="0058419A"/>
    <w:rsid w:val="005843DD"/>
    <w:rsid w:val="00584E68"/>
    <w:rsid w:val="00585513"/>
    <w:rsid w:val="005855B9"/>
    <w:rsid w:val="00586558"/>
    <w:rsid w:val="00586F81"/>
    <w:rsid w:val="00587764"/>
    <w:rsid w:val="005909A3"/>
    <w:rsid w:val="00592251"/>
    <w:rsid w:val="0059287C"/>
    <w:rsid w:val="0059421E"/>
    <w:rsid w:val="00594A5C"/>
    <w:rsid w:val="00595ABC"/>
    <w:rsid w:val="00595C93"/>
    <w:rsid w:val="0059651D"/>
    <w:rsid w:val="00596615"/>
    <w:rsid w:val="00596F06"/>
    <w:rsid w:val="00596FEC"/>
    <w:rsid w:val="00597776"/>
    <w:rsid w:val="005A188E"/>
    <w:rsid w:val="005A1D77"/>
    <w:rsid w:val="005A3B8F"/>
    <w:rsid w:val="005A5B9B"/>
    <w:rsid w:val="005A6B5E"/>
    <w:rsid w:val="005A7901"/>
    <w:rsid w:val="005A7C04"/>
    <w:rsid w:val="005A7DCC"/>
    <w:rsid w:val="005B0FAC"/>
    <w:rsid w:val="005B2201"/>
    <w:rsid w:val="005B2600"/>
    <w:rsid w:val="005B5CAD"/>
    <w:rsid w:val="005B6BAE"/>
    <w:rsid w:val="005B75D3"/>
    <w:rsid w:val="005B7CE9"/>
    <w:rsid w:val="005C0B49"/>
    <w:rsid w:val="005C1BCF"/>
    <w:rsid w:val="005C1ED6"/>
    <w:rsid w:val="005C226C"/>
    <w:rsid w:val="005C3456"/>
    <w:rsid w:val="005C4CBA"/>
    <w:rsid w:val="005C4E18"/>
    <w:rsid w:val="005C5E64"/>
    <w:rsid w:val="005C5F64"/>
    <w:rsid w:val="005C5F6B"/>
    <w:rsid w:val="005C6631"/>
    <w:rsid w:val="005C67A9"/>
    <w:rsid w:val="005C728F"/>
    <w:rsid w:val="005C7D1D"/>
    <w:rsid w:val="005D00F1"/>
    <w:rsid w:val="005D0255"/>
    <w:rsid w:val="005D1839"/>
    <w:rsid w:val="005D1920"/>
    <w:rsid w:val="005D20F1"/>
    <w:rsid w:val="005D255E"/>
    <w:rsid w:val="005D295B"/>
    <w:rsid w:val="005D3B48"/>
    <w:rsid w:val="005D3B69"/>
    <w:rsid w:val="005D3FA8"/>
    <w:rsid w:val="005D7068"/>
    <w:rsid w:val="005D706B"/>
    <w:rsid w:val="005D7444"/>
    <w:rsid w:val="005E0365"/>
    <w:rsid w:val="005E0B7D"/>
    <w:rsid w:val="005E0C1B"/>
    <w:rsid w:val="005E0F70"/>
    <w:rsid w:val="005E1A16"/>
    <w:rsid w:val="005E1C1D"/>
    <w:rsid w:val="005E1EE8"/>
    <w:rsid w:val="005E291B"/>
    <w:rsid w:val="005E2BA9"/>
    <w:rsid w:val="005E3598"/>
    <w:rsid w:val="005E3B75"/>
    <w:rsid w:val="005E3FCE"/>
    <w:rsid w:val="005E6412"/>
    <w:rsid w:val="005E7466"/>
    <w:rsid w:val="005E7A7F"/>
    <w:rsid w:val="005E7F66"/>
    <w:rsid w:val="005F093B"/>
    <w:rsid w:val="005F19C8"/>
    <w:rsid w:val="005F2B95"/>
    <w:rsid w:val="005F2C22"/>
    <w:rsid w:val="005F2D2C"/>
    <w:rsid w:val="005F449C"/>
    <w:rsid w:val="005F4B5A"/>
    <w:rsid w:val="005F4CCF"/>
    <w:rsid w:val="005F4FC5"/>
    <w:rsid w:val="005F59DD"/>
    <w:rsid w:val="005F5E7B"/>
    <w:rsid w:val="005F610C"/>
    <w:rsid w:val="005F734B"/>
    <w:rsid w:val="005F7394"/>
    <w:rsid w:val="005F7C06"/>
    <w:rsid w:val="005F7DA1"/>
    <w:rsid w:val="005F7F28"/>
    <w:rsid w:val="00600B28"/>
    <w:rsid w:val="006016D8"/>
    <w:rsid w:val="006021E3"/>
    <w:rsid w:val="00602600"/>
    <w:rsid w:val="006028DF"/>
    <w:rsid w:val="006039E2"/>
    <w:rsid w:val="00603B3D"/>
    <w:rsid w:val="00603FC6"/>
    <w:rsid w:val="00604A45"/>
    <w:rsid w:val="0060599E"/>
    <w:rsid w:val="00606487"/>
    <w:rsid w:val="0060721E"/>
    <w:rsid w:val="006073C0"/>
    <w:rsid w:val="00610A1B"/>
    <w:rsid w:val="0061149C"/>
    <w:rsid w:val="006118C4"/>
    <w:rsid w:val="006120E2"/>
    <w:rsid w:val="00612348"/>
    <w:rsid w:val="00614A8B"/>
    <w:rsid w:val="00614C22"/>
    <w:rsid w:val="00615983"/>
    <w:rsid w:val="00615C20"/>
    <w:rsid w:val="0061636C"/>
    <w:rsid w:val="0061670C"/>
    <w:rsid w:val="00616838"/>
    <w:rsid w:val="00617BD5"/>
    <w:rsid w:val="00617C02"/>
    <w:rsid w:val="00620DA9"/>
    <w:rsid w:val="00621753"/>
    <w:rsid w:val="006229C1"/>
    <w:rsid w:val="00622B3B"/>
    <w:rsid w:val="006235BF"/>
    <w:rsid w:val="00623B9D"/>
    <w:rsid w:val="00623C8F"/>
    <w:rsid w:val="00624664"/>
    <w:rsid w:val="00624706"/>
    <w:rsid w:val="006251B0"/>
    <w:rsid w:val="00625B87"/>
    <w:rsid w:val="00625BFA"/>
    <w:rsid w:val="00626988"/>
    <w:rsid w:val="006270D2"/>
    <w:rsid w:val="00630807"/>
    <w:rsid w:val="00630D70"/>
    <w:rsid w:val="00631473"/>
    <w:rsid w:val="00632BBD"/>
    <w:rsid w:val="0063349D"/>
    <w:rsid w:val="00633837"/>
    <w:rsid w:val="00633962"/>
    <w:rsid w:val="006341A2"/>
    <w:rsid w:val="0063488D"/>
    <w:rsid w:val="00634D50"/>
    <w:rsid w:val="00634F41"/>
    <w:rsid w:val="0063574D"/>
    <w:rsid w:val="00635A41"/>
    <w:rsid w:val="006368C1"/>
    <w:rsid w:val="006373FF"/>
    <w:rsid w:val="006408E0"/>
    <w:rsid w:val="00641002"/>
    <w:rsid w:val="006410F5"/>
    <w:rsid w:val="00641E22"/>
    <w:rsid w:val="006426F2"/>
    <w:rsid w:val="00642A00"/>
    <w:rsid w:val="006447BA"/>
    <w:rsid w:val="00644EFB"/>
    <w:rsid w:val="00645830"/>
    <w:rsid w:val="00646D36"/>
    <w:rsid w:val="00650034"/>
    <w:rsid w:val="00650396"/>
    <w:rsid w:val="006504DC"/>
    <w:rsid w:val="006517CE"/>
    <w:rsid w:val="006518CD"/>
    <w:rsid w:val="00651A4F"/>
    <w:rsid w:val="00651C9B"/>
    <w:rsid w:val="00652221"/>
    <w:rsid w:val="00653057"/>
    <w:rsid w:val="00653513"/>
    <w:rsid w:val="00653887"/>
    <w:rsid w:val="006547BE"/>
    <w:rsid w:val="00654CE2"/>
    <w:rsid w:val="00654FCE"/>
    <w:rsid w:val="006557D4"/>
    <w:rsid w:val="006558E4"/>
    <w:rsid w:val="00656082"/>
    <w:rsid w:val="00656135"/>
    <w:rsid w:val="00656C44"/>
    <w:rsid w:val="00657917"/>
    <w:rsid w:val="00660C91"/>
    <w:rsid w:val="00661511"/>
    <w:rsid w:val="0066215E"/>
    <w:rsid w:val="00662189"/>
    <w:rsid w:val="006623D2"/>
    <w:rsid w:val="00662E7A"/>
    <w:rsid w:val="00663C75"/>
    <w:rsid w:val="006644A6"/>
    <w:rsid w:val="006645E6"/>
    <w:rsid w:val="00665EF0"/>
    <w:rsid w:val="006660DC"/>
    <w:rsid w:val="00667082"/>
    <w:rsid w:val="00667240"/>
    <w:rsid w:val="00667B85"/>
    <w:rsid w:val="006707B0"/>
    <w:rsid w:val="00672140"/>
    <w:rsid w:val="006724CF"/>
    <w:rsid w:val="00672A7E"/>
    <w:rsid w:val="00674A21"/>
    <w:rsid w:val="006754BD"/>
    <w:rsid w:val="006758E5"/>
    <w:rsid w:val="00675E36"/>
    <w:rsid w:val="006778C0"/>
    <w:rsid w:val="00677CFB"/>
    <w:rsid w:val="00680508"/>
    <w:rsid w:val="00680705"/>
    <w:rsid w:val="006807C7"/>
    <w:rsid w:val="00680A7E"/>
    <w:rsid w:val="0068136D"/>
    <w:rsid w:val="006822B5"/>
    <w:rsid w:val="00683171"/>
    <w:rsid w:val="00683ED2"/>
    <w:rsid w:val="006847C3"/>
    <w:rsid w:val="006857A0"/>
    <w:rsid w:val="00691A9C"/>
    <w:rsid w:val="0069258F"/>
    <w:rsid w:val="0069290C"/>
    <w:rsid w:val="00692FD9"/>
    <w:rsid w:val="00693345"/>
    <w:rsid w:val="00693DF6"/>
    <w:rsid w:val="00694490"/>
    <w:rsid w:val="00695385"/>
    <w:rsid w:val="00695BEC"/>
    <w:rsid w:val="00695DCF"/>
    <w:rsid w:val="00695FAA"/>
    <w:rsid w:val="00696075"/>
    <w:rsid w:val="00697109"/>
    <w:rsid w:val="00697446"/>
    <w:rsid w:val="006A0173"/>
    <w:rsid w:val="006A0FB7"/>
    <w:rsid w:val="006A1011"/>
    <w:rsid w:val="006A15ED"/>
    <w:rsid w:val="006A1680"/>
    <w:rsid w:val="006A341F"/>
    <w:rsid w:val="006A35C7"/>
    <w:rsid w:val="006A3E3F"/>
    <w:rsid w:val="006A4D0D"/>
    <w:rsid w:val="006A51D1"/>
    <w:rsid w:val="006A5222"/>
    <w:rsid w:val="006A5698"/>
    <w:rsid w:val="006A5DB5"/>
    <w:rsid w:val="006A6A97"/>
    <w:rsid w:val="006A7542"/>
    <w:rsid w:val="006A7D32"/>
    <w:rsid w:val="006B0B05"/>
    <w:rsid w:val="006B18EF"/>
    <w:rsid w:val="006B2755"/>
    <w:rsid w:val="006B2B2C"/>
    <w:rsid w:val="006B3AA3"/>
    <w:rsid w:val="006B3E4D"/>
    <w:rsid w:val="006B571E"/>
    <w:rsid w:val="006B5892"/>
    <w:rsid w:val="006B7666"/>
    <w:rsid w:val="006B77ED"/>
    <w:rsid w:val="006B7896"/>
    <w:rsid w:val="006B7E87"/>
    <w:rsid w:val="006C0094"/>
    <w:rsid w:val="006C09EE"/>
    <w:rsid w:val="006C131B"/>
    <w:rsid w:val="006C1AA0"/>
    <w:rsid w:val="006C24D4"/>
    <w:rsid w:val="006C2E03"/>
    <w:rsid w:val="006C42FE"/>
    <w:rsid w:val="006C5191"/>
    <w:rsid w:val="006C5256"/>
    <w:rsid w:val="006C53B5"/>
    <w:rsid w:val="006C566A"/>
    <w:rsid w:val="006C6466"/>
    <w:rsid w:val="006D06D8"/>
    <w:rsid w:val="006D11A0"/>
    <w:rsid w:val="006D1884"/>
    <w:rsid w:val="006D1DA6"/>
    <w:rsid w:val="006D3378"/>
    <w:rsid w:val="006D74F6"/>
    <w:rsid w:val="006D78D6"/>
    <w:rsid w:val="006E034D"/>
    <w:rsid w:val="006E06F9"/>
    <w:rsid w:val="006E131A"/>
    <w:rsid w:val="006E153A"/>
    <w:rsid w:val="006E185A"/>
    <w:rsid w:val="006E37A3"/>
    <w:rsid w:val="006E3823"/>
    <w:rsid w:val="006E4775"/>
    <w:rsid w:val="006E53F2"/>
    <w:rsid w:val="006E5BFA"/>
    <w:rsid w:val="006E6004"/>
    <w:rsid w:val="006E6055"/>
    <w:rsid w:val="006E7054"/>
    <w:rsid w:val="006E7118"/>
    <w:rsid w:val="006E79E8"/>
    <w:rsid w:val="006F1490"/>
    <w:rsid w:val="006F197C"/>
    <w:rsid w:val="006F27F3"/>
    <w:rsid w:val="006F2F09"/>
    <w:rsid w:val="006F300B"/>
    <w:rsid w:val="006F396F"/>
    <w:rsid w:val="006F3B1B"/>
    <w:rsid w:val="006F4415"/>
    <w:rsid w:val="006F44CA"/>
    <w:rsid w:val="006F62DA"/>
    <w:rsid w:val="006F690D"/>
    <w:rsid w:val="007003FC"/>
    <w:rsid w:val="00700DD1"/>
    <w:rsid w:val="007011C3"/>
    <w:rsid w:val="00701791"/>
    <w:rsid w:val="00701A4E"/>
    <w:rsid w:val="00701FB1"/>
    <w:rsid w:val="007027C8"/>
    <w:rsid w:val="007029A6"/>
    <w:rsid w:val="007032DF"/>
    <w:rsid w:val="00704EE6"/>
    <w:rsid w:val="007052F3"/>
    <w:rsid w:val="00705D66"/>
    <w:rsid w:val="00705E64"/>
    <w:rsid w:val="00705F47"/>
    <w:rsid w:val="00706067"/>
    <w:rsid w:val="0070625B"/>
    <w:rsid w:val="00710A84"/>
    <w:rsid w:val="00710DEE"/>
    <w:rsid w:val="0071210E"/>
    <w:rsid w:val="007130AC"/>
    <w:rsid w:val="00715171"/>
    <w:rsid w:val="007158ED"/>
    <w:rsid w:val="007168DC"/>
    <w:rsid w:val="0071707D"/>
    <w:rsid w:val="00717343"/>
    <w:rsid w:val="00717400"/>
    <w:rsid w:val="00717B20"/>
    <w:rsid w:val="00720C28"/>
    <w:rsid w:val="00720F35"/>
    <w:rsid w:val="00720F62"/>
    <w:rsid w:val="00722112"/>
    <w:rsid w:val="00722AA2"/>
    <w:rsid w:val="00723A6D"/>
    <w:rsid w:val="00723D90"/>
    <w:rsid w:val="007253C6"/>
    <w:rsid w:val="00725B55"/>
    <w:rsid w:val="0072615F"/>
    <w:rsid w:val="007267E8"/>
    <w:rsid w:val="00726B0E"/>
    <w:rsid w:val="00730579"/>
    <w:rsid w:val="00730E9F"/>
    <w:rsid w:val="00731E6C"/>
    <w:rsid w:val="0073545B"/>
    <w:rsid w:val="00736AD6"/>
    <w:rsid w:val="007370C4"/>
    <w:rsid w:val="00737371"/>
    <w:rsid w:val="00737CF0"/>
    <w:rsid w:val="00740020"/>
    <w:rsid w:val="00740A46"/>
    <w:rsid w:val="00741E17"/>
    <w:rsid w:val="00741E54"/>
    <w:rsid w:val="00742371"/>
    <w:rsid w:val="0074293E"/>
    <w:rsid w:val="00742B4A"/>
    <w:rsid w:val="00743CF7"/>
    <w:rsid w:val="00743ECD"/>
    <w:rsid w:val="00744177"/>
    <w:rsid w:val="00745334"/>
    <w:rsid w:val="00745678"/>
    <w:rsid w:val="00750A42"/>
    <w:rsid w:val="0075412C"/>
    <w:rsid w:val="00756A5D"/>
    <w:rsid w:val="0075730C"/>
    <w:rsid w:val="00757C42"/>
    <w:rsid w:val="00760279"/>
    <w:rsid w:val="007608AA"/>
    <w:rsid w:val="00760E02"/>
    <w:rsid w:val="00760E18"/>
    <w:rsid w:val="007619FA"/>
    <w:rsid w:val="00761B03"/>
    <w:rsid w:val="00762634"/>
    <w:rsid w:val="007628D2"/>
    <w:rsid w:val="00762C08"/>
    <w:rsid w:val="00762CD0"/>
    <w:rsid w:val="00762F14"/>
    <w:rsid w:val="00764A07"/>
    <w:rsid w:val="007662E0"/>
    <w:rsid w:val="00767C21"/>
    <w:rsid w:val="00770907"/>
    <w:rsid w:val="00770B60"/>
    <w:rsid w:val="007725AB"/>
    <w:rsid w:val="007731C7"/>
    <w:rsid w:val="0077353D"/>
    <w:rsid w:val="0077461C"/>
    <w:rsid w:val="00777105"/>
    <w:rsid w:val="00777120"/>
    <w:rsid w:val="007818FA"/>
    <w:rsid w:val="00781C06"/>
    <w:rsid w:val="00781E4B"/>
    <w:rsid w:val="00782A39"/>
    <w:rsid w:val="00782F0D"/>
    <w:rsid w:val="00784189"/>
    <w:rsid w:val="0078491E"/>
    <w:rsid w:val="00784CED"/>
    <w:rsid w:val="00787214"/>
    <w:rsid w:val="007879D2"/>
    <w:rsid w:val="00787B07"/>
    <w:rsid w:val="00790A4D"/>
    <w:rsid w:val="0079117B"/>
    <w:rsid w:val="007917BD"/>
    <w:rsid w:val="00791AB1"/>
    <w:rsid w:val="00791C90"/>
    <w:rsid w:val="00792302"/>
    <w:rsid w:val="00792FB7"/>
    <w:rsid w:val="00794BB8"/>
    <w:rsid w:val="007953FE"/>
    <w:rsid w:val="0079549E"/>
    <w:rsid w:val="00795861"/>
    <w:rsid w:val="00795F60"/>
    <w:rsid w:val="00796432"/>
    <w:rsid w:val="0079692E"/>
    <w:rsid w:val="007976DE"/>
    <w:rsid w:val="007A03BD"/>
    <w:rsid w:val="007A11DC"/>
    <w:rsid w:val="007A1795"/>
    <w:rsid w:val="007A1C38"/>
    <w:rsid w:val="007A2343"/>
    <w:rsid w:val="007A2D05"/>
    <w:rsid w:val="007A2D6E"/>
    <w:rsid w:val="007A30ED"/>
    <w:rsid w:val="007A37F2"/>
    <w:rsid w:val="007A38C2"/>
    <w:rsid w:val="007A4429"/>
    <w:rsid w:val="007A545C"/>
    <w:rsid w:val="007A5869"/>
    <w:rsid w:val="007A5B76"/>
    <w:rsid w:val="007A6692"/>
    <w:rsid w:val="007A6A98"/>
    <w:rsid w:val="007A6EF4"/>
    <w:rsid w:val="007A79B1"/>
    <w:rsid w:val="007B0C9F"/>
    <w:rsid w:val="007B1CD8"/>
    <w:rsid w:val="007B1D2A"/>
    <w:rsid w:val="007B2E6C"/>
    <w:rsid w:val="007B333D"/>
    <w:rsid w:val="007B4159"/>
    <w:rsid w:val="007B49A6"/>
    <w:rsid w:val="007B4B40"/>
    <w:rsid w:val="007B5A14"/>
    <w:rsid w:val="007B5FD1"/>
    <w:rsid w:val="007B6880"/>
    <w:rsid w:val="007B6EB1"/>
    <w:rsid w:val="007B70C1"/>
    <w:rsid w:val="007C09E3"/>
    <w:rsid w:val="007C1092"/>
    <w:rsid w:val="007C2775"/>
    <w:rsid w:val="007C320E"/>
    <w:rsid w:val="007C32E7"/>
    <w:rsid w:val="007C3791"/>
    <w:rsid w:val="007C41D0"/>
    <w:rsid w:val="007C492B"/>
    <w:rsid w:val="007C4C9F"/>
    <w:rsid w:val="007C4CA9"/>
    <w:rsid w:val="007C51EB"/>
    <w:rsid w:val="007C52CC"/>
    <w:rsid w:val="007C557F"/>
    <w:rsid w:val="007C55A9"/>
    <w:rsid w:val="007C5C5B"/>
    <w:rsid w:val="007C64DF"/>
    <w:rsid w:val="007C68BF"/>
    <w:rsid w:val="007C6A04"/>
    <w:rsid w:val="007C6BDA"/>
    <w:rsid w:val="007C6C65"/>
    <w:rsid w:val="007C721B"/>
    <w:rsid w:val="007C7240"/>
    <w:rsid w:val="007C7427"/>
    <w:rsid w:val="007C7B0D"/>
    <w:rsid w:val="007D039C"/>
    <w:rsid w:val="007D072D"/>
    <w:rsid w:val="007D1BED"/>
    <w:rsid w:val="007D4166"/>
    <w:rsid w:val="007D5545"/>
    <w:rsid w:val="007D5930"/>
    <w:rsid w:val="007D6CF6"/>
    <w:rsid w:val="007D7781"/>
    <w:rsid w:val="007E0B10"/>
    <w:rsid w:val="007E161D"/>
    <w:rsid w:val="007E1AE1"/>
    <w:rsid w:val="007E217C"/>
    <w:rsid w:val="007E330F"/>
    <w:rsid w:val="007E344A"/>
    <w:rsid w:val="007E5C48"/>
    <w:rsid w:val="007E5EC7"/>
    <w:rsid w:val="007E697A"/>
    <w:rsid w:val="007F0644"/>
    <w:rsid w:val="007F1EE0"/>
    <w:rsid w:val="007F38D0"/>
    <w:rsid w:val="007F3AE2"/>
    <w:rsid w:val="007F4DD7"/>
    <w:rsid w:val="007F593C"/>
    <w:rsid w:val="007F5F10"/>
    <w:rsid w:val="007F62F7"/>
    <w:rsid w:val="007F64E3"/>
    <w:rsid w:val="007F71D5"/>
    <w:rsid w:val="007F76F9"/>
    <w:rsid w:val="007F7A24"/>
    <w:rsid w:val="00800F5D"/>
    <w:rsid w:val="008013A0"/>
    <w:rsid w:val="00801DF0"/>
    <w:rsid w:val="008023E5"/>
    <w:rsid w:val="00802511"/>
    <w:rsid w:val="00803283"/>
    <w:rsid w:val="0080352D"/>
    <w:rsid w:val="00803C46"/>
    <w:rsid w:val="00803E5B"/>
    <w:rsid w:val="00803F72"/>
    <w:rsid w:val="00804924"/>
    <w:rsid w:val="00804E43"/>
    <w:rsid w:val="00804EE3"/>
    <w:rsid w:val="00805D73"/>
    <w:rsid w:val="008079D8"/>
    <w:rsid w:val="00807ACF"/>
    <w:rsid w:val="00807B0C"/>
    <w:rsid w:val="00807D76"/>
    <w:rsid w:val="00810E57"/>
    <w:rsid w:val="00811006"/>
    <w:rsid w:val="0081220C"/>
    <w:rsid w:val="00812720"/>
    <w:rsid w:val="00812A70"/>
    <w:rsid w:val="00813506"/>
    <w:rsid w:val="00814426"/>
    <w:rsid w:val="00815D02"/>
    <w:rsid w:val="00815E27"/>
    <w:rsid w:val="00816170"/>
    <w:rsid w:val="0081685F"/>
    <w:rsid w:val="00816D54"/>
    <w:rsid w:val="0082035B"/>
    <w:rsid w:val="00820386"/>
    <w:rsid w:val="00820E73"/>
    <w:rsid w:val="00821034"/>
    <w:rsid w:val="008212FA"/>
    <w:rsid w:val="0082175B"/>
    <w:rsid w:val="00821915"/>
    <w:rsid w:val="00822650"/>
    <w:rsid w:val="0082272C"/>
    <w:rsid w:val="00822E1E"/>
    <w:rsid w:val="00823DE5"/>
    <w:rsid w:val="0082426D"/>
    <w:rsid w:val="00824558"/>
    <w:rsid w:val="00824DE5"/>
    <w:rsid w:val="00825A72"/>
    <w:rsid w:val="00826DD4"/>
    <w:rsid w:val="008270AE"/>
    <w:rsid w:val="008301B3"/>
    <w:rsid w:val="00830270"/>
    <w:rsid w:val="00830F44"/>
    <w:rsid w:val="00830F62"/>
    <w:rsid w:val="008312CD"/>
    <w:rsid w:val="008314C4"/>
    <w:rsid w:val="00831BAA"/>
    <w:rsid w:val="00832DA3"/>
    <w:rsid w:val="00834326"/>
    <w:rsid w:val="0083522A"/>
    <w:rsid w:val="008355B2"/>
    <w:rsid w:val="00836CCA"/>
    <w:rsid w:val="00836FD9"/>
    <w:rsid w:val="008372D9"/>
    <w:rsid w:val="00837ADB"/>
    <w:rsid w:val="00837CAA"/>
    <w:rsid w:val="0084007C"/>
    <w:rsid w:val="0084057D"/>
    <w:rsid w:val="00840AD2"/>
    <w:rsid w:val="00842CC9"/>
    <w:rsid w:val="00842F71"/>
    <w:rsid w:val="00844F4D"/>
    <w:rsid w:val="0084653F"/>
    <w:rsid w:val="00846C7F"/>
    <w:rsid w:val="0084741A"/>
    <w:rsid w:val="00847F6B"/>
    <w:rsid w:val="008509FD"/>
    <w:rsid w:val="0085141B"/>
    <w:rsid w:val="00851A66"/>
    <w:rsid w:val="00851AF4"/>
    <w:rsid w:val="0085467F"/>
    <w:rsid w:val="00854E00"/>
    <w:rsid w:val="00855FBD"/>
    <w:rsid w:val="00856F31"/>
    <w:rsid w:val="00860096"/>
    <w:rsid w:val="00860611"/>
    <w:rsid w:val="00860C7D"/>
    <w:rsid w:val="008626D3"/>
    <w:rsid w:val="00862C9D"/>
    <w:rsid w:val="00863D6E"/>
    <w:rsid w:val="00863DDA"/>
    <w:rsid w:val="00863FBE"/>
    <w:rsid w:val="00866D3F"/>
    <w:rsid w:val="008671D1"/>
    <w:rsid w:val="00867EE1"/>
    <w:rsid w:val="0087023D"/>
    <w:rsid w:val="00870D95"/>
    <w:rsid w:val="008714E1"/>
    <w:rsid w:val="008717F0"/>
    <w:rsid w:val="00872ACF"/>
    <w:rsid w:val="008730CE"/>
    <w:rsid w:val="00873685"/>
    <w:rsid w:val="00875BB4"/>
    <w:rsid w:val="0087679D"/>
    <w:rsid w:val="00876876"/>
    <w:rsid w:val="008771FA"/>
    <w:rsid w:val="00877727"/>
    <w:rsid w:val="00877B2A"/>
    <w:rsid w:val="00877B73"/>
    <w:rsid w:val="00877D44"/>
    <w:rsid w:val="00880362"/>
    <w:rsid w:val="008810D1"/>
    <w:rsid w:val="00881B6E"/>
    <w:rsid w:val="00881D5D"/>
    <w:rsid w:val="00882108"/>
    <w:rsid w:val="00882225"/>
    <w:rsid w:val="00883343"/>
    <w:rsid w:val="008834C6"/>
    <w:rsid w:val="00883EDC"/>
    <w:rsid w:val="0088417F"/>
    <w:rsid w:val="008842BC"/>
    <w:rsid w:val="0088483E"/>
    <w:rsid w:val="008852FC"/>
    <w:rsid w:val="00885FC4"/>
    <w:rsid w:val="008878B7"/>
    <w:rsid w:val="00891E3A"/>
    <w:rsid w:val="008933E4"/>
    <w:rsid w:val="00895A47"/>
    <w:rsid w:val="00896179"/>
    <w:rsid w:val="0089736D"/>
    <w:rsid w:val="00897A87"/>
    <w:rsid w:val="008A2476"/>
    <w:rsid w:val="008A2A7B"/>
    <w:rsid w:val="008A475F"/>
    <w:rsid w:val="008A4836"/>
    <w:rsid w:val="008A5495"/>
    <w:rsid w:val="008A67BF"/>
    <w:rsid w:val="008A69C9"/>
    <w:rsid w:val="008A7AE9"/>
    <w:rsid w:val="008B1B30"/>
    <w:rsid w:val="008B3953"/>
    <w:rsid w:val="008B3F30"/>
    <w:rsid w:val="008B5D37"/>
    <w:rsid w:val="008B67B4"/>
    <w:rsid w:val="008B67EC"/>
    <w:rsid w:val="008B739A"/>
    <w:rsid w:val="008B795C"/>
    <w:rsid w:val="008B7B91"/>
    <w:rsid w:val="008C0286"/>
    <w:rsid w:val="008C1953"/>
    <w:rsid w:val="008C239A"/>
    <w:rsid w:val="008C297F"/>
    <w:rsid w:val="008C3106"/>
    <w:rsid w:val="008C34E4"/>
    <w:rsid w:val="008C36DF"/>
    <w:rsid w:val="008C4409"/>
    <w:rsid w:val="008C5702"/>
    <w:rsid w:val="008C59ED"/>
    <w:rsid w:val="008C727D"/>
    <w:rsid w:val="008C7D56"/>
    <w:rsid w:val="008C7E78"/>
    <w:rsid w:val="008D119B"/>
    <w:rsid w:val="008D2157"/>
    <w:rsid w:val="008D249F"/>
    <w:rsid w:val="008D339C"/>
    <w:rsid w:val="008D36DD"/>
    <w:rsid w:val="008D3818"/>
    <w:rsid w:val="008D4787"/>
    <w:rsid w:val="008D5C2D"/>
    <w:rsid w:val="008D61F7"/>
    <w:rsid w:val="008D68D4"/>
    <w:rsid w:val="008D7216"/>
    <w:rsid w:val="008D7BC9"/>
    <w:rsid w:val="008E2E6D"/>
    <w:rsid w:val="008E31B7"/>
    <w:rsid w:val="008E3278"/>
    <w:rsid w:val="008E50B4"/>
    <w:rsid w:val="008E5142"/>
    <w:rsid w:val="008E5420"/>
    <w:rsid w:val="008E56B1"/>
    <w:rsid w:val="008E573A"/>
    <w:rsid w:val="008E6D32"/>
    <w:rsid w:val="008E7A92"/>
    <w:rsid w:val="008E7BFA"/>
    <w:rsid w:val="008F0011"/>
    <w:rsid w:val="008F021F"/>
    <w:rsid w:val="008F026C"/>
    <w:rsid w:val="008F04C1"/>
    <w:rsid w:val="008F099A"/>
    <w:rsid w:val="008F15B9"/>
    <w:rsid w:val="008F171B"/>
    <w:rsid w:val="008F2F58"/>
    <w:rsid w:val="008F3E89"/>
    <w:rsid w:val="008F5000"/>
    <w:rsid w:val="008F5B16"/>
    <w:rsid w:val="008F6736"/>
    <w:rsid w:val="008F7EE3"/>
    <w:rsid w:val="00900228"/>
    <w:rsid w:val="0090068E"/>
    <w:rsid w:val="00900DF2"/>
    <w:rsid w:val="00900EE6"/>
    <w:rsid w:val="00901400"/>
    <w:rsid w:val="00902F8F"/>
    <w:rsid w:val="00903CFB"/>
    <w:rsid w:val="00905201"/>
    <w:rsid w:val="00905A08"/>
    <w:rsid w:val="0090639B"/>
    <w:rsid w:val="0090778C"/>
    <w:rsid w:val="009108CF"/>
    <w:rsid w:val="00910F2E"/>
    <w:rsid w:val="0091111B"/>
    <w:rsid w:val="00911707"/>
    <w:rsid w:val="00912DA9"/>
    <w:rsid w:val="009138A8"/>
    <w:rsid w:val="009143D5"/>
    <w:rsid w:val="00914D32"/>
    <w:rsid w:val="00915F4C"/>
    <w:rsid w:val="00916690"/>
    <w:rsid w:val="009171E6"/>
    <w:rsid w:val="00917D7D"/>
    <w:rsid w:val="00923234"/>
    <w:rsid w:val="009244BD"/>
    <w:rsid w:val="00925FF4"/>
    <w:rsid w:val="009262C2"/>
    <w:rsid w:val="00927CA7"/>
    <w:rsid w:val="0093014B"/>
    <w:rsid w:val="00930C5B"/>
    <w:rsid w:val="00933BA9"/>
    <w:rsid w:val="00934295"/>
    <w:rsid w:val="00934F75"/>
    <w:rsid w:val="00935362"/>
    <w:rsid w:val="00935482"/>
    <w:rsid w:val="009354CC"/>
    <w:rsid w:val="00936432"/>
    <w:rsid w:val="0094072D"/>
    <w:rsid w:val="00940D0D"/>
    <w:rsid w:val="00940F73"/>
    <w:rsid w:val="009412D5"/>
    <w:rsid w:val="00942020"/>
    <w:rsid w:val="0094248C"/>
    <w:rsid w:val="00943C54"/>
    <w:rsid w:val="00944099"/>
    <w:rsid w:val="00944130"/>
    <w:rsid w:val="00944B6B"/>
    <w:rsid w:val="009458D8"/>
    <w:rsid w:val="00945D94"/>
    <w:rsid w:val="009460CD"/>
    <w:rsid w:val="00946236"/>
    <w:rsid w:val="00946263"/>
    <w:rsid w:val="00946585"/>
    <w:rsid w:val="00947017"/>
    <w:rsid w:val="00947047"/>
    <w:rsid w:val="009470E4"/>
    <w:rsid w:val="00947277"/>
    <w:rsid w:val="0094734E"/>
    <w:rsid w:val="009478BA"/>
    <w:rsid w:val="00947A39"/>
    <w:rsid w:val="00950DED"/>
    <w:rsid w:val="00950EB3"/>
    <w:rsid w:val="00950EB5"/>
    <w:rsid w:val="00951C60"/>
    <w:rsid w:val="009526D1"/>
    <w:rsid w:val="009529BB"/>
    <w:rsid w:val="00954127"/>
    <w:rsid w:val="009546A0"/>
    <w:rsid w:val="00954A54"/>
    <w:rsid w:val="009556DC"/>
    <w:rsid w:val="00956A49"/>
    <w:rsid w:val="00956F6F"/>
    <w:rsid w:val="0096115A"/>
    <w:rsid w:val="00961DB7"/>
    <w:rsid w:val="00961ED5"/>
    <w:rsid w:val="00962BFF"/>
    <w:rsid w:val="0096319C"/>
    <w:rsid w:val="009636CB"/>
    <w:rsid w:val="009637DB"/>
    <w:rsid w:val="0096416F"/>
    <w:rsid w:val="0096541A"/>
    <w:rsid w:val="00965E52"/>
    <w:rsid w:val="009666BC"/>
    <w:rsid w:val="0096709F"/>
    <w:rsid w:val="0096756E"/>
    <w:rsid w:val="00967CAD"/>
    <w:rsid w:val="009707A2"/>
    <w:rsid w:val="00970E6C"/>
    <w:rsid w:val="009717AD"/>
    <w:rsid w:val="009722F8"/>
    <w:rsid w:val="00973598"/>
    <w:rsid w:val="0097487E"/>
    <w:rsid w:val="00974EEC"/>
    <w:rsid w:val="009755EF"/>
    <w:rsid w:val="00975849"/>
    <w:rsid w:val="00975995"/>
    <w:rsid w:val="00976287"/>
    <w:rsid w:val="00976373"/>
    <w:rsid w:val="00977FDF"/>
    <w:rsid w:val="00980A6A"/>
    <w:rsid w:val="009828E7"/>
    <w:rsid w:val="00983572"/>
    <w:rsid w:val="00983BF4"/>
    <w:rsid w:val="00983EA1"/>
    <w:rsid w:val="00984211"/>
    <w:rsid w:val="009868E4"/>
    <w:rsid w:val="00986BA3"/>
    <w:rsid w:val="009870E2"/>
    <w:rsid w:val="00987431"/>
    <w:rsid w:val="00987B20"/>
    <w:rsid w:val="00990C09"/>
    <w:rsid w:val="009912AD"/>
    <w:rsid w:val="00991535"/>
    <w:rsid w:val="00993296"/>
    <w:rsid w:val="00993467"/>
    <w:rsid w:val="009953E9"/>
    <w:rsid w:val="009960EA"/>
    <w:rsid w:val="00997139"/>
    <w:rsid w:val="00997AD2"/>
    <w:rsid w:val="009A0C54"/>
    <w:rsid w:val="009A0F87"/>
    <w:rsid w:val="009A1CDB"/>
    <w:rsid w:val="009A4288"/>
    <w:rsid w:val="009A4670"/>
    <w:rsid w:val="009A5184"/>
    <w:rsid w:val="009A5E06"/>
    <w:rsid w:val="009A605D"/>
    <w:rsid w:val="009A619B"/>
    <w:rsid w:val="009B25BE"/>
    <w:rsid w:val="009B29F3"/>
    <w:rsid w:val="009B30A3"/>
    <w:rsid w:val="009B3638"/>
    <w:rsid w:val="009B386C"/>
    <w:rsid w:val="009B406F"/>
    <w:rsid w:val="009B449B"/>
    <w:rsid w:val="009B44CD"/>
    <w:rsid w:val="009B55F3"/>
    <w:rsid w:val="009B5AD8"/>
    <w:rsid w:val="009B6055"/>
    <w:rsid w:val="009B6A7B"/>
    <w:rsid w:val="009B716F"/>
    <w:rsid w:val="009B7233"/>
    <w:rsid w:val="009B734C"/>
    <w:rsid w:val="009B7390"/>
    <w:rsid w:val="009B787F"/>
    <w:rsid w:val="009C076A"/>
    <w:rsid w:val="009C0937"/>
    <w:rsid w:val="009C09E7"/>
    <w:rsid w:val="009C0C3E"/>
    <w:rsid w:val="009C1CD3"/>
    <w:rsid w:val="009C24AE"/>
    <w:rsid w:val="009C47B2"/>
    <w:rsid w:val="009C4EDB"/>
    <w:rsid w:val="009C541F"/>
    <w:rsid w:val="009C5677"/>
    <w:rsid w:val="009C6059"/>
    <w:rsid w:val="009C6BD9"/>
    <w:rsid w:val="009C767D"/>
    <w:rsid w:val="009C7F5E"/>
    <w:rsid w:val="009D0160"/>
    <w:rsid w:val="009D2EAA"/>
    <w:rsid w:val="009D387E"/>
    <w:rsid w:val="009D4029"/>
    <w:rsid w:val="009D4DA5"/>
    <w:rsid w:val="009D5472"/>
    <w:rsid w:val="009D5626"/>
    <w:rsid w:val="009D5A20"/>
    <w:rsid w:val="009D614E"/>
    <w:rsid w:val="009D6E41"/>
    <w:rsid w:val="009D7685"/>
    <w:rsid w:val="009E1C06"/>
    <w:rsid w:val="009E1C46"/>
    <w:rsid w:val="009E23C4"/>
    <w:rsid w:val="009E2482"/>
    <w:rsid w:val="009E31B8"/>
    <w:rsid w:val="009E365D"/>
    <w:rsid w:val="009E4256"/>
    <w:rsid w:val="009E43C8"/>
    <w:rsid w:val="009E56E2"/>
    <w:rsid w:val="009E5CE0"/>
    <w:rsid w:val="009E70B8"/>
    <w:rsid w:val="009F01D7"/>
    <w:rsid w:val="009F091E"/>
    <w:rsid w:val="009F09AF"/>
    <w:rsid w:val="009F0F8A"/>
    <w:rsid w:val="009F13AB"/>
    <w:rsid w:val="009F258D"/>
    <w:rsid w:val="009F285C"/>
    <w:rsid w:val="009F297E"/>
    <w:rsid w:val="009F2FD1"/>
    <w:rsid w:val="009F3BF1"/>
    <w:rsid w:val="009F3C27"/>
    <w:rsid w:val="009F3E9B"/>
    <w:rsid w:val="009F4105"/>
    <w:rsid w:val="009F48B9"/>
    <w:rsid w:val="009F5DF1"/>
    <w:rsid w:val="009F7050"/>
    <w:rsid w:val="009F75E5"/>
    <w:rsid w:val="009F7B25"/>
    <w:rsid w:val="00A000DC"/>
    <w:rsid w:val="00A01025"/>
    <w:rsid w:val="00A0130C"/>
    <w:rsid w:val="00A0154A"/>
    <w:rsid w:val="00A01711"/>
    <w:rsid w:val="00A029DE"/>
    <w:rsid w:val="00A02DB2"/>
    <w:rsid w:val="00A03061"/>
    <w:rsid w:val="00A032BC"/>
    <w:rsid w:val="00A03922"/>
    <w:rsid w:val="00A047B8"/>
    <w:rsid w:val="00A0498A"/>
    <w:rsid w:val="00A05202"/>
    <w:rsid w:val="00A05E27"/>
    <w:rsid w:val="00A06469"/>
    <w:rsid w:val="00A06B7B"/>
    <w:rsid w:val="00A07012"/>
    <w:rsid w:val="00A0752D"/>
    <w:rsid w:val="00A076B0"/>
    <w:rsid w:val="00A077C6"/>
    <w:rsid w:val="00A07AD4"/>
    <w:rsid w:val="00A07D27"/>
    <w:rsid w:val="00A10437"/>
    <w:rsid w:val="00A10789"/>
    <w:rsid w:val="00A11375"/>
    <w:rsid w:val="00A11CE3"/>
    <w:rsid w:val="00A120B6"/>
    <w:rsid w:val="00A13F82"/>
    <w:rsid w:val="00A14AA5"/>
    <w:rsid w:val="00A15C16"/>
    <w:rsid w:val="00A167A6"/>
    <w:rsid w:val="00A17157"/>
    <w:rsid w:val="00A1761D"/>
    <w:rsid w:val="00A2021A"/>
    <w:rsid w:val="00A20E9F"/>
    <w:rsid w:val="00A223AD"/>
    <w:rsid w:val="00A232FA"/>
    <w:rsid w:val="00A23786"/>
    <w:rsid w:val="00A24179"/>
    <w:rsid w:val="00A24286"/>
    <w:rsid w:val="00A247F6"/>
    <w:rsid w:val="00A24E9A"/>
    <w:rsid w:val="00A25211"/>
    <w:rsid w:val="00A2772E"/>
    <w:rsid w:val="00A303D4"/>
    <w:rsid w:val="00A30487"/>
    <w:rsid w:val="00A30948"/>
    <w:rsid w:val="00A3113E"/>
    <w:rsid w:val="00A32F54"/>
    <w:rsid w:val="00A33D4E"/>
    <w:rsid w:val="00A3431D"/>
    <w:rsid w:val="00A34541"/>
    <w:rsid w:val="00A35098"/>
    <w:rsid w:val="00A35C77"/>
    <w:rsid w:val="00A36548"/>
    <w:rsid w:val="00A37A83"/>
    <w:rsid w:val="00A37BA9"/>
    <w:rsid w:val="00A37DC0"/>
    <w:rsid w:val="00A4023C"/>
    <w:rsid w:val="00A40A21"/>
    <w:rsid w:val="00A40D57"/>
    <w:rsid w:val="00A41331"/>
    <w:rsid w:val="00A4180C"/>
    <w:rsid w:val="00A4268D"/>
    <w:rsid w:val="00A42E53"/>
    <w:rsid w:val="00A435C5"/>
    <w:rsid w:val="00A43C37"/>
    <w:rsid w:val="00A43C5D"/>
    <w:rsid w:val="00A44145"/>
    <w:rsid w:val="00A44155"/>
    <w:rsid w:val="00A44774"/>
    <w:rsid w:val="00A44B0F"/>
    <w:rsid w:val="00A44C2C"/>
    <w:rsid w:val="00A453DB"/>
    <w:rsid w:val="00A45497"/>
    <w:rsid w:val="00A45D83"/>
    <w:rsid w:val="00A45F59"/>
    <w:rsid w:val="00A4642A"/>
    <w:rsid w:val="00A46474"/>
    <w:rsid w:val="00A46658"/>
    <w:rsid w:val="00A46A2A"/>
    <w:rsid w:val="00A46CF3"/>
    <w:rsid w:val="00A50046"/>
    <w:rsid w:val="00A50107"/>
    <w:rsid w:val="00A505D6"/>
    <w:rsid w:val="00A5114A"/>
    <w:rsid w:val="00A51357"/>
    <w:rsid w:val="00A5175A"/>
    <w:rsid w:val="00A51A2A"/>
    <w:rsid w:val="00A523D6"/>
    <w:rsid w:val="00A52869"/>
    <w:rsid w:val="00A54C8E"/>
    <w:rsid w:val="00A550F9"/>
    <w:rsid w:val="00A55747"/>
    <w:rsid w:val="00A5594C"/>
    <w:rsid w:val="00A559DA"/>
    <w:rsid w:val="00A5667E"/>
    <w:rsid w:val="00A56734"/>
    <w:rsid w:val="00A60401"/>
    <w:rsid w:val="00A6061D"/>
    <w:rsid w:val="00A60F97"/>
    <w:rsid w:val="00A6165D"/>
    <w:rsid w:val="00A61CC9"/>
    <w:rsid w:val="00A62124"/>
    <w:rsid w:val="00A62B40"/>
    <w:rsid w:val="00A63969"/>
    <w:rsid w:val="00A63D5F"/>
    <w:rsid w:val="00A64B81"/>
    <w:rsid w:val="00A66224"/>
    <w:rsid w:val="00A6642C"/>
    <w:rsid w:val="00A67000"/>
    <w:rsid w:val="00A67553"/>
    <w:rsid w:val="00A67C2E"/>
    <w:rsid w:val="00A67EAE"/>
    <w:rsid w:val="00A701E3"/>
    <w:rsid w:val="00A70CC4"/>
    <w:rsid w:val="00A714A9"/>
    <w:rsid w:val="00A7206D"/>
    <w:rsid w:val="00A725A7"/>
    <w:rsid w:val="00A73A27"/>
    <w:rsid w:val="00A74336"/>
    <w:rsid w:val="00A74D36"/>
    <w:rsid w:val="00A75AFC"/>
    <w:rsid w:val="00A80D04"/>
    <w:rsid w:val="00A81532"/>
    <w:rsid w:val="00A81553"/>
    <w:rsid w:val="00A8182A"/>
    <w:rsid w:val="00A82CD0"/>
    <w:rsid w:val="00A82DDE"/>
    <w:rsid w:val="00A83013"/>
    <w:rsid w:val="00A83B3B"/>
    <w:rsid w:val="00A83E9B"/>
    <w:rsid w:val="00A866AD"/>
    <w:rsid w:val="00A86B82"/>
    <w:rsid w:val="00A87352"/>
    <w:rsid w:val="00A87F2C"/>
    <w:rsid w:val="00A9020A"/>
    <w:rsid w:val="00A90380"/>
    <w:rsid w:val="00A90431"/>
    <w:rsid w:val="00A925BB"/>
    <w:rsid w:val="00A92FCD"/>
    <w:rsid w:val="00A93454"/>
    <w:rsid w:val="00A934F5"/>
    <w:rsid w:val="00A93F52"/>
    <w:rsid w:val="00A94265"/>
    <w:rsid w:val="00A943CC"/>
    <w:rsid w:val="00A946ED"/>
    <w:rsid w:val="00A948C0"/>
    <w:rsid w:val="00A94A02"/>
    <w:rsid w:val="00A94F7F"/>
    <w:rsid w:val="00A95BFC"/>
    <w:rsid w:val="00AA0021"/>
    <w:rsid w:val="00AA011C"/>
    <w:rsid w:val="00AA0E16"/>
    <w:rsid w:val="00AA0E72"/>
    <w:rsid w:val="00AA193E"/>
    <w:rsid w:val="00AA1F33"/>
    <w:rsid w:val="00AA2365"/>
    <w:rsid w:val="00AA32EC"/>
    <w:rsid w:val="00AA3962"/>
    <w:rsid w:val="00AA3E32"/>
    <w:rsid w:val="00AA4BF8"/>
    <w:rsid w:val="00AA5576"/>
    <w:rsid w:val="00AA5B85"/>
    <w:rsid w:val="00AA6381"/>
    <w:rsid w:val="00AA7BF9"/>
    <w:rsid w:val="00AA7F69"/>
    <w:rsid w:val="00AB0C8A"/>
    <w:rsid w:val="00AB2184"/>
    <w:rsid w:val="00AB4D94"/>
    <w:rsid w:val="00AB506A"/>
    <w:rsid w:val="00AB5F42"/>
    <w:rsid w:val="00AB6122"/>
    <w:rsid w:val="00AB65F8"/>
    <w:rsid w:val="00AC233E"/>
    <w:rsid w:val="00AC26BD"/>
    <w:rsid w:val="00AC282E"/>
    <w:rsid w:val="00AC2A55"/>
    <w:rsid w:val="00AC35F2"/>
    <w:rsid w:val="00AC3DEB"/>
    <w:rsid w:val="00AC3E53"/>
    <w:rsid w:val="00AC3F79"/>
    <w:rsid w:val="00AC464B"/>
    <w:rsid w:val="00AC50F4"/>
    <w:rsid w:val="00AC53A0"/>
    <w:rsid w:val="00AC5B12"/>
    <w:rsid w:val="00AC5E76"/>
    <w:rsid w:val="00AC6092"/>
    <w:rsid w:val="00AC7FC2"/>
    <w:rsid w:val="00AD0F3A"/>
    <w:rsid w:val="00AD1208"/>
    <w:rsid w:val="00AD3094"/>
    <w:rsid w:val="00AD32FB"/>
    <w:rsid w:val="00AD3EC1"/>
    <w:rsid w:val="00AD4895"/>
    <w:rsid w:val="00AD5785"/>
    <w:rsid w:val="00AD6B13"/>
    <w:rsid w:val="00AD6CAE"/>
    <w:rsid w:val="00AD6FD1"/>
    <w:rsid w:val="00AD732E"/>
    <w:rsid w:val="00AD73D2"/>
    <w:rsid w:val="00AD7BA1"/>
    <w:rsid w:val="00AE0605"/>
    <w:rsid w:val="00AE0F29"/>
    <w:rsid w:val="00AE0F9A"/>
    <w:rsid w:val="00AE10CF"/>
    <w:rsid w:val="00AE180E"/>
    <w:rsid w:val="00AE4A9C"/>
    <w:rsid w:val="00AE4AC8"/>
    <w:rsid w:val="00AE5D7A"/>
    <w:rsid w:val="00AE6CA8"/>
    <w:rsid w:val="00AE7DEE"/>
    <w:rsid w:val="00AF05A1"/>
    <w:rsid w:val="00AF0924"/>
    <w:rsid w:val="00AF0D79"/>
    <w:rsid w:val="00AF1127"/>
    <w:rsid w:val="00AF18D2"/>
    <w:rsid w:val="00AF1F31"/>
    <w:rsid w:val="00AF206B"/>
    <w:rsid w:val="00AF23C8"/>
    <w:rsid w:val="00AF49FA"/>
    <w:rsid w:val="00AF61EE"/>
    <w:rsid w:val="00AF64DA"/>
    <w:rsid w:val="00AF6E0F"/>
    <w:rsid w:val="00AF7AFE"/>
    <w:rsid w:val="00B0061E"/>
    <w:rsid w:val="00B00EBE"/>
    <w:rsid w:val="00B00FB4"/>
    <w:rsid w:val="00B024D3"/>
    <w:rsid w:val="00B0252D"/>
    <w:rsid w:val="00B034E7"/>
    <w:rsid w:val="00B03FA9"/>
    <w:rsid w:val="00B0465E"/>
    <w:rsid w:val="00B047E3"/>
    <w:rsid w:val="00B05DA2"/>
    <w:rsid w:val="00B060A7"/>
    <w:rsid w:val="00B06C8A"/>
    <w:rsid w:val="00B0742B"/>
    <w:rsid w:val="00B07939"/>
    <w:rsid w:val="00B07BD2"/>
    <w:rsid w:val="00B07C0E"/>
    <w:rsid w:val="00B07CF3"/>
    <w:rsid w:val="00B07E1D"/>
    <w:rsid w:val="00B07FB4"/>
    <w:rsid w:val="00B10001"/>
    <w:rsid w:val="00B116DE"/>
    <w:rsid w:val="00B12684"/>
    <w:rsid w:val="00B13040"/>
    <w:rsid w:val="00B141D2"/>
    <w:rsid w:val="00B1588B"/>
    <w:rsid w:val="00B15C17"/>
    <w:rsid w:val="00B15EA2"/>
    <w:rsid w:val="00B16B91"/>
    <w:rsid w:val="00B1796A"/>
    <w:rsid w:val="00B204A9"/>
    <w:rsid w:val="00B20822"/>
    <w:rsid w:val="00B2246E"/>
    <w:rsid w:val="00B22762"/>
    <w:rsid w:val="00B22BF6"/>
    <w:rsid w:val="00B2347B"/>
    <w:rsid w:val="00B2471D"/>
    <w:rsid w:val="00B27286"/>
    <w:rsid w:val="00B27F9B"/>
    <w:rsid w:val="00B31D87"/>
    <w:rsid w:val="00B330F1"/>
    <w:rsid w:val="00B33D82"/>
    <w:rsid w:val="00B33DBE"/>
    <w:rsid w:val="00B33FC9"/>
    <w:rsid w:val="00B34569"/>
    <w:rsid w:val="00B34E8D"/>
    <w:rsid w:val="00B35008"/>
    <w:rsid w:val="00B35434"/>
    <w:rsid w:val="00B35883"/>
    <w:rsid w:val="00B36930"/>
    <w:rsid w:val="00B375F3"/>
    <w:rsid w:val="00B424BB"/>
    <w:rsid w:val="00B42D30"/>
    <w:rsid w:val="00B43AB7"/>
    <w:rsid w:val="00B43CB0"/>
    <w:rsid w:val="00B4407B"/>
    <w:rsid w:val="00B45613"/>
    <w:rsid w:val="00B4666E"/>
    <w:rsid w:val="00B4723C"/>
    <w:rsid w:val="00B47B7E"/>
    <w:rsid w:val="00B510EF"/>
    <w:rsid w:val="00B51A18"/>
    <w:rsid w:val="00B534F4"/>
    <w:rsid w:val="00B54843"/>
    <w:rsid w:val="00B54BDC"/>
    <w:rsid w:val="00B55342"/>
    <w:rsid w:val="00B5539F"/>
    <w:rsid w:val="00B5621B"/>
    <w:rsid w:val="00B57F83"/>
    <w:rsid w:val="00B60ADE"/>
    <w:rsid w:val="00B60CC8"/>
    <w:rsid w:val="00B60E51"/>
    <w:rsid w:val="00B61CBD"/>
    <w:rsid w:val="00B61DCC"/>
    <w:rsid w:val="00B6289A"/>
    <w:rsid w:val="00B628D4"/>
    <w:rsid w:val="00B63186"/>
    <w:rsid w:val="00B635F7"/>
    <w:rsid w:val="00B66122"/>
    <w:rsid w:val="00B67FA5"/>
    <w:rsid w:val="00B7015C"/>
    <w:rsid w:val="00B70898"/>
    <w:rsid w:val="00B712F6"/>
    <w:rsid w:val="00B73232"/>
    <w:rsid w:val="00B73FDE"/>
    <w:rsid w:val="00B7499B"/>
    <w:rsid w:val="00B77184"/>
    <w:rsid w:val="00B7733E"/>
    <w:rsid w:val="00B77583"/>
    <w:rsid w:val="00B77891"/>
    <w:rsid w:val="00B80A62"/>
    <w:rsid w:val="00B8272F"/>
    <w:rsid w:val="00B8288D"/>
    <w:rsid w:val="00B8411F"/>
    <w:rsid w:val="00B848D6"/>
    <w:rsid w:val="00B84D33"/>
    <w:rsid w:val="00B84EA0"/>
    <w:rsid w:val="00B853CC"/>
    <w:rsid w:val="00B859B2"/>
    <w:rsid w:val="00B87CCB"/>
    <w:rsid w:val="00B87EDD"/>
    <w:rsid w:val="00B915E9"/>
    <w:rsid w:val="00B9199E"/>
    <w:rsid w:val="00B92C83"/>
    <w:rsid w:val="00B92DA5"/>
    <w:rsid w:val="00B93145"/>
    <w:rsid w:val="00B93AA7"/>
    <w:rsid w:val="00B93BF7"/>
    <w:rsid w:val="00B93FD9"/>
    <w:rsid w:val="00B942A2"/>
    <w:rsid w:val="00B95E41"/>
    <w:rsid w:val="00B96179"/>
    <w:rsid w:val="00B96893"/>
    <w:rsid w:val="00B972E2"/>
    <w:rsid w:val="00B976EF"/>
    <w:rsid w:val="00BA037B"/>
    <w:rsid w:val="00BA47AA"/>
    <w:rsid w:val="00BA4A16"/>
    <w:rsid w:val="00BA72E3"/>
    <w:rsid w:val="00BA73C7"/>
    <w:rsid w:val="00BA7640"/>
    <w:rsid w:val="00BB033C"/>
    <w:rsid w:val="00BB0E47"/>
    <w:rsid w:val="00BB11C4"/>
    <w:rsid w:val="00BB15BC"/>
    <w:rsid w:val="00BB3111"/>
    <w:rsid w:val="00BB3754"/>
    <w:rsid w:val="00BB4DEA"/>
    <w:rsid w:val="00BB7143"/>
    <w:rsid w:val="00BB784D"/>
    <w:rsid w:val="00BC066F"/>
    <w:rsid w:val="00BC1122"/>
    <w:rsid w:val="00BC14CF"/>
    <w:rsid w:val="00BC1C82"/>
    <w:rsid w:val="00BC1D2A"/>
    <w:rsid w:val="00BC2A4E"/>
    <w:rsid w:val="00BC2E75"/>
    <w:rsid w:val="00BC4006"/>
    <w:rsid w:val="00BC5628"/>
    <w:rsid w:val="00BC5B66"/>
    <w:rsid w:val="00BC5C7F"/>
    <w:rsid w:val="00BC65CA"/>
    <w:rsid w:val="00BC68DD"/>
    <w:rsid w:val="00BC6BC5"/>
    <w:rsid w:val="00BC6F50"/>
    <w:rsid w:val="00BC6FF2"/>
    <w:rsid w:val="00BC7543"/>
    <w:rsid w:val="00BC7E2C"/>
    <w:rsid w:val="00BD03AF"/>
    <w:rsid w:val="00BD0709"/>
    <w:rsid w:val="00BD1DF0"/>
    <w:rsid w:val="00BD247C"/>
    <w:rsid w:val="00BD2685"/>
    <w:rsid w:val="00BD35F6"/>
    <w:rsid w:val="00BD3CA7"/>
    <w:rsid w:val="00BD52E9"/>
    <w:rsid w:val="00BD58DC"/>
    <w:rsid w:val="00BD6BFC"/>
    <w:rsid w:val="00BD6EFB"/>
    <w:rsid w:val="00BE0572"/>
    <w:rsid w:val="00BE1BDB"/>
    <w:rsid w:val="00BE2AAE"/>
    <w:rsid w:val="00BE30CD"/>
    <w:rsid w:val="00BE367F"/>
    <w:rsid w:val="00BE4304"/>
    <w:rsid w:val="00BE64E8"/>
    <w:rsid w:val="00BE6EFA"/>
    <w:rsid w:val="00BF14F0"/>
    <w:rsid w:val="00BF2F3D"/>
    <w:rsid w:val="00BF387B"/>
    <w:rsid w:val="00BF3CC5"/>
    <w:rsid w:val="00BF4883"/>
    <w:rsid w:val="00BF568B"/>
    <w:rsid w:val="00C00023"/>
    <w:rsid w:val="00C004A3"/>
    <w:rsid w:val="00C00765"/>
    <w:rsid w:val="00C00AFE"/>
    <w:rsid w:val="00C00F89"/>
    <w:rsid w:val="00C02383"/>
    <w:rsid w:val="00C027AD"/>
    <w:rsid w:val="00C03A1A"/>
    <w:rsid w:val="00C03F8B"/>
    <w:rsid w:val="00C040E1"/>
    <w:rsid w:val="00C0434C"/>
    <w:rsid w:val="00C04EAA"/>
    <w:rsid w:val="00C055CD"/>
    <w:rsid w:val="00C061B4"/>
    <w:rsid w:val="00C06231"/>
    <w:rsid w:val="00C06877"/>
    <w:rsid w:val="00C06F76"/>
    <w:rsid w:val="00C10A50"/>
    <w:rsid w:val="00C10AAC"/>
    <w:rsid w:val="00C1221E"/>
    <w:rsid w:val="00C1307B"/>
    <w:rsid w:val="00C13710"/>
    <w:rsid w:val="00C13BD5"/>
    <w:rsid w:val="00C13F36"/>
    <w:rsid w:val="00C13FE4"/>
    <w:rsid w:val="00C148C3"/>
    <w:rsid w:val="00C14C0B"/>
    <w:rsid w:val="00C152CE"/>
    <w:rsid w:val="00C15BAC"/>
    <w:rsid w:val="00C168A5"/>
    <w:rsid w:val="00C171FC"/>
    <w:rsid w:val="00C17AA6"/>
    <w:rsid w:val="00C17B0E"/>
    <w:rsid w:val="00C201C0"/>
    <w:rsid w:val="00C21DCC"/>
    <w:rsid w:val="00C227E4"/>
    <w:rsid w:val="00C2280E"/>
    <w:rsid w:val="00C23387"/>
    <w:rsid w:val="00C24E09"/>
    <w:rsid w:val="00C25755"/>
    <w:rsid w:val="00C25F34"/>
    <w:rsid w:val="00C26385"/>
    <w:rsid w:val="00C26752"/>
    <w:rsid w:val="00C2677E"/>
    <w:rsid w:val="00C26F78"/>
    <w:rsid w:val="00C30C25"/>
    <w:rsid w:val="00C311A2"/>
    <w:rsid w:val="00C33B0A"/>
    <w:rsid w:val="00C346B6"/>
    <w:rsid w:val="00C34E16"/>
    <w:rsid w:val="00C36F88"/>
    <w:rsid w:val="00C370CA"/>
    <w:rsid w:val="00C416D5"/>
    <w:rsid w:val="00C43C4A"/>
    <w:rsid w:val="00C43F06"/>
    <w:rsid w:val="00C459D1"/>
    <w:rsid w:val="00C47335"/>
    <w:rsid w:val="00C474AF"/>
    <w:rsid w:val="00C475C5"/>
    <w:rsid w:val="00C50235"/>
    <w:rsid w:val="00C50CFD"/>
    <w:rsid w:val="00C517DE"/>
    <w:rsid w:val="00C518FA"/>
    <w:rsid w:val="00C52BE7"/>
    <w:rsid w:val="00C530EE"/>
    <w:rsid w:val="00C53643"/>
    <w:rsid w:val="00C56483"/>
    <w:rsid w:val="00C566F1"/>
    <w:rsid w:val="00C5714E"/>
    <w:rsid w:val="00C603D4"/>
    <w:rsid w:val="00C61015"/>
    <w:rsid w:val="00C61F46"/>
    <w:rsid w:val="00C62A75"/>
    <w:rsid w:val="00C633E4"/>
    <w:rsid w:val="00C633F9"/>
    <w:rsid w:val="00C64137"/>
    <w:rsid w:val="00C64B09"/>
    <w:rsid w:val="00C64E7B"/>
    <w:rsid w:val="00C6541A"/>
    <w:rsid w:val="00C66DF5"/>
    <w:rsid w:val="00C678E8"/>
    <w:rsid w:val="00C712C0"/>
    <w:rsid w:val="00C717D8"/>
    <w:rsid w:val="00C7282E"/>
    <w:rsid w:val="00C7505B"/>
    <w:rsid w:val="00C75670"/>
    <w:rsid w:val="00C75AF3"/>
    <w:rsid w:val="00C76243"/>
    <w:rsid w:val="00C76492"/>
    <w:rsid w:val="00C778DA"/>
    <w:rsid w:val="00C808DA"/>
    <w:rsid w:val="00C819CC"/>
    <w:rsid w:val="00C81A3B"/>
    <w:rsid w:val="00C82091"/>
    <w:rsid w:val="00C820FA"/>
    <w:rsid w:val="00C82482"/>
    <w:rsid w:val="00C83082"/>
    <w:rsid w:val="00C830AD"/>
    <w:rsid w:val="00C83532"/>
    <w:rsid w:val="00C8455D"/>
    <w:rsid w:val="00C84A1F"/>
    <w:rsid w:val="00C84CAB"/>
    <w:rsid w:val="00C84CC4"/>
    <w:rsid w:val="00C84DB2"/>
    <w:rsid w:val="00C85833"/>
    <w:rsid w:val="00C86027"/>
    <w:rsid w:val="00C86135"/>
    <w:rsid w:val="00C87437"/>
    <w:rsid w:val="00C87F88"/>
    <w:rsid w:val="00C901F2"/>
    <w:rsid w:val="00C91FB7"/>
    <w:rsid w:val="00C92DB9"/>
    <w:rsid w:val="00C9324E"/>
    <w:rsid w:val="00C93952"/>
    <w:rsid w:val="00C93977"/>
    <w:rsid w:val="00C947BA"/>
    <w:rsid w:val="00C94985"/>
    <w:rsid w:val="00C9510A"/>
    <w:rsid w:val="00C961A1"/>
    <w:rsid w:val="00C961CA"/>
    <w:rsid w:val="00C96B93"/>
    <w:rsid w:val="00C972B7"/>
    <w:rsid w:val="00C9757A"/>
    <w:rsid w:val="00C97AC1"/>
    <w:rsid w:val="00CA0105"/>
    <w:rsid w:val="00CA20A9"/>
    <w:rsid w:val="00CA20EB"/>
    <w:rsid w:val="00CA2676"/>
    <w:rsid w:val="00CA56E6"/>
    <w:rsid w:val="00CA6CAF"/>
    <w:rsid w:val="00CA713C"/>
    <w:rsid w:val="00CA77CE"/>
    <w:rsid w:val="00CA78E6"/>
    <w:rsid w:val="00CB12DE"/>
    <w:rsid w:val="00CB17CD"/>
    <w:rsid w:val="00CB1E6F"/>
    <w:rsid w:val="00CB2351"/>
    <w:rsid w:val="00CB2A4A"/>
    <w:rsid w:val="00CB3600"/>
    <w:rsid w:val="00CB3A26"/>
    <w:rsid w:val="00CB46D3"/>
    <w:rsid w:val="00CB4862"/>
    <w:rsid w:val="00CB4EC8"/>
    <w:rsid w:val="00CB5442"/>
    <w:rsid w:val="00CB5470"/>
    <w:rsid w:val="00CB5A45"/>
    <w:rsid w:val="00CB600E"/>
    <w:rsid w:val="00CB60B0"/>
    <w:rsid w:val="00CB70E9"/>
    <w:rsid w:val="00CC054F"/>
    <w:rsid w:val="00CC0866"/>
    <w:rsid w:val="00CC15B2"/>
    <w:rsid w:val="00CC16F0"/>
    <w:rsid w:val="00CC1BBD"/>
    <w:rsid w:val="00CC23B9"/>
    <w:rsid w:val="00CC2CB1"/>
    <w:rsid w:val="00CC3ACA"/>
    <w:rsid w:val="00CC3B52"/>
    <w:rsid w:val="00CC3BA5"/>
    <w:rsid w:val="00CC440E"/>
    <w:rsid w:val="00CC5156"/>
    <w:rsid w:val="00CC6102"/>
    <w:rsid w:val="00CC68CC"/>
    <w:rsid w:val="00CC6B05"/>
    <w:rsid w:val="00CC6CED"/>
    <w:rsid w:val="00CC6D80"/>
    <w:rsid w:val="00CC734E"/>
    <w:rsid w:val="00CC76FC"/>
    <w:rsid w:val="00CD0268"/>
    <w:rsid w:val="00CD1AE2"/>
    <w:rsid w:val="00CD2C92"/>
    <w:rsid w:val="00CD4AEB"/>
    <w:rsid w:val="00CD4BE8"/>
    <w:rsid w:val="00CD60B8"/>
    <w:rsid w:val="00CD678C"/>
    <w:rsid w:val="00CD7C39"/>
    <w:rsid w:val="00CE3342"/>
    <w:rsid w:val="00CE3586"/>
    <w:rsid w:val="00CE3982"/>
    <w:rsid w:val="00CE47C5"/>
    <w:rsid w:val="00CE4B5D"/>
    <w:rsid w:val="00CE4BC3"/>
    <w:rsid w:val="00CE4CF7"/>
    <w:rsid w:val="00CE5938"/>
    <w:rsid w:val="00CE689D"/>
    <w:rsid w:val="00CE6D2D"/>
    <w:rsid w:val="00CE7D8F"/>
    <w:rsid w:val="00CF07C4"/>
    <w:rsid w:val="00CF1A9E"/>
    <w:rsid w:val="00CF1F2C"/>
    <w:rsid w:val="00CF2D61"/>
    <w:rsid w:val="00CF387C"/>
    <w:rsid w:val="00CF3AD4"/>
    <w:rsid w:val="00CF6F3C"/>
    <w:rsid w:val="00D01613"/>
    <w:rsid w:val="00D018BA"/>
    <w:rsid w:val="00D025D7"/>
    <w:rsid w:val="00D02A1F"/>
    <w:rsid w:val="00D03A00"/>
    <w:rsid w:val="00D04555"/>
    <w:rsid w:val="00D04732"/>
    <w:rsid w:val="00D04749"/>
    <w:rsid w:val="00D053DC"/>
    <w:rsid w:val="00D05BE6"/>
    <w:rsid w:val="00D05D2F"/>
    <w:rsid w:val="00D076D5"/>
    <w:rsid w:val="00D07C79"/>
    <w:rsid w:val="00D07E77"/>
    <w:rsid w:val="00D103F3"/>
    <w:rsid w:val="00D10C29"/>
    <w:rsid w:val="00D10E61"/>
    <w:rsid w:val="00D12127"/>
    <w:rsid w:val="00D122D3"/>
    <w:rsid w:val="00D1298C"/>
    <w:rsid w:val="00D137FC"/>
    <w:rsid w:val="00D13942"/>
    <w:rsid w:val="00D156F6"/>
    <w:rsid w:val="00D15F42"/>
    <w:rsid w:val="00D16499"/>
    <w:rsid w:val="00D2003D"/>
    <w:rsid w:val="00D207FF"/>
    <w:rsid w:val="00D210E8"/>
    <w:rsid w:val="00D215EE"/>
    <w:rsid w:val="00D21D37"/>
    <w:rsid w:val="00D21FAE"/>
    <w:rsid w:val="00D22D4D"/>
    <w:rsid w:val="00D231AF"/>
    <w:rsid w:val="00D23463"/>
    <w:rsid w:val="00D23698"/>
    <w:rsid w:val="00D23EE5"/>
    <w:rsid w:val="00D2433A"/>
    <w:rsid w:val="00D2508C"/>
    <w:rsid w:val="00D25AC6"/>
    <w:rsid w:val="00D25C4C"/>
    <w:rsid w:val="00D276D5"/>
    <w:rsid w:val="00D301C8"/>
    <w:rsid w:val="00D30FBD"/>
    <w:rsid w:val="00D31DB5"/>
    <w:rsid w:val="00D3337A"/>
    <w:rsid w:val="00D33B77"/>
    <w:rsid w:val="00D341AB"/>
    <w:rsid w:val="00D345CD"/>
    <w:rsid w:val="00D34E28"/>
    <w:rsid w:val="00D35B46"/>
    <w:rsid w:val="00D35D17"/>
    <w:rsid w:val="00D37657"/>
    <w:rsid w:val="00D378B1"/>
    <w:rsid w:val="00D40EFC"/>
    <w:rsid w:val="00D410AA"/>
    <w:rsid w:val="00D41B74"/>
    <w:rsid w:val="00D425C2"/>
    <w:rsid w:val="00D439DC"/>
    <w:rsid w:val="00D44140"/>
    <w:rsid w:val="00D4497B"/>
    <w:rsid w:val="00D46AFD"/>
    <w:rsid w:val="00D47BF7"/>
    <w:rsid w:val="00D50878"/>
    <w:rsid w:val="00D515A5"/>
    <w:rsid w:val="00D51A54"/>
    <w:rsid w:val="00D52005"/>
    <w:rsid w:val="00D5256C"/>
    <w:rsid w:val="00D527DC"/>
    <w:rsid w:val="00D527FB"/>
    <w:rsid w:val="00D528EA"/>
    <w:rsid w:val="00D534D5"/>
    <w:rsid w:val="00D543ED"/>
    <w:rsid w:val="00D5518C"/>
    <w:rsid w:val="00D55878"/>
    <w:rsid w:val="00D568BD"/>
    <w:rsid w:val="00D56934"/>
    <w:rsid w:val="00D56FC2"/>
    <w:rsid w:val="00D57547"/>
    <w:rsid w:val="00D61130"/>
    <w:rsid w:val="00D62207"/>
    <w:rsid w:val="00D62291"/>
    <w:rsid w:val="00D624EA"/>
    <w:rsid w:val="00D62D28"/>
    <w:rsid w:val="00D63BD0"/>
    <w:rsid w:val="00D64034"/>
    <w:rsid w:val="00D641AA"/>
    <w:rsid w:val="00D65BB1"/>
    <w:rsid w:val="00D65BE2"/>
    <w:rsid w:val="00D66D66"/>
    <w:rsid w:val="00D6751D"/>
    <w:rsid w:val="00D677FD"/>
    <w:rsid w:val="00D67A70"/>
    <w:rsid w:val="00D70CDA"/>
    <w:rsid w:val="00D71074"/>
    <w:rsid w:val="00D71DA2"/>
    <w:rsid w:val="00D724D1"/>
    <w:rsid w:val="00D724DB"/>
    <w:rsid w:val="00D72578"/>
    <w:rsid w:val="00D7395F"/>
    <w:rsid w:val="00D759B9"/>
    <w:rsid w:val="00D75B92"/>
    <w:rsid w:val="00D76A27"/>
    <w:rsid w:val="00D770EF"/>
    <w:rsid w:val="00D7753E"/>
    <w:rsid w:val="00D80828"/>
    <w:rsid w:val="00D80975"/>
    <w:rsid w:val="00D811CE"/>
    <w:rsid w:val="00D812B8"/>
    <w:rsid w:val="00D81DFD"/>
    <w:rsid w:val="00D82030"/>
    <w:rsid w:val="00D82692"/>
    <w:rsid w:val="00D83034"/>
    <w:rsid w:val="00D8305A"/>
    <w:rsid w:val="00D8368B"/>
    <w:rsid w:val="00D837CC"/>
    <w:rsid w:val="00D83D3B"/>
    <w:rsid w:val="00D845E5"/>
    <w:rsid w:val="00D85A3A"/>
    <w:rsid w:val="00D8679B"/>
    <w:rsid w:val="00D86C92"/>
    <w:rsid w:val="00D87635"/>
    <w:rsid w:val="00D87669"/>
    <w:rsid w:val="00D879E7"/>
    <w:rsid w:val="00D9129E"/>
    <w:rsid w:val="00D91C1B"/>
    <w:rsid w:val="00D92736"/>
    <w:rsid w:val="00D92E13"/>
    <w:rsid w:val="00D92E16"/>
    <w:rsid w:val="00D93220"/>
    <w:rsid w:val="00D934D1"/>
    <w:rsid w:val="00D93608"/>
    <w:rsid w:val="00D940F3"/>
    <w:rsid w:val="00D94190"/>
    <w:rsid w:val="00D945E9"/>
    <w:rsid w:val="00D9540E"/>
    <w:rsid w:val="00D97504"/>
    <w:rsid w:val="00DA179E"/>
    <w:rsid w:val="00DA242D"/>
    <w:rsid w:val="00DA38DC"/>
    <w:rsid w:val="00DA3E46"/>
    <w:rsid w:val="00DA577E"/>
    <w:rsid w:val="00DA5862"/>
    <w:rsid w:val="00DA6004"/>
    <w:rsid w:val="00DA74A3"/>
    <w:rsid w:val="00DA79F3"/>
    <w:rsid w:val="00DA7BC4"/>
    <w:rsid w:val="00DB3524"/>
    <w:rsid w:val="00DB365B"/>
    <w:rsid w:val="00DB37FD"/>
    <w:rsid w:val="00DB3E43"/>
    <w:rsid w:val="00DB4E8E"/>
    <w:rsid w:val="00DB5B78"/>
    <w:rsid w:val="00DB6C6D"/>
    <w:rsid w:val="00DB6CF2"/>
    <w:rsid w:val="00DB6F2F"/>
    <w:rsid w:val="00DC11DE"/>
    <w:rsid w:val="00DC1466"/>
    <w:rsid w:val="00DC2AA2"/>
    <w:rsid w:val="00DC2C48"/>
    <w:rsid w:val="00DC2D06"/>
    <w:rsid w:val="00DC2EA4"/>
    <w:rsid w:val="00DC2F32"/>
    <w:rsid w:val="00DC395D"/>
    <w:rsid w:val="00DC3DD4"/>
    <w:rsid w:val="00DC48AC"/>
    <w:rsid w:val="00DC50C7"/>
    <w:rsid w:val="00DC6392"/>
    <w:rsid w:val="00DC7725"/>
    <w:rsid w:val="00DD150E"/>
    <w:rsid w:val="00DD1717"/>
    <w:rsid w:val="00DD2548"/>
    <w:rsid w:val="00DD2B53"/>
    <w:rsid w:val="00DD42C3"/>
    <w:rsid w:val="00DD4458"/>
    <w:rsid w:val="00DD44E6"/>
    <w:rsid w:val="00DD5040"/>
    <w:rsid w:val="00DD5197"/>
    <w:rsid w:val="00DD5A56"/>
    <w:rsid w:val="00DD6080"/>
    <w:rsid w:val="00DD6F6B"/>
    <w:rsid w:val="00DE0875"/>
    <w:rsid w:val="00DE315D"/>
    <w:rsid w:val="00DE3E3D"/>
    <w:rsid w:val="00DE55F2"/>
    <w:rsid w:val="00DE5839"/>
    <w:rsid w:val="00DE6B50"/>
    <w:rsid w:val="00DE6CF4"/>
    <w:rsid w:val="00DE6E95"/>
    <w:rsid w:val="00DE77C7"/>
    <w:rsid w:val="00DF0438"/>
    <w:rsid w:val="00DF0621"/>
    <w:rsid w:val="00DF0F14"/>
    <w:rsid w:val="00DF17F3"/>
    <w:rsid w:val="00DF2900"/>
    <w:rsid w:val="00DF3570"/>
    <w:rsid w:val="00DF38CA"/>
    <w:rsid w:val="00DF428E"/>
    <w:rsid w:val="00DF5690"/>
    <w:rsid w:val="00DF5BAC"/>
    <w:rsid w:val="00DF6949"/>
    <w:rsid w:val="00DF7311"/>
    <w:rsid w:val="00DF75A4"/>
    <w:rsid w:val="00DF7951"/>
    <w:rsid w:val="00E011BC"/>
    <w:rsid w:val="00E02E96"/>
    <w:rsid w:val="00E03B94"/>
    <w:rsid w:val="00E0414D"/>
    <w:rsid w:val="00E0455E"/>
    <w:rsid w:val="00E04DD5"/>
    <w:rsid w:val="00E0568E"/>
    <w:rsid w:val="00E05874"/>
    <w:rsid w:val="00E0645E"/>
    <w:rsid w:val="00E06F40"/>
    <w:rsid w:val="00E07255"/>
    <w:rsid w:val="00E0725B"/>
    <w:rsid w:val="00E1013A"/>
    <w:rsid w:val="00E1079E"/>
    <w:rsid w:val="00E10909"/>
    <w:rsid w:val="00E10F72"/>
    <w:rsid w:val="00E10FE8"/>
    <w:rsid w:val="00E11EA8"/>
    <w:rsid w:val="00E122B2"/>
    <w:rsid w:val="00E12C23"/>
    <w:rsid w:val="00E131E3"/>
    <w:rsid w:val="00E13B57"/>
    <w:rsid w:val="00E13C9C"/>
    <w:rsid w:val="00E1438F"/>
    <w:rsid w:val="00E14437"/>
    <w:rsid w:val="00E148DD"/>
    <w:rsid w:val="00E15F3B"/>
    <w:rsid w:val="00E173B8"/>
    <w:rsid w:val="00E17634"/>
    <w:rsid w:val="00E20AE7"/>
    <w:rsid w:val="00E22E01"/>
    <w:rsid w:val="00E22E18"/>
    <w:rsid w:val="00E23BD1"/>
    <w:rsid w:val="00E23DD2"/>
    <w:rsid w:val="00E2413A"/>
    <w:rsid w:val="00E2486F"/>
    <w:rsid w:val="00E24BFD"/>
    <w:rsid w:val="00E261DC"/>
    <w:rsid w:val="00E265A9"/>
    <w:rsid w:val="00E26602"/>
    <w:rsid w:val="00E273F8"/>
    <w:rsid w:val="00E277CF"/>
    <w:rsid w:val="00E31118"/>
    <w:rsid w:val="00E32506"/>
    <w:rsid w:val="00E327B9"/>
    <w:rsid w:val="00E32933"/>
    <w:rsid w:val="00E32A26"/>
    <w:rsid w:val="00E3337F"/>
    <w:rsid w:val="00E35E80"/>
    <w:rsid w:val="00E36015"/>
    <w:rsid w:val="00E3629B"/>
    <w:rsid w:val="00E36F16"/>
    <w:rsid w:val="00E4011A"/>
    <w:rsid w:val="00E405FB"/>
    <w:rsid w:val="00E40741"/>
    <w:rsid w:val="00E417A3"/>
    <w:rsid w:val="00E419ED"/>
    <w:rsid w:val="00E41FEE"/>
    <w:rsid w:val="00E430D5"/>
    <w:rsid w:val="00E43917"/>
    <w:rsid w:val="00E444CD"/>
    <w:rsid w:val="00E444D1"/>
    <w:rsid w:val="00E44D6B"/>
    <w:rsid w:val="00E4535E"/>
    <w:rsid w:val="00E454C7"/>
    <w:rsid w:val="00E4560A"/>
    <w:rsid w:val="00E45766"/>
    <w:rsid w:val="00E46068"/>
    <w:rsid w:val="00E461F4"/>
    <w:rsid w:val="00E46274"/>
    <w:rsid w:val="00E462D4"/>
    <w:rsid w:val="00E462D7"/>
    <w:rsid w:val="00E46CB5"/>
    <w:rsid w:val="00E46FA1"/>
    <w:rsid w:val="00E47E78"/>
    <w:rsid w:val="00E502B2"/>
    <w:rsid w:val="00E502BB"/>
    <w:rsid w:val="00E505F2"/>
    <w:rsid w:val="00E50686"/>
    <w:rsid w:val="00E50DAF"/>
    <w:rsid w:val="00E515A4"/>
    <w:rsid w:val="00E52166"/>
    <w:rsid w:val="00E52213"/>
    <w:rsid w:val="00E53473"/>
    <w:rsid w:val="00E538BE"/>
    <w:rsid w:val="00E53A17"/>
    <w:rsid w:val="00E53DCC"/>
    <w:rsid w:val="00E549DE"/>
    <w:rsid w:val="00E56E4E"/>
    <w:rsid w:val="00E574E2"/>
    <w:rsid w:val="00E577E6"/>
    <w:rsid w:val="00E5799F"/>
    <w:rsid w:val="00E601EE"/>
    <w:rsid w:val="00E604B4"/>
    <w:rsid w:val="00E605B8"/>
    <w:rsid w:val="00E61825"/>
    <w:rsid w:val="00E63175"/>
    <w:rsid w:val="00E63BF1"/>
    <w:rsid w:val="00E642F3"/>
    <w:rsid w:val="00E6517C"/>
    <w:rsid w:val="00E659EB"/>
    <w:rsid w:val="00E65D41"/>
    <w:rsid w:val="00E65DD9"/>
    <w:rsid w:val="00E65F4C"/>
    <w:rsid w:val="00E666EC"/>
    <w:rsid w:val="00E6758F"/>
    <w:rsid w:val="00E7088B"/>
    <w:rsid w:val="00E71066"/>
    <w:rsid w:val="00E731C0"/>
    <w:rsid w:val="00E736E5"/>
    <w:rsid w:val="00E74D31"/>
    <w:rsid w:val="00E75020"/>
    <w:rsid w:val="00E75FB9"/>
    <w:rsid w:val="00E76B3C"/>
    <w:rsid w:val="00E77D61"/>
    <w:rsid w:val="00E77E76"/>
    <w:rsid w:val="00E8048A"/>
    <w:rsid w:val="00E80A44"/>
    <w:rsid w:val="00E80DB4"/>
    <w:rsid w:val="00E811C8"/>
    <w:rsid w:val="00E82249"/>
    <w:rsid w:val="00E8277A"/>
    <w:rsid w:val="00E82AAF"/>
    <w:rsid w:val="00E83515"/>
    <w:rsid w:val="00E842DC"/>
    <w:rsid w:val="00E84C40"/>
    <w:rsid w:val="00E85248"/>
    <w:rsid w:val="00E85670"/>
    <w:rsid w:val="00E856AE"/>
    <w:rsid w:val="00E860F1"/>
    <w:rsid w:val="00E87949"/>
    <w:rsid w:val="00E91100"/>
    <w:rsid w:val="00E91EF5"/>
    <w:rsid w:val="00E9399B"/>
    <w:rsid w:val="00E93B14"/>
    <w:rsid w:val="00E93B2C"/>
    <w:rsid w:val="00E94E3D"/>
    <w:rsid w:val="00E96476"/>
    <w:rsid w:val="00E97525"/>
    <w:rsid w:val="00EA0261"/>
    <w:rsid w:val="00EA05CA"/>
    <w:rsid w:val="00EA2701"/>
    <w:rsid w:val="00EA2C63"/>
    <w:rsid w:val="00EA2DD9"/>
    <w:rsid w:val="00EA30DA"/>
    <w:rsid w:val="00EA3197"/>
    <w:rsid w:val="00EA394C"/>
    <w:rsid w:val="00EA3EDB"/>
    <w:rsid w:val="00EA4488"/>
    <w:rsid w:val="00EA4500"/>
    <w:rsid w:val="00EA4E55"/>
    <w:rsid w:val="00EA4F95"/>
    <w:rsid w:val="00EA5DB5"/>
    <w:rsid w:val="00EA623F"/>
    <w:rsid w:val="00EA6E69"/>
    <w:rsid w:val="00EA78F2"/>
    <w:rsid w:val="00EB0349"/>
    <w:rsid w:val="00EB0453"/>
    <w:rsid w:val="00EB072A"/>
    <w:rsid w:val="00EB0C76"/>
    <w:rsid w:val="00EB1D50"/>
    <w:rsid w:val="00EB3400"/>
    <w:rsid w:val="00EB34DB"/>
    <w:rsid w:val="00EB3DB5"/>
    <w:rsid w:val="00EB4067"/>
    <w:rsid w:val="00EB4B1D"/>
    <w:rsid w:val="00EB4B37"/>
    <w:rsid w:val="00EB4C85"/>
    <w:rsid w:val="00EB64AA"/>
    <w:rsid w:val="00EC0766"/>
    <w:rsid w:val="00EC0A4C"/>
    <w:rsid w:val="00EC1F40"/>
    <w:rsid w:val="00EC25D6"/>
    <w:rsid w:val="00EC4457"/>
    <w:rsid w:val="00EC4C4C"/>
    <w:rsid w:val="00EC504C"/>
    <w:rsid w:val="00EC71BF"/>
    <w:rsid w:val="00EC786B"/>
    <w:rsid w:val="00ED0A44"/>
    <w:rsid w:val="00ED0A9D"/>
    <w:rsid w:val="00ED0FBB"/>
    <w:rsid w:val="00ED1031"/>
    <w:rsid w:val="00ED13C5"/>
    <w:rsid w:val="00ED2517"/>
    <w:rsid w:val="00ED2B85"/>
    <w:rsid w:val="00ED332D"/>
    <w:rsid w:val="00ED4B74"/>
    <w:rsid w:val="00ED6E27"/>
    <w:rsid w:val="00ED79E1"/>
    <w:rsid w:val="00EE01EA"/>
    <w:rsid w:val="00EE089A"/>
    <w:rsid w:val="00EE1042"/>
    <w:rsid w:val="00EE1D86"/>
    <w:rsid w:val="00EE3B5A"/>
    <w:rsid w:val="00EE3CF7"/>
    <w:rsid w:val="00EE4027"/>
    <w:rsid w:val="00EE47A7"/>
    <w:rsid w:val="00EE56F7"/>
    <w:rsid w:val="00EE5D5D"/>
    <w:rsid w:val="00EE6987"/>
    <w:rsid w:val="00EE6A72"/>
    <w:rsid w:val="00EE769E"/>
    <w:rsid w:val="00EF1C39"/>
    <w:rsid w:val="00EF1CE4"/>
    <w:rsid w:val="00EF2040"/>
    <w:rsid w:val="00EF264D"/>
    <w:rsid w:val="00EF2FD4"/>
    <w:rsid w:val="00EF3856"/>
    <w:rsid w:val="00EF3C1B"/>
    <w:rsid w:val="00EF4031"/>
    <w:rsid w:val="00EF50CE"/>
    <w:rsid w:val="00EF53E5"/>
    <w:rsid w:val="00EF5B0B"/>
    <w:rsid w:val="00EF6A4B"/>
    <w:rsid w:val="00EF6D5E"/>
    <w:rsid w:val="00EF6F4D"/>
    <w:rsid w:val="00EF76BC"/>
    <w:rsid w:val="00EF7CA2"/>
    <w:rsid w:val="00F0085F"/>
    <w:rsid w:val="00F0088F"/>
    <w:rsid w:val="00F00944"/>
    <w:rsid w:val="00F00B9B"/>
    <w:rsid w:val="00F00D0C"/>
    <w:rsid w:val="00F00D2F"/>
    <w:rsid w:val="00F01BD2"/>
    <w:rsid w:val="00F047A7"/>
    <w:rsid w:val="00F050BC"/>
    <w:rsid w:val="00F0565F"/>
    <w:rsid w:val="00F05F1E"/>
    <w:rsid w:val="00F0620D"/>
    <w:rsid w:val="00F072BA"/>
    <w:rsid w:val="00F10166"/>
    <w:rsid w:val="00F103A8"/>
    <w:rsid w:val="00F1053B"/>
    <w:rsid w:val="00F10571"/>
    <w:rsid w:val="00F109FF"/>
    <w:rsid w:val="00F1193A"/>
    <w:rsid w:val="00F121C7"/>
    <w:rsid w:val="00F123CE"/>
    <w:rsid w:val="00F126E3"/>
    <w:rsid w:val="00F1356A"/>
    <w:rsid w:val="00F13CA1"/>
    <w:rsid w:val="00F144DF"/>
    <w:rsid w:val="00F15827"/>
    <w:rsid w:val="00F15AAA"/>
    <w:rsid w:val="00F15CEB"/>
    <w:rsid w:val="00F16547"/>
    <w:rsid w:val="00F170B2"/>
    <w:rsid w:val="00F1787E"/>
    <w:rsid w:val="00F20F1C"/>
    <w:rsid w:val="00F216DD"/>
    <w:rsid w:val="00F217BD"/>
    <w:rsid w:val="00F21DF6"/>
    <w:rsid w:val="00F227CE"/>
    <w:rsid w:val="00F23841"/>
    <w:rsid w:val="00F23E77"/>
    <w:rsid w:val="00F24037"/>
    <w:rsid w:val="00F2414A"/>
    <w:rsid w:val="00F24772"/>
    <w:rsid w:val="00F24EA7"/>
    <w:rsid w:val="00F252CA"/>
    <w:rsid w:val="00F2572F"/>
    <w:rsid w:val="00F26131"/>
    <w:rsid w:val="00F2635C"/>
    <w:rsid w:val="00F2643D"/>
    <w:rsid w:val="00F26634"/>
    <w:rsid w:val="00F26904"/>
    <w:rsid w:val="00F26C6D"/>
    <w:rsid w:val="00F26F8A"/>
    <w:rsid w:val="00F277E6"/>
    <w:rsid w:val="00F27C27"/>
    <w:rsid w:val="00F27DC7"/>
    <w:rsid w:val="00F3023D"/>
    <w:rsid w:val="00F313AB"/>
    <w:rsid w:val="00F33288"/>
    <w:rsid w:val="00F33870"/>
    <w:rsid w:val="00F34662"/>
    <w:rsid w:val="00F348C3"/>
    <w:rsid w:val="00F3596C"/>
    <w:rsid w:val="00F40D6F"/>
    <w:rsid w:val="00F41D56"/>
    <w:rsid w:val="00F42AF1"/>
    <w:rsid w:val="00F4340E"/>
    <w:rsid w:val="00F437ED"/>
    <w:rsid w:val="00F44097"/>
    <w:rsid w:val="00F440C4"/>
    <w:rsid w:val="00F4569A"/>
    <w:rsid w:val="00F4578B"/>
    <w:rsid w:val="00F45BD7"/>
    <w:rsid w:val="00F46848"/>
    <w:rsid w:val="00F46907"/>
    <w:rsid w:val="00F50471"/>
    <w:rsid w:val="00F51454"/>
    <w:rsid w:val="00F5219D"/>
    <w:rsid w:val="00F53528"/>
    <w:rsid w:val="00F539B3"/>
    <w:rsid w:val="00F53E03"/>
    <w:rsid w:val="00F54E0D"/>
    <w:rsid w:val="00F56418"/>
    <w:rsid w:val="00F56700"/>
    <w:rsid w:val="00F568EC"/>
    <w:rsid w:val="00F5715A"/>
    <w:rsid w:val="00F57893"/>
    <w:rsid w:val="00F6065E"/>
    <w:rsid w:val="00F61CD1"/>
    <w:rsid w:val="00F625D1"/>
    <w:rsid w:val="00F646DA"/>
    <w:rsid w:val="00F646F6"/>
    <w:rsid w:val="00F64AFE"/>
    <w:rsid w:val="00F670BB"/>
    <w:rsid w:val="00F6719B"/>
    <w:rsid w:val="00F67CAB"/>
    <w:rsid w:val="00F67E52"/>
    <w:rsid w:val="00F702D6"/>
    <w:rsid w:val="00F709BC"/>
    <w:rsid w:val="00F70B7A"/>
    <w:rsid w:val="00F71C85"/>
    <w:rsid w:val="00F72066"/>
    <w:rsid w:val="00F72C96"/>
    <w:rsid w:val="00F72FAB"/>
    <w:rsid w:val="00F730C5"/>
    <w:rsid w:val="00F734B0"/>
    <w:rsid w:val="00F7467D"/>
    <w:rsid w:val="00F74EE9"/>
    <w:rsid w:val="00F765A7"/>
    <w:rsid w:val="00F769C5"/>
    <w:rsid w:val="00F80978"/>
    <w:rsid w:val="00F8127E"/>
    <w:rsid w:val="00F81539"/>
    <w:rsid w:val="00F82371"/>
    <w:rsid w:val="00F82A36"/>
    <w:rsid w:val="00F83519"/>
    <w:rsid w:val="00F835EB"/>
    <w:rsid w:val="00F83CA1"/>
    <w:rsid w:val="00F83FD8"/>
    <w:rsid w:val="00F8417C"/>
    <w:rsid w:val="00F84985"/>
    <w:rsid w:val="00F85931"/>
    <w:rsid w:val="00F86C25"/>
    <w:rsid w:val="00F87C36"/>
    <w:rsid w:val="00F90AF8"/>
    <w:rsid w:val="00F90CF8"/>
    <w:rsid w:val="00F9297E"/>
    <w:rsid w:val="00F92F2E"/>
    <w:rsid w:val="00F9317D"/>
    <w:rsid w:val="00F9348A"/>
    <w:rsid w:val="00F93C91"/>
    <w:rsid w:val="00F93DD2"/>
    <w:rsid w:val="00F94962"/>
    <w:rsid w:val="00F96366"/>
    <w:rsid w:val="00F967CF"/>
    <w:rsid w:val="00F9684C"/>
    <w:rsid w:val="00F969F8"/>
    <w:rsid w:val="00F96C55"/>
    <w:rsid w:val="00F973A5"/>
    <w:rsid w:val="00FA0252"/>
    <w:rsid w:val="00FA03A3"/>
    <w:rsid w:val="00FA0648"/>
    <w:rsid w:val="00FA34F6"/>
    <w:rsid w:val="00FA4D85"/>
    <w:rsid w:val="00FA51CD"/>
    <w:rsid w:val="00FA7980"/>
    <w:rsid w:val="00FA7E27"/>
    <w:rsid w:val="00FB047B"/>
    <w:rsid w:val="00FB0553"/>
    <w:rsid w:val="00FB0CA0"/>
    <w:rsid w:val="00FB1BF2"/>
    <w:rsid w:val="00FB2BB4"/>
    <w:rsid w:val="00FB3D4C"/>
    <w:rsid w:val="00FB4074"/>
    <w:rsid w:val="00FB480F"/>
    <w:rsid w:val="00FB4DBE"/>
    <w:rsid w:val="00FB52C9"/>
    <w:rsid w:val="00FB5E85"/>
    <w:rsid w:val="00FB6644"/>
    <w:rsid w:val="00FB6844"/>
    <w:rsid w:val="00FB6C2A"/>
    <w:rsid w:val="00FB6C48"/>
    <w:rsid w:val="00FB7F8A"/>
    <w:rsid w:val="00FC0B2C"/>
    <w:rsid w:val="00FC1297"/>
    <w:rsid w:val="00FC1AD0"/>
    <w:rsid w:val="00FC1D4E"/>
    <w:rsid w:val="00FC25B9"/>
    <w:rsid w:val="00FC276F"/>
    <w:rsid w:val="00FC280C"/>
    <w:rsid w:val="00FC397E"/>
    <w:rsid w:val="00FC4EB9"/>
    <w:rsid w:val="00FC579D"/>
    <w:rsid w:val="00FC59FA"/>
    <w:rsid w:val="00FC6F2D"/>
    <w:rsid w:val="00FC77C6"/>
    <w:rsid w:val="00FC7B28"/>
    <w:rsid w:val="00FC7CBE"/>
    <w:rsid w:val="00FC7FB4"/>
    <w:rsid w:val="00FD0C36"/>
    <w:rsid w:val="00FD268F"/>
    <w:rsid w:val="00FD40C9"/>
    <w:rsid w:val="00FD4300"/>
    <w:rsid w:val="00FD4A9A"/>
    <w:rsid w:val="00FD649E"/>
    <w:rsid w:val="00FD679D"/>
    <w:rsid w:val="00FD67C3"/>
    <w:rsid w:val="00FD68CE"/>
    <w:rsid w:val="00FE055B"/>
    <w:rsid w:val="00FE0B32"/>
    <w:rsid w:val="00FE0BFE"/>
    <w:rsid w:val="00FE1697"/>
    <w:rsid w:val="00FE16CD"/>
    <w:rsid w:val="00FE275E"/>
    <w:rsid w:val="00FE2984"/>
    <w:rsid w:val="00FE340D"/>
    <w:rsid w:val="00FE465F"/>
    <w:rsid w:val="00FE6E2E"/>
    <w:rsid w:val="00FF0E8C"/>
    <w:rsid w:val="00FF1AF1"/>
    <w:rsid w:val="00FF1E05"/>
    <w:rsid w:val="00FF1F2C"/>
    <w:rsid w:val="00FF208E"/>
    <w:rsid w:val="00FF3371"/>
    <w:rsid w:val="00FF56B8"/>
    <w:rsid w:val="00FF5855"/>
    <w:rsid w:val="00FF5BC8"/>
    <w:rsid w:val="00FF61BF"/>
    <w:rsid w:val="00FF6C65"/>
    <w:rsid w:val="00FF71A5"/>
    <w:rsid w:val="00FF71CA"/>
    <w:rsid w:val="00FF75A7"/>
    <w:rsid w:val="01F2B1CA"/>
    <w:rsid w:val="05F73E20"/>
    <w:rsid w:val="07930E81"/>
    <w:rsid w:val="093402B6"/>
    <w:rsid w:val="0A418BAE"/>
    <w:rsid w:val="3AF2471E"/>
    <w:rsid w:val="565C7BEA"/>
    <w:rsid w:val="7DDF6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AD59"/>
  <w15:docId w15:val="{1892BC15-862B-430E-A755-876C266F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33A"/>
    <w:pPr>
      <w:spacing w:after="120" w:line="276" w:lineRule="auto"/>
    </w:pPr>
    <w:rPr>
      <w:rFonts w:asciiTheme="minorHAnsi" w:hAnsiTheme="minorHAnsi"/>
      <w:sz w:val="22"/>
      <w:szCs w:val="22"/>
      <w:lang w:eastAsia="en-US"/>
    </w:rPr>
  </w:style>
  <w:style w:type="paragraph" w:styleId="Heading1">
    <w:name w:val="heading 1"/>
    <w:basedOn w:val="Normal"/>
    <w:next w:val="Normal"/>
    <w:link w:val="Heading1Char"/>
    <w:uiPriority w:val="9"/>
    <w:qFormat/>
    <w:rsid w:val="00C84CAB"/>
    <w:pPr>
      <w:keepNext/>
      <w:pageBreakBefore/>
      <w:numPr>
        <w:numId w:val="4"/>
      </w:numPr>
      <w:spacing w:before="480" w:after="360"/>
      <w:outlineLvl w:val="0"/>
    </w:pPr>
    <w:rPr>
      <w:rFonts w:cs="Arial"/>
      <w:b/>
      <w:bCs/>
      <w:kern w:val="32"/>
      <w:sz w:val="28"/>
      <w:szCs w:val="32"/>
    </w:rPr>
  </w:style>
  <w:style w:type="paragraph" w:styleId="Heading2">
    <w:name w:val="heading 2"/>
    <w:basedOn w:val="Normal"/>
    <w:next w:val="Normal"/>
    <w:qFormat/>
    <w:rsid w:val="00632BBD"/>
    <w:pPr>
      <w:keepNext/>
      <w:numPr>
        <w:ilvl w:val="1"/>
        <w:numId w:val="4"/>
      </w:numPr>
      <w:spacing w:before="360"/>
      <w:outlineLvl w:val="1"/>
    </w:pPr>
    <w:rPr>
      <w:rFonts w:cs="Arial"/>
      <w:b/>
      <w:bCs/>
      <w:iCs/>
      <w:sz w:val="24"/>
      <w:szCs w:val="24"/>
    </w:rPr>
  </w:style>
  <w:style w:type="paragraph" w:styleId="Heading3">
    <w:name w:val="heading 3"/>
    <w:basedOn w:val="Normal"/>
    <w:next w:val="Normal"/>
    <w:qFormat/>
    <w:rsid w:val="00632BBD"/>
    <w:pPr>
      <w:keepNext/>
      <w:numPr>
        <w:ilvl w:val="2"/>
        <w:numId w:val="4"/>
      </w:numPr>
      <w:spacing w:before="240"/>
      <w:outlineLvl w:val="2"/>
    </w:pPr>
    <w:rPr>
      <w:rFonts w:cs="Arial"/>
      <w:b/>
      <w:bCs/>
    </w:rPr>
  </w:style>
  <w:style w:type="paragraph" w:styleId="Heading4">
    <w:name w:val="heading 4"/>
    <w:basedOn w:val="Normal"/>
    <w:next w:val="Normal"/>
    <w:link w:val="Heading4Char"/>
    <w:qFormat/>
    <w:rsid w:val="00935362"/>
    <w:pPr>
      <w:keepNext/>
      <w:numPr>
        <w:ilvl w:val="3"/>
        <w:numId w:val="4"/>
      </w:numPr>
      <w:spacing w:before="240"/>
      <w:ind w:left="862" w:hanging="862"/>
      <w:outlineLvl w:val="3"/>
    </w:pPr>
    <w:rPr>
      <w:rFonts w:cs="Arial"/>
      <w:bCs/>
      <w:i/>
      <w:sz w:val="20"/>
    </w:rPr>
  </w:style>
  <w:style w:type="paragraph" w:styleId="Heading5">
    <w:name w:val="heading 5"/>
    <w:basedOn w:val="Normal"/>
    <w:next w:val="Normal"/>
    <w:qFormat/>
    <w:rsid w:val="00C00AFE"/>
    <w:pPr>
      <w:keepNext/>
      <w:keepLines/>
      <w:numPr>
        <w:ilvl w:val="4"/>
        <w:numId w:val="4"/>
      </w:numPr>
      <w:spacing w:before="240" w:after="60"/>
      <w:outlineLvl w:val="4"/>
    </w:pPr>
    <w:rPr>
      <w:b/>
      <w:bCs/>
      <w:i/>
      <w:iCs/>
      <w:szCs w:val="26"/>
    </w:rPr>
  </w:style>
  <w:style w:type="paragraph" w:styleId="Heading6">
    <w:name w:val="heading 6"/>
    <w:basedOn w:val="Normal"/>
    <w:next w:val="Normal"/>
    <w:qFormat/>
    <w:rsid w:val="00C00AFE"/>
    <w:pPr>
      <w:numPr>
        <w:ilvl w:val="5"/>
        <w:numId w:val="4"/>
      </w:numPr>
      <w:spacing w:before="240" w:after="60"/>
      <w:outlineLvl w:val="5"/>
    </w:pPr>
    <w:rPr>
      <w:b/>
      <w:bCs/>
    </w:rPr>
  </w:style>
  <w:style w:type="paragraph" w:styleId="Heading7">
    <w:name w:val="heading 7"/>
    <w:basedOn w:val="Normal"/>
    <w:next w:val="Normal"/>
    <w:qFormat/>
    <w:rsid w:val="00C00AFE"/>
    <w:pPr>
      <w:numPr>
        <w:ilvl w:val="6"/>
        <w:numId w:val="4"/>
      </w:numPr>
      <w:spacing w:before="240" w:after="60"/>
      <w:outlineLvl w:val="6"/>
    </w:pPr>
  </w:style>
  <w:style w:type="paragraph" w:styleId="Heading8">
    <w:name w:val="heading 8"/>
    <w:basedOn w:val="Normal"/>
    <w:next w:val="Normal"/>
    <w:qFormat/>
    <w:rsid w:val="00C00AFE"/>
    <w:pPr>
      <w:numPr>
        <w:ilvl w:val="7"/>
        <w:numId w:val="4"/>
      </w:numPr>
      <w:spacing w:before="240" w:after="60"/>
      <w:outlineLvl w:val="7"/>
    </w:pPr>
    <w:rPr>
      <w:i/>
      <w:iCs/>
    </w:rPr>
  </w:style>
  <w:style w:type="paragraph" w:styleId="Heading9">
    <w:name w:val="heading 9"/>
    <w:basedOn w:val="Normal"/>
    <w:next w:val="Normal"/>
    <w:qFormat/>
    <w:rsid w:val="00C00AFE"/>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628D2"/>
    <w:pPr>
      <w:tabs>
        <w:tab w:val="left" w:pos="440"/>
        <w:tab w:val="right" w:leader="dot" w:pos="9352"/>
      </w:tabs>
      <w:spacing w:line="240" w:lineRule="auto"/>
    </w:pPr>
  </w:style>
  <w:style w:type="paragraph" w:styleId="TOC2">
    <w:name w:val="toc 2"/>
    <w:basedOn w:val="Normal"/>
    <w:next w:val="Normal"/>
    <w:autoRedefine/>
    <w:uiPriority w:val="39"/>
    <w:rsid w:val="007628D2"/>
    <w:pPr>
      <w:tabs>
        <w:tab w:val="left" w:pos="880"/>
        <w:tab w:val="right" w:leader="dot" w:pos="9352"/>
      </w:tabs>
      <w:spacing w:line="240" w:lineRule="auto"/>
      <w:ind w:left="216"/>
    </w:pPr>
  </w:style>
  <w:style w:type="paragraph" w:styleId="TOC3">
    <w:name w:val="toc 3"/>
    <w:basedOn w:val="Normal"/>
    <w:next w:val="Normal"/>
    <w:autoRedefine/>
    <w:uiPriority w:val="39"/>
    <w:rsid w:val="0000300D"/>
    <w:pPr>
      <w:ind w:left="440"/>
    </w:pPr>
  </w:style>
  <w:style w:type="paragraph" w:styleId="TOC7">
    <w:name w:val="toc 7"/>
    <w:basedOn w:val="Normal"/>
    <w:next w:val="Normal"/>
    <w:autoRedefine/>
    <w:semiHidden/>
    <w:rsid w:val="00C00AFE"/>
    <w:pPr>
      <w:ind w:left="1440"/>
    </w:pPr>
  </w:style>
  <w:style w:type="paragraph" w:styleId="TOC8">
    <w:name w:val="toc 8"/>
    <w:basedOn w:val="Normal"/>
    <w:next w:val="Normal"/>
    <w:semiHidden/>
    <w:rsid w:val="00C00AFE"/>
    <w:pPr>
      <w:tabs>
        <w:tab w:val="right" w:leader="dot" w:pos="9000"/>
      </w:tabs>
      <w:ind w:left="1400"/>
    </w:pPr>
    <w:rPr>
      <w:sz w:val="18"/>
    </w:rPr>
  </w:style>
  <w:style w:type="paragraph" w:customStyle="1" w:styleId="DocumentTitle3">
    <w:name w:val="Document Title 3"/>
    <w:next w:val="Normal"/>
    <w:qFormat/>
    <w:rsid w:val="002D58FE"/>
    <w:pPr>
      <w:jc w:val="center"/>
    </w:pPr>
    <w:rPr>
      <w:rFonts w:asciiTheme="minorHAnsi" w:hAnsiTheme="minorHAnsi" w:cs="Arial"/>
      <w:b/>
      <w:sz w:val="40"/>
      <w:szCs w:val="40"/>
      <w:lang w:eastAsia="en-US"/>
    </w:rPr>
  </w:style>
  <w:style w:type="paragraph" w:styleId="DocumentMap">
    <w:name w:val="Document Map"/>
    <w:basedOn w:val="Normal"/>
    <w:semiHidden/>
    <w:rsid w:val="00C00AFE"/>
    <w:pPr>
      <w:shd w:val="clear" w:color="auto" w:fill="000080"/>
    </w:pPr>
    <w:rPr>
      <w:rFonts w:ascii="Tahoma" w:hAnsi="Tahoma" w:cs="Tahoma"/>
    </w:rPr>
  </w:style>
  <w:style w:type="character" w:styleId="Hyperlink">
    <w:name w:val="Hyperlink"/>
    <w:uiPriority w:val="99"/>
    <w:rsid w:val="00C00AFE"/>
    <w:rPr>
      <w:color w:val="0000FF"/>
      <w:u w:val="single"/>
    </w:rPr>
  </w:style>
  <w:style w:type="paragraph" w:customStyle="1" w:styleId="Classification">
    <w:name w:val="Classification"/>
    <w:basedOn w:val="Normal"/>
    <w:rsid w:val="00E6758F"/>
    <w:pPr>
      <w:spacing w:after="180"/>
      <w:jc w:val="center"/>
    </w:pPr>
    <w:rPr>
      <w:rFonts w:ascii="Arial" w:hAnsi="Arial" w:cs="Arial"/>
      <w:b/>
      <w:color w:val="FF0000"/>
      <w:sz w:val="24"/>
      <w:szCs w:val="24"/>
    </w:rPr>
  </w:style>
  <w:style w:type="paragraph" w:styleId="TableofAuthorities">
    <w:name w:val="table of authorities"/>
    <w:basedOn w:val="Normal"/>
    <w:next w:val="Normal"/>
    <w:semiHidden/>
    <w:rsid w:val="00C00AFE"/>
    <w:pPr>
      <w:spacing w:after="0"/>
    </w:pPr>
  </w:style>
  <w:style w:type="paragraph" w:styleId="CommentText">
    <w:name w:val="annotation text"/>
    <w:basedOn w:val="Normal"/>
    <w:link w:val="CommentTextChar"/>
    <w:uiPriority w:val="99"/>
    <w:rsid w:val="00C00AFE"/>
    <w:rPr>
      <w:szCs w:val="20"/>
    </w:rPr>
  </w:style>
  <w:style w:type="paragraph" w:styleId="CommentSubject">
    <w:name w:val="annotation subject"/>
    <w:basedOn w:val="CommentText"/>
    <w:next w:val="CommentText"/>
    <w:semiHidden/>
    <w:rsid w:val="00C00AFE"/>
    <w:rPr>
      <w:b/>
      <w:bCs/>
    </w:rPr>
  </w:style>
  <w:style w:type="paragraph" w:customStyle="1" w:styleId="TableHeader">
    <w:name w:val="Table Header"/>
    <w:basedOn w:val="Normal"/>
    <w:link w:val="TableHeaderChar"/>
    <w:rsid w:val="00241D7E"/>
    <w:pPr>
      <w:keepNext/>
      <w:spacing w:before="40" w:after="40"/>
      <w:jc w:val="center"/>
    </w:pPr>
    <w:rPr>
      <w:rFonts w:cs="Arial"/>
      <w:b/>
      <w:bCs/>
      <w:color w:val="FFFFFF" w:themeColor="background1"/>
      <w:szCs w:val="18"/>
    </w:rPr>
  </w:style>
  <w:style w:type="paragraph" w:styleId="BalloonText">
    <w:name w:val="Balloon Text"/>
    <w:basedOn w:val="Normal"/>
    <w:semiHidden/>
    <w:rsid w:val="00596615"/>
    <w:rPr>
      <w:rFonts w:ascii="Tahoma" w:hAnsi="Tahoma" w:cs="Tahoma"/>
      <w:sz w:val="16"/>
      <w:szCs w:val="16"/>
    </w:rPr>
  </w:style>
  <w:style w:type="paragraph" w:styleId="Header">
    <w:name w:val="header"/>
    <w:basedOn w:val="Normal"/>
    <w:rsid w:val="005314BA"/>
    <w:pPr>
      <w:pBdr>
        <w:bottom w:val="single" w:sz="4" w:space="1" w:color="auto"/>
      </w:pBdr>
      <w:tabs>
        <w:tab w:val="right" w:pos="9360"/>
      </w:tabs>
      <w:spacing w:after="60"/>
    </w:pPr>
    <w:rPr>
      <w:rFonts w:ascii="Arial" w:hAnsi="Arial" w:cs="Arial"/>
      <w:sz w:val="20"/>
      <w:szCs w:val="20"/>
    </w:rPr>
  </w:style>
  <w:style w:type="paragraph" w:styleId="Footer">
    <w:name w:val="footer"/>
    <w:basedOn w:val="Normal"/>
    <w:link w:val="FooterChar"/>
    <w:uiPriority w:val="99"/>
    <w:rsid w:val="004C1E85"/>
    <w:pPr>
      <w:pBdr>
        <w:top w:val="single" w:sz="4" w:space="8" w:color="auto"/>
      </w:pBdr>
      <w:tabs>
        <w:tab w:val="center" w:pos="4680"/>
        <w:tab w:val="right" w:pos="9360"/>
      </w:tabs>
      <w:spacing w:after="0"/>
    </w:pPr>
    <w:rPr>
      <w:rFonts w:ascii="Arial" w:hAnsi="Arial" w:cs="Arial"/>
      <w:sz w:val="18"/>
      <w:szCs w:val="18"/>
    </w:rPr>
  </w:style>
  <w:style w:type="paragraph" w:customStyle="1" w:styleId="DocumentTitle1">
    <w:name w:val="Document Title 1"/>
    <w:basedOn w:val="Normal"/>
    <w:rsid w:val="006A0173"/>
    <w:pPr>
      <w:jc w:val="center"/>
    </w:pPr>
    <w:rPr>
      <w:rFonts w:ascii="Arial" w:hAnsi="Arial" w:cs="Arial"/>
      <w:b/>
      <w:sz w:val="52"/>
      <w:szCs w:val="52"/>
    </w:rPr>
  </w:style>
  <w:style w:type="paragraph" w:customStyle="1" w:styleId="DocumentTitleDate">
    <w:name w:val="Document Title Date"/>
    <w:basedOn w:val="DocumentTitleVersion"/>
    <w:rsid w:val="002D58FE"/>
    <w:rPr>
      <w:szCs w:val="28"/>
    </w:rPr>
  </w:style>
  <w:style w:type="paragraph" w:customStyle="1" w:styleId="TableText">
    <w:name w:val="Table Text"/>
    <w:basedOn w:val="Normal"/>
    <w:link w:val="TableTextCharChar"/>
    <w:rsid w:val="008301B3"/>
    <w:pPr>
      <w:tabs>
        <w:tab w:val="left" w:pos="360"/>
      </w:tabs>
      <w:spacing w:before="60" w:after="60"/>
    </w:pPr>
    <w:rPr>
      <w:rFonts w:cs="Arial"/>
      <w:snapToGrid w:val="0"/>
      <w:szCs w:val="20"/>
    </w:rPr>
  </w:style>
  <w:style w:type="character" w:customStyle="1" w:styleId="TableHeaderChar">
    <w:name w:val="Table Header Char"/>
    <w:link w:val="TableHeader"/>
    <w:rsid w:val="00241D7E"/>
    <w:rPr>
      <w:rFonts w:asciiTheme="minorHAnsi" w:hAnsiTheme="minorHAnsi" w:cs="Arial"/>
      <w:b/>
      <w:bCs/>
      <w:color w:val="FFFFFF" w:themeColor="background1"/>
      <w:sz w:val="22"/>
      <w:szCs w:val="18"/>
      <w:lang w:eastAsia="en-US"/>
    </w:rPr>
  </w:style>
  <w:style w:type="paragraph" w:customStyle="1" w:styleId="DocumentTitle2">
    <w:name w:val="Document Title 2"/>
    <w:basedOn w:val="DocumentTitle1"/>
    <w:rsid w:val="00C961CA"/>
    <w:rPr>
      <w:sz w:val="44"/>
      <w:szCs w:val="40"/>
    </w:rPr>
  </w:style>
  <w:style w:type="paragraph" w:styleId="FootnoteText">
    <w:name w:val="footnote text"/>
    <w:basedOn w:val="Normal"/>
    <w:link w:val="FootnoteTextChar"/>
    <w:uiPriority w:val="99"/>
    <w:rsid w:val="00D71074"/>
    <w:pPr>
      <w:spacing w:line="240" w:lineRule="auto"/>
      <w:ind w:left="144" w:hanging="144"/>
    </w:pPr>
    <w:rPr>
      <w:snapToGrid w:val="0"/>
      <w:sz w:val="18"/>
      <w:szCs w:val="24"/>
    </w:rPr>
  </w:style>
  <w:style w:type="paragraph" w:customStyle="1" w:styleId="DocumentTitleVersion">
    <w:name w:val="Document Title Version"/>
    <w:basedOn w:val="Normal"/>
    <w:rsid w:val="002D58FE"/>
    <w:pPr>
      <w:jc w:val="center"/>
    </w:pPr>
    <w:rPr>
      <w:rFonts w:cs="Arial"/>
      <w:b/>
      <w:sz w:val="28"/>
      <w:szCs w:val="36"/>
    </w:rPr>
  </w:style>
  <w:style w:type="character" w:styleId="CommentReference">
    <w:name w:val="annotation reference"/>
    <w:uiPriority w:val="99"/>
    <w:semiHidden/>
    <w:rsid w:val="006B7666"/>
    <w:rPr>
      <w:sz w:val="16"/>
      <w:szCs w:val="16"/>
    </w:rPr>
  </w:style>
  <w:style w:type="character" w:customStyle="1" w:styleId="TableTextCharChar">
    <w:name w:val="Table Text Char Char"/>
    <w:link w:val="TableText"/>
    <w:locked/>
    <w:rsid w:val="008301B3"/>
    <w:rPr>
      <w:rFonts w:asciiTheme="minorHAnsi" w:hAnsiTheme="minorHAnsi" w:cs="Arial"/>
      <w:snapToGrid w:val="0"/>
      <w:sz w:val="22"/>
      <w:lang w:eastAsia="en-US"/>
    </w:rPr>
  </w:style>
  <w:style w:type="character" w:customStyle="1" w:styleId="Heading4Char">
    <w:name w:val="Heading 4 Char"/>
    <w:link w:val="Heading4"/>
    <w:rsid w:val="00935362"/>
    <w:rPr>
      <w:rFonts w:asciiTheme="minorHAnsi" w:hAnsiTheme="minorHAnsi" w:cs="Arial"/>
      <w:bCs/>
      <w:i/>
      <w:szCs w:val="22"/>
      <w:lang w:eastAsia="en-US"/>
    </w:rPr>
  </w:style>
  <w:style w:type="character" w:customStyle="1" w:styleId="FootnoteTextChar">
    <w:name w:val="Footnote Text Char"/>
    <w:link w:val="FootnoteText"/>
    <w:uiPriority w:val="99"/>
    <w:rsid w:val="00D71074"/>
    <w:rPr>
      <w:rFonts w:asciiTheme="minorHAnsi" w:hAnsiTheme="minorHAnsi"/>
      <w:snapToGrid w:val="0"/>
      <w:sz w:val="18"/>
      <w:szCs w:val="24"/>
      <w:lang w:eastAsia="en-US"/>
    </w:rPr>
  </w:style>
  <w:style w:type="paragraph" w:customStyle="1" w:styleId="Default">
    <w:name w:val="Default"/>
    <w:rsid w:val="00152CDA"/>
    <w:pPr>
      <w:autoSpaceDE w:val="0"/>
      <w:autoSpaceDN w:val="0"/>
      <w:adjustRightInd w:val="0"/>
    </w:pPr>
    <w:rPr>
      <w:rFonts w:ascii="Arial" w:hAnsi="Arial" w:cs="Arial"/>
      <w:color w:val="000000"/>
      <w:sz w:val="24"/>
      <w:szCs w:val="24"/>
    </w:rPr>
  </w:style>
  <w:style w:type="paragraph" w:styleId="z-TopofForm">
    <w:name w:val="HTML Top of Form"/>
    <w:basedOn w:val="Normal"/>
    <w:next w:val="Normal"/>
    <w:hidden/>
    <w:rsid w:val="000C0997"/>
    <w:pPr>
      <w:pBdr>
        <w:bottom w:val="single" w:sz="6" w:space="1" w:color="auto"/>
      </w:pBdr>
      <w:spacing w:after="0"/>
      <w:jc w:val="center"/>
    </w:pPr>
    <w:rPr>
      <w:rFonts w:ascii="Arial" w:hAnsi="Arial" w:cs="Arial"/>
      <w:vanish/>
      <w:sz w:val="16"/>
      <w:szCs w:val="16"/>
      <w:lang w:eastAsia="en-CA"/>
    </w:rPr>
  </w:style>
  <w:style w:type="paragraph" w:styleId="z-BottomofForm">
    <w:name w:val="HTML Bottom of Form"/>
    <w:basedOn w:val="Normal"/>
    <w:next w:val="Normal"/>
    <w:hidden/>
    <w:rsid w:val="000C0997"/>
    <w:pPr>
      <w:pBdr>
        <w:top w:val="single" w:sz="6" w:space="1" w:color="auto"/>
      </w:pBdr>
      <w:spacing w:after="0"/>
      <w:jc w:val="center"/>
    </w:pPr>
    <w:rPr>
      <w:rFonts w:ascii="Arial" w:hAnsi="Arial" w:cs="Arial"/>
      <w:vanish/>
      <w:sz w:val="16"/>
      <w:szCs w:val="16"/>
      <w:lang w:eastAsia="en-CA"/>
    </w:rPr>
  </w:style>
  <w:style w:type="numbering" w:styleId="111111">
    <w:name w:val="Outline List 2"/>
    <w:basedOn w:val="NoList"/>
    <w:semiHidden/>
    <w:rsid w:val="00C00AFE"/>
  </w:style>
  <w:style w:type="numbering" w:styleId="1ai">
    <w:name w:val="Outline List 1"/>
    <w:basedOn w:val="NoList"/>
    <w:semiHidden/>
    <w:rsid w:val="00C00AFE"/>
    <w:pPr>
      <w:numPr>
        <w:numId w:val="1"/>
      </w:numPr>
    </w:pPr>
  </w:style>
  <w:style w:type="paragraph" w:styleId="NormalWeb">
    <w:name w:val="Normal (Web)"/>
    <w:basedOn w:val="Normal"/>
    <w:uiPriority w:val="99"/>
    <w:semiHidden/>
    <w:rsid w:val="00C00AFE"/>
    <w:rPr>
      <w:sz w:val="24"/>
    </w:rPr>
  </w:style>
  <w:style w:type="paragraph" w:styleId="Revision">
    <w:name w:val="Revision"/>
    <w:hidden/>
    <w:uiPriority w:val="99"/>
    <w:semiHidden/>
    <w:rsid w:val="008C1953"/>
    <w:rPr>
      <w:rFonts w:ascii="Arial" w:hAnsi="Arial"/>
      <w:szCs w:val="24"/>
      <w:lang w:eastAsia="en-US"/>
    </w:rPr>
  </w:style>
  <w:style w:type="paragraph" w:customStyle="1" w:styleId="Picture">
    <w:name w:val="Picture"/>
    <w:basedOn w:val="Normal"/>
    <w:rsid w:val="00D156F6"/>
    <w:pPr>
      <w:keepNext/>
      <w:spacing w:before="360" w:after="240"/>
      <w:jc w:val="center"/>
    </w:pPr>
    <w:rPr>
      <w:spacing w:val="-5"/>
    </w:rPr>
  </w:style>
  <w:style w:type="paragraph" w:customStyle="1" w:styleId="Heading">
    <w:name w:val="Heading"/>
    <w:next w:val="Normal"/>
    <w:qFormat/>
    <w:rsid w:val="00140D22"/>
    <w:pPr>
      <w:keepNext/>
      <w:spacing w:after="240"/>
    </w:pPr>
    <w:rPr>
      <w:rFonts w:asciiTheme="minorHAnsi" w:hAnsiTheme="minorHAnsi"/>
      <w:b/>
      <w:sz w:val="28"/>
      <w:szCs w:val="22"/>
      <w:lang w:eastAsia="en-US"/>
    </w:rPr>
  </w:style>
  <w:style w:type="table" w:styleId="TableGrid">
    <w:name w:val="Table Grid"/>
    <w:basedOn w:val="TableNormal"/>
    <w:uiPriority w:val="59"/>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055151"/>
    <w:pPr>
      <w:spacing w:line="240" w:lineRule="auto"/>
    </w:pPr>
  </w:style>
  <w:style w:type="paragraph" w:styleId="Caption">
    <w:name w:val="caption"/>
    <w:basedOn w:val="Normal"/>
    <w:next w:val="Normal"/>
    <w:qFormat/>
    <w:rsid w:val="00AF05A1"/>
    <w:pPr>
      <w:spacing w:after="360" w:line="240" w:lineRule="auto"/>
      <w:jc w:val="center"/>
    </w:pPr>
    <w:rPr>
      <w:b/>
      <w:bCs/>
      <w:sz w:val="20"/>
      <w:szCs w:val="20"/>
    </w:rPr>
  </w:style>
  <w:style w:type="paragraph" w:customStyle="1" w:styleId="TableTextBullets">
    <w:name w:val="Table Text Bullets"/>
    <w:qFormat/>
    <w:rsid w:val="008301B3"/>
    <w:pPr>
      <w:numPr>
        <w:numId w:val="2"/>
      </w:numPr>
      <w:spacing w:before="60" w:after="60"/>
      <w:ind w:left="357" w:hanging="357"/>
    </w:pPr>
    <w:rPr>
      <w:rFonts w:asciiTheme="minorHAnsi" w:hAnsiTheme="minorHAnsi" w:cs="Arial"/>
      <w:snapToGrid w:val="0"/>
      <w:sz w:val="22"/>
      <w:lang w:eastAsia="en-US"/>
    </w:rPr>
  </w:style>
  <w:style w:type="paragraph" w:customStyle="1" w:styleId="Appendix">
    <w:name w:val="Appendix"/>
    <w:next w:val="Normal"/>
    <w:qFormat/>
    <w:rsid w:val="00902F8F"/>
    <w:pPr>
      <w:spacing w:after="240"/>
    </w:pPr>
    <w:rPr>
      <w:rFonts w:ascii="Arial" w:hAnsi="Arial"/>
      <w:b/>
      <w:sz w:val="28"/>
      <w:szCs w:val="22"/>
      <w:lang w:eastAsia="en-US"/>
    </w:rPr>
  </w:style>
  <w:style w:type="character" w:styleId="FollowedHyperlink">
    <w:name w:val="FollowedHyperlink"/>
    <w:uiPriority w:val="99"/>
    <w:unhideWhenUsed/>
    <w:rsid w:val="00587764"/>
    <w:rPr>
      <w:color w:val="800080"/>
      <w:u w:val="single"/>
    </w:rPr>
  </w:style>
  <w:style w:type="paragraph" w:customStyle="1" w:styleId="TableTextLeft">
    <w:name w:val="Table Text Left"/>
    <w:basedOn w:val="Normal"/>
    <w:rsid w:val="00D62291"/>
    <w:pPr>
      <w:spacing w:before="20" w:after="20" w:line="240" w:lineRule="auto"/>
    </w:pPr>
    <w:rPr>
      <w:rFonts w:ascii="Calibri" w:hAnsi="Calibri"/>
      <w:snapToGrid w:val="0"/>
      <w:szCs w:val="20"/>
      <w:lang w:bidi="en-US"/>
    </w:rPr>
  </w:style>
  <w:style w:type="paragraph" w:customStyle="1" w:styleId="Bulletedlistintable">
    <w:name w:val="Bulleted list in table"/>
    <w:basedOn w:val="Normal"/>
    <w:rsid w:val="00946236"/>
    <w:pPr>
      <w:numPr>
        <w:numId w:val="3"/>
      </w:numPr>
      <w:spacing w:before="60" w:after="60"/>
    </w:pPr>
    <w:rPr>
      <w:rFonts w:ascii="Arial" w:hAnsi="Arial"/>
      <w:sz w:val="18"/>
      <w:szCs w:val="24"/>
    </w:rPr>
  </w:style>
  <w:style w:type="character" w:styleId="Emphasis">
    <w:name w:val="Emphasis"/>
    <w:basedOn w:val="DefaultParagraphFont"/>
    <w:uiPriority w:val="20"/>
    <w:qFormat/>
    <w:rsid w:val="00834326"/>
    <w:rPr>
      <w:i/>
      <w:iCs/>
    </w:rPr>
  </w:style>
  <w:style w:type="character" w:customStyle="1" w:styleId="FooterChar">
    <w:name w:val="Footer Char"/>
    <w:basedOn w:val="DefaultParagraphFont"/>
    <w:link w:val="Footer"/>
    <w:uiPriority w:val="99"/>
    <w:rsid w:val="004C1E85"/>
    <w:rPr>
      <w:rFonts w:ascii="Arial" w:hAnsi="Arial" w:cs="Arial"/>
      <w:sz w:val="18"/>
      <w:szCs w:val="18"/>
      <w:lang w:eastAsia="en-US"/>
    </w:rPr>
  </w:style>
  <w:style w:type="paragraph" w:styleId="TOC4">
    <w:name w:val="toc 4"/>
    <w:basedOn w:val="Normal"/>
    <w:next w:val="Normal"/>
    <w:autoRedefine/>
    <w:rsid w:val="00722112"/>
    <w:pPr>
      <w:spacing w:after="100"/>
      <w:ind w:left="660"/>
    </w:pPr>
  </w:style>
  <w:style w:type="character" w:customStyle="1" w:styleId="Heading1Char">
    <w:name w:val="Heading 1 Char"/>
    <w:basedOn w:val="DefaultParagraphFont"/>
    <w:link w:val="Heading1"/>
    <w:uiPriority w:val="9"/>
    <w:rsid w:val="00C84CAB"/>
    <w:rPr>
      <w:rFonts w:asciiTheme="minorHAnsi" w:hAnsiTheme="minorHAnsi" w:cs="Arial"/>
      <w:b/>
      <w:bCs/>
      <w:kern w:val="32"/>
      <w:sz w:val="28"/>
      <w:szCs w:val="32"/>
      <w:lang w:eastAsia="en-US"/>
    </w:rPr>
  </w:style>
  <w:style w:type="paragraph" w:styleId="Bibliography">
    <w:name w:val="Bibliography"/>
    <w:basedOn w:val="Normal"/>
    <w:next w:val="Normal"/>
    <w:uiPriority w:val="37"/>
    <w:unhideWhenUsed/>
    <w:rsid w:val="0006003C"/>
    <w:pPr>
      <w:spacing w:line="240" w:lineRule="auto"/>
    </w:pPr>
  </w:style>
  <w:style w:type="character" w:styleId="FootnoteReference">
    <w:name w:val="footnote reference"/>
    <w:basedOn w:val="DefaultParagraphFont"/>
    <w:uiPriority w:val="99"/>
    <w:unhideWhenUsed/>
    <w:rsid w:val="00F0565F"/>
    <w:rPr>
      <w:vertAlign w:val="superscript"/>
    </w:rPr>
  </w:style>
  <w:style w:type="paragraph" w:styleId="TOCHeading">
    <w:name w:val="TOC Heading"/>
    <w:basedOn w:val="Heading1"/>
    <w:next w:val="Normal"/>
    <w:uiPriority w:val="39"/>
    <w:semiHidden/>
    <w:unhideWhenUsed/>
    <w:qFormat/>
    <w:rsid w:val="003F7529"/>
    <w:pPr>
      <w:keepLines/>
      <w:numPr>
        <w:numId w:val="0"/>
      </w:numPr>
      <w:spacing w:after="0"/>
      <w:outlineLvl w:val="9"/>
    </w:pPr>
    <w:rPr>
      <w:rFonts w:asciiTheme="majorHAnsi" w:eastAsiaTheme="majorEastAsia" w:hAnsiTheme="majorHAnsi" w:cstheme="majorBidi"/>
      <w:color w:val="365F91" w:themeColor="accent1" w:themeShade="BF"/>
      <w:kern w:val="0"/>
      <w:szCs w:val="28"/>
      <w:lang w:eastAsia="ja-JP"/>
    </w:rPr>
  </w:style>
  <w:style w:type="character" w:customStyle="1" w:styleId="CommentTextChar">
    <w:name w:val="Comment Text Char"/>
    <w:basedOn w:val="DefaultParagraphFont"/>
    <w:link w:val="CommentText"/>
    <w:uiPriority w:val="99"/>
    <w:rsid w:val="00C64E7B"/>
    <w:rPr>
      <w:rFonts w:asciiTheme="minorHAnsi" w:hAnsiTheme="minorHAnsi"/>
      <w:sz w:val="22"/>
      <w:lang w:eastAsia="en-US"/>
    </w:rPr>
  </w:style>
  <w:style w:type="paragraph" w:styleId="ListParagraph">
    <w:name w:val="List Paragraph"/>
    <w:basedOn w:val="Normal"/>
    <w:uiPriority w:val="34"/>
    <w:qFormat/>
    <w:rsid w:val="00454B16"/>
    <w:pPr>
      <w:ind w:left="720"/>
    </w:pPr>
  </w:style>
  <w:style w:type="table" w:customStyle="1" w:styleId="TableGrid1">
    <w:name w:val="Table Grid1"/>
    <w:basedOn w:val="TableNormal"/>
    <w:next w:val="TableGrid"/>
    <w:uiPriority w:val="59"/>
    <w:rsid w:val="00AE4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forTable">
    <w:name w:val="Caption for Table"/>
    <w:basedOn w:val="Caption"/>
    <w:qFormat/>
    <w:rsid w:val="00C52BE7"/>
    <w:pPr>
      <w:keepNext/>
      <w:spacing w:before="360" w:after="120"/>
    </w:pPr>
  </w:style>
  <w:style w:type="paragraph" w:customStyle="1" w:styleId="HeadingBasic">
    <w:name w:val="Heading Basic"/>
    <w:basedOn w:val="Normal"/>
    <w:rsid w:val="000409F5"/>
    <w:pPr>
      <w:spacing w:before="360" w:after="200"/>
    </w:pPr>
    <w:rPr>
      <w:rFonts w:cs="Arial"/>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0491">
      <w:bodyDiv w:val="1"/>
      <w:marLeft w:val="0"/>
      <w:marRight w:val="0"/>
      <w:marTop w:val="0"/>
      <w:marBottom w:val="0"/>
      <w:divBdr>
        <w:top w:val="none" w:sz="0" w:space="0" w:color="auto"/>
        <w:left w:val="none" w:sz="0" w:space="0" w:color="auto"/>
        <w:bottom w:val="none" w:sz="0" w:space="0" w:color="auto"/>
        <w:right w:val="none" w:sz="0" w:space="0" w:color="auto"/>
      </w:divBdr>
    </w:div>
    <w:div w:id="78524098">
      <w:bodyDiv w:val="1"/>
      <w:marLeft w:val="0"/>
      <w:marRight w:val="0"/>
      <w:marTop w:val="0"/>
      <w:marBottom w:val="0"/>
      <w:divBdr>
        <w:top w:val="none" w:sz="0" w:space="0" w:color="auto"/>
        <w:left w:val="none" w:sz="0" w:space="0" w:color="auto"/>
        <w:bottom w:val="none" w:sz="0" w:space="0" w:color="auto"/>
        <w:right w:val="none" w:sz="0" w:space="0" w:color="auto"/>
      </w:divBdr>
    </w:div>
    <w:div w:id="176387618">
      <w:bodyDiv w:val="1"/>
      <w:marLeft w:val="0"/>
      <w:marRight w:val="0"/>
      <w:marTop w:val="0"/>
      <w:marBottom w:val="0"/>
      <w:divBdr>
        <w:top w:val="none" w:sz="0" w:space="0" w:color="auto"/>
        <w:left w:val="none" w:sz="0" w:space="0" w:color="auto"/>
        <w:bottom w:val="none" w:sz="0" w:space="0" w:color="auto"/>
        <w:right w:val="none" w:sz="0" w:space="0" w:color="auto"/>
      </w:divBdr>
      <w:divsChild>
        <w:div w:id="308435982">
          <w:marLeft w:val="0"/>
          <w:marRight w:val="0"/>
          <w:marTop w:val="0"/>
          <w:marBottom w:val="0"/>
          <w:divBdr>
            <w:top w:val="none" w:sz="0" w:space="0" w:color="auto"/>
            <w:left w:val="none" w:sz="0" w:space="0" w:color="auto"/>
            <w:bottom w:val="none" w:sz="0" w:space="0" w:color="auto"/>
            <w:right w:val="none" w:sz="0" w:space="0" w:color="auto"/>
          </w:divBdr>
        </w:div>
        <w:div w:id="502622083">
          <w:marLeft w:val="0"/>
          <w:marRight w:val="0"/>
          <w:marTop w:val="0"/>
          <w:marBottom w:val="0"/>
          <w:divBdr>
            <w:top w:val="none" w:sz="0" w:space="0" w:color="auto"/>
            <w:left w:val="none" w:sz="0" w:space="0" w:color="auto"/>
            <w:bottom w:val="none" w:sz="0" w:space="0" w:color="auto"/>
            <w:right w:val="none" w:sz="0" w:space="0" w:color="auto"/>
          </w:divBdr>
        </w:div>
        <w:div w:id="902717623">
          <w:marLeft w:val="0"/>
          <w:marRight w:val="0"/>
          <w:marTop w:val="0"/>
          <w:marBottom w:val="0"/>
          <w:divBdr>
            <w:top w:val="none" w:sz="0" w:space="0" w:color="auto"/>
            <w:left w:val="none" w:sz="0" w:space="0" w:color="auto"/>
            <w:bottom w:val="none" w:sz="0" w:space="0" w:color="auto"/>
            <w:right w:val="none" w:sz="0" w:space="0" w:color="auto"/>
          </w:divBdr>
        </w:div>
        <w:div w:id="1033921067">
          <w:marLeft w:val="0"/>
          <w:marRight w:val="0"/>
          <w:marTop w:val="0"/>
          <w:marBottom w:val="0"/>
          <w:divBdr>
            <w:top w:val="none" w:sz="0" w:space="0" w:color="auto"/>
            <w:left w:val="none" w:sz="0" w:space="0" w:color="auto"/>
            <w:bottom w:val="none" w:sz="0" w:space="0" w:color="auto"/>
            <w:right w:val="none" w:sz="0" w:space="0" w:color="auto"/>
          </w:divBdr>
        </w:div>
        <w:div w:id="1088312716">
          <w:marLeft w:val="0"/>
          <w:marRight w:val="0"/>
          <w:marTop w:val="0"/>
          <w:marBottom w:val="0"/>
          <w:divBdr>
            <w:top w:val="none" w:sz="0" w:space="0" w:color="auto"/>
            <w:left w:val="none" w:sz="0" w:space="0" w:color="auto"/>
            <w:bottom w:val="none" w:sz="0" w:space="0" w:color="auto"/>
            <w:right w:val="none" w:sz="0" w:space="0" w:color="auto"/>
          </w:divBdr>
        </w:div>
        <w:div w:id="1453985343">
          <w:marLeft w:val="0"/>
          <w:marRight w:val="0"/>
          <w:marTop w:val="0"/>
          <w:marBottom w:val="0"/>
          <w:divBdr>
            <w:top w:val="none" w:sz="0" w:space="0" w:color="auto"/>
            <w:left w:val="none" w:sz="0" w:space="0" w:color="auto"/>
            <w:bottom w:val="none" w:sz="0" w:space="0" w:color="auto"/>
            <w:right w:val="none" w:sz="0" w:space="0" w:color="auto"/>
          </w:divBdr>
        </w:div>
        <w:div w:id="1675840206">
          <w:marLeft w:val="0"/>
          <w:marRight w:val="0"/>
          <w:marTop w:val="0"/>
          <w:marBottom w:val="0"/>
          <w:divBdr>
            <w:top w:val="none" w:sz="0" w:space="0" w:color="auto"/>
            <w:left w:val="none" w:sz="0" w:space="0" w:color="auto"/>
            <w:bottom w:val="none" w:sz="0" w:space="0" w:color="auto"/>
            <w:right w:val="none" w:sz="0" w:space="0" w:color="auto"/>
          </w:divBdr>
        </w:div>
        <w:div w:id="1820801502">
          <w:marLeft w:val="0"/>
          <w:marRight w:val="0"/>
          <w:marTop w:val="0"/>
          <w:marBottom w:val="0"/>
          <w:divBdr>
            <w:top w:val="none" w:sz="0" w:space="0" w:color="auto"/>
            <w:left w:val="none" w:sz="0" w:space="0" w:color="auto"/>
            <w:bottom w:val="none" w:sz="0" w:space="0" w:color="auto"/>
            <w:right w:val="none" w:sz="0" w:space="0" w:color="auto"/>
          </w:divBdr>
        </w:div>
        <w:div w:id="1970746054">
          <w:marLeft w:val="0"/>
          <w:marRight w:val="0"/>
          <w:marTop w:val="0"/>
          <w:marBottom w:val="0"/>
          <w:divBdr>
            <w:top w:val="none" w:sz="0" w:space="0" w:color="auto"/>
            <w:left w:val="none" w:sz="0" w:space="0" w:color="auto"/>
            <w:bottom w:val="none" w:sz="0" w:space="0" w:color="auto"/>
            <w:right w:val="none" w:sz="0" w:space="0" w:color="auto"/>
          </w:divBdr>
        </w:div>
        <w:div w:id="2078553722">
          <w:marLeft w:val="0"/>
          <w:marRight w:val="0"/>
          <w:marTop w:val="0"/>
          <w:marBottom w:val="0"/>
          <w:divBdr>
            <w:top w:val="none" w:sz="0" w:space="0" w:color="auto"/>
            <w:left w:val="none" w:sz="0" w:space="0" w:color="auto"/>
            <w:bottom w:val="none" w:sz="0" w:space="0" w:color="auto"/>
            <w:right w:val="none" w:sz="0" w:space="0" w:color="auto"/>
          </w:divBdr>
        </w:div>
      </w:divsChild>
    </w:div>
    <w:div w:id="186070264">
      <w:bodyDiv w:val="1"/>
      <w:marLeft w:val="0"/>
      <w:marRight w:val="0"/>
      <w:marTop w:val="0"/>
      <w:marBottom w:val="0"/>
      <w:divBdr>
        <w:top w:val="none" w:sz="0" w:space="0" w:color="auto"/>
        <w:left w:val="none" w:sz="0" w:space="0" w:color="auto"/>
        <w:bottom w:val="none" w:sz="0" w:space="0" w:color="auto"/>
        <w:right w:val="none" w:sz="0" w:space="0" w:color="auto"/>
      </w:divBdr>
    </w:div>
    <w:div w:id="200368276">
      <w:bodyDiv w:val="1"/>
      <w:marLeft w:val="0"/>
      <w:marRight w:val="0"/>
      <w:marTop w:val="0"/>
      <w:marBottom w:val="0"/>
      <w:divBdr>
        <w:top w:val="none" w:sz="0" w:space="0" w:color="auto"/>
        <w:left w:val="none" w:sz="0" w:space="0" w:color="auto"/>
        <w:bottom w:val="none" w:sz="0" w:space="0" w:color="auto"/>
        <w:right w:val="none" w:sz="0" w:space="0" w:color="auto"/>
      </w:divBdr>
    </w:div>
    <w:div w:id="204876494">
      <w:bodyDiv w:val="1"/>
      <w:marLeft w:val="0"/>
      <w:marRight w:val="0"/>
      <w:marTop w:val="0"/>
      <w:marBottom w:val="0"/>
      <w:divBdr>
        <w:top w:val="none" w:sz="0" w:space="0" w:color="auto"/>
        <w:left w:val="none" w:sz="0" w:space="0" w:color="auto"/>
        <w:bottom w:val="none" w:sz="0" w:space="0" w:color="auto"/>
        <w:right w:val="none" w:sz="0" w:space="0" w:color="auto"/>
      </w:divBdr>
    </w:div>
    <w:div w:id="205022778">
      <w:bodyDiv w:val="1"/>
      <w:marLeft w:val="0"/>
      <w:marRight w:val="0"/>
      <w:marTop w:val="0"/>
      <w:marBottom w:val="0"/>
      <w:divBdr>
        <w:top w:val="none" w:sz="0" w:space="0" w:color="auto"/>
        <w:left w:val="none" w:sz="0" w:space="0" w:color="auto"/>
        <w:bottom w:val="none" w:sz="0" w:space="0" w:color="auto"/>
        <w:right w:val="none" w:sz="0" w:space="0" w:color="auto"/>
      </w:divBdr>
    </w:div>
    <w:div w:id="239873453">
      <w:bodyDiv w:val="1"/>
      <w:marLeft w:val="0"/>
      <w:marRight w:val="0"/>
      <w:marTop w:val="0"/>
      <w:marBottom w:val="0"/>
      <w:divBdr>
        <w:top w:val="none" w:sz="0" w:space="0" w:color="auto"/>
        <w:left w:val="none" w:sz="0" w:space="0" w:color="auto"/>
        <w:bottom w:val="none" w:sz="0" w:space="0" w:color="auto"/>
        <w:right w:val="none" w:sz="0" w:space="0" w:color="auto"/>
      </w:divBdr>
    </w:div>
    <w:div w:id="244077044">
      <w:bodyDiv w:val="1"/>
      <w:marLeft w:val="0"/>
      <w:marRight w:val="0"/>
      <w:marTop w:val="0"/>
      <w:marBottom w:val="0"/>
      <w:divBdr>
        <w:top w:val="none" w:sz="0" w:space="0" w:color="auto"/>
        <w:left w:val="none" w:sz="0" w:space="0" w:color="auto"/>
        <w:bottom w:val="none" w:sz="0" w:space="0" w:color="auto"/>
        <w:right w:val="none" w:sz="0" w:space="0" w:color="auto"/>
      </w:divBdr>
    </w:div>
    <w:div w:id="267153635">
      <w:bodyDiv w:val="1"/>
      <w:marLeft w:val="0"/>
      <w:marRight w:val="0"/>
      <w:marTop w:val="0"/>
      <w:marBottom w:val="0"/>
      <w:divBdr>
        <w:top w:val="none" w:sz="0" w:space="0" w:color="auto"/>
        <w:left w:val="none" w:sz="0" w:space="0" w:color="auto"/>
        <w:bottom w:val="none" w:sz="0" w:space="0" w:color="auto"/>
        <w:right w:val="none" w:sz="0" w:space="0" w:color="auto"/>
      </w:divBdr>
    </w:div>
    <w:div w:id="269120316">
      <w:bodyDiv w:val="1"/>
      <w:marLeft w:val="0"/>
      <w:marRight w:val="0"/>
      <w:marTop w:val="0"/>
      <w:marBottom w:val="0"/>
      <w:divBdr>
        <w:top w:val="none" w:sz="0" w:space="0" w:color="auto"/>
        <w:left w:val="none" w:sz="0" w:space="0" w:color="auto"/>
        <w:bottom w:val="none" w:sz="0" w:space="0" w:color="auto"/>
        <w:right w:val="none" w:sz="0" w:space="0" w:color="auto"/>
      </w:divBdr>
    </w:div>
    <w:div w:id="290939737">
      <w:bodyDiv w:val="1"/>
      <w:marLeft w:val="0"/>
      <w:marRight w:val="0"/>
      <w:marTop w:val="0"/>
      <w:marBottom w:val="0"/>
      <w:divBdr>
        <w:top w:val="none" w:sz="0" w:space="0" w:color="auto"/>
        <w:left w:val="none" w:sz="0" w:space="0" w:color="auto"/>
        <w:bottom w:val="none" w:sz="0" w:space="0" w:color="auto"/>
        <w:right w:val="none" w:sz="0" w:space="0" w:color="auto"/>
      </w:divBdr>
    </w:div>
    <w:div w:id="301080669">
      <w:bodyDiv w:val="1"/>
      <w:marLeft w:val="0"/>
      <w:marRight w:val="0"/>
      <w:marTop w:val="0"/>
      <w:marBottom w:val="0"/>
      <w:divBdr>
        <w:top w:val="none" w:sz="0" w:space="0" w:color="auto"/>
        <w:left w:val="none" w:sz="0" w:space="0" w:color="auto"/>
        <w:bottom w:val="none" w:sz="0" w:space="0" w:color="auto"/>
        <w:right w:val="none" w:sz="0" w:space="0" w:color="auto"/>
      </w:divBdr>
    </w:div>
    <w:div w:id="301540049">
      <w:bodyDiv w:val="1"/>
      <w:marLeft w:val="0"/>
      <w:marRight w:val="0"/>
      <w:marTop w:val="0"/>
      <w:marBottom w:val="0"/>
      <w:divBdr>
        <w:top w:val="none" w:sz="0" w:space="0" w:color="auto"/>
        <w:left w:val="none" w:sz="0" w:space="0" w:color="auto"/>
        <w:bottom w:val="none" w:sz="0" w:space="0" w:color="auto"/>
        <w:right w:val="none" w:sz="0" w:space="0" w:color="auto"/>
      </w:divBdr>
    </w:div>
    <w:div w:id="310254708">
      <w:bodyDiv w:val="1"/>
      <w:marLeft w:val="0"/>
      <w:marRight w:val="0"/>
      <w:marTop w:val="0"/>
      <w:marBottom w:val="0"/>
      <w:divBdr>
        <w:top w:val="none" w:sz="0" w:space="0" w:color="auto"/>
        <w:left w:val="none" w:sz="0" w:space="0" w:color="auto"/>
        <w:bottom w:val="none" w:sz="0" w:space="0" w:color="auto"/>
        <w:right w:val="none" w:sz="0" w:space="0" w:color="auto"/>
      </w:divBdr>
    </w:div>
    <w:div w:id="349530629">
      <w:bodyDiv w:val="1"/>
      <w:marLeft w:val="0"/>
      <w:marRight w:val="0"/>
      <w:marTop w:val="0"/>
      <w:marBottom w:val="0"/>
      <w:divBdr>
        <w:top w:val="none" w:sz="0" w:space="0" w:color="auto"/>
        <w:left w:val="none" w:sz="0" w:space="0" w:color="auto"/>
        <w:bottom w:val="none" w:sz="0" w:space="0" w:color="auto"/>
        <w:right w:val="none" w:sz="0" w:space="0" w:color="auto"/>
      </w:divBdr>
    </w:div>
    <w:div w:id="350109828">
      <w:bodyDiv w:val="1"/>
      <w:marLeft w:val="0"/>
      <w:marRight w:val="0"/>
      <w:marTop w:val="0"/>
      <w:marBottom w:val="0"/>
      <w:divBdr>
        <w:top w:val="none" w:sz="0" w:space="0" w:color="auto"/>
        <w:left w:val="none" w:sz="0" w:space="0" w:color="auto"/>
        <w:bottom w:val="none" w:sz="0" w:space="0" w:color="auto"/>
        <w:right w:val="none" w:sz="0" w:space="0" w:color="auto"/>
      </w:divBdr>
    </w:div>
    <w:div w:id="350910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659">
          <w:marLeft w:val="0"/>
          <w:marRight w:val="0"/>
          <w:marTop w:val="0"/>
          <w:marBottom w:val="0"/>
          <w:divBdr>
            <w:top w:val="none" w:sz="0" w:space="0" w:color="auto"/>
            <w:left w:val="none" w:sz="0" w:space="0" w:color="auto"/>
            <w:bottom w:val="none" w:sz="0" w:space="0" w:color="auto"/>
            <w:right w:val="none" w:sz="0" w:space="0" w:color="auto"/>
          </w:divBdr>
          <w:divsChild>
            <w:div w:id="2081949412">
              <w:marLeft w:val="0"/>
              <w:marRight w:val="0"/>
              <w:marTop w:val="0"/>
              <w:marBottom w:val="0"/>
              <w:divBdr>
                <w:top w:val="none" w:sz="0" w:space="0" w:color="auto"/>
                <w:left w:val="none" w:sz="0" w:space="0" w:color="auto"/>
                <w:bottom w:val="none" w:sz="0" w:space="0" w:color="auto"/>
                <w:right w:val="none" w:sz="0" w:space="0" w:color="auto"/>
              </w:divBdr>
              <w:divsChild>
                <w:div w:id="1889216468">
                  <w:marLeft w:val="0"/>
                  <w:marRight w:val="0"/>
                  <w:marTop w:val="0"/>
                  <w:marBottom w:val="0"/>
                  <w:divBdr>
                    <w:top w:val="none" w:sz="0" w:space="0" w:color="auto"/>
                    <w:left w:val="none" w:sz="0" w:space="0" w:color="auto"/>
                    <w:bottom w:val="none" w:sz="0" w:space="0" w:color="auto"/>
                    <w:right w:val="none" w:sz="0" w:space="0" w:color="auto"/>
                  </w:divBdr>
                  <w:divsChild>
                    <w:div w:id="525874086">
                      <w:marLeft w:val="0"/>
                      <w:marRight w:val="0"/>
                      <w:marTop w:val="0"/>
                      <w:marBottom w:val="0"/>
                      <w:divBdr>
                        <w:top w:val="none" w:sz="0" w:space="0" w:color="auto"/>
                        <w:left w:val="none" w:sz="0" w:space="0" w:color="auto"/>
                        <w:bottom w:val="none" w:sz="0" w:space="0" w:color="auto"/>
                        <w:right w:val="none" w:sz="0" w:space="0" w:color="auto"/>
                      </w:divBdr>
                      <w:divsChild>
                        <w:div w:id="1454909217">
                          <w:marLeft w:val="0"/>
                          <w:marRight w:val="0"/>
                          <w:marTop w:val="0"/>
                          <w:marBottom w:val="0"/>
                          <w:divBdr>
                            <w:top w:val="none" w:sz="0" w:space="0" w:color="auto"/>
                            <w:left w:val="none" w:sz="0" w:space="0" w:color="auto"/>
                            <w:bottom w:val="none" w:sz="0" w:space="0" w:color="auto"/>
                            <w:right w:val="none" w:sz="0" w:space="0" w:color="auto"/>
                          </w:divBdr>
                          <w:divsChild>
                            <w:div w:id="1685547952">
                              <w:marLeft w:val="0"/>
                              <w:marRight w:val="0"/>
                              <w:marTop w:val="0"/>
                              <w:marBottom w:val="0"/>
                              <w:divBdr>
                                <w:top w:val="none" w:sz="0" w:space="0" w:color="auto"/>
                                <w:left w:val="none" w:sz="0" w:space="0" w:color="auto"/>
                                <w:bottom w:val="none" w:sz="0" w:space="0" w:color="auto"/>
                                <w:right w:val="none" w:sz="0" w:space="0" w:color="auto"/>
                              </w:divBdr>
                              <w:divsChild>
                                <w:div w:id="1180773275">
                                  <w:marLeft w:val="0"/>
                                  <w:marRight w:val="0"/>
                                  <w:marTop w:val="0"/>
                                  <w:marBottom w:val="0"/>
                                  <w:divBdr>
                                    <w:top w:val="none" w:sz="0" w:space="0" w:color="auto"/>
                                    <w:left w:val="none" w:sz="0" w:space="0" w:color="auto"/>
                                    <w:bottom w:val="none" w:sz="0" w:space="0" w:color="auto"/>
                                    <w:right w:val="none" w:sz="0" w:space="0" w:color="auto"/>
                                  </w:divBdr>
                                  <w:divsChild>
                                    <w:div w:id="309024806">
                                      <w:marLeft w:val="0"/>
                                      <w:marRight w:val="0"/>
                                      <w:marTop w:val="0"/>
                                      <w:marBottom w:val="0"/>
                                      <w:divBdr>
                                        <w:top w:val="none" w:sz="0" w:space="0" w:color="auto"/>
                                        <w:left w:val="none" w:sz="0" w:space="0" w:color="auto"/>
                                        <w:bottom w:val="none" w:sz="0" w:space="0" w:color="auto"/>
                                        <w:right w:val="none" w:sz="0" w:space="0" w:color="auto"/>
                                      </w:divBdr>
                                      <w:divsChild>
                                        <w:div w:id="1634361314">
                                          <w:marLeft w:val="0"/>
                                          <w:marRight w:val="0"/>
                                          <w:marTop w:val="0"/>
                                          <w:marBottom w:val="0"/>
                                          <w:divBdr>
                                            <w:top w:val="none" w:sz="0" w:space="0" w:color="auto"/>
                                            <w:left w:val="none" w:sz="0" w:space="0" w:color="auto"/>
                                            <w:bottom w:val="none" w:sz="0" w:space="0" w:color="auto"/>
                                            <w:right w:val="none" w:sz="0" w:space="0" w:color="auto"/>
                                          </w:divBdr>
                                          <w:divsChild>
                                            <w:div w:id="2035617455">
                                              <w:marLeft w:val="0"/>
                                              <w:marRight w:val="0"/>
                                              <w:marTop w:val="0"/>
                                              <w:marBottom w:val="0"/>
                                              <w:divBdr>
                                                <w:top w:val="none" w:sz="0" w:space="0" w:color="auto"/>
                                                <w:left w:val="none" w:sz="0" w:space="0" w:color="auto"/>
                                                <w:bottom w:val="none" w:sz="0" w:space="0" w:color="auto"/>
                                                <w:right w:val="none" w:sz="0" w:space="0" w:color="auto"/>
                                              </w:divBdr>
                                              <w:divsChild>
                                                <w:div w:id="10504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302931">
      <w:bodyDiv w:val="1"/>
      <w:marLeft w:val="0"/>
      <w:marRight w:val="0"/>
      <w:marTop w:val="0"/>
      <w:marBottom w:val="0"/>
      <w:divBdr>
        <w:top w:val="none" w:sz="0" w:space="0" w:color="auto"/>
        <w:left w:val="none" w:sz="0" w:space="0" w:color="auto"/>
        <w:bottom w:val="none" w:sz="0" w:space="0" w:color="auto"/>
        <w:right w:val="none" w:sz="0" w:space="0" w:color="auto"/>
      </w:divBdr>
    </w:div>
    <w:div w:id="373118175">
      <w:bodyDiv w:val="1"/>
      <w:marLeft w:val="0"/>
      <w:marRight w:val="0"/>
      <w:marTop w:val="0"/>
      <w:marBottom w:val="0"/>
      <w:divBdr>
        <w:top w:val="none" w:sz="0" w:space="0" w:color="auto"/>
        <w:left w:val="none" w:sz="0" w:space="0" w:color="auto"/>
        <w:bottom w:val="none" w:sz="0" w:space="0" w:color="auto"/>
        <w:right w:val="none" w:sz="0" w:space="0" w:color="auto"/>
      </w:divBdr>
    </w:div>
    <w:div w:id="402459878">
      <w:bodyDiv w:val="1"/>
      <w:marLeft w:val="0"/>
      <w:marRight w:val="0"/>
      <w:marTop w:val="0"/>
      <w:marBottom w:val="0"/>
      <w:divBdr>
        <w:top w:val="none" w:sz="0" w:space="0" w:color="auto"/>
        <w:left w:val="none" w:sz="0" w:space="0" w:color="auto"/>
        <w:bottom w:val="none" w:sz="0" w:space="0" w:color="auto"/>
        <w:right w:val="none" w:sz="0" w:space="0" w:color="auto"/>
      </w:divBdr>
    </w:div>
    <w:div w:id="437484799">
      <w:bodyDiv w:val="1"/>
      <w:marLeft w:val="0"/>
      <w:marRight w:val="0"/>
      <w:marTop w:val="0"/>
      <w:marBottom w:val="0"/>
      <w:divBdr>
        <w:top w:val="none" w:sz="0" w:space="0" w:color="auto"/>
        <w:left w:val="none" w:sz="0" w:space="0" w:color="auto"/>
        <w:bottom w:val="none" w:sz="0" w:space="0" w:color="auto"/>
        <w:right w:val="none" w:sz="0" w:space="0" w:color="auto"/>
      </w:divBdr>
    </w:div>
    <w:div w:id="444471397">
      <w:bodyDiv w:val="1"/>
      <w:marLeft w:val="0"/>
      <w:marRight w:val="0"/>
      <w:marTop w:val="0"/>
      <w:marBottom w:val="0"/>
      <w:divBdr>
        <w:top w:val="none" w:sz="0" w:space="0" w:color="auto"/>
        <w:left w:val="none" w:sz="0" w:space="0" w:color="auto"/>
        <w:bottom w:val="none" w:sz="0" w:space="0" w:color="auto"/>
        <w:right w:val="none" w:sz="0" w:space="0" w:color="auto"/>
      </w:divBdr>
    </w:div>
    <w:div w:id="457115456">
      <w:bodyDiv w:val="1"/>
      <w:marLeft w:val="0"/>
      <w:marRight w:val="0"/>
      <w:marTop w:val="0"/>
      <w:marBottom w:val="0"/>
      <w:divBdr>
        <w:top w:val="none" w:sz="0" w:space="0" w:color="auto"/>
        <w:left w:val="none" w:sz="0" w:space="0" w:color="auto"/>
        <w:bottom w:val="none" w:sz="0" w:space="0" w:color="auto"/>
        <w:right w:val="none" w:sz="0" w:space="0" w:color="auto"/>
      </w:divBdr>
    </w:div>
    <w:div w:id="475070775">
      <w:bodyDiv w:val="1"/>
      <w:marLeft w:val="0"/>
      <w:marRight w:val="0"/>
      <w:marTop w:val="0"/>
      <w:marBottom w:val="0"/>
      <w:divBdr>
        <w:top w:val="none" w:sz="0" w:space="0" w:color="auto"/>
        <w:left w:val="none" w:sz="0" w:space="0" w:color="auto"/>
        <w:bottom w:val="none" w:sz="0" w:space="0" w:color="auto"/>
        <w:right w:val="none" w:sz="0" w:space="0" w:color="auto"/>
      </w:divBdr>
    </w:div>
    <w:div w:id="487402456">
      <w:bodyDiv w:val="1"/>
      <w:marLeft w:val="0"/>
      <w:marRight w:val="0"/>
      <w:marTop w:val="0"/>
      <w:marBottom w:val="0"/>
      <w:divBdr>
        <w:top w:val="none" w:sz="0" w:space="0" w:color="auto"/>
        <w:left w:val="none" w:sz="0" w:space="0" w:color="auto"/>
        <w:bottom w:val="none" w:sz="0" w:space="0" w:color="auto"/>
        <w:right w:val="none" w:sz="0" w:space="0" w:color="auto"/>
      </w:divBdr>
    </w:div>
    <w:div w:id="505360562">
      <w:bodyDiv w:val="1"/>
      <w:marLeft w:val="0"/>
      <w:marRight w:val="0"/>
      <w:marTop w:val="0"/>
      <w:marBottom w:val="0"/>
      <w:divBdr>
        <w:top w:val="none" w:sz="0" w:space="0" w:color="auto"/>
        <w:left w:val="none" w:sz="0" w:space="0" w:color="auto"/>
        <w:bottom w:val="none" w:sz="0" w:space="0" w:color="auto"/>
        <w:right w:val="none" w:sz="0" w:space="0" w:color="auto"/>
      </w:divBdr>
    </w:div>
    <w:div w:id="551234192">
      <w:bodyDiv w:val="1"/>
      <w:marLeft w:val="0"/>
      <w:marRight w:val="0"/>
      <w:marTop w:val="0"/>
      <w:marBottom w:val="0"/>
      <w:divBdr>
        <w:top w:val="none" w:sz="0" w:space="0" w:color="auto"/>
        <w:left w:val="none" w:sz="0" w:space="0" w:color="auto"/>
        <w:bottom w:val="none" w:sz="0" w:space="0" w:color="auto"/>
        <w:right w:val="none" w:sz="0" w:space="0" w:color="auto"/>
      </w:divBdr>
    </w:div>
    <w:div w:id="551963952">
      <w:bodyDiv w:val="1"/>
      <w:marLeft w:val="0"/>
      <w:marRight w:val="0"/>
      <w:marTop w:val="0"/>
      <w:marBottom w:val="0"/>
      <w:divBdr>
        <w:top w:val="none" w:sz="0" w:space="0" w:color="auto"/>
        <w:left w:val="none" w:sz="0" w:space="0" w:color="auto"/>
        <w:bottom w:val="none" w:sz="0" w:space="0" w:color="auto"/>
        <w:right w:val="none" w:sz="0" w:space="0" w:color="auto"/>
      </w:divBdr>
    </w:div>
    <w:div w:id="631209018">
      <w:bodyDiv w:val="1"/>
      <w:marLeft w:val="0"/>
      <w:marRight w:val="0"/>
      <w:marTop w:val="0"/>
      <w:marBottom w:val="0"/>
      <w:divBdr>
        <w:top w:val="none" w:sz="0" w:space="0" w:color="auto"/>
        <w:left w:val="none" w:sz="0" w:space="0" w:color="auto"/>
        <w:bottom w:val="none" w:sz="0" w:space="0" w:color="auto"/>
        <w:right w:val="none" w:sz="0" w:space="0" w:color="auto"/>
      </w:divBdr>
    </w:div>
    <w:div w:id="666982502">
      <w:bodyDiv w:val="1"/>
      <w:marLeft w:val="0"/>
      <w:marRight w:val="0"/>
      <w:marTop w:val="0"/>
      <w:marBottom w:val="0"/>
      <w:divBdr>
        <w:top w:val="none" w:sz="0" w:space="0" w:color="auto"/>
        <w:left w:val="none" w:sz="0" w:space="0" w:color="auto"/>
        <w:bottom w:val="none" w:sz="0" w:space="0" w:color="auto"/>
        <w:right w:val="none" w:sz="0" w:space="0" w:color="auto"/>
      </w:divBdr>
    </w:div>
    <w:div w:id="676998849">
      <w:bodyDiv w:val="1"/>
      <w:marLeft w:val="0"/>
      <w:marRight w:val="0"/>
      <w:marTop w:val="0"/>
      <w:marBottom w:val="0"/>
      <w:divBdr>
        <w:top w:val="none" w:sz="0" w:space="0" w:color="auto"/>
        <w:left w:val="none" w:sz="0" w:space="0" w:color="auto"/>
        <w:bottom w:val="none" w:sz="0" w:space="0" w:color="auto"/>
        <w:right w:val="none" w:sz="0" w:space="0" w:color="auto"/>
      </w:divBdr>
    </w:div>
    <w:div w:id="681005922">
      <w:bodyDiv w:val="1"/>
      <w:marLeft w:val="0"/>
      <w:marRight w:val="0"/>
      <w:marTop w:val="0"/>
      <w:marBottom w:val="0"/>
      <w:divBdr>
        <w:top w:val="none" w:sz="0" w:space="0" w:color="auto"/>
        <w:left w:val="none" w:sz="0" w:space="0" w:color="auto"/>
        <w:bottom w:val="none" w:sz="0" w:space="0" w:color="auto"/>
        <w:right w:val="none" w:sz="0" w:space="0" w:color="auto"/>
      </w:divBdr>
    </w:div>
    <w:div w:id="695345927">
      <w:bodyDiv w:val="1"/>
      <w:marLeft w:val="0"/>
      <w:marRight w:val="0"/>
      <w:marTop w:val="0"/>
      <w:marBottom w:val="0"/>
      <w:divBdr>
        <w:top w:val="none" w:sz="0" w:space="0" w:color="auto"/>
        <w:left w:val="none" w:sz="0" w:space="0" w:color="auto"/>
        <w:bottom w:val="none" w:sz="0" w:space="0" w:color="auto"/>
        <w:right w:val="none" w:sz="0" w:space="0" w:color="auto"/>
      </w:divBdr>
    </w:div>
    <w:div w:id="704405642">
      <w:bodyDiv w:val="1"/>
      <w:marLeft w:val="0"/>
      <w:marRight w:val="0"/>
      <w:marTop w:val="0"/>
      <w:marBottom w:val="0"/>
      <w:divBdr>
        <w:top w:val="none" w:sz="0" w:space="0" w:color="auto"/>
        <w:left w:val="none" w:sz="0" w:space="0" w:color="auto"/>
        <w:bottom w:val="none" w:sz="0" w:space="0" w:color="auto"/>
        <w:right w:val="none" w:sz="0" w:space="0" w:color="auto"/>
      </w:divBdr>
    </w:div>
    <w:div w:id="731730994">
      <w:bodyDiv w:val="1"/>
      <w:marLeft w:val="0"/>
      <w:marRight w:val="0"/>
      <w:marTop w:val="0"/>
      <w:marBottom w:val="0"/>
      <w:divBdr>
        <w:top w:val="none" w:sz="0" w:space="0" w:color="auto"/>
        <w:left w:val="none" w:sz="0" w:space="0" w:color="auto"/>
        <w:bottom w:val="none" w:sz="0" w:space="0" w:color="auto"/>
        <w:right w:val="none" w:sz="0" w:space="0" w:color="auto"/>
      </w:divBdr>
    </w:div>
    <w:div w:id="785780388">
      <w:bodyDiv w:val="1"/>
      <w:marLeft w:val="0"/>
      <w:marRight w:val="0"/>
      <w:marTop w:val="0"/>
      <w:marBottom w:val="0"/>
      <w:divBdr>
        <w:top w:val="none" w:sz="0" w:space="0" w:color="auto"/>
        <w:left w:val="none" w:sz="0" w:space="0" w:color="auto"/>
        <w:bottom w:val="none" w:sz="0" w:space="0" w:color="auto"/>
        <w:right w:val="none" w:sz="0" w:space="0" w:color="auto"/>
      </w:divBdr>
    </w:div>
    <w:div w:id="813327101">
      <w:bodyDiv w:val="1"/>
      <w:marLeft w:val="0"/>
      <w:marRight w:val="0"/>
      <w:marTop w:val="0"/>
      <w:marBottom w:val="0"/>
      <w:divBdr>
        <w:top w:val="none" w:sz="0" w:space="0" w:color="auto"/>
        <w:left w:val="none" w:sz="0" w:space="0" w:color="auto"/>
        <w:bottom w:val="none" w:sz="0" w:space="0" w:color="auto"/>
        <w:right w:val="none" w:sz="0" w:space="0" w:color="auto"/>
      </w:divBdr>
    </w:div>
    <w:div w:id="817763521">
      <w:bodyDiv w:val="1"/>
      <w:marLeft w:val="0"/>
      <w:marRight w:val="0"/>
      <w:marTop w:val="0"/>
      <w:marBottom w:val="0"/>
      <w:divBdr>
        <w:top w:val="none" w:sz="0" w:space="0" w:color="auto"/>
        <w:left w:val="none" w:sz="0" w:space="0" w:color="auto"/>
        <w:bottom w:val="none" w:sz="0" w:space="0" w:color="auto"/>
        <w:right w:val="none" w:sz="0" w:space="0" w:color="auto"/>
      </w:divBdr>
    </w:div>
    <w:div w:id="824470575">
      <w:bodyDiv w:val="1"/>
      <w:marLeft w:val="0"/>
      <w:marRight w:val="0"/>
      <w:marTop w:val="0"/>
      <w:marBottom w:val="0"/>
      <w:divBdr>
        <w:top w:val="none" w:sz="0" w:space="0" w:color="auto"/>
        <w:left w:val="none" w:sz="0" w:space="0" w:color="auto"/>
        <w:bottom w:val="none" w:sz="0" w:space="0" w:color="auto"/>
        <w:right w:val="none" w:sz="0" w:space="0" w:color="auto"/>
      </w:divBdr>
    </w:div>
    <w:div w:id="867061878">
      <w:bodyDiv w:val="1"/>
      <w:marLeft w:val="0"/>
      <w:marRight w:val="0"/>
      <w:marTop w:val="0"/>
      <w:marBottom w:val="0"/>
      <w:divBdr>
        <w:top w:val="none" w:sz="0" w:space="0" w:color="auto"/>
        <w:left w:val="none" w:sz="0" w:space="0" w:color="auto"/>
        <w:bottom w:val="none" w:sz="0" w:space="0" w:color="auto"/>
        <w:right w:val="none" w:sz="0" w:space="0" w:color="auto"/>
      </w:divBdr>
    </w:div>
    <w:div w:id="867260899">
      <w:bodyDiv w:val="1"/>
      <w:marLeft w:val="0"/>
      <w:marRight w:val="0"/>
      <w:marTop w:val="0"/>
      <w:marBottom w:val="0"/>
      <w:divBdr>
        <w:top w:val="none" w:sz="0" w:space="0" w:color="auto"/>
        <w:left w:val="none" w:sz="0" w:space="0" w:color="auto"/>
        <w:bottom w:val="none" w:sz="0" w:space="0" w:color="auto"/>
        <w:right w:val="none" w:sz="0" w:space="0" w:color="auto"/>
      </w:divBdr>
    </w:div>
    <w:div w:id="876503245">
      <w:bodyDiv w:val="1"/>
      <w:marLeft w:val="0"/>
      <w:marRight w:val="0"/>
      <w:marTop w:val="0"/>
      <w:marBottom w:val="0"/>
      <w:divBdr>
        <w:top w:val="none" w:sz="0" w:space="0" w:color="auto"/>
        <w:left w:val="none" w:sz="0" w:space="0" w:color="auto"/>
        <w:bottom w:val="none" w:sz="0" w:space="0" w:color="auto"/>
        <w:right w:val="none" w:sz="0" w:space="0" w:color="auto"/>
      </w:divBdr>
    </w:div>
    <w:div w:id="893538633">
      <w:bodyDiv w:val="1"/>
      <w:marLeft w:val="0"/>
      <w:marRight w:val="0"/>
      <w:marTop w:val="0"/>
      <w:marBottom w:val="0"/>
      <w:divBdr>
        <w:top w:val="none" w:sz="0" w:space="0" w:color="auto"/>
        <w:left w:val="none" w:sz="0" w:space="0" w:color="auto"/>
        <w:bottom w:val="none" w:sz="0" w:space="0" w:color="auto"/>
        <w:right w:val="none" w:sz="0" w:space="0" w:color="auto"/>
      </w:divBdr>
    </w:div>
    <w:div w:id="921835935">
      <w:bodyDiv w:val="1"/>
      <w:marLeft w:val="0"/>
      <w:marRight w:val="0"/>
      <w:marTop w:val="0"/>
      <w:marBottom w:val="0"/>
      <w:divBdr>
        <w:top w:val="none" w:sz="0" w:space="0" w:color="auto"/>
        <w:left w:val="none" w:sz="0" w:space="0" w:color="auto"/>
        <w:bottom w:val="none" w:sz="0" w:space="0" w:color="auto"/>
        <w:right w:val="none" w:sz="0" w:space="0" w:color="auto"/>
      </w:divBdr>
    </w:div>
    <w:div w:id="928201785">
      <w:bodyDiv w:val="1"/>
      <w:marLeft w:val="0"/>
      <w:marRight w:val="0"/>
      <w:marTop w:val="0"/>
      <w:marBottom w:val="0"/>
      <w:divBdr>
        <w:top w:val="none" w:sz="0" w:space="0" w:color="auto"/>
        <w:left w:val="none" w:sz="0" w:space="0" w:color="auto"/>
        <w:bottom w:val="none" w:sz="0" w:space="0" w:color="auto"/>
        <w:right w:val="none" w:sz="0" w:space="0" w:color="auto"/>
      </w:divBdr>
    </w:div>
    <w:div w:id="945622330">
      <w:marLeft w:val="0"/>
      <w:marRight w:val="0"/>
      <w:marTop w:val="0"/>
      <w:marBottom w:val="0"/>
      <w:divBdr>
        <w:top w:val="none" w:sz="0" w:space="0" w:color="auto"/>
        <w:left w:val="none" w:sz="0" w:space="0" w:color="auto"/>
        <w:bottom w:val="none" w:sz="0" w:space="0" w:color="auto"/>
        <w:right w:val="none" w:sz="0" w:space="0" w:color="auto"/>
      </w:divBdr>
      <w:divsChild>
        <w:div w:id="82998722">
          <w:marLeft w:val="0"/>
          <w:marRight w:val="0"/>
          <w:marTop w:val="0"/>
          <w:marBottom w:val="0"/>
          <w:divBdr>
            <w:top w:val="none" w:sz="0" w:space="0" w:color="auto"/>
            <w:left w:val="none" w:sz="0" w:space="0" w:color="auto"/>
            <w:bottom w:val="none" w:sz="0" w:space="0" w:color="auto"/>
            <w:right w:val="none" w:sz="0" w:space="0" w:color="auto"/>
          </w:divBdr>
          <w:divsChild>
            <w:div w:id="411704355">
              <w:marLeft w:val="0"/>
              <w:marRight w:val="0"/>
              <w:marTop w:val="0"/>
              <w:marBottom w:val="3360"/>
              <w:divBdr>
                <w:top w:val="none" w:sz="0" w:space="0" w:color="auto"/>
                <w:left w:val="none" w:sz="0" w:space="0" w:color="auto"/>
                <w:bottom w:val="none" w:sz="0" w:space="0" w:color="auto"/>
                <w:right w:val="none" w:sz="0" w:space="0" w:color="auto"/>
              </w:divBdr>
              <w:divsChild>
                <w:div w:id="155805644">
                  <w:marLeft w:val="0"/>
                  <w:marRight w:val="0"/>
                  <w:marTop w:val="60"/>
                  <w:marBottom w:val="60"/>
                  <w:divBdr>
                    <w:top w:val="single" w:sz="12" w:space="24" w:color="293F64"/>
                    <w:left w:val="single" w:sz="12" w:space="7" w:color="293F64"/>
                    <w:bottom w:val="single" w:sz="12" w:space="24" w:color="293F64"/>
                    <w:right w:val="single" w:sz="12" w:space="13" w:color="293F64"/>
                  </w:divBdr>
                </w:div>
              </w:divsChild>
            </w:div>
            <w:div w:id="847257283">
              <w:marLeft w:val="0"/>
              <w:marRight w:val="0"/>
              <w:marTop w:val="0"/>
              <w:marBottom w:val="0"/>
              <w:divBdr>
                <w:top w:val="none" w:sz="0" w:space="0" w:color="auto"/>
                <w:left w:val="none" w:sz="0" w:space="0" w:color="auto"/>
                <w:bottom w:val="none" w:sz="0" w:space="0" w:color="auto"/>
                <w:right w:val="none" w:sz="0" w:space="0" w:color="auto"/>
              </w:divBdr>
              <w:divsChild>
                <w:div w:id="705830899">
                  <w:marLeft w:val="0"/>
                  <w:marRight w:val="0"/>
                  <w:marTop w:val="0"/>
                  <w:marBottom w:val="0"/>
                  <w:divBdr>
                    <w:top w:val="single" w:sz="4" w:space="0" w:color="293F64"/>
                    <w:left w:val="single" w:sz="4" w:space="0" w:color="293F64"/>
                    <w:bottom w:val="single" w:sz="4" w:space="0" w:color="293F64"/>
                    <w:right w:val="single" w:sz="4" w:space="0" w:color="293F64"/>
                  </w:divBdr>
                </w:div>
              </w:divsChild>
            </w:div>
            <w:div w:id="874002590">
              <w:marLeft w:val="0"/>
              <w:marRight w:val="0"/>
              <w:marTop w:val="0"/>
              <w:marBottom w:val="0"/>
              <w:divBdr>
                <w:top w:val="none" w:sz="0" w:space="0" w:color="auto"/>
                <w:left w:val="none" w:sz="0" w:space="0" w:color="auto"/>
                <w:bottom w:val="none" w:sz="0" w:space="0" w:color="auto"/>
                <w:right w:val="none" w:sz="0" w:space="0" w:color="auto"/>
              </w:divBdr>
              <w:divsChild>
                <w:div w:id="355422355">
                  <w:marLeft w:val="0"/>
                  <w:marRight w:val="0"/>
                  <w:marTop w:val="0"/>
                  <w:marBottom w:val="0"/>
                  <w:divBdr>
                    <w:top w:val="none" w:sz="0" w:space="0" w:color="auto"/>
                    <w:left w:val="none" w:sz="0" w:space="0" w:color="auto"/>
                    <w:bottom w:val="none" w:sz="0" w:space="0" w:color="auto"/>
                    <w:right w:val="none" w:sz="0" w:space="0" w:color="auto"/>
                  </w:divBdr>
                  <w:divsChild>
                    <w:div w:id="134378578">
                      <w:marLeft w:val="0"/>
                      <w:marRight w:val="0"/>
                      <w:marTop w:val="0"/>
                      <w:marBottom w:val="0"/>
                      <w:divBdr>
                        <w:top w:val="none" w:sz="0" w:space="0" w:color="auto"/>
                        <w:left w:val="none" w:sz="0" w:space="0" w:color="auto"/>
                        <w:bottom w:val="none" w:sz="0" w:space="0" w:color="auto"/>
                        <w:right w:val="none" w:sz="0" w:space="0" w:color="auto"/>
                      </w:divBdr>
                    </w:div>
                  </w:divsChild>
                </w:div>
                <w:div w:id="1606964026">
                  <w:marLeft w:val="0"/>
                  <w:marRight w:val="0"/>
                  <w:marTop w:val="0"/>
                  <w:marBottom w:val="0"/>
                  <w:divBdr>
                    <w:top w:val="none" w:sz="0" w:space="0" w:color="auto"/>
                    <w:left w:val="none" w:sz="0" w:space="0" w:color="auto"/>
                    <w:bottom w:val="none" w:sz="0" w:space="0" w:color="auto"/>
                    <w:right w:val="none" w:sz="0" w:space="0" w:color="auto"/>
                  </w:divBdr>
                </w:div>
              </w:divsChild>
            </w:div>
            <w:div w:id="879050584">
              <w:marLeft w:val="0"/>
              <w:marRight w:val="0"/>
              <w:marTop w:val="0"/>
              <w:marBottom w:val="120"/>
              <w:divBdr>
                <w:top w:val="none" w:sz="0" w:space="0" w:color="auto"/>
                <w:left w:val="none" w:sz="0" w:space="0" w:color="auto"/>
                <w:bottom w:val="none" w:sz="0" w:space="0" w:color="auto"/>
                <w:right w:val="none" w:sz="0" w:space="0" w:color="auto"/>
              </w:divBdr>
              <w:divsChild>
                <w:div w:id="1977683517">
                  <w:marLeft w:val="135"/>
                  <w:marRight w:val="0"/>
                  <w:marTop w:val="240"/>
                  <w:marBottom w:val="0"/>
                  <w:divBdr>
                    <w:top w:val="none" w:sz="0" w:space="0" w:color="auto"/>
                    <w:left w:val="none" w:sz="0" w:space="0" w:color="auto"/>
                    <w:bottom w:val="none" w:sz="0" w:space="0" w:color="auto"/>
                    <w:right w:val="none" w:sz="0" w:space="0" w:color="auto"/>
                  </w:divBdr>
                </w:div>
              </w:divsChild>
            </w:div>
            <w:div w:id="2096974610">
              <w:marLeft w:val="0"/>
              <w:marRight w:val="0"/>
              <w:marTop w:val="0"/>
              <w:marBottom w:val="135"/>
              <w:divBdr>
                <w:top w:val="none" w:sz="0" w:space="0" w:color="auto"/>
                <w:left w:val="none" w:sz="0" w:space="0" w:color="auto"/>
                <w:bottom w:val="none" w:sz="0" w:space="0" w:color="auto"/>
                <w:right w:val="none" w:sz="0" w:space="0" w:color="auto"/>
              </w:divBdr>
              <w:divsChild>
                <w:div w:id="1013648338">
                  <w:marLeft w:val="0"/>
                  <w:marRight w:val="135"/>
                  <w:marTop w:val="0"/>
                  <w:marBottom w:val="0"/>
                  <w:divBdr>
                    <w:top w:val="single" w:sz="24" w:space="0" w:color="EA9217"/>
                    <w:left w:val="none" w:sz="0" w:space="0" w:color="EA9217"/>
                    <w:bottom w:val="none" w:sz="0" w:space="0" w:color="EA9217"/>
                    <w:right w:val="none" w:sz="0" w:space="0" w:color="EA9217"/>
                  </w:divBdr>
                </w:div>
                <w:div w:id="1444768313">
                  <w:marLeft w:val="0"/>
                  <w:marRight w:val="0"/>
                  <w:marTop w:val="0"/>
                  <w:marBottom w:val="1200"/>
                  <w:divBdr>
                    <w:top w:val="none" w:sz="0" w:space="0" w:color="auto"/>
                    <w:left w:val="none" w:sz="0" w:space="0" w:color="auto"/>
                    <w:bottom w:val="none" w:sz="0" w:space="0" w:color="auto"/>
                    <w:right w:val="none" w:sz="0" w:space="0" w:color="auto"/>
                  </w:divBdr>
                  <w:divsChild>
                    <w:div w:id="424426879">
                      <w:marLeft w:val="0"/>
                      <w:marRight w:val="0"/>
                      <w:marTop w:val="0"/>
                      <w:marBottom w:val="0"/>
                      <w:divBdr>
                        <w:top w:val="none" w:sz="0" w:space="0" w:color="auto"/>
                        <w:left w:val="none" w:sz="0" w:space="0" w:color="auto"/>
                        <w:bottom w:val="none" w:sz="0" w:space="0" w:color="auto"/>
                        <w:right w:val="none" w:sz="0" w:space="0" w:color="auto"/>
                      </w:divBdr>
                    </w:div>
                    <w:div w:id="434640683">
                      <w:marLeft w:val="0"/>
                      <w:marRight w:val="0"/>
                      <w:marTop w:val="1440"/>
                      <w:marBottom w:val="0"/>
                      <w:divBdr>
                        <w:top w:val="none" w:sz="0" w:space="0" w:color="auto"/>
                        <w:left w:val="none" w:sz="0" w:space="0" w:color="auto"/>
                        <w:bottom w:val="none" w:sz="0" w:space="0" w:color="auto"/>
                        <w:right w:val="none" w:sz="0" w:space="0" w:color="auto"/>
                      </w:divBdr>
                      <w:divsChild>
                        <w:div w:id="576288206">
                          <w:marLeft w:val="0"/>
                          <w:marRight w:val="0"/>
                          <w:marTop w:val="0"/>
                          <w:marBottom w:val="0"/>
                          <w:divBdr>
                            <w:top w:val="none" w:sz="0" w:space="0" w:color="auto"/>
                            <w:left w:val="none" w:sz="0" w:space="0" w:color="auto"/>
                            <w:bottom w:val="none" w:sz="0" w:space="0" w:color="auto"/>
                            <w:right w:val="none" w:sz="0" w:space="0" w:color="auto"/>
                          </w:divBdr>
                        </w:div>
                      </w:divsChild>
                    </w:div>
                    <w:div w:id="764493115">
                      <w:marLeft w:val="0"/>
                      <w:marRight w:val="0"/>
                      <w:marTop w:val="0"/>
                      <w:marBottom w:val="0"/>
                      <w:divBdr>
                        <w:top w:val="none" w:sz="0" w:space="0" w:color="auto"/>
                        <w:left w:val="none" w:sz="0" w:space="0" w:color="auto"/>
                        <w:bottom w:val="none" w:sz="0" w:space="0" w:color="auto"/>
                        <w:right w:val="none" w:sz="0" w:space="0" w:color="auto"/>
                      </w:divBdr>
                    </w:div>
                    <w:div w:id="1222210099">
                      <w:marLeft w:val="0"/>
                      <w:marRight w:val="0"/>
                      <w:marTop w:val="120"/>
                      <w:marBottom w:val="0"/>
                      <w:divBdr>
                        <w:top w:val="none" w:sz="0" w:space="0" w:color="auto"/>
                        <w:left w:val="none" w:sz="0" w:space="0" w:color="auto"/>
                        <w:bottom w:val="none" w:sz="0" w:space="0" w:color="auto"/>
                        <w:right w:val="none" w:sz="0" w:space="0" w:color="auto"/>
                      </w:divBdr>
                    </w:div>
                    <w:div w:id="186686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47469334">
      <w:bodyDiv w:val="1"/>
      <w:marLeft w:val="0"/>
      <w:marRight w:val="0"/>
      <w:marTop w:val="0"/>
      <w:marBottom w:val="0"/>
      <w:divBdr>
        <w:top w:val="none" w:sz="0" w:space="0" w:color="auto"/>
        <w:left w:val="none" w:sz="0" w:space="0" w:color="auto"/>
        <w:bottom w:val="none" w:sz="0" w:space="0" w:color="auto"/>
        <w:right w:val="none" w:sz="0" w:space="0" w:color="auto"/>
      </w:divBdr>
    </w:div>
    <w:div w:id="997077167">
      <w:bodyDiv w:val="1"/>
      <w:marLeft w:val="0"/>
      <w:marRight w:val="0"/>
      <w:marTop w:val="0"/>
      <w:marBottom w:val="0"/>
      <w:divBdr>
        <w:top w:val="none" w:sz="0" w:space="0" w:color="auto"/>
        <w:left w:val="none" w:sz="0" w:space="0" w:color="auto"/>
        <w:bottom w:val="none" w:sz="0" w:space="0" w:color="auto"/>
        <w:right w:val="none" w:sz="0" w:space="0" w:color="auto"/>
      </w:divBdr>
    </w:div>
    <w:div w:id="1021707381">
      <w:bodyDiv w:val="1"/>
      <w:marLeft w:val="0"/>
      <w:marRight w:val="0"/>
      <w:marTop w:val="0"/>
      <w:marBottom w:val="0"/>
      <w:divBdr>
        <w:top w:val="none" w:sz="0" w:space="0" w:color="auto"/>
        <w:left w:val="none" w:sz="0" w:space="0" w:color="auto"/>
        <w:bottom w:val="none" w:sz="0" w:space="0" w:color="auto"/>
        <w:right w:val="none" w:sz="0" w:space="0" w:color="auto"/>
      </w:divBdr>
    </w:div>
    <w:div w:id="1037047222">
      <w:bodyDiv w:val="1"/>
      <w:marLeft w:val="0"/>
      <w:marRight w:val="0"/>
      <w:marTop w:val="0"/>
      <w:marBottom w:val="0"/>
      <w:divBdr>
        <w:top w:val="none" w:sz="0" w:space="0" w:color="auto"/>
        <w:left w:val="none" w:sz="0" w:space="0" w:color="auto"/>
        <w:bottom w:val="none" w:sz="0" w:space="0" w:color="auto"/>
        <w:right w:val="none" w:sz="0" w:space="0" w:color="auto"/>
      </w:divBdr>
    </w:div>
    <w:div w:id="1054501113">
      <w:bodyDiv w:val="1"/>
      <w:marLeft w:val="0"/>
      <w:marRight w:val="0"/>
      <w:marTop w:val="0"/>
      <w:marBottom w:val="0"/>
      <w:divBdr>
        <w:top w:val="none" w:sz="0" w:space="0" w:color="auto"/>
        <w:left w:val="none" w:sz="0" w:space="0" w:color="auto"/>
        <w:bottom w:val="none" w:sz="0" w:space="0" w:color="auto"/>
        <w:right w:val="none" w:sz="0" w:space="0" w:color="auto"/>
      </w:divBdr>
    </w:div>
    <w:div w:id="1157070566">
      <w:bodyDiv w:val="1"/>
      <w:marLeft w:val="0"/>
      <w:marRight w:val="0"/>
      <w:marTop w:val="0"/>
      <w:marBottom w:val="0"/>
      <w:divBdr>
        <w:top w:val="none" w:sz="0" w:space="0" w:color="auto"/>
        <w:left w:val="none" w:sz="0" w:space="0" w:color="auto"/>
        <w:bottom w:val="none" w:sz="0" w:space="0" w:color="auto"/>
        <w:right w:val="none" w:sz="0" w:space="0" w:color="auto"/>
      </w:divBdr>
    </w:div>
    <w:div w:id="1159228218">
      <w:bodyDiv w:val="1"/>
      <w:marLeft w:val="0"/>
      <w:marRight w:val="0"/>
      <w:marTop w:val="0"/>
      <w:marBottom w:val="0"/>
      <w:divBdr>
        <w:top w:val="none" w:sz="0" w:space="0" w:color="auto"/>
        <w:left w:val="none" w:sz="0" w:space="0" w:color="auto"/>
        <w:bottom w:val="none" w:sz="0" w:space="0" w:color="auto"/>
        <w:right w:val="none" w:sz="0" w:space="0" w:color="auto"/>
      </w:divBdr>
    </w:div>
    <w:div w:id="1215847423">
      <w:bodyDiv w:val="1"/>
      <w:marLeft w:val="0"/>
      <w:marRight w:val="0"/>
      <w:marTop w:val="0"/>
      <w:marBottom w:val="0"/>
      <w:divBdr>
        <w:top w:val="none" w:sz="0" w:space="0" w:color="auto"/>
        <w:left w:val="none" w:sz="0" w:space="0" w:color="auto"/>
        <w:bottom w:val="none" w:sz="0" w:space="0" w:color="auto"/>
        <w:right w:val="none" w:sz="0" w:space="0" w:color="auto"/>
      </w:divBdr>
    </w:div>
    <w:div w:id="1234119320">
      <w:bodyDiv w:val="1"/>
      <w:marLeft w:val="0"/>
      <w:marRight w:val="0"/>
      <w:marTop w:val="0"/>
      <w:marBottom w:val="0"/>
      <w:divBdr>
        <w:top w:val="none" w:sz="0" w:space="0" w:color="auto"/>
        <w:left w:val="none" w:sz="0" w:space="0" w:color="auto"/>
        <w:bottom w:val="none" w:sz="0" w:space="0" w:color="auto"/>
        <w:right w:val="none" w:sz="0" w:space="0" w:color="auto"/>
      </w:divBdr>
    </w:div>
    <w:div w:id="1258978014">
      <w:bodyDiv w:val="1"/>
      <w:marLeft w:val="0"/>
      <w:marRight w:val="0"/>
      <w:marTop w:val="0"/>
      <w:marBottom w:val="0"/>
      <w:divBdr>
        <w:top w:val="none" w:sz="0" w:space="0" w:color="auto"/>
        <w:left w:val="none" w:sz="0" w:space="0" w:color="auto"/>
        <w:bottom w:val="none" w:sz="0" w:space="0" w:color="auto"/>
        <w:right w:val="none" w:sz="0" w:space="0" w:color="auto"/>
      </w:divBdr>
    </w:div>
    <w:div w:id="1342974800">
      <w:bodyDiv w:val="1"/>
      <w:marLeft w:val="0"/>
      <w:marRight w:val="0"/>
      <w:marTop w:val="0"/>
      <w:marBottom w:val="0"/>
      <w:divBdr>
        <w:top w:val="none" w:sz="0" w:space="0" w:color="auto"/>
        <w:left w:val="none" w:sz="0" w:space="0" w:color="auto"/>
        <w:bottom w:val="none" w:sz="0" w:space="0" w:color="auto"/>
        <w:right w:val="none" w:sz="0" w:space="0" w:color="auto"/>
      </w:divBdr>
    </w:div>
    <w:div w:id="1371491288">
      <w:bodyDiv w:val="1"/>
      <w:marLeft w:val="0"/>
      <w:marRight w:val="0"/>
      <w:marTop w:val="0"/>
      <w:marBottom w:val="0"/>
      <w:divBdr>
        <w:top w:val="none" w:sz="0" w:space="0" w:color="auto"/>
        <w:left w:val="none" w:sz="0" w:space="0" w:color="auto"/>
        <w:bottom w:val="none" w:sz="0" w:space="0" w:color="auto"/>
        <w:right w:val="none" w:sz="0" w:space="0" w:color="auto"/>
      </w:divBdr>
    </w:div>
    <w:div w:id="1372461808">
      <w:bodyDiv w:val="1"/>
      <w:marLeft w:val="0"/>
      <w:marRight w:val="0"/>
      <w:marTop w:val="0"/>
      <w:marBottom w:val="0"/>
      <w:divBdr>
        <w:top w:val="none" w:sz="0" w:space="0" w:color="auto"/>
        <w:left w:val="none" w:sz="0" w:space="0" w:color="auto"/>
        <w:bottom w:val="none" w:sz="0" w:space="0" w:color="auto"/>
        <w:right w:val="none" w:sz="0" w:space="0" w:color="auto"/>
      </w:divBdr>
    </w:div>
    <w:div w:id="1376202729">
      <w:bodyDiv w:val="1"/>
      <w:marLeft w:val="0"/>
      <w:marRight w:val="0"/>
      <w:marTop w:val="0"/>
      <w:marBottom w:val="0"/>
      <w:divBdr>
        <w:top w:val="none" w:sz="0" w:space="0" w:color="auto"/>
        <w:left w:val="none" w:sz="0" w:space="0" w:color="auto"/>
        <w:bottom w:val="none" w:sz="0" w:space="0" w:color="auto"/>
        <w:right w:val="none" w:sz="0" w:space="0" w:color="auto"/>
      </w:divBdr>
    </w:div>
    <w:div w:id="1384863516">
      <w:bodyDiv w:val="1"/>
      <w:marLeft w:val="0"/>
      <w:marRight w:val="0"/>
      <w:marTop w:val="0"/>
      <w:marBottom w:val="0"/>
      <w:divBdr>
        <w:top w:val="none" w:sz="0" w:space="0" w:color="auto"/>
        <w:left w:val="none" w:sz="0" w:space="0" w:color="auto"/>
        <w:bottom w:val="none" w:sz="0" w:space="0" w:color="auto"/>
        <w:right w:val="none" w:sz="0" w:space="0" w:color="auto"/>
      </w:divBdr>
    </w:div>
    <w:div w:id="1405301315">
      <w:bodyDiv w:val="1"/>
      <w:marLeft w:val="0"/>
      <w:marRight w:val="0"/>
      <w:marTop w:val="0"/>
      <w:marBottom w:val="0"/>
      <w:divBdr>
        <w:top w:val="none" w:sz="0" w:space="0" w:color="auto"/>
        <w:left w:val="none" w:sz="0" w:space="0" w:color="auto"/>
        <w:bottom w:val="none" w:sz="0" w:space="0" w:color="auto"/>
        <w:right w:val="none" w:sz="0" w:space="0" w:color="auto"/>
      </w:divBdr>
    </w:div>
    <w:div w:id="1407262101">
      <w:bodyDiv w:val="1"/>
      <w:marLeft w:val="0"/>
      <w:marRight w:val="0"/>
      <w:marTop w:val="0"/>
      <w:marBottom w:val="0"/>
      <w:divBdr>
        <w:top w:val="none" w:sz="0" w:space="0" w:color="auto"/>
        <w:left w:val="none" w:sz="0" w:space="0" w:color="auto"/>
        <w:bottom w:val="none" w:sz="0" w:space="0" w:color="auto"/>
        <w:right w:val="none" w:sz="0" w:space="0" w:color="auto"/>
      </w:divBdr>
    </w:div>
    <w:div w:id="1407458567">
      <w:bodyDiv w:val="1"/>
      <w:marLeft w:val="0"/>
      <w:marRight w:val="0"/>
      <w:marTop w:val="0"/>
      <w:marBottom w:val="0"/>
      <w:divBdr>
        <w:top w:val="none" w:sz="0" w:space="0" w:color="auto"/>
        <w:left w:val="none" w:sz="0" w:space="0" w:color="auto"/>
        <w:bottom w:val="none" w:sz="0" w:space="0" w:color="auto"/>
        <w:right w:val="none" w:sz="0" w:space="0" w:color="auto"/>
      </w:divBdr>
    </w:div>
    <w:div w:id="1414429449">
      <w:bodyDiv w:val="1"/>
      <w:marLeft w:val="0"/>
      <w:marRight w:val="0"/>
      <w:marTop w:val="0"/>
      <w:marBottom w:val="0"/>
      <w:divBdr>
        <w:top w:val="none" w:sz="0" w:space="0" w:color="auto"/>
        <w:left w:val="none" w:sz="0" w:space="0" w:color="auto"/>
        <w:bottom w:val="none" w:sz="0" w:space="0" w:color="auto"/>
        <w:right w:val="none" w:sz="0" w:space="0" w:color="auto"/>
      </w:divBdr>
    </w:div>
    <w:div w:id="1447459495">
      <w:bodyDiv w:val="1"/>
      <w:marLeft w:val="0"/>
      <w:marRight w:val="0"/>
      <w:marTop w:val="0"/>
      <w:marBottom w:val="0"/>
      <w:divBdr>
        <w:top w:val="none" w:sz="0" w:space="0" w:color="auto"/>
        <w:left w:val="none" w:sz="0" w:space="0" w:color="auto"/>
        <w:bottom w:val="none" w:sz="0" w:space="0" w:color="auto"/>
        <w:right w:val="none" w:sz="0" w:space="0" w:color="auto"/>
      </w:divBdr>
    </w:div>
    <w:div w:id="1462460151">
      <w:bodyDiv w:val="1"/>
      <w:marLeft w:val="0"/>
      <w:marRight w:val="0"/>
      <w:marTop w:val="0"/>
      <w:marBottom w:val="0"/>
      <w:divBdr>
        <w:top w:val="none" w:sz="0" w:space="0" w:color="auto"/>
        <w:left w:val="none" w:sz="0" w:space="0" w:color="auto"/>
        <w:bottom w:val="none" w:sz="0" w:space="0" w:color="auto"/>
        <w:right w:val="none" w:sz="0" w:space="0" w:color="auto"/>
      </w:divBdr>
    </w:div>
    <w:div w:id="1463766749">
      <w:bodyDiv w:val="1"/>
      <w:marLeft w:val="0"/>
      <w:marRight w:val="0"/>
      <w:marTop w:val="0"/>
      <w:marBottom w:val="0"/>
      <w:divBdr>
        <w:top w:val="none" w:sz="0" w:space="0" w:color="auto"/>
        <w:left w:val="none" w:sz="0" w:space="0" w:color="auto"/>
        <w:bottom w:val="none" w:sz="0" w:space="0" w:color="auto"/>
        <w:right w:val="none" w:sz="0" w:space="0" w:color="auto"/>
      </w:divBdr>
    </w:div>
    <w:div w:id="1512456153">
      <w:bodyDiv w:val="1"/>
      <w:marLeft w:val="0"/>
      <w:marRight w:val="0"/>
      <w:marTop w:val="0"/>
      <w:marBottom w:val="0"/>
      <w:divBdr>
        <w:top w:val="none" w:sz="0" w:space="0" w:color="auto"/>
        <w:left w:val="none" w:sz="0" w:space="0" w:color="auto"/>
        <w:bottom w:val="none" w:sz="0" w:space="0" w:color="auto"/>
        <w:right w:val="none" w:sz="0" w:space="0" w:color="auto"/>
      </w:divBdr>
    </w:div>
    <w:div w:id="1600680737">
      <w:bodyDiv w:val="1"/>
      <w:marLeft w:val="0"/>
      <w:marRight w:val="0"/>
      <w:marTop w:val="0"/>
      <w:marBottom w:val="0"/>
      <w:divBdr>
        <w:top w:val="none" w:sz="0" w:space="0" w:color="auto"/>
        <w:left w:val="none" w:sz="0" w:space="0" w:color="auto"/>
        <w:bottom w:val="none" w:sz="0" w:space="0" w:color="auto"/>
        <w:right w:val="none" w:sz="0" w:space="0" w:color="auto"/>
      </w:divBdr>
    </w:div>
    <w:div w:id="1616060030">
      <w:bodyDiv w:val="1"/>
      <w:marLeft w:val="0"/>
      <w:marRight w:val="0"/>
      <w:marTop w:val="0"/>
      <w:marBottom w:val="0"/>
      <w:divBdr>
        <w:top w:val="none" w:sz="0" w:space="0" w:color="auto"/>
        <w:left w:val="none" w:sz="0" w:space="0" w:color="auto"/>
        <w:bottom w:val="none" w:sz="0" w:space="0" w:color="auto"/>
        <w:right w:val="none" w:sz="0" w:space="0" w:color="auto"/>
      </w:divBdr>
    </w:div>
    <w:div w:id="1639988111">
      <w:bodyDiv w:val="1"/>
      <w:marLeft w:val="0"/>
      <w:marRight w:val="0"/>
      <w:marTop w:val="0"/>
      <w:marBottom w:val="0"/>
      <w:divBdr>
        <w:top w:val="none" w:sz="0" w:space="0" w:color="auto"/>
        <w:left w:val="none" w:sz="0" w:space="0" w:color="auto"/>
        <w:bottom w:val="none" w:sz="0" w:space="0" w:color="auto"/>
        <w:right w:val="none" w:sz="0" w:space="0" w:color="auto"/>
      </w:divBdr>
    </w:div>
    <w:div w:id="1702854490">
      <w:bodyDiv w:val="1"/>
      <w:marLeft w:val="0"/>
      <w:marRight w:val="0"/>
      <w:marTop w:val="0"/>
      <w:marBottom w:val="0"/>
      <w:divBdr>
        <w:top w:val="none" w:sz="0" w:space="0" w:color="auto"/>
        <w:left w:val="none" w:sz="0" w:space="0" w:color="auto"/>
        <w:bottom w:val="none" w:sz="0" w:space="0" w:color="auto"/>
        <w:right w:val="none" w:sz="0" w:space="0" w:color="auto"/>
      </w:divBdr>
    </w:div>
    <w:div w:id="1705977929">
      <w:bodyDiv w:val="1"/>
      <w:marLeft w:val="0"/>
      <w:marRight w:val="0"/>
      <w:marTop w:val="0"/>
      <w:marBottom w:val="0"/>
      <w:divBdr>
        <w:top w:val="none" w:sz="0" w:space="0" w:color="auto"/>
        <w:left w:val="none" w:sz="0" w:space="0" w:color="auto"/>
        <w:bottom w:val="none" w:sz="0" w:space="0" w:color="auto"/>
        <w:right w:val="none" w:sz="0" w:space="0" w:color="auto"/>
      </w:divBdr>
    </w:div>
    <w:div w:id="1722094658">
      <w:bodyDiv w:val="1"/>
      <w:marLeft w:val="0"/>
      <w:marRight w:val="0"/>
      <w:marTop w:val="0"/>
      <w:marBottom w:val="0"/>
      <w:divBdr>
        <w:top w:val="none" w:sz="0" w:space="0" w:color="auto"/>
        <w:left w:val="none" w:sz="0" w:space="0" w:color="auto"/>
        <w:bottom w:val="none" w:sz="0" w:space="0" w:color="auto"/>
        <w:right w:val="none" w:sz="0" w:space="0" w:color="auto"/>
      </w:divBdr>
    </w:div>
    <w:div w:id="1731726136">
      <w:bodyDiv w:val="1"/>
      <w:marLeft w:val="0"/>
      <w:marRight w:val="0"/>
      <w:marTop w:val="0"/>
      <w:marBottom w:val="0"/>
      <w:divBdr>
        <w:top w:val="none" w:sz="0" w:space="0" w:color="auto"/>
        <w:left w:val="none" w:sz="0" w:space="0" w:color="auto"/>
        <w:bottom w:val="none" w:sz="0" w:space="0" w:color="auto"/>
        <w:right w:val="none" w:sz="0" w:space="0" w:color="auto"/>
      </w:divBdr>
    </w:div>
    <w:div w:id="1736464911">
      <w:bodyDiv w:val="1"/>
      <w:marLeft w:val="0"/>
      <w:marRight w:val="0"/>
      <w:marTop w:val="0"/>
      <w:marBottom w:val="0"/>
      <w:divBdr>
        <w:top w:val="none" w:sz="0" w:space="0" w:color="auto"/>
        <w:left w:val="none" w:sz="0" w:space="0" w:color="auto"/>
        <w:bottom w:val="none" w:sz="0" w:space="0" w:color="auto"/>
        <w:right w:val="none" w:sz="0" w:space="0" w:color="auto"/>
      </w:divBdr>
    </w:div>
    <w:div w:id="1751610768">
      <w:bodyDiv w:val="1"/>
      <w:marLeft w:val="0"/>
      <w:marRight w:val="0"/>
      <w:marTop w:val="0"/>
      <w:marBottom w:val="0"/>
      <w:divBdr>
        <w:top w:val="none" w:sz="0" w:space="0" w:color="auto"/>
        <w:left w:val="none" w:sz="0" w:space="0" w:color="auto"/>
        <w:bottom w:val="none" w:sz="0" w:space="0" w:color="auto"/>
        <w:right w:val="none" w:sz="0" w:space="0" w:color="auto"/>
      </w:divBdr>
    </w:div>
    <w:div w:id="1764646700">
      <w:bodyDiv w:val="1"/>
      <w:marLeft w:val="0"/>
      <w:marRight w:val="0"/>
      <w:marTop w:val="0"/>
      <w:marBottom w:val="0"/>
      <w:divBdr>
        <w:top w:val="none" w:sz="0" w:space="0" w:color="auto"/>
        <w:left w:val="none" w:sz="0" w:space="0" w:color="auto"/>
        <w:bottom w:val="none" w:sz="0" w:space="0" w:color="auto"/>
        <w:right w:val="none" w:sz="0" w:space="0" w:color="auto"/>
      </w:divBdr>
    </w:div>
    <w:div w:id="1784228909">
      <w:bodyDiv w:val="1"/>
      <w:marLeft w:val="0"/>
      <w:marRight w:val="0"/>
      <w:marTop w:val="0"/>
      <w:marBottom w:val="0"/>
      <w:divBdr>
        <w:top w:val="none" w:sz="0" w:space="0" w:color="auto"/>
        <w:left w:val="none" w:sz="0" w:space="0" w:color="auto"/>
        <w:bottom w:val="none" w:sz="0" w:space="0" w:color="auto"/>
        <w:right w:val="none" w:sz="0" w:space="0" w:color="auto"/>
      </w:divBdr>
    </w:div>
    <w:div w:id="1822187157">
      <w:bodyDiv w:val="1"/>
      <w:marLeft w:val="0"/>
      <w:marRight w:val="0"/>
      <w:marTop w:val="0"/>
      <w:marBottom w:val="0"/>
      <w:divBdr>
        <w:top w:val="none" w:sz="0" w:space="0" w:color="auto"/>
        <w:left w:val="none" w:sz="0" w:space="0" w:color="auto"/>
        <w:bottom w:val="none" w:sz="0" w:space="0" w:color="auto"/>
        <w:right w:val="none" w:sz="0" w:space="0" w:color="auto"/>
      </w:divBdr>
    </w:div>
    <w:div w:id="1831671210">
      <w:bodyDiv w:val="1"/>
      <w:marLeft w:val="0"/>
      <w:marRight w:val="0"/>
      <w:marTop w:val="0"/>
      <w:marBottom w:val="0"/>
      <w:divBdr>
        <w:top w:val="none" w:sz="0" w:space="0" w:color="auto"/>
        <w:left w:val="none" w:sz="0" w:space="0" w:color="auto"/>
        <w:bottom w:val="none" w:sz="0" w:space="0" w:color="auto"/>
        <w:right w:val="none" w:sz="0" w:space="0" w:color="auto"/>
      </w:divBdr>
    </w:div>
    <w:div w:id="1835681179">
      <w:bodyDiv w:val="1"/>
      <w:marLeft w:val="0"/>
      <w:marRight w:val="0"/>
      <w:marTop w:val="0"/>
      <w:marBottom w:val="0"/>
      <w:divBdr>
        <w:top w:val="none" w:sz="0" w:space="0" w:color="auto"/>
        <w:left w:val="none" w:sz="0" w:space="0" w:color="auto"/>
        <w:bottom w:val="none" w:sz="0" w:space="0" w:color="auto"/>
        <w:right w:val="none" w:sz="0" w:space="0" w:color="auto"/>
      </w:divBdr>
    </w:div>
    <w:div w:id="1894541017">
      <w:bodyDiv w:val="1"/>
      <w:marLeft w:val="0"/>
      <w:marRight w:val="0"/>
      <w:marTop w:val="0"/>
      <w:marBottom w:val="0"/>
      <w:divBdr>
        <w:top w:val="none" w:sz="0" w:space="0" w:color="auto"/>
        <w:left w:val="none" w:sz="0" w:space="0" w:color="auto"/>
        <w:bottom w:val="none" w:sz="0" w:space="0" w:color="auto"/>
        <w:right w:val="none" w:sz="0" w:space="0" w:color="auto"/>
      </w:divBdr>
    </w:div>
    <w:div w:id="1894847856">
      <w:bodyDiv w:val="1"/>
      <w:marLeft w:val="0"/>
      <w:marRight w:val="0"/>
      <w:marTop w:val="0"/>
      <w:marBottom w:val="0"/>
      <w:divBdr>
        <w:top w:val="none" w:sz="0" w:space="0" w:color="auto"/>
        <w:left w:val="none" w:sz="0" w:space="0" w:color="auto"/>
        <w:bottom w:val="none" w:sz="0" w:space="0" w:color="auto"/>
        <w:right w:val="none" w:sz="0" w:space="0" w:color="auto"/>
      </w:divBdr>
    </w:div>
    <w:div w:id="1918049953">
      <w:bodyDiv w:val="1"/>
      <w:marLeft w:val="0"/>
      <w:marRight w:val="0"/>
      <w:marTop w:val="0"/>
      <w:marBottom w:val="0"/>
      <w:divBdr>
        <w:top w:val="none" w:sz="0" w:space="0" w:color="auto"/>
        <w:left w:val="none" w:sz="0" w:space="0" w:color="auto"/>
        <w:bottom w:val="none" w:sz="0" w:space="0" w:color="auto"/>
        <w:right w:val="none" w:sz="0" w:space="0" w:color="auto"/>
      </w:divBdr>
    </w:div>
    <w:div w:id="1927112218">
      <w:bodyDiv w:val="1"/>
      <w:marLeft w:val="0"/>
      <w:marRight w:val="0"/>
      <w:marTop w:val="0"/>
      <w:marBottom w:val="0"/>
      <w:divBdr>
        <w:top w:val="none" w:sz="0" w:space="0" w:color="auto"/>
        <w:left w:val="none" w:sz="0" w:space="0" w:color="auto"/>
        <w:bottom w:val="none" w:sz="0" w:space="0" w:color="auto"/>
        <w:right w:val="none" w:sz="0" w:space="0" w:color="auto"/>
      </w:divBdr>
    </w:div>
    <w:div w:id="1932808879">
      <w:bodyDiv w:val="1"/>
      <w:marLeft w:val="0"/>
      <w:marRight w:val="0"/>
      <w:marTop w:val="0"/>
      <w:marBottom w:val="0"/>
      <w:divBdr>
        <w:top w:val="none" w:sz="0" w:space="0" w:color="auto"/>
        <w:left w:val="none" w:sz="0" w:space="0" w:color="auto"/>
        <w:bottom w:val="none" w:sz="0" w:space="0" w:color="auto"/>
        <w:right w:val="none" w:sz="0" w:space="0" w:color="auto"/>
      </w:divBdr>
    </w:div>
    <w:div w:id="1960605215">
      <w:bodyDiv w:val="1"/>
      <w:marLeft w:val="0"/>
      <w:marRight w:val="0"/>
      <w:marTop w:val="0"/>
      <w:marBottom w:val="0"/>
      <w:divBdr>
        <w:top w:val="none" w:sz="0" w:space="0" w:color="auto"/>
        <w:left w:val="none" w:sz="0" w:space="0" w:color="auto"/>
        <w:bottom w:val="none" w:sz="0" w:space="0" w:color="auto"/>
        <w:right w:val="none" w:sz="0" w:space="0" w:color="auto"/>
      </w:divBdr>
    </w:div>
    <w:div w:id="1972441430">
      <w:bodyDiv w:val="1"/>
      <w:marLeft w:val="0"/>
      <w:marRight w:val="0"/>
      <w:marTop w:val="0"/>
      <w:marBottom w:val="0"/>
      <w:divBdr>
        <w:top w:val="none" w:sz="0" w:space="0" w:color="auto"/>
        <w:left w:val="none" w:sz="0" w:space="0" w:color="auto"/>
        <w:bottom w:val="none" w:sz="0" w:space="0" w:color="auto"/>
        <w:right w:val="none" w:sz="0" w:space="0" w:color="auto"/>
      </w:divBdr>
    </w:div>
    <w:div w:id="1972780593">
      <w:bodyDiv w:val="1"/>
      <w:marLeft w:val="0"/>
      <w:marRight w:val="0"/>
      <w:marTop w:val="0"/>
      <w:marBottom w:val="0"/>
      <w:divBdr>
        <w:top w:val="none" w:sz="0" w:space="0" w:color="auto"/>
        <w:left w:val="none" w:sz="0" w:space="0" w:color="auto"/>
        <w:bottom w:val="none" w:sz="0" w:space="0" w:color="auto"/>
        <w:right w:val="none" w:sz="0" w:space="0" w:color="auto"/>
      </w:divBdr>
    </w:div>
    <w:div w:id="1993482737">
      <w:bodyDiv w:val="1"/>
      <w:marLeft w:val="0"/>
      <w:marRight w:val="0"/>
      <w:marTop w:val="0"/>
      <w:marBottom w:val="0"/>
      <w:divBdr>
        <w:top w:val="none" w:sz="0" w:space="0" w:color="auto"/>
        <w:left w:val="none" w:sz="0" w:space="0" w:color="auto"/>
        <w:bottom w:val="none" w:sz="0" w:space="0" w:color="auto"/>
        <w:right w:val="none" w:sz="0" w:space="0" w:color="auto"/>
      </w:divBdr>
    </w:div>
    <w:div w:id="2020965488">
      <w:bodyDiv w:val="1"/>
      <w:marLeft w:val="0"/>
      <w:marRight w:val="0"/>
      <w:marTop w:val="0"/>
      <w:marBottom w:val="0"/>
      <w:divBdr>
        <w:top w:val="none" w:sz="0" w:space="0" w:color="auto"/>
        <w:left w:val="none" w:sz="0" w:space="0" w:color="auto"/>
        <w:bottom w:val="none" w:sz="0" w:space="0" w:color="auto"/>
        <w:right w:val="none" w:sz="0" w:space="0" w:color="auto"/>
      </w:divBdr>
    </w:div>
    <w:div w:id="2023582220">
      <w:bodyDiv w:val="1"/>
      <w:marLeft w:val="0"/>
      <w:marRight w:val="0"/>
      <w:marTop w:val="0"/>
      <w:marBottom w:val="0"/>
      <w:divBdr>
        <w:top w:val="none" w:sz="0" w:space="0" w:color="auto"/>
        <w:left w:val="none" w:sz="0" w:space="0" w:color="auto"/>
        <w:bottom w:val="none" w:sz="0" w:space="0" w:color="auto"/>
        <w:right w:val="none" w:sz="0" w:space="0" w:color="auto"/>
      </w:divBdr>
    </w:div>
    <w:div w:id="2023896387">
      <w:bodyDiv w:val="1"/>
      <w:marLeft w:val="0"/>
      <w:marRight w:val="0"/>
      <w:marTop w:val="0"/>
      <w:marBottom w:val="0"/>
      <w:divBdr>
        <w:top w:val="none" w:sz="0" w:space="0" w:color="auto"/>
        <w:left w:val="none" w:sz="0" w:space="0" w:color="auto"/>
        <w:bottom w:val="none" w:sz="0" w:space="0" w:color="auto"/>
        <w:right w:val="none" w:sz="0" w:space="0" w:color="auto"/>
      </w:divBdr>
    </w:div>
    <w:div w:id="2051104457">
      <w:bodyDiv w:val="1"/>
      <w:marLeft w:val="0"/>
      <w:marRight w:val="0"/>
      <w:marTop w:val="0"/>
      <w:marBottom w:val="0"/>
      <w:divBdr>
        <w:top w:val="none" w:sz="0" w:space="0" w:color="auto"/>
        <w:left w:val="none" w:sz="0" w:space="0" w:color="auto"/>
        <w:bottom w:val="none" w:sz="0" w:space="0" w:color="auto"/>
        <w:right w:val="none" w:sz="0" w:space="0" w:color="auto"/>
      </w:divBdr>
    </w:div>
    <w:div w:id="20936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se-cst.gc.ca/en/publication/itsg-33"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se-cst.gc.ca/en/publication/itsg-33" TargetMode="Externa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se-cst.gc.ca/en/publication/itsg-33" TargetMode="External"/><Relationship Id="rId28" Type="http://schemas.openxmlformats.org/officeDocument/2006/relationships/hyperlink" Target="https://www.canada.ca/en/treasury-board-secretariat/services/information-technology/cloud-computing/government-canada-security-control-profile-cloud-based-it-services.html"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gcpedia.gc.ca/gcwiki/images/c/c7/GC_Cloud_Security_Risk_Management_Approach_and_Procedures_-_EN.pdf" TargetMode="External"/><Relationship Id="rId27" Type="http://schemas.openxmlformats.org/officeDocument/2006/relationships/image" Target="media/image5.jpeg"/><Relationship Id="rId30" Type="http://schemas.openxmlformats.org/officeDocument/2006/relationships/image" Target="media/image7.svg"/><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2006">
  <b:Source>
    <b:Tag>Tre15</b:Tag>
    <b:SourceType>Report</b:SourceType>
    <b:Guid>{7E112E1A-5409-4120-B743-FBDF8E8C31C6}</b:Guid>
    <b:Title>GC Cloud Adoption Strategy</b:Title>
    <b:Year>DRAFT, December 2015</b:Year>
    <b:Author>
      <b:Author>
        <b:Corporate>Treasury Board of Canada Secretariat</b:Corporate>
      </b:Author>
    </b:Author>
    <b:RefOrder>7</b:RefOrder>
  </b:Source>
  <b:Source>
    <b:Tag>Com12</b:Tag>
    <b:SourceType>Report</b:SourceType>
    <b:Guid>{ADCF4520-9989-4AB8-870A-43D3CD9C3D50}</b:Guid>
    <b:Author>
      <b:Author>
        <b:Corporate>Communications Security Establishment (CSE)</b:Corporate>
      </b:Author>
    </b:Author>
    <b:Title>IT Security Risk Management: A Lifecycle Approach (ITSG-33)</b:Title>
    <b:Year>November 2012</b:Year>
    <b:StandardNumber>TITITIT</b:StandardNumber>
    <b:RefOrder>3</b:RefOrder>
  </b:Source>
  <b:Source>
    <b:Tag>Tre16</b:Tag>
    <b:SourceType>Report</b:SourceType>
    <b:Guid>{A07BCF41-F5C9-45DC-B51F-DFDB1491698C}</b:Guid>
    <b:Author>
      <b:Author>
        <b:Corporate>Treasury Board of Canada Secretariat</b:Corporate>
      </b:Author>
    </b:Author>
    <b:Title>GC Security Control Profile for Cloud-based IT Services - PBMM</b:Title>
    <b:Year>November 2016</b:Year>
    <b:RefOrder>6</b:RefOrder>
  </b:Source>
  <b:Source>
    <b:Tag>Nat292</b:Tag>
    <b:SourceType>Report</b:SourceType>
    <b:Guid>{587C8AB4-ECAC-4777-9556-101A3F1DBFE8}</b:Guid>
    <b:Author>
      <b:Author>
        <b:Corporate>National Institute of Standards and Technology</b:Corporate>
      </b:Author>
    </b:Author>
    <b:Title>NIST Cloud Computing Reference Architecture (SP 500-292)</b:Title>
    <b:Year>September 2011</b:Year>
    <b:RefOrder>4</b:RefOrder>
  </b:Source>
  <b:Source>
    <b:Tag>Nat131</b:Tag>
    <b:SourceType>Report</b:SourceType>
    <b:Guid>{5DECCF89-C861-4150-BF53-AC547F23F335}</b:Guid>
    <b:Author>
      <b:Author>
        <b:Corporate>National Institute for Standards and Technology</b:Corporate>
      </b:Author>
    </b:Author>
    <b:Title>NIST Cloud Computing Security Reference Architecture [SP 500-299]</b:Title>
    <b:Year>Draft, 2013</b:Year>
    <b:RefOrder>5</b:RefOrder>
  </b:Source>
  <b:Source>
    <b:Tag>Tre17</b:Tag>
    <b:SourceType>Report</b:SourceType>
    <b:Guid>{1CDFADC4-8FDB-427B-BF70-9C45FE047FA2}</b:Guid>
    <b:Author>
      <b:Author>
        <b:Corporate>Treasury Board of Canada Secretariat</b:Corporate>
      </b:Author>
    </b:Author>
    <b:Title>Cloud Security Risk Management Approach and Procedures</b:Title>
    <b:Year>Version 1.0, 20 July 2017</b:Year>
    <b:RefOrder>2</b:RefOrder>
  </b:Source>
  <b:Source>
    <b:Tag>Tre174</b:Tag>
    <b:SourceType>Report</b:SourceType>
    <b:Guid>{89BD5674-5512-4ABE-BF89-A1A3E8CA42B3}</b:Guid>
    <b:Author>
      <b:Author>
        <b:Corporate>Treasury Board of Canada Secretariat</b:Corporate>
      </b:Author>
    </b:Author>
    <b:Title>Security Policy Implementation Notice (SPIN) for the Secure Use of Commercial Cloud Services</b:Title>
    <b:Year>October 2017</b:Year>
    <b:RefOrder>1</b:RefOrder>
  </b:Source>
  <b:Source>
    <b:Tag>Tre151</b:Tag>
    <b:SourceType>InternetSite</b:SourceType>
    <b:Guid>{0758525A-D97D-40CF-840B-35F0FB55AE7A}</b:Guid>
    <b:Author>
      <b:Author>
        <b:Corporate>Treasury Board of Canada Secretariat</b:Corporate>
      </b:Author>
    </b:Author>
    <b:Title>Government of Canada Cyber Security Event Management Plan (GC CSEMP)</b:Title>
    <b:Year>August 2015</b:Year>
    <b:URL>https://www.tbs-sct.gc.ca/hgw-cgf/oversight-surveillance/atip-aiprp/sim-gsi/msi-gis/csemp-pgec-eng.asp</b:URL>
    <b:RefOrder>8</b:RefOrder>
  </b:Source>
  <b:Source>
    <b:Tag>Nat13</b:Tag>
    <b:SourceType>Report</b:SourceType>
    <b:Guid>{99371CB0-4E9E-4721-A7A2-43C783375A76}</b:Guid>
    <b:Author>
      <b:Author>
        <b:Corporate>National Institute of Standards and Technology (NIST)</b:Corporate>
      </b:Author>
    </b:Author>
    <b:Title>[SP800-53, Rev4] Security and Privacy Controls for Federal Information Systems and Organizations, Revision 4</b:Title>
    <b:Year>April 2013</b:Year>
    <b:RefOrder>9</b:RefOrder>
  </b:Source>
  <b:Source>
    <b:Tag>Nat</b:Tag>
    <b:SourceType>InternetSite</b:SourceType>
    <b:Guid>{564E9489-7DDA-4538-92EA-08F02FB5CB31}</b:Guid>
    <b:Author>
      <b:Author>
        <b:Corporate>National Institute of Standards and Technology</b:Corporate>
      </b:Author>
    </b:Author>
    <b:Title>NIST Special Publications, SP800s - Computer Security</b:Title>
    <b:URL>http://csrc.nist.gov/publications/PubsSPs.html#SP 800</b:URL>
    <b:RefOrder>10</b:RefOrder>
  </b:Source>
  <b:Source>
    <b:Tag>Nat10</b:Tag>
    <b:SourceType>Report</b:SourceType>
    <b:Guid>{F2BFF7B7-3C87-4934-BEF2-356804B2F6A6}</b:Guid>
    <b:Author>
      <b:Author>
        <b:Corporate>National Institute of Standards and Technology</b:Corporate>
      </b:Author>
    </b:Author>
    <b:Title>Guide for Applying the Risk Management Framework to Federal Information Systems [SP800-37]</b:Title>
    <b:Year>February 2010</b:Year>
    <b:RefOrder>11</b:RefOrder>
  </b:Source>
  <b:Source xmlns:b="http://schemas.openxmlformats.org/officeDocument/2006/bibliography">
    <b:Tag>Nat111</b:Tag>
    <b:SourceType>Report</b:SourceType>
    <b:Guid>{F9732D36-CA45-4A55-AA9A-1525A87B86B3}</b:Guid>
    <b:Author>
      <b:Author>
        <b:Corporate>National Institute of Standards and Technology</b:Corporate>
      </b:Author>
    </b:Author>
    <b:Title>NIST Cloud Computing Reference Architecture (Special Publication 500-292)</b:Title>
    <b:Year>September 2011</b:Year>
    <b:RefOrder>12</b:RefOrder>
  </b:Source>
  <b:Source>
    <b:Tag>NatFT</b:Tag>
    <b:SourceType>Report</b:SourceType>
    <b:Guid>{CDA05C1C-DECD-4CFD-A66B-306D55896EAB}</b:Guid>
    <b:Author>
      <b:Author>
        <b:Corporate>National Institute of Standards and Technology</b:Corporate>
      </b:Author>
    </b:Author>
    <b:Title>NIST Cloud Computing Security Reference Architecture (Special Publication 500-299)</b:Title>
    <b:Year>DRAFT</b:Year>
    <b:RefOrder>13</b:RefOrder>
  </b:Source>
  <b:Source>
    <b:Tag>Nat14</b:Tag>
    <b:SourceType>Report</b:SourceType>
    <b:Guid>{DFEEA5FF-8910-481C-956A-F73121CDC288}</b:Guid>
    <b:Author>
      <b:Author>
        <b:Corporate>National Institute of Standards and Technology</b:Corporate>
      </b:Author>
    </b:Author>
    <b:Title>Assessing Security and Privacy Controls in Federal Information (Special Publication 800-53A Revision 4)</b:Title>
    <b:Year>December 2014</b:Year>
    <b:RefOrder>14</b:RefOrder>
  </b:Source>
  <b:Source>
    <b:Tag>USG</b:Tag>
    <b:SourceType>Report</b:SourceType>
    <b:Guid>{BF53016B-EABE-499B-B172-40F6878CEF72}</b:Guid>
    <b:Author>
      <b:Author>
        <b:Corporate>US Government</b:Corporate>
      </b:Author>
    </b:Author>
    <b:Title>Federal Risk and Authorization Program (FedRAMP)</b:Title>
    <b:URL>http://www.fedramp.gov/</b:URL>
    <b:RefOrder>15</b:RefOrder>
  </b:Source>
  <b:Source>
    <b:Tag>Tre</b:Tag>
    <b:SourceType>InternetSite</b:SourceType>
    <b:Guid>{210E7965-CFB3-4E41-91A0-FAE67517CF77}</b:Guid>
    <b:Author>
      <b:Author>
        <b:Corporate>Treasury Board of Canada Secretariat</b:Corporate>
      </b:Author>
    </b:Author>
    <b:Title>Government of Canada Strategic Reference Model</b:Title>
    <b:URL>https://tbs-sct.gc.ca/it-ti/itr-rti/srm-mrs-eng.asp</b:URL>
    <b:RefOrder>16</b:RefOrder>
  </b:Source>
  <b:Source>
    <b:Tag>Nat1</b:Tag>
    <b:SourceType>Report</b:SourceType>
    <b:Guid>{C8777C32-3FF0-4FC7-B5E5-D5010E6291B1}</b:Guid>
    <b:Author>
      <b:Author>
        <b:Corporate>National Institute of Standards and Technology</b:Corporate>
      </b:Author>
    </b:Author>
    <b:Title>[SP 800-137] Information Security Continuous Monitoring (ISCM) for Federal Information Systems and Organizations </b:Title>
    <b:Year>September 2011</b:Year>
    <b:RefOrder>17</b:RefOrder>
  </b:Source>
  <b:Source>
    <b:Tag>Tre10</b:Tag>
    <b:SourceType>Report</b:SourceType>
    <b:Guid>{5B2DC2FE-D21C-4BA6-84D5-7908B2348619}</b:Guid>
    <b:Title>Directive on Privacy Impact Assesssment</b:Title>
    <b:Year>April 2010</b:Year>
    <b:Author>
      <b:Author>
        <b:NameList>
          <b:Person>
            <b:Last>Secretariat</b:Last>
            <b:First>Treasury</b:First>
            <b:Middle>Board of Canada</b:Middle>
          </b:Person>
        </b:NameList>
      </b:Author>
    </b:Author>
    <b:RefOrder>18</b:RefOrder>
  </b:Source>
  <b:Source>
    <b:Tag>Com14</b:Tag>
    <b:SourceType>Report</b:SourceType>
    <b:Guid>{79A34D5B-AEF0-40A1-9FA7-463822C72140}</b:Guid>
    <b:Author>
      <b:Author>
        <b:Corporate>Communications Security Establishment</b:Corporate>
      </b:Author>
    </b:Author>
    <b:Title>Security Considerations for the Contracting of Public Cloud Computing Services (ITSB-105)</b:Title>
    <b:Year>December 2014</b:Year>
    <b:RefOrder>19</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dlc_DocId xmlns="22ccaa47-ef4c-4b0f-8ab4-cc89146b4f69">FT63VASJVW7M-582206147-874</_dlc_DocId>
    <_dlc_DocIdUrl xmlns="22ccaa47-ef4c-4b0f-8ab4-cc89146b4f69">
      <Url>https://056gc.sharepoint.com/sites/OCIO-CTO_BDPI-DPT_M365/_layouts/15/DocIdRedir.aspx?ID=FT63VASJVW7M-582206147-874</Url>
      <Description>FT63VASJVW7M-582206147-874</Description>
    </_dlc_DocIdUrl>
    <TaxCatchAll xmlns="22ccaa47-ef4c-4b0f-8ab4-cc89146b4f69" xsi:nil="true"/>
    <lcf76f155ced4ddcb4097134ff3c332f xmlns="71ef9142-c53f-4ad8-acc8-dace6777281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DEB4EA3BFD064AA9D2139404DDCC0B" ma:contentTypeVersion="13" ma:contentTypeDescription="Create a new document." ma:contentTypeScope="" ma:versionID="cb9c22c7ad589f97091472f947f3ff4c">
  <xsd:schema xmlns:xsd="http://www.w3.org/2001/XMLSchema" xmlns:xs="http://www.w3.org/2001/XMLSchema" xmlns:p="http://schemas.microsoft.com/office/2006/metadata/properties" xmlns:ns2="22ccaa47-ef4c-4b0f-8ab4-cc89146b4f69" xmlns:ns3="71ef9142-c53f-4ad8-acc8-dace67772816" targetNamespace="http://schemas.microsoft.com/office/2006/metadata/properties" ma:root="true" ma:fieldsID="2f31f150c0eaa9f1700f5a5bdeb71cf6" ns2:_="" ns3:_="">
    <xsd:import namespace="22ccaa47-ef4c-4b0f-8ab4-cc89146b4f69"/>
    <xsd:import namespace="71ef9142-c53f-4ad8-acc8-dace6777281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caa47-ef4c-4b0f-8ab4-cc89146b4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3d7a89-ab30-4c6f-a9dc-1a474f02e48c}" ma:internalName="TaxCatchAll" ma:showField="CatchAllData" ma:web="22ccaa47-ef4c-4b0f-8ab4-cc89146b4f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ef9142-c53f-4ad8-acc8-dace677728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851DE9-6543-4019-9A53-CAD26F4FE10A}">
  <ds:schemaRefs>
    <ds:schemaRef ds:uri="http://schemas.microsoft.com/sharepoint/v3/contenttype/forms"/>
  </ds:schemaRefs>
</ds:datastoreItem>
</file>

<file path=customXml/itemProps2.xml><?xml version="1.0" encoding="utf-8"?>
<ds:datastoreItem xmlns:ds="http://schemas.openxmlformats.org/officeDocument/2006/customXml" ds:itemID="{3897D39D-BBA9-4C82-BFA4-46B8C4C07216}">
  <ds:schemaRefs>
    <ds:schemaRef ds:uri="http://schemas.openxmlformats.org/officeDocument/2006/bibliography"/>
  </ds:schemaRefs>
</ds:datastoreItem>
</file>

<file path=customXml/itemProps3.xml><?xml version="1.0" encoding="utf-8"?>
<ds:datastoreItem xmlns:ds="http://schemas.openxmlformats.org/officeDocument/2006/customXml" ds:itemID="{3283A797-E831-4D62-8755-6DF76951994C}">
  <ds:schemaRefs>
    <ds:schemaRef ds:uri="71ef9142-c53f-4ad8-acc8-dace67772816"/>
    <ds:schemaRef ds:uri="http://schemas.microsoft.com/office/2006/documentManagement/types"/>
    <ds:schemaRef ds:uri="http://purl.org/dc/dcmitype/"/>
    <ds:schemaRef ds:uri="http://schemas.microsoft.com/office/2006/metadata/properties"/>
    <ds:schemaRef ds:uri="22ccaa47-ef4c-4b0f-8ab4-cc89146b4f69"/>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FD4FD158-A2EB-43EA-926E-16E8A67FE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caa47-ef4c-4b0f-8ab4-cc89146b4f69"/>
    <ds:schemaRef ds:uri="71ef9142-c53f-4ad8-acc8-dace67772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66C30C-CF81-4D27-A5D9-53D7B64A7E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20</Pages>
  <Words>4592</Words>
  <Characters>28686</Characters>
  <Application>Microsoft Office Word</Application>
  <DocSecurity>0</DocSecurity>
  <Lines>239</Lines>
  <Paragraphs>66</Paragraphs>
  <ScaleCrop>false</ScaleCrop>
  <Company>TBS-SCT</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Cloud R&amp;Rs</dc:title>
  <dc:creator>GC ESA</dc:creator>
  <cp:lastModifiedBy>Levac, Scott</cp:lastModifiedBy>
  <cp:revision>25</cp:revision>
  <cp:lastPrinted>2017-11-25T12:32:00Z</cp:lastPrinted>
  <dcterms:created xsi:type="dcterms:W3CDTF">2017-11-30T20:42:00Z</dcterms:created>
  <dcterms:modified xsi:type="dcterms:W3CDTF">2022-10-04T17:59:00Z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 ID">
    <vt:lpwstr>GCDOCS#123x</vt:lpwstr>
  </property>
  <property fmtid="{D5CDD505-2E9C-101B-9397-08002B2CF9AE}" pid="3" name="TitusGUID">
    <vt:lpwstr>6bd314cd-61dc-4b7f-80cb-8905a51b5500</vt:lpwstr>
  </property>
  <property fmtid="{D5CDD505-2E9C-101B-9397-08002B2CF9AE}" pid="4" name="TBSSCTCLASSIFICATION">
    <vt:lpwstr>No Classification Selected</vt:lpwstr>
  </property>
  <property fmtid="{D5CDD505-2E9C-101B-9397-08002B2CF9AE}" pid="5" name="SECCLASS">
    <vt:lpwstr>CLASSN</vt:lpwstr>
  </property>
  <property fmtid="{D5CDD505-2E9C-101B-9397-08002B2CF9AE}" pid="6" name="ContentTypeId">
    <vt:lpwstr>0x0101001ADEB4EA3BFD064AA9D2139404DDCC0B</vt:lpwstr>
  </property>
  <property fmtid="{D5CDD505-2E9C-101B-9397-08002B2CF9AE}" pid="7" name="_dlc_DocIdItemGuid">
    <vt:lpwstr>4f096799-d33a-4a8a-812a-cfcf47ccb86d</vt:lpwstr>
  </property>
  <property fmtid="{D5CDD505-2E9C-101B-9397-08002B2CF9AE}" pid="8" name="MediaServiceImageTags">
    <vt:lpwstr/>
  </property>
  <property fmtid="{D5CDD505-2E9C-101B-9397-08002B2CF9AE}" pid="9" name="MSIP_Label_3515d617-256d-4284-aedb-1064be1c4b48_Enabled">
    <vt:lpwstr>true</vt:lpwstr>
  </property>
  <property fmtid="{D5CDD505-2E9C-101B-9397-08002B2CF9AE}" pid="10" name="MSIP_Label_3515d617-256d-4284-aedb-1064be1c4b48_SetDate">
    <vt:lpwstr>2022-10-04T17:59:39Z</vt:lpwstr>
  </property>
  <property fmtid="{D5CDD505-2E9C-101B-9397-08002B2CF9AE}" pid="11" name="MSIP_Label_3515d617-256d-4284-aedb-1064be1c4b48_Method">
    <vt:lpwstr>Privileged</vt:lpwstr>
  </property>
  <property fmtid="{D5CDD505-2E9C-101B-9397-08002B2CF9AE}" pid="12" name="MSIP_Label_3515d617-256d-4284-aedb-1064be1c4b48_Name">
    <vt:lpwstr>3515d617-256d-4284-aedb-1064be1c4b48</vt:lpwstr>
  </property>
  <property fmtid="{D5CDD505-2E9C-101B-9397-08002B2CF9AE}" pid="13" name="MSIP_Label_3515d617-256d-4284-aedb-1064be1c4b48_SiteId">
    <vt:lpwstr>6397df10-4595-4047-9c4f-03311282152b</vt:lpwstr>
  </property>
  <property fmtid="{D5CDD505-2E9C-101B-9397-08002B2CF9AE}" pid="14" name="MSIP_Label_3515d617-256d-4284-aedb-1064be1c4b48_ActionId">
    <vt:lpwstr>e2b9937b-edcf-4c71-a8af-0a6d5d5d3523</vt:lpwstr>
  </property>
  <property fmtid="{D5CDD505-2E9C-101B-9397-08002B2CF9AE}" pid="15" name="MSIP_Label_3515d617-256d-4284-aedb-1064be1c4b48_ContentBits">
    <vt:lpwstr>0</vt:lpwstr>
  </property>
</Properties>
</file>