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commentsExtensible.xml" ContentType="application/vnd.openxmlformats-officedocument.wordprocessingml.commentsExtensible+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A558D" w:rsidR="00B91619" w:rsidP="00B91619" w:rsidRDefault="00B91619" w14:paraId="409BBAE3" w14:textId="77777777">
      <w:pPr>
        <w:spacing w:line="240" w:lineRule="auto"/>
        <w:ind w:left="-720"/>
        <w:jc w:val="center"/>
        <w:rPr>
          <w:color w:val="004D71"/>
          <w:sz w:val="72"/>
          <w:szCs w:val="144"/>
          <w:lang w:val="fr-CA"/>
        </w:rPr>
      </w:pPr>
    </w:p>
    <w:p w:rsidRPr="00FA558D" w:rsidR="00B91619" w:rsidP="00B91619" w:rsidRDefault="00B91619" w14:paraId="315D64EA" w14:textId="7EA6A4F9">
      <w:pPr>
        <w:spacing w:line="240" w:lineRule="auto"/>
        <w:ind w:left="-720"/>
        <w:jc w:val="center"/>
        <w:rPr>
          <w:color w:val="000000" w:themeColor="text1"/>
          <w:sz w:val="48"/>
          <w:szCs w:val="48"/>
          <w:lang w:val="fr-CA"/>
        </w:rPr>
      </w:pPr>
      <w:r w:rsidRPr="00FA558D">
        <w:rPr>
          <w:color w:val="004D71"/>
          <w:sz w:val="72"/>
          <w:szCs w:val="144"/>
          <w:lang w:val="fr-CA"/>
        </w:rPr>
        <w:t>Guide sur la limitation du fardeau réglementaire sur les entreprises</w:t>
      </w:r>
      <w:r w:rsidRPr="00FA558D">
        <w:rPr>
          <w:color w:val="004D71"/>
          <w:sz w:val="144"/>
          <w:szCs w:val="144"/>
          <w:lang w:val="fr-CA"/>
        </w:rPr>
        <w:br/>
      </w:r>
    </w:p>
    <w:p w:rsidR="00B91619" w:rsidP="00B91619" w:rsidRDefault="00B91619" w14:paraId="66F545AA" w14:textId="6982D231">
      <w:pPr>
        <w:spacing w:line="240" w:lineRule="auto"/>
        <w:ind w:left="-720"/>
        <w:jc w:val="center"/>
        <w:rPr>
          <w:color w:val="000000" w:themeColor="text1"/>
          <w:sz w:val="48"/>
          <w:szCs w:val="48"/>
          <w:lang w:val="fr-CA"/>
        </w:rPr>
      </w:pPr>
      <w:r>
        <w:rPr>
          <w:color w:val="000000" w:themeColor="text1"/>
          <w:sz w:val="48"/>
          <w:szCs w:val="48"/>
          <w:lang w:val="fr-CA"/>
        </w:rPr>
        <w:t>Septemb</w:t>
      </w:r>
      <w:r w:rsidRPr="00FA558D">
        <w:rPr>
          <w:color w:val="000000" w:themeColor="text1"/>
          <w:sz w:val="48"/>
          <w:szCs w:val="48"/>
          <w:lang w:val="fr-CA"/>
        </w:rPr>
        <w:t>r</w:t>
      </w:r>
      <w:r>
        <w:rPr>
          <w:color w:val="000000" w:themeColor="text1"/>
          <w:sz w:val="48"/>
          <w:szCs w:val="48"/>
          <w:lang w:val="fr-CA"/>
        </w:rPr>
        <w:t>e</w:t>
      </w:r>
      <w:r w:rsidRPr="00FA558D">
        <w:rPr>
          <w:color w:val="000000" w:themeColor="text1"/>
          <w:sz w:val="48"/>
          <w:szCs w:val="48"/>
          <w:lang w:val="fr-CA"/>
        </w:rPr>
        <w:t> 2018</w:t>
      </w:r>
    </w:p>
    <w:p w:rsidRPr="00AE7920" w:rsidR="00AE7920" w:rsidP="00B91619" w:rsidRDefault="00AE7920" w14:paraId="5AC68DC5" w14:textId="45BB2947">
      <w:pPr>
        <w:spacing w:line="240" w:lineRule="auto"/>
        <w:ind w:left="-720"/>
        <w:jc w:val="center"/>
        <w:rPr>
          <w:color w:val="004D71"/>
          <w:sz w:val="32"/>
          <w:szCs w:val="32"/>
          <w:lang w:val="fr-CA"/>
        </w:rPr>
      </w:pPr>
      <w:r w:rsidRPr="2A3BC37A" w:rsidR="00AE7920">
        <w:rPr>
          <w:color w:val="000000" w:themeColor="text1" w:themeTint="FF" w:themeShade="FF"/>
          <w:sz w:val="32"/>
          <w:szCs w:val="32"/>
          <w:lang w:val="fr-CA"/>
        </w:rPr>
        <w:t>(</w:t>
      </w:r>
      <w:r w:rsidRPr="2A3BC37A" w:rsidR="00AE7920">
        <w:rPr>
          <w:color w:val="000000" w:themeColor="text1" w:themeTint="FF" w:themeShade="FF"/>
          <w:sz w:val="32"/>
          <w:szCs w:val="32"/>
          <w:lang w:val="fr-CA"/>
        </w:rPr>
        <w:t>mis</w:t>
      </w:r>
      <w:r w:rsidRPr="2A3BC37A" w:rsidR="00AE7920">
        <w:rPr>
          <w:color w:val="000000" w:themeColor="text1" w:themeTint="FF" w:themeShade="FF"/>
          <w:sz w:val="32"/>
          <w:szCs w:val="32"/>
          <w:lang w:val="fr-CA"/>
        </w:rPr>
        <w:t xml:space="preserve"> à jour </w:t>
      </w:r>
      <w:r w:rsidRPr="2A3BC37A" w:rsidR="00D14090">
        <w:rPr>
          <w:color w:val="000000" w:themeColor="text1" w:themeTint="FF" w:themeShade="FF"/>
          <w:sz w:val="32"/>
          <w:szCs w:val="32"/>
          <w:lang w:val="fr-CA"/>
        </w:rPr>
        <w:t xml:space="preserve">en </w:t>
      </w:r>
      <w:r w:rsidRPr="2A3BC37A" w:rsidR="7E3755A8">
        <w:rPr>
          <w:color w:val="000000" w:themeColor="text1" w:themeTint="FF" w:themeShade="FF"/>
          <w:sz w:val="32"/>
          <w:szCs w:val="32"/>
          <w:lang w:val="fr-CA"/>
        </w:rPr>
        <w:t>février 2024</w:t>
      </w:r>
      <w:r w:rsidRPr="2A3BC37A" w:rsidR="00AE7920">
        <w:rPr>
          <w:color w:val="000000" w:themeColor="text1" w:themeTint="FF" w:themeShade="FF"/>
          <w:sz w:val="32"/>
          <w:szCs w:val="32"/>
          <w:lang w:val="fr-CA"/>
        </w:rPr>
        <w:t>)</w:t>
      </w:r>
    </w:p>
    <w:p w:rsidRPr="00FA558D" w:rsidR="00B91619" w:rsidP="00B91619" w:rsidRDefault="00B91619" w14:paraId="6A7E70BC" w14:textId="77777777">
      <w:pPr>
        <w:rPr>
          <w:lang w:val="fr-CA"/>
        </w:rPr>
      </w:pPr>
    </w:p>
    <w:p w:rsidRPr="00FA558D" w:rsidR="00B91619" w:rsidP="00B91619" w:rsidRDefault="00B91619" w14:paraId="0FB7BE4E" w14:textId="77777777">
      <w:pPr>
        <w:rPr>
          <w:lang w:val="fr-CA"/>
        </w:rPr>
      </w:pPr>
    </w:p>
    <w:p w:rsidRPr="00FA558D" w:rsidR="00B91619" w:rsidP="00B91619" w:rsidRDefault="00B91619" w14:paraId="170C804B" w14:textId="77777777">
      <w:pPr>
        <w:rPr>
          <w:lang w:val="fr-CA"/>
        </w:rPr>
      </w:pPr>
    </w:p>
    <w:p w:rsidRPr="00FA558D" w:rsidR="00B91619" w:rsidP="00B91619" w:rsidRDefault="00B91619" w14:paraId="55A27B70" w14:textId="77777777">
      <w:pPr>
        <w:rPr>
          <w:lang w:val="fr-CA"/>
        </w:rPr>
      </w:pPr>
    </w:p>
    <w:p w:rsidRPr="00FA558D" w:rsidR="00B91619" w:rsidP="00B91619" w:rsidRDefault="00B91619" w14:paraId="55664862" w14:textId="77777777">
      <w:pPr>
        <w:jc w:val="center"/>
        <w:rPr>
          <w:lang w:val="fr-CA"/>
        </w:rPr>
      </w:pPr>
    </w:p>
    <w:p w:rsidRPr="00FA558D" w:rsidR="00B91619" w:rsidP="00B91619" w:rsidRDefault="00B91619" w14:paraId="4FF3C97E" w14:textId="77777777">
      <w:pPr>
        <w:rPr>
          <w:lang w:val="fr-CA"/>
        </w:rPr>
      </w:pPr>
    </w:p>
    <w:p w:rsidRPr="00FA558D" w:rsidR="00B91619" w:rsidP="00B91619" w:rsidRDefault="00B91619" w14:paraId="5685C435" w14:textId="77777777">
      <w:pPr>
        <w:rPr>
          <w:lang w:val="fr-CA"/>
        </w:rPr>
        <w:sectPr w:rsidRPr="00FA558D" w:rsidR="00B91619" w:rsidSect="00D3606A">
          <w:headerReference w:type="even" r:id="rId8"/>
          <w:headerReference w:type="default" r:id="rId9"/>
          <w:footerReference w:type="even" r:id="rId10"/>
          <w:footerReference w:type="default" r:id="rId11"/>
          <w:headerReference w:type="first" r:id="rId12"/>
          <w:footerReference w:type="first" r:id="rId13"/>
          <w:pgSz w:w="12240" w:h="15840" w:orient="portrait" w:code="1"/>
          <w:pgMar w:top="3600" w:right="450" w:bottom="1440" w:left="1440" w:header="706" w:footer="706" w:gutter="0"/>
          <w:pgNumType w:start="1"/>
          <w:cols w:space="708"/>
          <w:titlePg/>
          <w:docGrid w:linePitch="360"/>
        </w:sectPr>
      </w:pPr>
    </w:p>
    <w:bookmarkStart w:name="_Toc525308654" w:displacedByCustomXml="next" w:id="3"/>
    <w:bookmarkStart w:name="_Toc525731630" w:displacedByCustomXml="prev" w:id="4"/>
    <w:sdt>
      <w:sdtPr>
        <w:rPr>
          <w:lang w:val="fr-CA"/>
        </w:rPr>
        <w:id w:val="250393673"/>
        <w:docPartObj>
          <w:docPartGallery w:val="Table of Contents"/>
          <w:docPartUnique/>
        </w:docPartObj>
      </w:sdtPr>
      <w:sdtEndPr>
        <w:rPr>
          <w:b w:val="1"/>
          <w:bCs w:val="1"/>
          <w:noProof/>
          <w:lang w:val="fr-CA"/>
        </w:rPr>
      </w:sdtEndPr>
      <w:sdtContent>
        <w:p w:rsidRPr="00FA558D" w:rsidR="00B91619" w:rsidP="00B91619" w:rsidRDefault="000438BD" w14:paraId="64C5127F" w14:textId="2CFA9041">
          <w:pPr>
            <w:rPr>
              <w:lang w:val="fr-CA"/>
            </w:rPr>
          </w:pPr>
          <w:r>
            <w:rPr>
              <w:lang w:val="fr-CA"/>
            </w:rPr>
            <w:t>Table des matières</w:t>
          </w:r>
          <w:bookmarkEnd w:id="4"/>
          <w:bookmarkEnd w:id="3"/>
        </w:p>
        <w:p w:rsidR="00123BFC" w:rsidRDefault="00B91619" w14:paraId="7D4B21B3" w14:textId="675A2C38">
          <w:pPr>
            <w:pStyle w:val="TOC1"/>
            <w:rPr>
              <w:rFonts w:eastAsiaTheme="minorEastAsia"/>
              <w:noProof/>
              <w:kern w:val="2"/>
              <w:lang w:val="en-US"/>
              <w14:ligatures w14:val="standardContextual"/>
            </w:rPr>
          </w:pPr>
          <w:r w:rsidRPr="00FA558D">
            <w:rPr>
              <w:noProof/>
              <w:lang w:val="fr-CA"/>
            </w:rPr>
            <w:fldChar w:fldCharType="begin"/>
          </w:r>
          <w:r w:rsidRPr="00FA558D">
            <w:rPr>
              <w:noProof/>
              <w:lang w:val="fr-CA"/>
            </w:rPr>
            <w:instrText xml:space="preserve"> TOC \o "1-3" \h \z \u </w:instrText>
          </w:r>
          <w:r w:rsidRPr="00FA558D">
            <w:rPr>
              <w:noProof/>
              <w:lang w:val="fr-CA"/>
            </w:rPr>
            <w:fldChar w:fldCharType="separate"/>
          </w:r>
          <w:hyperlink w:history="1" w:anchor="_Toc151373906">
            <w:r w:rsidRPr="005619F3" w:rsidR="00123BFC">
              <w:rPr>
                <w:rStyle w:val="Hyperlink"/>
                <w:noProof/>
                <w:lang w:val="fr-CA"/>
              </w:rPr>
              <w:t>1.</w:t>
            </w:r>
            <w:r w:rsidR="00123BFC">
              <w:rPr>
                <w:rFonts w:eastAsiaTheme="minorEastAsia"/>
                <w:noProof/>
                <w:kern w:val="2"/>
                <w:lang w:val="en-US"/>
                <w14:ligatures w14:val="standardContextual"/>
              </w:rPr>
              <w:tab/>
            </w:r>
            <w:r w:rsidRPr="005619F3" w:rsidR="00123BFC">
              <w:rPr>
                <w:rStyle w:val="Hyperlink"/>
                <w:noProof/>
                <w:lang w:val="fr-CA"/>
              </w:rPr>
              <w:t>Introduction</w:t>
            </w:r>
            <w:r w:rsidR="00123BFC">
              <w:rPr>
                <w:noProof/>
                <w:webHidden/>
              </w:rPr>
              <w:tab/>
            </w:r>
            <w:r w:rsidR="00123BFC">
              <w:rPr>
                <w:noProof/>
                <w:webHidden/>
              </w:rPr>
              <w:fldChar w:fldCharType="begin"/>
            </w:r>
            <w:r w:rsidR="00123BFC">
              <w:rPr>
                <w:noProof/>
                <w:webHidden/>
              </w:rPr>
              <w:instrText xml:space="preserve"> PAGEREF _Toc151373906 \h </w:instrText>
            </w:r>
            <w:r w:rsidR="00123BFC">
              <w:rPr>
                <w:noProof/>
                <w:webHidden/>
              </w:rPr>
            </w:r>
            <w:r w:rsidR="00123BFC">
              <w:rPr>
                <w:noProof/>
                <w:webHidden/>
              </w:rPr>
              <w:fldChar w:fldCharType="separate"/>
            </w:r>
            <w:r w:rsidR="00123BFC">
              <w:rPr>
                <w:noProof/>
                <w:webHidden/>
              </w:rPr>
              <w:t>1</w:t>
            </w:r>
            <w:r w:rsidR="00123BFC">
              <w:rPr>
                <w:noProof/>
                <w:webHidden/>
              </w:rPr>
              <w:fldChar w:fldCharType="end"/>
            </w:r>
          </w:hyperlink>
        </w:p>
        <w:p w:rsidR="00123BFC" w:rsidRDefault="00123BFC" w14:paraId="4658BEC5" w14:textId="54EC48CB">
          <w:pPr>
            <w:pStyle w:val="TOC1"/>
            <w:rPr>
              <w:rFonts w:eastAsiaTheme="minorEastAsia"/>
              <w:noProof/>
              <w:kern w:val="2"/>
              <w:lang w:val="en-US"/>
              <w14:ligatures w14:val="standardContextual"/>
            </w:rPr>
          </w:pPr>
          <w:hyperlink w:history="1" w:anchor="_Toc151373907">
            <w:r w:rsidRPr="005619F3">
              <w:rPr>
                <w:rStyle w:val="Hyperlink"/>
                <w:noProof/>
                <w:lang w:val="fr-CA"/>
              </w:rPr>
              <w:t>2.</w:t>
            </w:r>
            <w:r>
              <w:rPr>
                <w:rFonts w:eastAsiaTheme="minorEastAsia"/>
                <w:noProof/>
                <w:kern w:val="2"/>
                <w:lang w:val="en-US"/>
                <w14:ligatures w14:val="standardContextual"/>
              </w:rPr>
              <w:tab/>
            </w:r>
            <w:r w:rsidRPr="005619F3">
              <w:rPr>
                <w:rStyle w:val="Hyperlink"/>
                <w:noProof/>
                <w:lang w:val="fr-CA"/>
              </w:rPr>
              <w:t>Définitions (section 5)</w:t>
            </w:r>
            <w:r>
              <w:rPr>
                <w:noProof/>
                <w:webHidden/>
              </w:rPr>
              <w:tab/>
            </w:r>
            <w:r>
              <w:rPr>
                <w:noProof/>
                <w:webHidden/>
              </w:rPr>
              <w:fldChar w:fldCharType="begin"/>
            </w:r>
            <w:r>
              <w:rPr>
                <w:noProof/>
                <w:webHidden/>
              </w:rPr>
              <w:instrText xml:space="preserve"> PAGEREF _Toc151373907 \h </w:instrText>
            </w:r>
            <w:r>
              <w:rPr>
                <w:noProof/>
                <w:webHidden/>
              </w:rPr>
            </w:r>
            <w:r>
              <w:rPr>
                <w:noProof/>
                <w:webHidden/>
              </w:rPr>
              <w:fldChar w:fldCharType="separate"/>
            </w:r>
            <w:r>
              <w:rPr>
                <w:noProof/>
                <w:webHidden/>
              </w:rPr>
              <w:t>1</w:t>
            </w:r>
            <w:r>
              <w:rPr>
                <w:noProof/>
                <w:webHidden/>
              </w:rPr>
              <w:fldChar w:fldCharType="end"/>
            </w:r>
          </w:hyperlink>
        </w:p>
        <w:p w:rsidR="00123BFC" w:rsidRDefault="00123BFC" w14:paraId="559B7763" w14:textId="7CA02E00">
          <w:pPr>
            <w:pStyle w:val="TOC1"/>
            <w:rPr>
              <w:rFonts w:eastAsiaTheme="minorEastAsia"/>
              <w:noProof/>
              <w:kern w:val="2"/>
              <w:lang w:val="en-US"/>
              <w14:ligatures w14:val="standardContextual"/>
            </w:rPr>
          </w:pPr>
          <w:hyperlink w:history="1" w:anchor="_Toc151373908">
            <w:r w:rsidRPr="005619F3">
              <w:rPr>
                <w:rStyle w:val="Hyperlink"/>
                <w:noProof/>
                <w:lang w:val="fr-CA"/>
              </w:rPr>
              <w:t>3.</w:t>
            </w:r>
            <w:r>
              <w:rPr>
                <w:rFonts w:eastAsiaTheme="minorEastAsia"/>
                <w:noProof/>
                <w:kern w:val="2"/>
                <w:lang w:val="en-US"/>
                <w14:ligatures w14:val="standardContextual"/>
              </w:rPr>
              <w:tab/>
            </w:r>
            <w:r w:rsidRPr="005619F3">
              <w:rPr>
                <w:rStyle w:val="Hyperlink"/>
                <w:noProof/>
                <w:lang w:val="fr-CA"/>
              </w:rPr>
              <w:t>Règle du « un pour un » (section 7)</w:t>
            </w:r>
            <w:r>
              <w:rPr>
                <w:noProof/>
                <w:webHidden/>
              </w:rPr>
              <w:tab/>
            </w:r>
            <w:r>
              <w:rPr>
                <w:noProof/>
                <w:webHidden/>
              </w:rPr>
              <w:fldChar w:fldCharType="begin"/>
            </w:r>
            <w:r>
              <w:rPr>
                <w:noProof/>
                <w:webHidden/>
              </w:rPr>
              <w:instrText xml:space="preserve"> PAGEREF _Toc151373908 \h </w:instrText>
            </w:r>
            <w:r>
              <w:rPr>
                <w:noProof/>
                <w:webHidden/>
              </w:rPr>
            </w:r>
            <w:r>
              <w:rPr>
                <w:noProof/>
                <w:webHidden/>
              </w:rPr>
              <w:fldChar w:fldCharType="separate"/>
            </w:r>
            <w:r>
              <w:rPr>
                <w:noProof/>
                <w:webHidden/>
              </w:rPr>
              <w:t>4</w:t>
            </w:r>
            <w:r>
              <w:rPr>
                <w:noProof/>
                <w:webHidden/>
              </w:rPr>
              <w:fldChar w:fldCharType="end"/>
            </w:r>
          </w:hyperlink>
        </w:p>
        <w:p w:rsidR="00123BFC" w:rsidRDefault="00123BFC" w14:paraId="483FF96A" w14:textId="0D4B841E">
          <w:pPr>
            <w:pStyle w:val="TOC2"/>
            <w:rPr>
              <w:rFonts w:eastAsiaTheme="minorEastAsia"/>
              <w:noProof/>
              <w:kern w:val="2"/>
              <w:lang w:val="en-US"/>
              <w14:ligatures w14:val="standardContextual"/>
            </w:rPr>
          </w:pPr>
          <w:hyperlink w:history="1" w:anchor="_Toc151373909">
            <w:r w:rsidRPr="005619F3">
              <w:rPr>
                <w:rStyle w:val="Hyperlink"/>
                <w:noProof/>
                <w:lang w:val="fr-CA"/>
              </w:rPr>
              <w:t>3.1</w:t>
            </w:r>
            <w:r>
              <w:rPr>
                <w:rFonts w:eastAsiaTheme="minorEastAsia"/>
                <w:noProof/>
                <w:kern w:val="2"/>
                <w:lang w:val="en-US"/>
                <w14:ligatures w14:val="standardContextual"/>
              </w:rPr>
              <w:tab/>
            </w:r>
            <w:r w:rsidRPr="005619F3">
              <w:rPr>
                <w:rStyle w:val="Hyperlink"/>
                <w:noProof/>
                <w:lang w:val="fr-CA"/>
              </w:rPr>
              <w:t>Aperçu (paragraphe 7.1)</w:t>
            </w:r>
            <w:r>
              <w:rPr>
                <w:noProof/>
                <w:webHidden/>
              </w:rPr>
              <w:tab/>
            </w:r>
            <w:r>
              <w:rPr>
                <w:noProof/>
                <w:webHidden/>
              </w:rPr>
              <w:fldChar w:fldCharType="begin"/>
            </w:r>
            <w:r>
              <w:rPr>
                <w:noProof/>
                <w:webHidden/>
              </w:rPr>
              <w:instrText xml:space="preserve"> PAGEREF _Toc151373909 \h </w:instrText>
            </w:r>
            <w:r>
              <w:rPr>
                <w:noProof/>
                <w:webHidden/>
              </w:rPr>
            </w:r>
            <w:r>
              <w:rPr>
                <w:noProof/>
                <w:webHidden/>
              </w:rPr>
              <w:fldChar w:fldCharType="separate"/>
            </w:r>
            <w:r>
              <w:rPr>
                <w:noProof/>
                <w:webHidden/>
              </w:rPr>
              <w:t>4</w:t>
            </w:r>
            <w:r>
              <w:rPr>
                <w:noProof/>
                <w:webHidden/>
              </w:rPr>
              <w:fldChar w:fldCharType="end"/>
            </w:r>
          </w:hyperlink>
        </w:p>
        <w:p w:rsidR="00123BFC" w:rsidRDefault="00123BFC" w14:paraId="5950394A" w14:textId="4FCB9097">
          <w:pPr>
            <w:pStyle w:val="TOC2"/>
            <w:rPr>
              <w:rFonts w:eastAsiaTheme="minorEastAsia"/>
              <w:noProof/>
              <w:kern w:val="2"/>
              <w:lang w:val="en-US"/>
              <w14:ligatures w14:val="standardContextual"/>
            </w:rPr>
          </w:pPr>
          <w:hyperlink w:history="1" w:anchor="_Toc151373910">
            <w:r w:rsidRPr="005619F3">
              <w:rPr>
                <w:rStyle w:val="Hyperlink"/>
                <w:noProof/>
                <w:lang w:val="fr-CA"/>
              </w:rPr>
              <w:t>3.2</w:t>
            </w:r>
            <w:r>
              <w:rPr>
                <w:rFonts w:eastAsiaTheme="minorEastAsia"/>
                <w:noProof/>
                <w:kern w:val="2"/>
                <w:lang w:val="en-US"/>
                <w14:ligatures w14:val="standardContextual"/>
              </w:rPr>
              <w:tab/>
            </w:r>
            <w:r w:rsidRPr="005619F3">
              <w:rPr>
                <w:rStyle w:val="Hyperlink"/>
                <w:noProof/>
                <w:lang w:val="fr-CA"/>
              </w:rPr>
              <w:t>Exigences de la politique (paragraphe 7.2)</w:t>
            </w:r>
            <w:r>
              <w:rPr>
                <w:noProof/>
                <w:webHidden/>
              </w:rPr>
              <w:tab/>
            </w:r>
            <w:r>
              <w:rPr>
                <w:noProof/>
                <w:webHidden/>
              </w:rPr>
              <w:fldChar w:fldCharType="begin"/>
            </w:r>
            <w:r>
              <w:rPr>
                <w:noProof/>
                <w:webHidden/>
              </w:rPr>
              <w:instrText xml:space="preserve"> PAGEREF _Toc151373910 \h </w:instrText>
            </w:r>
            <w:r>
              <w:rPr>
                <w:noProof/>
                <w:webHidden/>
              </w:rPr>
            </w:r>
            <w:r>
              <w:rPr>
                <w:noProof/>
                <w:webHidden/>
              </w:rPr>
              <w:fldChar w:fldCharType="separate"/>
            </w:r>
            <w:r>
              <w:rPr>
                <w:noProof/>
                <w:webHidden/>
              </w:rPr>
              <w:t>5</w:t>
            </w:r>
            <w:r>
              <w:rPr>
                <w:noProof/>
                <w:webHidden/>
              </w:rPr>
              <w:fldChar w:fldCharType="end"/>
            </w:r>
          </w:hyperlink>
        </w:p>
        <w:p w:rsidR="00123BFC" w:rsidRDefault="00123BFC" w14:paraId="75B2A74B" w14:textId="7EFAD34D">
          <w:pPr>
            <w:pStyle w:val="TOC3"/>
            <w:rPr>
              <w:rFonts w:eastAsiaTheme="minorEastAsia"/>
              <w:noProof/>
              <w:kern w:val="2"/>
              <w:lang w:val="en-US"/>
              <w14:ligatures w14:val="standardContextual"/>
            </w:rPr>
          </w:pPr>
          <w:hyperlink w:history="1" w:anchor="_Toc151373911">
            <w:r w:rsidRPr="005619F3">
              <w:rPr>
                <w:rStyle w:val="Hyperlink"/>
                <w:noProof/>
                <w:lang w:val="fr-CA"/>
              </w:rPr>
              <w:t>3.2.1</w:t>
            </w:r>
            <w:r>
              <w:rPr>
                <w:rFonts w:eastAsiaTheme="minorEastAsia"/>
                <w:noProof/>
                <w:kern w:val="2"/>
                <w:lang w:val="en-US"/>
                <w14:ligatures w14:val="standardContextual"/>
              </w:rPr>
              <w:tab/>
            </w:r>
            <w:r w:rsidRPr="005619F3">
              <w:rPr>
                <w:rStyle w:val="Hyperlink"/>
                <w:noProof/>
                <w:lang w:val="fr-CA"/>
              </w:rPr>
              <w:t>Détermination des activités administratives (paragraphe 7.2.1)</w:t>
            </w:r>
            <w:r>
              <w:rPr>
                <w:noProof/>
                <w:webHidden/>
              </w:rPr>
              <w:tab/>
            </w:r>
            <w:r>
              <w:rPr>
                <w:noProof/>
                <w:webHidden/>
              </w:rPr>
              <w:fldChar w:fldCharType="begin"/>
            </w:r>
            <w:r>
              <w:rPr>
                <w:noProof/>
                <w:webHidden/>
              </w:rPr>
              <w:instrText xml:space="preserve"> PAGEREF _Toc151373911 \h </w:instrText>
            </w:r>
            <w:r>
              <w:rPr>
                <w:noProof/>
                <w:webHidden/>
              </w:rPr>
            </w:r>
            <w:r>
              <w:rPr>
                <w:noProof/>
                <w:webHidden/>
              </w:rPr>
              <w:fldChar w:fldCharType="separate"/>
            </w:r>
            <w:r>
              <w:rPr>
                <w:noProof/>
                <w:webHidden/>
              </w:rPr>
              <w:t>5</w:t>
            </w:r>
            <w:r>
              <w:rPr>
                <w:noProof/>
                <w:webHidden/>
              </w:rPr>
              <w:fldChar w:fldCharType="end"/>
            </w:r>
          </w:hyperlink>
        </w:p>
        <w:p w:rsidR="00123BFC" w:rsidRDefault="00123BFC" w14:paraId="61C8D929" w14:textId="14F2B679">
          <w:pPr>
            <w:pStyle w:val="TOC3"/>
            <w:rPr>
              <w:rFonts w:eastAsiaTheme="minorEastAsia"/>
              <w:noProof/>
              <w:kern w:val="2"/>
              <w:lang w:val="en-US"/>
              <w14:ligatures w14:val="standardContextual"/>
            </w:rPr>
          </w:pPr>
          <w:hyperlink w:history="1" w:anchor="_Toc151373912">
            <w:r w:rsidRPr="005619F3">
              <w:rPr>
                <w:rStyle w:val="Hyperlink"/>
                <w:noProof/>
                <w:lang w:val="fr-CA"/>
              </w:rPr>
              <w:t>3.2.2</w:t>
            </w:r>
            <w:r>
              <w:rPr>
                <w:rFonts w:eastAsiaTheme="minorEastAsia"/>
                <w:noProof/>
                <w:kern w:val="2"/>
                <w:lang w:val="en-US"/>
                <w14:ligatures w14:val="standardContextual"/>
              </w:rPr>
              <w:tab/>
            </w:r>
            <w:r w:rsidRPr="005619F3">
              <w:rPr>
                <w:rStyle w:val="Hyperlink"/>
                <w:noProof/>
                <w:lang w:val="fr-CA"/>
              </w:rPr>
              <w:t>Validation des estimations du fardeau administratif (paragraphe 7.2.2)</w:t>
            </w:r>
            <w:r>
              <w:rPr>
                <w:noProof/>
                <w:webHidden/>
              </w:rPr>
              <w:tab/>
            </w:r>
            <w:r>
              <w:rPr>
                <w:noProof/>
                <w:webHidden/>
              </w:rPr>
              <w:fldChar w:fldCharType="begin"/>
            </w:r>
            <w:r>
              <w:rPr>
                <w:noProof/>
                <w:webHidden/>
              </w:rPr>
              <w:instrText xml:space="preserve"> PAGEREF _Toc151373912 \h </w:instrText>
            </w:r>
            <w:r>
              <w:rPr>
                <w:noProof/>
                <w:webHidden/>
              </w:rPr>
            </w:r>
            <w:r>
              <w:rPr>
                <w:noProof/>
                <w:webHidden/>
              </w:rPr>
              <w:fldChar w:fldCharType="separate"/>
            </w:r>
            <w:r>
              <w:rPr>
                <w:noProof/>
                <w:webHidden/>
              </w:rPr>
              <w:t>8</w:t>
            </w:r>
            <w:r>
              <w:rPr>
                <w:noProof/>
                <w:webHidden/>
              </w:rPr>
              <w:fldChar w:fldCharType="end"/>
            </w:r>
          </w:hyperlink>
        </w:p>
        <w:p w:rsidR="00123BFC" w:rsidRDefault="00123BFC" w14:paraId="713FEFE7" w14:textId="12E5BA66">
          <w:pPr>
            <w:pStyle w:val="TOC3"/>
            <w:rPr>
              <w:rFonts w:eastAsiaTheme="minorEastAsia"/>
              <w:noProof/>
              <w:kern w:val="2"/>
              <w:lang w:val="en-US"/>
              <w14:ligatures w14:val="standardContextual"/>
            </w:rPr>
          </w:pPr>
          <w:hyperlink w:history="1" w:anchor="_Toc151373913">
            <w:r w:rsidRPr="005619F3">
              <w:rPr>
                <w:rStyle w:val="Hyperlink"/>
                <w:noProof/>
                <w:lang w:val="fr-CA"/>
              </w:rPr>
              <w:t>3.2.3</w:t>
            </w:r>
            <w:r>
              <w:rPr>
                <w:rFonts w:eastAsiaTheme="minorEastAsia"/>
                <w:noProof/>
                <w:kern w:val="2"/>
                <w:lang w:val="en-US"/>
                <w14:ligatures w14:val="standardContextual"/>
              </w:rPr>
              <w:tab/>
            </w:r>
            <w:r w:rsidRPr="005619F3">
              <w:rPr>
                <w:rStyle w:val="Hyperlink"/>
                <w:noProof/>
                <w:lang w:val="fr-CA"/>
              </w:rPr>
              <w:t>Calcul des coûts administratifs (paragraphe 7.2.3)</w:t>
            </w:r>
            <w:r>
              <w:rPr>
                <w:noProof/>
                <w:webHidden/>
              </w:rPr>
              <w:tab/>
            </w:r>
            <w:r>
              <w:rPr>
                <w:noProof/>
                <w:webHidden/>
              </w:rPr>
              <w:fldChar w:fldCharType="begin"/>
            </w:r>
            <w:r>
              <w:rPr>
                <w:noProof/>
                <w:webHidden/>
              </w:rPr>
              <w:instrText xml:space="preserve"> PAGEREF _Toc151373913 \h </w:instrText>
            </w:r>
            <w:r>
              <w:rPr>
                <w:noProof/>
                <w:webHidden/>
              </w:rPr>
            </w:r>
            <w:r>
              <w:rPr>
                <w:noProof/>
                <w:webHidden/>
              </w:rPr>
              <w:fldChar w:fldCharType="separate"/>
            </w:r>
            <w:r>
              <w:rPr>
                <w:noProof/>
                <w:webHidden/>
              </w:rPr>
              <w:t>8</w:t>
            </w:r>
            <w:r>
              <w:rPr>
                <w:noProof/>
                <w:webHidden/>
              </w:rPr>
              <w:fldChar w:fldCharType="end"/>
            </w:r>
          </w:hyperlink>
        </w:p>
        <w:p w:rsidR="00123BFC" w:rsidRDefault="00123BFC" w14:paraId="3CE37458" w14:textId="4FEBAA69">
          <w:pPr>
            <w:pStyle w:val="TOC3"/>
            <w:rPr>
              <w:rFonts w:eastAsiaTheme="minorEastAsia"/>
              <w:noProof/>
              <w:kern w:val="2"/>
              <w:lang w:val="en-US"/>
              <w14:ligatures w14:val="standardContextual"/>
            </w:rPr>
          </w:pPr>
          <w:hyperlink w:history="1" w:anchor="_Toc151373914">
            <w:r w:rsidRPr="005619F3">
              <w:rPr>
                <w:rStyle w:val="Hyperlink"/>
                <w:noProof/>
                <w:lang w:val="fr-CA"/>
              </w:rPr>
              <w:t>3.2.4</w:t>
            </w:r>
            <w:r>
              <w:rPr>
                <w:rFonts w:eastAsiaTheme="minorEastAsia"/>
                <w:noProof/>
                <w:kern w:val="2"/>
                <w:lang w:val="en-US"/>
                <w14:ligatures w14:val="standardContextual"/>
              </w:rPr>
              <w:tab/>
            </w:r>
            <w:r w:rsidRPr="005619F3">
              <w:rPr>
                <w:rStyle w:val="Hyperlink"/>
                <w:noProof/>
                <w:lang w:val="fr-CA"/>
              </w:rPr>
              <w:t>Évaluation des coûts administratifs (paragraphe 7.2.4)</w:t>
            </w:r>
            <w:r>
              <w:rPr>
                <w:noProof/>
                <w:webHidden/>
              </w:rPr>
              <w:tab/>
            </w:r>
            <w:r>
              <w:rPr>
                <w:noProof/>
                <w:webHidden/>
              </w:rPr>
              <w:fldChar w:fldCharType="begin"/>
            </w:r>
            <w:r>
              <w:rPr>
                <w:noProof/>
                <w:webHidden/>
              </w:rPr>
              <w:instrText xml:space="preserve"> PAGEREF _Toc151373914 \h </w:instrText>
            </w:r>
            <w:r>
              <w:rPr>
                <w:noProof/>
                <w:webHidden/>
              </w:rPr>
            </w:r>
            <w:r>
              <w:rPr>
                <w:noProof/>
                <w:webHidden/>
              </w:rPr>
              <w:fldChar w:fldCharType="separate"/>
            </w:r>
            <w:r>
              <w:rPr>
                <w:noProof/>
                <w:webHidden/>
              </w:rPr>
              <w:t>10</w:t>
            </w:r>
            <w:r>
              <w:rPr>
                <w:noProof/>
                <w:webHidden/>
              </w:rPr>
              <w:fldChar w:fldCharType="end"/>
            </w:r>
          </w:hyperlink>
        </w:p>
        <w:p w:rsidR="00123BFC" w:rsidRDefault="00123BFC" w14:paraId="7CF31E85" w14:textId="1805C872">
          <w:pPr>
            <w:pStyle w:val="TOC3"/>
            <w:rPr>
              <w:rFonts w:eastAsiaTheme="minorEastAsia"/>
              <w:noProof/>
              <w:kern w:val="2"/>
              <w:lang w:val="en-US"/>
              <w14:ligatures w14:val="standardContextual"/>
            </w:rPr>
          </w:pPr>
          <w:hyperlink w:history="1" w:anchor="_Toc151373915">
            <w:r w:rsidRPr="005619F3">
              <w:rPr>
                <w:rStyle w:val="Hyperlink"/>
                <w:noProof/>
                <w:lang w:val="fr-CA"/>
              </w:rPr>
              <w:t>3.2.5</w:t>
            </w:r>
            <w:r>
              <w:rPr>
                <w:rFonts w:eastAsiaTheme="minorEastAsia"/>
                <w:noProof/>
                <w:kern w:val="2"/>
                <w:lang w:val="en-US"/>
                <w14:ligatures w14:val="standardContextual"/>
              </w:rPr>
              <w:tab/>
            </w:r>
            <w:r w:rsidRPr="005619F3">
              <w:rPr>
                <w:rStyle w:val="Hyperlink"/>
                <w:noProof/>
                <w:lang w:val="fr-CA"/>
              </w:rPr>
              <w:t>Compensation des coûts administratifs (paragraphe 7.2.5)</w:t>
            </w:r>
            <w:r>
              <w:rPr>
                <w:noProof/>
                <w:webHidden/>
              </w:rPr>
              <w:tab/>
            </w:r>
            <w:r>
              <w:rPr>
                <w:noProof/>
                <w:webHidden/>
              </w:rPr>
              <w:fldChar w:fldCharType="begin"/>
            </w:r>
            <w:r>
              <w:rPr>
                <w:noProof/>
                <w:webHidden/>
              </w:rPr>
              <w:instrText xml:space="preserve"> PAGEREF _Toc151373915 \h </w:instrText>
            </w:r>
            <w:r>
              <w:rPr>
                <w:noProof/>
                <w:webHidden/>
              </w:rPr>
            </w:r>
            <w:r>
              <w:rPr>
                <w:noProof/>
                <w:webHidden/>
              </w:rPr>
              <w:fldChar w:fldCharType="separate"/>
            </w:r>
            <w:r>
              <w:rPr>
                <w:noProof/>
                <w:webHidden/>
              </w:rPr>
              <w:t>11</w:t>
            </w:r>
            <w:r>
              <w:rPr>
                <w:noProof/>
                <w:webHidden/>
              </w:rPr>
              <w:fldChar w:fldCharType="end"/>
            </w:r>
          </w:hyperlink>
        </w:p>
        <w:p w:rsidR="00123BFC" w:rsidRDefault="00123BFC" w14:paraId="15E6CA42" w14:textId="39792460">
          <w:pPr>
            <w:pStyle w:val="TOC3"/>
            <w:rPr>
              <w:rFonts w:eastAsiaTheme="minorEastAsia"/>
              <w:noProof/>
              <w:kern w:val="2"/>
              <w:lang w:val="en-US"/>
              <w14:ligatures w14:val="standardContextual"/>
            </w:rPr>
          </w:pPr>
          <w:hyperlink w:history="1" w:anchor="_Toc151373916">
            <w:r w:rsidRPr="005619F3">
              <w:rPr>
                <w:rStyle w:val="Hyperlink"/>
                <w:noProof/>
                <w:lang w:val="fr-CA"/>
              </w:rPr>
              <w:t>3.2.6</w:t>
            </w:r>
            <w:r>
              <w:rPr>
                <w:rFonts w:eastAsiaTheme="minorEastAsia"/>
                <w:noProof/>
                <w:kern w:val="2"/>
                <w:lang w:val="en-US"/>
                <w14:ligatures w14:val="standardContextual"/>
              </w:rPr>
              <w:tab/>
            </w:r>
            <w:r w:rsidRPr="005619F3">
              <w:rPr>
                <w:rStyle w:val="Hyperlink"/>
                <w:noProof/>
                <w:lang w:val="fr-CA"/>
              </w:rPr>
              <w:t>Titres réglementaires compensatoires (paragraphe 7.2.6)</w:t>
            </w:r>
            <w:r>
              <w:rPr>
                <w:noProof/>
                <w:webHidden/>
              </w:rPr>
              <w:tab/>
            </w:r>
            <w:r>
              <w:rPr>
                <w:noProof/>
                <w:webHidden/>
              </w:rPr>
              <w:fldChar w:fldCharType="begin"/>
            </w:r>
            <w:r>
              <w:rPr>
                <w:noProof/>
                <w:webHidden/>
              </w:rPr>
              <w:instrText xml:space="preserve"> PAGEREF _Toc151373916 \h </w:instrText>
            </w:r>
            <w:r>
              <w:rPr>
                <w:noProof/>
                <w:webHidden/>
              </w:rPr>
            </w:r>
            <w:r>
              <w:rPr>
                <w:noProof/>
                <w:webHidden/>
              </w:rPr>
              <w:fldChar w:fldCharType="separate"/>
            </w:r>
            <w:r>
              <w:rPr>
                <w:noProof/>
                <w:webHidden/>
              </w:rPr>
              <w:t>12</w:t>
            </w:r>
            <w:r>
              <w:rPr>
                <w:noProof/>
                <w:webHidden/>
              </w:rPr>
              <w:fldChar w:fldCharType="end"/>
            </w:r>
          </w:hyperlink>
        </w:p>
        <w:p w:rsidR="00123BFC" w:rsidRDefault="00123BFC" w14:paraId="51E9F5DB" w14:textId="487AECEC">
          <w:pPr>
            <w:pStyle w:val="TOC3"/>
            <w:rPr>
              <w:rFonts w:eastAsiaTheme="minorEastAsia"/>
              <w:noProof/>
              <w:kern w:val="2"/>
              <w:lang w:val="en-US"/>
              <w14:ligatures w14:val="standardContextual"/>
            </w:rPr>
          </w:pPr>
          <w:hyperlink w:history="1" w:anchor="_Toc151373917">
            <w:r w:rsidRPr="005619F3">
              <w:rPr>
                <w:rStyle w:val="Hyperlink"/>
                <w:noProof/>
                <w:lang w:val="fr-CA"/>
              </w:rPr>
              <w:t>3.2.7</w:t>
            </w:r>
            <w:r>
              <w:rPr>
                <w:rFonts w:eastAsiaTheme="minorEastAsia"/>
                <w:noProof/>
                <w:kern w:val="2"/>
                <w:lang w:val="en-US"/>
                <w14:ligatures w14:val="standardContextual"/>
              </w:rPr>
              <w:tab/>
            </w:r>
            <w:r w:rsidRPr="005619F3">
              <w:rPr>
                <w:rStyle w:val="Hyperlink"/>
                <w:noProof/>
                <w:lang w:val="fr-CA"/>
              </w:rPr>
              <w:t>Rapprochement à partir d’un portefeuille (paragraphe 7.2.7)</w:t>
            </w:r>
            <w:r>
              <w:rPr>
                <w:noProof/>
                <w:webHidden/>
              </w:rPr>
              <w:tab/>
            </w:r>
            <w:r>
              <w:rPr>
                <w:noProof/>
                <w:webHidden/>
              </w:rPr>
              <w:fldChar w:fldCharType="begin"/>
            </w:r>
            <w:r>
              <w:rPr>
                <w:noProof/>
                <w:webHidden/>
              </w:rPr>
              <w:instrText xml:space="preserve"> PAGEREF _Toc151373917 \h </w:instrText>
            </w:r>
            <w:r>
              <w:rPr>
                <w:noProof/>
                <w:webHidden/>
              </w:rPr>
            </w:r>
            <w:r>
              <w:rPr>
                <w:noProof/>
                <w:webHidden/>
              </w:rPr>
              <w:fldChar w:fldCharType="separate"/>
            </w:r>
            <w:r>
              <w:rPr>
                <w:noProof/>
                <w:webHidden/>
              </w:rPr>
              <w:t>14</w:t>
            </w:r>
            <w:r>
              <w:rPr>
                <w:noProof/>
                <w:webHidden/>
              </w:rPr>
              <w:fldChar w:fldCharType="end"/>
            </w:r>
          </w:hyperlink>
        </w:p>
        <w:p w:rsidR="00123BFC" w:rsidRDefault="00123BFC" w14:paraId="1789AF06" w14:textId="35D6B78E">
          <w:pPr>
            <w:pStyle w:val="TOC3"/>
            <w:rPr>
              <w:rFonts w:eastAsiaTheme="minorEastAsia"/>
              <w:noProof/>
              <w:kern w:val="2"/>
              <w:lang w:val="en-US"/>
              <w14:ligatures w14:val="standardContextual"/>
            </w:rPr>
          </w:pPr>
          <w:hyperlink w:history="1" w:anchor="_Toc151373918">
            <w:r w:rsidRPr="005619F3">
              <w:rPr>
                <w:rStyle w:val="Hyperlink"/>
                <w:noProof/>
                <w:lang w:val="fr-CA"/>
              </w:rPr>
              <w:t>3.2.8</w:t>
            </w:r>
            <w:r>
              <w:rPr>
                <w:rFonts w:eastAsiaTheme="minorEastAsia"/>
                <w:noProof/>
                <w:kern w:val="2"/>
                <w:lang w:val="en-US"/>
                <w14:ligatures w14:val="standardContextual"/>
              </w:rPr>
              <w:tab/>
            </w:r>
            <w:r w:rsidRPr="005619F3">
              <w:rPr>
                <w:rStyle w:val="Hyperlink"/>
                <w:noProof/>
                <w:lang w:val="fr-CA"/>
              </w:rPr>
              <w:t>Non-conformité à l’obligation de compenser (paragraphe 7.2.8)</w:t>
            </w:r>
            <w:r>
              <w:rPr>
                <w:noProof/>
                <w:webHidden/>
              </w:rPr>
              <w:tab/>
            </w:r>
            <w:r>
              <w:rPr>
                <w:noProof/>
                <w:webHidden/>
              </w:rPr>
              <w:fldChar w:fldCharType="begin"/>
            </w:r>
            <w:r>
              <w:rPr>
                <w:noProof/>
                <w:webHidden/>
              </w:rPr>
              <w:instrText xml:space="preserve"> PAGEREF _Toc151373918 \h </w:instrText>
            </w:r>
            <w:r>
              <w:rPr>
                <w:noProof/>
                <w:webHidden/>
              </w:rPr>
            </w:r>
            <w:r>
              <w:rPr>
                <w:noProof/>
                <w:webHidden/>
              </w:rPr>
              <w:fldChar w:fldCharType="separate"/>
            </w:r>
            <w:r>
              <w:rPr>
                <w:noProof/>
                <w:webHidden/>
              </w:rPr>
              <w:t>15</w:t>
            </w:r>
            <w:r>
              <w:rPr>
                <w:noProof/>
                <w:webHidden/>
              </w:rPr>
              <w:fldChar w:fldCharType="end"/>
            </w:r>
          </w:hyperlink>
        </w:p>
        <w:p w:rsidR="00123BFC" w:rsidRDefault="00123BFC" w14:paraId="180C3234" w14:textId="79557CBA">
          <w:pPr>
            <w:pStyle w:val="TOC3"/>
            <w:rPr>
              <w:rFonts w:eastAsiaTheme="minorEastAsia"/>
              <w:noProof/>
              <w:kern w:val="2"/>
              <w:lang w:val="en-US"/>
              <w14:ligatures w14:val="standardContextual"/>
            </w:rPr>
          </w:pPr>
          <w:hyperlink w:history="1" w:anchor="_Toc151373919">
            <w:r w:rsidRPr="005619F3">
              <w:rPr>
                <w:rStyle w:val="Hyperlink"/>
                <w:noProof/>
                <w:lang w:val="fr-CA"/>
              </w:rPr>
              <w:t>3.2.9</w:t>
            </w:r>
            <w:r>
              <w:rPr>
                <w:rFonts w:eastAsiaTheme="minorEastAsia"/>
                <w:noProof/>
                <w:kern w:val="2"/>
                <w:lang w:val="en-US"/>
                <w14:ligatures w14:val="standardContextual"/>
              </w:rPr>
              <w:tab/>
            </w:r>
            <w:r w:rsidRPr="005619F3">
              <w:rPr>
                <w:rStyle w:val="Hyperlink"/>
                <w:noProof/>
                <w:lang w:val="fr-CA"/>
              </w:rPr>
              <w:t>Exemptions (paragraphe 7.2.9)</w:t>
            </w:r>
            <w:r>
              <w:rPr>
                <w:noProof/>
                <w:webHidden/>
              </w:rPr>
              <w:tab/>
            </w:r>
            <w:r>
              <w:rPr>
                <w:noProof/>
                <w:webHidden/>
              </w:rPr>
              <w:fldChar w:fldCharType="begin"/>
            </w:r>
            <w:r>
              <w:rPr>
                <w:noProof/>
                <w:webHidden/>
              </w:rPr>
              <w:instrText xml:space="preserve"> PAGEREF _Toc151373919 \h </w:instrText>
            </w:r>
            <w:r>
              <w:rPr>
                <w:noProof/>
                <w:webHidden/>
              </w:rPr>
            </w:r>
            <w:r>
              <w:rPr>
                <w:noProof/>
                <w:webHidden/>
              </w:rPr>
              <w:fldChar w:fldCharType="separate"/>
            </w:r>
            <w:r>
              <w:rPr>
                <w:noProof/>
                <w:webHidden/>
              </w:rPr>
              <w:t>15</w:t>
            </w:r>
            <w:r>
              <w:rPr>
                <w:noProof/>
                <w:webHidden/>
              </w:rPr>
              <w:fldChar w:fldCharType="end"/>
            </w:r>
          </w:hyperlink>
        </w:p>
        <w:p w:rsidR="00123BFC" w:rsidRDefault="00123BFC" w14:paraId="26EEB123" w14:textId="0C274671">
          <w:pPr>
            <w:pStyle w:val="TOC3"/>
            <w:rPr>
              <w:rFonts w:eastAsiaTheme="minorEastAsia"/>
              <w:noProof/>
              <w:kern w:val="2"/>
              <w:lang w:val="en-US"/>
              <w14:ligatures w14:val="standardContextual"/>
            </w:rPr>
          </w:pPr>
          <w:hyperlink w:history="1" w:anchor="_Toc151373920">
            <w:r w:rsidRPr="005619F3">
              <w:rPr>
                <w:rStyle w:val="Hyperlink"/>
                <w:noProof/>
                <w:lang w:val="fr-CA"/>
              </w:rPr>
              <w:t>3.2.10</w:t>
            </w:r>
            <w:r>
              <w:rPr>
                <w:rFonts w:eastAsiaTheme="minorEastAsia"/>
                <w:noProof/>
                <w:kern w:val="2"/>
                <w:lang w:val="en-US"/>
                <w14:ligatures w14:val="standardContextual"/>
              </w:rPr>
              <w:tab/>
            </w:r>
            <w:r w:rsidRPr="005619F3">
              <w:rPr>
                <w:rStyle w:val="Hyperlink"/>
                <w:noProof/>
                <w:lang w:val="fr-CA"/>
              </w:rPr>
              <w:t>Exigences relatives aux résumés de l’étude d’impact de la réglementation (paragraphe 7.2.10)</w:t>
            </w:r>
            <w:r>
              <w:rPr>
                <w:noProof/>
                <w:webHidden/>
              </w:rPr>
              <w:tab/>
            </w:r>
            <w:r>
              <w:rPr>
                <w:noProof/>
                <w:webHidden/>
              </w:rPr>
              <w:fldChar w:fldCharType="begin"/>
            </w:r>
            <w:r>
              <w:rPr>
                <w:noProof/>
                <w:webHidden/>
              </w:rPr>
              <w:instrText xml:space="preserve"> PAGEREF _Toc151373920 \h </w:instrText>
            </w:r>
            <w:r>
              <w:rPr>
                <w:noProof/>
                <w:webHidden/>
              </w:rPr>
            </w:r>
            <w:r>
              <w:rPr>
                <w:noProof/>
                <w:webHidden/>
              </w:rPr>
              <w:fldChar w:fldCharType="separate"/>
            </w:r>
            <w:r>
              <w:rPr>
                <w:noProof/>
                <w:webHidden/>
              </w:rPr>
              <w:t>17</w:t>
            </w:r>
            <w:r>
              <w:rPr>
                <w:noProof/>
                <w:webHidden/>
              </w:rPr>
              <w:fldChar w:fldCharType="end"/>
            </w:r>
          </w:hyperlink>
        </w:p>
        <w:p w:rsidR="00123BFC" w:rsidRDefault="00123BFC" w14:paraId="2E0E40B1" w14:textId="6092CB70">
          <w:pPr>
            <w:pStyle w:val="TOC3"/>
            <w:rPr>
              <w:rFonts w:eastAsiaTheme="minorEastAsia"/>
              <w:noProof/>
              <w:kern w:val="2"/>
              <w:lang w:val="en-US"/>
              <w14:ligatures w14:val="standardContextual"/>
            </w:rPr>
          </w:pPr>
          <w:hyperlink w:history="1" w:anchor="_Toc151373921">
            <w:r w:rsidRPr="005619F3">
              <w:rPr>
                <w:rStyle w:val="Hyperlink"/>
                <w:noProof/>
                <w:lang w:val="fr-CA"/>
              </w:rPr>
              <w:t>3.2.11</w:t>
            </w:r>
            <w:r>
              <w:rPr>
                <w:rFonts w:eastAsiaTheme="minorEastAsia"/>
                <w:noProof/>
                <w:kern w:val="2"/>
                <w:lang w:val="en-US"/>
                <w14:ligatures w14:val="standardContextual"/>
              </w:rPr>
              <w:tab/>
            </w:r>
            <w:r w:rsidRPr="005619F3">
              <w:rPr>
                <w:rStyle w:val="Hyperlink"/>
                <w:noProof/>
                <w:lang w:val="fr-CA"/>
              </w:rPr>
              <w:t>Exigence de présentation de rapports annuels (paragraphe 7.2.11)</w:t>
            </w:r>
            <w:r>
              <w:rPr>
                <w:noProof/>
                <w:webHidden/>
              </w:rPr>
              <w:tab/>
            </w:r>
            <w:r>
              <w:rPr>
                <w:noProof/>
                <w:webHidden/>
              </w:rPr>
              <w:fldChar w:fldCharType="begin"/>
            </w:r>
            <w:r>
              <w:rPr>
                <w:noProof/>
                <w:webHidden/>
              </w:rPr>
              <w:instrText xml:space="preserve"> PAGEREF _Toc151373921 \h </w:instrText>
            </w:r>
            <w:r>
              <w:rPr>
                <w:noProof/>
                <w:webHidden/>
              </w:rPr>
            </w:r>
            <w:r>
              <w:rPr>
                <w:noProof/>
                <w:webHidden/>
              </w:rPr>
              <w:fldChar w:fldCharType="separate"/>
            </w:r>
            <w:r>
              <w:rPr>
                <w:noProof/>
                <w:webHidden/>
              </w:rPr>
              <w:t>21</w:t>
            </w:r>
            <w:r>
              <w:rPr>
                <w:noProof/>
                <w:webHidden/>
              </w:rPr>
              <w:fldChar w:fldCharType="end"/>
            </w:r>
          </w:hyperlink>
        </w:p>
        <w:p w:rsidR="00123BFC" w:rsidRDefault="00123BFC" w14:paraId="73D489E2" w14:textId="4558E5B6">
          <w:pPr>
            <w:pStyle w:val="TOC1"/>
            <w:rPr>
              <w:rFonts w:eastAsiaTheme="minorEastAsia"/>
              <w:noProof/>
              <w:kern w:val="2"/>
              <w:lang w:val="en-US"/>
              <w14:ligatures w14:val="standardContextual"/>
            </w:rPr>
          </w:pPr>
          <w:hyperlink w:history="1" w:anchor="_Toc151373922">
            <w:r w:rsidRPr="005619F3">
              <w:rPr>
                <w:rStyle w:val="Hyperlink"/>
                <w:noProof/>
                <w:lang w:val="fr-CA"/>
              </w:rPr>
              <w:t>4.</w:t>
            </w:r>
            <w:r>
              <w:rPr>
                <w:rFonts w:eastAsiaTheme="minorEastAsia"/>
                <w:noProof/>
                <w:kern w:val="2"/>
                <w:lang w:val="en-US"/>
                <w14:ligatures w14:val="standardContextual"/>
              </w:rPr>
              <w:tab/>
            </w:r>
            <w:r w:rsidRPr="005619F3">
              <w:rPr>
                <w:rStyle w:val="Hyperlink"/>
                <w:noProof/>
                <w:lang w:val="fr-CA"/>
              </w:rPr>
              <w:t>La Lentille des petites entreprises (section 8)</w:t>
            </w:r>
            <w:r>
              <w:rPr>
                <w:noProof/>
                <w:webHidden/>
              </w:rPr>
              <w:tab/>
            </w:r>
            <w:r>
              <w:rPr>
                <w:noProof/>
                <w:webHidden/>
              </w:rPr>
              <w:fldChar w:fldCharType="begin"/>
            </w:r>
            <w:r>
              <w:rPr>
                <w:noProof/>
                <w:webHidden/>
              </w:rPr>
              <w:instrText xml:space="preserve"> PAGEREF _Toc151373922 \h </w:instrText>
            </w:r>
            <w:r>
              <w:rPr>
                <w:noProof/>
                <w:webHidden/>
              </w:rPr>
            </w:r>
            <w:r>
              <w:rPr>
                <w:noProof/>
                <w:webHidden/>
              </w:rPr>
              <w:fldChar w:fldCharType="separate"/>
            </w:r>
            <w:r>
              <w:rPr>
                <w:noProof/>
                <w:webHidden/>
              </w:rPr>
              <w:t>21</w:t>
            </w:r>
            <w:r>
              <w:rPr>
                <w:noProof/>
                <w:webHidden/>
              </w:rPr>
              <w:fldChar w:fldCharType="end"/>
            </w:r>
          </w:hyperlink>
        </w:p>
        <w:p w:rsidR="00123BFC" w:rsidRDefault="00123BFC" w14:paraId="3BBA9D29" w14:textId="30215724">
          <w:pPr>
            <w:pStyle w:val="TOC2"/>
            <w:rPr>
              <w:rFonts w:eastAsiaTheme="minorEastAsia"/>
              <w:noProof/>
              <w:kern w:val="2"/>
              <w:lang w:val="en-US"/>
              <w14:ligatures w14:val="standardContextual"/>
            </w:rPr>
          </w:pPr>
          <w:hyperlink w:history="1" w:anchor="_Toc151373923">
            <w:r w:rsidRPr="005619F3">
              <w:rPr>
                <w:rStyle w:val="Hyperlink"/>
                <w:noProof/>
                <w:lang w:val="fr-CA"/>
              </w:rPr>
              <w:t>4.1</w:t>
            </w:r>
            <w:r>
              <w:rPr>
                <w:rFonts w:eastAsiaTheme="minorEastAsia"/>
                <w:noProof/>
                <w:kern w:val="2"/>
                <w:lang w:val="en-US"/>
                <w14:ligatures w14:val="standardContextual"/>
              </w:rPr>
              <w:tab/>
            </w:r>
            <w:r w:rsidRPr="005619F3">
              <w:rPr>
                <w:rStyle w:val="Hyperlink"/>
                <w:noProof/>
                <w:lang w:val="fr-CA"/>
              </w:rPr>
              <w:t>Exigences de la politique (paragraphe 8.2)</w:t>
            </w:r>
            <w:r>
              <w:rPr>
                <w:noProof/>
                <w:webHidden/>
              </w:rPr>
              <w:tab/>
            </w:r>
            <w:r>
              <w:rPr>
                <w:noProof/>
                <w:webHidden/>
              </w:rPr>
              <w:fldChar w:fldCharType="begin"/>
            </w:r>
            <w:r>
              <w:rPr>
                <w:noProof/>
                <w:webHidden/>
              </w:rPr>
              <w:instrText xml:space="preserve"> PAGEREF _Toc151373923 \h </w:instrText>
            </w:r>
            <w:r>
              <w:rPr>
                <w:noProof/>
                <w:webHidden/>
              </w:rPr>
            </w:r>
            <w:r>
              <w:rPr>
                <w:noProof/>
                <w:webHidden/>
              </w:rPr>
              <w:fldChar w:fldCharType="separate"/>
            </w:r>
            <w:r>
              <w:rPr>
                <w:noProof/>
                <w:webHidden/>
              </w:rPr>
              <w:t>21</w:t>
            </w:r>
            <w:r>
              <w:rPr>
                <w:noProof/>
                <w:webHidden/>
              </w:rPr>
              <w:fldChar w:fldCharType="end"/>
            </w:r>
          </w:hyperlink>
        </w:p>
        <w:p w:rsidR="00123BFC" w:rsidRDefault="00123BFC" w14:paraId="012C03B1" w14:textId="6360C02D">
          <w:pPr>
            <w:pStyle w:val="TOC3"/>
            <w:rPr>
              <w:rFonts w:eastAsiaTheme="minorEastAsia"/>
              <w:noProof/>
              <w:kern w:val="2"/>
              <w:lang w:val="en-US"/>
              <w14:ligatures w14:val="standardContextual"/>
            </w:rPr>
          </w:pPr>
          <w:hyperlink w:history="1" w:anchor="_Toc151373924">
            <w:r w:rsidRPr="005619F3">
              <w:rPr>
                <w:rStyle w:val="Hyperlink"/>
                <w:noProof/>
                <w:lang w:val="fr-CA"/>
              </w:rPr>
              <w:t>4.1.1.</w:t>
            </w:r>
            <w:r>
              <w:rPr>
                <w:rFonts w:eastAsiaTheme="minorEastAsia"/>
                <w:noProof/>
                <w:kern w:val="2"/>
                <w:lang w:val="en-US"/>
                <w14:ligatures w14:val="standardContextual"/>
              </w:rPr>
              <w:tab/>
            </w:r>
            <w:r w:rsidRPr="005619F3">
              <w:rPr>
                <w:rStyle w:val="Hyperlink"/>
                <w:noProof/>
                <w:lang w:val="fr-CA"/>
              </w:rPr>
              <w:t>Détermination des répercussions sur les petites entreprises (paragraphe 8.2.1)</w:t>
            </w:r>
            <w:r>
              <w:rPr>
                <w:noProof/>
                <w:webHidden/>
              </w:rPr>
              <w:tab/>
            </w:r>
            <w:r>
              <w:rPr>
                <w:noProof/>
                <w:webHidden/>
              </w:rPr>
              <w:fldChar w:fldCharType="begin"/>
            </w:r>
            <w:r>
              <w:rPr>
                <w:noProof/>
                <w:webHidden/>
              </w:rPr>
              <w:instrText xml:space="preserve"> PAGEREF _Toc151373924 \h </w:instrText>
            </w:r>
            <w:r>
              <w:rPr>
                <w:noProof/>
                <w:webHidden/>
              </w:rPr>
            </w:r>
            <w:r>
              <w:rPr>
                <w:noProof/>
                <w:webHidden/>
              </w:rPr>
              <w:fldChar w:fldCharType="separate"/>
            </w:r>
            <w:r>
              <w:rPr>
                <w:noProof/>
                <w:webHidden/>
              </w:rPr>
              <w:t>22</w:t>
            </w:r>
            <w:r>
              <w:rPr>
                <w:noProof/>
                <w:webHidden/>
              </w:rPr>
              <w:fldChar w:fldCharType="end"/>
            </w:r>
          </w:hyperlink>
        </w:p>
        <w:p w:rsidR="00123BFC" w:rsidRDefault="00123BFC" w14:paraId="10964FF5" w14:textId="2863B383">
          <w:pPr>
            <w:pStyle w:val="TOC3"/>
            <w:rPr>
              <w:rFonts w:eastAsiaTheme="minorEastAsia"/>
              <w:noProof/>
              <w:kern w:val="2"/>
              <w:lang w:val="en-US"/>
              <w14:ligatures w14:val="standardContextual"/>
            </w:rPr>
          </w:pPr>
          <w:hyperlink w:history="1" w:anchor="_Toc151373925">
            <w:r w:rsidRPr="005619F3">
              <w:rPr>
                <w:rStyle w:val="Hyperlink"/>
                <w:noProof/>
                <w:lang w:val="fr-CA"/>
              </w:rPr>
              <w:t>4.1.2.</w:t>
            </w:r>
            <w:r>
              <w:rPr>
                <w:rFonts w:eastAsiaTheme="minorEastAsia"/>
                <w:noProof/>
                <w:kern w:val="2"/>
                <w:lang w:val="en-US"/>
                <w14:ligatures w14:val="standardContextual"/>
              </w:rPr>
              <w:tab/>
            </w:r>
            <w:r w:rsidRPr="005619F3">
              <w:rPr>
                <w:rStyle w:val="Hyperlink"/>
                <w:noProof/>
                <w:lang w:val="fr-CA"/>
              </w:rPr>
              <w:t>Description des répercussions sur les petites entreprises (paragraphe 8.2.2)</w:t>
            </w:r>
            <w:r>
              <w:rPr>
                <w:noProof/>
                <w:webHidden/>
              </w:rPr>
              <w:tab/>
            </w:r>
            <w:r>
              <w:rPr>
                <w:noProof/>
                <w:webHidden/>
              </w:rPr>
              <w:fldChar w:fldCharType="begin"/>
            </w:r>
            <w:r>
              <w:rPr>
                <w:noProof/>
                <w:webHidden/>
              </w:rPr>
              <w:instrText xml:space="preserve"> PAGEREF _Toc151373925 \h </w:instrText>
            </w:r>
            <w:r>
              <w:rPr>
                <w:noProof/>
                <w:webHidden/>
              </w:rPr>
            </w:r>
            <w:r>
              <w:rPr>
                <w:noProof/>
                <w:webHidden/>
              </w:rPr>
              <w:fldChar w:fldCharType="separate"/>
            </w:r>
            <w:r>
              <w:rPr>
                <w:noProof/>
                <w:webHidden/>
              </w:rPr>
              <w:t>22</w:t>
            </w:r>
            <w:r>
              <w:rPr>
                <w:noProof/>
                <w:webHidden/>
              </w:rPr>
              <w:fldChar w:fldCharType="end"/>
            </w:r>
          </w:hyperlink>
        </w:p>
        <w:p w:rsidR="00123BFC" w:rsidRDefault="00123BFC" w14:paraId="71861563" w14:textId="54C812DF">
          <w:pPr>
            <w:pStyle w:val="TOC3"/>
            <w:rPr>
              <w:rFonts w:eastAsiaTheme="minorEastAsia"/>
              <w:noProof/>
              <w:kern w:val="2"/>
              <w:lang w:val="en-US"/>
              <w14:ligatures w14:val="standardContextual"/>
            </w:rPr>
          </w:pPr>
          <w:hyperlink w:history="1" w:anchor="_Toc151373926">
            <w:r w:rsidRPr="005619F3">
              <w:rPr>
                <w:rStyle w:val="Hyperlink"/>
                <w:noProof/>
                <w:lang w:val="fr-CA"/>
              </w:rPr>
              <w:t>4.1.3.</w:t>
            </w:r>
            <w:r>
              <w:rPr>
                <w:rFonts w:eastAsiaTheme="minorEastAsia"/>
                <w:noProof/>
                <w:kern w:val="2"/>
                <w:lang w:val="en-US"/>
                <w14:ligatures w14:val="standardContextual"/>
              </w:rPr>
              <w:tab/>
            </w:r>
            <w:r w:rsidRPr="005619F3">
              <w:rPr>
                <w:rStyle w:val="Hyperlink"/>
                <w:noProof/>
                <w:lang w:val="fr-CA"/>
              </w:rPr>
              <w:t>Validation des estimations du fardeau administratif et de conformité (paragraphe 8.2.3)</w:t>
            </w:r>
            <w:r>
              <w:rPr>
                <w:noProof/>
                <w:webHidden/>
              </w:rPr>
              <w:tab/>
            </w:r>
            <w:r>
              <w:rPr>
                <w:noProof/>
                <w:webHidden/>
              </w:rPr>
              <w:fldChar w:fldCharType="begin"/>
            </w:r>
            <w:r>
              <w:rPr>
                <w:noProof/>
                <w:webHidden/>
              </w:rPr>
              <w:instrText xml:space="preserve"> PAGEREF _Toc151373926 \h </w:instrText>
            </w:r>
            <w:r>
              <w:rPr>
                <w:noProof/>
                <w:webHidden/>
              </w:rPr>
            </w:r>
            <w:r>
              <w:rPr>
                <w:noProof/>
                <w:webHidden/>
              </w:rPr>
              <w:fldChar w:fldCharType="separate"/>
            </w:r>
            <w:r>
              <w:rPr>
                <w:noProof/>
                <w:webHidden/>
              </w:rPr>
              <w:t>22</w:t>
            </w:r>
            <w:r>
              <w:rPr>
                <w:noProof/>
                <w:webHidden/>
              </w:rPr>
              <w:fldChar w:fldCharType="end"/>
            </w:r>
          </w:hyperlink>
        </w:p>
        <w:p w:rsidR="00123BFC" w:rsidRDefault="00123BFC" w14:paraId="3FEF62D3" w14:textId="75C2A931">
          <w:pPr>
            <w:pStyle w:val="TOC3"/>
            <w:rPr>
              <w:rFonts w:eastAsiaTheme="minorEastAsia"/>
              <w:noProof/>
              <w:kern w:val="2"/>
              <w:lang w:val="en-US"/>
              <w14:ligatures w14:val="standardContextual"/>
            </w:rPr>
          </w:pPr>
          <w:hyperlink w:history="1" w:anchor="_Toc151373927">
            <w:r w:rsidRPr="005619F3">
              <w:rPr>
                <w:rStyle w:val="Hyperlink"/>
                <w:noProof/>
                <w:lang w:val="fr-CA"/>
              </w:rPr>
              <w:t>4.1.4.</w:t>
            </w:r>
            <w:r>
              <w:rPr>
                <w:rFonts w:eastAsiaTheme="minorEastAsia"/>
                <w:noProof/>
                <w:kern w:val="2"/>
                <w:lang w:val="en-US"/>
                <w14:ligatures w14:val="standardContextual"/>
              </w:rPr>
              <w:tab/>
            </w:r>
            <w:r w:rsidRPr="005619F3">
              <w:rPr>
                <w:rStyle w:val="Hyperlink"/>
                <w:noProof/>
                <w:lang w:val="fr-CA"/>
              </w:rPr>
              <w:t>Prise en compte des besoins des petites entreprises (paragraphe 8.2.4)</w:t>
            </w:r>
            <w:r>
              <w:rPr>
                <w:noProof/>
                <w:webHidden/>
              </w:rPr>
              <w:tab/>
            </w:r>
            <w:r>
              <w:rPr>
                <w:noProof/>
                <w:webHidden/>
              </w:rPr>
              <w:fldChar w:fldCharType="begin"/>
            </w:r>
            <w:r>
              <w:rPr>
                <w:noProof/>
                <w:webHidden/>
              </w:rPr>
              <w:instrText xml:space="preserve"> PAGEREF _Toc151373927 \h </w:instrText>
            </w:r>
            <w:r>
              <w:rPr>
                <w:noProof/>
                <w:webHidden/>
              </w:rPr>
            </w:r>
            <w:r>
              <w:rPr>
                <w:noProof/>
                <w:webHidden/>
              </w:rPr>
              <w:fldChar w:fldCharType="separate"/>
            </w:r>
            <w:r>
              <w:rPr>
                <w:noProof/>
                <w:webHidden/>
              </w:rPr>
              <w:t>23</w:t>
            </w:r>
            <w:r>
              <w:rPr>
                <w:noProof/>
                <w:webHidden/>
              </w:rPr>
              <w:fldChar w:fldCharType="end"/>
            </w:r>
          </w:hyperlink>
        </w:p>
        <w:p w:rsidR="00123BFC" w:rsidRDefault="00123BFC" w14:paraId="5DAF1171" w14:textId="32801823">
          <w:pPr>
            <w:pStyle w:val="TOC3"/>
            <w:rPr>
              <w:rFonts w:eastAsiaTheme="minorEastAsia"/>
              <w:noProof/>
              <w:kern w:val="2"/>
              <w:lang w:val="en-US"/>
              <w14:ligatures w14:val="standardContextual"/>
            </w:rPr>
          </w:pPr>
          <w:hyperlink w:history="1" w:anchor="_Toc151373928">
            <w:r w:rsidRPr="005619F3">
              <w:rPr>
                <w:rStyle w:val="Hyperlink"/>
                <w:noProof/>
                <w:lang w:val="fr-CA"/>
              </w:rPr>
              <w:t>4.1.5.</w:t>
            </w:r>
            <w:r>
              <w:rPr>
                <w:rFonts w:eastAsiaTheme="minorEastAsia"/>
                <w:noProof/>
                <w:kern w:val="2"/>
                <w:lang w:val="en-US"/>
                <w14:ligatures w14:val="standardContextual"/>
              </w:rPr>
              <w:tab/>
            </w:r>
            <w:r w:rsidRPr="005619F3">
              <w:rPr>
                <w:rStyle w:val="Hyperlink"/>
                <w:noProof/>
                <w:lang w:val="fr-CA"/>
              </w:rPr>
              <w:t>Exigences plus souples pour les petites entreprises (paragraphe 8.2.5)</w:t>
            </w:r>
            <w:r>
              <w:rPr>
                <w:noProof/>
                <w:webHidden/>
              </w:rPr>
              <w:tab/>
            </w:r>
            <w:r>
              <w:rPr>
                <w:noProof/>
                <w:webHidden/>
              </w:rPr>
              <w:fldChar w:fldCharType="begin"/>
            </w:r>
            <w:r>
              <w:rPr>
                <w:noProof/>
                <w:webHidden/>
              </w:rPr>
              <w:instrText xml:space="preserve"> PAGEREF _Toc151373928 \h </w:instrText>
            </w:r>
            <w:r>
              <w:rPr>
                <w:noProof/>
                <w:webHidden/>
              </w:rPr>
            </w:r>
            <w:r>
              <w:rPr>
                <w:noProof/>
                <w:webHidden/>
              </w:rPr>
              <w:fldChar w:fldCharType="separate"/>
            </w:r>
            <w:r>
              <w:rPr>
                <w:noProof/>
                <w:webHidden/>
              </w:rPr>
              <w:t>24</w:t>
            </w:r>
            <w:r>
              <w:rPr>
                <w:noProof/>
                <w:webHidden/>
              </w:rPr>
              <w:fldChar w:fldCharType="end"/>
            </w:r>
          </w:hyperlink>
        </w:p>
        <w:p w:rsidR="00123BFC" w:rsidRDefault="00123BFC" w14:paraId="203CFF42" w14:textId="6317D101">
          <w:pPr>
            <w:pStyle w:val="TOC3"/>
            <w:rPr>
              <w:rFonts w:eastAsiaTheme="minorEastAsia"/>
              <w:noProof/>
              <w:kern w:val="2"/>
              <w:lang w:val="en-US"/>
              <w14:ligatures w14:val="standardContextual"/>
            </w:rPr>
          </w:pPr>
          <w:hyperlink w:history="1" w:anchor="_Toc151373929">
            <w:r w:rsidRPr="005619F3">
              <w:rPr>
                <w:rStyle w:val="Hyperlink"/>
                <w:noProof/>
                <w:lang w:val="fr-CA"/>
              </w:rPr>
              <w:t>4.1.6.</w:t>
            </w:r>
            <w:r>
              <w:rPr>
                <w:rFonts w:eastAsiaTheme="minorEastAsia"/>
                <w:noProof/>
                <w:kern w:val="2"/>
                <w:lang w:val="en-US"/>
                <w14:ligatures w14:val="standardContextual"/>
              </w:rPr>
              <w:tab/>
            </w:r>
            <w:r w:rsidRPr="005619F3">
              <w:rPr>
                <w:rStyle w:val="Hyperlink"/>
                <w:noProof/>
                <w:lang w:val="fr-CA"/>
              </w:rPr>
              <w:t>Calcul des coûts administratifs et de conformité (paragraphe 8.2.6)</w:t>
            </w:r>
            <w:r>
              <w:rPr>
                <w:noProof/>
                <w:webHidden/>
              </w:rPr>
              <w:tab/>
            </w:r>
            <w:r>
              <w:rPr>
                <w:noProof/>
                <w:webHidden/>
              </w:rPr>
              <w:fldChar w:fldCharType="begin"/>
            </w:r>
            <w:r>
              <w:rPr>
                <w:noProof/>
                <w:webHidden/>
              </w:rPr>
              <w:instrText xml:space="preserve"> PAGEREF _Toc151373929 \h </w:instrText>
            </w:r>
            <w:r>
              <w:rPr>
                <w:noProof/>
                <w:webHidden/>
              </w:rPr>
            </w:r>
            <w:r>
              <w:rPr>
                <w:noProof/>
                <w:webHidden/>
              </w:rPr>
              <w:fldChar w:fldCharType="separate"/>
            </w:r>
            <w:r>
              <w:rPr>
                <w:noProof/>
                <w:webHidden/>
              </w:rPr>
              <w:t>25</w:t>
            </w:r>
            <w:r>
              <w:rPr>
                <w:noProof/>
                <w:webHidden/>
              </w:rPr>
              <w:fldChar w:fldCharType="end"/>
            </w:r>
          </w:hyperlink>
        </w:p>
        <w:p w:rsidR="00123BFC" w:rsidRDefault="00123BFC" w14:paraId="5F194D55" w14:textId="23E162F5">
          <w:pPr>
            <w:pStyle w:val="TOC3"/>
            <w:rPr>
              <w:rFonts w:eastAsiaTheme="minorEastAsia"/>
              <w:noProof/>
              <w:kern w:val="2"/>
              <w:lang w:val="en-US"/>
              <w14:ligatures w14:val="standardContextual"/>
            </w:rPr>
          </w:pPr>
          <w:hyperlink w:history="1" w:anchor="_Toc151373930">
            <w:r w:rsidRPr="005619F3">
              <w:rPr>
                <w:rStyle w:val="Hyperlink"/>
                <w:noProof/>
                <w:lang w:val="fr-CA"/>
              </w:rPr>
              <w:t>4.1.7.</w:t>
            </w:r>
            <w:r>
              <w:rPr>
                <w:rFonts w:eastAsiaTheme="minorEastAsia"/>
                <w:noProof/>
                <w:kern w:val="2"/>
                <w:lang w:val="en-US"/>
                <w14:ligatures w14:val="standardContextual"/>
              </w:rPr>
              <w:tab/>
            </w:r>
            <w:r w:rsidRPr="005619F3">
              <w:rPr>
                <w:rStyle w:val="Hyperlink"/>
                <w:noProof/>
                <w:lang w:val="fr-CA"/>
              </w:rPr>
              <w:t>Exigences liées aux résumés de l’étude d’impact de la réglementation (paragraphe 8.2.7)</w:t>
            </w:r>
            <w:r>
              <w:rPr>
                <w:noProof/>
                <w:webHidden/>
              </w:rPr>
              <w:tab/>
            </w:r>
            <w:r>
              <w:rPr>
                <w:noProof/>
                <w:webHidden/>
              </w:rPr>
              <w:fldChar w:fldCharType="begin"/>
            </w:r>
            <w:r>
              <w:rPr>
                <w:noProof/>
                <w:webHidden/>
              </w:rPr>
              <w:instrText xml:space="preserve"> PAGEREF _Toc151373930 \h </w:instrText>
            </w:r>
            <w:r>
              <w:rPr>
                <w:noProof/>
                <w:webHidden/>
              </w:rPr>
            </w:r>
            <w:r>
              <w:rPr>
                <w:noProof/>
                <w:webHidden/>
              </w:rPr>
              <w:fldChar w:fldCharType="separate"/>
            </w:r>
            <w:r>
              <w:rPr>
                <w:noProof/>
                <w:webHidden/>
              </w:rPr>
              <w:t>25</w:t>
            </w:r>
            <w:r>
              <w:rPr>
                <w:noProof/>
                <w:webHidden/>
              </w:rPr>
              <w:fldChar w:fldCharType="end"/>
            </w:r>
          </w:hyperlink>
        </w:p>
        <w:p w:rsidR="00123BFC" w:rsidRDefault="00123BFC" w14:paraId="68B8A538" w14:textId="15C7A894">
          <w:pPr>
            <w:pStyle w:val="TOC1"/>
            <w:rPr>
              <w:rFonts w:eastAsiaTheme="minorEastAsia"/>
              <w:noProof/>
              <w:kern w:val="2"/>
              <w:lang w:val="en-US"/>
              <w14:ligatures w14:val="standardContextual"/>
            </w:rPr>
          </w:pPr>
          <w:hyperlink w:history="1" w:anchor="_Toc151373931">
            <w:r w:rsidRPr="005619F3">
              <w:rPr>
                <w:rStyle w:val="Hyperlink"/>
                <w:noProof/>
                <w:lang w:val="fr-CA"/>
              </w:rPr>
              <w:t>5.</w:t>
            </w:r>
            <w:r>
              <w:rPr>
                <w:rFonts w:eastAsiaTheme="minorEastAsia"/>
                <w:noProof/>
                <w:kern w:val="2"/>
                <w:lang w:val="en-US"/>
                <w14:ligatures w14:val="standardContextual"/>
              </w:rPr>
              <w:tab/>
            </w:r>
            <w:r w:rsidRPr="005619F3">
              <w:rPr>
                <w:rStyle w:val="Hyperlink"/>
                <w:noProof/>
                <w:lang w:val="fr-CA"/>
              </w:rPr>
              <w:t>Liste de vérification de la Lentille des petites entreprises (annexe C)</w:t>
            </w:r>
            <w:r>
              <w:rPr>
                <w:noProof/>
                <w:webHidden/>
              </w:rPr>
              <w:tab/>
            </w:r>
            <w:r>
              <w:rPr>
                <w:noProof/>
                <w:webHidden/>
              </w:rPr>
              <w:fldChar w:fldCharType="begin"/>
            </w:r>
            <w:r>
              <w:rPr>
                <w:noProof/>
                <w:webHidden/>
              </w:rPr>
              <w:instrText xml:space="preserve"> PAGEREF _Toc151373931 \h </w:instrText>
            </w:r>
            <w:r>
              <w:rPr>
                <w:noProof/>
                <w:webHidden/>
              </w:rPr>
            </w:r>
            <w:r>
              <w:rPr>
                <w:noProof/>
                <w:webHidden/>
              </w:rPr>
              <w:fldChar w:fldCharType="separate"/>
            </w:r>
            <w:r>
              <w:rPr>
                <w:noProof/>
                <w:webHidden/>
              </w:rPr>
              <w:t>29</w:t>
            </w:r>
            <w:r>
              <w:rPr>
                <w:noProof/>
                <w:webHidden/>
              </w:rPr>
              <w:fldChar w:fldCharType="end"/>
            </w:r>
          </w:hyperlink>
        </w:p>
        <w:p w:rsidRPr="00FA558D" w:rsidR="00B91619" w:rsidP="00B91619" w:rsidRDefault="00B91619" w14:paraId="099B2232" w14:textId="0EA75267">
          <w:pPr>
            <w:rPr>
              <w:lang w:val="fr-CA"/>
            </w:rPr>
          </w:pPr>
          <w:r w:rsidRPr="00FA558D">
            <w:rPr>
              <w:b/>
              <w:bCs/>
              <w:noProof/>
              <w:lang w:val="fr-CA"/>
            </w:rPr>
            <w:fldChar w:fldCharType="end"/>
          </w:r>
        </w:p>
      </w:sdtContent>
    </w:sdt>
    <w:p w:rsidRPr="00FA558D" w:rsidR="00B91619" w:rsidP="00B91619" w:rsidRDefault="00B91619" w14:paraId="1F7B904A" w14:textId="77777777">
      <w:pPr>
        <w:spacing w:after="0" w:line="240" w:lineRule="auto"/>
        <w:ind w:right="990"/>
        <w:rPr>
          <w:lang w:val="fr-CA"/>
        </w:rPr>
      </w:pPr>
    </w:p>
    <w:p w:rsidRPr="00FA558D" w:rsidR="00B91619" w:rsidP="00B91619" w:rsidRDefault="00B91619" w14:paraId="625B1C3B" w14:textId="77777777">
      <w:pPr>
        <w:spacing w:after="0" w:line="240" w:lineRule="auto"/>
        <w:ind w:right="990"/>
        <w:rPr>
          <w:lang w:val="fr-CA"/>
        </w:rPr>
        <w:sectPr w:rsidRPr="00FA558D" w:rsidR="00B91619" w:rsidSect="00523C5D">
          <w:footerReference w:type="default" r:id="rId14"/>
          <w:headerReference w:type="first" r:id="rId15"/>
          <w:footerReference w:type="first" r:id="rId16"/>
          <w:pgSz w:w="12240" w:h="15840" w:orient="portrait" w:code="1"/>
          <w:pgMar w:top="1440" w:right="1440" w:bottom="1440" w:left="1440" w:header="706" w:footer="706" w:gutter="0"/>
          <w:pgNumType w:start="1"/>
          <w:cols w:space="708"/>
          <w:titlePg/>
          <w:docGrid w:linePitch="360"/>
        </w:sectPr>
      </w:pPr>
    </w:p>
    <w:p w:rsidRPr="00FA558D" w:rsidR="00B91619" w:rsidP="00B91619" w:rsidRDefault="00B91619" w14:paraId="5C56E9DC" w14:textId="77777777">
      <w:pPr>
        <w:pStyle w:val="Heading1"/>
        <w:rPr>
          <w:lang w:val="fr-CA"/>
        </w:rPr>
      </w:pPr>
      <w:bookmarkStart w:name="_Toc525731631" w:id="6"/>
      <w:bookmarkStart w:name="_Toc525808561" w:id="7"/>
      <w:bookmarkStart w:name="_Toc525912419" w:id="8"/>
      <w:bookmarkStart w:name="_Toc527971343" w:id="9"/>
      <w:bookmarkStart w:name="_Toc527971818" w:id="10"/>
      <w:bookmarkStart w:name="_Toc151373906" w:id="11"/>
      <w:bookmarkEnd w:id="6"/>
      <w:bookmarkEnd w:id="7"/>
      <w:bookmarkEnd w:id="8"/>
      <w:bookmarkEnd w:id="9"/>
      <w:bookmarkEnd w:id="10"/>
      <w:r w:rsidRPr="00FA558D">
        <w:rPr>
          <w:lang w:val="fr-CA"/>
        </w:rPr>
        <w:t>Introduction</w:t>
      </w:r>
      <w:bookmarkEnd w:id="11"/>
    </w:p>
    <w:p w:rsidRPr="00FA558D" w:rsidR="00B91619" w:rsidP="00B91619" w:rsidRDefault="00B91619" w14:paraId="0D568261" w14:textId="77777777">
      <w:pPr>
        <w:tabs>
          <w:tab w:val="left" w:pos="9356"/>
        </w:tabs>
        <w:spacing w:after="0" w:line="240" w:lineRule="auto"/>
        <w:rPr>
          <w:lang w:val="fr-CA"/>
        </w:rPr>
      </w:pPr>
    </w:p>
    <w:p w:rsidRPr="00FA558D" w:rsidR="00B91619" w:rsidP="00B91619" w:rsidRDefault="00B91619" w14:paraId="4AD47477" w14:textId="33A623CD">
      <w:pPr>
        <w:tabs>
          <w:tab w:val="left" w:pos="9356"/>
        </w:tabs>
        <w:spacing w:after="0" w:line="240" w:lineRule="auto"/>
        <w:rPr>
          <w:lang w:val="fr-CA"/>
        </w:rPr>
      </w:pPr>
      <w:r>
        <w:rPr>
          <w:lang w:val="fr-CA"/>
        </w:rPr>
        <w:t>La</w:t>
      </w:r>
      <w:r w:rsidRPr="00FA558D">
        <w:rPr>
          <w:lang w:val="fr-CA"/>
        </w:rPr>
        <w:t xml:space="preserve"> </w:t>
      </w:r>
      <w:hyperlink w:history="1" r:id="rId17">
        <w:r w:rsidRPr="00FA558D">
          <w:rPr>
            <w:rStyle w:val="Hyperlink"/>
            <w:lang w:val="fr-CA"/>
          </w:rPr>
          <w:t>Politique sur la limitation du fardeau réglementaire sur les entreprises</w:t>
        </w:r>
      </w:hyperlink>
      <w:r w:rsidR="00E568C2">
        <w:rPr>
          <w:lang w:val="fr-CA"/>
        </w:rPr>
        <w:t xml:space="preserve">, qui </w:t>
      </w:r>
      <w:r>
        <w:rPr>
          <w:lang w:val="fr-CA"/>
        </w:rPr>
        <w:t>a été publiée le 1</w:t>
      </w:r>
      <w:r w:rsidRPr="005F6685">
        <w:rPr>
          <w:vertAlign w:val="superscript"/>
          <w:lang w:val="fr-CA"/>
        </w:rPr>
        <w:t>er</w:t>
      </w:r>
      <w:r w:rsidR="00773503">
        <w:rPr>
          <w:vertAlign w:val="superscript"/>
          <w:lang w:val="fr-CA"/>
        </w:rPr>
        <w:t> </w:t>
      </w:r>
      <w:r>
        <w:rPr>
          <w:lang w:val="fr-CA"/>
        </w:rPr>
        <w:t>septembre</w:t>
      </w:r>
      <w:r w:rsidR="000438BD">
        <w:rPr>
          <w:lang w:val="fr-CA"/>
        </w:rPr>
        <w:t> </w:t>
      </w:r>
      <w:r w:rsidRPr="00FA558D">
        <w:rPr>
          <w:lang w:val="fr-CA"/>
        </w:rPr>
        <w:t>2018</w:t>
      </w:r>
      <w:r w:rsidR="00E568C2">
        <w:rPr>
          <w:lang w:val="fr-CA"/>
        </w:rPr>
        <w:t>,</w:t>
      </w:r>
      <w:r>
        <w:rPr>
          <w:lang w:val="fr-CA"/>
        </w:rPr>
        <w:t xml:space="preserve"> définit les exigences </w:t>
      </w:r>
      <w:r w:rsidR="000438BD">
        <w:rPr>
          <w:lang w:val="fr-CA"/>
        </w:rPr>
        <w:t>précises de</w:t>
      </w:r>
      <w:r>
        <w:rPr>
          <w:lang w:val="fr-CA"/>
        </w:rPr>
        <w:t xml:space="preserve"> la règle du « un pour un » et </w:t>
      </w:r>
      <w:r w:rsidR="007804CD">
        <w:rPr>
          <w:lang w:val="fr-CA"/>
        </w:rPr>
        <w:t xml:space="preserve">de </w:t>
      </w:r>
      <w:r>
        <w:rPr>
          <w:lang w:val="fr-CA"/>
        </w:rPr>
        <w:t xml:space="preserve">la </w:t>
      </w:r>
      <w:r w:rsidR="00BD04F6">
        <w:rPr>
          <w:lang w:val="fr-CA"/>
        </w:rPr>
        <w:t xml:space="preserve">Lentille </w:t>
      </w:r>
      <w:r>
        <w:rPr>
          <w:lang w:val="fr-CA"/>
        </w:rPr>
        <w:t>des petites entreprises</w:t>
      </w:r>
      <w:r w:rsidRPr="00FA558D">
        <w:rPr>
          <w:lang w:val="fr-CA"/>
        </w:rPr>
        <w:t xml:space="preserve">. </w:t>
      </w:r>
      <w:r>
        <w:rPr>
          <w:lang w:val="fr-CA"/>
        </w:rPr>
        <w:t xml:space="preserve">Le fondement juridique de la règle du « un pour un » se trouve dans la </w:t>
      </w:r>
      <w:hyperlink w:history="1" r:id="rId18">
        <w:r w:rsidRPr="005F6685">
          <w:rPr>
            <w:rStyle w:val="Hyperlink"/>
            <w:i/>
            <w:iCs/>
            <w:lang w:val="fr-CA"/>
          </w:rPr>
          <w:t>Loi sur la réduction de la paperasse</w:t>
        </w:r>
      </w:hyperlink>
      <w:r>
        <w:rPr>
          <w:lang w:val="fr-CA"/>
        </w:rPr>
        <w:t xml:space="preserve"> et l</w:t>
      </w:r>
      <w:r w:rsidRPr="00FA558D">
        <w:rPr>
          <w:lang w:val="fr-CA"/>
        </w:rPr>
        <w:t xml:space="preserve">e </w:t>
      </w:r>
      <w:hyperlink w:history="1" r:id="rId19">
        <w:r w:rsidRPr="005F6685">
          <w:rPr>
            <w:rStyle w:val="Hyperlink"/>
            <w:i/>
            <w:iCs/>
            <w:lang w:val="fr-CA"/>
          </w:rPr>
          <w:t>Règlement sur la réduction de la paperasse</w:t>
        </w:r>
      </w:hyperlink>
      <w:r w:rsidRPr="00FA558D">
        <w:rPr>
          <w:lang w:val="fr-CA"/>
        </w:rPr>
        <w:t xml:space="preserve">. </w:t>
      </w:r>
      <w:r>
        <w:rPr>
          <w:lang w:val="fr-CA"/>
        </w:rPr>
        <w:t xml:space="preserve">La règle et la </w:t>
      </w:r>
      <w:r w:rsidR="00827BD1">
        <w:rPr>
          <w:lang w:val="fr-CA"/>
        </w:rPr>
        <w:t>lentille</w:t>
      </w:r>
      <w:r w:rsidR="00BD04F6">
        <w:rPr>
          <w:lang w:val="fr-CA"/>
        </w:rPr>
        <w:t xml:space="preserve"> </w:t>
      </w:r>
      <w:r>
        <w:rPr>
          <w:lang w:val="fr-CA"/>
        </w:rPr>
        <w:t xml:space="preserve">sont </w:t>
      </w:r>
      <w:r w:rsidR="000438BD">
        <w:rPr>
          <w:lang w:val="fr-CA"/>
        </w:rPr>
        <w:t xml:space="preserve">décrites </w:t>
      </w:r>
      <w:r>
        <w:rPr>
          <w:lang w:val="fr-CA"/>
        </w:rPr>
        <w:t xml:space="preserve">dans la </w:t>
      </w:r>
      <w:hyperlink w:history="1" r:id="rId20">
        <w:r w:rsidRPr="00FA558D">
          <w:rPr>
            <w:rStyle w:val="Hyperlink"/>
            <w:lang w:val="fr-CA"/>
          </w:rPr>
          <w:t>Directive du Cabinet sur la réglementation</w:t>
        </w:r>
      </w:hyperlink>
      <w:r w:rsidRPr="00FA558D">
        <w:rPr>
          <w:lang w:val="fr-CA"/>
        </w:rPr>
        <w:t>,</w:t>
      </w:r>
      <w:r>
        <w:rPr>
          <w:lang w:val="fr-CA"/>
        </w:rPr>
        <w:t xml:space="preserve"> laquelle énonce les exigences </w:t>
      </w:r>
      <w:r w:rsidR="000438BD">
        <w:rPr>
          <w:lang w:val="fr-CA"/>
        </w:rPr>
        <w:t xml:space="preserve">relatives </w:t>
      </w:r>
      <w:r>
        <w:rPr>
          <w:lang w:val="fr-CA"/>
        </w:rPr>
        <w:t>aux projets de règlement du gouvernement fédéral</w:t>
      </w:r>
      <w:r w:rsidRPr="00FA558D">
        <w:rPr>
          <w:lang w:val="fr-CA"/>
        </w:rPr>
        <w:t>.</w:t>
      </w:r>
    </w:p>
    <w:p w:rsidRPr="00FA558D" w:rsidR="00B91619" w:rsidP="00B91619" w:rsidRDefault="00B91619" w14:paraId="5384E008" w14:textId="77777777">
      <w:pPr>
        <w:tabs>
          <w:tab w:val="left" w:pos="4008"/>
        </w:tabs>
        <w:spacing w:after="0" w:line="240" w:lineRule="auto"/>
        <w:rPr>
          <w:lang w:val="fr-CA"/>
        </w:rPr>
      </w:pPr>
      <w:r>
        <w:rPr>
          <w:lang w:val="fr-CA"/>
        </w:rPr>
        <w:tab/>
      </w:r>
    </w:p>
    <w:p w:rsidRPr="00FA558D" w:rsidR="00B91619" w:rsidP="00B91619" w:rsidRDefault="00B91619" w14:paraId="2B9374D7" w14:textId="31474334">
      <w:pPr>
        <w:tabs>
          <w:tab w:val="left" w:pos="9356"/>
        </w:tabs>
        <w:spacing w:after="0" w:line="240" w:lineRule="auto"/>
        <w:rPr>
          <w:lang w:val="fr-CA"/>
        </w:rPr>
      </w:pPr>
      <w:r>
        <w:rPr>
          <w:lang w:val="fr-CA"/>
        </w:rPr>
        <w:t>Le présent guide</w:t>
      </w:r>
      <w:r w:rsidRPr="00FA558D">
        <w:rPr>
          <w:lang w:val="fr-CA"/>
        </w:rPr>
        <w:t xml:space="preserve"> </w:t>
      </w:r>
      <w:r>
        <w:rPr>
          <w:lang w:val="fr-CA"/>
        </w:rPr>
        <w:t>a été</w:t>
      </w:r>
      <w:r w:rsidRPr="00FA558D">
        <w:rPr>
          <w:lang w:val="fr-CA"/>
        </w:rPr>
        <w:t xml:space="preserve"> </w:t>
      </w:r>
      <w:r>
        <w:rPr>
          <w:lang w:val="fr-CA"/>
        </w:rPr>
        <w:t>élaboré</w:t>
      </w:r>
      <w:r w:rsidRPr="00FA558D">
        <w:rPr>
          <w:lang w:val="fr-CA"/>
        </w:rPr>
        <w:t xml:space="preserve"> </w:t>
      </w:r>
      <w:r>
        <w:rPr>
          <w:lang w:val="fr-CA"/>
        </w:rPr>
        <w:t>par le Centre d</w:t>
      </w:r>
      <w:r w:rsidR="00797493">
        <w:rPr>
          <w:lang w:val="fr-CA"/>
        </w:rPr>
        <w:t>e compétences</w:t>
      </w:r>
      <w:r>
        <w:rPr>
          <w:lang w:val="fr-CA"/>
        </w:rPr>
        <w:t xml:space="preserve"> </w:t>
      </w:r>
      <w:r w:rsidR="00875740">
        <w:rPr>
          <w:lang w:val="fr-CA"/>
        </w:rPr>
        <w:t xml:space="preserve">réglementaire </w:t>
      </w:r>
      <w:r>
        <w:rPr>
          <w:lang w:val="fr-CA"/>
        </w:rPr>
        <w:t>du</w:t>
      </w:r>
      <w:r w:rsidRPr="00FA558D">
        <w:rPr>
          <w:lang w:val="fr-CA"/>
        </w:rPr>
        <w:t xml:space="preserve"> </w:t>
      </w:r>
      <w:r>
        <w:rPr>
          <w:lang w:val="fr-CA"/>
        </w:rPr>
        <w:t xml:space="preserve">Secteur des </w:t>
      </w:r>
      <w:r w:rsidR="007C1161">
        <w:rPr>
          <w:lang w:val="fr-CA"/>
        </w:rPr>
        <w:t>af</w:t>
      </w:r>
      <w:r>
        <w:rPr>
          <w:lang w:val="fr-CA"/>
        </w:rPr>
        <w:t>faires réglementaires</w:t>
      </w:r>
      <w:r w:rsidRPr="00FA558D">
        <w:rPr>
          <w:lang w:val="fr-CA"/>
        </w:rPr>
        <w:t xml:space="preserve"> </w:t>
      </w:r>
      <w:r>
        <w:rPr>
          <w:lang w:val="fr-CA"/>
        </w:rPr>
        <w:t>du Secrétariat du Conseil du Trésor du Canada</w:t>
      </w:r>
      <w:r w:rsidR="000438BD">
        <w:rPr>
          <w:lang w:val="fr-CA"/>
        </w:rPr>
        <w:t xml:space="preserve"> (SCT) </w:t>
      </w:r>
      <w:r w:rsidR="00BD04F6">
        <w:rPr>
          <w:lang w:val="fr-CA"/>
        </w:rPr>
        <w:t>dans le but d’</w:t>
      </w:r>
      <w:r>
        <w:rPr>
          <w:lang w:val="fr-CA"/>
        </w:rPr>
        <w:t>apporter des précisions sur la politique</w:t>
      </w:r>
      <w:r w:rsidRPr="00FA558D">
        <w:rPr>
          <w:lang w:val="fr-CA"/>
        </w:rPr>
        <w:t xml:space="preserve">. </w:t>
      </w:r>
      <w:r w:rsidR="000438BD">
        <w:rPr>
          <w:lang w:val="fr-CA"/>
        </w:rPr>
        <w:t>L</w:t>
      </w:r>
      <w:r>
        <w:rPr>
          <w:lang w:val="fr-CA"/>
        </w:rPr>
        <w:t xml:space="preserve">e guide précise </w:t>
      </w:r>
      <w:r w:rsidR="000438BD">
        <w:rPr>
          <w:lang w:val="fr-CA"/>
        </w:rPr>
        <w:t xml:space="preserve">la façon dont </w:t>
      </w:r>
      <w:r>
        <w:rPr>
          <w:lang w:val="fr-CA"/>
        </w:rPr>
        <w:t>l</w:t>
      </w:r>
      <w:r w:rsidRPr="00FA558D">
        <w:rPr>
          <w:lang w:val="fr-CA"/>
        </w:rPr>
        <w:t xml:space="preserve">e </w:t>
      </w:r>
      <w:r w:rsidR="00F9277C">
        <w:rPr>
          <w:lang w:val="fr-CA"/>
        </w:rPr>
        <w:t>Secteur des affaires réglementaires</w:t>
      </w:r>
      <w:r w:rsidRPr="00FA558D">
        <w:rPr>
          <w:lang w:val="fr-CA"/>
        </w:rPr>
        <w:t xml:space="preserve"> </w:t>
      </w:r>
      <w:r>
        <w:rPr>
          <w:lang w:val="fr-CA"/>
        </w:rPr>
        <w:t>interprète</w:t>
      </w:r>
      <w:r w:rsidRPr="00FA558D">
        <w:rPr>
          <w:lang w:val="fr-CA"/>
        </w:rPr>
        <w:t xml:space="preserve"> </w:t>
      </w:r>
      <w:r>
        <w:rPr>
          <w:lang w:val="fr-CA"/>
        </w:rPr>
        <w:t xml:space="preserve">les exigences de la politique et </w:t>
      </w:r>
      <w:r w:rsidRPr="00FA558D">
        <w:rPr>
          <w:lang w:val="fr-CA"/>
        </w:rPr>
        <w:t>pro</w:t>
      </w:r>
      <w:r>
        <w:rPr>
          <w:lang w:val="fr-CA"/>
        </w:rPr>
        <w:t>pose des exemp</w:t>
      </w:r>
      <w:r w:rsidRPr="00FA558D">
        <w:rPr>
          <w:lang w:val="fr-CA"/>
        </w:rPr>
        <w:t>les</w:t>
      </w:r>
      <w:r>
        <w:rPr>
          <w:lang w:val="fr-CA"/>
        </w:rPr>
        <w:t xml:space="preserve"> tirés de réels projets de règlement</w:t>
      </w:r>
      <w:r w:rsidR="000438BD">
        <w:rPr>
          <w:lang w:val="fr-CA"/>
        </w:rPr>
        <w:t>,</w:t>
      </w:r>
      <w:r w:rsidRPr="00FA558D">
        <w:rPr>
          <w:lang w:val="fr-CA"/>
        </w:rPr>
        <w:t xml:space="preserve"> </w:t>
      </w:r>
      <w:r>
        <w:rPr>
          <w:lang w:val="fr-CA"/>
        </w:rPr>
        <w:t xml:space="preserve">dans la mesure du </w:t>
      </w:r>
      <w:r w:rsidRPr="00FA558D">
        <w:rPr>
          <w:lang w:val="fr-CA"/>
        </w:rPr>
        <w:t xml:space="preserve">possible. </w:t>
      </w:r>
      <w:r w:rsidR="000438BD">
        <w:rPr>
          <w:lang w:val="fr-CA"/>
        </w:rPr>
        <w:t>L</w:t>
      </w:r>
      <w:r>
        <w:rPr>
          <w:lang w:val="fr-CA"/>
        </w:rPr>
        <w:t>e guide</w:t>
      </w:r>
      <w:r w:rsidRPr="00FA558D">
        <w:rPr>
          <w:lang w:val="fr-CA"/>
        </w:rPr>
        <w:t xml:space="preserve"> </w:t>
      </w:r>
      <w:r>
        <w:rPr>
          <w:lang w:val="fr-CA"/>
        </w:rPr>
        <w:t>doit être consulté en parallèle avec la politique</w:t>
      </w:r>
      <w:r w:rsidR="00BD04F6">
        <w:rPr>
          <w:lang w:val="fr-CA"/>
        </w:rPr>
        <w:t>. Il est organisé en fonction de la</w:t>
      </w:r>
      <w:r>
        <w:rPr>
          <w:lang w:val="fr-CA"/>
        </w:rPr>
        <w:t xml:space="preserve"> structure </w:t>
      </w:r>
      <w:r w:rsidR="000438BD">
        <w:rPr>
          <w:lang w:val="fr-CA"/>
        </w:rPr>
        <w:t>de la politique</w:t>
      </w:r>
      <w:r w:rsidRPr="00FA558D">
        <w:rPr>
          <w:lang w:val="fr-CA"/>
        </w:rPr>
        <w:t xml:space="preserve">. </w:t>
      </w:r>
    </w:p>
    <w:p w:rsidRPr="00FA558D" w:rsidR="00B91619" w:rsidP="00B91619" w:rsidRDefault="00B91619" w14:paraId="52F61F17" w14:textId="77777777">
      <w:pPr>
        <w:tabs>
          <w:tab w:val="left" w:pos="9356"/>
        </w:tabs>
        <w:spacing w:after="0" w:line="240" w:lineRule="auto"/>
        <w:rPr>
          <w:lang w:val="fr-CA"/>
        </w:rPr>
      </w:pPr>
    </w:p>
    <w:p w:rsidRPr="00FA558D" w:rsidR="00B91619" w:rsidP="00B91619" w:rsidRDefault="00B91619" w14:paraId="47139E08" w14:textId="77777777">
      <w:pPr>
        <w:pStyle w:val="Heading1"/>
        <w:rPr>
          <w:lang w:val="fr-CA"/>
        </w:rPr>
      </w:pPr>
      <w:bookmarkStart w:name="_Toc151373907" w:id="12"/>
      <w:r>
        <w:rPr>
          <w:lang w:val="fr-CA"/>
        </w:rPr>
        <w:t>Défin</w:t>
      </w:r>
      <w:r w:rsidRPr="00FA558D">
        <w:rPr>
          <w:lang w:val="fr-CA"/>
        </w:rPr>
        <w:t>itions (section 5)</w:t>
      </w:r>
      <w:bookmarkEnd w:id="12"/>
    </w:p>
    <w:p w:rsidRPr="00FA558D" w:rsidR="00B91619" w:rsidP="00B91619" w:rsidRDefault="00B91619" w14:paraId="56A2693A" w14:textId="77777777">
      <w:pPr>
        <w:tabs>
          <w:tab w:val="left" w:pos="9356"/>
        </w:tabs>
        <w:spacing w:after="0" w:line="240" w:lineRule="auto"/>
        <w:rPr>
          <w:lang w:val="fr-CA"/>
        </w:rPr>
      </w:pPr>
    </w:p>
    <w:p w:rsidRPr="00FA558D" w:rsidR="00B91619" w:rsidP="00B91619" w:rsidRDefault="00B91619" w14:paraId="2FABCB7C" w14:textId="54604EB5">
      <w:pPr>
        <w:tabs>
          <w:tab w:val="left" w:pos="9356"/>
        </w:tabs>
        <w:spacing w:after="0" w:line="240" w:lineRule="auto"/>
        <w:rPr>
          <w:lang w:val="fr-CA"/>
        </w:rPr>
      </w:pPr>
      <w:r>
        <w:rPr>
          <w:lang w:val="fr-CA"/>
        </w:rPr>
        <w:t xml:space="preserve">La </w:t>
      </w:r>
      <w:r w:rsidR="00E568C2">
        <w:rPr>
          <w:lang w:val="fr-CA"/>
        </w:rPr>
        <w:t>s</w:t>
      </w:r>
      <w:r w:rsidRPr="00FA558D" w:rsidR="00E568C2">
        <w:rPr>
          <w:lang w:val="fr-CA"/>
        </w:rPr>
        <w:t>ection </w:t>
      </w:r>
      <w:r w:rsidRPr="00FA558D">
        <w:rPr>
          <w:lang w:val="fr-CA"/>
        </w:rPr>
        <w:t>5</w:t>
      </w:r>
      <w:r>
        <w:rPr>
          <w:lang w:val="fr-CA"/>
        </w:rPr>
        <w:t xml:space="preserve"> de la politique</w:t>
      </w:r>
      <w:r w:rsidRPr="00FA558D">
        <w:rPr>
          <w:lang w:val="fr-CA"/>
        </w:rPr>
        <w:t xml:space="preserve"> </w:t>
      </w:r>
      <w:r>
        <w:rPr>
          <w:lang w:val="fr-CA"/>
        </w:rPr>
        <w:t>énonce les défin</w:t>
      </w:r>
      <w:r w:rsidRPr="00FA558D">
        <w:rPr>
          <w:lang w:val="fr-CA"/>
        </w:rPr>
        <w:t>itions</w:t>
      </w:r>
      <w:r>
        <w:rPr>
          <w:lang w:val="fr-CA"/>
        </w:rPr>
        <w:t xml:space="preserve"> </w:t>
      </w:r>
      <w:r w:rsidR="000438BD">
        <w:rPr>
          <w:lang w:val="fr-CA"/>
        </w:rPr>
        <w:t>relatives</w:t>
      </w:r>
      <w:r>
        <w:rPr>
          <w:lang w:val="fr-CA"/>
        </w:rPr>
        <w:t xml:space="preserve"> à la règle du « un pour un » et à la </w:t>
      </w:r>
      <w:r w:rsidR="00BD04F6">
        <w:rPr>
          <w:lang w:val="fr-CA"/>
        </w:rPr>
        <w:t xml:space="preserve">Lentille </w:t>
      </w:r>
      <w:r>
        <w:rPr>
          <w:lang w:val="fr-CA"/>
        </w:rPr>
        <w:t>des petites entreprises</w:t>
      </w:r>
      <w:r w:rsidRPr="00FA558D">
        <w:rPr>
          <w:lang w:val="fr-CA"/>
        </w:rPr>
        <w:t xml:space="preserve">. </w:t>
      </w:r>
      <w:r>
        <w:rPr>
          <w:lang w:val="fr-CA"/>
        </w:rPr>
        <w:t>La présente</w:t>
      </w:r>
      <w:r w:rsidRPr="00FA558D">
        <w:rPr>
          <w:lang w:val="fr-CA"/>
        </w:rPr>
        <w:t xml:space="preserve"> </w:t>
      </w:r>
      <w:r>
        <w:rPr>
          <w:lang w:val="fr-CA"/>
        </w:rPr>
        <w:t xml:space="preserve">section </w:t>
      </w:r>
      <w:r w:rsidR="00A41BBA">
        <w:rPr>
          <w:lang w:val="fr-CA"/>
        </w:rPr>
        <w:t xml:space="preserve">fournit </w:t>
      </w:r>
      <w:r>
        <w:rPr>
          <w:lang w:val="fr-CA"/>
        </w:rPr>
        <w:t>des exemp</w:t>
      </w:r>
      <w:r w:rsidRPr="00FA558D">
        <w:rPr>
          <w:lang w:val="fr-CA"/>
        </w:rPr>
        <w:t xml:space="preserve">les </w:t>
      </w:r>
      <w:r>
        <w:rPr>
          <w:lang w:val="fr-CA"/>
        </w:rPr>
        <w:t>à l’appui des défin</w:t>
      </w:r>
      <w:r w:rsidRPr="00FA558D">
        <w:rPr>
          <w:lang w:val="fr-CA"/>
        </w:rPr>
        <w:t>itions.</w:t>
      </w:r>
    </w:p>
    <w:p w:rsidRPr="00FA558D" w:rsidR="00B91619" w:rsidP="00B91619" w:rsidRDefault="00B91619" w14:paraId="6CAA1FB9" w14:textId="77777777">
      <w:pPr>
        <w:tabs>
          <w:tab w:val="left" w:pos="9356"/>
        </w:tabs>
        <w:spacing w:after="0" w:line="240" w:lineRule="auto"/>
        <w:rPr>
          <w:lang w:val="fr-CA"/>
        </w:rPr>
      </w:pPr>
    </w:p>
    <w:p w:rsidRPr="00FA558D" w:rsidR="00B91619" w:rsidP="00B91619" w:rsidRDefault="00B91619" w14:paraId="558FE794" w14:textId="12F4CB30">
      <w:pPr>
        <w:pStyle w:val="Heading4"/>
        <w:rPr>
          <w:lang w:val="fr-CA"/>
        </w:rPr>
      </w:pPr>
      <w:r w:rsidRPr="00FA558D">
        <w:rPr>
          <w:lang w:val="fr-CA"/>
        </w:rPr>
        <w:t>A</w:t>
      </w:r>
      <w:r>
        <w:rPr>
          <w:lang w:val="fr-CA"/>
        </w:rPr>
        <w:t>ctivités a</w:t>
      </w:r>
      <w:r w:rsidRPr="00FA558D">
        <w:rPr>
          <w:lang w:val="fr-CA"/>
        </w:rPr>
        <w:t>dministrative</w:t>
      </w:r>
      <w:r>
        <w:rPr>
          <w:lang w:val="fr-CA"/>
        </w:rPr>
        <w:t xml:space="preserve">s </w:t>
      </w:r>
      <w:r w:rsidR="00AC1B94">
        <w:rPr>
          <w:lang w:val="fr-CA"/>
        </w:rPr>
        <w:t>par rapport à</w:t>
      </w:r>
      <w:r w:rsidR="00A41BBA">
        <w:rPr>
          <w:lang w:val="fr-CA"/>
        </w:rPr>
        <w:t xml:space="preserve"> activités de</w:t>
      </w:r>
      <w:r>
        <w:rPr>
          <w:lang w:val="fr-CA"/>
        </w:rPr>
        <w:t xml:space="preserve"> conformité</w:t>
      </w:r>
    </w:p>
    <w:p w:rsidRPr="00FA558D" w:rsidR="00B91619" w:rsidP="00B91619" w:rsidRDefault="00B91619" w14:paraId="0CB3FDD9" w14:textId="77777777">
      <w:pPr>
        <w:tabs>
          <w:tab w:val="left" w:pos="9356"/>
        </w:tabs>
        <w:spacing w:after="0" w:line="240" w:lineRule="auto"/>
        <w:rPr>
          <w:lang w:val="fr-CA"/>
        </w:rPr>
      </w:pPr>
    </w:p>
    <w:p w:rsidR="00AC1B94" w:rsidP="00B91619" w:rsidRDefault="00B91619" w14:paraId="63CB3941" w14:textId="3A370EE9">
      <w:pPr>
        <w:tabs>
          <w:tab w:val="left" w:pos="9356"/>
        </w:tabs>
        <w:spacing w:after="0" w:line="240" w:lineRule="auto"/>
        <w:rPr>
          <w:lang w:val="fr-CA"/>
        </w:rPr>
      </w:pPr>
      <w:r>
        <w:rPr>
          <w:lang w:val="fr-CA"/>
        </w:rPr>
        <w:t>La règle du «</w:t>
      </w:r>
      <w:r w:rsidR="007C1161">
        <w:rPr>
          <w:lang w:val="fr-CA"/>
        </w:rPr>
        <w:t> </w:t>
      </w:r>
      <w:r>
        <w:rPr>
          <w:lang w:val="fr-CA"/>
        </w:rPr>
        <w:t>un pour</w:t>
      </w:r>
      <w:r w:rsidR="00234887">
        <w:rPr>
          <w:lang w:val="fr-CA"/>
        </w:rPr>
        <w:t> </w:t>
      </w:r>
      <w:r>
        <w:rPr>
          <w:lang w:val="fr-CA"/>
        </w:rPr>
        <w:t>un »</w:t>
      </w:r>
      <w:r w:rsidRPr="00FA558D">
        <w:rPr>
          <w:lang w:val="fr-CA"/>
        </w:rPr>
        <w:t xml:space="preserve"> </w:t>
      </w:r>
      <w:r>
        <w:rPr>
          <w:lang w:val="fr-CA"/>
        </w:rPr>
        <w:t>oblige les organismes de réglementation</w:t>
      </w:r>
      <w:r w:rsidRPr="00FA558D">
        <w:rPr>
          <w:lang w:val="fr-CA"/>
        </w:rPr>
        <w:t xml:space="preserve"> </w:t>
      </w:r>
      <w:r>
        <w:rPr>
          <w:lang w:val="fr-CA"/>
        </w:rPr>
        <w:t xml:space="preserve">à </w:t>
      </w:r>
      <w:r w:rsidR="00A41BBA">
        <w:rPr>
          <w:lang w:val="fr-CA"/>
        </w:rPr>
        <w:t>déterminer</w:t>
      </w:r>
      <w:r w:rsidRPr="00FA558D" w:rsidR="00A41BBA">
        <w:rPr>
          <w:lang w:val="fr-CA"/>
        </w:rPr>
        <w:t xml:space="preserve"> </w:t>
      </w:r>
      <w:r>
        <w:rPr>
          <w:lang w:val="fr-CA"/>
        </w:rPr>
        <w:t xml:space="preserve">le fardeau administratif </w:t>
      </w:r>
      <w:r w:rsidR="00A41BBA">
        <w:rPr>
          <w:lang w:val="fr-CA"/>
        </w:rPr>
        <w:t xml:space="preserve">imposé </w:t>
      </w:r>
      <w:r>
        <w:rPr>
          <w:lang w:val="fr-CA"/>
        </w:rPr>
        <w:t>aux entreprises</w:t>
      </w:r>
      <w:r w:rsidRPr="00FA558D">
        <w:rPr>
          <w:lang w:val="fr-CA"/>
        </w:rPr>
        <w:t xml:space="preserve"> </w:t>
      </w:r>
      <w:r w:rsidR="00AC1B94">
        <w:rPr>
          <w:lang w:val="fr-CA"/>
        </w:rPr>
        <w:t>qui découle des</w:t>
      </w:r>
      <w:r>
        <w:rPr>
          <w:lang w:val="fr-CA"/>
        </w:rPr>
        <w:t xml:space="preserve"> exigences réglementaires</w:t>
      </w:r>
      <w:r w:rsidRPr="00FA558D">
        <w:rPr>
          <w:lang w:val="fr-CA"/>
        </w:rPr>
        <w:t xml:space="preserve">. </w:t>
      </w:r>
      <w:r w:rsidR="00A41BBA">
        <w:rPr>
          <w:lang w:val="fr-CA"/>
        </w:rPr>
        <w:t>L</w:t>
      </w:r>
      <w:r>
        <w:rPr>
          <w:lang w:val="fr-CA"/>
        </w:rPr>
        <w:t xml:space="preserve">a </w:t>
      </w:r>
      <w:r w:rsidR="00AC1B94">
        <w:rPr>
          <w:lang w:val="fr-CA"/>
        </w:rPr>
        <w:t xml:space="preserve">Lentille </w:t>
      </w:r>
      <w:r>
        <w:rPr>
          <w:lang w:val="fr-CA"/>
        </w:rPr>
        <w:t xml:space="preserve">des petites entreprises exige </w:t>
      </w:r>
      <w:r w:rsidR="00AC1B94">
        <w:rPr>
          <w:lang w:val="fr-CA"/>
        </w:rPr>
        <w:t xml:space="preserve">de déterminer </w:t>
      </w:r>
      <w:r w:rsidR="00A41BBA">
        <w:rPr>
          <w:lang w:val="fr-CA"/>
        </w:rPr>
        <w:t>le</w:t>
      </w:r>
      <w:r>
        <w:rPr>
          <w:lang w:val="fr-CA"/>
        </w:rPr>
        <w:t xml:space="preserve"> fardeau administratif et de conformité</w:t>
      </w:r>
      <w:r w:rsidR="00A41BBA">
        <w:rPr>
          <w:lang w:val="fr-CA"/>
        </w:rPr>
        <w:t xml:space="preserve"> en matière de réglementation</w:t>
      </w:r>
      <w:r>
        <w:rPr>
          <w:lang w:val="fr-CA"/>
        </w:rPr>
        <w:t xml:space="preserve"> imposé aux petites entreprises</w:t>
      </w:r>
      <w:r w:rsidRPr="00FA558D">
        <w:rPr>
          <w:lang w:val="fr-CA"/>
        </w:rPr>
        <w:t xml:space="preserve">. </w:t>
      </w:r>
    </w:p>
    <w:p w:rsidR="00AC1B94" w:rsidP="00B91619" w:rsidRDefault="00AC1B94" w14:paraId="44A5DE26" w14:textId="77777777">
      <w:pPr>
        <w:tabs>
          <w:tab w:val="left" w:pos="9356"/>
        </w:tabs>
        <w:spacing w:after="0" w:line="240" w:lineRule="auto"/>
        <w:rPr>
          <w:lang w:val="fr-CA"/>
        </w:rPr>
      </w:pPr>
    </w:p>
    <w:p w:rsidRPr="00AC1B94" w:rsidR="00AC1B94" w:rsidP="00AC1B94" w:rsidRDefault="00AC1B94" w14:paraId="2D66C3F7" w14:textId="160D66C6">
      <w:pPr>
        <w:tabs>
          <w:tab w:val="left" w:pos="9356"/>
        </w:tabs>
        <w:spacing w:after="0" w:line="240" w:lineRule="auto"/>
        <w:rPr>
          <w:lang w:val="fr-CA"/>
        </w:rPr>
      </w:pPr>
      <w:r w:rsidRPr="00AC1B94">
        <w:rPr>
          <w:lang w:val="fr-CA"/>
        </w:rPr>
        <w:t>Il peut être difficile de déterminer s</w:t>
      </w:r>
      <w:r>
        <w:rPr>
          <w:lang w:val="fr-CA"/>
        </w:rPr>
        <w:t>’il s’agit d’activités administratives</w:t>
      </w:r>
      <w:r w:rsidRPr="00AC1B94">
        <w:rPr>
          <w:lang w:val="fr-CA"/>
        </w:rPr>
        <w:t xml:space="preserve"> ou d</w:t>
      </w:r>
      <w:r>
        <w:rPr>
          <w:lang w:val="fr-CA"/>
        </w:rPr>
        <w:t>’activités de</w:t>
      </w:r>
      <w:r w:rsidRPr="00AC1B94">
        <w:rPr>
          <w:lang w:val="fr-CA"/>
        </w:rPr>
        <w:t xml:space="preserve"> conformité, car certaines d</w:t>
      </w:r>
      <w:r w:rsidR="009647E5">
        <w:rPr>
          <w:lang w:val="fr-CA"/>
        </w:rPr>
        <w:t>’</w:t>
      </w:r>
      <w:r w:rsidRPr="00AC1B94">
        <w:rPr>
          <w:lang w:val="fr-CA"/>
        </w:rPr>
        <w:t xml:space="preserve">entre elles peuvent </w:t>
      </w:r>
      <w:r w:rsidR="001A3C4A">
        <w:rPr>
          <w:lang w:val="fr-CA"/>
        </w:rPr>
        <w:t>appartenir à</w:t>
      </w:r>
      <w:r w:rsidRPr="00AC1B94">
        <w:rPr>
          <w:lang w:val="fr-CA"/>
        </w:rPr>
        <w:t xml:space="preserve"> l</w:t>
      </w:r>
      <w:r w:rsidR="009647E5">
        <w:rPr>
          <w:lang w:val="fr-CA"/>
        </w:rPr>
        <w:t>’</w:t>
      </w:r>
      <w:r w:rsidRPr="00AC1B94">
        <w:rPr>
          <w:lang w:val="fr-CA"/>
        </w:rPr>
        <w:t>une ou l</w:t>
      </w:r>
      <w:r w:rsidR="009647E5">
        <w:rPr>
          <w:lang w:val="fr-CA"/>
        </w:rPr>
        <w:t>’</w:t>
      </w:r>
      <w:r w:rsidRPr="00AC1B94">
        <w:rPr>
          <w:lang w:val="fr-CA"/>
        </w:rPr>
        <w:t xml:space="preserve">autre </w:t>
      </w:r>
      <w:r w:rsidR="001A3C4A">
        <w:rPr>
          <w:lang w:val="fr-CA"/>
        </w:rPr>
        <w:t>de</w:t>
      </w:r>
      <w:r w:rsidR="00E568C2">
        <w:rPr>
          <w:lang w:val="fr-CA"/>
        </w:rPr>
        <w:t xml:space="preserve"> ce</w:t>
      </w:r>
      <w:r w:rsidR="001A3C4A">
        <w:rPr>
          <w:lang w:val="fr-CA"/>
        </w:rPr>
        <w:t>s catégories</w:t>
      </w:r>
      <w:r w:rsidRPr="00AC1B94">
        <w:rPr>
          <w:lang w:val="fr-CA"/>
        </w:rPr>
        <w:t>. L</w:t>
      </w:r>
      <w:r w:rsidR="009647E5">
        <w:rPr>
          <w:lang w:val="fr-CA"/>
        </w:rPr>
        <w:t>’</w:t>
      </w:r>
      <w:r w:rsidRPr="00AC1B94">
        <w:rPr>
          <w:lang w:val="fr-CA"/>
        </w:rPr>
        <w:t>essentiel est d</w:t>
      </w:r>
      <w:r w:rsidR="001A3C4A">
        <w:rPr>
          <w:lang w:val="fr-CA"/>
        </w:rPr>
        <w:t xml:space="preserve">e déterminer </w:t>
      </w:r>
      <w:r w:rsidRPr="00AC1B94">
        <w:rPr>
          <w:lang w:val="fr-CA"/>
        </w:rPr>
        <w:t>l</w:t>
      </w:r>
      <w:r w:rsidR="009647E5">
        <w:rPr>
          <w:lang w:val="fr-CA"/>
        </w:rPr>
        <w:t>’</w:t>
      </w:r>
      <w:r w:rsidRPr="00AC1B94">
        <w:rPr>
          <w:lang w:val="fr-CA"/>
        </w:rPr>
        <w:t>obje</w:t>
      </w:r>
      <w:r w:rsidR="001A3C4A">
        <w:rPr>
          <w:lang w:val="fr-CA"/>
        </w:rPr>
        <w:t>ctif</w:t>
      </w:r>
      <w:r w:rsidRPr="00AC1B94">
        <w:rPr>
          <w:lang w:val="fr-CA"/>
        </w:rPr>
        <w:t xml:space="preserve"> de l</w:t>
      </w:r>
      <w:r w:rsidR="009647E5">
        <w:rPr>
          <w:lang w:val="fr-CA"/>
        </w:rPr>
        <w:t>’</w:t>
      </w:r>
      <w:r w:rsidRPr="00AC1B94">
        <w:rPr>
          <w:lang w:val="fr-CA"/>
        </w:rPr>
        <w:t xml:space="preserve">exigence elle-même. </w:t>
      </w:r>
    </w:p>
    <w:p w:rsidRPr="00AC1B94" w:rsidR="00AC1B94" w:rsidP="00AC1B94" w:rsidRDefault="00AC1B94" w14:paraId="5A789BB1" w14:textId="77777777">
      <w:pPr>
        <w:tabs>
          <w:tab w:val="left" w:pos="9356"/>
        </w:tabs>
        <w:spacing w:after="0" w:line="240" w:lineRule="auto"/>
        <w:rPr>
          <w:lang w:val="fr-CA"/>
        </w:rPr>
      </w:pPr>
    </w:p>
    <w:p w:rsidRPr="00AC1B94" w:rsidR="00AC1B94" w:rsidP="00AC1B94" w:rsidRDefault="00AC1B94" w14:paraId="5FF9C1A5" w14:textId="77777777">
      <w:pPr>
        <w:tabs>
          <w:tab w:val="left" w:pos="9356"/>
        </w:tabs>
        <w:spacing w:after="0" w:line="240" w:lineRule="auto"/>
        <w:rPr>
          <w:lang w:val="fr-CA"/>
        </w:rPr>
      </w:pPr>
      <w:r w:rsidRPr="00AC1B94">
        <w:rPr>
          <w:lang w:val="fr-CA"/>
        </w:rPr>
        <w:t xml:space="preserve">Les </w:t>
      </w:r>
      <w:r w:rsidRPr="007529D4">
        <w:rPr>
          <w:b/>
          <w:bCs/>
          <w:lang w:val="fr-CA"/>
        </w:rPr>
        <w:t>activités de conformité</w:t>
      </w:r>
      <w:r w:rsidRPr="00AC1B94">
        <w:rPr>
          <w:lang w:val="fr-CA"/>
        </w:rPr>
        <w:t xml:space="preserve"> soutiennent directement le résultat réglementaire. Les </w:t>
      </w:r>
      <w:r w:rsidRPr="007529D4">
        <w:rPr>
          <w:b/>
          <w:bCs/>
          <w:lang w:val="fr-CA"/>
        </w:rPr>
        <w:t>activités administratives</w:t>
      </w:r>
      <w:r w:rsidRPr="00AC1B94">
        <w:rPr>
          <w:lang w:val="fr-CA"/>
        </w:rPr>
        <w:t xml:space="preserve"> servent à démontrer la conformité aux exigences réglementaires.</w:t>
      </w:r>
    </w:p>
    <w:p w:rsidRPr="00AC1B94" w:rsidR="00AC1B94" w:rsidP="00AC1B94" w:rsidRDefault="00AC1B94" w14:paraId="0B86C9CF" w14:textId="77777777">
      <w:pPr>
        <w:tabs>
          <w:tab w:val="left" w:pos="9356"/>
        </w:tabs>
        <w:spacing w:after="0" w:line="240" w:lineRule="auto"/>
        <w:rPr>
          <w:lang w:val="fr-CA"/>
        </w:rPr>
      </w:pPr>
    </w:p>
    <w:p w:rsidRPr="00AC1B94" w:rsidR="00AC1B94" w:rsidP="00AC1B94" w:rsidRDefault="00AC1B94" w14:paraId="4CF8CF22" w14:textId="51C9593F">
      <w:pPr>
        <w:tabs>
          <w:tab w:val="left" w:pos="9356"/>
        </w:tabs>
        <w:spacing w:after="0" w:line="240" w:lineRule="auto"/>
        <w:rPr>
          <w:lang w:val="fr-CA"/>
        </w:rPr>
      </w:pPr>
      <w:r w:rsidRPr="00AC1B94">
        <w:rPr>
          <w:lang w:val="fr-CA"/>
        </w:rPr>
        <w:t>Il convient d</w:t>
      </w:r>
      <w:r w:rsidR="001A3C4A">
        <w:rPr>
          <w:lang w:val="fr-CA"/>
        </w:rPr>
        <w:t>onc de</w:t>
      </w:r>
      <w:r w:rsidRPr="00AC1B94">
        <w:rPr>
          <w:lang w:val="fr-CA"/>
        </w:rPr>
        <w:t xml:space="preserve"> se demander si le résultat réglementaire escompté serait atteint si l</w:t>
      </w:r>
      <w:r w:rsidR="009647E5">
        <w:rPr>
          <w:lang w:val="fr-CA"/>
        </w:rPr>
        <w:t>’</w:t>
      </w:r>
      <w:r w:rsidRPr="00AC1B94">
        <w:rPr>
          <w:lang w:val="fr-CA"/>
        </w:rPr>
        <w:t>exigence n</w:t>
      </w:r>
      <w:r w:rsidR="009647E5">
        <w:rPr>
          <w:lang w:val="fr-CA"/>
        </w:rPr>
        <w:t>’</w:t>
      </w:r>
      <w:r w:rsidRPr="00AC1B94">
        <w:rPr>
          <w:lang w:val="fr-CA"/>
        </w:rPr>
        <w:t xml:space="preserve">existait pas. </w:t>
      </w:r>
    </w:p>
    <w:p w:rsidRPr="00AC1B94" w:rsidR="00AC1B94" w:rsidP="00AC1B94" w:rsidRDefault="00AC1B94" w14:paraId="002F2964" w14:textId="77777777">
      <w:pPr>
        <w:tabs>
          <w:tab w:val="left" w:pos="9356"/>
        </w:tabs>
        <w:spacing w:after="0" w:line="240" w:lineRule="auto"/>
        <w:rPr>
          <w:lang w:val="fr-CA"/>
        </w:rPr>
      </w:pPr>
    </w:p>
    <w:p w:rsidRPr="007529D4" w:rsidR="00AC1B94" w:rsidP="00AC1B94" w:rsidRDefault="00AC1B94" w14:paraId="2C53933B" w14:textId="77777777">
      <w:pPr>
        <w:tabs>
          <w:tab w:val="left" w:pos="9356"/>
        </w:tabs>
        <w:spacing w:after="0" w:line="240" w:lineRule="auto"/>
        <w:rPr>
          <w:b/>
          <w:bCs/>
          <w:lang w:val="fr-CA"/>
        </w:rPr>
      </w:pPr>
      <w:r w:rsidRPr="007529D4">
        <w:rPr>
          <w:b/>
          <w:bCs/>
          <w:lang w:val="fr-CA"/>
        </w:rPr>
        <w:t>Exemples</w:t>
      </w:r>
    </w:p>
    <w:p w:rsidRPr="00AC1B94" w:rsidR="00AC1B94" w:rsidP="00AC1B94" w:rsidRDefault="00AC1B94" w14:paraId="1D44173A" w14:textId="77777777">
      <w:pPr>
        <w:tabs>
          <w:tab w:val="left" w:pos="9356"/>
        </w:tabs>
        <w:spacing w:after="0" w:line="240" w:lineRule="auto"/>
        <w:rPr>
          <w:lang w:val="fr-CA"/>
        </w:rPr>
      </w:pPr>
    </w:p>
    <w:p w:rsidRPr="007529D4" w:rsidR="00AC1B94" w:rsidP="007529D4" w:rsidRDefault="00AC1B94" w14:paraId="583BD74C" w14:textId="62B77897">
      <w:pPr>
        <w:tabs>
          <w:tab w:val="left" w:pos="9356"/>
        </w:tabs>
        <w:spacing w:after="0" w:line="240" w:lineRule="auto"/>
        <w:ind w:left="720"/>
        <w:rPr>
          <w:b/>
          <w:bCs/>
          <w:lang w:val="fr-CA"/>
        </w:rPr>
      </w:pPr>
      <w:r w:rsidRPr="007529D4">
        <w:rPr>
          <w:b/>
          <w:bCs/>
          <w:lang w:val="fr-CA"/>
        </w:rPr>
        <w:t>Scénario de s</w:t>
      </w:r>
      <w:r w:rsidRPr="007529D4" w:rsidR="001A3C4A">
        <w:rPr>
          <w:b/>
          <w:bCs/>
          <w:lang w:val="fr-CA"/>
        </w:rPr>
        <w:t>alubrité des aliments</w:t>
      </w:r>
    </w:p>
    <w:p w:rsidRPr="00AC1B94" w:rsidR="00AC1B94" w:rsidP="007529D4" w:rsidRDefault="00AC1B94" w14:paraId="0ABF668A" w14:textId="1EE719D8">
      <w:pPr>
        <w:tabs>
          <w:tab w:val="left" w:pos="9356"/>
        </w:tabs>
        <w:spacing w:after="0" w:line="240" w:lineRule="auto"/>
        <w:ind w:left="720"/>
        <w:rPr>
          <w:lang w:val="fr-CA"/>
        </w:rPr>
      </w:pPr>
      <w:r w:rsidRPr="00AC1B94">
        <w:rPr>
          <w:lang w:val="fr-CA"/>
        </w:rPr>
        <w:t>L</w:t>
      </w:r>
      <w:r w:rsidR="009647E5">
        <w:rPr>
          <w:lang w:val="fr-CA"/>
        </w:rPr>
        <w:t>’</w:t>
      </w:r>
      <w:r w:rsidRPr="00AC1B94">
        <w:rPr>
          <w:lang w:val="fr-CA"/>
        </w:rPr>
        <w:t xml:space="preserve">obligation de réfrigérer les </w:t>
      </w:r>
      <w:r w:rsidR="001A3C4A">
        <w:rPr>
          <w:lang w:val="fr-CA"/>
        </w:rPr>
        <w:t>aliments</w:t>
      </w:r>
      <w:r w:rsidRPr="00AC1B94">
        <w:rPr>
          <w:lang w:val="fr-CA"/>
        </w:rPr>
        <w:t xml:space="preserve"> à une température donnée pour s</w:t>
      </w:r>
      <w:r w:rsidR="009647E5">
        <w:rPr>
          <w:lang w:val="fr-CA"/>
        </w:rPr>
        <w:t>’</w:t>
      </w:r>
      <w:r w:rsidRPr="00AC1B94">
        <w:rPr>
          <w:lang w:val="fr-CA"/>
        </w:rPr>
        <w:t>assurer qu</w:t>
      </w:r>
      <w:r w:rsidR="009647E5">
        <w:rPr>
          <w:lang w:val="fr-CA"/>
        </w:rPr>
        <w:t>’</w:t>
      </w:r>
      <w:r w:rsidR="001A3C4A">
        <w:rPr>
          <w:lang w:val="fr-CA"/>
        </w:rPr>
        <w:t>ils</w:t>
      </w:r>
      <w:r w:rsidRPr="00AC1B94">
        <w:rPr>
          <w:lang w:val="fr-CA"/>
        </w:rPr>
        <w:t xml:space="preserve"> sont sûrs est une activité de </w:t>
      </w:r>
      <w:r w:rsidRPr="007529D4">
        <w:rPr>
          <w:b/>
          <w:bCs/>
          <w:lang w:val="fr-CA"/>
        </w:rPr>
        <w:t>conformité</w:t>
      </w:r>
      <w:r w:rsidRPr="00AC1B94">
        <w:rPr>
          <w:lang w:val="fr-CA"/>
        </w:rPr>
        <w:t xml:space="preserve">. Si les aliments ne sont pas conservés à cette température, ils risquent de ne pas être sûrs. </w:t>
      </w:r>
    </w:p>
    <w:p w:rsidRPr="00AC1B94" w:rsidR="00AC1B94" w:rsidP="007529D4" w:rsidRDefault="00AC1B94" w14:paraId="6BCD6D22" w14:textId="77777777">
      <w:pPr>
        <w:tabs>
          <w:tab w:val="left" w:pos="9356"/>
        </w:tabs>
        <w:spacing w:after="0" w:line="240" w:lineRule="auto"/>
        <w:ind w:left="720"/>
        <w:rPr>
          <w:lang w:val="fr-CA"/>
        </w:rPr>
      </w:pPr>
    </w:p>
    <w:p w:rsidRPr="00AC1B94" w:rsidR="00AC1B94" w:rsidP="007529D4" w:rsidRDefault="00AC1B94" w14:paraId="42E0A99D" w14:textId="45764646">
      <w:pPr>
        <w:tabs>
          <w:tab w:val="left" w:pos="9356"/>
        </w:tabs>
        <w:spacing w:after="0" w:line="240" w:lineRule="auto"/>
        <w:ind w:left="720"/>
        <w:rPr>
          <w:lang w:val="fr-CA"/>
        </w:rPr>
      </w:pPr>
      <w:r w:rsidRPr="00AC1B94">
        <w:rPr>
          <w:lang w:val="fr-CA"/>
        </w:rPr>
        <w:t>L</w:t>
      </w:r>
      <w:r w:rsidR="009647E5">
        <w:rPr>
          <w:lang w:val="fr-CA"/>
        </w:rPr>
        <w:t>’</w:t>
      </w:r>
      <w:r w:rsidRPr="00AC1B94">
        <w:rPr>
          <w:lang w:val="fr-CA"/>
        </w:rPr>
        <w:t>obligation de fournir à l</w:t>
      </w:r>
      <w:r w:rsidR="009647E5">
        <w:rPr>
          <w:lang w:val="fr-CA"/>
        </w:rPr>
        <w:t>’</w:t>
      </w:r>
      <w:r w:rsidRPr="00AC1B94">
        <w:rPr>
          <w:lang w:val="fr-CA"/>
        </w:rPr>
        <w:t xml:space="preserve">organisme de réglementation des rapports sur les relevés de température </w:t>
      </w:r>
      <w:r w:rsidR="00F906A2">
        <w:rPr>
          <w:lang w:val="fr-CA"/>
        </w:rPr>
        <w:t>périodiques</w:t>
      </w:r>
      <w:r w:rsidRPr="00AC1B94">
        <w:rPr>
          <w:lang w:val="fr-CA"/>
        </w:rPr>
        <w:t xml:space="preserve"> effectués au cours d</w:t>
      </w:r>
      <w:r w:rsidR="009647E5">
        <w:rPr>
          <w:lang w:val="fr-CA"/>
        </w:rPr>
        <w:t>’</w:t>
      </w:r>
      <w:r w:rsidRPr="00AC1B94">
        <w:rPr>
          <w:lang w:val="fr-CA"/>
        </w:rPr>
        <w:t xml:space="preserve">une certaine période est une activité </w:t>
      </w:r>
      <w:r w:rsidRPr="007529D4">
        <w:rPr>
          <w:b/>
          <w:bCs/>
          <w:lang w:val="fr-CA"/>
        </w:rPr>
        <w:t>administrative</w:t>
      </w:r>
      <w:r w:rsidRPr="00AC1B94">
        <w:rPr>
          <w:lang w:val="fr-CA"/>
        </w:rPr>
        <w:t xml:space="preserve">. Les </w:t>
      </w:r>
      <w:r w:rsidR="00F906A2">
        <w:rPr>
          <w:lang w:val="fr-CA"/>
        </w:rPr>
        <w:t xml:space="preserve">rapports </w:t>
      </w:r>
      <w:r w:rsidR="007622C2">
        <w:rPr>
          <w:lang w:val="fr-CA"/>
        </w:rPr>
        <w:t>s</w:t>
      </w:r>
      <w:r w:rsidR="00F906A2">
        <w:rPr>
          <w:lang w:val="fr-CA"/>
        </w:rPr>
        <w:t xml:space="preserve">ur les </w:t>
      </w:r>
      <w:r w:rsidRPr="00AC1B94">
        <w:rPr>
          <w:lang w:val="fr-CA"/>
        </w:rPr>
        <w:t>r</w:t>
      </w:r>
      <w:r w:rsidR="00F906A2">
        <w:rPr>
          <w:lang w:val="fr-CA"/>
        </w:rPr>
        <w:t xml:space="preserve">elevés de température </w:t>
      </w:r>
      <w:r w:rsidRPr="00AC1B94">
        <w:rPr>
          <w:lang w:val="fr-CA"/>
        </w:rPr>
        <w:t xml:space="preserve">fournissent </w:t>
      </w:r>
      <w:r w:rsidR="00F906A2">
        <w:rPr>
          <w:lang w:val="fr-CA"/>
        </w:rPr>
        <w:t xml:space="preserve">certes </w:t>
      </w:r>
      <w:r w:rsidRPr="00AC1B94">
        <w:rPr>
          <w:lang w:val="fr-CA"/>
        </w:rPr>
        <w:t xml:space="preserve">des informations utiles pour la surveillance réglementaire, mais </w:t>
      </w:r>
      <w:r w:rsidR="00F906A2">
        <w:rPr>
          <w:lang w:val="fr-CA"/>
        </w:rPr>
        <w:t xml:space="preserve">ils ne sont pas nécessaires </w:t>
      </w:r>
      <w:r w:rsidRPr="00AC1B94">
        <w:rPr>
          <w:lang w:val="fr-CA"/>
        </w:rPr>
        <w:t>pour garantir la s</w:t>
      </w:r>
      <w:r w:rsidR="00F906A2">
        <w:rPr>
          <w:lang w:val="fr-CA"/>
        </w:rPr>
        <w:t>alubrité</w:t>
      </w:r>
      <w:r w:rsidRPr="00AC1B94">
        <w:rPr>
          <w:lang w:val="fr-CA"/>
        </w:rPr>
        <w:t xml:space="preserve"> des aliments. </w:t>
      </w:r>
    </w:p>
    <w:p w:rsidRPr="00AC1B94" w:rsidR="00AC1B94" w:rsidP="00AC1B94" w:rsidRDefault="00AC1B94" w14:paraId="5122D2D3" w14:textId="77777777">
      <w:pPr>
        <w:tabs>
          <w:tab w:val="left" w:pos="9356"/>
        </w:tabs>
        <w:spacing w:after="0" w:line="240" w:lineRule="auto"/>
        <w:rPr>
          <w:lang w:val="fr-CA"/>
        </w:rPr>
      </w:pPr>
    </w:p>
    <w:p w:rsidRPr="007529D4" w:rsidR="00AC1B94" w:rsidP="007529D4" w:rsidRDefault="00AC1B94" w14:paraId="3FFED7C5" w14:textId="77777777">
      <w:pPr>
        <w:tabs>
          <w:tab w:val="left" w:pos="9356"/>
        </w:tabs>
        <w:spacing w:after="0" w:line="240" w:lineRule="auto"/>
        <w:ind w:left="720"/>
        <w:rPr>
          <w:b/>
          <w:bCs/>
          <w:lang w:val="fr-CA"/>
        </w:rPr>
      </w:pPr>
      <w:r w:rsidRPr="007529D4">
        <w:rPr>
          <w:b/>
          <w:bCs/>
          <w:lang w:val="fr-CA"/>
        </w:rPr>
        <w:t>Scénario du journal de bord</w:t>
      </w:r>
    </w:p>
    <w:p w:rsidR="00AC1B94" w:rsidP="007529D4" w:rsidRDefault="00AC1B94" w14:paraId="1A6ADC73" w14:textId="6BA2BC93">
      <w:pPr>
        <w:tabs>
          <w:tab w:val="left" w:pos="9356"/>
        </w:tabs>
        <w:spacing w:after="0" w:line="240" w:lineRule="auto"/>
        <w:ind w:left="720"/>
        <w:rPr>
          <w:lang w:val="fr-CA"/>
        </w:rPr>
      </w:pPr>
      <w:r w:rsidRPr="00AC1B94">
        <w:rPr>
          <w:lang w:val="fr-CA"/>
        </w:rPr>
        <w:t xml:space="preserve">Une partie réglementée peut être tenue de tenir un </w:t>
      </w:r>
      <w:r w:rsidR="005C7271">
        <w:rPr>
          <w:lang w:val="fr-CA"/>
        </w:rPr>
        <w:t xml:space="preserve">journal de bord </w:t>
      </w:r>
      <w:r w:rsidRPr="00AC1B94">
        <w:rPr>
          <w:lang w:val="fr-CA"/>
        </w:rPr>
        <w:t>contenant des informations spécifiques sur l</w:t>
      </w:r>
      <w:r w:rsidR="009647E5">
        <w:rPr>
          <w:lang w:val="fr-CA"/>
        </w:rPr>
        <w:t>’</w:t>
      </w:r>
      <w:r w:rsidRPr="00AC1B94">
        <w:rPr>
          <w:lang w:val="fr-CA"/>
        </w:rPr>
        <w:t xml:space="preserve">activité réglementée et de </w:t>
      </w:r>
      <w:r w:rsidR="005C7271">
        <w:rPr>
          <w:lang w:val="fr-CA"/>
        </w:rPr>
        <w:t xml:space="preserve">le </w:t>
      </w:r>
      <w:r w:rsidRPr="00AC1B94">
        <w:rPr>
          <w:lang w:val="fr-CA"/>
        </w:rPr>
        <w:t xml:space="preserve">conserver dans </w:t>
      </w:r>
      <w:r w:rsidR="005C7271">
        <w:rPr>
          <w:lang w:val="fr-CA"/>
        </w:rPr>
        <w:t>s</w:t>
      </w:r>
      <w:r w:rsidRPr="00AC1B94">
        <w:rPr>
          <w:lang w:val="fr-CA"/>
        </w:rPr>
        <w:t xml:space="preserve">es locaux. Le </w:t>
      </w:r>
      <w:r w:rsidR="005C7271">
        <w:rPr>
          <w:lang w:val="fr-CA"/>
        </w:rPr>
        <w:t>journal de bord</w:t>
      </w:r>
      <w:r w:rsidRPr="00AC1B94">
        <w:rPr>
          <w:lang w:val="fr-CA"/>
        </w:rPr>
        <w:t xml:space="preserve"> peut avoir </w:t>
      </w:r>
      <w:r w:rsidR="005C7271">
        <w:rPr>
          <w:lang w:val="fr-CA"/>
        </w:rPr>
        <w:t xml:space="preserve">été créé pour </w:t>
      </w:r>
      <w:r w:rsidR="00D07FBF">
        <w:rPr>
          <w:lang w:val="fr-CA"/>
        </w:rPr>
        <w:t>répondre à plusieurs objectifs</w:t>
      </w:r>
      <w:r w:rsidRPr="00AC1B94">
        <w:rPr>
          <w:lang w:val="fr-CA"/>
        </w:rPr>
        <w:t>. Par exemple, il peut contenir une liste de</w:t>
      </w:r>
      <w:r w:rsidR="00D07FBF">
        <w:rPr>
          <w:lang w:val="fr-CA"/>
        </w:rPr>
        <w:t>s</w:t>
      </w:r>
      <w:r w:rsidRPr="00AC1B94">
        <w:rPr>
          <w:lang w:val="fr-CA"/>
        </w:rPr>
        <w:t xml:space="preserve"> </w:t>
      </w:r>
      <w:r w:rsidR="005C7271">
        <w:rPr>
          <w:lang w:val="fr-CA"/>
        </w:rPr>
        <w:t xml:space="preserve">personnes à </w:t>
      </w:r>
      <w:r w:rsidRPr="00AC1B94">
        <w:rPr>
          <w:lang w:val="fr-CA"/>
        </w:rPr>
        <w:t>contact</w:t>
      </w:r>
      <w:r w:rsidR="005C7271">
        <w:rPr>
          <w:lang w:val="fr-CA"/>
        </w:rPr>
        <w:t>er</w:t>
      </w:r>
      <w:r w:rsidRPr="00AC1B94">
        <w:rPr>
          <w:lang w:val="fr-CA"/>
        </w:rPr>
        <w:t xml:space="preserve"> en cas d</w:t>
      </w:r>
      <w:r w:rsidR="009647E5">
        <w:rPr>
          <w:lang w:val="fr-CA"/>
        </w:rPr>
        <w:t>’</w:t>
      </w:r>
      <w:r w:rsidRPr="00AC1B94">
        <w:rPr>
          <w:lang w:val="fr-CA"/>
        </w:rPr>
        <w:t>urgence ou des informations sur l</w:t>
      </w:r>
      <w:r w:rsidR="00D07FBF">
        <w:rPr>
          <w:lang w:val="fr-CA"/>
        </w:rPr>
        <w:t>es matières qui se trouvent sur les lieux</w:t>
      </w:r>
      <w:r w:rsidRPr="00AC1B94">
        <w:rPr>
          <w:lang w:val="fr-CA"/>
        </w:rPr>
        <w:t xml:space="preserve">. Ces objectifs opérationnels </w:t>
      </w:r>
      <w:r w:rsidR="00D07FBF">
        <w:rPr>
          <w:lang w:val="fr-CA"/>
        </w:rPr>
        <w:t>portent à croire</w:t>
      </w:r>
      <w:r w:rsidRPr="00AC1B94">
        <w:rPr>
          <w:lang w:val="fr-CA"/>
        </w:rPr>
        <w:t xml:space="preserve"> que la tenue du </w:t>
      </w:r>
      <w:r w:rsidR="00D07FBF">
        <w:rPr>
          <w:lang w:val="fr-CA"/>
        </w:rPr>
        <w:t>journal de bord</w:t>
      </w:r>
      <w:r w:rsidRPr="00AC1B94">
        <w:rPr>
          <w:lang w:val="fr-CA"/>
        </w:rPr>
        <w:t xml:space="preserve"> pourrait être une activité de conformité. Toutefois, les inspecteurs </w:t>
      </w:r>
      <w:r w:rsidR="00D07FBF">
        <w:rPr>
          <w:lang w:val="fr-CA"/>
        </w:rPr>
        <w:t>de réglementation</w:t>
      </w:r>
      <w:r w:rsidRPr="00AC1B94">
        <w:rPr>
          <w:lang w:val="fr-CA"/>
        </w:rPr>
        <w:t xml:space="preserve"> pourraient également utiliser certaines des informations qu</w:t>
      </w:r>
      <w:r w:rsidR="009647E5">
        <w:rPr>
          <w:lang w:val="fr-CA"/>
        </w:rPr>
        <w:t>’</w:t>
      </w:r>
      <w:r w:rsidRPr="00AC1B94">
        <w:rPr>
          <w:lang w:val="fr-CA"/>
        </w:rPr>
        <w:t xml:space="preserve">il contient, ce qui </w:t>
      </w:r>
      <w:r w:rsidR="00D07FBF">
        <w:rPr>
          <w:lang w:val="fr-CA"/>
        </w:rPr>
        <w:t>laisse entendre</w:t>
      </w:r>
      <w:r w:rsidRPr="00AC1B94">
        <w:rPr>
          <w:lang w:val="fr-CA"/>
        </w:rPr>
        <w:t xml:space="preserve"> qu</w:t>
      </w:r>
      <w:r w:rsidR="009647E5">
        <w:rPr>
          <w:lang w:val="fr-CA"/>
        </w:rPr>
        <w:t>’</w:t>
      </w:r>
      <w:r w:rsidRPr="00AC1B94">
        <w:rPr>
          <w:lang w:val="fr-CA"/>
        </w:rPr>
        <w:t>il pourrait s</w:t>
      </w:r>
      <w:r w:rsidR="009647E5">
        <w:rPr>
          <w:lang w:val="fr-CA"/>
        </w:rPr>
        <w:t>’</w:t>
      </w:r>
      <w:r w:rsidRPr="00AC1B94">
        <w:rPr>
          <w:lang w:val="fr-CA"/>
        </w:rPr>
        <w:t>agir d</w:t>
      </w:r>
      <w:r w:rsidR="009647E5">
        <w:rPr>
          <w:lang w:val="fr-CA"/>
        </w:rPr>
        <w:t>’</w:t>
      </w:r>
      <w:r w:rsidRPr="00AC1B94">
        <w:rPr>
          <w:lang w:val="fr-CA"/>
        </w:rPr>
        <w:t>une activité administrative au sens de la définition d</w:t>
      </w:r>
      <w:r w:rsidR="00D07FBF">
        <w:rPr>
          <w:lang w:val="fr-CA"/>
        </w:rPr>
        <w:t xml:space="preserve">e la </w:t>
      </w:r>
      <w:hyperlink w:history="1" r:id="rId21">
        <w:r w:rsidRPr="007529D4" w:rsidR="00D07FBF">
          <w:rPr>
            <w:rStyle w:val="Hyperlink"/>
            <w:i/>
            <w:iCs/>
            <w:lang w:val="fr-CA"/>
          </w:rPr>
          <w:t>Loi sur la réduction de la paperasse</w:t>
        </w:r>
      </w:hyperlink>
      <w:r w:rsidR="00D07FBF">
        <w:rPr>
          <w:lang w:val="fr-CA"/>
        </w:rPr>
        <w:t xml:space="preserve"> </w:t>
      </w:r>
      <w:r w:rsidRPr="00AC1B94">
        <w:rPr>
          <w:lang w:val="fr-CA"/>
        </w:rPr>
        <w:t>et de la</w:t>
      </w:r>
      <w:r w:rsidR="001D1FE8">
        <w:rPr>
          <w:lang w:val="fr-CA"/>
        </w:rPr>
        <w:t xml:space="preserve"> </w:t>
      </w:r>
      <w:hyperlink w:history="1" r:id="rId22">
        <w:r w:rsidRPr="00140BE7" w:rsidR="001D1FE8">
          <w:rPr>
            <w:rStyle w:val="Hyperlink"/>
            <w:lang w:val="fr-CA"/>
          </w:rPr>
          <w:t>Politique sur la limitation du fardeau réglementaire sur les entreprises</w:t>
        </w:r>
      </w:hyperlink>
      <w:r w:rsidRPr="00AC1B94">
        <w:rPr>
          <w:lang w:val="fr-CA"/>
        </w:rPr>
        <w:t>.</w:t>
      </w:r>
    </w:p>
    <w:p w:rsidR="00AC1B94" w:rsidP="00B91619" w:rsidRDefault="00AC1B94" w14:paraId="0C4AFF54" w14:textId="77777777">
      <w:pPr>
        <w:tabs>
          <w:tab w:val="left" w:pos="9356"/>
        </w:tabs>
        <w:spacing w:after="0" w:line="240" w:lineRule="auto"/>
        <w:rPr>
          <w:lang w:val="fr-CA"/>
        </w:rPr>
      </w:pPr>
    </w:p>
    <w:p w:rsidR="00316723" w:rsidP="00316723" w:rsidRDefault="00B91619" w14:paraId="0D6154CA" w14:textId="390061E1">
      <w:pPr>
        <w:tabs>
          <w:tab w:val="left" w:pos="9356"/>
        </w:tabs>
        <w:spacing w:after="0" w:line="240" w:lineRule="auto"/>
        <w:rPr>
          <w:lang w:val="fr-CA"/>
        </w:rPr>
      </w:pPr>
      <w:r>
        <w:rPr>
          <w:lang w:val="fr-CA"/>
        </w:rPr>
        <w:t>Le tableau </w:t>
      </w:r>
      <w:r w:rsidRPr="00FA558D">
        <w:rPr>
          <w:lang w:val="fr-CA"/>
        </w:rPr>
        <w:t xml:space="preserve">1 </w:t>
      </w:r>
      <w:r w:rsidR="007622C2">
        <w:rPr>
          <w:lang w:val="fr-CA"/>
        </w:rPr>
        <w:t>a pour but</w:t>
      </w:r>
      <w:r w:rsidR="00A9277E">
        <w:rPr>
          <w:lang w:val="fr-CA"/>
        </w:rPr>
        <w:t> </w:t>
      </w:r>
      <w:r w:rsidR="007622C2">
        <w:rPr>
          <w:lang w:val="fr-CA"/>
        </w:rPr>
        <w:t>d’</w:t>
      </w:r>
      <w:r>
        <w:rPr>
          <w:lang w:val="fr-CA"/>
        </w:rPr>
        <w:t>aider les organismes de réglementation</w:t>
      </w:r>
      <w:r w:rsidR="00BB3164">
        <w:rPr>
          <w:lang w:val="fr-CA"/>
        </w:rPr>
        <w:t xml:space="preserve"> à</w:t>
      </w:r>
      <w:r w:rsidR="00316723">
        <w:rPr>
          <w:lang w:val="fr-CA"/>
        </w:rPr>
        <w:t xml:space="preserve"> : </w:t>
      </w:r>
    </w:p>
    <w:p w:rsidRPr="00316723" w:rsidR="00B91619" w:rsidP="001A0F20" w:rsidRDefault="00B91619" w14:paraId="4F21832C" w14:textId="5EB7D52B">
      <w:pPr>
        <w:pStyle w:val="ListParagraph"/>
        <w:numPr>
          <w:ilvl w:val="0"/>
          <w:numId w:val="40"/>
        </w:numPr>
        <w:tabs>
          <w:tab w:val="left" w:pos="9356"/>
        </w:tabs>
        <w:spacing w:after="0" w:line="240" w:lineRule="auto"/>
        <w:rPr>
          <w:lang w:val="fr-CA"/>
        </w:rPr>
      </w:pPr>
      <w:proofErr w:type="gramStart"/>
      <w:r w:rsidRPr="00316723">
        <w:rPr>
          <w:lang w:val="fr-CA"/>
        </w:rPr>
        <w:t>distinguer</w:t>
      </w:r>
      <w:proofErr w:type="gramEnd"/>
      <w:r w:rsidRPr="00316723">
        <w:rPr>
          <w:lang w:val="fr-CA"/>
        </w:rPr>
        <w:t xml:space="preserve"> les activités administratives des activités de conformité;</w:t>
      </w:r>
    </w:p>
    <w:p w:rsidRPr="00FA558D" w:rsidR="00B91619" w:rsidP="00B91619" w:rsidRDefault="00A41BBA" w14:paraId="53B20F1E" w14:textId="54496974">
      <w:pPr>
        <w:pStyle w:val="ListParagraph"/>
        <w:numPr>
          <w:ilvl w:val="0"/>
          <w:numId w:val="17"/>
        </w:numPr>
        <w:tabs>
          <w:tab w:val="left" w:pos="9356"/>
        </w:tabs>
        <w:spacing w:after="0" w:line="240" w:lineRule="auto"/>
        <w:rPr>
          <w:lang w:val="fr-CA"/>
        </w:rPr>
      </w:pPr>
      <w:proofErr w:type="gramStart"/>
      <w:r>
        <w:rPr>
          <w:lang w:val="fr-CA"/>
        </w:rPr>
        <w:t>bien</w:t>
      </w:r>
      <w:proofErr w:type="gramEnd"/>
      <w:r>
        <w:rPr>
          <w:lang w:val="fr-CA"/>
        </w:rPr>
        <w:t xml:space="preserve"> catégoriser les</w:t>
      </w:r>
      <w:r w:rsidR="00B91619">
        <w:rPr>
          <w:lang w:val="fr-CA"/>
        </w:rPr>
        <w:t xml:space="preserve"> </w:t>
      </w:r>
      <w:r w:rsidRPr="00FA558D" w:rsidR="00B91619">
        <w:rPr>
          <w:lang w:val="fr-CA"/>
        </w:rPr>
        <w:t>activi</w:t>
      </w:r>
      <w:r w:rsidR="00B91619">
        <w:rPr>
          <w:lang w:val="fr-CA"/>
        </w:rPr>
        <w:t>tés.</w:t>
      </w:r>
      <w:r w:rsidR="002A1737">
        <w:rPr>
          <w:lang w:val="fr-CA"/>
        </w:rPr>
        <w:t xml:space="preserve"> </w:t>
      </w:r>
    </w:p>
    <w:p w:rsidRPr="00FA558D" w:rsidR="00B91619" w:rsidP="00B91619" w:rsidRDefault="00B91619" w14:paraId="70FACD75" w14:textId="77777777">
      <w:pPr>
        <w:tabs>
          <w:tab w:val="left" w:pos="9356"/>
        </w:tabs>
        <w:spacing w:after="0" w:line="240" w:lineRule="auto"/>
        <w:rPr>
          <w:lang w:val="fr-CA"/>
        </w:rPr>
      </w:pPr>
    </w:p>
    <w:p w:rsidRPr="00FA558D" w:rsidR="00B91619" w:rsidP="00B91619" w:rsidRDefault="00B91619" w14:paraId="60A9005B" w14:textId="167AE04E">
      <w:pPr>
        <w:tabs>
          <w:tab w:val="left" w:pos="9356"/>
        </w:tabs>
        <w:spacing w:after="0" w:line="240" w:lineRule="auto"/>
        <w:rPr>
          <w:b/>
          <w:lang w:val="fr-CA"/>
        </w:rPr>
      </w:pPr>
      <w:r w:rsidRPr="00FA558D">
        <w:rPr>
          <w:b/>
          <w:lang w:val="fr-CA"/>
        </w:rPr>
        <w:t>Table</w:t>
      </w:r>
      <w:r>
        <w:rPr>
          <w:b/>
          <w:lang w:val="fr-CA"/>
        </w:rPr>
        <w:t>au</w:t>
      </w:r>
      <w:r w:rsidRPr="00FA558D">
        <w:rPr>
          <w:b/>
          <w:lang w:val="fr-CA"/>
        </w:rPr>
        <w:t> 1</w:t>
      </w:r>
      <w:r w:rsidR="00C27D97">
        <w:rPr>
          <w:b/>
          <w:lang w:val="fr-CA"/>
        </w:rPr>
        <w:t>.</w:t>
      </w:r>
      <w:r>
        <w:rPr>
          <w:b/>
          <w:lang w:val="fr-CA"/>
        </w:rPr>
        <w:t xml:space="preserve"> A</w:t>
      </w:r>
      <w:r w:rsidRPr="00FA558D">
        <w:rPr>
          <w:b/>
          <w:lang w:val="fr-CA"/>
        </w:rPr>
        <w:t>ctivi</w:t>
      </w:r>
      <w:r>
        <w:rPr>
          <w:b/>
          <w:lang w:val="fr-CA"/>
        </w:rPr>
        <w:t xml:space="preserve">tés et </w:t>
      </w:r>
      <w:r w:rsidR="00C27D97">
        <w:rPr>
          <w:b/>
          <w:lang w:val="fr-CA"/>
        </w:rPr>
        <w:t>éléments</w:t>
      </w:r>
      <w:r>
        <w:rPr>
          <w:b/>
          <w:lang w:val="fr-CA"/>
        </w:rPr>
        <w:t xml:space="preserve"> administrati</w:t>
      </w:r>
      <w:r w:rsidR="00C27D97">
        <w:rPr>
          <w:b/>
          <w:lang w:val="fr-CA"/>
        </w:rPr>
        <w:t>f</w:t>
      </w:r>
      <w:r w:rsidR="007B27C9">
        <w:rPr>
          <w:b/>
          <w:lang w:val="fr-CA"/>
        </w:rPr>
        <w:t>s</w:t>
      </w:r>
      <w:r>
        <w:rPr>
          <w:b/>
          <w:lang w:val="fr-CA"/>
        </w:rPr>
        <w:t xml:space="preserve"> et de </w:t>
      </w:r>
      <w:proofErr w:type="gramStart"/>
      <w:r w:rsidRPr="00FA558D">
        <w:rPr>
          <w:b/>
          <w:lang w:val="fr-CA"/>
        </w:rPr>
        <w:t>co</w:t>
      </w:r>
      <w:r>
        <w:rPr>
          <w:b/>
          <w:lang w:val="fr-CA"/>
        </w:rPr>
        <w:t>nformité</w:t>
      </w:r>
      <w:r w:rsidRPr="00FA558D">
        <w:rPr>
          <w:b/>
          <w:lang w:val="fr-CA"/>
        </w:rPr>
        <w:t xml:space="preserve"> </w:t>
      </w:r>
      <w:r w:rsidR="00C27D97">
        <w:rPr>
          <w:b/>
          <w:lang w:val="fr-CA"/>
        </w:rPr>
        <w:t>connexes</w:t>
      </w:r>
      <w:proofErr w:type="gramEnd"/>
      <w:r w:rsidR="00C27D97">
        <w:rPr>
          <w:b/>
          <w:lang w:val="fr-CA"/>
        </w:rPr>
        <w:t xml:space="preserve"> </w:t>
      </w:r>
      <w:r w:rsidR="00A41BBA">
        <w:rPr>
          <w:b/>
          <w:lang w:val="fr-CA"/>
        </w:rPr>
        <w:t xml:space="preserve">selon </w:t>
      </w:r>
      <w:r>
        <w:rPr>
          <w:b/>
          <w:lang w:val="fr-CA"/>
        </w:rPr>
        <w:t>les exigence</w:t>
      </w:r>
      <w:r w:rsidRPr="00FA558D">
        <w:rPr>
          <w:b/>
          <w:lang w:val="fr-CA"/>
        </w:rPr>
        <w:t>s</w:t>
      </w:r>
    </w:p>
    <w:tbl>
      <w:tblPr>
        <w:tblStyle w:val="TableGrid"/>
        <w:tblW w:w="0" w:type="auto"/>
        <w:tblLook w:val="04A0" w:firstRow="1" w:lastRow="0" w:firstColumn="1" w:lastColumn="0" w:noHBand="0" w:noVBand="1"/>
      </w:tblPr>
      <w:tblGrid>
        <w:gridCol w:w="2207"/>
        <w:gridCol w:w="3375"/>
        <w:gridCol w:w="3768"/>
      </w:tblGrid>
      <w:tr w:rsidRPr="00FA558D" w:rsidR="00B91619" w:rsidTr="00A9277E" w14:paraId="1F1BB208" w14:textId="77777777">
        <w:trPr>
          <w:cantSplit/>
          <w:tblHeader/>
        </w:trPr>
        <w:tc>
          <w:tcPr>
            <w:tcW w:w="2235" w:type="dxa"/>
            <w:shd w:val="clear" w:color="auto" w:fill="FFFFFF" w:themeFill="background1"/>
          </w:tcPr>
          <w:p w:rsidRPr="00FA558D" w:rsidR="00B91619" w:rsidP="00A9277E" w:rsidRDefault="00B91619" w14:paraId="4E7F90D4" w14:textId="77777777">
            <w:pPr>
              <w:tabs>
                <w:tab w:val="left" w:pos="9356"/>
              </w:tabs>
              <w:rPr>
                <w:b/>
                <w:lang w:val="fr-CA"/>
              </w:rPr>
            </w:pPr>
            <w:r w:rsidRPr="00FA558D">
              <w:rPr>
                <w:b/>
                <w:lang w:val="fr-CA"/>
              </w:rPr>
              <w:t>Activ</w:t>
            </w:r>
            <w:r>
              <w:rPr>
                <w:b/>
                <w:lang w:val="fr-CA"/>
              </w:rPr>
              <w:t>ité</w:t>
            </w:r>
          </w:p>
        </w:tc>
        <w:tc>
          <w:tcPr>
            <w:tcW w:w="3402" w:type="dxa"/>
            <w:shd w:val="clear" w:color="auto" w:fill="FFFFFF" w:themeFill="background1"/>
          </w:tcPr>
          <w:p w:rsidRPr="00FA558D" w:rsidR="00B91619" w:rsidP="00A9277E" w:rsidRDefault="00C27D97" w14:paraId="0EE3F2D4" w14:textId="32500FF2">
            <w:pPr>
              <w:tabs>
                <w:tab w:val="left" w:pos="9356"/>
              </w:tabs>
              <w:rPr>
                <w:b/>
                <w:lang w:val="fr-CA"/>
              </w:rPr>
            </w:pPr>
            <w:r>
              <w:rPr>
                <w:b/>
                <w:lang w:val="fr-CA"/>
              </w:rPr>
              <w:t>Élément</w:t>
            </w:r>
            <w:r w:rsidR="00B91619">
              <w:rPr>
                <w:b/>
                <w:lang w:val="fr-CA"/>
              </w:rPr>
              <w:t xml:space="preserve"> administrati</w:t>
            </w:r>
            <w:r>
              <w:rPr>
                <w:b/>
                <w:lang w:val="fr-CA"/>
              </w:rPr>
              <w:t>f</w:t>
            </w:r>
          </w:p>
        </w:tc>
        <w:tc>
          <w:tcPr>
            <w:tcW w:w="3827" w:type="dxa"/>
            <w:shd w:val="clear" w:color="auto" w:fill="FFFFFF" w:themeFill="background1"/>
          </w:tcPr>
          <w:p w:rsidRPr="00FA558D" w:rsidR="00B91619" w:rsidP="00A9277E" w:rsidRDefault="00C27D97" w14:paraId="59E77260" w14:textId="428E378D">
            <w:pPr>
              <w:tabs>
                <w:tab w:val="left" w:pos="9356"/>
              </w:tabs>
              <w:rPr>
                <w:b/>
                <w:lang w:val="fr-CA"/>
              </w:rPr>
            </w:pPr>
            <w:r>
              <w:rPr>
                <w:b/>
                <w:lang w:val="fr-CA"/>
              </w:rPr>
              <w:t>Élément</w:t>
            </w:r>
            <w:r w:rsidR="00B91619">
              <w:rPr>
                <w:b/>
                <w:lang w:val="fr-CA"/>
              </w:rPr>
              <w:t xml:space="preserve"> de conformité</w:t>
            </w:r>
          </w:p>
        </w:tc>
      </w:tr>
      <w:tr w:rsidRPr="001A0F20" w:rsidR="00B91619" w:rsidTr="00A9277E" w14:paraId="374B5771" w14:textId="77777777">
        <w:trPr>
          <w:cantSplit/>
        </w:trPr>
        <w:tc>
          <w:tcPr>
            <w:tcW w:w="2235" w:type="dxa"/>
            <w:shd w:val="clear" w:color="auto" w:fill="FFFFFF" w:themeFill="background1"/>
          </w:tcPr>
          <w:p w:rsidRPr="00FA558D" w:rsidR="00B91619" w:rsidP="00A9277E" w:rsidRDefault="00B91619" w14:paraId="048998A1" w14:textId="77777777">
            <w:pPr>
              <w:tabs>
                <w:tab w:val="left" w:pos="9356"/>
              </w:tabs>
              <w:rPr>
                <w:lang w:val="fr-CA"/>
              </w:rPr>
            </w:pPr>
            <w:r>
              <w:rPr>
                <w:lang w:val="fr-CA"/>
              </w:rPr>
              <w:t>Traitement de</w:t>
            </w:r>
            <w:r w:rsidRPr="00FA558D">
              <w:rPr>
                <w:lang w:val="fr-CA"/>
              </w:rPr>
              <w:t xml:space="preserve"> </w:t>
            </w:r>
            <w:r>
              <w:rPr>
                <w:lang w:val="fr-CA"/>
              </w:rPr>
              <w:t>documents d’ordre général</w:t>
            </w:r>
          </w:p>
        </w:tc>
        <w:tc>
          <w:tcPr>
            <w:tcW w:w="3402" w:type="dxa"/>
            <w:shd w:val="clear" w:color="auto" w:fill="FFFFFF" w:themeFill="background1"/>
          </w:tcPr>
          <w:p w:rsidRPr="00FA558D" w:rsidR="00B91619" w:rsidP="00A9277E" w:rsidRDefault="00B91619" w14:paraId="2DB1030D" w14:textId="77777777">
            <w:pPr>
              <w:pStyle w:val="ListParagraph"/>
              <w:numPr>
                <w:ilvl w:val="0"/>
                <w:numId w:val="6"/>
              </w:numPr>
              <w:tabs>
                <w:tab w:val="left" w:pos="9356"/>
              </w:tabs>
              <w:ind w:left="191" w:hanging="180"/>
              <w:rPr>
                <w:lang w:val="fr-CA"/>
              </w:rPr>
            </w:pPr>
            <w:r>
              <w:rPr>
                <w:lang w:val="fr-CA"/>
              </w:rPr>
              <w:t>Préparation de documents d’ordre général</w:t>
            </w:r>
            <w:r w:rsidRPr="00FA558D">
              <w:rPr>
                <w:lang w:val="fr-CA"/>
              </w:rPr>
              <w:t xml:space="preserve">, </w:t>
            </w:r>
            <w:r>
              <w:rPr>
                <w:lang w:val="fr-CA"/>
              </w:rPr>
              <w:t>de rapports</w:t>
            </w:r>
            <w:r w:rsidRPr="00FA558D">
              <w:rPr>
                <w:lang w:val="fr-CA"/>
              </w:rPr>
              <w:t xml:space="preserve">, </w:t>
            </w:r>
            <w:r>
              <w:rPr>
                <w:lang w:val="fr-CA"/>
              </w:rPr>
              <w:t>de demandes de permis et d’autoris</w:t>
            </w:r>
            <w:r w:rsidRPr="00FA558D">
              <w:rPr>
                <w:lang w:val="fr-CA"/>
              </w:rPr>
              <w:t>ations</w:t>
            </w:r>
          </w:p>
          <w:p w:rsidRPr="00FA558D" w:rsidR="00B91619" w:rsidP="00A9277E" w:rsidRDefault="00B91619" w14:paraId="7ACEC3CA" w14:textId="77777777">
            <w:pPr>
              <w:pStyle w:val="ListParagraph"/>
              <w:numPr>
                <w:ilvl w:val="0"/>
                <w:numId w:val="6"/>
              </w:numPr>
              <w:tabs>
                <w:tab w:val="left" w:pos="9356"/>
              </w:tabs>
              <w:ind w:left="191" w:hanging="180"/>
              <w:rPr>
                <w:lang w:val="fr-CA"/>
              </w:rPr>
            </w:pPr>
            <w:r>
              <w:rPr>
                <w:lang w:val="fr-CA"/>
              </w:rPr>
              <w:t>Présentation de ces documents au</w:t>
            </w:r>
            <w:r w:rsidRPr="00FA558D">
              <w:rPr>
                <w:lang w:val="fr-CA"/>
              </w:rPr>
              <w:t xml:space="preserve"> </w:t>
            </w:r>
            <w:r>
              <w:rPr>
                <w:lang w:val="fr-CA"/>
              </w:rPr>
              <w:t>gouverne</w:t>
            </w:r>
            <w:r w:rsidRPr="00FA558D">
              <w:rPr>
                <w:lang w:val="fr-CA"/>
              </w:rPr>
              <w:t xml:space="preserve">ment </w:t>
            </w:r>
          </w:p>
          <w:p w:rsidRPr="00FA558D" w:rsidR="00B91619" w:rsidP="00A9277E" w:rsidRDefault="00B91619" w14:paraId="693A13D1" w14:textId="77777777">
            <w:pPr>
              <w:pStyle w:val="ListParagraph"/>
              <w:numPr>
                <w:ilvl w:val="0"/>
                <w:numId w:val="6"/>
              </w:numPr>
              <w:tabs>
                <w:tab w:val="left" w:pos="9356"/>
              </w:tabs>
              <w:ind w:left="191" w:hanging="180"/>
              <w:rPr>
                <w:lang w:val="fr-CA"/>
              </w:rPr>
            </w:pPr>
            <w:r>
              <w:rPr>
                <w:lang w:val="fr-CA"/>
              </w:rPr>
              <w:t>Classement et récupération de ces</w:t>
            </w:r>
            <w:r w:rsidRPr="00FA558D">
              <w:rPr>
                <w:lang w:val="fr-CA"/>
              </w:rPr>
              <w:t xml:space="preserve"> documents</w:t>
            </w:r>
          </w:p>
        </w:tc>
        <w:tc>
          <w:tcPr>
            <w:tcW w:w="3827" w:type="dxa"/>
            <w:shd w:val="clear" w:color="auto" w:fill="FFFFFF" w:themeFill="background1"/>
          </w:tcPr>
          <w:p w:rsidRPr="00FA558D" w:rsidR="00B91619" w:rsidP="00A9277E" w:rsidRDefault="00B91619" w14:paraId="7417274B" w14:textId="77777777">
            <w:pPr>
              <w:pStyle w:val="ListParagraph"/>
              <w:numPr>
                <w:ilvl w:val="0"/>
                <w:numId w:val="6"/>
              </w:numPr>
              <w:tabs>
                <w:tab w:val="left" w:pos="9356"/>
              </w:tabs>
              <w:ind w:left="191" w:hanging="180"/>
              <w:rPr>
                <w:lang w:val="fr-CA"/>
              </w:rPr>
            </w:pPr>
            <w:r>
              <w:rPr>
                <w:lang w:val="fr-CA"/>
              </w:rPr>
              <w:t>Achat de classeurs ou de serveur</w:t>
            </w:r>
            <w:r w:rsidRPr="00FA558D">
              <w:rPr>
                <w:lang w:val="fr-CA"/>
              </w:rPr>
              <w:t>s</w:t>
            </w:r>
            <w:r>
              <w:rPr>
                <w:lang w:val="fr-CA"/>
              </w:rPr>
              <w:t xml:space="preserve"> pour</w:t>
            </w:r>
            <w:r w:rsidRPr="00FA558D">
              <w:rPr>
                <w:lang w:val="fr-CA"/>
              </w:rPr>
              <w:t xml:space="preserve"> </w:t>
            </w:r>
            <w:r>
              <w:rPr>
                <w:lang w:val="fr-CA"/>
              </w:rPr>
              <w:t>stocker l’information</w:t>
            </w:r>
          </w:p>
        </w:tc>
      </w:tr>
      <w:tr w:rsidRPr="001A0F20" w:rsidR="00B91619" w:rsidTr="00A9277E" w14:paraId="3DF4E64C" w14:textId="77777777">
        <w:trPr>
          <w:cantSplit/>
        </w:trPr>
        <w:tc>
          <w:tcPr>
            <w:tcW w:w="2235" w:type="dxa"/>
            <w:shd w:val="clear" w:color="auto" w:fill="FFFFFF" w:themeFill="background1"/>
          </w:tcPr>
          <w:p w:rsidRPr="00FA558D" w:rsidR="00B91619" w:rsidP="00A9277E" w:rsidRDefault="00B91619" w14:paraId="606652CE" w14:textId="4FDD619B">
            <w:pPr>
              <w:tabs>
                <w:tab w:val="left" w:pos="9356"/>
              </w:tabs>
              <w:rPr>
                <w:lang w:val="fr-CA"/>
              </w:rPr>
            </w:pPr>
            <w:r>
              <w:rPr>
                <w:lang w:val="fr-CA"/>
              </w:rPr>
              <w:t>Traitement</w:t>
            </w:r>
            <w:r w:rsidRPr="00FA558D">
              <w:rPr>
                <w:lang w:val="fr-CA"/>
              </w:rPr>
              <w:t xml:space="preserve"> </w:t>
            </w:r>
            <w:r>
              <w:rPr>
                <w:lang w:val="fr-CA"/>
              </w:rPr>
              <w:t xml:space="preserve">de documents </w:t>
            </w:r>
            <w:r w:rsidR="00513C11">
              <w:rPr>
                <w:lang w:val="fr-CA"/>
              </w:rPr>
              <w:t xml:space="preserve">complets </w:t>
            </w:r>
            <w:r>
              <w:rPr>
                <w:lang w:val="fr-CA"/>
              </w:rPr>
              <w:t>et complexes</w:t>
            </w:r>
          </w:p>
        </w:tc>
        <w:tc>
          <w:tcPr>
            <w:tcW w:w="3402" w:type="dxa"/>
            <w:shd w:val="clear" w:color="auto" w:fill="FFFFFF" w:themeFill="background1"/>
          </w:tcPr>
          <w:p w:rsidRPr="00FA558D" w:rsidR="00B91619" w:rsidP="00A9277E" w:rsidRDefault="00513C11" w14:paraId="508390FC" w14:textId="74772F35">
            <w:pPr>
              <w:pStyle w:val="ListParagraph"/>
              <w:numPr>
                <w:ilvl w:val="0"/>
                <w:numId w:val="6"/>
              </w:numPr>
              <w:tabs>
                <w:tab w:val="left" w:pos="9356"/>
              </w:tabs>
              <w:ind w:left="191" w:hanging="180"/>
              <w:rPr>
                <w:lang w:val="fr-CA"/>
              </w:rPr>
            </w:pPr>
            <w:r>
              <w:rPr>
                <w:lang w:val="fr-CA"/>
              </w:rPr>
              <w:t>P</w:t>
            </w:r>
            <w:r w:rsidR="00B91619">
              <w:rPr>
                <w:lang w:val="fr-CA"/>
              </w:rPr>
              <w:t>résentation de plans au gouverne</w:t>
            </w:r>
            <w:r w:rsidRPr="00FA558D" w:rsidR="00B91619">
              <w:rPr>
                <w:lang w:val="fr-CA"/>
              </w:rPr>
              <w:t>ment</w:t>
            </w:r>
            <w:r>
              <w:rPr>
                <w:lang w:val="fr-CA"/>
              </w:rPr>
              <w:t xml:space="preserve"> et en faire un résumé</w:t>
            </w:r>
            <w:r w:rsidR="00B91619">
              <w:rPr>
                <w:lang w:val="fr-CA"/>
              </w:rPr>
              <w:t xml:space="preserve"> </w:t>
            </w:r>
          </w:p>
          <w:p w:rsidRPr="00FA558D" w:rsidR="00B91619" w:rsidP="00A9277E" w:rsidRDefault="00B91619" w14:paraId="625DFFD1" w14:textId="77777777">
            <w:pPr>
              <w:tabs>
                <w:tab w:val="left" w:pos="2410"/>
              </w:tabs>
              <w:rPr>
                <w:lang w:val="fr-CA"/>
              </w:rPr>
            </w:pPr>
            <w:r w:rsidRPr="00FA558D">
              <w:rPr>
                <w:lang w:val="fr-CA"/>
              </w:rPr>
              <w:tab/>
            </w:r>
          </w:p>
        </w:tc>
        <w:tc>
          <w:tcPr>
            <w:tcW w:w="3827" w:type="dxa"/>
            <w:shd w:val="clear" w:color="auto" w:fill="FFFFFF" w:themeFill="background1"/>
          </w:tcPr>
          <w:p w:rsidRPr="00FA558D" w:rsidR="00B91619" w:rsidP="00A9277E" w:rsidRDefault="00B91619" w14:paraId="4B2BE0D2" w14:textId="554ECB1C">
            <w:pPr>
              <w:pStyle w:val="ListParagraph"/>
              <w:numPr>
                <w:ilvl w:val="0"/>
                <w:numId w:val="6"/>
              </w:numPr>
              <w:tabs>
                <w:tab w:val="left" w:pos="9356"/>
              </w:tabs>
              <w:ind w:left="191" w:hanging="180"/>
              <w:rPr>
                <w:lang w:val="fr-CA"/>
              </w:rPr>
            </w:pPr>
            <w:r>
              <w:rPr>
                <w:lang w:val="fr-CA"/>
              </w:rPr>
              <w:t>Préparation d’une</w:t>
            </w:r>
            <w:r w:rsidRPr="00FA558D">
              <w:rPr>
                <w:lang w:val="fr-CA"/>
              </w:rPr>
              <w:t xml:space="preserve"> </w:t>
            </w:r>
            <w:r>
              <w:rPr>
                <w:lang w:val="fr-CA"/>
              </w:rPr>
              <w:t>évaluation des risques</w:t>
            </w:r>
            <w:r w:rsidRPr="00FA558D">
              <w:rPr>
                <w:lang w:val="fr-CA"/>
              </w:rPr>
              <w:t xml:space="preserve">, </w:t>
            </w:r>
            <w:r>
              <w:rPr>
                <w:lang w:val="fr-CA"/>
              </w:rPr>
              <w:t>d’un</w:t>
            </w:r>
            <w:r w:rsidRPr="00FA558D">
              <w:rPr>
                <w:lang w:val="fr-CA"/>
              </w:rPr>
              <w:t xml:space="preserve"> </w:t>
            </w:r>
            <w:r>
              <w:rPr>
                <w:lang w:val="fr-CA"/>
              </w:rPr>
              <w:t>plan opérationnel</w:t>
            </w:r>
            <w:r w:rsidRPr="00FA558D">
              <w:rPr>
                <w:lang w:val="fr-CA"/>
              </w:rPr>
              <w:t>,</w:t>
            </w:r>
            <w:r>
              <w:rPr>
                <w:lang w:val="fr-CA"/>
              </w:rPr>
              <w:t xml:space="preserve"> d’un</w:t>
            </w:r>
            <w:r w:rsidRPr="00FA558D">
              <w:rPr>
                <w:lang w:val="fr-CA"/>
              </w:rPr>
              <w:t xml:space="preserve"> </w:t>
            </w:r>
            <w:r>
              <w:rPr>
                <w:lang w:val="fr-CA"/>
              </w:rPr>
              <w:t>plan de formation</w:t>
            </w:r>
            <w:r w:rsidRPr="00FA558D">
              <w:rPr>
                <w:lang w:val="fr-CA"/>
              </w:rPr>
              <w:t xml:space="preserve">, </w:t>
            </w:r>
            <w:r>
              <w:rPr>
                <w:lang w:val="fr-CA"/>
              </w:rPr>
              <w:t>d’un</w:t>
            </w:r>
            <w:r w:rsidRPr="00FA558D">
              <w:rPr>
                <w:lang w:val="fr-CA"/>
              </w:rPr>
              <w:t xml:space="preserve"> </w:t>
            </w:r>
            <w:r>
              <w:rPr>
                <w:lang w:val="fr-CA"/>
              </w:rPr>
              <w:t xml:space="preserve">plan d’intervention d’urgence et </w:t>
            </w:r>
            <w:r w:rsidR="00433D33">
              <w:rPr>
                <w:lang w:val="fr-CA"/>
              </w:rPr>
              <w:t>d’un plan de</w:t>
            </w:r>
            <w:r>
              <w:rPr>
                <w:lang w:val="fr-CA"/>
              </w:rPr>
              <w:t xml:space="preserve"> mesure d</w:t>
            </w:r>
            <w:r w:rsidR="007804CD">
              <w:rPr>
                <w:lang w:val="fr-CA"/>
              </w:rPr>
              <w:t>u</w:t>
            </w:r>
            <w:r>
              <w:rPr>
                <w:lang w:val="fr-CA"/>
              </w:rPr>
              <w:t xml:space="preserve"> rendement et d’évaluation</w:t>
            </w:r>
            <w:r w:rsidRPr="00FA558D">
              <w:rPr>
                <w:lang w:val="fr-CA"/>
              </w:rPr>
              <w:t xml:space="preserve"> </w:t>
            </w:r>
          </w:p>
          <w:p w:rsidRPr="00FA558D" w:rsidR="00B91619" w:rsidP="00A9277E" w:rsidRDefault="00B91619" w14:paraId="6D5CC7B4" w14:textId="77777777">
            <w:pPr>
              <w:pStyle w:val="ListParagraph"/>
              <w:numPr>
                <w:ilvl w:val="0"/>
                <w:numId w:val="6"/>
              </w:numPr>
              <w:tabs>
                <w:tab w:val="left" w:pos="9356"/>
              </w:tabs>
              <w:ind w:left="191" w:hanging="180"/>
              <w:rPr>
                <w:lang w:val="fr-CA"/>
              </w:rPr>
            </w:pPr>
            <w:r w:rsidRPr="00FA558D">
              <w:rPr>
                <w:lang w:val="fr-CA"/>
              </w:rPr>
              <w:t>Collect</w:t>
            </w:r>
            <w:r>
              <w:rPr>
                <w:lang w:val="fr-CA"/>
              </w:rPr>
              <w:t>e de données scientifiques pour la préparation d’un rapport</w:t>
            </w:r>
          </w:p>
          <w:p w:rsidRPr="00FA558D" w:rsidR="00B91619" w:rsidP="00A9277E" w:rsidRDefault="00B91619" w14:paraId="1B66486B" w14:textId="77777777">
            <w:pPr>
              <w:pStyle w:val="ListParagraph"/>
              <w:numPr>
                <w:ilvl w:val="0"/>
                <w:numId w:val="6"/>
              </w:numPr>
              <w:tabs>
                <w:tab w:val="left" w:pos="9356"/>
              </w:tabs>
              <w:ind w:left="191" w:hanging="180"/>
              <w:rPr>
                <w:lang w:val="fr-CA"/>
              </w:rPr>
            </w:pPr>
            <w:r>
              <w:rPr>
                <w:lang w:val="fr-CA"/>
              </w:rPr>
              <w:t>Achat de</w:t>
            </w:r>
            <w:r w:rsidRPr="00FA558D">
              <w:rPr>
                <w:lang w:val="fr-CA"/>
              </w:rPr>
              <w:t xml:space="preserve"> </w:t>
            </w:r>
            <w:r>
              <w:rPr>
                <w:lang w:val="fr-CA"/>
              </w:rPr>
              <w:t>classeurs ou de serveur</w:t>
            </w:r>
            <w:r w:rsidRPr="00FA558D">
              <w:rPr>
                <w:lang w:val="fr-CA"/>
              </w:rPr>
              <w:t xml:space="preserve">s </w:t>
            </w:r>
            <w:r>
              <w:rPr>
                <w:lang w:val="fr-CA"/>
              </w:rPr>
              <w:t>pour stocker l’information</w:t>
            </w:r>
          </w:p>
        </w:tc>
      </w:tr>
      <w:tr w:rsidRPr="001A0F20" w:rsidR="00B91619" w:rsidTr="00A9277E" w14:paraId="791B49D2" w14:textId="77777777">
        <w:trPr>
          <w:cantSplit/>
          <w:trHeight w:val="881"/>
        </w:trPr>
        <w:tc>
          <w:tcPr>
            <w:tcW w:w="2235" w:type="dxa"/>
            <w:shd w:val="clear" w:color="auto" w:fill="FFFFFF" w:themeFill="background1"/>
          </w:tcPr>
          <w:p w:rsidRPr="00FA558D" w:rsidR="00B91619" w:rsidP="00A9277E" w:rsidRDefault="00B91619" w14:paraId="7733B8A3" w14:textId="77777777">
            <w:pPr>
              <w:tabs>
                <w:tab w:val="left" w:pos="9356"/>
              </w:tabs>
              <w:rPr>
                <w:lang w:val="fr-CA"/>
              </w:rPr>
            </w:pPr>
            <w:r>
              <w:rPr>
                <w:lang w:val="fr-CA"/>
              </w:rPr>
              <w:t>Classement et récupération de l’in</w:t>
            </w:r>
            <w:r w:rsidRPr="00FA558D">
              <w:rPr>
                <w:lang w:val="fr-CA"/>
              </w:rPr>
              <w:t xml:space="preserve">formation </w:t>
            </w:r>
          </w:p>
        </w:tc>
        <w:tc>
          <w:tcPr>
            <w:tcW w:w="3402" w:type="dxa"/>
            <w:shd w:val="clear" w:color="auto" w:fill="FFFFFF" w:themeFill="background1"/>
          </w:tcPr>
          <w:p w:rsidRPr="00FA558D" w:rsidR="00B91619" w:rsidP="00433D33" w:rsidRDefault="00B91619" w14:paraId="163F4CEA" w14:textId="3BD3FA3E">
            <w:pPr>
              <w:pStyle w:val="ListParagraph"/>
              <w:numPr>
                <w:ilvl w:val="0"/>
                <w:numId w:val="6"/>
              </w:numPr>
              <w:tabs>
                <w:tab w:val="left" w:pos="9356"/>
              </w:tabs>
              <w:ind w:left="191" w:hanging="180"/>
              <w:rPr>
                <w:lang w:val="fr-CA"/>
              </w:rPr>
            </w:pPr>
            <w:r>
              <w:rPr>
                <w:lang w:val="fr-CA"/>
              </w:rPr>
              <w:t>Classement ou récupération d’in</w:t>
            </w:r>
            <w:r w:rsidRPr="00FA558D">
              <w:rPr>
                <w:lang w:val="fr-CA"/>
              </w:rPr>
              <w:t xml:space="preserve">formation </w:t>
            </w:r>
            <w:r>
              <w:rPr>
                <w:lang w:val="fr-CA"/>
              </w:rPr>
              <w:t xml:space="preserve">liée à une obligation </w:t>
            </w:r>
            <w:r w:rsidR="00433D33">
              <w:rPr>
                <w:lang w:val="fr-CA"/>
              </w:rPr>
              <w:t>d</w:t>
            </w:r>
            <w:r>
              <w:rPr>
                <w:lang w:val="fr-CA"/>
              </w:rPr>
              <w:t>u gouvernement fédéral</w:t>
            </w:r>
          </w:p>
        </w:tc>
        <w:tc>
          <w:tcPr>
            <w:tcW w:w="3827" w:type="dxa"/>
            <w:shd w:val="clear" w:color="auto" w:fill="FFFFFF" w:themeFill="background1"/>
          </w:tcPr>
          <w:p w:rsidRPr="00FA558D" w:rsidR="00B91619" w:rsidP="00A9277E" w:rsidRDefault="00B91619" w14:paraId="15765EB0" w14:textId="77777777">
            <w:pPr>
              <w:pStyle w:val="ListParagraph"/>
              <w:numPr>
                <w:ilvl w:val="0"/>
                <w:numId w:val="6"/>
              </w:numPr>
              <w:tabs>
                <w:tab w:val="left" w:pos="9356"/>
              </w:tabs>
              <w:ind w:left="191" w:hanging="180"/>
              <w:rPr>
                <w:lang w:val="fr-CA"/>
              </w:rPr>
            </w:pPr>
            <w:r>
              <w:rPr>
                <w:lang w:val="fr-CA"/>
              </w:rPr>
              <w:t>Achat de</w:t>
            </w:r>
            <w:r w:rsidRPr="00FA558D">
              <w:rPr>
                <w:lang w:val="fr-CA"/>
              </w:rPr>
              <w:t xml:space="preserve"> </w:t>
            </w:r>
            <w:r>
              <w:rPr>
                <w:lang w:val="fr-CA"/>
              </w:rPr>
              <w:t>classeurs ou de serveur</w:t>
            </w:r>
            <w:r w:rsidRPr="00FA558D">
              <w:rPr>
                <w:lang w:val="fr-CA"/>
              </w:rPr>
              <w:t xml:space="preserve">s </w:t>
            </w:r>
            <w:r>
              <w:rPr>
                <w:lang w:val="fr-CA"/>
              </w:rPr>
              <w:t>pour stocker l’information</w:t>
            </w:r>
          </w:p>
        </w:tc>
      </w:tr>
      <w:tr w:rsidRPr="001A0F20" w:rsidR="00B91619" w:rsidTr="00A9277E" w14:paraId="5FC67BF0" w14:textId="77777777">
        <w:trPr>
          <w:cantSplit/>
        </w:trPr>
        <w:tc>
          <w:tcPr>
            <w:tcW w:w="2235" w:type="dxa"/>
            <w:shd w:val="clear" w:color="auto" w:fill="FFFFFF" w:themeFill="background1"/>
          </w:tcPr>
          <w:p w:rsidRPr="00FA558D" w:rsidR="00B91619" w:rsidP="00A9277E" w:rsidRDefault="00B91619" w14:paraId="26EBECDC" w14:textId="77777777">
            <w:pPr>
              <w:tabs>
                <w:tab w:val="left" w:pos="9356"/>
              </w:tabs>
              <w:rPr>
                <w:lang w:val="fr-CA"/>
              </w:rPr>
            </w:pPr>
            <w:r>
              <w:rPr>
                <w:lang w:val="fr-CA"/>
              </w:rPr>
              <w:t>Étiquetage</w:t>
            </w:r>
          </w:p>
        </w:tc>
        <w:tc>
          <w:tcPr>
            <w:tcW w:w="3402" w:type="dxa"/>
            <w:shd w:val="clear" w:color="auto" w:fill="FFFFFF" w:themeFill="background1"/>
          </w:tcPr>
          <w:p w:rsidRPr="00F00E5C" w:rsidR="00B91619" w:rsidP="00A9277E" w:rsidRDefault="00433D33" w14:paraId="43EA793B" w14:textId="4E3403B3">
            <w:pPr>
              <w:tabs>
                <w:tab w:val="left" w:pos="9356"/>
              </w:tabs>
              <w:rPr>
                <w:lang w:val="fr-CA"/>
              </w:rPr>
            </w:pPr>
            <w:r>
              <w:rPr>
                <w:lang w:val="fr-CA"/>
              </w:rPr>
              <w:t>Sans objet</w:t>
            </w:r>
          </w:p>
        </w:tc>
        <w:tc>
          <w:tcPr>
            <w:tcW w:w="3827" w:type="dxa"/>
            <w:shd w:val="clear" w:color="auto" w:fill="FFFFFF" w:themeFill="background1"/>
          </w:tcPr>
          <w:p w:rsidRPr="00FA558D" w:rsidR="00B91619" w:rsidP="00A9277E" w:rsidRDefault="00B91619" w14:paraId="1539A6F3" w14:textId="5AA99624">
            <w:pPr>
              <w:pStyle w:val="ListParagraph"/>
              <w:numPr>
                <w:ilvl w:val="0"/>
                <w:numId w:val="6"/>
              </w:numPr>
              <w:tabs>
                <w:tab w:val="left" w:pos="9356"/>
              </w:tabs>
              <w:ind w:left="191" w:hanging="180"/>
              <w:rPr>
                <w:lang w:val="fr-CA"/>
              </w:rPr>
            </w:pPr>
            <w:r>
              <w:rPr>
                <w:lang w:val="fr-CA"/>
              </w:rPr>
              <w:t>L’étiquetage</w:t>
            </w:r>
            <w:r w:rsidRPr="00FA558D">
              <w:rPr>
                <w:lang w:val="fr-CA"/>
              </w:rPr>
              <w:t xml:space="preserve"> </w:t>
            </w:r>
            <w:r>
              <w:rPr>
                <w:lang w:val="fr-CA"/>
              </w:rPr>
              <w:t>est considéré</w:t>
            </w:r>
            <w:r w:rsidRPr="00FA558D">
              <w:rPr>
                <w:lang w:val="fr-CA"/>
              </w:rPr>
              <w:t xml:space="preserve"> </w:t>
            </w:r>
            <w:r>
              <w:rPr>
                <w:lang w:val="fr-CA"/>
              </w:rPr>
              <w:t>comme une activité de conformité</w:t>
            </w:r>
            <w:r w:rsidR="005376F7">
              <w:rPr>
                <w:lang w:val="fr-CA"/>
              </w:rPr>
              <w:t>.</w:t>
            </w:r>
          </w:p>
        </w:tc>
      </w:tr>
      <w:tr w:rsidRPr="001A0F20" w:rsidR="00B91619" w:rsidTr="00A9277E" w14:paraId="13A5E67A" w14:textId="77777777">
        <w:trPr>
          <w:cantSplit/>
        </w:trPr>
        <w:tc>
          <w:tcPr>
            <w:tcW w:w="2235" w:type="dxa"/>
            <w:shd w:val="clear" w:color="auto" w:fill="FFFFFF" w:themeFill="background1"/>
          </w:tcPr>
          <w:p w:rsidRPr="00FA558D" w:rsidR="00B91619" w:rsidP="00A9277E" w:rsidRDefault="00B91619" w14:paraId="5C8D80D9" w14:textId="77777777">
            <w:pPr>
              <w:tabs>
                <w:tab w:val="left" w:pos="9356"/>
              </w:tabs>
              <w:rPr>
                <w:lang w:val="fr-CA"/>
              </w:rPr>
            </w:pPr>
            <w:r>
              <w:rPr>
                <w:lang w:val="fr-CA"/>
              </w:rPr>
              <w:t>Formation</w:t>
            </w:r>
          </w:p>
        </w:tc>
        <w:tc>
          <w:tcPr>
            <w:tcW w:w="3402" w:type="dxa"/>
            <w:shd w:val="clear" w:color="auto" w:fill="FFFFFF" w:themeFill="background1"/>
          </w:tcPr>
          <w:p w:rsidRPr="00FA558D" w:rsidR="00B91619" w:rsidP="00A9277E" w:rsidRDefault="00B91619" w14:paraId="3B94FCCB" w14:textId="77777777">
            <w:pPr>
              <w:pStyle w:val="ListParagraph"/>
              <w:numPr>
                <w:ilvl w:val="0"/>
                <w:numId w:val="6"/>
              </w:numPr>
              <w:tabs>
                <w:tab w:val="left" w:pos="9356"/>
              </w:tabs>
              <w:ind w:left="191" w:hanging="180"/>
              <w:rPr>
                <w:lang w:val="fr-CA"/>
              </w:rPr>
            </w:pPr>
            <w:r>
              <w:rPr>
                <w:lang w:val="fr-CA"/>
              </w:rPr>
              <w:t>Tenue de registres de</w:t>
            </w:r>
            <w:r w:rsidRPr="00FA558D">
              <w:rPr>
                <w:lang w:val="fr-CA"/>
              </w:rPr>
              <w:t xml:space="preserve"> </w:t>
            </w:r>
            <w:r>
              <w:rPr>
                <w:lang w:val="fr-CA"/>
              </w:rPr>
              <w:t>formation</w:t>
            </w:r>
          </w:p>
          <w:p w:rsidRPr="00FA558D" w:rsidR="00B91619" w:rsidP="00A9277E" w:rsidRDefault="00B91619" w14:paraId="5DB2CA2A" w14:textId="77777777">
            <w:pPr>
              <w:pStyle w:val="ListParagraph"/>
              <w:numPr>
                <w:ilvl w:val="0"/>
                <w:numId w:val="6"/>
              </w:numPr>
              <w:tabs>
                <w:tab w:val="left" w:pos="9356"/>
              </w:tabs>
              <w:ind w:left="191" w:hanging="180"/>
              <w:rPr>
                <w:lang w:val="fr-CA"/>
              </w:rPr>
            </w:pPr>
            <w:r>
              <w:rPr>
                <w:lang w:val="fr-CA"/>
              </w:rPr>
              <w:t>Présentation des registres de formation</w:t>
            </w:r>
            <w:r w:rsidRPr="00FA558D">
              <w:rPr>
                <w:lang w:val="fr-CA"/>
              </w:rPr>
              <w:t xml:space="preserve"> </w:t>
            </w:r>
            <w:r>
              <w:rPr>
                <w:lang w:val="fr-CA"/>
              </w:rPr>
              <w:t>au gouvernement</w:t>
            </w:r>
          </w:p>
        </w:tc>
        <w:tc>
          <w:tcPr>
            <w:tcW w:w="3827" w:type="dxa"/>
            <w:shd w:val="clear" w:color="auto" w:fill="FFFFFF" w:themeFill="background1"/>
          </w:tcPr>
          <w:p w:rsidRPr="00FA558D" w:rsidR="00B91619" w:rsidP="00433D33" w:rsidRDefault="00B91619" w14:paraId="2F02A5F8" w14:textId="3C7EC870">
            <w:pPr>
              <w:pStyle w:val="ListParagraph"/>
              <w:numPr>
                <w:ilvl w:val="0"/>
                <w:numId w:val="6"/>
              </w:numPr>
              <w:tabs>
                <w:tab w:val="left" w:pos="9356"/>
              </w:tabs>
              <w:ind w:left="191" w:hanging="180"/>
              <w:rPr>
                <w:lang w:val="fr-CA"/>
              </w:rPr>
            </w:pPr>
            <w:r>
              <w:rPr>
                <w:lang w:val="fr-CA"/>
              </w:rPr>
              <w:t>Formation du personnel ou achat de</w:t>
            </w:r>
            <w:r w:rsidRPr="00FA558D">
              <w:rPr>
                <w:lang w:val="fr-CA"/>
              </w:rPr>
              <w:t xml:space="preserve"> </w:t>
            </w:r>
            <w:r w:rsidR="00433D33">
              <w:rPr>
                <w:lang w:val="fr-CA"/>
              </w:rPr>
              <w:t xml:space="preserve">matériel </w:t>
            </w:r>
            <w:r>
              <w:rPr>
                <w:lang w:val="fr-CA"/>
              </w:rPr>
              <w:t>de formation</w:t>
            </w:r>
          </w:p>
        </w:tc>
      </w:tr>
      <w:tr w:rsidRPr="001A0F20" w:rsidR="00B91619" w:rsidTr="00A9277E" w14:paraId="0238C954" w14:textId="77777777">
        <w:trPr>
          <w:cantSplit/>
        </w:trPr>
        <w:tc>
          <w:tcPr>
            <w:tcW w:w="2235" w:type="dxa"/>
            <w:shd w:val="clear" w:color="auto" w:fill="FFFFFF" w:themeFill="background1"/>
          </w:tcPr>
          <w:p w:rsidRPr="00FA558D" w:rsidR="00B91619" w:rsidP="00A9277E" w:rsidRDefault="00B91619" w14:paraId="5E877F74" w14:textId="77777777">
            <w:pPr>
              <w:tabs>
                <w:tab w:val="left" w:pos="9356"/>
              </w:tabs>
              <w:rPr>
                <w:lang w:val="fr-CA"/>
              </w:rPr>
            </w:pPr>
            <w:r>
              <w:rPr>
                <w:lang w:val="fr-CA"/>
              </w:rPr>
              <w:t>Exigences relatives aux essais</w:t>
            </w:r>
          </w:p>
        </w:tc>
        <w:tc>
          <w:tcPr>
            <w:tcW w:w="3402" w:type="dxa"/>
            <w:shd w:val="clear" w:color="auto" w:fill="FFFFFF" w:themeFill="background1"/>
          </w:tcPr>
          <w:p w:rsidRPr="00FA558D" w:rsidR="00B91619" w:rsidP="00A9277E" w:rsidRDefault="00433D33" w14:paraId="0F317AA2" w14:textId="2B607783">
            <w:pPr>
              <w:tabs>
                <w:tab w:val="left" w:pos="9356"/>
              </w:tabs>
              <w:rPr>
                <w:lang w:val="fr-CA"/>
              </w:rPr>
            </w:pPr>
            <w:r>
              <w:rPr>
                <w:lang w:val="fr-CA"/>
              </w:rPr>
              <w:t>Sans objet</w:t>
            </w:r>
          </w:p>
        </w:tc>
        <w:tc>
          <w:tcPr>
            <w:tcW w:w="3827" w:type="dxa"/>
            <w:shd w:val="clear" w:color="auto" w:fill="FFFFFF" w:themeFill="background1"/>
          </w:tcPr>
          <w:p w:rsidRPr="00FA558D" w:rsidR="00B91619" w:rsidP="00A9277E" w:rsidRDefault="00B91619" w14:paraId="783A4522" w14:textId="34D47196">
            <w:pPr>
              <w:pStyle w:val="ListParagraph"/>
              <w:numPr>
                <w:ilvl w:val="0"/>
                <w:numId w:val="6"/>
              </w:numPr>
              <w:tabs>
                <w:tab w:val="left" w:pos="9356"/>
              </w:tabs>
              <w:ind w:left="191" w:hanging="180"/>
              <w:rPr>
                <w:lang w:val="fr-CA"/>
              </w:rPr>
            </w:pPr>
            <w:r>
              <w:rPr>
                <w:lang w:val="fr-CA"/>
              </w:rPr>
              <w:t>Les méthodes et les exigences relatives aux essais sont généralement</w:t>
            </w:r>
            <w:r w:rsidRPr="00FA558D">
              <w:rPr>
                <w:lang w:val="fr-CA"/>
              </w:rPr>
              <w:t xml:space="preserve"> </w:t>
            </w:r>
            <w:r>
              <w:rPr>
                <w:lang w:val="fr-CA"/>
              </w:rPr>
              <w:t>considérées comme des activités de conformité</w:t>
            </w:r>
            <w:r w:rsidR="005376F7">
              <w:rPr>
                <w:lang w:val="fr-CA"/>
              </w:rPr>
              <w:t>.</w:t>
            </w:r>
          </w:p>
          <w:p w:rsidRPr="00FA558D" w:rsidR="00B91619" w:rsidP="001331D8" w:rsidRDefault="00B91619" w14:paraId="6E7B109A" w14:textId="24AE2925">
            <w:pPr>
              <w:pStyle w:val="ListParagraph"/>
              <w:numPr>
                <w:ilvl w:val="0"/>
                <w:numId w:val="6"/>
              </w:numPr>
              <w:tabs>
                <w:tab w:val="left" w:pos="9356"/>
              </w:tabs>
              <w:ind w:left="191" w:hanging="180"/>
              <w:rPr>
                <w:lang w:val="fr-CA"/>
              </w:rPr>
            </w:pPr>
            <w:r>
              <w:rPr>
                <w:lang w:val="fr-CA"/>
              </w:rPr>
              <w:t>Les changements de méthode</w:t>
            </w:r>
            <w:r w:rsidRPr="00FA558D">
              <w:rPr>
                <w:lang w:val="fr-CA"/>
              </w:rPr>
              <w:t>s</w:t>
            </w:r>
            <w:r>
              <w:rPr>
                <w:lang w:val="fr-CA"/>
              </w:rPr>
              <w:t xml:space="preserve"> et la modification des procédures d’essai </w:t>
            </w:r>
            <w:r w:rsidR="001331D8">
              <w:rPr>
                <w:lang w:val="fr-CA"/>
              </w:rPr>
              <w:t xml:space="preserve">n’entraînent </w:t>
            </w:r>
            <w:r>
              <w:rPr>
                <w:lang w:val="fr-CA"/>
              </w:rPr>
              <w:t>généralement pas de coût</w:t>
            </w:r>
            <w:r w:rsidR="001331D8">
              <w:rPr>
                <w:lang w:val="fr-CA"/>
              </w:rPr>
              <w:t>s</w:t>
            </w:r>
            <w:r>
              <w:rPr>
                <w:lang w:val="fr-CA"/>
              </w:rPr>
              <w:t xml:space="preserve"> </w:t>
            </w:r>
            <w:r w:rsidRPr="00FA558D">
              <w:rPr>
                <w:lang w:val="fr-CA"/>
              </w:rPr>
              <w:t>administrati</w:t>
            </w:r>
            <w:r>
              <w:rPr>
                <w:lang w:val="fr-CA"/>
              </w:rPr>
              <w:t>f</w:t>
            </w:r>
            <w:r w:rsidR="001331D8">
              <w:rPr>
                <w:lang w:val="fr-CA"/>
              </w:rPr>
              <w:t>s</w:t>
            </w:r>
            <w:r w:rsidR="005376F7">
              <w:rPr>
                <w:lang w:val="fr-CA"/>
              </w:rPr>
              <w:t>.</w:t>
            </w:r>
          </w:p>
        </w:tc>
      </w:tr>
      <w:tr w:rsidRPr="001A0F20" w:rsidR="00B91619" w:rsidTr="00A9277E" w14:paraId="3E23761F" w14:textId="77777777">
        <w:trPr>
          <w:cantSplit/>
        </w:trPr>
        <w:tc>
          <w:tcPr>
            <w:tcW w:w="2235" w:type="dxa"/>
            <w:shd w:val="clear" w:color="auto" w:fill="FFFFFF" w:themeFill="background1"/>
          </w:tcPr>
          <w:p w:rsidRPr="00FA558D" w:rsidR="00B91619" w:rsidP="00A9277E" w:rsidRDefault="00B91619" w14:paraId="579045D9" w14:textId="77777777">
            <w:pPr>
              <w:tabs>
                <w:tab w:val="left" w:pos="9356"/>
              </w:tabs>
              <w:rPr>
                <w:lang w:val="fr-CA"/>
              </w:rPr>
            </w:pPr>
            <w:r>
              <w:rPr>
                <w:lang w:val="fr-CA"/>
              </w:rPr>
              <w:t>Approbations préalables à la mise en marché</w:t>
            </w:r>
            <w:r w:rsidRPr="00FA558D">
              <w:rPr>
                <w:lang w:val="fr-CA"/>
              </w:rPr>
              <w:t xml:space="preserve"> </w:t>
            </w:r>
          </w:p>
        </w:tc>
        <w:tc>
          <w:tcPr>
            <w:tcW w:w="3402" w:type="dxa"/>
            <w:shd w:val="clear" w:color="auto" w:fill="FFFFFF" w:themeFill="background1"/>
          </w:tcPr>
          <w:p w:rsidRPr="00FA558D" w:rsidR="00B91619" w:rsidP="00A9277E" w:rsidRDefault="00433D33" w14:paraId="54D487B9" w14:textId="35D042D2">
            <w:pPr>
              <w:tabs>
                <w:tab w:val="left" w:pos="9356"/>
              </w:tabs>
              <w:rPr>
                <w:lang w:val="fr-CA"/>
              </w:rPr>
            </w:pPr>
            <w:r>
              <w:rPr>
                <w:lang w:val="fr-CA"/>
              </w:rPr>
              <w:t>Sans objet</w:t>
            </w:r>
          </w:p>
        </w:tc>
        <w:tc>
          <w:tcPr>
            <w:tcW w:w="3827" w:type="dxa"/>
            <w:shd w:val="clear" w:color="auto" w:fill="FFFFFF" w:themeFill="background1"/>
          </w:tcPr>
          <w:p w:rsidRPr="00FA558D" w:rsidR="00B91619" w:rsidP="00B76EB0" w:rsidRDefault="00B91619" w14:paraId="7867B8A4" w14:textId="61A8B7C6">
            <w:pPr>
              <w:pStyle w:val="ListParagraph"/>
              <w:numPr>
                <w:ilvl w:val="0"/>
                <w:numId w:val="6"/>
              </w:numPr>
              <w:tabs>
                <w:tab w:val="left" w:pos="9356"/>
              </w:tabs>
              <w:ind w:left="191" w:hanging="180"/>
              <w:rPr>
                <w:lang w:val="fr-CA"/>
              </w:rPr>
            </w:pPr>
            <w:r>
              <w:rPr>
                <w:lang w:val="fr-CA"/>
              </w:rPr>
              <w:t>Les approbations préalables à la mise en marché</w:t>
            </w:r>
            <w:r w:rsidRPr="00FA558D">
              <w:rPr>
                <w:lang w:val="fr-CA"/>
              </w:rPr>
              <w:t xml:space="preserve"> </w:t>
            </w:r>
            <w:r>
              <w:rPr>
                <w:lang w:val="fr-CA"/>
              </w:rPr>
              <w:t xml:space="preserve">relatives aux </w:t>
            </w:r>
            <w:r w:rsidRPr="00FA558D">
              <w:rPr>
                <w:lang w:val="fr-CA"/>
              </w:rPr>
              <w:t>activi</w:t>
            </w:r>
            <w:r>
              <w:rPr>
                <w:lang w:val="fr-CA"/>
              </w:rPr>
              <w:t xml:space="preserve">tés ou aux produits </w:t>
            </w:r>
            <w:r w:rsidR="00B76EB0">
              <w:rPr>
                <w:lang w:val="fr-CA"/>
              </w:rPr>
              <w:t>comme</w:t>
            </w:r>
            <w:r>
              <w:rPr>
                <w:lang w:val="fr-CA"/>
              </w:rPr>
              <w:t xml:space="preserve"> les médicaments, les dispositifs médicaux</w:t>
            </w:r>
            <w:r w:rsidRPr="00FA558D">
              <w:rPr>
                <w:lang w:val="fr-CA"/>
              </w:rPr>
              <w:t xml:space="preserve">, </w:t>
            </w:r>
            <w:r>
              <w:rPr>
                <w:lang w:val="fr-CA"/>
              </w:rPr>
              <w:t xml:space="preserve">les </w:t>
            </w:r>
            <w:r w:rsidRPr="00FA558D">
              <w:rPr>
                <w:lang w:val="fr-CA"/>
              </w:rPr>
              <w:t>ban</w:t>
            </w:r>
            <w:r>
              <w:rPr>
                <w:lang w:val="fr-CA"/>
              </w:rPr>
              <w:t>ques, les appareils de téléc</w:t>
            </w:r>
            <w:r w:rsidRPr="00FA558D">
              <w:rPr>
                <w:lang w:val="fr-CA"/>
              </w:rPr>
              <w:t>ommunication</w:t>
            </w:r>
            <w:r>
              <w:rPr>
                <w:lang w:val="fr-CA"/>
              </w:rPr>
              <w:t xml:space="preserve"> et les évaluations environnementales sont généralement</w:t>
            </w:r>
            <w:r w:rsidRPr="00FA558D">
              <w:rPr>
                <w:lang w:val="fr-CA"/>
              </w:rPr>
              <w:t xml:space="preserve"> </w:t>
            </w:r>
            <w:r>
              <w:rPr>
                <w:lang w:val="fr-CA"/>
              </w:rPr>
              <w:t>considérées</w:t>
            </w:r>
            <w:r w:rsidRPr="00FA558D">
              <w:rPr>
                <w:lang w:val="fr-CA"/>
              </w:rPr>
              <w:t xml:space="preserve"> </w:t>
            </w:r>
            <w:r>
              <w:rPr>
                <w:lang w:val="fr-CA"/>
              </w:rPr>
              <w:t>comme des activités de conformité</w:t>
            </w:r>
            <w:r w:rsidR="005376F7">
              <w:rPr>
                <w:lang w:val="fr-CA"/>
              </w:rPr>
              <w:t>.</w:t>
            </w:r>
          </w:p>
        </w:tc>
      </w:tr>
      <w:tr w:rsidRPr="00FA558D" w:rsidR="00B91619" w:rsidTr="00A9277E" w14:paraId="4E9D2E1A" w14:textId="77777777">
        <w:trPr>
          <w:cantSplit/>
          <w:trHeight w:val="1376"/>
        </w:trPr>
        <w:tc>
          <w:tcPr>
            <w:tcW w:w="2235" w:type="dxa"/>
            <w:shd w:val="clear" w:color="auto" w:fill="FFFFFF" w:themeFill="background1"/>
          </w:tcPr>
          <w:p w:rsidRPr="00FA558D" w:rsidR="00B91619" w:rsidP="00B76EB0" w:rsidRDefault="00B91619" w14:paraId="7177578E" w14:textId="55999044">
            <w:pPr>
              <w:tabs>
                <w:tab w:val="left" w:pos="9356"/>
              </w:tabs>
              <w:rPr>
                <w:lang w:val="fr-CA"/>
              </w:rPr>
            </w:pPr>
            <w:r>
              <w:rPr>
                <w:lang w:val="fr-CA"/>
              </w:rPr>
              <w:t>Application</w:t>
            </w:r>
            <w:r w:rsidRPr="00FA558D">
              <w:rPr>
                <w:lang w:val="fr-CA"/>
              </w:rPr>
              <w:t xml:space="preserve">, </w:t>
            </w:r>
            <w:r w:rsidR="00B76EB0">
              <w:rPr>
                <w:lang w:val="fr-CA"/>
              </w:rPr>
              <w:t>audit</w:t>
            </w:r>
            <w:r w:rsidRPr="00FA558D" w:rsidR="00B76EB0">
              <w:rPr>
                <w:lang w:val="fr-CA"/>
              </w:rPr>
              <w:t>s</w:t>
            </w:r>
            <w:r w:rsidR="00B76EB0">
              <w:rPr>
                <w:lang w:val="fr-CA"/>
              </w:rPr>
              <w:t xml:space="preserve"> </w:t>
            </w:r>
            <w:r>
              <w:rPr>
                <w:lang w:val="fr-CA"/>
              </w:rPr>
              <w:t xml:space="preserve">et </w:t>
            </w:r>
            <w:r w:rsidRPr="00FA558D">
              <w:rPr>
                <w:lang w:val="fr-CA"/>
              </w:rPr>
              <w:t>inspections</w:t>
            </w:r>
          </w:p>
        </w:tc>
        <w:tc>
          <w:tcPr>
            <w:tcW w:w="3402" w:type="dxa"/>
            <w:shd w:val="clear" w:color="auto" w:fill="FFFFFF" w:themeFill="background1"/>
          </w:tcPr>
          <w:p w:rsidRPr="00FA558D" w:rsidR="00B91619" w:rsidP="00A9277E" w:rsidRDefault="00B91619" w14:paraId="0A66C9B1" w14:textId="4D25592B">
            <w:pPr>
              <w:pStyle w:val="ListParagraph"/>
              <w:numPr>
                <w:ilvl w:val="0"/>
                <w:numId w:val="6"/>
              </w:numPr>
              <w:tabs>
                <w:tab w:val="left" w:pos="9356"/>
              </w:tabs>
              <w:ind w:left="191" w:hanging="180"/>
              <w:rPr>
                <w:lang w:val="fr-CA"/>
              </w:rPr>
            </w:pPr>
            <w:r w:rsidRPr="00FA558D">
              <w:rPr>
                <w:lang w:val="fr-CA"/>
              </w:rPr>
              <w:t>Collect</w:t>
            </w:r>
            <w:r>
              <w:rPr>
                <w:lang w:val="fr-CA"/>
              </w:rPr>
              <w:t>e et récupération d’in</w:t>
            </w:r>
            <w:r w:rsidRPr="00FA558D">
              <w:rPr>
                <w:lang w:val="fr-CA"/>
              </w:rPr>
              <w:t>formation</w:t>
            </w:r>
            <w:r>
              <w:rPr>
                <w:lang w:val="fr-CA"/>
              </w:rPr>
              <w:t xml:space="preserve">, et soutien aux inspecteurs ou </w:t>
            </w:r>
            <w:r w:rsidR="007804CD">
              <w:rPr>
                <w:lang w:val="fr-CA"/>
              </w:rPr>
              <w:t xml:space="preserve">aux </w:t>
            </w:r>
            <w:r>
              <w:rPr>
                <w:lang w:val="fr-CA"/>
              </w:rPr>
              <w:t>vérificateurs du gouvernement</w:t>
            </w:r>
            <w:r w:rsidRPr="00FA558D">
              <w:rPr>
                <w:lang w:val="fr-CA"/>
              </w:rPr>
              <w:t xml:space="preserve"> </w:t>
            </w:r>
            <w:r>
              <w:rPr>
                <w:lang w:val="fr-CA"/>
              </w:rPr>
              <w:t>dans l’application</w:t>
            </w:r>
            <w:r w:rsidRPr="00FA558D">
              <w:rPr>
                <w:lang w:val="fr-CA"/>
              </w:rPr>
              <w:t xml:space="preserve"> </w:t>
            </w:r>
            <w:r>
              <w:rPr>
                <w:lang w:val="fr-CA"/>
              </w:rPr>
              <w:t>d’un</w:t>
            </w:r>
            <w:r w:rsidRPr="00FA558D">
              <w:rPr>
                <w:lang w:val="fr-CA"/>
              </w:rPr>
              <w:t xml:space="preserve"> </w:t>
            </w:r>
            <w:r>
              <w:rPr>
                <w:lang w:val="fr-CA"/>
              </w:rPr>
              <w:t>règlement</w:t>
            </w:r>
          </w:p>
        </w:tc>
        <w:tc>
          <w:tcPr>
            <w:tcW w:w="3827" w:type="dxa"/>
            <w:shd w:val="clear" w:color="auto" w:fill="FFFFFF" w:themeFill="background1"/>
          </w:tcPr>
          <w:p w:rsidRPr="00FA558D" w:rsidR="00B91619" w:rsidP="00A9277E" w:rsidRDefault="00505D5D" w14:paraId="24543C61" w14:textId="20ADFE66">
            <w:pPr>
              <w:tabs>
                <w:tab w:val="left" w:pos="9356"/>
              </w:tabs>
              <w:rPr>
                <w:lang w:val="fr-CA"/>
              </w:rPr>
            </w:pPr>
            <w:r>
              <w:rPr>
                <w:lang w:val="fr-CA"/>
              </w:rPr>
              <w:t>Sans objet</w:t>
            </w:r>
          </w:p>
        </w:tc>
      </w:tr>
    </w:tbl>
    <w:p w:rsidRPr="00FA558D" w:rsidR="00411D10" w:rsidP="00B91619" w:rsidRDefault="00411D10" w14:paraId="4C01195F" w14:textId="77777777">
      <w:pPr>
        <w:rPr>
          <w:lang w:val="fr-CA"/>
        </w:rPr>
      </w:pPr>
    </w:p>
    <w:p w:rsidRPr="00FA558D" w:rsidR="00B91619" w:rsidP="00B91619" w:rsidRDefault="005376F7" w14:paraId="0558E701" w14:textId="7D316A01">
      <w:pPr>
        <w:pStyle w:val="Heading4"/>
        <w:rPr>
          <w:lang w:val="fr-CA"/>
        </w:rPr>
      </w:pPr>
      <w:r>
        <w:rPr>
          <w:lang w:val="fr-CA"/>
        </w:rPr>
        <w:t>Taxes</w:t>
      </w:r>
      <w:r w:rsidRPr="00FA558D" w:rsidR="00B91619">
        <w:rPr>
          <w:lang w:val="fr-CA"/>
        </w:rPr>
        <w:t xml:space="preserve">, </w:t>
      </w:r>
      <w:r w:rsidR="00B91619">
        <w:rPr>
          <w:lang w:val="fr-CA"/>
        </w:rPr>
        <w:t>frais et pénalités</w:t>
      </w:r>
    </w:p>
    <w:p w:rsidRPr="00FA558D" w:rsidR="00B91619" w:rsidP="00B91619" w:rsidRDefault="00B91619" w14:paraId="3EA2B45B" w14:textId="77777777">
      <w:pPr>
        <w:tabs>
          <w:tab w:val="left" w:pos="9356"/>
        </w:tabs>
        <w:spacing w:after="0" w:line="240" w:lineRule="auto"/>
        <w:rPr>
          <w:lang w:val="fr-CA"/>
        </w:rPr>
      </w:pPr>
    </w:p>
    <w:p w:rsidRPr="00FA558D" w:rsidR="00B91619" w:rsidP="00B91619" w:rsidRDefault="00B91619" w14:paraId="02EDDA3C" w14:textId="4041F790">
      <w:pPr>
        <w:tabs>
          <w:tab w:val="left" w:pos="9356"/>
        </w:tabs>
        <w:spacing w:after="0" w:line="240" w:lineRule="auto"/>
        <w:rPr>
          <w:lang w:val="fr-CA"/>
        </w:rPr>
      </w:pPr>
      <w:r>
        <w:rPr>
          <w:lang w:val="fr-CA"/>
        </w:rPr>
        <w:t xml:space="preserve">Les </w:t>
      </w:r>
      <w:r w:rsidR="000528CB">
        <w:rPr>
          <w:lang w:val="fr-CA"/>
        </w:rPr>
        <w:t>taxes</w:t>
      </w:r>
      <w:r>
        <w:rPr>
          <w:lang w:val="fr-CA"/>
        </w:rPr>
        <w:t xml:space="preserve"> et </w:t>
      </w:r>
      <w:r w:rsidR="000528CB">
        <w:rPr>
          <w:lang w:val="fr-CA"/>
        </w:rPr>
        <w:t xml:space="preserve">les </w:t>
      </w:r>
      <w:r>
        <w:rPr>
          <w:lang w:val="fr-CA"/>
        </w:rPr>
        <w:t xml:space="preserve">pénalités sont des </w:t>
      </w:r>
      <w:r w:rsidRPr="00FA558D">
        <w:rPr>
          <w:lang w:val="fr-CA"/>
        </w:rPr>
        <w:t>transfer</w:t>
      </w:r>
      <w:r>
        <w:rPr>
          <w:lang w:val="fr-CA"/>
        </w:rPr>
        <w:t>t</w:t>
      </w:r>
      <w:r w:rsidRPr="00FA558D">
        <w:rPr>
          <w:lang w:val="fr-CA"/>
        </w:rPr>
        <w:t>s</w:t>
      </w:r>
      <w:r>
        <w:rPr>
          <w:lang w:val="fr-CA"/>
        </w:rPr>
        <w:t xml:space="preserve"> et ne sont pas</w:t>
      </w:r>
      <w:r w:rsidRPr="00FA558D">
        <w:rPr>
          <w:lang w:val="fr-CA"/>
        </w:rPr>
        <w:t xml:space="preserve"> </w:t>
      </w:r>
      <w:r>
        <w:rPr>
          <w:lang w:val="fr-CA"/>
        </w:rPr>
        <w:t>considéré</w:t>
      </w:r>
      <w:r w:rsidR="009647E5">
        <w:rPr>
          <w:lang w:val="fr-CA"/>
        </w:rPr>
        <w:t>e</w:t>
      </w:r>
      <w:r>
        <w:rPr>
          <w:lang w:val="fr-CA"/>
        </w:rPr>
        <w:t xml:space="preserve">s comme un fardeau </w:t>
      </w:r>
      <w:r w:rsidRPr="00FA558D">
        <w:rPr>
          <w:lang w:val="fr-CA"/>
        </w:rPr>
        <w:t>adminis</w:t>
      </w:r>
      <w:r>
        <w:rPr>
          <w:lang w:val="fr-CA"/>
        </w:rPr>
        <w:t xml:space="preserve">tratif ou de </w:t>
      </w:r>
      <w:r w:rsidRPr="00FA558D">
        <w:rPr>
          <w:lang w:val="fr-CA"/>
        </w:rPr>
        <w:t>co</w:t>
      </w:r>
      <w:r>
        <w:rPr>
          <w:lang w:val="fr-CA"/>
        </w:rPr>
        <w:t xml:space="preserve">nformité. Par conséquent, ils ne sont pas </w:t>
      </w:r>
      <w:r w:rsidR="000528CB">
        <w:rPr>
          <w:lang w:val="fr-CA"/>
        </w:rPr>
        <w:t>pris en compte</w:t>
      </w:r>
      <w:r>
        <w:rPr>
          <w:lang w:val="fr-CA"/>
        </w:rPr>
        <w:t xml:space="preserve"> dans le calcul des coûts </w:t>
      </w:r>
      <w:r w:rsidR="000528CB">
        <w:rPr>
          <w:lang w:val="fr-CA"/>
        </w:rPr>
        <w:t>selon</w:t>
      </w:r>
      <w:r w:rsidR="00DC5257">
        <w:rPr>
          <w:lang w:val="fr-CA"/>
        </w:rPr>
        <w:t xml:space="preserve"> </w:t>
      </w:r>
      <w:r>
        <w:rPr>
          <w:lang w:val="fr-CA"/>
        </w:rPr>
        <w:t>la règle du « un pour un »</w:t>
      </w:r>
      <w:r w:rsidR="000528CB">
        <w:rPr>
          <w:lang w:val="fr-CA"/>
        </w:rPr>
        <w:t xml:space="preserve"> ou</w:t>
      </w:r>
      <w:r>
        <w:rPr>
          <w:lang w:val="fr-CA"/>
        </w:rPr>
        <w:t xml:space="preserve"> la </w:t>
      </w:r>
      <w:r w:rsidR="000528CB">
        <w:rPr>
          <w:lang w:val="fr-CA"/>
        </w:rPr>
        <w:t>L</w:t>
      </w:r>
      <w:r w:rsidR="00827BD1">
        <w:rPr>
          <w:lang w:val="fr-CA"/>
        </w:rPr>
        <w:t>entille</w:t>
      </w:r>
      <w:r>
        <w:rPr>
          <w:lang w:val="fr-CA"/>
        </w:rPr>
        <w:t xml:space="preserve"> des petites entreprises</w:t>
      </w:r>
      <w:r w:rsidRPr="00FA558D">
        <w:rPr>
          <w:lang w:val="fr-CA"/>
        </w:rPr>
        <w:t>.</w:t>
      </w:r>
    </w:p>
    <w:p w:rsidRPr="00FA558D" w:rsidR="00B91619" w:rsidP="00B91619" w:rsidRDefault="00B91619" w14:paraId="79D9D4BC" w14:textId="77777777">
      <w:pPr>
        <w:tabs>
          <w:tab w:val="left" w:pos="9356"/>
        </w:tabs>
        <w:spacing w:after="0" w:line="240" w:lineRule="auto"/>
        <w:rPr>
          <w:lang w:val="fr-CA"/>
        </w:rPr>
      </w:pPr>
    </w:p>
    <w:p w:rsidR="00B91619" w:rsidP="00B91619" w:rsidRDefault="00B91619" w14:paraId="34C31F32" w14:textId="1909BE8E">
      <w:pPr>
        <w:tabs>
          <w:tab w:val="left" w:pos="9356"/>
        </w:tabs>
        <w:spacing w:after="0" w:line="240" w:lineRule="auto"/>
        <w:rPr>
          <w:lang w:val="fr-CA"/>
        </w:rPr>
      </w:pPr>
      <w:r>
        <w:rPr>
          <w:lang w:val="fr-CA"/>
        </w:rPr>
        <w:t>Les frais</w:t>
      </w:r>
      <w:r w:rsidRPr="00FA558D">
        <w:rPr>
          <w:lang w:val="fr-CA"/>
        </w:rPr>
        <w:t xml:space="preserve"> constitu</w:t>
      </w:r>
      <w:r>
        <w:rPr>
          <w:lang w:val="fr-CA"/>
        </w:rPr>
        <w:t>ent un coût engagé par une partie réglementée</w:t>
      </w:r>
      <w:r w:rsidRPr="00FA558D">
        <w:rPr>
          <w:lang w:val="fr-CA"/>
        </w:rPr>
        <w:t xml:space="preserve"> </w:t>
      </w:r>
      <w:r>
        <w:rPr>
          <w:lang w:val="fr-CA"/>
        </w:rPr>
        <w:t xml:space="preserve">en </w:t>
      </w:r>
      <w:r w:rsidR="00B76EB0">
        <w:rPr>
          <w:lang w:val="fr-CA"/>
        </w:rPr>
        <w:t>échange</w:t>
      </w:r>
      <w:r w:rsidRPr="00FA558D" w:rsidR="00B76EB0">
        <w:rPr>
          <w:lang w:val="fr-CA"/>
        </w:rPr>
        <w:t xml:space="preserve"> </w:t>
      </w:r>
      <w:r>
        <w:rPr>
          <w:lang w:val="fr-CA"/>
        </w:rPr>
        <w:t>d’un bien ou d’un ser</w:t>
      </w:r>
      <w:r w:rsidRPr="00FA558D">
        <w:rPr>
          <w:lang w:val="fr-CA"/>
        </w:rPr>
        <w:t>vice</w:t>
      </w:r>
      <w:r>
        <w:rPr>
          <w:lang w:val="fr-CA"/>
        </w:rPr>
        <w:t xml:space="preserve"> et doivent être </w:t>
      </w:r>
      <w:r w:rsidR="00783E2F">
        <w:rPr>
          <w:lang w:val="fr-CA"/>
        </w:rPr>
        <w:t>pris en compte dans le calcul des</w:t>
      </w:r>
      <w:r>
        <w:rPr>
          <w:lang w:val="fr-CA"/>
        </w:rPr>
        <w:t xml:space="preserve"> coûts </w:t>
      </w:r>
      <w:r w:rsidR="00783E2F">
        <w:rPr>
          <w:lang w:val="fr-CA"/>
        </w:rPr>
        <w:t>selon</w:t>
      </w:r>
      <w:r>
        <w:rPr>
          <w:lang w:val="fr-CA"/>
        </w:rPr>
        <w:t xml:space="preserve"> la </w:t>
      </w:r>
      <w:r w:rsidR="00783E2F">
        <w:rPr>
          <w:lang w:val="fr-CA"/>
        </w:rPr>
        <w:t>L</w:t>
      </w:r>
      <w:r w:rsidR="00827BD1">
        <w:rPr>
          <w:lang w:val="fr-CA"/>
        </w:rPr>
        <w:t>entille</w:t>
      </w:r>
      <w:r>
        <w:rPr>
          <w:lang w:val="fr-CA"/>
        </w:rPr>
        <w:t xml:space="preserve"> des petites entreprises</w:t>
      </w:r>
      <w:r w:rsidRPr="00FA558D">
        <w:rPr>
          <w:lang w:val="fr-CA"/>
        </w:rPr>
        <w:t xml:space="preserve">. </w:t>
      </w:r>
      <w:r>
        <w:rPr>
          <w:lang w:val="fr-CA"/>
        </w:rPr>
        <w:t>Cette</w:t>
      </w:r>
      <w:r w:rsidR="00783E2F">
        <w:rPr>
          <w:lang w:val="fr-CA"/>
        </w:rPr>
        <w:t xml:space="preserve"> façon de faire</w:t>
      </w:r>
      <w:r>
        <w:rPr>
          <w:lang w:val="fr-CA"/>
        </w:rPr>
        <w:t xml:space="preserve"> </w:t>
      </w:r>
      <w:r w:rsidR="005C0CB7">
        <w:rPr>
          <w:lang w:val="fr-CA"/>
        </w:rPr>
        <w:t xml:space="preserve">est conforme </w:t>
      </w:r>
      <w:r w:rsidR="00B76EB0">
        <w:rPr>
          <w:lang w:val="fr-CA"/>
        </w:rPr>
        <w:t xml:space="preserve">à </w:t>
      </w:r>
      <w:r>
        <w:rPr>
          <w:lang w:val="fr-CA"/>
        </w:rPr>
        <w:t>la méthodologie de l’analyse coût</w:t>
      </w:r>
      <w:r w:rsidR="00B76EB0">
        <w:rPr>
          <w:lang w:val="fr-CA"/>
        </w:rPr>
        <w:t>s</w:t>
      </w:r>
      <w:r w:rsidR="00B76EB0">
        <w:rPr>
          <w:lang w:val="fr-CA"/>
        </w:rPr>
        <w:noBreakHyphen/>
        <w:t>avantages</w:t>
      </w:r>
      <w:r w:rsidRPr="00FA558D">
        <w:rPr>
          <w:lang w:val="fr-CA"/>
        </w:rPr>
        <w:t xml:space="preserve">. </w:t>
      </w:r>
      <w:r>
        <w:rPr>
          <w:lang w:val="fr-CA"/>
        </w:rPr>
        <w:t>Toutefois, la règle du « un pour un »</w:t>
      </w:r>
      <w:r w:rsidRPr="00FA558D">
        <w:rPr>
          <w:lang w:val="fr-CA"/>
        </w:rPr>
        <w:t xml:space="preserve"> </w:t>
      </w:r>
      <w:r>
        <w:rPr>
          <w:lang w:val="fr-CA"/>
        </w:rPr>
        <w:t xml:space="preserve">porte uniquement sur le fardeau administratif, </w:t>
      </w:r>
      <w:r w:rsidR="00783E2F">
        <w:rPr>
          <w:lang w:val="fr-CA"/>
        </w:rPr>
        <w:t>qui ne comprend pas</w:t>
      </w:r>
      <w:r>
        <w:rPr>
          <w:lang w:val="fr-CA"/>
        </w:rPr>
        <w:t xml:space="preserve"> les frais.</w:t>
      </w:r>
    </w:p>
    <w:p w:rsidRPr="00FA558D" w:rsidR="00B91619" w:rsidP="00B91619" w:rsidRDefault="00B91619" w14:paraId="0F4A2D0F" w14:textId="7DD40BDB">
      <w:pPr>
        <w:tabs>
          <w:tab w:val="left" w:pos="9356"/>
        </w:tabs>
        <w:spacing w:after="0" w:line="240" w:lineRule="auto"/>
        <w:rPr>
          <w:rFonts w:asciiTheme="majorHAnsi" w:hAnsiTheme="majorHAnsi" w:eastAsiaTheme="majorEastAsia" w:cstheme="majorBidi"/>
          <w:color w:val="365F91" w:themeColor="accent1" w:themeShade="BF"/>
          <w:sz w:val="32"/>
          <w:szCs w:val="32"/>
          <w:lang w:val="fr-CA"/>
        </w:rPr>
      </w:pPr>
    </w:p>
    <w:p w:rsidRPr="00FA558D" w:rsidR="00B91619" w:rsidP="00B91619" w:rsidRDefault="00B91619" w14:paraId="2BAF61CE" w14:textId="5A0E48A2">
      <w:pPr>
        <w:pStyle w:val="Heading1"/>
        <w:rPr>
          <w:lang w:val="fr-CA"/>
        </w:rPr>
      </w:pPr>
      <w:bookmarkStart w:name="_Toc151373908" w:id="13"/>
      <w:r>
        <w:rPr>
          <w:lang w:val="fr-CA"/>
        </w:rPr>
        <w:t>Règle du « un pour un » (section 7)</w:t>
      </w:r>
      <w:bookmarkEnd w:id="13"/>
    </w:p>
    <w:p w:rsidRPr="00FA558D" w:rsidR="00B91619" w:rsidP="00B91619" w:rsidRDefault="00B91619" w14:paraId="0247EF03" w14:textId="6528A2F8">
      <w:pPr>
        <w:pStyle w:val="Heading2"/>
        <w:rPr>
          <w:lang w:val="fr-CA"/>
        </w:rPr>
      </w:pPr>
      <w:bookmarkStart w:name="_Toc151373909" w:id="14"/>
      <w:r>
        <w:rPr>
          <w:lang w:val="fr-CA"/>
        </w:rPr>
        <w:t>Aperçu (</w:t>
      </w:r>
      <w:r w:rsidR="005E10ED">
        <w:rPr>
          <w:lang w:val="fr-CA"/>
        </w:rPr>
        <w:t>paragraphe</w:t>
      </w:r>
      <w:r w:rsidRPr="00FA558D">
        <w:rPr>
          <w:lang w:val="fr-CA"/>
        </w:rPr>
        <w:t> 7.1)</w:t>
      </w:r>
      <w:bookmarkEnd w:id="14"/>
    </w:p>
    <w:p w:rsidRPr="00FA558D" w:rsidR="00B91619" w:rsidP="00B91619" w:rsidRDefault="00936810" w14:paraId="1CA8EB08" w14:textId="1EBCA52C">
      <w:pPr>
        <w:tabs>
          <w:tab w:val="left" w:pos="9356"/>
        </w:tabs>
        <w:spacing w:after="0" w:line="240" w:lineRule="auto"/>
        <w:rPr>
          <w:lang w:val="fr-CA"/>
        </w:rPr>
      </w:pPr>
      <w:r>
        <w:rPr>
          <w:noProof/>
          <w:lang w:eastAsia="en-CA"/>
        </w:rPr>
        <w:drawing>
          <wp:anchor distT="0" distB="0" distL="114300" distR="114300" simplePos="0" relativeHeight="251659776" behindDoc="0" locked="0" layoutInCell="1" allowOverlap="1" wp14:anchorId="2187CAD8" wp14:editId="5C7C298B">
            <wp:simplePos x="0" y="0"/>
            <wp:positionH relativeFrom="margin">
              <wp:posOffset>-610235</wp:posOffset>
            </wp:positionH>
            <wp:positionV relativeFrom="margin">
              <wp:posOffset>923925</wp:posOffset>
            </wp:positionV>
            <wp:extent cx="7133590" cy="5105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33590" cy="5105400"/>
                    </a:xfrm>
                    <a:prstGeom prst="rect">
                      <a:avLst/>
                    </a:prstGeom>
                    <a:noFill/>
                  </pic:spPr>
                </pic:pic>
              </a:graphicData>
            </a:graphic>
            <wp14:sizeRelH relativeFrom="margin">
              <wp14:pctWidth>0</wp14:pctWidth>
            </wp14:sizeRelH>
            <wp14:sizeRelV relativeFrom="margin">
              <wp14:pctHeight>0</wp14:pctHeight>
            </wp14:sizeRelV>
          </wp:anchor>
        </w:drawing>
      </w:r>
      <w:r w:rsidRPr="00FA558D" w:rsidR="00E819D1">
        <w:rPr>
          <w:noProof/>
          <w:lang w:eastAsia="en-CA"/>
        </w:rPr>
        <mc:AlternateContent>
          <mc:Choice Requires="wps">
            <w:drawing>
              <wp:anchor distT="0" distB="0" distL="114300" distR="114300" simplePos="0" relativeHeight="251658752" behindDoc="0" locked="0" layoutInCell="1" allowOverlap="1" wp14:anchorId="26A375EA" wp14:editId="669A9DC2">
                <wp:simplePos x="0" y="0"/>
                <wp:positionH relativeFrom="column">
                  <wp:posOffset>0</wp:posOffset>
                </wp:positionH>
                <wp:positionV relativeFrom="paragraph">
                  <wp:posOffset>170815</wp:posOffset>
                </wp:positionV>
                <wp:extent cx="6343015" cy="203200"/>
                <wp:effectExtent l="0" t="0" r="635" b="6350"/>
                <wp:wrapTopAndBottom/>
                <wp:docPr id="3" name="Text Box 3"/>
                <wp:cNvGraphicFramePr/>
                <a:graphic xmlns:a="http://schemas.openxmlformats.org/drawingml/2006/main">
                  <a:graphicData uri="http://schemas.microsoft.com/office/word/2010/wordprocessingShape">
                    <wps:wsp>
                      <wps:cNvSpPr txBox="1"/>
                      <wps:spPr>
                        <a:xfrm>
                          <a:off x="0" y="0"/>
                          <a:ext cx="6343015" cy="203200"/>
                        </a:xfrm>
                        <a:prstGeom prst="rect">
                          <a:avLst/>
                        </a:prstGeom>
                        <a:solidFill>
                          <a:prstClr val="white"/>
                        </a:solidFill>
                        <a:ln>
                          <a:noFill/>
                        </a:ln>
                        <a:effectLst/>
                      </wps:spPr>
                      <wps:txbx>
                        <w:txbxContent>
                          <w:p w:rsidRPr="007B1101" w:rsidR="003D3A0E" w:rsidP="00E819D1" w:rsidRDefault="003D3A0E" w14:paraId="1FB1E94B" w14:textId="1198AA4F">
                            <w:pPr>
                              <w:pStyle w:val="Caption"/>
                              <w:rPr>
                                <w:b/>
                                <w:noProof/>
                                <w:lang w:val="fr-CA"/>
                              </w:rPr>
                            </w:pPr>
                            <w:r w:rsidRPr="007B1101">
                              <w:rPr>
                                <w:b/>
                                <w:i w:val="0"/>
                                <w:color w:val="auto"/>
                                <w:sz w:val="22"/>
                                <w:szCs w:val="22"/>
                                <w:lang w:val="fr-CA"/>
                              </w:rPr>
                              <w:t>Figure 1</w:t>
                            </w:r>
                            <w:r w:rsidR="00281E40">
                              <w:rPr>
                                <w:b/>
                                <w:i w:val="0"/>
                                <w:color w:val="auto"/>
                                <w:sz w:val="22"/>
                                <w:szCs w:val="22"/>
                                <w:lang w:val="fr-CA"/>
                              </w:rPr>
                              <w:t>.</w:t>
                            </w:r>
                            <w:r w:rsidRPr="007B1101">
                              <w:rPr>
                                <w:b/>
                                <w:i w:val="0"/>
                                <w:color w:val="auto"/>
                                <w:sz w:val="22"/>
                                <w:szCs w:val="22"/>
                                <w:lang w:val="fr-CA"/>
                              </w:rPr>
                              <w:t xml:space="preserve"> Diagramme de </w:t>
                            </w:r>
                            <w:r w:rsidRPr="00F47ECF">
                              <w:rPr>
                                <w:b/>
                                <w:i w:val="0"/>
                                <w:color w:val="auto"/>
                                <w:sz w:val="22"/>
                                <w:szCs w:val="22"/>
                                <w:lang w:val="fr-CA"/>
                              </w:rPr>
                              <w:t xml:space="preserve">la règle du </w:t>
                            </w:r>
                            <w:r>
                              <w:rPr>
                                <w:b/>
                                <w:i w:val="0"/>
                                <w:color w:val="auto"/>
                                <w:sz w:val="22"/>
                                <w:szCs w:val="22"/>
                                <w:lang w:val="fr-CA"/>
                              </w:rPr>
                              <w:t>« un pour un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5962158">
              <v:shapetype id="_x0000_t202" coordsize="21600,21600" o:spt="202" path="m,l,21600r21600,l21600,xe" w14:anchorId="26A375EA">
                <v:stroke joinstyle="miter"/>
                <v:path gradientshapeok="t" o:connecttype="rect"/>
              </v:shapetype>
              <v:shape id="Text Box 3" style="position:absolute;margin-left:0;margin-top:13.45pt;width:499.45pt;height:1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">
                <v:textbox inset="0,0,0,0">
                  <w:txbxContent>
                    <w:p w:rsidRPr="007B1101" w:rsidR="003D3A0E" w:rsidP="00E819D1" w:rsidRDefault="003D3A0E" w14:paraId="572D0ED7" w14:textId="1198AA4F">
                      <w:pPr>
                        <w:pStyle w:val="Caption"/>
                        <w:rPr>
                          <w:b/>
                          <w:noProof/>
                          <w:lang w:val="fr-CA"/>
                        </w:rPr>
                      </w:pPr>
                      <w:r w:rsidRPr="007B1101">
                        <w:rPr>
                          <w:b/>
                          <w:i w:val="0"/>
                          <w:color w:val="auto"/>
                          <w:sz w:val="22"/>
                          <w:szCs w:val="22"/>
                          <w:lang w:val="fr-CA"/>
                        </w:rPr>
                        <w:t>Figure 1</w:t>
                      </w:r>
                      <w:r w:rsidR="00281E40">
                        <w:rPr>
                          <w:b/>
                          <w:i w:val="0"/>
                          <w:color w:val="auto"/>
                          <w:sz w:val="22"/>
                          <w:szCs w:val="22"/>
                          <w:lang w:val="fr-CA"/>
                        </w:rPr>
                        <w:t>.</w:t>
                      </w:r>
                      <w:r w:rsidRPr="007B1101">
                        <w:rPr>
                          <w:b/>
                          <w:i w:val="0"/>
                          <w:color w:val="auto"/>
                          <w:sz w:val="22"/>
                          <w:szCs w:val="22"/>
                          <w:lang w:val="fr-CA"/>
                        </w:rPr>
                        <w:t xml:space="preserve"> Diagramme de </w:t>
                      </w:r>
                      <w:r w:rsidRPr="00F47ECF">
                        <w:rPr>
                          <w:b/>
                          <w:i w:val="0"/>
                          <w:color w:val="auto"/>
                          <w:sz w:val="22"/>
                          <w:szCs w:val="22"/>
                          <w:lang w:val="fr-CA"/>
                        </w:rPr>
                        <w:t xml:space="preserve">la règle du </w:t>
                      </w:r>
                      <w:r>
                        <w:rPr>
                          <w:b/>
                          <w:i w:val="0"/>
                          <w:color w:val="auto"/>
                          <w:sz w:val="22"/>
                          <w:szCs w:val="22"/>
                          <w:lang w:val="fr-CA"/>
                        </w:rPr>
                        <w:t>« un pour un »</w:t>
                      </w:r>
                    </w:p>
                  </w:txbxContent>
                </v:textbox>
                <w10:wrap type="topAndBottom"/>
              </v:shape>
            </w:pict>
          </mc:Fallback>
        </mc:AlternateContent>
      </w:r>
    </w:p>
    <w:p w:rsidR="00B91619" w:rsidP="00B91619" w:rsidRDefault="00B91619" w14:paraId="174D5A71" w14:textId="3F47BB9C">
      <w:pPr>
        <w:tabs>
          <w:tab w:val="left" w:pos="9356"/>
        </w:tabs>
        <w:spacing w:after="0" w:line="240" w:lineRule="auto"/>
        <w:rPr>
          <w:lang w:val="fr-CA"/>
        </w:rPr>
      </w:pPr>
    </w:p>
    <w:p w:rsidR="00281E40" w:rsidP="00B91619" w:rsidRDefault="00281E40" w14:paraId="615F8C12" w14:textId="1814EAC2">
      <w:pPr>
        <w:tabs>
          <w:tab w:val="left" w:pos="9356"/>
        </w:tabs>
        <w:spacing w:after="0" w:line="240" w:lineRule="auto"/>
        <w:rPr>
          <w:lang w:val="fr-CA"/>
        </w:rPr>
      </w:pPr>
    </w:p>
    <w:p w:rsidR="00281E40" w:rsidP="00B91619" w:rsidRDefault="00281E40" w14:paraId="7F517071" w14:textId="30A756E0">
      <w:pPr>
        <w:tabs>
          <w:tab w:val="left" w:pos="9356"/>
        </w:tabs>
        <w:spacing w:after="0" w:line="240" w:lineRule="auto"/>
        <w:rPr>
          <w:lang w:val="fr-CA"/>
        </w:rPr>
      </w:pPr>
    </w:p>
    <w:p w:rsidR="00281E40" w:rsidP="00B91619" w:rsidRDefault="00281E40" w14:paraId="1E3C800C" w14:textId="0928E513">
      <w:pPr>
        <w:tabs>
          <w:tab w:val="left" w:pos="9356"/>
        </w:tabs>
        <w:spacing w:after="0" w:line="240" w:lineRule="auto"/>
        <w:rPr>
          <w:lang w:val="fr-CA"/>
        </w:rPr>
      </w:pPr>
    </w:p>
    <w:p w:rsidR="00281E40" w:rsidP="00B91619" w:rsidRDefault="00281E40" w14:paraId="15B778D8" w14:textId="560504B0">
      <w:pPr>
        <w:tabs>
          <w:tab w:val="left" w:pos="9356"/>
        </w:tabs>
        <w:spacing w:after="0" w:line="240" w:lineRule="auto"/>
        <w:rPr>
          <w:lang w:val="fr-CA"/>
        </w:rPr>
      </w:pPr>
    </w:p>
    <w:p w:rsidR="00281E40" w:rsidP="00B91619" w:rsidRDefault="00281E40" w14:paraId="0C3BBB6E" w14:textId="757FECE6">
      <w:pPr>
        <w:tabs>
          <w:tab w:val="left" w:pos="9356"/>
        </w:tabs>
        <w:spacing w:after="0" w:line="240" w:lineRule="auto"/>
        <w:rPr>
          <w:lang w:val="fr-CA"/>
        </w:rPr>
      </w:pPr>
    </w:p>
    <w:p w:rsidR="00281E40" w:rsidP="00B91619" w:rsidRDefault="00281E40" w14:paraId="47AABE35" w14:textId="02C04A9C">
      <w:pPr>
        <w:tabs>
          <w:tab w:val="left" w:pos="9356"/>
        </w:tabs>
        <w:spacing w:after="0" w:line="240" w:lineRule="auto"/>
        <w:rPr>
          <w:lang w:val="fr-CA"/>
        </w:rPr>
      </w:pPr>
    </w:p>
    <w:p w:rsidR="00281E40" w:rsidP="00B91619" w:rsidRDefault="00281E40" w14:paraId="5CF288D4" w14:textId="30DEA289">
      <w:pPr>
        <w:tabs>
          <w:tab w:val="left" w:pos="9356"/>
        </w:tabs>
        <w:spacing w:after="0" w:line="240" w:lineRule="auto"/>
        <w:rPr>
          <w:lang w:val="fr-CA"/>
        </w:rPr>
      </w:pPr>
    </w:p>
    <w:p w:rsidR="00281E40" w:rsidP="00B91619" w:rsidRDefault="00281E40" w14:paraId="62B9E56A" w14:textId="68A9676F">
      <w:pPr>
        <w:tabs>
          <w:tab w:val="left" w:pos="9356"/>
        </w:tabs>
        <w:spacing w:after="0" w:line="240" w:lineRule="auto"/>
        <w:rPr>
          <w:lang w:val="fr-CA"/>
        </w:rPr>
      </w:pPr>
    </w:p>
    <w:p w:rsidR="00281E40" w:rsidP="00B91619" w:rsidRDefault="00281E40" w14:paraId="2E4E6730" w14:textId="582D2B5B">
      <w:pPr>
        <w:tabs>
          <w:tab w:val="left" w:pos="9356"/>
        </w:tabs>
        <w:spacing w:after="0" w:line="240" w:lineRule="auto"/>
        <w:rPr>
          <w:lang w:val="fr-CA"/>
        </w:rPr>
      </w:pPr>
    </w:p>
    <w:p w:rsidR="00281E40" w:rsidP="00B91619" w:rsidRDefault="00281E40" w14:paraId="3AB204FB" w14:textId="132267EE">
      <w:pPr>
        <w:tabs>
          <w:tab w:val="left" w:pos="9356"/>
        </w:tabs>
        <w:spacing w:after="0" w:line="240" w:lineRule="auto"/>
        <w:rPr>
          <w:lang w:val="fr-CA"/>
        </w:rPr>
      </w:pPr>
    </w:p>
    <w:p w:rsidRPr="00FA558D" w:rsidR="00281E40" w:rsidP="00B91619" w:rsidRDefault="00281E40" w14:paraId="60304AC6" w14:textId="53A6F2A0">
      <w:pPr>
        <w:tabs>
          <w:tab w:val="left" w:pos="9356"/>
        </w:tabs>
        <w:spacing w:after="0" w:line="240" w:lineRule="auto"/>
        <w:rPr>
          <w:lang w:val="fr-CA"/>
        </w:rPr>
      </w:pPr>
    </w:p>
    <w:p w:rsidRPr="00FA558D" w:rsidR="00B91619" w:rsidP="00B91619" w:rsidRDefault="00B91619" w14:paraId="6A941464" w14:textId="5454D6E2">
      <w:pPr>
        <w:pStyle w:val="Heading2"/>
        <w:rPr>
          <w:lang w:val="fr-CA"/>
        </w:rPr>
      </w:pPr>
      <w:bookmarkStart w:name="_Toc151373910" w:id="15"/>
      <w:r>
        <w:rPr>
          <w:lang w:val="fr-CA"/>
        </w:rPr>
        <w:t>Exigences de la politique</w:t>
      </w:r>
      <w:r w:rsidRPr="00FA558D">
        <w:rPr>
          <w:lang w:val="fr-CA"/>
        </w:rPr>
        <w:t xml:space="preserve"> (</w:t>
      </w:r>
      <w:r w:rsidR="005E10ED">
        <w:rPr>
          <w:lang w:val="fr-CA"/>
        </w:rPr>
        <w:t>paragraphe</w:t>
      </w:r>
      <w:r w:rsidRPr="00FA558D">
        <w:rPr>
          <w:lang w:val="fr-CA"/>
        </w:rPr>
        <w:t> 7.2)</w:t>
      </w:r>
      <w:bookmarkEnd w:id="15"/>
    </w:p>
    <w:p w:rsidRPr="00FA558D" w:rsidR="00B91619" w:rsidP="00B91619" w:rsidRDefault="00B91619" w14:paraId="4DDF2BED" w14:textId="3291C3B3">
      <w:pPr>
        <w:tabs>
          <w:tab w:val="left" w:pos="9356"/>
        </w:tabs>
        <w:spacing w:after="0" w:line="240" w:lineRule="auto"/>
        <w:rPr>
          <w:lang w:val="fr-CA"/>
        </w:rPr>
      </w:pPr>
      <w:r>
        <w:rPr>
          <w:lang w:val="fr-CA"/>
        </w:rPr>
        <w:t>La règle du « un pour un »</w:t>
      </w:r>
      <w:r w:rsidRPr="00FA558D">
        <w:rPr>
          <w:lang w:val="fr-CA"/>
        </w:rPr>
        <w:t xml:space="preserve"> </w:t>
      </w:r>
      <w:r>
        <w:rPr>
          <w:lang w:val="fr-CA"/>
        </w:rPr>
        <w:t>s’applique aux</w:t>
      </w:r>
      <w:r w:rsidRPr="00FA558D">
        <w:rPr>
          <w:lang w:val="fr-CA"/>
        </w:rPr>
        <w:t xml:space="preserve"> </w:t>
      </w:r>
      <w:r w:rsidR="007804CD">
        <w:rPr>
          <w:lang w:val="fr-CA"/>
        </w:rPr>
        <w:t xml:space="preserve">modifications </w:t>
      </w:r>
      <w:r>
        <w:rPr>
          <w:lang w:val="fr-CA"/>
        </w:rPr>
        <w:t xml:space="preserve">réglementaires qui </w:t>
      </w:r>
      <w:r w:rsidR="00281E40">
        <w:rPr>
          <w:lang w:val="fr-CA"/>
        </w:rPr>
        <w:t>ont pour effet d’imposer</w:t>
      </w:r>
      <w:r w:rsidR="00E819D1">
        <w:rPr>
          <w:lang w:val="fr-CA"/>
        </w:rPr>
        <w:t xml:space="preserve"> </w:t>
      </w:r>
      <w:r w:rsidR="00281E40">
        <w:rPr>
          <w:lang w:val="fr-CA"/>
        </w:rPr>
        <w:t>un</w:t>
      </w:r>
      <w:r>
        <w:rPr>
          <w:lang w:val="fr-CA"/>
        </w:rPr>
        <w:t xml:space="preserve"> fardeau administratif </w:t>
      </w:r>
      <w:r w:rsidR="00281E40">
        <w:rPr>
          <w:lang w:val="fr-CA"/>
        </w:rPr>
        <w:t xml:space="preserve">supplémentaire </w:t>
      </w:r>
      <w:r>
        <w:rPr>
          <w:lang w:val="fr-CA"/>
        </w:rPr>
        <w:t>aux entreprises</w:t>
      </w:r>
      <w:r w:rsidRPr="00FA558D">
        <w:rPr>
          <w:lang w:val="fr-CA"/>
        </w:rPr>
        <w:t xml:space="preserve">. </w:t>
      </w:r>
      <w:r>
        <w:rPr>
          <w:lang w:val="fr-CA"/>
        </w:rPr>
        <w:t xml:space="preserve">Les questions </w:t>
      </w:r>
      <w:r w:rsidR="00510A05">
        <w:rPr>
          <w:lang w:val="fr-CA"/>
        </w:rPr>
        <w:t>ci</w:t>
      </w:r>
      <w:r w:rsidR="00510A05">
        <w:rPr>
          <w:lang w:val="fr-CA"/>
        </w:rPr>
        <w:noBreakHyphen/>
        <w:t>dessous aideront</w:t>
      </w:r>
      <w:r>
        <w:rPr>
          <w:lang w:val="fr-CA"/>
        </w:rPr>
        <w:t xml:space="preserve"> les organismes de réglementation</w:t>
      </w:r>
      <w:r w:rsidRPr="00FA558D">
        <w:rPr>
          <w:lang w:val="fr-CA"/>
        </w:rPr>
        <w:t xml:space="preserve"> </w:t>
      </w:r>
      <w:r w:rsidR="005B3C9C">
        <w:rPr>
          <w:lang w:val="fr-CA"/>
        </w:rPr>
        <w:t xml:space="preserve">à </w:t>
      </w:r>
      <w:r w:rsidR="00510A05">
        <w:rPr>
          <w:lang w:val="fr-CA"/>
        </w:rPr>
        <w:t xml:space="preserve">déterminer </w:t>
      </w:r>
      <w:r>
        <w:rPr>
          <w:lang w:val="fr-CA"/>
        </w:rPr>
        <w:t>si</w:t>
      </w:r>
      <w:r w:rsidRPr="00FA558D">
        <w:rPr>
          <w:lang w:val="fr-CA"/>
        </w:rPr>
        <w:t xml:space="preserve"> </w:t>
      </w:r>
      <w:r>
        <w:rPr>
          <w:lang w:val="fr-CA"/>
        </w:rPr>
        <w:t>la règle du « un pour un »</w:t>
      </w:r>
      <w:r w:rsidRPr="00FA558D">
        <w:rPr>
          <w:lang w:val="fr-CA"/>
        </w:rPr>
        <w:t xml:space="preserve"> </w:t>
      </w:r>
      <w:r>
        <w:rPr>
          <w:lang w:val="fr-CA"/>
        </w:rPr>
        <w:t>s’applique à un</w:t>
      </w:r>
      <w:r w:rsidRPr="00FA558D">
        <w:rPr>
          <w:lang w:val="fr-CA"/>
        </w:rPr>
        <w:t xml:space="preserve"> </w:t>
      </w:r>
      <w:r>
        <w:rPr>
          <w:lang w:val="fr-CA"/>
        </w:rPr>
        <w:t>projet de règlement</w:t>
      </w:r>
      <w:r w:rsidRPr="00FA558D">
        <w:rPr>
          <w:lang w:val="fr-CA"/>
        </w:rPr>
        <w:t>.</w:t>
      </w:r>
    </w:p>
    <w:p w:rsidRPr="00FA558D" w:rsidR="00B91619" w:rsidP="00B91619" w:rsidRDefault="00B91619" w14:paraId="05A4F6A6" w14:textId="3F7C5808">
      <w:pPr>
        <w:tabs>
          <w:tab w:val="left" w:pos="9356"/>
        </w:tabs>
        <w:spacing w:after="0" w:line="240" w:lineRule="auto"/>
        <w:rPr>
          <w:lang w:val="fr-CA"/>
        </w:rPr>
      </w:pPr>
    </w:p>
    <w:p w:rsidRPr="00FA558D" w:rsidR="00B91619" w:rsidP="00B91619" w:rsidRDefault="00B91619" w14:paraId="2496DFBA" w14:textId="7BB051F7">
      <w:pPr>
        <w:pStyle w:val="ListParagraph"/>
        <w:numPr>
          <w:ilvl w:val="0"/>
          <w:numId w:val="24"/>
        </w:numPr>
        <w:tabs>
          <w:tab w:val="left" w:pos="9356"/>
        </w:tabs>
        <w:spacing w:after="0" w:line="240" w:lineRule="auto"/>
        <w:rPr>
          <w:lang w:val="fr-CA"/>
        </w:rPr>
      </w:pPr>
      <w:r>
        <w:rPr>
          <w:lang w:val="fr-CA"/>
        </w:rPr>
        <w:t xml:space="preserve">Le </w:t>
      </w:r>
      <w:r w:rsidR="0029164A">
        <w:rPr>
          <w:lang w:val="fr-CA"/>
        </w:rPr>
        <w:t xml:space="preserve">projet de </w:t>
      </w:r>
      <w:r>
        <w:rPr>
          <w:lang w:val="fr-CA"/>
        </w:rPr>
        <w:t xml:space="preserve">règlement a-t-il été </w:t>
      </w:r>
      <w:r w:rsidR="0029164A">
        <w:rPr>
          <w:lang w:val="fr-CA"/>
        </w:rPr>
        <w:t>pris</w:t>
      </w:r>
      <w:r w:rsidR="00510A05">
        <w:rPr>
          <w:lang w:val="fr-CA"/>
        </w:rPr>
        <w:t xml:space="preserve"> </w:t>
      </w:r>
      <w:r>
        <w:rPr>
          <w:lang w:val="fr-CA"/>
        </w:rPr>
        <w:t>ou approuvé</w:t>
      </w:r>
      <w:r w:rsidRPr="00FA558D">
        <w:rPr>
          <w:lang w:val="fr-CA"/>
        </w:rPr>
        <w:t xml:space="preserve"> </w:t>
      </w:r>
      <w:r>
        <w:rPr>
          <w:lang w:val="fr-CA"/>
        </w:rPr>
        <w:t xml:space="preserve">par le gouverneur en conseil ou </w:t>
      </w:r>
      <w:r w:rsidR="0029164A">
        <w:rPr>
          <w:lang w:val="fr-CA"/>
        </w:rPr>
        <w:t xml:space="preserve">pris </w:t>
      </w:r>
      <w:r>
        <w:rPr>
          <w:lang w:val="fr-CA"/>
        </w:rPr>
        <w:t>par un ministre de la Couronne</w:t>
      </w:r>
      <w:r w:rsidRPr="00FA558D">
        <w:rPr>
          <w:lang w:val="fr-CA"/>
        </w:rPr>
        <w:t>?</w:t>
      </w:r>
    </w:p>
    <w:p w:rsidRPr="00FA558D" w:rsidR="00B91619" w:rsidP="00B91619" w:rsidRDefault="00B91619" w14:paraId="4B11967F" w14:textId="3B801716">
      <w:pPr>
        <w:pStyle w:val="ListParagraph"/>
        <w:numPr>
          <w:ilvl w:val="0"/>
          <w:numId w:val="3"/>
        </w:numPr>
        <w:tabs>
          <w:tab w:val="left" w:pos="9356"/>
        </w:tabs>
        <w:spacing w:after="0" w:line="240" w:lineRule="auto"/>
        <w:ind w:left="1080"/>
        <w:rPr>
          <w:lang w:val="fr-CA"/>
        </w:rPr>
      </w:pPr>
      <w:r>
        <w:rPr>
          <w:lang w:val="fr-CA"/>
        </w:rPr>
        <w:t>Si ni l’une ni l’autre de ces conditions ne s’applique</w:t>
      </w:r>
      <w:r w:rsidRPr="00FA558D">
        <w:rPr>
          <w:lang w:val="fr-CA"/>
        </w:rPr>
        <w:t xml:space="preserve">, </w:t>
      </w:r>
      <w:r>
        <w:rPr>
          <w:lang w:val="fr-CA"/>
        </w:rPr>
        <w:t>la règle</w:t>
      </w:r>
      <w:r w:rsidRPr="00FA558D">
        <w:rPr>
          <w:lang w:val="fr-CA"/>
        </w:rPr>
        <w:t xml:space="preserve"> </w:t>
      </w:r>
      <w:r w:rsidR="00510A05">
        <w:rPr>
          <w:lang w:val="fr-CA"/>
        </w:rPr>
        <w:t>ne s’applique pas</w:t>
      </w:r>
      <w:r>
        <w:rPr>
          <w:lang w:val="fr-CA"/>
        </w:rPr>
        <w:t>.</w:t>
      </w:r>
    </w:p>
    <w:p w:rsidRPr="00FA558D" w:rsidR="00B91619" w:rsidP="00B91619" w:rsidRDefault="00B91619" w14:paraId="7CC75B40" w14:textId="34D9E9DF">
      <w:pPr>
        <w:pStyle w:val="ListParagraph"/>
        <w:numPr>
          <w:ilvl w:val="0"/>
          <w:numId w:val="3"/>
        </w:numPr>
        <w:tabs>
          <w:tab w:val="left" w:pos="9356"/>
        </w:tabs>
        <w:spacing w:after="0" w:line="240" w:lineRule="auto"/>
        <w:ind w:left="1080"/>
        <w:rPr>
          <w:lang w:val="fr-CA"/>
        </w:rPr>
      </w:pPr>
      <w:r>
        <w:rPr>
          <w:lang w:val="fr-CA"/>
        </w:rPr>
        <w:t>Si l’une ou l’autre de ces conditions s’applique</w:t>
      </w:r>
      <w:r w:rsidRPr="00FA558D">
        <w:rPr>
          <w:lang w:val="fr-CA"/>
        </w:rPr>
        <w:t xml:space="preserve">, </w:t>
      </w:r>
      <w:r w:rsidR="0029164A">
        <w:rPr>
          <w:lang w:val="fr-CA"/>
        </w:rPr>
        <w:t>passez</w:t>
      </w:r>
      <w:r w:rsidRPr="00FA558D" w:rsidR="0029164A">
        <w:rPr>
          <w:lang w:val="fr-CA"/>
        </w:rPr>
        <w:t xml:space="preserve"> </w:t>
      </w:r>
      <w:r>
        <w:rPr>
          <w:b/>
          <w:lang w:val="fr-CA"/>
        </w:rPr>
        <w:t xml:space="preserve">aux </w:t>
      </w:r>
      <w:r w:rsidRPr="00FA558D">
        <w:rPr>
          <w:b/>
          <w:lang w:val="fr-CA"/>
        </w:rPr>
        <w:t>questions 2</w:t>
      </w:r>
      <w:r>
        <w:rPr>
          <w:b/>
          <w:lang w:val="fr-CA"/>
        </w:rPr>
        <w:t xml:space="preserve"> et </w:t>
      </w:r>
      <w:r w:rsidRPr="00FA558D">
        <w:rPr>
          <w:b/>
          <w:lang w:val="fr-CA"/>
        </w:rPr>
        <w:t>3</w:t>
      </w:r>
      <w:r>
        <w:rPr>
          <w:b/>
          <w:lang w:val="fr-CA"/>
        </w:rPr>
        <w:t>.</w:t>
      </w:r>
      <w:r w:rsidRPr="00FA558D">
        <w:rPr>
          <w:lang w:val="fr-CA"/>
        </w:rPr>
        <w:t xml:space="preserve"> </w:t>
      </w:r>
    </w:p>
    <w:p w:rsidRPr="00FA558D" w:rsidR="00B91619" w:rsidP="00B91619" w:rsidRDefault="00B91619" w14:paraId="0704B3A5" w14:textId="09C5AA39">
      <w:pPr>
        <w:tabs>
          <w:tab w:val="left" w:pos="9356"/>
        </w:tabs>
        <w:spacing w:after="0" w:line="240" w:lineRule="auto"/>
        <w:rPr>
          <w:lang w:val="fr-CA"/>
        </w:rPr>
      </w:pPr>
    </w:p>
    <w:p w:rsidRPr="00FA558D" w:rsidR="00B91619" w:rsidP="00B91619" w:rsidRDefault="00B91619" w14:paraId="5A6C6B20" w14:textId="47164946">
      <w:pPr>
        <w:pStyle w:val="ListParagraph"/>
        <w:numPr>
          <w:ilvl w:val="0"/>
          <w:numId w:val="24"/>
        </w:numPr>
        <w:tabs>
          <w:tab w:val="left" w:pos="9356"/>
        </w:tabs>
        <w:spacing w:after="0" w:line="240" w:lineRule="auto"/>
        <w:rPr>
          <w:lang w:val="fr-CA"/>
        </w:rPr>
      </w:pPr>
      <w:r>
        <w:rPr>
          <w:lang w:val="fr-CA"/>
        </w:rPr>
        <w:t xml:space="preserve">Le </w:t>
      </w:r>
      <w:r w:rsidR="0029164A">
        <w:rPr>
          <w:lang w:val="fr-CA"/>
        </w:rPr>
        <w:t xml:space="preserve">projet de </w:t>
      </w:r>
      <w:r>
        <w:rPr>
          <w:lang w:val="fr-CA"/>
        </w:rPr>
        <w:t>règlement</w:t>
      </w:r>
      <w:r w:rsidRPr="00FA558D">
        <w:rPr>
          <w:lang w:val="fr-CA"/>
        </w:rPr>
        <w:t xml:space="preserve"> impose</w:t>
      </w:r>
      <w:r>
        <w:rPr>
          <w:lang w:val="fr-CA"/>
        </w:rPr>
        <w:t xml:space="preserve">-t-il un fardeau administratif </w:t>
      </w:r>
      <w:r w:rsidR="0052311F">
        <w:rPr>
          <w:lang w:val="fr-CA"/>
        </w:rPr>
        <w:t>aux</w:t>
      </w:r>
      <w:r>
        <w:rPr>
          <w:lang w:val="fr-CA"/>
        </w:rPr>
        <w:t xml:space="preserve"> entreprises canadiennes</w:t>
      </w:r>
      <w:r w:rsidR="0029164A">
        <w:rPr>
          <w:lang w:val="fr-CA"/>
        </w:rPr>
        <w:t xml:space="preserve"> ou réduit-il le fardeau administratif de celles-ci</w:t>
      </w:r>
      <w:r w:rsidRPr="00FA558D">
        <w:rPr>
          <w:lang w:val="fr-CA"/>
        </w:rPr>
        <w:t>?</w:t>
      </w:r>
    </w:p>
    <w:p w:rsidRPr="00FA558D" w:rsidR="00B91619" w:rsidP="00B91619" w:rsidRDefault="00B91619" w14:paraId="0C568E95" w14:textId="447960DC">
      <w:pPr>
        <w:pStyle w:val="ListParagraph"/>
        <w:numPr>
          <w:ilvl w:val="0"/>
          <w:numId w:val="3"/>
        </w:numPr>
        <w:tabs>
          <w:tab w:val="left" w:pos="9356"/>
        </w:tabs>
        <w:spacing w:after="0" w:line="240" w:lineRule="auto"/>
        <w:ind w:left="1080"/>
        <w:rPr>
          <w:lang w:val="fr-CA"/>
        </w:rPr>
      </w:pPr>
      <w:r>
        <w:rPr>
          <w:lang w:val="fr-CA"/>
        </w:rPr>
        <w:t>Si ni l’une ni l’autre de ces conditions ne s’applique</w:t>
      </w:r>
      <w:r w:rsidRPr="00FA558D">
        <w:rPr>
          <w:lang w:val="fr-CA"/>
        </w:rPr>
        <w:t xml:space="preserve">, </w:t>
      </w:r>
      <w:r>
        <w:rPr>
          <w:lang w:val="fr-CA"/>
        </w:rPr>
        <w:t>l’élé</w:t>
      </w:r>
      <w:r w:rsidRPr="00FA558D">
        <w:rPr>
          <w:lang w:val="fr-CA"/>
        </w:rPr>
        <w:t>ment A</w:t>
      </w:r>
      <w:r>
        <w:rPr>
          <w:lang w:val="fr-CA"/>
        </w:rPr>
        <w:t xml:space="preserve"> de la règle</w:t>
      </w:r>
      <w:r w:rsidRPr="00FA558D">
        <w:rPr>
          <w:lang w:val="fr-CA"/>
        </w:rPr>
        <w:t xml:space="preserve"> </w:t>
      </w:r>
      <w:r>
        <w:rPr>
          <w:lang w:val="fr-CA"/>
        </w:rPr>
        <w:t>n</w:t>
      </w:r>
      <w:r w:rsidR="00510A05">
        <w:rPr>
          <w:lang w:val="fr-CA"/>
        </w:rPr>
        <w:t>e s’applique pas.</w:t>
      </w:r>
    </w:p>
    <w:p w:rsidRPr="00FA558D" w:rsidR="00B91619" w:rsidP="00B91619" w:rsidRDefault="00B91619" w14:paraId="6FA8A971" w14:textId="4E24D416">
      <w:pPr>
        <w:pStyle w:val="ListParagraph"/>
        <w:numPr>
          <w:ilvl w:val="0"/>
          <w:numId w:val="3"/>
        </w:numPr>
        <w:tabs>
          <w:tab w:val="left" w:pos="9356"/>
        </w:tabs>
        <w:spacing w:after="0" w:line="240" w:lineRule="auto"/>
        <w:ind w:left="1080"/>
        <w:rPr>
          <w:lang w:val="fr-CA"/>
        </w:rPr>
      </w:pPr>
      <w:r>
        <w:rPr>
          <w:lang w:val="fr-CA"/>
        </w:rPr>
        <w:t>Si l’une ou l’autre de ces conditions s’applique, l’élément</w:t>
      </w:r>
      <w:r w:rsidRPr="00FA558D">
        <w:rPr>
          <w:lang w:val="fr-CA"/>
        </w:rPr>
        <w:t> A</w:t>
      </w:r>
      <w:r>
        <w:rPr>
          <w:lang w:val="fr-CA"/>
        </w:rPr>
        <w:t xml:space="preserve"> de la règle</w:t>
      </w:r>
      <w:r w:rsidRPr="00FA558D" w:rsidDel="00BE6E30">
        <w:rPr>
          <w:lang w:val="fr-CA"/>
        </w:rPr>
        <w:t xml:space="preserve"> </w:t>
      </w:r>
      <w:r w:rsidR="00510A05">
        <w:rPr>
          <w:lang w:val="fr-CA"/>
        </w:rPr>
        <w:t>s’applique</w:t>
      </w:r>
      <w:r w:rsidRPr="00FA558D">
        <w:rPr>
          <w:lang w:val="fr-CA"/>
        </w:rPr>
        <w:t>,</w:t>
      </w:r>
      <w:r>
        <w:rPr>
          <w:lang w:val="fr-CA"/>
        </w:rPr>
        <w:t xml:space="preserve"> et l’organisme de réglementation</w:t>
      </w:r>
      <w:r w:rsidRPr="00FA558D">
        <w:rPr>
          <w:lang w:val="fr-CA"/>
        </w:rPr>
        <w:t xml:space="preserve"> </w:t>
      </w:r>
      <w:r>
        <w:rPr>
          <w:lang w:val="fr-CA"/>
        </w:rPr>
        <w:t>doit</w:t>
      </w:r>
      <w:r w:rsidRPr="00FA558D">
        <w:rPr>
          <w:lang w:val="fr-CA"/>
        </w:rPr>
        <w:t xml:space="preserve"> </w:t>
      </w:r>
      <w:r>
        <w:rPr>
          <w:lang w:val="fr-CA"/>
        </w:rPr>
        <w:t>procéder à l’analyse</w:t>
      </w:r>
      <w:r w:rsidRPr="00FA558D">
        <w:rPr>
          <w:lang w:val="fr-CA"/>
        </w:rPr>
        <w:t xml:space="preserve"> </w:t>
      </w:r>
      <w:r w:rsidR="00D67272">
        <w:rPr>
          <w:lang w:val="fr-CA"/>
        </w:rPr>
        <w:t>indiquée</w:t>
      </w:r>
      <w:r>
        <w:rPr>
          <w:lang w:val="fr-CA"/>
        </w:rPr>
        <w:t xml:space="preserve"> dans</w:t>
      </w:r>
      <w:r w:rsidRPr="00FA558D">
        <w:rPr>
          <w:lang w:val="fr-CA"/>
        </w:rPr>
        <w:t xml:space="preserve"> </w:t>
      </w:r>
      <w:r>
        <w:rPr>
          <w:lang w:val="fr-CA"/>
        </w:rPr>
        <w:t xml:space="preserve">la </w:t>
      </w:r>
      <w:r w:rsidR="009719D9">
        <w:rPr>
          <w:lang w:val="fr-CA"/>
        </w:rPr>
        <w:t>p</w:t>
      </w:r>
      <w:r>
        <w:rPr>
          <w:lang w:val="fr-CA"/>
        </w:rPr>
        <w:t xml:space="preserve">olitique et </w:t>
      </w:r>
      <w:r w:rsidRPr="00FA558D">
        <w:rPr>
          <w:lang w:val="fr-CA"/>
        </w:rPr>
        <w:t>in</w:t>
      </w:r>
      <w:r>
        <w:rPr>
          <w:lang w:val="fr-CA"/>
        </w:rPr>
        <w:t>tégrer cette analyse</w:t>
      </w:r>
      <w:r w:rsidRPr="00FA558D">
        <w:rPr>
          <w:lang w:val="fr-CA"/>
        </w:rPr>
        <w:t xml:space="preserve"> </w:t>
      </w:r>
      <w:r>
        <w:rPr>
          <w:lang w:val="fr-CA"/>
        </w:rPr>
        <w:t>à</w:t>
      </w:r>
      <w:r w:rsidRPr="00FA558D">
        <w:rPr>
          <w:lang w:val="fr-CA"/>
        </w:rPr>
        <w:t xml:space="preserve"> </w:t>
      </w:r>
      <w:r>
        <w:rPr>
          <w:lang w:val="fr-CA"/>
        </w:rPr>
        <w:t>la section du Résumé de l’étude d’impact de la réglementation</w:t>
      </w:r>
      <w:r w:rsidRPr="00FA558D">
        <w:rPr>
          <w:lang w:val="fr-CA"/>
        </w:rPr>
        <w:t xml:space="preserve"> (</w:t>
      </w:r>
      <w:r>
        <w:rPr>
          <w:lang w:val="fr-CA"/>
        </w:rPr>
        <w:t>REIR</w:t>
      </w:r>
      <w:r w:rsidRPr="00FA558D">
        <w:rPr>
          <w:lang w:val="fr-CA"/>
        </w:rPr>
        <w:t>)</w:t>
      </w:r>
      <w:r>
        <w:rPr>
          <w:lang w:val="fr-CA"/>
        </w:rPr>
        <w:t xml:space="preserve"> portant sur la règle du « un pour un ».</w:t>
      </w:r>
      <w:r w:rsidRPr="00FA558D">
        <w:rPr>
          <w:lang w:val="fr-CA"/>
        </w:rPr>
        <w:t xml:space="preserve"> </w:t>
      </w:r>
    </w:p>
    <w:p w:rsidRPr="00FA558D" w:rsidR="00B91619" w:rsidP="00B91619" w:rsidRDefault="00B91619" w14:paraId="3479408C" w14:textId="560A3122">
      <w:pPr>
        <w:tabs>
          <w:tab w:val="left" w:pos="9356"/>
        </w:tabs>
        <w:spacing w:after="0" w:line="240" w:lineRule="auto"/>
        <w:rPr>
          <w:lang w:val="fr-CA"/>
        </w:rPr>
      </w:pPr>
    </w:p>
    <w:p w:rsidRPr="00FA558D" w:rsidR="00B91619" w:rsidP="00B91619" w:rsidRDefault="00B91619" w14:paraId="2AAE154D" w14:textId="6982C856">
      <w:pPr>
        <w:pStyle w:val="ListParagraph"/>
        <w:numPr>
          <w:ilvl w:val="0"/>
          <w:numId w:val="24"/>
        </w:numPr>
        <w:tabs>
          <w:tab w:val="left" w:pos="9356"/>
        </w:tabs>
        <w:spacing w:after="0" w:line="240" w:lineRule="auto"/>
        <w:rPr>
          <w:lang w:val="fr-CA"/>
        </w:rPr>
      </w:pPr>
      <w:r>
        <w:rPr>
          <w:lang w:val="fr-CA"/>
        </w:rPr>
        <w:t xml:space="preserve">Le </w:t>
      </w:r>
      <w:r w:rsidR="00D67272">
        <w:rPr>
          <w:lang w:val="fr-CA"/>
        </w:rPr>
        <w:t xml:space="preserve">projet de </w:t>
      </w:r>
      <w:r>
        <w:rPr>
          <w:lang w:val="fr-CA"/>
        </w:rPr>
        <w:t xml:space="preserve">règlement </w:t>
      </w:r>
      <w:r w:rsidR="00510A05">
        <w:rPr>
          <w:lang w:val="fr-CA"/>
        </w:rPr>
        <w:t>es</w:t>
      </w:r>
      <w:r>
        <w:rPr>
          <w:lang w:val="fr-CA"/>
        </w:rPr>
        <w:t xml:space="preserve">t-il un </w:t>
      </w:r>
      <w:r w:rsidR="00510A05">
        <w:rPr>
          <w:lang w:val="fr-CA"/>
        </w:rPr>
        <w:t xml:space="preserve">nouveau </w:t>
      </w:r>
      <w:r>
        <w:rPr>
          <w:lang w:val="fr-CA"/>
        </w:rPr>
        <w:t xml:space="preserve">titre </w:t>
      </w:r>
      <w:r w:rsidR="00510A05">
        <w:rPr>
          <w:lang w:val="fr-CA"/>
        </w:rPr>
        <w:t xml:space="preserve">réglementaire </w:t>
      </w:r>
      <w:r>
        <w:rPr>
          <w:lang w:val="fr-CA"/>
        </w:rPr>
        <w:t>qui impose</w:t>
      </w:r>
      <w:r w:rsidRPr="00FA558D">
        <w:rPr>
          <w:lang w:val="fr-CA"/>
        </w:rPr>
        <w:t xml:space="preserve"> </w:t>
      </w:r>
      <w:r>
        <w:rPr>
          <w:lang w:val="fr-CA"/>
        </w:rPr>
        <w:t xml:space="preserve">un nouveau fardeau administratif aux entreprises ou abroge-t-il un titre </w:t>
      </w:r>
      <w:r w:rsidR="00510A05">
        <w:rPr>
          <w:lang w:val="fr-CA"/>
        </w:rPr>
        <w:t>réglementaire</w:t>
      </w:r>
      <w:r w:rsidR="00D67272">
        <w:rPr>
          <w:lang w:val="fr-CA"/>
        </w:rPr>
        <w:t xml:space="preserve"> existant (ou plusieurs titres)</w:t>
      </w:r>
      <w:r w:rsidRPr="00FA558D">
        <w:rPr>
          <w:lang w:val="fr-CA"/>
        </w:rPr>
        <w:t>?</w:t>
      </w:r>
    </w:p>
    <w:p w:rsidRPr="00FA558D" w:rsidR="00B91619" w:rsidP="00B91619" w:rsidRDefault="00B91619" w14:paraId="7373E7A9" w14:textId="7F9213E4">
      <w:pPr>
        <w:pStyle w:val="ListParagraph"/>
        <w:numPr>
          <w:ilvl w:val="0"/>
          <w:numId w:val="3"/>
        </w:numPr>
        <w:tabs>
          <w:tab w:val="left" w:pos="9356"/>
        </w:tabs>
        <w:spacing w:after="0" w:line="240" w:lineRule="auto"/>
        <w:ind w:left="1080"/>
        <w:rPr>
          <w:lang w:val="fr-CA"/>
        </w:rPr>
      </w:pPr>
      <w:r>
        <w:rPr>
          <w:lang w:val="fr-CA"/>
        </w:rPr>
        <w:t>Si ni l’une ni l’autre de ces conditions ne s’applique, l’élément</w:t>
      </w:r>
      <w:r w:rsidRPr="00FA558D">
        <w:rPr>
          <w:lang w:val="fr-CA"/>
        </w:rPr>
        <w:t> B</w:t>
      </w:r>
      <w:r>
        <w:rPr>
          <w:lang w:val="fr-CA"/>
        </w:rPr>
        <w:t xml:space="preserve"> de la règle</w:t>
      </w:r>
      <w:r w:rsidRPr="00FA558D" w:rsidDel="00BE6E30">
        <w:rPr>
          <w:lang w:val="fr-CA"/>
        </w:rPr>
        <w:t xml:space="preserve"> </w:t>
      </w:r>
      <w:r w:rsidR="00510A05">
        <w:rPr>
          <w:lang w:val="fr-CA"/>
        </w:rPr>
        <w:t>ne s’applique pas</w:t>
      </w:r>
      <w:r>
        <w:rPr>
          <w:lang w:val="fr-CA"/>
        </w:rPr>
        <w:t>.</w:t>
      </w:r>
    </w:p>
    <w:p w:rsidRPr="00FA558D" w:rsidR="00B91619" w:rsidP="00B91619" w:rsidRDefault="00B91619" w14:paraId="408B438B" w14:textId="462D1A79">
      <w:pPr>
        <w:pStyle w:val="ListParagraph"/>
        <w:numPr>
          <w:ilvl w:val="0"/>
          <w:numId w:val="3"/>
        </w:numPr>
        <w:tabs>
          <w:tab w:val="left" w:pos="9356"/>
        </w:tabs>
        <w:spacing w:after="0" w:line="240" w:lineRule="auto"/>
        <w:ind w:left="1080"/>
        <w:rPr>
          <w:lang w:val="fr-CA"/>
        </w:rPr>
      </w:pPr>
      <w:r>
        <w:rPr>
          <w:lang w:val="fr-CA"/>
        </w:rPr>
        <w:t>Si l’une ou l’autre de ces conditions s’applique, l’élément</w:t>
      </w:r>
      <w:r w:rsidRPr="00FA558D">
        <w:rPr>
          <w:lang w:val="fr-CA"/>
        </w:rPr>
        <w:t> B</w:t>
      </w:r>
      <w:r>
        <w:rPr>
          <w:lang w:val="fr-CA"/>
        </w:rPr>
        <w:t xml:space="preserve"> de la règle</w:t>
      </w:r>
      <w:r w:rsidRPr="00FA558D" w:rsidDel="00BE6E30">
        <w:rPr>
          <w:lang w:val="fr-CA"/>
        </w:rPr>
        <w:t xml:space="preserve"> </w:t>
      </w:r>
      <w:r w:rsidR="00510A05">
        <w:rPr>
          <w:lang w:val="fr-CA"/>
        </w:rPr>
        <w:t>s’applique</w:t>
      </w:r>
      <w:r>
        <w:rPr>
          <w:lang w:val="fr-CA"/>
        </w:rPr>
        <w:t xml:space="preserve"> et l’organisme de réglementation</w:t>
      </w:r>
      <w:r w:rsidRPr="00FA558D">
        <w:rPr>
          <w:lang w:val="fr-CA"/>
        </w:rPr>
        <w:t xml:space="preserve"> </w:t>
      </w:r>
      <w:r>
        <w:rPr>
          <w:lang w:val="fr-CA"/>
        </w:rPr>
        <w:t>doit</w:t>
      </w:r>
      <w:r w:rsidRPr="00FA558D">
        <w:rPr>
          <w:lang w:val="fr-CA"/>
        </w:rPr>
        <w:t xml:space="preserve"> </w:t>
      </w:r>
      <w:r>
        <w:rPr>
          <w:lang w:val="fr-CA"/>
        </w:rPr>
        <w:t>procéder à l’analyse</w:t>
      </w:r>
      <w:r w:rsidRPr="00FA558D">
        <w:rPr>
          <w:lang w:val="fr-CA"/>
        </w:rPr>
        <w:t xml:space="preserve"> </w:t>
      </w:r>
      <w:r w:rsidR="00D67272">
        <w:rPr>
          <w:lang w:val="fr-CA"/>
        </w:rPr>
        <w:t>indiqu</w:t>
      </w:r>
      <w:r w:rsidR="009647E5">
        <w:rPr>
          <w:lang w:val="fr-CA"/>
        </w:rPr>
        <w:t>ée</w:t>
      </w:r>
      <w:r>
        <w:rPr>
          <w:lang w:val="fr-CA"/>
        </w:rPr>
        <w:t xml:space="preserve"> dans</w:t>
      </w:r>
      <w:r w:rsidRPr="00FA558D">
        <w:rPr>
          <w:lang w:val="fr-CA"/>
        </w:rPr>
        <w:t xml:space="preserve"> </w:t>
      </w:r>
      <w:r>
        <w:rPr>
          <w:lang w:val="fr-CA"/>
        </w:rPr>
        <w:t xml:space="preserve">la politique et </w:t>
      </w:r>
      <w:r w:rsidRPr="00FA558D">
        <w:rPr>
          <w:lang w:val="fr-CA"/>
        </w:rPr>
        <w:t>in</w:t>
      </w:r>
      <w:r>
        <w:rPr>
          <w:lang w:val="fr-CA"/>
        </w:rPr>
        <w:t xml:space="preserve">tégrer cette analyse dans la section du REIR </w:t>
      </w:r>
      <w:r w:rsidR="001B2BBA">
        <w:rPr>
          <w:lang w:val="fr-CA"/>
        </w:rPr>
        <w:t xml:space="preserve">portant </w:t>
      </w:r>
      <w:r>
        <w:rPr>
          <w:lang w:val="fr-CA"/>
        </w:rPr>
        <w:t>sur la règle du « un pour un ».</w:t>
      </w:r>
    </w:p>
    <w:p w:rsidRPr="00FA558D" w:rsidR="00B91619" w:rsidP="00B91619" w:rsidRDefault="00B91619" w14:paraId="39AAFCCB" w14:textId="77777777">
      <w:pPr>
        <w:tabs>
          <w:tab w:val="left" w:pos="9356"/>
        </w:tabs>
        <w:spacing w:after="0" w:line="240" w:lineRule="auto"/>
        <w:rPr>
          <w:lang w:val="fr-CA"/>
        </w:rPr>
      </w:pPr>
      <w:r w:rsidRPr="00FA558D">
        <w:rPr>
          <w:lang w:val="fr-CA"/>
        </w:rPr>
        <w:t xml:space="preserve"> </w:t>
      </w:r>
    </w:p>
    <w:p w:rsidRPr="00781275" w:rsidR="00255464" w:rsidP="00255464" w:rsidRDefault="00B91619" w14:paraId="388DC963" w14:textId="0579E1A4">
      <w:pPr>
        <w:pStyle w:val="Heading3"/>
        <w:rPr>
          <w:lang w:val="fr-CA"/>
        </w:rPr>
      </w:pPr>
      <w:bookmarkStart w:name="_Toc151373911" w:id="16"/>
      <w:r>
        <w:rPr>
          <w:lang w:val="fr-CA"/>
        </w:rPr>
        <w:t>Détermination des activités administratives</w:t>
      </w:r>
      <w:r w:rsidRPr="00FA558D">
        <w:rPr>
          <w:lang w:val="fr-CA"/>
        </w:rPr>
        <w:t xml:space="preserve"> (</w:t>
      </w:r>
      <w:r w:rsidR="00B657A4">
        <w:rPr>
          <w:lang w:val="fr-CA"/>
        </w:rPr>
        <w:t>paragraphe</w:t>
      </w:r>
      <w:r w:rsidRPr="00FA558D">
        <w:rPr>
          <w:lang w:val="fr-CA"/>
        </w:rPr>
        <w:t> 7.2.1)</w:t>
      </w:r>
      <w:bookmarkEnd w:id="16"/>
    </w:p>
    <w:p w:rsidR="00B657A4" w:rsidP="00B657A4" w:rsidRDefault="00B657A4" w14:paraId="37739350" w14:textId="77777777">
      <w:pPr>
        <w:rPr>
          <w:lang w:val="fr-CA"/>
        </w:rPr>
      </w:pPr>
      <w:bookmarkStart w:name="_Toc142633827" w:id="17"/>
      <w:bookmarkEnd w:id="17"/>
    </w:p>
    <w:p w:rsidRPr="003918B7" w:rsidR="00255464" w:rsidP="00255464" w:rsidRDefault="00B657A4" w14:paraId="6D967C31" w14:textId="040BE2BB">
      <w:pPr>
        <w:pStyle w:val="Heading4"/>
        <w:rPr>
          <w:lang w:val="fr-CA"/>
        </w:rPr>
      </w:pPr>
      <w:r w:rsidRPr="00B657A4">
        <w:rPr>
          <w:lang w:val="fr-CA"/>
        </w:rPr>
        <w:t xml:space="preserve">Participation </w:t>
      </w:r>
      <w:r>
        <w:rPr>
          <w:lang w:val="fr-CA"/>
        </w:rPr>
        <w:t>«</w:t>
      </w:r>
      <w:r w:rsidR="009647E5">
        <w:rPr>
          <w:lang w:val="fr-CA"/>
        </w:rPr>
        <w:t> </w:t>
      </w:r>
      <w:r w:rsidRPr="00B657A4">
        <w:rPr>
          <w:lang w:val="fr-CA"/>
        </w:rPr>
        <w:t>volontaire</w:t>
      </w:r>
      <w:r w:rsidR="009647E5">
        <w:rPr>
          <w:lang w:val="fr-CA"/>
        </w:rPr>
        <w:t> </w:t>
      </w:r>
      <w:r>
        <w:rPr>
          <w:lang w:val="fr-CA"/>
        </w:rPr>
        <w:t>»</w:t>
      </w:r>
      <w:r w:rsidRPr="00B657A4">
        <w:rPr>
          <w:lang w:val="fr-CA"/>
        </w:rPr>
        <w:t xml:space="preserve"> à une activité réglementée</w:t>
      </w:r>
    </w:p>
    <w:p w:rsidR="00123BFC" w:rsidP="00B657A4" w:rsidRDefault="00123BFC" w14:paraId="76E2662F" w14:textId="77777777">
      <w:pPr>
        <w:spacing w:after="0" w:line="240" w:lineRule="auto"/>
        <w:rPr>
          <w:lang w:val="fr-CA"/>
        </w:rPr>
      </w:pPr>
    </w:p>
    <w:p w:rsidRPr="003918B7" w:rsidR="00B657A4" w:rsidP="00B657A4" w:rsidRDefault="00B657A4" w14:paraId="79332267" w14:textId="21FCB617">
      <w:pPr>
        <w:spacing w:after="0" w:line="240" w:lineRule="auto"/>
        <w:rPr>
          <w:lang w:val="fr-CA"/>
        </w:rPr>
      </w:pPr>
      <w:r w:rsidRPr="00B657A4">
        <w:rPr>
          <w:lang w:val="fr-CA"/>
        </w:rPr>
        <w:t>Il arrive qu</w:t>
      </w:r>
      <w:r w:rsidR="009647E5">
        <w:rPr>
          <w:lang w:val="fr-CA"/>
        </w:rPr>
        <w:t>’</w:t>
      </w:r>
      <w:r w:rsidRPr="00B657A4">
        <w:rPr>
          <w:lang w:val="fr-CA"/>
        </w:rPr>
        <w:t>une entreprise qui n</w:t>
      </w:r>
      <w:r w:rsidR="009647E5">
        <w:rPr>
          <w:lang w:val="fr-CA"/>
        </w:rPr>
        <w:t>’</w:t>
      </w:r>
      <w:r w:rsidRPr="00B657A4">
        <w:rPr>
          <w:lang w:val="fr-CA"/>
        </w:rPr>
        <w:t xml:space="preserve">est pas soumise à un règlement choisisse de participer à une activité </w:t>
      </w:r>
      <w:r>
        <w:rPr>
          <w:lang w:val="fr-CA"/>
        </w:rPr>
        <w:t xml:space="preserve">prévue dans un règlement </w:t>
      </w:r>
      <w:r w:rsidRPr="00B657A4">
        <w:rPr>
          <w:lang w:val="fr-CA"/>
        </w:rPr>
        <w:t>afin d</w:t>
      </w:r>
      <w:r w:rsidR="009647E5">
        <w:rPr>
          <w:lang w:val="fr-CA"/>
        </w:rPr>
        <w:t>’</w:t>
      </w:r>
      <w:r w:rsidRPr="00B657A4">
        <w:rPr>
          <w:lang w:val="fr-CA"/>
        </w:rPr>
        <w:t>en tirer un avantage quelconque.</w:t>
      </w:r>
    </w:p>
    <w:p w:rsidR="00B657A4" w:rsidP="00B657A4" w:rsidRDefault="00B657A4" w14:paraId="1E18D34D" w14:textId="77777777">
      <w:pPr>
        <w:spacing w:after="0" w:line="240" w:lineRule="auto"/>
        <w:rPr>
          <w:lang w:val="fr-CA"/>
        </w:rPr>
      </w:pPr>
    </w:p>
    <w:p w:rsidRPr="003918B7" w:rsidR="00B657A4" w:rsidP="00B657A4" w:rsidRDefault="00B657A4" w14:paraId="402C2E29" w14:textId="0ED85D21">
      <w:pPr>
        <w:spacing w:after="0" w:line="240" w:lineRule="auto"/>
        <w:rPr>
          <w:lang w:val="fr-CA"/>
        </w:rPr>
      </w:pPr>
      <w:r w:rsidRPr="00B657A4">
        <w:rPr>
          <w:lang w:val="fr-CA"/>
        </w:rPr>
        <w:t>Dans ce cas, même si la décision de participer à l</w:t>
      </w:r>
      <w:r w:rsidR="009647E5">
        <w:rPr>
          <w:lang w:val="fr-CA"/>
        </w:rPr>
        <w:t>’</w:t>
      </w:r>
      <w:r w:rsidRPr="00B657A4">
        <w:rPr>
          <w:lang w:val="fr-CA"/>
        </w:rPr>
        <w:t xml:space="preserve">activité réglementée </w:t>
      </w:r>
      <w:r w:rsidR="0033645D">
        <w:rPr>
          <w:lang w:val="fr-CA"/>
        </w:rPr>
        <w:t>est</w:t>
      </w:r>
      <w:r w:rsidRPr="00B657A4">
        <w:rPr>
          <w:lang w:val="fr-CA"/>
        </w:rPr>
        <w:t xml:space="preserve"> volontaire, les exigences qui s</w:t>
      </w:r>
      <w:r w:rsidR="009647E5">
        <w:rPr>
          <w:lang w:val="fr-CA"/>
        </w:rPr>
        <w:t>’</w:t>
      </w:r>
      <w:r w:rsidRPr="00B657A4">
        <w:rPr>
          <w:lang w:val="fr-CA"/>
        </w:rPr>
        <w:t>appliquent en raison de cette décision ne le sont pas. En d</w:t>
      </w:r>
      <w:r w:rsidR="009647E5">
        <w:rPr>
          <w:lang w:val="fr-CA"/>
        </w:rPr>
        <w:t>’</w:t>
      </w:r>
      <w:r w:rsidRPr="00B657A4">
        <w:rPr>
          <w:lang w:val="fr-CA"/>
        </w:rPr>
        <w:t xml:space="preserve">autres </w:t>
      </w:r>
      <w:r>
        <w:rPr>
          <w:lang w:val="fr-CA"/>
        </w:rPr>
        <w:t>mots</w:t>
      </w:r>
      <w:r w:rsidRPr="00B657A4">
        <w:rPr>
          <w:lang w:val="fr-CA"/>
        </w:rPr>
        <w:t>, dès lors qu</w:t>
      </w:r>
      <w:r w:rsidR="009647E5">
        <w:rPr>
          <w:lang w:val="fr-CA"/>
        </w:rPr>
        <w:t>’</w:t>
      </w:r>
      <w:r w:rsidRPr="00B657A4">
        <w:rPr>
          <w:lang w:val="fr-CA"/>
        </w:rPr>
        <w:t xml:space="preserve">une entreprise exerce une activité réglementée, elle est soumise aux exigences et aux </w:t>
      </w:r>
      <w:r>
        <w:rPr>
          <w:lang w:val="fr-CA"/>
        </w:rPr>
        <w:t>pénalités connexes</w:t>
      </w:r>
      <w:r w:rsidRPr="00B657A4">
        <w:rPr>
          <w:lang w:val="fr-CA"/>
        </w:rPr>
        <w:t xml:space="preserve">, quelle que soit la raison pour laquelle elle exerce </w:t>
      </w:r>
      <w:r w:rsidR="00255464">
        <w:rPr>
          <w:lang w:val="fr-CA"/>
        </w:rPr>
        <w:t>ladite</w:t>
      </w:r>
      <w:r w:rsidRPr="00B657A4">
        <w:rPr>
          <w:lang w:val="fr-CA"/>
        </w:rPr>
        <w:t xml:space="preserve"> activité.</w:t>
      </w:r>
    </w:p>
    <w:p w:rsidRPr="003918B7" w:rsidR="00B657A4" w:rsidP="00B657A4" w:rsidRDefault="00B657A4" w14:paraId="7957F220" w14:textId="79F3BAB9">
      <w:pPr>
        <w:spacing w:after="0" w:line="240" w:lineRule="auto"/>
        <w:rPr>
          <w:lang w:val="fr-CA"/>
        </w:rPr>
      </w:pPr>
    </w:p>
    <w:p w:rsidRPr="00FA558D" w:rsidR="00B91619" w:rsidP="00255464" w:rsidRDefault="00B657A4" w14:paraId="6DDB13DC" w14:textId="0FC83B8F">
      <w:pPr>
        <w:rPr>
          <w:lang w:val="fr-CA"/>
        </w:rPr>
      </w:pPr>
      <w:r w:rsidRPr="00B657A4">
        <w:rPr>
          <w:lang w:val="fr-CA"/>
        </w:rPr>
        <w:t xml:space="preserve">Dans de telles situations, les </w:t>
      </w:r>
      <w:r>
        <w:rPr>
          <w:lang w:val="fr-CA"/>
        </w:rPr>
        <w:t>organismes de réglementation</w:t>
      </w:r>
      <w:r w:rsidRPr="00B657A4">
        <w:rPr>
          <w:lang w:val="fr-CA"/>
        </w:rPr>
        <w:t xml:space="preserve"> doivent calculer l</w:t>
      </w:r>
      <w:r>
        <w:rPr>
          <w:lang w:val="fr-CA"/>
        </w:rPr>
        <w:t xml:space="preserve">e coût </w:t>
      </w:r>
      <w:r w:rsidR="00255464">
        <w:rPr>
          <w:lang w:val="fr-CA"/>
        </w:rPr>
        <w:t>du</w:t>
      </w:r>
      <w:r>
        <w:rPr>
          <w:lang w:val="fr-CA"/>
        </w:rPr>
        <w:t xml:space="preserve"> fardeau</w:t>
      </w:r>
      <w:r w:rsidRPr="00B657A4">
        <w:rPr>
          <w:lang w:val="fr-CA"/>
        </w:rPr>
        <w:t xml:space="preserve"> administrati</w:t>
      </w:r>
      <w:r>
        <w:rPr>
          <w:lang w:val="fr-CA"/>
        </w:rPr>
        <w:t>f</w:t>
      </w:r>
      <w:r w:rsidRPr="00B657A4">
        <w:rPr>
          <w:lang w:val="fr-CA"/>
        </w:rPr>
        <w:t xml:space="preserve"> imposé et l</w:t>
      </w:r>
      <w:r>
        <w:rPr>
          <w:lang w:val="fr-CA"/>
        </w:rPr>
        <w:t>e</w:t>
      </w:r>
      <w:r w:rsidRPr="00B657A4">
        <w:rPr>
          <w:lang w:val="fr-CA"/>
        </w:rPr>
        <w:t xml:space="preserve"> compenser dans un délai de deux ans, conformément à l</w:t>
      </w:r>
      <w:r w:rsidR="009647E5">
        <w:rPr>
          <w:lang w:val="fr-CA"/>
        </w:rPr>
        <w:t>’</w:t>
      </w:r>
      <w:r w:rsidRPr="00B657A4">
        <w:rPr>
          <w:lang w:val="fr-CA"/>
        </w:rPr>
        <w:t>article</w:t>
      </w:r>
      <w:r w:rsidR="009647E5">
        <w:rPr>
          <w:lang w:val="fr-CA"/>
        </w:rPr>
        <w:t> </w:t>
      </w:r>
      <w:r w:rsidRPr="00B657A4">
        <w:rPr>
          <w:lang w:val="fr-CA"/>
        </w:rPr>
        <w:t xml:space="preserve">5 de la </w:t>
      </w:r>
      <w:hyperlink w:history="1" r:id="rId24">
        <w:r w:rsidRPr="003918B7" w:rsidR="00255464">
          <w:rPr>
            <w:rStyle w:val="Hyperlink"/>
            <w:i/>
            <w:iCs/>
            <w:lang w:val="fr-CA"/>
          </w:rPr>
          <w:t>Loi sur la réduction de la paperasse</w:t>
        </w:r>
      </w:hyperlink>
      <w:r w:rsidRPr="00B657A4">
        <w:rPr>
          <w:lang w:val="fr-CA"/>
        </w:rPr>
        <w:t>.</w:t>
      </w:r>
    </w:p>
    <w:p w:rsidRPr="00FA558D" w:rsidR="00B91619" w:rsidP="00B91619" w:rsidRDefault="00B91619" w14:paraId="0895CF3E" w14:textId="5E028656">
      <w:pPr>
        <w:pStyle w:val="Heading4"/>
        <w:rPr>
          <w:lang w:val="fr-CA"/>
        </w:rPr>
      </w:pPr>
      <w:r w:rsidRPr="00FA558D">
        <w:rPr>
          <w:lang w:val="fr-CA"/>
        </w:rPr>
        <w:t>A</w:t>
      </w:r>
      <w:r>
        <w:rPr>
          <w:lang w:val="fr-CA"/>
        </w:rPr>
        <w:t>pplication de</w:t>
      </w:r>
      <w:r w:rsidRPr="00FA558D">
        <w:rPr>
          <w:lang w:val="fr-CA"/>
        </w:rPr>
        <w:t xml:space="preserve"> </w:t>
      </w:r>
      <w:r>
        <w:rPr>
          <w:lang w:val="fr-CA"/>
        </w:rPr>
        <w:t>la règle du « un pour un »</w:t>
      </w:r>
      <w:r w:rsidRPr="00FA558D">
        <w:rPr>
          <w:lang w:val="fr-CA"/>
        </w:rPr>
        <w:t xml:space="preserve"> </w:t>
      </w:r>
      <w:r w:rsidR="00510A05">
        <w:rPr>
          <w:lang w:val="fr-CA"/>
        </w:rPr>
        <w:t xml:space="preserve">lorsque </w:t>
      </w:r>
      <w:r>
        <w:rPr>
          <w:lang w:val="fr-CA"/>
        </w:rPr>
        <w:t>des annexes ont été modifiées</w:t>
      </w:r>
      <w:r w:rsidRPr="00FA558D">
        <w:rPr>
          <w:lang w:val="fr-CA"/>
        </w:rPr>
        <w:t xml:space="preserve"> </w:t>
      </w:r>
    </w:p>
    <w:p w:rsidRPr="00FA558D" w:rsidR="00B91619" w:rsidP="00B91619" w:rsidRDefault="00B91619" w14:paraId="763C3BC9" w14:textId="77777777">
      <w:pPr>
        <w:tabs>
          <w:tab w:val="left" w:pos="4213"/>
        </w:tabs>
        <w:spacing w:after="0" w:line="240" w:lineRule="auto"/>
        <w:rPr>
          <w:lang w:val="fr-CA"/>
        </w:rPr>
      </w:pPr>
      <w:r>
        <w:rPr>
          <w:lang w:val="fr-CA"/>
        </w:rPr>
        <w:tab/>
      </w:r>
    </w:p>
    <w:p w:rsidRPr="00FA558D" w:rsidR="00B91619" w:rsidP="00B91619" w:rsidRDefault="00B91619" w14:paraId="7FCE8C0C" w14:textId="3AC6A244">
      <w:pPr>
        <w:tabs>
          <w:tab w:val="left" w:pos="9356"/>
        </w:tabs>
        <w:spacing w:after="0" w:line="240" w:lineRule="auto"/>
        <w:rPr>
          <w:lang w:val="fr-CA"/>
        </w:rPr>
      </w:pPr>
      <w:r>
        <w:rPr>
          <w:lang w:val="fr-CA"/>
        </w:rPr>
        <w:t>Les modifications réglementaires</w:t>
      </w:r>
      <w:r w:rsidRPr="00FA558D">
        <w:rPr>
          <w:lang w:val="fr-CA"/>
        </w:rPr>
        <w:t xml:space="preserve"> </w:t>
      </w:r>
      <w:r>
        <w:rPr>
          <w:lang w:val="fr-CA"/>
        </w:rPr>
        <w:t>apportées aux annexes d’une loi ou d’un règlement</w:t>
      </w:r>
      <w:r w:rsidRPr="00FA558D">
        <w:rPr>
          <w:lang w:val="fr-CA"/>
        </w:rPr>
        <w:t xml:space="preserve"> </w:t>
      </w:r>
      <w:r>
        <w:rPr>
          <w:lang w:val="fr-CA"/>
        </w:rPr>
        <w:t xml:space="preserve">peuvent </w:t>
      </w:r>
      <w:r w:rsidR="000A4950">
        <w:rPr>
          <w:lang w:val="fr-CA"/>
        </w:rPr>
        <w:t>entraîner</w:t>
      </w:r>
      <w:r w:rsidRPr="00FA558D" w:rsidR="000A4950">
        <w:rPr>
          <w:lang w:val="fr-CA"/>
        </w:rPr>
        <w:t xml:space="preserve"> </w:t>
      </w:r>
      <w:r w:rsidR="000A4950">
        <w:rPr>
          <w:lang w:val="fr-CA"/>
        </w:rPr>
        <w:t xml:space="preserve">l’application </w:t>
      </w:r>
      <w:r w:rsidR="00255464">
        <w:rPr>
          <w:lang w:val="fr-CA"/>
        </w:rPr>
        <w:t xml:space="preserve">de </w:t>
      </w:r>
      <w:r>
        <w:rPr>
          <w:lang w:val="fr-CA"/>
        </w:rPr>
        <w:t>la règle du « un pour un »</w:t>
      </w:r>
      <w:r w:rsidRPr="00FA558D">
        <w:rPr>
          <w:lang w:val="fr-CA"/>
        </w:rPr>
        <w:t xml:space="preserve">, </w:t>
      </w:r>
      <w:r>
        <w:rPr>
          <w:lang w:val="fr-CA"/>
        </w:rPr>
        <w:t>selon</w:t>
      </w:r>
      <w:r w:rsidRPr="00FA558D">
        <w:rPr>
          <w:lang w:val="fr-CA"/>
        </w:rPr>
        <w:t xml:space="preserve"> </w:t>
      </w:r>
      <w:r>
        <w:rPr>
          <w:lang w:val="fr-CA"/>
        </w:rPr>
        <w:t xml:space="preserve">les circonstances </w:t>
      </w:r>
      <w:r w:rsidR="000A4950">
        <w:rPr>
          <w:lang w:val="fr-CA"/>
        </w:rPr>
        <w:t>particulières de</w:t>
      </w:r>
      <w:r>
        <w:rPr>
          <w:lang w:val="fr-CA"/>
        </w:rPr>
        <w:t xml:space="preserve"> la modification</w:t>
      </w:r>
      <w:r w:rsidRPr="00FA558D">
        <w:rPr>
          <w:lang w:val="fr-CA"/>
        </w:rPr>
        <w:t xml:space="preserve">. </w:t>
      </w:r>
    </w:p>
    <w:p w:rsidRPr="00FA558D" w:rsidR="00B91619" w:rsidP="00B91619" w:rsidRDefault="00B91619" w14:paraId="31DF9621" w14:textId="77777777">
      <w:pPr>
        <w:tabs>
          <w:tab w:val="left" w:pos="9356"/>
        </w:tabs>
        <w:spacing w:after="0" w:line="240" w:lineRule="auto"/>
        <w:rPr>
          <w:lang w:val="fr-CA"/>
        </w:rPr>
      </w:pPr>
    </w:p>
    <w:p w:rsidRPr="00FA558D" w:rsidR="00B91619" w:rsidP="00B91619" w:rsidRDefault="00B91619" w14:paraId="698F4DDF" w14:textId="6BC1BEF0">
      <w:pPr>
        <w:tabs>
          <w:tab w:val="left" w:pos="9356"/>
        </w:tabs>
        <w:spacing w:after="0" w:line="240" w:lineRule="auto"/>
        <w:rPr>
          <w:lang w:val="fr-CA"/>
        </w:rPr>
      </w:pPr>
      <w:r>
        <w:rPr>
          <w:lang w:val="fr-CA"/>
        </w:rPr>
        <w:t xml:space="preserve">Les modifications </w:t>
      </w:r>
      <w:r w:rsidR="00255464">
        <w:rPr>
          <w:lang w:val="fr-CA"/>
        </w:rPr>
        <w:t>des</w:t>
      </w:r>
      <w:r>
        <w:rPr>
          <w:lang w:val="fr-CA"/>
        </w:rPr>
        <w:t xml:space="preserve"> annexes qui n’</w:t>
      </w:r>
      <w:r w:rsidR="00255464">
        <w:rPr>
          <w:lang w:val="fr-CA"/>
        </w:rPr>
        <w:t>ont pas pour effet d’</w:t>
      </w:r>
      <w:r>
        <w:rPr>
          <w:lang w:val="fr-CA"/>
        </w:rPr>
        <w:t>impose</w:t>
      </w:r>
      <w:r w:rsidR="00255464">
        <w:rPr>
          <w:lang w:val="fr-CA"/>
        </w:rPr>
        <w:t>r</w:t>
      </w:r>
      <w:r>
        <w:rPr>
          <w:lang w:val="fr-CA"/>
        </w:rPr>
        <w:t xml:space="preserve"> </w:t>
      </w:r>
      <w:r w:rsidR="00255464">
        <w:rPr>
          <w:lang w:val="fr-CA"/>
        </w:rPr>
        <w:t>un</w:t>
      </w:r>
      <w:r w:rsidRPr="00FA558D">
        <w:rPr>
          <w:lang w:val="fr-CA"/>
        </w:rPr>
        <w:t xml:space="preserve"> </w:t>
      </w:r>
      <w:r>
        <w:rPr>
          <w:lang w:val="fr-CA"/>
        </w:rPr>
        <w:t>nouveau fardeau administratif aux entreprises</w:t>
      </w:r>
      <w:r w:rsidRPr="00FA558D">
        <w:rPr>
          <w:lang w:val="fr-CA"/>
        </w:rPr>
        <w:t xml:space="preserve"> </w:t>
      </w:r>
      <w:r w:rsidR="007804CD">
        <w:rPr>
          <w:lang w:val="fr-CA"/>
        </w:rPr>
        <w:t>n’entraînent</w:t>
      </w:r>
      <w:r>
        <w:rPr>
          <w:lang w:val="fr-CA"/>
        </w:rPr>
        <w:t xml:space="preserve"> pas</w:t>
      </w:r>
      <w:r w:rsidRPr="00FA558D">
        <w:rPr>
          <w:lang w:val="fr-CA"/>
        </w:rPr>
        <w:t xml:space="preserve"> </w:t>
      </w:r>
      <w:r>
        <w:rPr>
          <w:lang w:val="fr-CA"/>
        </w:rPr>
        <w:t>l</w:t>
      </w:r>
      <w:r w:rsidR="00CF3F1F">
        <w:rPr>
          <w:lang w:val="fr-CA"/>
        </w:rPr>
        <w:t>’application de l</w:t>
      </w:r>
      <w:r>
        <w:rPr>
          <w:lang w:val="fr-CA"/>
        </w:rPr>
        <w:t>a règle du « un pour un »</w:t>
      </w:r>
      <w:r w:rsidRPr="00FA558D">
        <w:rPr>
          <w:lang w:val="fr-CA"/>
        </w:rPr>
        <w:t xml:space="preserve">, </w:t>
      </w:r>
      <w:r>
        <w:rPr>
          <w:lang w:val="fr-CA"/>
        </w:rPr>
        <w:t xml:space="preserve">puisque celle-ci vise exclusivement les exigences administratives progressives et les nouveaux titres de règlement qui </w:t>
      </w:r>
      <w:r w:rsidR="00CF3F1F">
        <w:rPr>
          <w:lang w:val="fr-CA"/>
        </w:rPr>
        <w:t>introduisent ces</w:t>
      </w:r>
      <w:r>
        <w:rPr>
          <w:lang w:val="fr-CA"/>
        </w:rPr>
        <w:t xml:space="preserve"> exigence</w:t>
      </w:r>
      <w:r w:rsidRPr="00FA558D">
        <w:rPr>
          <w:lang w:val="fr-CA"/>
        </w:rPr>
        <w:t xml:space="preserve">s. </w:t>
      </w:r>
    </w:p>
    <w:p w:rsidRPr="00FA558D" w:rsidR="00B91619" w:rsidP="00B91619" w:rsidRDefault="00B91619" w14:paraId="39AB54B4" w14:textId="77777777">
      <w:pPr>
        <w:tabs>
          <w:tab w:val="left" w:pos="9356"/>
        </w:tabs>
        <w:spacing w:after="0" w:line="240" w:lineRule="auto"/>
        <w:rPr>
          <w:lang w:val="fr-CA"/>
        </w:rPr>
      </w:pPr>
    </w:p>
    <w:p w:rsidRPr="00FA558D" w:rsidR="00B91619" w:rsidP="00B91619" w:rsidRDefault="00B91619" w14:paraId="7CDD5E6B" w14:textId="75F32E7E">
      <w:pPr>
        <w:tabs>
          <w:tab w:val="left" w:pos="9356"/>
        </w:tabs>
        <w:spacing w:after="0" w:line="240" w:lineRule="auto"/>
        <w:rPr>
          <w:lang w:val="fr-CA"/>
        </w:rPr>
      </w:pPr>
      <w:r>
        <w:rPr>
          <w:lang w:val="fr-CA"/>
        </w:rPr>
        <w:t>Par exemp</w:t>
      </w:r>
      <w:r w:rsidRPr="00FA558D">
        <w:rPr>
          <w:lang w:val="fr-CA"/>
        </w:rPr>
        <w:t xml:space="preserve">le, </w:t>
      </w:r>
      <w:r>
        <w:rPr>
          <w:lang w:val="fr-CA"/>
        </w:rPr>
        <w:t>Environnement et Changement climatique Canada p</w:t>
      </w:r>
      <w:r w:rsidR="00E01C3C">
        <w:rPr>
          <w:lang w:val="fr-CA"/>
        </w:rPr>
        <w:t>eut</w:t>
      </w:r>
      <w:r>
        <w:rPr>
          <w:lang w:val="fr-CA"/>
        </w:rPr>
        <w:t xml:space="preserve"> </w:t>
      </w:r>
      <w:r w:rsidR="002D17F6">
        <w:rPr>
          <w:lang w:val="fr-CA"/>
        </w:rPr>
        <w:t>demander</w:t>
      </w:r>
      <w:r>
        <w:rPr>
          <w:lang w:val="fr-CA"/>
        </w:rPr>
        <w:t xml:space="preserve"> </w:t>
      </w:r>
      <w:r w:rsidR="00E01C3C">
        <w:rPr>
          <w:lang w:val="fr-CA"/>
        </w:rPr>
        <w:t>a</w:t>
      </w:r>
      <w:r>
        <w:rPr>
          <w:lang w:val="fr-CA"/>
        </w:rPr>
        <w:t xml:space="preserve">u gouverneur en conseil </w:t>
      </w:r>
      <w:r w:rsidR="00E01C3C">
        <w:rPr>
          <w:lang w:val="fr-CA"/>
        </w:rPr>
        <w:t>l’autorisation d’</w:t>
      </w:r>
      <w:r>
        <w:rPr>
          <w:lang w:val="fr-CA"/>
        </w:rPr>
        <w:t>ajouter une substance à l’</w:t>
      </w:r>
      <w:r w:rsidR="002D17F6">
        <w:rPr>
          <w:lang w:val="fr-CA"/>
        </w:rPr>
        <w:t>a</w:t>
      </w:r>
      <w:r>
        <w:rPr>
          <w:lang w:val="fr-CA"/>
        </w:rPr>
        <w:t>nnexe </w:t>
      </w:r>
      <w:r w:rsidRPr="00FA558D">
        <w:rPr>
          <w:lang w:val="fr-CA"/>
        </w:rPr>
        <w:t>1</w:t>
      </w:r>
      <w:r>
        <w:rPr>
          <w:lang w:val="fr-CA"/>
        </w:rPr>
        <w:t xml:space="preserve"> de la </w:t>
      </w:r>
      <w:r w:rsidRPr="00CD19E6">
        <w:rPr>
          <w:i/>
          <w:iCs/>
          <w:lang w:val="fr-CA"/>
        </w:rPr>
        <w:t>Loi canadienne sur la protection de l’environnement</w:t>
      </w:r>
      <w:r w:rsidRPr="008C5FFA">
        <w:rPr>
          <w:lang w:val="fr-CA"/>
        </w:rPr>
        <w:t xml:space="preserve"> (1999)</w:t>
      </w:r>
      <w:r w:rsidRPr="00FA558D">
        <w:rPr>
          <w:lang w:val="fr-CA"/>
        </w:rPr>
        <w:t xml:space="preserve">. </w:t>
      </w:r>
      <w:r>
        <w:rPr>
          <w:lang w:val="fr-CA"/>
        </w:rPr>
        <w:t>L’ajout d’une substance</w:t>
      </w:r>
      <w:r w:rsidRPr="00FA558D">
        <w:rPr>
          <w:lang w:val="fr-CA"/>
        </w:rPr>
        <w:t xml:space="preserve"> </w:t>
      </w:r>
      <w:r>
        <w:rPr>
          <w:lang w:val="fr-CA"/>
        </w:rPr>
        <w:t>à la</w:t>
      </w:r>
      <w:r w:rsidR="002D17F6">
        <w:rPr>
          <w:lang w:val="fr-CA"/>
        </w:rPr>
        <w:t xml:space="preserve"> l</w:t>
      </w:r>
      <w:r>
        <w:rPr>
          <w:lang w:val="fr-CA"/>
        </w:rPr>
        <w:t xml:space="preserve">oi n’impose pas </w:t>
      </w:r>
      <w:r w:rsidR="00255464">
        <w:rPr>
          <w:lang w:val="fr-CA"/>
        </w:rPr>
        <w:t xml:space="preserve">un </w:t>
      </w:r>
      <w:r>
        <w:rPr>
          <w:lang w:val="fr-CA"/>
        </w:rPr>
        <w:t>nouveau fardeau administratif aux entreprises, puisqu</w:t>
      </w:r>
      <w:r w:rsidR="00E01C3C">
        <w:rPr>
          <w:lang w:val="fr-CA"/>
        </w:rPr>
        <w:t>’il</w:t>
      </w:r>
      <w:r>
        <w:rPr>
          <w:lang w:val="fr-CA"/>
        </w:rPr>
        <w:t xml:space="preserve"> </w:t>
      </w:r>
      <w:r w:rsidR="002D17F6">
        <w:rPr>
          <w:lang w:val="fr-CA"/>
        </w:rPr>
        <w:t>permet seulement au</w:t>
      </w:r>
      <w:r>
        <w:rPr>
          <w:lang w:val="fr-CA"/>
        </w:rPr>
        <w:t xml:space="preserve"> ministre </w:t>
      </w:r>
      <w:r w:rsidR="002D17F6">
        <w:rPr>
          <w:lang w:val="fr-CA"/>
        </w:rPr>
        <w:t xml:space="preserve">de </w:t>
      </w:r>
      <w:r>
        <w:rPr>
          <w:lang w:val="fr-CA"/>
        </w:rPr>
        <w:t xml:space="preserve">prendre des mesures complémentaires pour gérer les risques liés à la substance. Si </w:t>
      </w:r>
      <w:r w:rsidR="00E01C3C">
        <w:rPr>
          <w:lang w:val="fr-CA"/>
        </w:rPr>
        <w:t xml:space="preserve">une </w:t>
      </w:r>
      <w:r>
        <w:rPr>
          <w:lang w:val="fr-CA"/>
        </w:rPr>
        <w:t>autre mesure entraîn</w:t>
      </w:r>
      <w:r w:rsidR="00E01C3C">
        <w:rPr>
          <w:lang w:val="fr-CA"/>
        </w:rPr>
        <w:t>e</w:t>
      </w:r>
      <w:r>
        <w:rPr>
          <w:lang w:val="fr-CA"/>
        </w:rPr>
        <w:t xml:space="preserve"> une modification réglementaire, la règle du « un pour un »</w:t>
      </w:r>
      <w:r w:rsidRPr="00FA558D">
        <w:rPr>
          <w:lang w:val="fr-CA"/>
        </w:rPr>
        <w:t xml:space="preserve"> </w:t>
      </w:r>
      <w:r>
        <w:rPr>
          <w:lang w:val="fr-CA"/>
        </w:rPr>
        <w:t>s’applique</w:t>
      </w:r>
      <w:r w:rsidRPr="00FA558D">
        <w:rPr>
          <w:lang w:val="fr-CA"/>
        </w:rPr>
        <w:t xml:space="preserve"> </w:t>
      </w:r>
      <w:r>
        <w:rPr>
          <w:lang w:val="fr-CA"/>
        </w:rPr>
        <w:t xml:space="preserve">si </w:t>
      </w:r>
      <w:r w:rsidR="00E01C3C">
        <w:rPr>
          <w:lang w:val="fr-CA"/>
        </w:rPr>
        <w:t>cette mesure entraîne des</w:t>
      </w:r>
      <w:r>
        <w:rPr>
          <w:lang w:val="fr-CA"/>
        </w:rPr>
        <w:t xml:space="preserve"> coûts </w:t>
      </w:r>
      <w:r w:rsidR="002D17F6">
        <w:rPr>
          <w:lang w:val="fr-CA"/>
        </w:rPr>
        <w:t xml:space="preserve">supplémentaires </w:t>
      </w:r>
      <w:r>
        <w:rPr>
          <w:lang w:val="fr-CA"/>
        </w:rPr>
        <w:t xml:space="preserve">liés au fardeau administratif </w:t>
      </w:r>
      <w:r w:rsidR="0052311F">
        <w:rPr>
          <w:lang w:val="fr-CA"/>
        </w:rPr>
        <w:t>imposé aux</w:t>
      </w:r>
      <w:r>
        <w:rPr>
          <w:lang w:val="fr-CA"/>
        </w:rPr>
        <w:t xml:space="preserve"> entreprises</w:t>
      </w:r>
      <w:r w:rsidRPr="00FA558D">
        <w:rPr>
          <w:lang w:val="fr-CA"/>
        </w:rPr>
        <w:t>.</w:t>
      </w:r>
    </w:p>
    <w:p w:rsidRPr="00FA558D" w:rsidR="00B91619" w:rsidP="00B91619" w:rsidRDefault="00B91619" w14:paraId="537C37B0" w14:textId="77777777">
      <w:pPr>
        <w:pStyle w:val="ListParagraph"/>
        <w:tabs>
          <w:tab w:val="left" w:pos="9356"/>
        </w:tabs>
        <w:spacing w:after="0" w:line="240" w:lineRule="auto"/>
        <w:ind w:left="0"/>
        <w:rPr>
          <w:lang w:val="fr-CA"/>
        </w:rPr>
      </w:pPr>
    </w:p>
    <w:p w:rsidRPr="00FA558D" w:rsidR="00B91619" w:rsidP="00B91619" w:rsidRDefault="00040692" w14:paraId="5F714EB3" w14:textId="7DAC641D">
      <w:pPr>
        <w:tabs>
          <w:tab w:val="left" w:pos="9356"/>
        </w:tabs>
        <w:spacing w:after="0" w:line="240" w:lineRule="auto"/>
        <w:rPr>
          <w:lang w:val="fr-CA"/>
        </w:rPr>
      </w:pPr>
      <w:r w:rsidRPr="00CD19E6">
        <w:rPr>
          <w:lang w:val="fr-CA"/>
        </w:rPr>
        <w:t xml:space="preserve">Les modifications apportées aux annexes qui </w:t>
      </w:r>
      <w:r>
        <w:rPr>
          <w:lang w:val="fr-CA"/>
        </w:rPr>
        <w:t>ont pour effet de permettre à</w:t>
      </w:r>
      <w:r w:rsidRPr="00CD19E6">
        <w:rPr>
          <w:lang w:val="fr-CA"/>
        </w:rPr>
        <w:t xml:space="preserve"> une entreprise </w:t>
      </w:r>
      <w:r>
        <w:rPr>
          <w:lang w:val="fr-CA"/>
        </w:rPr>
        <w:t>d’a</w:t>
      </w:r>
      <w:r w:rsidRPr="00CD19E6">
        <w:rPr>
          <w:lang w:val="fr-CA"/>
        </w:rPr>
        <w:t xml:space="preserve">dhérer à un régime de réglementation en vigueur </w:t>
      </w:r>
      <w:r>
        <w:rPr>
          <w:lang w:val="fr-CA"/>
        </w:rPr>
        <w:t>ne donnent pas lieu à l’application de la</w:t>
      </w:r>
      <w:r w:rsidRPr="00040692" w:rsidR="00B91619">
        <w:rPr>
          <w:lang w:val="fr-CA"/>
        </w:rPr>
        <w:t xml:space="preserve"> règle. Dans </w:t>
      </w:r>
      <w:r>
        <w:rPr>
          <w:lang w:val="fr-CA"/>
        </w:rPr>
        <w:t>ce scénario</w:t>
      </w:r>
      <w:r w:rsidRPr="00040692" w:rsidR="00B91619">
        <w:rPr>
          <w:lang w:val="fr-CA"/>
        </w:rPr>
        <w:t xml:space="preserve">, le nombre de parties réglementées </w:t>
      </w:r>
      <w:r>
        <w:rPr>
          <w:lang w:val="fr-CA"/>
        </w:rPr>
        <w:t>change</w:t>
      </w:r>
      <w:r w:rsidRPr="00040692" w:rsidR="00B91619">
        <w:rPr>
          <w:lang w:val="fr-CA"/>
        </w:rPr>
        <w:t xml:space="preserve">, </w:t>
      </w:r>
      <w:r w:rsidRPr="00040692" w:rsidR="00B028FC">
        <w:rPr>
          <w:lang w:val="fr-CA"/>
        </w:rPr>
        <w:t>mais pas</w:t>
      </w:r>
      <w:r w:rsidRPr="00040692" w:rsidR="00B91619">
        <w:rPr>
          <w:lang w:val="fr-CA"/>
        </w:rPr>
        <w:t xml:space="preserve"> la portée de l’activité </w:t>
      </w:r>
      <w:r w:rsidRPr="00040692" w:rsidR="00B028FC">
        <w:rPr>
          <w:lang w:val="fr-CA"/>
        </w:rPr>
        <w:t>de réglementation</w:t>
      </w:r>
      <w:r w:rsidRPr="00040692" w:rsidR="00B91619">
        <w:rPr>
          <w:lang w:val="fr-CA"/>
        </w:rPr>
        <w:t xml:space="preserve">. Même si la population constitue un facteur à </w:t>
      </w:r>
      <w:r w:rsidRPr="00040692" w:rsidR="00B028FC">
        <w:rPr>
          <w:lang w:val="fr-CA"/>
        </w:rPr>
        <w:t xml:space="preserve">prendre en compte </w:t>
      </w:r>
      <w:r w:rsidRPr="00040692" w:rsidR="00B91619">
        <w:rPr>
          <w:lang w:val="fr-CA"/>
        </w:rPr>
        <w:t>dans le M</w:t>
      </w:r>
      <w:r>
        <w:rPr>
          <w:lang w:val="fr-CA"/>
        </w:rPr>
        <w:t>odèle</w:t>
      </w:r>
      <w:r w:rsidRPr="00040692" w:rsidR="00B91619">
        <w:rPr>
          <w:lang w:val="fr-CA"/>
        </w:rPr>
        <w:t xml:space="preserve"> des coûts standard, si l</w:t>
      </w:r>
      <w:r w:rsidR="004822C9">
        <w:rPr>
          <w:lang w:val="fr-CA"/>
        </w:rPr>
        <w:t>e champ d’application</w:t>
      </w:r>
      <w:r w:rsidRPr="00040692" w:rsidR="00B91619">
        <w:rPr>
          <w:lang w:val="fr-CA"/>
        </w:rPr>
        <w:t xml:space="preserve"> du règlement demeure inchangé et les estimations du fardeau ne sont pas révisées, l’ajout d’une entreprise à une annexe </w:t>
      </w:r>
      <w:r w:rsidRPr="00040692" w:rsidR="007804CD">
        <w:rPr>
          <w:lang w:val="fr-CA"/>
        </w:rPr>
        <w:t>n’entraîne</w:t>
      </w:r>
      <w:r w:rsidRPr="00040692" w:rsidR="00B91619">
        <w:rPr>
          <w:lang w:val="fr-CA"/>
        </w:rPr>
        <w:t xml:space="preserve"> pas </w:t>
      </w:r>
      <w:r w:rsidRPr="00040692" w:rsidR="00B028FC">
        <w:rPr>
          <w:lang w:val="fr-CA"/>
        </w:rPr>
        <w:t xml:space="preserve">l’application de </w:t>
      </w:r>
      <w:r w:rsidRPr="00040692" w:rsidR="00B91619">
        <w:rPr>
          <w:lang w:val="fr-CA"/>
        </w:rPr>
        <w:t>la règle.</w:t>
      </w:r>
      <w:r w:rsidRPr="00FA558D" w:rsidR="00B91619">
        <w:rPr>
          <w:lang w:val="fr-CA"/>
        </w:rPr>
        <w:t xml:space="preserve"> </w:t>
      </w:r>
    </w:p>
    <w:p w:rsidRPr="00FA558D" w:rsidR="00B91619" w:rsidP="00B91619" w:rsidRDefault="00B91619" w14:paraId="18E51B39" w14:textId="77777777">
      <w:pPr>
        <w:tabs>
          <w:tab w:val="left" w:pos="9356"/>
        </w:tabs>
        <w:spacing w:after="0" w:line="240" w:lineRule="auto"/>
        <w:rPr>
          <w:lang w:val="fr-CA"/>
        </w:rPr>
      </w:pPr>
    </w:p>
    <w:p w:rsidRPr="00FA558D" w:rsidR="00B91619" w:rsidP="00B91619" w:rsidRDefault="00B91619" w14:paraId="2852064B" w14:textId="1ACC51CD">
      <w:pPr>
        <w:tabs>
          <w:tab w:val="left" w:pos="9356"/>
        </w:tabs>
        <w:spacing w:after="0" w:line="240" w:lineRule="auto"/>
        <w:rPr>
          <w:lang w:val="fr-CA"/>
        </w:rPr>
      </w:pPr>
      <w:r w:rsidRPr="00732E61">
        <w:rPr>
          <w:lang w:val="fr-CA"/>
        </w:rPr>
        <w:t>Par exemple, si une entreprise devient une banque, il faut modifier l’</w:t>
      </w:r>
      <w:r w:rsidRPr="00732E61" w:rsidR="004F720D">
        <w:rPr>
          <w:lang w:val="fr-CA"/>
        </w:rPr>
        <w:t>a</w:t>
      </w:r>
      <w:r w:rsidRPr="00732E61">
        <w:rPr>
          <w:lang w:val="fr-CA"/>
        </w:rPr>
        <w:t xml:space="preserve">nnexe 1 de la </w:t>
      </w:r>
      <w:r w:rsidRPr="00CD19E6">
        <w:rPr>
          <w:i/>
          <w:iCs/>
          <w:lang w:val="fr-CA"/>
        </w:rPr>
        <w:t>Loi sur les banques</w:t>
      </w:r>
      <w:r w:rsidRPr="00732E61">
        <w:rPr>
          <w:lang w:val="fr-CA"/>
        </w:rPr>
        <w:t xml:space="preserve"> pour y ajouter cette entreprise. Toutefois, la règle du « un pour un » ne s’applique pas, car aucun</w:t>
      </w:r>
      <w:r w:rsidRPr="00732E61" w:rsidR="007804CD">
        <w:rPr>
          <w:lang w:val="fr-CA"/>
        </w:rPr>
        <w:t>e</w:t>
      </w:r>
      <w:r w:rsidRPr="00732E61">
        <w:rPr>
          <w:lang w:val="fr-CA"/>
        </w:rPr>
        <w:t xml:space="preserve"> </w:t>
      </w:r>
      <w:r w:rsidRPr="00732E61" w:rsidR="007804CD">
        <w:rPr>
          <w:lang w:val="fr-CA"/>
        </w:rPr>
        <w:t xml:space="preserve">modification </w:t>
      </w:r>
      <w:r w:rsidRPr="00732E61">
        <w:rPr>
          <w:lang w:val="fr-CA"/>
        </w:rPr>
        <w:t>n’a été apporté</w:t>
      </w:r>
      <w:r w:rsidRPr="00732E61" w:rsidR="007804CD">
        <w:rPr>
          <w:lang w:val="fr-CA"/>
        </w:rPr>
        <w:t>e</w:t>
      </w:r>
      <w:r w:rsidRPr="00732E61">
        <w:rPr>
          <w:lang w:val="fr-CA"/>
        </w:rPr>
        <w:t xml:space="preserve"> aux exigences réglementaires, et que seule une nouvelle entité</w:t>
      </w:r>
      <w:r w:rsidR="00732E61">
        <w:rPr>
          <w:lang w:val="fr-CA"/>
        </w:rPr>
        <w:t xml:space="preserve"> a été ajoutée </w:t>
      </w:r>
      <w:r w:rsidRPr="00732E61">
        <w:rPr>
          <w:lang w:val="fr-CA"/>
        </w:rPr>
        <w:t xml:space="preserve">au régime réglementaire </w:t>
      </w:r>
      <w:r w:rsidR="00732E61">
        <w:rPr>
          <w:lang w:val="fr-CA"/>
        </w:rPr>
        <w:t>en vigueur</w:t>
      </w:r>
      <w:r w:rsidRPr="00732E61">
        <w:rPr>
          <w:lang w:val="fr-CA"/>
        </w:rPr>
        <w:t>.</w:t>
      </w:r>
      <w:r w:rsidRPr="00FA558D">
        <w:rPr>
          <w:lang w:val="fr-CA"/>
        </w:rPr>
        <w:t xml:space="preserve"> </w:t>
      </w:r>
    </w:p>
    <w:p w:rsidRPr="00FA558D" w:rsidR="00B91619" w:rsidP="00B91619" w:rsidRDefault="00B91619" w14:paraId="6DC821A4" w14:textId="77777777">
      <w:pPr>
        <w:pStyle w:val="ListParagraph"/>
        <w:tabs>
          <w:tab w:val="left" w:pos="9356"/>
        </w:tabs>
        <w:spacing w:after="0" w:line="240" w:lineRule="auto"/>
        <w:ind w:left="0"/>
        <w:rPr>
          <w:lang w:val="fr-CA"/>
        </w:rPr>
      </w:pPr>
    </w:p>
    <w:p w:rsidRPr="00FA558D" w:rsidR="00B91619" w:rsidP="00B91619" w:rsidRDefault="00B91619" w14:paraId="31BF8BD6" w14:textId="1182EAAF">
      <w:pPr>
        <w:tabs>
          <w:tab w:val="left" w:pos="9356"/>
        </w:tabs>
        <w:spacing w:after="0" w:line="240" w:lineRule="auto"/>
        <w:rPr>
          <w:lang w:val="fr-CA"/>
        </w:rPr>
      </w:pPr>
      <w:r>
        <w:rPr>
          <w:lang w:val="fr-CA"/>
        </w:rPr>
        <w:t>Toutefois</w:t>
      </w:r>
      <w:r w:rsidRPr="00FA558D">
        <w:rPr>
          <w:lang w:val="fr-CA"/>
        </w:rPr>
        <w:t xml:space="preserve">, </w:t>
      </w:r>
      <w:r>
        <w:rPr>
          <w:lang w:val="fr-CA"/>
        </w:rPr>
        <w:t>la règle du « un pour un »</w:t>
      </w:r>
      <w:r w:rsidRPr="00FA558D">
        <w:rPr>
          <w:lang w:val="fr-CA"/>
        </w:rPr>
        <w:t xml:space="preserve"> </w:t>
      </w:r>
      <w:r w:rsidR="00732E61">
        <w:rPr>
          <w:lang w:val="fr-CA"/>
        </w:rPr>
        <w:t>s’applique</w:t>
      </w:r>
      <w:r w:rsidR="004F720D">
        <w:rPr>
          <w:lang w:val="fr-CA"/>
        </w:rPr>
        <w:t xml:space="preserve"> </w:t>
      </w:r>
      <w:r>
        <w:rPr>
          <w:lang w:val="fr-CA"/>
        </w:rPr>
        <w:t>si une modification réglementaire</w:t>
      </w:r>
      <w:r w:rsidRPr="00FA558D">
        <w:rPr>
          <w:lang w:val="fr-CA"/>
        </w:rPr>
        <w:t xml:space="preserve"> </w:t>
      </w:r>
      <w:r>
        <w:rPr>
          <w:lang w:val="fr-CA"/>
        </w:rPr>
        <w:t>apportée à une annexe</w:t>
      </w:r>
      <w:r w:rsidRPr="00FA558D">
        <w:rPr>
          <w:lang w:val="fr-CA"/>
        </w:rPr>
        <w:t xml:space="preserve"> </w:t>
      </w:r>
      <w:r w:rsidR="00732E61">
        <w:rPr>
          <w:lang w:val="fr-CA"/>
        </w:rPr>
        <w:t>a pour effet d’</w:t>
      </w:r>
      <w:r>
        <w:rPr>
          <w:lang w:val="fr-CA"/>
        </w:rPr>
        <w:t>impose</w:t>
      </w:r>
      <w:r w:rsidR="00732E61">
        <w:rPr>
          <w:lang w:val="fr-CA"/>
        </w:rPr>
        <w:t>r</w:t>
      </w:r>
      <w:r w:rsidRPr="00FA558D">
        <w:rPr>
          <w:lang w:val="fr-CA"/>
        </w:rPr>
        <w:t xml:space="preserve"> </w:t>
      </w:r>
      <w:r>
        <w:rPr>
          <w:lang w:val="fr-CA"/>
        </w:rPr>
        <w:t>de nouvelles exigences administratives</w:t>
      </w:r>
      <w:r w:rsidRPr="00FA558D">
        <w:rPr>
          <w:lang w:val="fr-CA"/>
        </w:rPr>
        <w:t xml:space="preserve"> </w:t>
      </w:r>
      <w:r>
        <w:rPr>
          <w:lang w:val="fr-CA"/>
        </w:rPr>
        <w:t>à des entreprises</w:t>
      </w:r>
      <w:r w:rsidRPr="00FA558D">
        <w:rPr>
          <w:lang w:val="fr-CA"/>
        </w:rPr>
        <w:t xml:space="preserve"> </w:t>
      </w:r>
      <w:r>
        <w:rPr>
          <w:lang w:val="fr-CA"/>
        </w:rPr>
        <w:t>en élargissant l</w:t>
      </w:r>
      <w:r w:rsidR="004822C9">
        <w:rPr>
          <w:lang w:val="fr-CA"/>
        </w:rPr>
        <w:t>e champ d’application</w:t>
      </w:r>
      <w:r>
        <w:rPr>
          <w:lang w:val="fr-CA"/>
        </w:rPr>
        <w:t xml:space="preserve"> du règlement</w:t>
      </w:r>
      <w:r w:rsidRPr="00FA558D">
        <w:rPr>
          <w:lang w:val="fr-CA"/>
        </w:rPr>
        <w:t xml:space="preserve">. </w:t>
      </w:r>
    </w:p>
    <w:p w:rsidRPr="00FA558D" w:rsidR="00B91619" w:rsidP="00B91619" w:rsidRDefault="00B91619" w14:paraId="1C6462F1" w14:textId="77777777">
      <w:pPr>
        <w:tabs>
          <w:tab w:val="left" w:pos="9356"/>
        </w:tabs>
        <w:spacing w:after="0" w:line="240" w:lineRule="auto"/>
        <w:rPr>
          <w:lang w:val="fr-CA"/>
        </w:rPr>
      </w:pPr>
    </w:p>
    <w:p w:rsidRPr="00FA558D" w:rsidR="00B91619" w:rsidP="00B91619" w:rsidRDefault="00B91619" w14:paraId="523474FE" w14:textId="0E5113F7">
      <w:pPr>
        <w:tabs>
          <w:tab w:val="left" w:pos="9356"/>
        </w:tabs>
        <w:spacing w:after="0" w:line="240" w:lineRule="auto"/>
        <w:rPr>
          <w:lang w:val="fr-CA"/>
        </w:rPr>
      </w:pPr>
      <w:r w:rsidRPr="00DA66E6">
        <w:rPr>
          <w:lang w:val="fr-CA"/>
        </w:rPr>
        <w:t>Par exemple, l’établissement d’un nouveau parc national entraîne une modification réglementaire pour ajouter une nouvelle masse terrestre à l’</w:t>
      </w:r>
      <w:r w:rsidRPr="00DA66E6" w:rsidR="004F720D">
        <w:rPr>
          <w:lang w:val="fr-CA"/>
        </w:rPr>
        <w:t>a</w:t>
      </w:r>
      <w:r w:rsidRPr="00DA66E6">
        <w:rPr>
          <w:lang w:val="fr-CA"/>
        </w:rPr>
        <w:t xml:space="preserve">nnexe 1 de la </w:t>
      </w:r>
      <w:r w:rsidRPr="005B6C29">
        <w:rPr>
          <w:i/>
          <w:iCs/>
          <w:lang w:val="fr-CA"/>
        </w:rPr>
        <w:t>Loi sur les parcs nationaux du Canada</w:t>
      </w:r>
      <w:r w:rsidRPr="00DA66E6">
        <w:rPr>
          <w:lang w:val="fr-CA"/>
        </w:rPr>
        <w:t>. Dans un tel cas, l</w:t>
      </w:r>
      <w:r w:rsidRPr="00DA66E6" w:rsidR="00330D02">
        <w:rPr>
          <w:lang w:val="fr-CA"/>
        </w:rPr>
        <w:t>e champ d’application</w:t>
      </w:r>
      <w:r w:rsidRPr="00DA66E6">
        <w:rPr>
          <w:lang w:val="fr-CA"/>
        </w:rPr>
        <w:t xml:space="preserve"> du règlement est élargi, et de nouvelles exigences réglementaires s’appliquent aux entreprises qui </w:t>
      </w:r>
      <w:r w:rsidRPr="00DA66E6" w:rsidR="004F720D">
        <w:rPr>
          <w:lang w:val="fr-CA"/>
        </w:rPr>
        <w:t>mènent ou qui souhaitent mener des activités</w:t>
      </w:r>
      <w:r w:rsidRPr="00DA66E6">
        <w:rPr>
          <w:lang w:val="fr-CA"/>
        </w:rPr>
        <w:t xml:space="preserve"> dans le nouveau parc. La règle du « un pour un » s</w:t>
      </w:r>
      <w:r w:rsidRPr="00DA66E6" w:rsidR="00B555B0">
        <w:rPr>
          <w:lang w:val="fr-CA"/>
        </w:rPr>
        <w:t>’appliquerait</w:t>
      </w:r>
      <w:r w:rsidRPr="00DA66E6">
        <w:rPr>
          <w:lang w:val="fr-CA"/>
        </w:rPr>
        <w:t xml:space="preserve"> puisque la modification réglementaire </w:t>
      </w:r>
      <w:r w:rsidRPr="00DA66E6" w:rsidR="00B555B0">
        <w:rPr>
          <w:lang w:val="fr-CA"/>
        </w:rPr>
        <w:t>aurait pour effet d’im</w:t>
      </w:r>
      <w:r w:rsidRPr="00DA66E6">
        <w:rPr>
          <w:lang w:val="fr-CA"/>
        </w:rPr>
        <w:t xml:space="preserve">poser de nouvelles exigences administratives qui n’existaient pas auparavant, ce qui </w:t>
      </w:r>
      <w:r w:rsidRPr="00DA66E6" w:rsidR="004F720D">
        <w:rPr>
          <w:lang w:val="fr-CA"/>
        </w:rPr>
        <w:t>constitue</w:t>
      </w:r>
      <w:r w:rsidRPr="00DA66E6">
        <w:rPr>
          <w:lang w:val="fr-CA"/>
        </w:rPr>
        <w:t xml:space="preserve"> </w:t>
      </w:r>
      <w:r w:rsidRPr="00DA66E6" w:rsidR="00B555B0">
        <w:rPr>
          <w:lang w:val="fr-CA"/>
        </w:rPr>
        <w:t xml:space="preserve">un </w:t>
      </w:r>
      <w:r w:rsidRPr="00DA66E6">
        <w:rPr>
          <w:lang w:val="fr-CA"/>
        </w:rPr>
        <w:t xml:space="preserve">fardeau administratif </w:t>
      </w:r>
      <w:r w:rsidRPr="00DA66E6" w:rsidR="004F720D">
        <w:rPr>
          <w:lang w:val="fr-CA"/>
        </w:rPr>
        <w:t>supplémentaire</w:t>
      </w:r>
      <w:r w:rsidRPr="00DA66E6">
        <w:rPr>
          <w:lang w:val="fr-CA"/>
        </w:rPr>
        <w:t>.</w:t>
      </w:r>
    </w:p>
    <w:p w:rsidRPr="00FA558D" w:rsidR="00B91619" w:rsidP="00B91619" w:rsidRDefault="00B91619" w14:paraId="41790C04" w14:textId="77777777">
      <w:pPr>
        <w:tabs>
          <w:tab w:val="left" w:pos="9356"/>
        </w:tabs>
        <w:spacing w:after="0" w:line="240" w:lineRule="auto"/>
        <w:rPr>
          <w:lang w:val="fr-CA"/>
        </w:rPr>
      </w:pPr>
    </w:p>
    <w:p w:rsidRPr="00FA558D" w:rsidR="00B91619" w:rsidP="00B91619" w:rsidRDefault="00B91619" w14:paraId="5BCEC3D4" w14:textId="499FB076">
      <w:pPr>
        <w:tabs>
          <w:tab w:val="left" w:pos="9356"/>
        </w:tabs>
        <w:spacing w:after="0" w:line="240" w:lineRule="auto"/>
        <w:rPr>
          <w:lang w:val="fr-CA"/>
        </w:rPr>
      </w:pPr>
      <w:r>
        <w:rPr>
          <w:lang w:val="fr-CA"/>
        </w:rPr>
        <w:t>En somme</w:t>
      </w:r>
      <w:r w:rsidRPr="00FA558D">
        <w:rPr>
          <w:lang w:val="fr-CA"/>
        </w:rPr>
        <w:t xml:space="preserve">, </w:t>
      </w:r>
      <w:r>
        <w:rPr>
          <w:lang w:val="fr-CA"/>
        </w:rPr>
        <w:t>la modification d’une annexe</w:t>
      </w:r>
      <w:r w:rsidRPr="00FA558D">
        <w:rPr>
          <w:lang w:val="fr-CA"/>
        </w:rPr>
        <w:t xml:space="preserve"> </w:t>
      </w:r>
      <w:r w:rsidR="007804CD">
        <w:rPr>
          <w:lang w:val="fr-CA"/>
        </w:rPr>
        <w:t>n’entraîne</w:t>
      </w:r>
      <w:r>
        <w:rPr>
          <w:lang w:val="fr-CA"/>
        </w:rPr>
        <w:t xml:space="preserve"> pas </w:t>
      </w:r>
      <w:r w:rsidRPr="00FA558D">
        <w:rPr>
          <w:lang w:val="fr-CA"/>
        </w:rPr>
        <w:t>automati</w:t>
      </w:r>
      <w:r>
        <w:rPr>
          <w:lang w:val="fr-CA"/>
        </w:rPr>
        <w:t>quement</w:t>
      </w:r>
      <w:r w:rsidRPr="00FA558D">
        <w:rPr>
          <w:lang w:val="fr-CA"/>
        </w:rPr>
        <w:t xml:space="preserve"> </w:t>
      </w:r>
      <w:r w:rsidR="00637594">
        <w:rPr>
          <w:lang w:val="fr-CA"/>
        </w:rPr>
        <w:t xml:space="preserve">l’application de </w:t>
      </w:r>
      <w:r>
        <w:rPr>
          <w:lang w:val="fr-CA"/>
        </w:rPr>
        <w:t>la règle du « un pour un »</w:t>
      </w:r>
      <w:r w:rsidRPr="00FA558D">
        <w:rPr>
          <w:lang w:val="fr-CA"/>
        </w:rPr>
        <w:t>.</w:t>
      </w:r>
      <w:r>
        <w:rPr>
          <w:lang w:val="fr-CA"/>
        </w:rPr>
        <w:t xml:space="preserve"> Il faut aussi établir :</w:t>
      </w:r>
    </w:p>
    <w:p w:rsidRPr="00FA558D" w:rsidR="00B91619" w:rsidP="00B91619" w:rsidRDefault="00B91619" w14:paraId="263B75B5" w14:textId="4969C82C">
      <w:pPr>
        <w:pStyle w:val="ListParagraph"/>
        <w:numPr>
          <w:ilvl w:val="0"/>
          <w:numId w:val="18"/>
        </w:numPr>
        <w:tabs>
          <w:tab w:val="left" w:pos="9356"/>
        </w:tabs>
        <w:spacing w:after="0" w:line="240" w:lineRule="auto"/>
        <w:rPr>
          <w:lang w:val="fr-CA"/>
        </w:rPr>
      </w:pPr>
      <w:proofErr w:type="gramStart"/>
      <w:r>
        <w:rPr>
          <w:lang w:val="fr-CA"/>
        </w:rPr>
        <w:t>si</w:t>
      </w:r>
      <w:proofErr w:type="gramEnd"/>
      <w:r w:rsidRPr="00FA558D">
        <w:rPr>
          <w:lang w:val="fr-CA"/>
        </w:rPr>
        <w:t xml:space="preserve"> </w:t>
      </w:r>
      <w:r>
        <w:rPr>
          <w:lang w:val="fr-CA"/>
        </w:rPr>
        <w:t>la modification</w:t>
      </w:r>
      <w:r w:rsidRPr="00FA558D">
        <w:rPr>
          <w:lang w:val="fr-CA"/>
        </w:rPr>
        <w:t xml:space="preserve"> </w:t>
      </w:r>
      <w:r>
        <w:rPr>
          <w:lang w:val="fr-CA"/>
        </w:rPr>
        <w:t xml:space="preserve">augmente ou </w:t>
      </w:r>
      <w:r w:rsidR="00953EC4">
        <w:rPr>
          <w:lang w:val="fr-CA"/>
        </w:rPr>
        <w:t>réduit</w:t>
      </w:r>
      <w:r>
        <w:rPr>
          <w:lang w:val="fr-CA"/>
        </w:rPr>
        <w:t xml:space="preserve"> le fardeau </w:t>
      </w:r>
      <w:r w:rsidR="0052311F">
        <w:rPr>
          <w:lang w:val="fr-CA"/>
        </w:rPr>
        <w:t>imposé aux</w:t>
      </w:r>
      <w:r>
        <w:rPr>
          <w:lang w:val="fr-CA"/>
        </w:rPr>
        <w:t xml:space="preserve"> entreprises;</w:t>
      </w:r>
    </w:p>
    <w:p w:rsidRPr="00FA558D" w:rsidR="00B91619" w:rsidP="00B91619" w:rsidRDefault="00B91619" w14:paraId="521F647D" w14:textId="522FB755">
      <w:pPr>
        <w:pStyle w:val="ListParagraph"/>
        <w:numPr>
          <w:ilvl w:val="0"/>
          <w:numId w:val="18"/>
        </w:numPr>
        <w:tabs>
          <w:tab w:val="left" w:pos="9356"/>
        </w:tabs>
        <w:spacing w:after="0" w:line="240" w:lineRule="auto"/>
        <w:rPr>
          <w:lang w:val="fr-CA"/>
        </w:rPr>
      </w:pPr>
      <w:proofErr w:type="gramStart"/>
      <w:r>
        <w:rPr>
          <w:lang w:val="fr-CA"/>
        </w:rPr>
        <w:t>si</w:t>
      </w:r>
      <w:proofErr w:type="gramEnd"/>
      <w:r w:rsidRPr="00FA558D">
        <w:rPr>
          <w:lang w:val="fr-CA"/>
        </w:rPr>
        <w:t xml:space="preserve"> </w:t>
      </w:r>
      <w:r>
        <w:rPr>
          <w:lang w:val="fr-CA"/>
        </w:rPr>
        <w:t>la modification</w:t>
      </w:r>
      <w:r w:rsidRPr="00FA558D">
        <w:rPr>
          <w:lang w:val="fr-CA"/>
        </w:rPr>
        <w:t xml:space="preserve"> </w:t>
      </w:r>
      <w:r>
        <w:rPr>
          <w:lang w:val="fr-CA"/>
        </w:rPr>
        <w:t>élargit</w:t>
      </w:r>
      <w:r w:rsidRPr="00FA558D">
        <w:rPr>
          <w:lang w:val="fr-CA"/>
        </w:rPr>
        <w:t xml:space="preserve"> </w:t>
      </w:r>
      <w:r>
        <w:rPr>
          <w:lang w:val="fr-CA"/>
        </w:rPr>
        <w:t>l</w:t>
      </w:r>
      <w:r w:rsidR="00330D02">
        <w:rPr>
          <w:lang w:val="fr-CA"/>
        </w:rPr>
        <w:t>e champ d’application</w:t>
      </w:r>
      <w:r w:rsidRPr="00FA558D">
        <w:rPr>
          <w:lang w:val="fr-CA"/>
        </w:rPr>
        <w:t xml:space="preserve"> </w:t>
      </w:r>
      <w:r>
        <w:rPr>
          <w:lang w:val="fr-CA"/>
        </w:rPr>
        <w:t>des exigences réglementaires.</w:t>
      </w:r>
    </w:p>
    <w:p w:rsidRPr="00FA558D" w:rsidR="00B91619" w:rsidP="00B91619" w:rsidRDefault="00B91619" w14:paraId="195EF10B" w14:textId="77777777">
      <w:pPr>
        <w:tabs>
          <w:tab w:val="left" w:pos="9356"/>
        </w:tabs>
        <w:spacing w:after="0" w:line="240" w:lineRule="auto"/>
        <w:rPr>
          <w:lang w:val="fr-CA"/>
        </w:rPr>
      </w:pPr>
    </w:p>
    <w:p w:rsidRPr="00FA558D" w:rsidR="00B91619" w:rsidP="00B91619" w:rsidRDefault="00B91619" w14:paraId="6A520078" w14:textId="0E418569">
      <w:pPr>
        <w:pStyle w:val="Heading4"/>
        <w:rPr>
          <w:lang w:val="fr-CA"/>
        </w:rPr>
      </w:pPr>
      <w:r w:rsidRPr="00FA558D">
        <w:rPr>
          <w:lang w:val="fr-CA"/>
        </w:rPr>
        <w:t>A</w:t>
      </w:r>
      <w:r>
        <w:rPr>
          <w:lang w:val="fr-CA"/>
        </w:rPr>
        <w:t>pplication de</w:t>
      </w:r>
      <w:r w:rsidRPr="00FA558D">
        <w:rPr>
          <w:lang w:val="fr-CA"/>
        </w:rPr>
        <w:t xml:space="preserve"> </w:t>
      </w:r>
      <w:r>
        <w:rPr>
          <w:lang w:val="fr-CA"/>
        </w:rPr>
        <w:t>la règle du « un pour un »</w:t>
      </w:r>
      <w:r w:rsidRPr="00FA558D">
        <w:rPr>
          <w:lang w:val="fr-CA"/>
        </w:rPr>
        <w:t xml:space="preserve"> </w:t>
      </w:r>
      <w:r>
        <w:rPr>
          <w:lang w:val="fr-CA"/>
        </w:rPr>
        <w:t xml:space="preserve">aux </w:t>
      </w:r>
      <w:r w:rsidR="007804CD">
        <w:rPr>
          <w:lang w:val="fr-CA"/>
        </w:rPr>
        <w:t>modifications réglementaires</w:t>
      </w:r>
      <w:r>
        <w:rPr>
          <w:lang w:val="fr-CA"/>
        </w:rPr>
        <w:t xml:space="preserve"> lié</w:t>
      </w:r>
      <w:r w:rsidR="007804CD">
        <w:rPr>
          <w:lang w:val="fr-CA"/>
        </w:rPr>
        <w:t>e</w:t>
      </w:r>
      <w:r>
        <w:rPr>
          <w:lang w:val="fr-CA"/>
        </w:rPr>
        <w:t xml:space="preserve">s à une </w:t>
      </w:r>
      <w:r w:rsidRPr="00FA558D">
        <w:rPr>
          <w:lang w:val="fr-CA"/>
        </w:rPr>
        <w:t xml:space="preserve">incorporation </w:t>
      </w:r>
      <w:r>
        <w:rPr>
          <w:lang w:val="fr-CA"/>
        </w:rPr>
        <w:t>par renvoi</w:t>
      </w:r>
      <w:r w:rsidRPr="00FA558D">
        <w:rPr>
          <w:lang w:val="fr-CA"/>
        </w:rPr>
        <w:t xml:space="preserve"> </w:t>
      </w:r>
    </w:p>
    <w:p w:rsidRPr="00FA558D" w:rsidR="00B91619" w:rsidP="00B91619" w:rsidRDefault="00B91619" w14:paraId="66E8F4C0" w14:textId="77777777">
      <w:pPr>
        <w:tabs>
          <w:tab w:val="left" w:pos="9356"/>
        </w:tabs>
        <w:spacing w:after="0" w:line="240" w:lineRule="auto"/>
        <w:rPr>
          <w:lang w:val="fr-CA"/>
        </w:rPr>
      </w:pPr>
    </w:p>
    <w:p w:rsidRPr="00FA558D" w:rsidR="00B91619" w:rsidP="00B91619" w:rsidRDefault="008E362D" w14:paraId="12025EF1" w14:textId="372D60C2">
      <w:pPr>
        <w:tabs>
          <w:tab w:val="left" w:pos="9356"/>
        </w:tabs>
        <w:spacing w:after="0" w:line="240" w:lineRule="auto"/>
        <w:rPr>
          <w:lang w:val="fr-CA"/>
        </w:rPr>
      </w:pPr>
      <w:r>
        <w:rPr>
          <w:lang w:val="fr-CA"/>
        </w:rPr>
        <w:t>Une mo</w:t>
      </w:r>
      <w:r w:rsidR="00B555B0">
        <w:rPr>
          <w:lang w:val="fr-CA"/>
        </w:rPr>
        <w:t xml:space="preserve">dification réglementaire </w:t>
      </w:r>
      <w:r>
        <w:rPr>
          <w:lang w:val="fr-CA"/>
        </w:rPr>
        <w:t>qui</w:t>
      </w:r>
      <w:r w:rsidR="00C202DD">
        <w:rPr>
          <w:lang w:val="fr-CA"/>
        </w:rPr>
        <w:t xml:space="preserve"> </w:t>
      </w:r>
      <w:r w:rsidRPr="00FA558D" w:rsidR="00B91619">
        <w:rPr>
          <w:lang w:val="fr-CA"/>
        </w:rPr>
        <w:t>incorpor</w:t>
      </w:r>
      <w:r w:rsidR="00C202DD">
        <w:rPr>
          <w:lang w:val="fr-CA"/>
        </w:rPr>
        <w:t>e</w:t>
      </w:r>
      <w:r w:rsidR="00B91619">
        <w:rPr>
          <w:lang w:val="fr-CA"/>
        </w:rPr>
        <w:t xml:space="preserve"> </w:t>
      </w:r>
      <w:r w:rsidR="00C202DD">
        <w:rPr>
          <w:lang w:val="fr-CA"/>
        </w:rPr>
        <w:t xml:space="preserve">un document </w:t>
      </w:r>
      <w:r w:rsidR="00B91619">
        <w:rPr>
          <w:lang w:val="fr-CA"/>
        </w:rPr>
        <w:t>par renvoi</w:t>
      </w:r>
      <w:r w:rsidR="00C202DD">
        <w:rPr>
          <w:lang w:val="fr-CA"/>
        </w:rPr>
        <w:t xml:space="preserve"> comme </w:t>
      </w:r>
      <w:r w:rsidR="00B91619">
        <w:rPr>
          <w:lang w:val="fr-CA"/>
        </w:rPr>
        <w:t xml:space="preserve">une norme, un document technique ou </w:t>
      </w:r>
      <w:r w:rsidR="00C202DD">
        <w:rPr>
          <w:lang w:val="fr-CA"/>
        </w:rPr>
        <w:t>une loi d’une autre administration</w:t>
      </w:r>
      <w:r w:rsidR="00B91619">
        <w:rPr>
          <w:lang w:val="fr-CA"/>
        </w:rPr>
        <w:t xml:space="preserve"> </w:t>
      </w:r>
      <w:r>
        <w:rPr>
          <w:lang w:val="fr-CA"/>
        </w:rPr>
        <w:t>peut faire en sorte que la règle s’applique</w:t>
      </w:r>
      <w:r w:rsidRPr="00FA558D">
        <w:rPr>
          <w:lang w:val="fr-CA"/>
        </w:rPr>
        <w:t xml:space="preserve"> </w:t>
      </w:r>
      <w:r w:rsidR="00B91619">
        <w:rPr>
          <w:lang w:val="fr-CA"/>
        </w:rPr>
        <w:t>lorsqu</w:t>
      </w:r>
      <w:r>
        <w:rPr>
          <w:lang w:val="fr-CA"/>
        </w:rPr>
        <w:t>’elle</w:t>
      </w:r>
      <w:r w:rsidR="00B91619">
        <w:rPr>
          <w:lang w:val="fr-CA"/>
        </w:rPr>
        <w:t xml:space="preserve"> entraîne</w:t>
      </w:r>
      <w:r w:rsidRPr="00FA558D" w:rsidR="00B91619">
        <w:rPr>
          <w:lang w:val="fr-CA"/>
        </w:rPr>
        <w:t xml:space="preserve"> </w:t>
      </w:r>
      <w:r w:rsidR="00C202DD">
        <w:rPr>
          <w:lang w:val="fr-CA"/>
        </w:rPr>
        <w:t>de nouveaux coûts</w:t>
      </w:r>
      <w:r w:rsidR="00B91619">
        <w:rPr>
          <w:lang w:val="fr-CA"/>
        </w:rPr>
        <w:t xml:space="preserve"> liés</w:t>
      </w:r>
      <w:r w:rsidR="004163E8">
        <w:rPr>
          <w:lang w:val="fr-CA"/>
        </w:rPr>
        <w:t xml:space="preserve"> au</w:t>
      </w:r>
      <w:r w:rsidR="00B91619">
        <w:rPr>
          <w:lang w:val="fr-CA"/>
        </w:rPr>
        <w:t xml:space="preserve"> fardeau administratif </w:t>
      </w:r>
      <w:r w:rsidR="0052311F">
        <w:rPr>
          <w:lang w:val="fr-CA"/>
        </w:rPr>
        <w:t>imposé aux</w:t>
      </w:r>
      <w:r w:rsidR="00B91619">
        <w:rPr>
          <w:lang w:val="fr-CA"/>
        </w:rPr>
        <w:t xml:space="preserve"> entreprises</w:t>
      </w:r>
      <w:r w:rsidRPr="00FA558D" w:rsidR="00B91619">
        <w:rPr>
          <w:lang w:val="fr-CA"/>
        </w:rPr>
        <w:t xml:space="preserve">. </w:t>
      </w:r>
    </w:p>
    <w:p w:rsidRPr="00FA558D" w:rsidR="00B91619" w:rsidP="00B91619" w:rsidRDefault="00B91619" w14:paraId="0000FA54" w14:textId="77777777">
      <w:pPr>
        <w:tabs>
          <w:tab w:val="left" w:pos="9356"/>
        </w:tabs>
        <w:spacing w:after="0" w:line="240" w:lineRule="auto"/>
        <w:rPr>
          <w:lang w:val="fr-CA"/>
        </w:rPr>
      </w:pPr>
    </w:p>
    <w:p w:rsidRPr="00FA558D" w:rsidR="00B91619" w:rsidP="00B91619" w:rsidRDefault="00B91619" w14:paraId="40901386" w14:textId="0DC7463A">
      <w:pPr>
        <w:tabs>
          <w:tab w:val="left" w:pos="9356"/>
        </w:tabs>
        <w:spacing w:after="0" w:line="240" w:lineRule="auto"/>
        <w:rPr>
          <w:lang w:val="fr-CA"/>
        </w:rPr>
      </w:pPr>
      <w:r>
        <w:rPr>
          <w:lang w:val="fr-CA"/>
        </w:rPr>
        <w:t xml:space="preserve">Dans certains cas, </w:t>
      </w:r>
      <w:r w:rsidR="00B04409">
        <w:rPr>
          <w:lang w:val="fr-CA"/>
        </w:rPr>
        <w:t>l</w:t>
      </w:r>
      <w:r>
        <w:rPr>
          <w:lang w:val="fr-CA"/>
        </w:rPr>
        <w:t>es règlements</w:t>
      </w:r>
      <w:r w:rsidRPr="00FA558D">
        <w:rPr>
          <w:lang w:val="fr-CA"/>
        </w:rPr>
        <w:t xml:space="preserve"> </w:t>
      </w:r>
      <w:r>
        <w:rPr>
          <w:lang w:val="fr-CA"/>
        </w:rPr>
        <w:t xml:space="preserve">peuvent </w:t>
      </w:r>
      <w:r w:rsidRPr="00FA558D">
        <w:rPr>
          <w:lang w:val="fr-CA"/>
        </w:rPr>
        <w:t>in</w:t>
      </w:r>
      <w:r>
        <w:rPr>
          <w:lang w:val="fr-CA"/>
        </w:rPr>
        <w:t>corporer un doc</w:t>
      </w:r>
      <w:r w:rsidRPr="00FA558D">
        <w:rPr>
          <w:lang w:val="fr-CA"/>
        </w:rPr>
        <w:t>ument</w:t>
      </w:r>
      <w:r>
        <w:rPr>
          <w:lang w:val="fr-CA"/>
        </w:rPr>
        <w:t xml:space="preserve"> </w:t>
      </w:r>
      <w:r w:rsidR="008D47BF">
        <w:rPr>
          <w:lang w:val="fr-CA"/>
        </w:rPr>
        <w:t xml:space="preserve">qui devrait être </w:t>
      </w:r>
      <w:r>
        <w:rPr>
          <w:lang w:val="fr-CA"/>
        </w:rPr>
        <w:t>mis à jour régulière</w:t>
      </w:r>
      <w:r w:rsidR="008D47BF">
        <w:rPr>
          <w:lang w:val="fr-CA"/>
        </w:rPr>
        <w:t>ment</w:t>
      </w:r>
      <w:r>
        <w:rPr>
          <w:lang w:val="fr-CA"/>
        </w:rPr>
        <w:t>, sans qu’</w:t>
      </w:r>
      <w:r w:rsidR="00B04409">
        <w:rPr>
          <w:lang w:val="fr-CA"/>
        </w:rPr>
        <w:t xml:space="preserve">il soit nécessaire d’apporter </w:t>
      </w:r>
      <w:r>
        <w:rPr>
          <w:lang w:val="fr-CA"/>
        </w:rPr>
        <w:t xml:space="preserve">une modification réglementaire </w:t>
      </w:r>
      <w:r w:rsidR="00B04409">
        <w:rPr>
          <w:lang w:val="fr-CA"/>
        </w:rPr>
        <w:t xml:space="preserve">pour que le document mis à jour prenne effet. Ce type </w:t>
      </w:r>
      <w:r w:rsidR="00ED7950">
        <w:rPr>
          <w:lang w:val="fr-CA"/>
        </w:rPr>
        <w:t>d’incorporation est connu sous le nom d</w:t>
      </w:r>
      <w:r>
        <w:rPr>
          <w:lang w:val="fr-CA"/>
        </w:rPr>
        <w:t>’incorporation par renvoi « dynamique ». La règle du « un pour un »</w:t>
      </w:r>
      <w:r w:rsidRPr="00FA558D">
        <w:rPr>
          <w:lang w:val="fr-CA"/>
        </w:rPr>
        <w:t xml:space="preserve"> </w:t>
      </w:r>
      <w:r>
        <w:rPr>
          <w:lang w:val="fr-CA"/>
        </w:rPr>
        <w:t>s’applique uniquement lorsque la modification réglementaire</w:t>
      </w:r>
      <w:r w:rsidRPr="00FA558D">
        <w:rPr>
          <w:lang w:val="fr-CA"/>
        </w:rPr>
        <w:t xml:space="preserve"> </w:t>
      </w:r>
      <w:r>
        <w:rPr>
          <w:lang w:val="fr-CA"/>
        </w:rPr>
        <w:t>est apportée</w:t>
      </w:r>
      <w:r w:rsidRPr="00FA558D">
        <w:rPr>
          <w:lang w:val="fr-CA"/>
        </w:rPr>
        <w:t>,</w:t>
      </w:r>
      <w:r>
        <w:rPr>
          <w:lang w:val="fr-CA"/>
        </w:rPr>
        <w:t xml:space="preserve"> et </w:t>
      </w:r>
      <w:r w:rsidR="00DA66E6">
        <w:rPr>
          <w:lang w:val="fr-CA"/>
        </w:rPr>
        <w:t xml:space="preserve">une </w:t>
      </w:r>
      <w:r>
        <w:rPr>
          <w:lang w:val="fr-CA"/>
        </w:rPr>
        <w:t xml:space="preserve">modification ultérieure </w:t>
      </w:r>
      <w:r w:rsidR="00754206">
        <w:rPr>
          <w:lang w:val="fr-CA"/>
        </w:rPr>
        <w:t>des</w:t>
      </w:r>
      <w:r>
        <w:rPr>
          <w:lang w:val="fr-CA"/>
        </w:rPr>
        <w:t xml:space="preserve"> documents incorporés </w:t>
      </w:r>
      <w:r w:rsidR="00ED7950">
        <w:rPr>
          <w:lang w:val="fr-CA"/>
        </w:rPr>
        <w:t>n’entraîne</w:t>
      </w:r>
      <w:r w:rsidR="00466795">
        <w:rPr>
          <w:lang w:val="fr-CA"/>
        </w:rPr>
        <w:t>ra</w:t>
      </w:r>
      <w:r w:rsidR="00ED7950">
        <w:rPr>
          <w:lang w:val="fr-CA"/>
        </w:rPr>
        <w:t xml:space="preserve"> pas l’application de</w:t>
      </w:r>
      <w:r w:rsidR="004053CF">
        <w:rPr>
          <w:lang w:val="fr-CA"/>
        </w:rPr>
        <w:t xml:space="preserve"> </w:t>
      </w:r>
      <w:r>
        <w:rPr>
          <w:lang w:val="fr-CA"/>
        </w:rPr>
        <w:t>la règle</w:t>
      </w:r>
      <w:r w:rsidRPr="00FA558D">
        <w:rPr>
          <w:lang w:val="fr-CA"/>
        </w:rPr>
        <w:t>.</w:t>
      </w:r>
    </w:p>
    <w:p w:rsidRPr="00FA558D" w:rsidR="00B91619" w:rsidP="00B91619" w:rsidRDefault="00B91619" w14:paraId="7249DF8F" w14:textId="77777777">
      <w:pPr>
        <w:tabs>
          <w:tab w:val="left" w:pos="9356"/>
        </w:tabs>
        <w:spacing w:after="0" w:line="240" w:lineRule="auto"/>
        <w:rPr>
          <w:lang w:val="fr-CA"/>
        </w:rPr>
      </w:pPr>
    </w:p>
    <w:p w:rsidRPr="00FA558D" w:rsidR="00B91619" w:rsidP="00B91619" w:rsidRDefault="00B91619" w14:paraId="17125D86" w14:textId="77777777">
      <w:pPr>
        <w:pStyle w:val="Heading4"/>
        <w:rPr>
          <w:lang w:val="fr-CA"/>
        </w:rPr>
      </w:pPr>
      <w:r w:rsidRPr="00FA558D">
        <w:rPr>
          <w:lang w:val="fr-CA"/>
        </w:rPr>
        <w:t>A</w:t>
      </w:r>
      <w:r>
        <w:rPr>
          <w:lang w:val="fr-CA"/>
        </w:rPr>
        <w:t>pplication de</w:t>
      </w:r>
      <w:r w:rsidRPr="00FA558D">
        <w:rPr>
          <w:lang w:val="fr-CA"/>
        </w:rPr>
        <w:t xml:space="preserve"> </w:t>
      </w:r>
      <w:r>
        <w:rPr>
          <w:lang w:val="fr-CA"/>
        </w:rPr>
        <w:t>la règle du « un pour un »</w:t>
      </w:r>
      <w:r w:rsidRPr="00FA558D">
        <w:rPr>
          <w:lang w:val="fr-CA"/>
        </w:rPr>
        <w:t xml:space="preserve"> </w:t>
      </w:r>
      <w:r>
        <w:rPr>
          <w:lang w:val="fr-CA"/>
        </w:rPr>
        <w:t>aux</w:t>
      </w:r>
      <w:r w:rsidRPr="00FA558D">
        <w:rPr>
          <w:lang w:val="fr-CA"/>
        </w:rPr>
        <w:t xml:space="preserve"> respon</w:t>
      </w:r>
      <w:r>
        <w:rPr>
          <w:lang w:val="fr-CA"/>
        </w:rPr>
        <w:t>sabilités</w:t>
      </w:r>
      <w:r w:rsidRPr="00FA558D">
        <w:rPr>
          <w:lang w:val="fr-CA"/>
        </w:rPr>
        <w:t xml:space="preserve"> </w:t>
      </w:r>
      <w:r>
        <w:rPr>
          <w:lang w:val="fr-CA"/>
        </w:rPr>
        <w:t>partagées</w:t>
      </w:r>
      <w:r w:rsidRPr="00FA558D">
        <w:rPr>
          <w:lang w:val="fr-CA"/>
        </w:rPr>
        <w:t xml:space="preserve"> </w:t>
      </w:r>
      <w:r>
        <w:rPr>
          <w:lang w:val="fr-CA"/>
        </w:rPr>
        <w:t>entre</w:t>
      </w:r>
      <w:r w:rsidRPr="00FA558D">
        <w:rPr>
          <w:lang w:val="fr-CA"/>
        </w:rPr>
        <w:t xml:space="preserve"> </w:t>
      </w:r>
      <w:proofErr w:type="gramStart"/>
      <w:r>
        <w:rPr>
          <w:lang w:val="fr-CA"/>
        </w:rPr>
        <w:t>les gouvernements fédéral</w:t>
      </w:r>
      <w:proofErr w:type="gramEnd"/>
      <w:r>
        <w:rPr>
          <w:lang w:val="fr-CA"/>
        </w:rPr>
        <w:t>, provinciaux et territoriaux</w:t>
      </w:r>
      <w:r w:rsidRPr="00FA558D">
        <w:rPr>
          <w:lang w:val="fr-CA"/>
        </w:rPr>
        <w:t xml:space="preserve"> </w:t>
      </w:r>
    </w:p>
    <w:p w:rsidRPr="00FA558D" w:rsidR="00B91619" w:rsidP="00B91619" w:rsidRDefault="00B91619" w14:paraId="369A98CD" w14:textId="77777777">
      <w:pPr>
        <w:tabs>
          <w:tab w:val="left" w:pos="9356"/>
        </w:tabs>
        <w:spacing w:after="0" w:line="240" w:lineRule="auto"/>
        <w:rPr>
          <w:lang w:val="fr-CA"/>
        </w:rPr>
      </w:pPr>
    </w:p>
    <w:p w:rsidRPr="00FA558D" w:rsidR="00B91619" w:rsidP="00B91619" w:rsidRDefault="007A2B72" w14:paraId="63E4B003" w14:textId="567BD497">
      <w:pPr>
        <w:tabs>
          <w:tab w:val="left" w:pos="9356"/>
        </w:tabs>
        <w:spacing w:after="0" w:line="240" w:lineRule="auto"/>
        <w:rPr>
          <w:lang w:val="fr-CA"/>
        </w:rPr>
      </w:pPr>
      <w:r>
        <w:rPr>
          <w:lang w:val="fr-CA"/>
        </w:rPr>
        <w:t xml:space="preserve">Quant aux </w:t>
      </w:r>
      <w:r w:rsidR="00B91619">
        <w:rPr>
          <w:lang w:val="fr-CA"/>
        </w:rPr>
        <w:t>activités partagées</w:t>
      </w:r>
      <w:r w:rsidRPr="00FA558D" w:rsidR="00B91619">
        <w:rPr>
          <w:lang w:val="fr-CA"/>
        </w:rPr>
        <w:t xml:space="preserve">, </w:t>
      </w:r>
      <w:r w:rsidR="00B91619">
        <w:rPr>
          <w:lang w:val="fr-CA"/>
        </w:rPr>
        <w:t>les ministères fédéraux doivent se conformer aux exigence</w:t>
      </w:r>
      <w:r w:rsidRPr="00FA558D" w:rsidR="00B91619">
        <w:rPr>
          <w:lang w:val="fr-CA"/>
        </w:rPr>
        <w:t>s</w:t>
      </w:r>
      <w:r w:rsidR="00B91619">
        <w:rPr>
          <w:lang w:val="fr-CA"/>
        </w:rPr>
        <w:t xml:space="preserve"> de la règle du « un pour un »</w:t>
      </w:r>
      <w:r w:rsidRPr="00FA558D" w:rsidR="00B91619">
        <w:rPr>
          <w:lang w:val="fr-CA"/>
        </w:rPr>
        <w:t>.</w:t>
      </w:r>
    </w:p>
    <w:p w:rsidRPr="00FA558D" w:rsidR="00B91619" w:rsidP="00B91619" w:rsidRDefault="00B91619" w14:paraId="57413E20" w14:textId="77777777">
      <w:pPr>
        <w:tabs>
          <w:tab w:val="left" w:pos="9356"/>
        </w:tabs>
        <w:spacing w:after="0" w:line="240" w:lineRule="auto"/>
        <w:rPr>
          <w:lang w:val="fr-CA"/>
        </w:rPr>
      </w:pPr>
    </w:p>
    <w:p w:rsidRPr="00FA558D" w:rsidR="00B91619" w:rsidP="00B91619" w:rsidRDefault="00B91619" w14:paraId="7CF9460F" w14:textId="7079E081">
      <w:pPr>
        <w:tabs>
          <w:tab w:val="left" w:pos="9356"/>
        </w:tabs>
        <w:spacing w:after="0" w:line="240" w:lineRule="auto"/>
        <w:rPr>
          <w:lang w:val="fr-CA"/>
        </w:rPr>
      </w:pPr>
      <w:r>
        <w:rPr>
          <w:lang w:val="fr-CA"/>
        </w:rPr>
        <w:t>Si le gouvernement fédéral</w:t>
      </w:r>
      <w:r w:rsidRPr="00FA558D">
        <w:rPr>
          <w:lang w:val="fr-CA"/>
        </w:rPr>
        <w:t xml:space="preserve"> </w:t>
      </w:r>
      <w:r>
        <w:rPr>
          <w:lang w:val="fr-CA"/>
        </w:rPr>
        <w:t>remplace</w:t>
      </w:r>
      <w:r w:rsidRPr="00FA558D">
        <w:rPr>
          <w:lang w:val="fr-CA"/>
        </w:rPr>
        <w:t xml:space="preserve"> </w:t>
      </w:r>
      <w:r>
        <w:rPr>
          <w:lang w:val="fr-CA"/>
        </w:rPr>
        <w:t xml:space="preserve">une exigence ou un processus fédéral par une exigence ou un processus </w:t>
      </w:r>
      <w:r w:rsidRPr="00FA558D">
        <w:rPr>
          <w:lang w:val="fr-CA"/>
        </w:rPr>
        <w:t>provincial</w:t>
      </w:r>
      <w:r>
        <w:rPr>
          <w:lang w:val="fr-CA"/>
        </w:rPr>
        <w:t xml:space="preserve"> ou </w:t>
      </w:r>
      <w:r w:rsidRPr="00FA558D">
        <w:rPr>
          <w:lang w:val="fr-CA"/>
        </w:rPr>
        <w:t xml:space="preserve">territorial, </w:t>
      </w:r>
      <w:r>
        <w:rPr>
          <w:lang w:val="fr-CA"/>
        </w:rPr>
        <w:t xml:space="preserve">l’allégement potentiel du fardeau administratif </w:t>
      </w:r>
      <w:r w:rsidR="0052311F">
        <w:rPr>
          <w:lang w:val="fr-CA"/>
        </w:rPr>
        <w:t>imposé aux</w:t>
      </w:r>
      <w:r>
        <w:rPr>
          <w:lang w:val="fr-CA"/>
        </w:rPr>
        <w:t xml:space="preserve"> entreprises</w:t>
      </w:r>
      <w:r w:rsidRPr="00FA558D">
        <w:rPr>
          <w:lang w:val="fr-CA"/>
        </w:rPr>
        <w:t xml:space="preserve"> </w:t>
      </w:r>
      <w:r>
        <w:rPr>
          <w:lang w:val="fr-CA"/>
        </w:rPr>
        <w:t xml:space="preserve">pourrait être </w:t>
      </w:r>
      <w:r w:rsidR="007F4FD0">
        <w:rPr>
          <w:lang w:val="fr-CA"/>
        </w:rPr>
        <w:t xml:space="preserve">monétarisé </w:t>
      </w:r>
      <w:commentRangeStart w:id="18"/>
      <w:r w:rsidR="007F4FD0">
        <w:rPr>
          <w:lang w:val="fr-CA"/>
        </w:rPr>
        <w:t>(c’est-à-dire converti en valeur monétaire)</w:t>
      </w:r>
      <w:commentRangeEnd w:id="18"/>
      <w:r w:rsidR="007F4FD0">
        <w:rPr>
          <w:rStyle w:val="CommentReference"/>
        </w:rPr>
        <w:commentReference w:id="18"/>
      </w:r>
      <w:r w:rsidR="007F4FD0">
        <w:rPr>
          <w:lang w:val="fr-CA"/>
        </w:rPr>
        <w:t xml:space="preserve"> </w:t>
      </w:r>
      <w:r>
        <w:rPr>
          <w:lang w:val="fr-CA"/>
        </w:rPr>
        <w:t xml:space="preserve">et </w:t>
      </w:r>
      <w:r w:rsidR="00CB3046">
        <w:rPr>
          <w:lang w:val="fr-CA"/>
        </w:rPr>
        <w:t xml:space="preserve">considéré </w:t>
      </w:r>
      <w:r>
        <w:rPr>
          <w:lang w:val="fr-CA"/>
        </w:rPr>
        <w:t>comme une réduction du fardeau</w:t>
      </w:r>
      <w:r w:rsidRPr="00FA558D">
        <w:rPr>
          <w:lang w:val="fr-CA"/>
        </w:rPr>
        <w:t xml:space="preserve"> (</w:t>
      </w:r>
      <w:r>
        <w:rPr>
          <w:lang w:val="fr-CA"/>
        </w:rPr>
        <w:t xml:space="preserve">et une </w:t>
      </w:r>
      <w:r w:rsidR="00DE4685">
        <w:rPr>
          <w:lang w:val="fr-CA"/>
        </w:rPr>
        <w:t>«</w:t>
      </w:r>
      <w:r w:rsidR="009647E5">
        <w:rPr>
          <w:lang w:val="fr-CA"/>
        </w:rPr>
        <w:t> </w:t>
      </w:r>
      <w:r w:rsidR="007F4FD0">
        <w:rPr>
          <w:lang w:val="fr-CA"/>
        </w:rPr>
        <w:t>abrogation</w:t>
      </w:r>
      <w:r>
        <w:rPr>
          <w:lang w:val="fr-CA"/>
        </w:rPr>
        <w:t xml:space="preserve"> d’un </w:t>
      </w:r>
      <w:r w:rsidR="007F4FD0">
        <w:rPr>
          <w:lang w:val="fr-CA"/>
        </w:rPr>
        <w:t>titre</w:t>
      </w:r>
      <w:r w:rsidR="009647E5">
        <w:rPr>
          <w:lang w:val="fr-CA"/>
        </w:rPr>
        <w:t> </w:t>
      </w:r>
      <w:r w:rsidR="00DE4685">
        <w:rPr>
          <w:lang w:val="fr-CA"/>
        </w:rPr>
        <w:t>»</w:t>
      </w:r>
      <w:r w:rsidRPr="00FA558D">
        <w:rPr>
          <w:lang w:val="fr-CA"/>
        </w:rPr>
        <w:t xml:space="preserve">, </w:t>
      </w:r>
      <w:r w:rsidR="00FA64B5">
        <w:rPr>
          <w:lang w:val="fr-CA"/>
        </w:rPr>
        <w:t>s’il y a lieu</w:t>
      </w:r>
      <w:r w:rsidRPr="00FA558D">
        <w:rPr>
          <w:lang w:val="fr-CA"/>
        </w:rPr>
        <w:t xml:space="preserve">). </w:t>
      </w:r>
    </w:p>
    <w:p w:rsidRPr="00FA558D" w:rsidR="00B91619" w:rsidP="00B91619" w:rsidRDefault="00B91619" w14:paraId="0201B7FF" w14:textId="77777777">
      <w:pPr>
        <w:tabs>
          <w:tab w:val="left" w:pos="9356"/>
        </w:tabs>
        <w:spacing w:after="0" w:line="240" w:lineRule="auto"/>
        <w:rPr>
          <w:lang w:val="fr-CA"/>
        </w:rPr>
      </w:pPr>
    </w:p>
    <w:p w:rsidRPr="00FA558D" w:rsidR="00B91619" w:rsidP="00B91619" w:rsidRDefault="009413C7" w14:paraId="16FC5F92" w14:textId="138B986C">
      <w:pPr>
        <w:tabs>
          <w:tab w:val="left" w:pos="9356"/>
        </w:tabs>
        <w:spacing w:after="0" w:line="240" w:lineRule="auto"/>
        <w:rPr>
          <w:lang w:val="fr-CA"/>
        </w:rPr>
      </w:pPr>
      <w:r>
        <w:rPr>
          <w:lang w:val="fr-CA"/>
        </w:rPr>
        <w:t xml:space="preserve">Si </w:t>
      </w:r>
      <w:r w:rsidR="00B91619">
        <w:rPr>
          <w:lang w:val="fr-CA"/>
        </w:rPr>
        <w:t>le</w:t>
      </w:r>
      <w:r w:rsidRPr="00FA558D" w:rsidR="00B91619">
        <w:rPr>
          <w:lang w:val="fr-CA"/>
        </w:rPr>
        <w:t xml:space="preserve"> </w:t>
      </w:r>
      <w:r w:rsidR="00B91619">
        <w:rPr>
          <w:lang w:val="fr-CA"/>
        </w:rPr>
        <w:t>gouvernement fédéral</w:t>
      </w:r>
      <w:r w:rsidRPr="00FA558D" w:rsidR="00B91619">
        <w:rPr>
          <w:lang w:val="fr-CA"/>
        </w:rPr>
        <w:t xml:space="preserve"> </w:t>
      </w:r>
      <w:r w:rsidR="00B91619">
        <w:rPr>
          <w:lang w:val="fr-CA"/>
        </w:rPr>
        <w:t>crée un règlement</w:t>
      </w:r>
      <w:r w:rsidRPr="00FA558D" w:rsidR="00B91619">
        <w:rPr>
          <w:lang w:val="fr-CA"/>
        </w:rPr>
        <w:t xml:space="preserve"> </w:t>
      </w:r>
      <w:r w:rsidR="00B91619">
        <w:rPr>
          <w:lang w:val="fr-CA"/>
        </w:rPr>
        <w:t xml:space="preserve">pour </w:t>
      </w:r>
      <w:r w:rsidR="00992102">
        <w:rPr>
          <w:lang w:val="fr-CA"/>
        </w:rPr>
        <w:t>appuyer</w:t>
      </w:r>
      <w:r w:rsidR="00B91619">
        <w:rPr>
          <w:lang w:val="fr-CA"/>
        </w:rPr>
        <w:t xml:space="preserve"> un processus</w:t>
      </w:r>
      <w:r w:rsidRPr="00FA558D" w:rsidR="00B91619">
        <w:rPr>
          <w:lang w:val="fr-CA"/>
        </w:rPr>
        <w:t xml:space="preserve"> provincial</w:t>
      </w:r>
      <w:r w:rsidR="00B91619">
        <w:rPr>
          <w:lang w:val="fr-CA"/>
        </w:rPr>
        <w:t xml:space="preserve"> ou </w:t>
      </w:r>
      <w:r w:rsidRPr="00FA558D" w:rsidR="00B91619">
        <w:rPr>
          <w:lang w:val="fr-CA"/>
        </w:rPr>
        <w:t>territorial</w:t>
      </w:r>
      <w:r w:rsidR="00B91619">
        <w:rPr>
          <w:lang w:val="fr-CA"/>
        </w:rPr>
        <w:t xml:space="preserve"> et que le règlement</w:t>
      </w:r>
      <w:r w:rsidRPr="00FA558D" w:rsidR="00B91619">
        <w:rPr>
          <w:lang w:val="fr-CA"/>
        </w:rPr>
        <w:t xml:space="preserve"> </w:t>
      </w:r>
      <w:r w:rsidR="00B91619">
        <w:rPr>
          <w:lang w:val="fr-CA"/>
        </w:rPr>
        <w:t>s’applique uniquement</w:t>
      </w:r>
      <w:r w:rsidRPr="00FA558D" w:rsidR="00B91619">
        <w:rPr>
          <w:lang w:val="fr-CA"/>
        </w:rPr>
        <w:t xml:space="preserve"> </w:t>
      </w:r>
      <w:r w:rsidR="00B91619">
        <w:rPr>
          <w:lang w:val="fr-CA"/>
        </w:rPr>
        <w:t>aux entreprises</w:t>
      </w:r>
      <w:r w:rsidRPr="00FA558D" w:rsidR="00B91619">
        <w:rPr>
          <w:lang w:val="fr-CA"/>
        </w:rPr>
        <w:t xml:space="preserve"> </w:t>
      </w:r>
      <w:r w:rsidR="00B91619">
        <w:rPr>
          <w:lang w:val="fr-CA"/>
        </w:rPr>
        <w:t xml:space="preserve">dans les provinces ou les </w:t>
      </w:r>
      <w:r w:rsidRPr="00FA558D" w:rsidR="00B91619">
        <w:rPr>
          <w:lang w:val="fr-CA"/>
        </w:rPr>
        <w:t>territo</w:t>
      </w:r>
      <w:r w:rsidR="00B91619">
        <w:rPr>
          <w:lang w:val="fr-CA"/>
        </w:rPr>
        <w:t>ir</w:t>
      </w:r>
      <w:r w:rsidRPr="00FA558D" w:rsidR="00B91619">
        <w:rPr>
          <w:lang w:val="fr-CA"/>
        </w:rPr>
        <w:t>es</w:t>
      </w:r>
      <w:r w:rsidR="00B91619">
        <w:rPr>
          <w:lang w:val="fr-CA"/>
        </w:rPr>
        <w:t xml:space="preserve"> qui </w:t>
      </w:r>
      <w:r w:rsidR="00CB3046">
        <w:rPr>
          <w:lang w:val="fr-CA"/>
        </w:rPr>
        <w:t>n’ont pas une exigence ou un processus semblable en place</w:t>
      </w:r>
      <w:r w:rsidRPr="00FA558D" w:rsidR="00B91619">
        <w:rPr>
          <w:lang w:val="fr-CA"/>
        </w:rPr>
        <w:t xml:space="preserve">, </w:t>
      </w:r>
      <w:r w:rsidR="00B91619">
        <w:rPr>
          <w:lang w:val="fr-CA"/>
        </w:rPr>
        <w:t xml:space="preserve">l’augmentation progressive des coûts </w:t>
      </w:r>
      <w:r w:rsidR="00FB1F6D">
        <w:rPr>
          <w:lang w:val="fr-CA"/>
        </w:rPr>
        <w:t>d</w:t>
      </w:r>
      <w:r w:rsidR="00CB3046">
        <w:rPr>
          <w:lang w:val="fr-CA"/>
        </w:rPr>
        <w:t xml:space="preserve">u </w:t>
      </w:r>
      <w:r w:rsidR="00B91619">
        <w:rPr>
          <w:lang w:val="fr-CA"/>
        </w:rPr>
        <w:t xml:space="preserve">fardeau administratif </w:t>
      </w:r>
      <w:r w:rsidR="0052311F">
        <w:rPr>
          <w:lang w:val="fr-CA"/>
        </w:rPr>
        <w:t>imposé aux</w:t>
      </w:r>
      <w:r w:rsidR="00B91619">
        <w:rPr>
          <w:lang w:val="fr-CA"/>
        </w:rPr>
        <w:t xml:space="preserve"> entreprises</w:t>
      </w:r>
      <w:r w:rsidRPr="00FA558D" w:rsidR="00B91619">
        <w:rPr>
          <w:lang w:val="fr-CA"/>
        </w:rPr>
        <w:t xml:space="preserve"> </w:t>
      </w:r>
      <w:r w:rsidR="00B91619">
        <w:rPr>
          <w:lang w:val="fr-CA"/>
        </w:rPr>
        <w:t>doit</w:t>
      </w:r>
      <w:r w:rsidRPr="00FA558D" w:rsidR="00B91619">
        <w:rPr>
          <w:lang w:val="fr-CA"/>
        </w:rPr>
        <w:t xml:space="preserve"> </w:t>
      </w:r>
      <w:r w:rsidR="00B91619">
        <w:rPr>
          <w:lang w:val="fr-CA"/>
        </w:rPr>
        <w:t xml:space="preserve">être </w:t>
      </w:r>
      <w:r w:rsidR="00CB3046">
        <w:rPr>
          <w:lang w:val="fr-CA"/>
        </w:rPr>
        <w:t>monét</w:t>
      </w:r>
      <w:r w:rsidR="00992102">
        <w:rPr>
          <w:lang w:val="fr-CA"/>
        </w:rPr>
        <w:t>ar</w:t>
      </w:r>
      <w:r w:rsidR="00CB3046">
        <w:rPr>
          <w:lang w:val="fr-CA"/>
        </w:rPr>
        <w:t>isée</w:t>
      </w:r>
      <w:r w:rsidR="00C5160F">
        <w:rPr>
          <w:lang w:val="fr-CA"/>
        </w:rPr>
        <w:t xml:space="preserve"> </w:t>
      </w:r>
      <w:r w:rsidR="00B91619">
        <w:rPr>
          <w:lang w:val="fr-CA"/>
        </w:rPr>
        <w:t xml:space="preserve">et </w:t>
      </w:r>
      <w:r w:rsidR="00CB3046">
        <w:rPr>
          <w:lang w:val="fr-CA"/>
        </w:rPr>
        <w:t>considéré</w:t>
      </w:r>
      <w:r w:rsidR="007C1161">
        <w:rPr>
          <w:lang w:val="fr-CA"/>
        </w:rPr>
        <w:t xml:space="preserve">e </w:t>
      </w:r>
      <w:r w:rsidR="00B91619">
        <w:rPr>
          <w:lang w:val="fr-CA"/>
        </w:rPr>
        <w:t>comme un fardeau</w:t>
      </w:r>
      <w:r w:rsidR="00F346A6">
        <w:rPr>
          <w:lang w:val="fr-CA"/>
        </w:rPr>
        <w:t xml:space="preserve"> supplémentaire</w:t>
      </w:r>
      <w:r w:rsidRPr="00FA558D" w:rsidR="00B91619">
        <w:rPr>
          <w:lang w:val="fr-CA"/>
        </w:rPr>
        <w:t>.</w:t>
      </w:r>
    </w:p>
    <w:p w:rsidRPr="00FA558D" w:rsidR="00B91619" w:rsidP="00B91619" w:rsidRDefault="00B91619" w14:paraId="6AEB24C7" w14:textId="77777777">
      <w:pPr>
        <w:tabs>
          <w:tab w:val="left" w:pos="9356"/>
        </w:tabs>
        <w:spacing w:after="0" w:line="240" w:lineRule="auto"/>
        <w:rPr>
          <w:lang w:val="fr-CA"/>
        </w:rPr>
      </w:pPr>
    </w:p>
    <w:p w:rsidRPr="00FA558D" w:rsidR="00B91619" w:rsidP="00B91619" w:rsidRDefault="00B91619" w14:paraId="59EED4BC" w14:textId="441ADB8C">
      <w:pPr>
        <w:tabs>
          <w:tab w:val="left" w:pos="9356"/>
        </w:tabs>
        <w:spacing w:after="0" w:line="240" w:lineRule="auto"/>
        <w:rPr>
          <w:lang w:val="fr-CA"/>
        </w:rPr>
      </w:pPr>
      <w:r>
        <w:rPr>
          <w:lang w:val="fr-CA"/>
        </w:rPr>
        <w:t>Si</w:t>
      </w:r>
      <w:r w:rsidR="00DE4685">
        <w:rPr>
          <w:lang w:val="fr-CA"/>
        </w:rPr>
        <w:t xml:space="preserve"> </w:t>
      </w:r>
      <w:r>
        <w:rPr>
          <w:lang w:val="fr-CA"/>
        </w:rPr>
        <w:t>une nouvelle entente</w:t>
      </w:r>
      <w:r w:rsidR="00DE4685">
        <w:rPr>
          <w:lang w:val="fr-CA"/>
        </w:rPr>
        <w:t xml:space="preserve"> prévoit que</w:t>
      </w:r>
      <w:r>
        <w:rPr>
          <w:lang w:val="fr-CA"/>
        </w:rPr>
        <w:t xml:space="preserve"> le ministre fédéral</w:t>
      </w:r>
      <w:r w:rsidRPr="00FA558D">
        <w:rPr>
          <w:lang w:val="fr-CA"/>
        </w:rPr>
        <w:t xml:space="preserve"> </w:t>
      </w:r>
      <w:r>
        <w:rPr>
          <w:lang w:val="fr-CA"/>
        </w:rPr>
        <w:t xml:space="preserve">apporte </w:t>
      </w:r>
      <w:r w:rsidR="00B31CB8">
        <w:rPr>
          <w:lang w:val="fr-CA"/>
        </w:rPr>
        <w:t xml:space="preserve">une </w:t>
      </w:r>
      <w:r w:rsidR="00CB3046">
        <w:rPr>
          <w:lang w:val="fr-CA"/>
        </w:rPr>
        <w:t xml:space="preserve">modification </w:t>
      </w:r>
      <w:r>
        <w:rPr>
          <w:lang w:val="fr-CA"/>
        </w:rPr>
        <w:t>réglementaire qui</w:t>
      </w:r>
      <w:r w:rsidR="00B011EE">
        <w:rPr>
          <w:lang w:val="fr-CA"/>
        </w:rPr>
        <w:t xml:space="preserve"> entraîne </w:t>
      </w:r>
      <w:r w:rsidR="00CB3046">
        <w:rPr>
          <w:lang w:val="fr-CA"/>
        </w:rPr>
        <w:t>de nouveaux</w:t>
      </w:r>
      <w:r>
        <w:rPr>
          <w:lang w:val="fr-CA"/>
        </w:rPr>
        <w:t xml:space="preserve"> coûts</w:t>
      </w:r>
      <w:r w:rsidR="00CB3046">
        <w:rPr>
          <w:lang w:val="fr-CA"/>
        </w:rPr>
        <w:t xml:space="preserve"> liés au</w:t>
      </w:r>
      <w:r>
        <w:rPr>
          <w:lang w:val="fr-CA"/>
        </w:rPr>
        <w:t xml:space="preserve"> fardeau administratif </w:t>
      </w:r>
      <w:r w:rsidR="00B011EE">
        <w:rPr>
          <w:lang w:val="fr-CA"/>
        </w:rPr>
        <w:t>imposé aux</w:t>
      </w:r>
      <w:r>
        <w:rPr>
          <w:lang w:val="fr-CA"/>
        </w:rPr>
        <w:t xml:space="preserve"> entreprises</w:t>
      </w:r>
      <w:r w:rsidRPr="00FA558D">
        <w:rPr>
          <w:lang w:val="fr-CA"/>
        </w:rPr>
        <w:t xml:space="preserve"> </w:t>
      </w:r>
      <w:r>
        <w:rPr>
          <w:lang w:val="fr-CA"/>
        </w:rPr>
        <w:t>à la demande d’une</w:t>
      </w:r>
      <w:r w:rsidRPr="00FA558D">
        <w:rPr>
          <w:lang w:val="fr-CA"/>
        </w:rPr>
        <w:t xml:space="preserve"> province</w:t>
      </w:r>
      <w:r>
        <w:rPr>
          <w:lang w:val="fr-CA"/>
        </w:rPr>
        <w:t xml:space="preserve"> ou d’un </w:t>
      </w:r>
      <w:r w:rsidRPr="00FA558D">
        <w:rPr>
          <w:lang w:val="fr-CA"/>
        </w:rPr>
        <w:t>terri</w:t>
      </w:r>
      <w:r>
        <w:rPr>
          <w:lang w:val="fr-CA"/>
        </w:rPr>
        <w:t>toire</w:t>
      </w:r>
      <w:r w:rsidRPr="00FA558D">
        <w:rPr>
          <w:lang w:val="fr-CA"/>
        </w:rPr>
        <w:t xml:space="preserve">, </w:t>
      </w:r>
      <w:r>
        <w:rPr>
          <w:lang w:val="fr-CA"/>
        </w:rPr>
        <w:t>le ministre fédéral qui parraine la modification réglementaire</w:t>
      </w:r>
      <w:r w:rsidRPr="00FA558D">
        <w:rPr>
          <w:lang w:val="fr-CA"/>
        </w:rPr>
        <w:t xml:space="preserve"> </w:t>
      </w:r>
      <w:r>
        <w:rPr>
          <w:lang w:val="fr-CA"/>
        </w:rPr>
        <w:t>se verra attribuer l</w:t>
      </w:r>
      <w:r w:rsidR="00DE4685">
        <w:rPr>
          <w:lang w:val="fr-CA"/>
        </w:rPr>
        <w:t>e</w:t>
      </w:r>
      <w:r>
        <w:rPr>
          <w:lang w:val="fr-CA"/>
        </w:rPr>
        <w:t xml:space="preserve"> fardeau</w:t>
      </w:r>
      <w:r w:rsidR="00DE4685">
        <w:rPr>
          <w:lang w:val="fr-CA"/>
        </w:rPr>
        <w:t xml:space="preserve"> supplémentaire</w:t>
      </w:r>
      <w:r w:rsidRPr="00FA558D">
        <w:rPr>
          <w:lang w:val="fr-CA"/>
        </w:rPr>
        <w:t xml:space="preserve"> (</w:t>
      </w:r>
      <w:r>
        <w:rPr>
          <w:lang w:val="fr-CA"/>
        </w:rPr>
        <w:t xml:space="preserve">et </w:t>
      </w:r>
      <w:r w:rsidR="00CB3046">
        <w:rPr>
          <w:lang w:val="fr-CA"/>
        </w:rPr>
        <w:t>l</w:t>
      </w:r>
      <w:proofErr w:type="gramStart"/>
      <w:r w:rsidR="00CB3046">
        <w:rPr>
          <w:lang w:val="fr-CA"/>
        </w:rPr>
        <w:t>’</w:t>
      </w:r>
      <w:r w:rsidR="00DE4685">
        <w:rPr>
          <w:lang w:val="fr-CA"/>
        </w:rPr>
        <w:t>«</w:t>
      </w:r>
      <w:proofErr w:type="gramEnd"/>
      <w:r w:rsidR="009647E5">
        <w:rPr>
          <w:lang w:val="fr-CA"/>
        </w:rPr>
        <w:t> </w:t>
      </w:r>
      <w:r w:rsidR="00CB3046">
        <w:rPr>
          <w:lang w:val="fr-CA"/>
        </w:rPr>
        <w:t>ajout</w:t>
      </w:r>
      <w:r w:rsidR="00DE4685">
        <w:rPr>
          <w:lang w:val="fr-CA"/>
        </w:rPr>
        <w:t xml:space="preserve"> d’un titre</w:t>
      </w:r>
      <w:r w:rsidR="009647E5">
        <w:rPr>
          <w:lang w:val="fr-CA"/>
        </w:rPr>
        <w:t> </w:t>
      </w:r>
      <w:r w:rsidR="00DE4685">
        <w:rPr>
          <w:lang w:val="fr-CA"/>
        </w:rPr>
        <w:t>»</w:t>
      </w:r>
      <w:r>
        <w:rPr>
          <w:lang w:val="fr-CA"/>
        </w:rPr>
        <w:t>, s</w:t>
      </w:r>
      <w:r w:rsidR="00DE4685">
        <w:rPr>
          <w:lang w:val="fr-CA"/>
        </w:rPr>
        <w:t>’il y a lieu</w:t>
      </w:r>
      <w:r w:rsidRPr="00FA558D">
        <w:rPr>
          <w:lang w:val="fr-CA"/>
        </w:rPr>
        <w:t xml:space="preserve">) </w:t>
      </w:r>
      <w:r>
        <w:rPr>
          <w:lang w:val="fr-CA"/>
        </w:rPr>
        <w:t>en vertu de la règle du « un pour un »</w:t>
      </w:r>
      <w:r w:rsidRPr="00FA558D">
        <w:rPr>
          <w:lang w:val="fr-CA"/>
        </w:rPr>
        <w:t>.</w:t>
      </w:r>
    </w:p>
    <w:p w:rsidRPr="00FA558D" w:rsidR="00B91619" w:rsidP="00B91619" w:rsidRDefault="00B91619" w14:paraId="3A642676" w14:textId="77777777">
      <w:pPr>
        <w:tabs>
          <w:tab w:val="left" w:pos="9356"/>
        </w:tabs>
        <w:spacing w:after="0" w:line="240" w:lineRule="auto"/>
        <w:rPr>
          <w:lang w:val="fr-CA"/>
        </w:rPr>
      </w:pPr>
    </w:p>
    <w:p w:rsidRPr="00FA558D" w:rsidR="00B91619" w:rsidP="00B91619" w:rsidRDefault="00B91619" w14:paraId="2F244181" w14:textId="66DE11E2">
      <w:pPr>
        <w:pStyle w:val="Heading4"/>
        <w:rPr>
          <w:lang w:val="fr-CA"/>
        </w:rPr>
      </w:pPr>
      <w:r w:rsidRPr="00FA558D">
        <w:rPr>
          <w:lang w:val="fr-CA"/>
        </w:rPr>
        <w:t>A</w:t>
      </w:r>
      <w:r>
        <w:rPr>
          <w:lang w:val="fr-CA"/>
        </w:rPr>
        <w:t>pplication de</w:t>
      </w:r>
      <w:r w:rsidRPr="00FA558D">
        <w:rPr>
          <w:lang w:val="fr-CA"/>
        </w:rPr>
        <w:t xml:space="preserve"> </w:t>
      </w:r>
      <w:r>
        <w:rPr>
          <w:lang w:val="fr-CA"/>
        </w:rPr>
        <w:t>la règle du « un pour un »</w:t>
      </w:r>
      <w:r w:rsidRPr="00FA558D">
        <w:rPr>
          <w:lang w:val="fr-CA"/>
        </w:rPr>
        <w:t xml:space="preserve"> </w:t>
      </w:r>
      <w:r>
        <w:rPr>
          <w:lang w:val="fr-CA"/>
        </w:rPr>
        <w:t xml:space="preserve">aux ententes avec les autres </w:t>
      </w:r>
      <w:r w:rsidR="004318B8">
        <w:rPr>
          <w:lang w:val="fr-CA"/>
        </w:rPr>
        <w:t>administrations</w:t>
      </w:r>
    </w:p>
    <w:p w:rsidRPr="00FA558D" w:rsidR="00B91619" w:rsidP="00B91619" w:rsidRDefault="00B91619" w14:paraId="1CF1B407" w14:textId="77777777">
      <w:pPr>
        <w:tabs>
          <w:tab w:val="left" w:pos="9356"/>
        </w:tabs>
        <w:spacing w:after="0" w:line="240" w:lineRule="auto"/>
        <w:rPr>
          <w:lang w:val="fr-CA"/>
        </w:rPr>
      </w:pPr>
    </w:p>
    <w:p w:rsidRPr="00FA558D" w:rsidR="00B91619" w:rsidP="00B91619" w:rsidRDefault="00B91619" w14:paraId="7F9432ED" w14:textId="72580C80">
      <w:pPr>
        <w:tabs>
          <w:tab w:val="left" w:pos="9356"/>
        </w:tabs>
        <w:spacing w:after="0" w:line="240" w:lineRule="auto"/>
        <w:rPr>
          <w:lang w:val="fr-CA"/>
        </w:rPr>
      </w:pPr>
      <w:r>
        <w:rPr>
          <w:lang w:val="fr-CA"/>
        </w:rPr>
        <w:t>Les organismes de réglementation</w:t>
      </w:r>
      <w:r w:rsidRPr="00FA558D">
        <w:rPr>
          <w:lang w:val="fr-CA"/>
        </w:rPr>
        <w:t xml:space="preserve"> </w:t>
      </w:r>
      <w:r>
        <w:rPr>
          <w:lang w:val="fr-CA"/>
        </w:rPr>
        <w:t>d</w:t>
      </w:r>
      <w:r w:rsidR="0052311F">
        <w:rPr>
          <w:lang w:val="fr-CA"/>
        </w:rPr>
        <w:t>evraient</w:t>
      </w:r>
      <w:r>
        <w:rPr>
          <w:lang w:val="fr-CA"/>
        </w:rPr>
        <w:t xml:space="preserve"> veiller à ce que tous les accords internationaux et toutes les </w:t>
      </w:r>
      <w:r w:rsidRPr="00FA558D">
        <w:rPr>
          <w:lang w:val="fr-CA"/>
        </w:rPr>
        <w:t>obligations</w:t>
      </w:r>
      <w:r>
        <w:rPr>
          <w:lang w:val="fr-CA"/>
        </w:rPr>
        <w:t xml:space="preserve"> internationales soient, </w:t>
      </w:r>
      <w:r w:rsidR="0052311F">
        <w:rPr>
          <w:lang w:val="fr-CA"/>
        </w:rPr>
        <w:t>dans la mesure du</w:t>
      </w:r>
      <w:r>
        <w:rPr>
          <w:lang w:val="fr-CA"/>
        </w:rPr>
        <w:t xml:space="preserve"> possible, formulés de manière à réduire au minimum le fardeau administratif</w:t>
      </w:r>
      <w:r w:rsidR="0052311F">
        <w:rPr>
          <w:lang w:val="fr-CA"/>
        </w:rPr>
        <w:t xml:space="preserve"> imposé aux</w:t>
      </w:r>
      <w:r>
        <w:rPr>
          <w:lang w:val="fr-CA"/>
        </w:rPr>
        <w:t xml:space="preserve"> entreprises. Si le gouvernement fédéral</w:t>
      </w:r>
      <w:r w:rsidRPr="00FA558D">
        <w:rPr>
          <w:lang w:val="fr-CA"/>
        </w:rPr>
        <w:t xml:space="preserve"> </w:t>
      </w:r>
      <w:r>
        <w:rPr>
          <w:lang w:val="fr-CA"/>
        </w:rPr>
        <w:t>n’a pas le pouvoir discrétionnaire sur le choix de l’instrument</w:t>
      </w:r>
      <w:r w:rsidR="005F7007">
        <w:rPr>
          <w:lang w:val="fr-CA"/>
        </w:rPr>
        <w:t xml:space="preserve"> ou</w:t>
      </w:r>
      <w:r>
        <w:rPr>
          <w:lang w:val="fr-CA"/>
        </w:rPr>
        <w:t xml:space="preserve"> l</w:t>
      </w:r>
      <w:r w:rsidR="00773503">
        <w:rPr>
          <w:lang w:val="fr-CA"/>
        </w:rPr>
        <w:t>’élaboration</w:t>
      </w:r>
      <w:r>
        <w:rPr>
          <w:lang w:val="fr-CA"/>
        </w:rPr>
        <w:t xml:space="preserve"> ou l’</w:t>
      </w:r>
      <w:r w:rsidRPr="00FA558D">
        <w:rPr>
          <w:lang w:val="fr-CA"/>
        </w:rPr>
        <w:t>a</w:t>
      </w:r>
      <w:r w:rsidR="005F7007">
        <w:rPr>
          <w:lang w:val="fr-CA"/>
        </w:rPr>
        <w:t>pplication</w:t>
      </w:r>
      <w:r w:rsidRPr="00FA558D">
        <w:rPr>
          <w:lang w:val="fr-CA"/>
        </w:rPr>
        <w:t xml:space="preserve"> </w:t>
      </w:r>
      <w:r>
        <w:rPr>
          <w:lang w:val="fr-CA"/>
        </w:rPr>
        <w:t>du règlement</w:t>
      </w:r>
      <w:r w:rsidRPr="00FA558D">
        <w:rPr>
          <w:lang w:val="fr-CA"/>
        </w:rPr>
        <w:t xml:space="preserve">, </w:t>
      </w:r>
      <w:r>
        <w:rPr>
          <w:lang w:val="fr-CA"/>
        </w:rPr>
        <w:t>l’ob</w:t>
      </w:r>
      <w:r w:rsidRPr="00FA558D">
        <w:rPr>
          <w:lang w:val="fr-CA"/>
        </w:rPr>
        <w:t xml:space="preserve">ligation </w:t>
      </w:r>
      <w:r>
        <w:rPr>
          <w:lang w:val="fr-CA"/>
        </w:rPr>
        <w:t xml:space="preserve">pourrait être </w:t>
      </w:r>
      <w:r w:rsidR="002C62CA">
        <w:rPr>
          <w:lang w:val="fr-CA"/>
        </w:rPr>
        <w:t xml:space="preserve">considérée comme </w:t>
      </w:r>
      <w:r>
        <w:rPr>
          <w:lang w:val="fr-CA"/>
        </w:rPr>
        <w:t>no</w:t>
      </w:r>
      <w:r w:rsidRPr="00FA558D">
        <w:rPr>
          <w:lang w:val="fr-CA"/>
        </w:rPr>
        <w:t>n</w:t>
      </w:r>
      <w:r>
        <w:rPr>
          <w:lang w:val="fr-CA"/>
        </w:rPr>
        <w:t xml:space="preserve"> discrétionnaire et il </w:t>
      </w:r>
      <w:r w:rsidR="003A4451">
        <w:rPr>
          <w:lang w:val="fr-CA"/>
        </w:rPr>
        <w:t>serait</w:t>
      </w:r>
      <w:r>
        <w:rPr>
          <w:lang w:val="fr-CA"/>
        </w:rPr>
        <w:t xml:space="preserve"> possible </w:t>
      </w:r>
      <w:r w:rsidR="002C62CA">
        <w:rPr>
          <w:lang w:val="fr-CA"/>
        </w:rPr>
        <w:t>de demander</w:t>
      </w:r>
      <w:r>
        <w:rPr>
          <w:lang w:val="fr-CA"/>
        </w:rPr>
        <w:t xml:space="preserve"> une </w:t>
      </w:r>
      <w:r w:rsidRPr="00FA558D">
        <w:rPr>
          <w:lang w:val="fr-CA"/>
        </w:rPr>
        <w:t xml:space="preserve">exemption </w:t>
      </w:r>
      <w:r w:rsidR="005F7007">
        <w:rPr>
          <w:lang w:val="fr-CA"/>
        </w:rPr>
        <w:t xml:space="preserve">au </w:t>
      </w:r>
      <w:r>
        <w:rPr>
          <w:lang w:val="fr-CA"/>
        </w:rPr>
        <w:t>Conseil du Trésor</w:t>
      </w:r>
      <w:r w:rsidRPr="00FA558D">
        <w:rPr>
          <w:lang w:val="fr-CA"/>
        </w:rPr>
        <w:t xml:space="preserve"> (</w:t>
      </w:r>
      <w:r w:rsidR="002C62CA">
        <w:rPr>
          <w:lang w:val="fr-CA"/>
        </w:rPr>
        <w:t>p</w:t>
      </w:r>
      <w:r w:rsidRPr="00FA558D">
        <w:rPr>
          <w:lang w:val="fr-CA"/>
        </w:rPr>
        <w:t>art</w:t>
      </w:r>
      <w:r>
        <w:rPr>
          <w:lang w:val="fr-CA"/>
        </w:rPr>
        <w:t>ie</w:t>
      </w:r>
      <w:r w:rsidRPr="00FA558D">
        <w:rPr>
          <w:lang w:val="fr-CA"/>
        </w:rPr>
        <w:t> B)</w:t>
      </w:r>
      <w:r>
        <w:rPr>
          <w:lang w:val="fr-CA"/>
        </w:rPr>
        <w:t>. Les organismes de réglementation</w:t>
      </w:r>
      <w:r w:rsidRPr="00FA558D">
        <w:rPr>
          <w:lang w:val="fr-CA"/>
        </w:rPr>
        <w:t xml:space="preserve"> </w:t>
      </w:r>
      <w:r>
        <w:rPr>
          <w:lang w:val="fr-CA"/>
        </w:rPr>
        <w:t xml:space="preserve">ne doivent pas </w:t>
      </w:r>
      <w:r w:rsidR="009A3C9E">
        <w:rPr>
          <w:lang w:val="fr-CA"/>
        </w:rPr>
        <w:t>s’attendre</w:t>
      </w:r>
      <w:r>
        <w:rPr>
          <w:lang w:val="fr-CA"/>
        </w:rPr>
        <w:t xml:space="preserve"> </w:t>
      </w:r>
      <w:r w:rsidR="009A3C9E">
        <w:rPr>
          <w:lang w:val="fr-CA"/>
        </w:rPr>
        <w:t xml:space="preserve">à être </w:t>
      </w:r>
      <w:r w:rsidR="002C62CA">
        <w:rPr>
          <w:lang w:val="fr-CA"/>
        </w:rPr>
        <w:t>exempt</w:t>
      </w:r>
      <w:r w:rsidR="009A3C9E">
        <w:rPr>
          <w:lang w:val="fr-CA"/>
        </w:rPr>
        <w:t>és</w:t>
      </w:r>
      <w:r w:rsidR="002C62CA">
        <w:rPr>
          <w:lang w:val="fr-CA"/>
        </w:rPr>
        <w:t xml:space="preserve"> de l’obligation</w:t>
      </w:r>
      <w:r>
        <w:rPr>
          <w:lang w:val="fr-CA"/>
        </w:rPr>
        <w:t xml:space="preserve"> de compenser </w:t>
      </w:r>
      <w:r w:rsidR="009A3C9E">
        <w:rPr>
          <w:lang w:val="fr-CA"/>
        </w:rPr>
        <w:t xml:space="preserve">pour les modifications réglementaires qu’ils proposent </w:t>
      </w:r>
      <w:r>
        <w:rPr>
          <w:lang w:val="fr-CA"/>
        </w:rPr>
        <w:t xml:space="preserve">s’ils </w:t>
      </w:r>
      <w:r w:rsidR="009A3C9E">
        <w:rPr>
          <w:lang w:val="fr-CA"/>
        </w:rPr>
        <w:t>détiennent le contrôle de</w:t>
      </w:r>
      <w:r>
        <w:rPr>
          <w:lang w:val="fr-CA"/>
        </w:rPr>
        <w:t xml:space="preserve"> l</w:t>
      </w:r>
      <w:r w:rsidR="00773503">
        <w:rPr>
          <w:lang w:val="fr-CA"/>
        </w:rPr>
        <w:t>’élaboration</w:t>
      </w:r>
      <w:r>
        <w:rPr>
          <w:lang w:val="fr-CA"/>
        </w:rPr>
        <w:t xml:space="preserve"> et </w:t>
      </w:r>
      <w:r w:rsidR="00773503">
        <w:rPr>
          <w:lang w:val="fr-CA"/>
        </w:rPr>
        <w:t xml:space="preserve">de </w:t>
      </w:r>
      <w:r>
        <w:rPr>
          <w:lang w:val="fr-CA"/>
        </w:rPr>
        <w:t>l’</w:t>
      </w:r>
      <w:r w:rsidR="009A3C9E">
        <w:rPr>
          <w:lang w:val="fr-CA"/>
        </w:rPr>
        <w:t>application</w:t>
      </w:r>
      <w:r w:rsidRPr="00FA558D">
        <w:rPr>
          <w:lang w:val="fr-CA"/>
        </w:rPr>
        <w:t xml:space="preserve"> </w:t>
      </w:r>
      <w:r>
        <w:rPr>
          <w:lang w:val="fr-CA"/>
        </w:rPr>
        <w:t>du règlement</w:t>
      </w:r>
      <w:r w:rsidRPr="00FA558D">
        <w:rPr>
          <w:lang w:val="fr-CA"/>
        </w:rPr>
        <w:t xml:space="preserve">. </w:t>
      </w:r>
    </w:p>
    <w:p w:rsidRPr="00FA558D" w:rsidR="00B91619" w:rsidP="00B91619" w:rsidRDefault="00B91619" w14:paraId="7372ABC0" w14:textId="77777777">
      <w:pPr>
        <w:tabs>
          <w:tab w:val="left" w:pos="9356"/>
        </w:tabs>
        <w:spacing w:after="0" w:line="240" w:lineRule="auto"/>
        <w:rPr>
          <w:lang w:val="fr-CA"/>
        </w:rPr>
      </w:pPr>
    </w:p>
    <w:p w:rsidRPr="00FA558D" w:rsidR="00B91619" w:rsidP="00B91619" w:rsidRDefault="00B91619" w14:paraId="1133D61F" w14:textId="03B398DD">
      <w:pPr>
        <w:pStyle w:val="Heading3"/>
        <w:rPr>
          <w:lang w:val="fr-CA"/>
        </w:rPr>
      </w:pPr>
      <w:bookmarkStart w:name="_Toc151373912" w:id="19"/>
      <w:r>
        <w:rPr>
          <w:lang w:val="fr-CA"/>
        </w:rPr>
        <w:t>Validation des</w:t>
      </w:r>
      <w:r w:rsidRPr="00FA558D">
        <w:rPr>
          <w:lang w:val="fr-CA"/>
        </w:rPr>
        <w:t xml:space="preserve"> </w:t>
      </w:r>
      <w:r>
        <w:rPr>
          <w:lang w:val="fr-CA"/>
        </w:rPr>
        <w:t>estimation</w:t>
      </w:r>
      <w:r w:rsidRPr="00FA558D">
        <w:rPr>
          <w:lang w:val="fr-CA"/>
        </w:rPr>
        <w:t>s</w:t>
      </w:r>
      <w:r>
        <w:rPr>
          <w:lang w:val="fr-CA"/>
        </w:rPr>
        <w:t xml:space="preserve"> du fardeau administratif </w:t>
      </w:r>
      <w:r w:rsidRPr="00FA558D">
        <w:rPr>
          <w:lang w:val="fr-CA"/>
        </w:rPr>
        <w:t>(</w:t>
      </w:r>
      <w:r w:rsidR="00D74EE3">
        <w:rPr>
          <w:lang w:val="fr-CA"/>
        </w:rPr>
        <w:t>paragraphe</w:t>
      </w:r>
      <w:r w:rsidRPr="00FA558D">
        <w:rPr>
          <w:lang w:val="fr-CA"/>
        </w:rPr>
        <w:t> 7.2.2)</w:t>
      </w:r>
      <w:bookmarkEnd w:id="19"/>
    </w:p>
    <w:p w:rsidRPr="00FA558D" w:rsidR="00B91619" w:rsidP="00B91619" w:rsidRDefault="00B91619" w14:paraId="0CAA0FFF" w14:textId="77777777">
      <w:pPr>
        <w:tabs>
          <w:tab w:val="left" w:pos="9356"/>
        </w:tabs>
        <w:spacing w:after="0" w:line="240" w:lineRule="auto"/>
        <w:rPr>
          <w:lang w:val="fr-CA"/>
        </w:rPr>
      </w:pPr>
    </w:p>
    <w:p w:rsidRPr="00FA558D" w:rsidR="00B91619" w:rsidP="00B91619" w:rsidRDefault="00B91619" w14:paraId="73346DF8" w14:textId="1706829B">
      <w:pPr>
        <w:tabs>
          <w:tab w:val="left" w:pos="9356"/>
        </w:tabs>
        <w:spacing w:after="0" w:line="240" w:lineRule="auto"/>
        <w:rPr>
          <w:lang w:val="fr-CA"/>
        </w:rPr>
      </w:pPr>
      <w:r w:rsidRPr="00FA558D">
        <w:rPr>
          <w:lang w:val="fr-CA"/>
        </w:rPr>
        <w:t>I</w:t>
      </w:r>
      <w:r>
        <w:rPr>
          <w:lang w:val="fr-CA"/>
        </w:rPr>
        <w:t>l est essentiel que les hypothèse</w:t>
      </w:r>
      <w:r w:rsidRPr="00FA558D">
        <w:rPr>
          <w:lang w:val="fr-CA"/>
        </w:rPr>
        <w:t xml:space="preserve">s </w:t>
      </w:r>
      <w:r w:rsidR="00CF69BA">
        <w:rPr>
          <w:lang w:val="fr-CA"/>
        </w:rPr>
        <w:t>utilisées pour estimer les</w:t>
      </w:r>
      <w:r>
        <w:rPr>
          <w:lang w:val="fr-CA"/>
        </w:rPr>
        <w:t xml:space="preserve"> répercussions</w:t>
      </w:r>
      <w:r w:rsidRPr="00FA558D">
        <w:rPr>
          <w:lang w:val="fr-CA"/>
        </w:rPr>
        <w:t xml:space="preserve"> </w:t>
      </w:r>
      <w:r>
        <w:rPr>
          <w:lang w:val="fr-CA"/>
        </w:rPr>
        <w:t>d’un projet</w:t>
      </w:r>
      <w:r w:rsidRPr="00FA558D">
        <w:rPr>
          <w:lang w:val="fr-CA"/>
        </w:rPr>
        <w:t xml:space="preserve"> </w:t>
      </w:r>
      <w:r w:rsidR="00760E98">
        <w:rPr>
          <w:lang w:val="fr-CA"/>
        </w:rPr>
        <w:t xml:space="preserve">de règlement </w:t>
      </w:r>
      <w:r>
        <w:rPr>
          <w:lang w:val="fr-CA"/>
        </w:rPr>
        <w:t xml:space="preserve">soient </w:t>
      </w:r>
      <w:r w:rsidR="00CF69BA">
        <w:rPr>
          <w:lang w:val="fr-CA"/>
        </w:rPr>
        <w:t>aussi</w:t>
      </w:r>
      <w:r>
        <w:rPr>
          <w:lang w:val="fr-CA"/>
        </w:rPr>
        <w:t xml:space="preserve"> exactes </w:t>
      </w:r>
      <w:r w:rsidR="00CF69BA">
        <w:rPr>
          <w:lang w:val="fr-CA"/>
        </w:rPr>
        <w:t xml:space="preserve">que </w:t>
      </w:r>
      <w:r w:rsidRPr="00FA558D">
        <w:rPr>
          <w:lang w:val="fr-CA"/>
        </w:rPr>
        <w:t xml:space="preserve">possible. </w:t>
      </w:r>
      <w:r>
        <w:rPr>
          <w:lang w:val="fr-CA"/>
        </w:rPr>
        <w:t>Les organismes de réglementation</w:t>
      </w:r>
      <w:r w:rsidRPr="00FA558D">
        <w:rPr>
          <w:lang w:val="fr-CA"/>
        </w:rPr>
        <w:t xml:space="preserve"> </w:t>
      </w:r>
      <w:r>
        <w:rPr>
          <w:lang w:val="fr-CA"/>
        </w:rPr>
        <w:t>devraient valider ces</w:t>
      </w:r>
      <w:r w:rsidRPr="00FA558D">
        <w:rPr>
          <w:lang w:val="fr-CA"/>
        </w:rPr>
        <w:t xml:space="preserve"> </w:t>
      </w:r>
      <w:r>
        <w:rPr>
          <w:lang w:val="fr-CA"/>
        </w:rPr>
        <w:t>hypothèse</w:t>
      </w:r>
      <w:r w:rsidRPr="00FA558D">
        <w:rPr>
          <w:lang w:val="fr-CA"/>
        </w:rPr>
        <w:t xml:space="preserve">s </w:t>
      </w:r>
      <w:r>
        <w:rPr>
          <w:lang w:val="fr-CA"/>
        </w:rPr>
        <w:t>le plus tôt possible dans le processus d’élaboration d</w:t>
      </w:r>
      <w:r w:rsidR="00C703F7">
        <w:rPr>
          <w:lang w:val="fr-CA"/>
        </w:rPr>
        <w:t>u règlement</w:t>
      </w:r>
      <w:r w:rsidRPr="00FA558D">
        <w:rPr>
          <w:lang w:val="fr-CA"/>
        </w:rPr>
        <w:t xml:space="preserve">. </w:t>
      </w:r>
    </w:p>
    <w:p w:rsidRPr="00FA558D" w:rsidR="00B91619" w:rsidP="00B91619" w:rsidRDefault="00B91619" w14:paraId="3D6BB61C" w14:textId="77777777">
      <w:pPr>
        <w:tabs>
          <w:tab w:val="left" w:pos="9356"/>
        </w:tabs>
        <w:spacing w:after="0" w:line="240" w:lineRule="auto"/>
        <w:rPr>
          <w:lang w:val="fr-CA"/>
        </w:rPr>
      </w:pPr>
    </w:p>
    <w:p w:rsidRPr="00FA558D" w:rsidR="00B91619" w:rsidP="00B91619" w:rsidRDefault="00B91619" w14:paraId="6836231E" w14:textId="3D58DA18">
      <w:pPr>
        <w:tabs>
          <w:tab w:val="left" w:pos="9356"/>
        </w:tabs>
        <w:spacing w:after="0" w:line="240" w:lineRule="auto"/>
        <w:rPr>
          <w:lang w:val="fr-CA"/>
        </w:rPr>
      </w:pPr>
      <w:r>
        <w:rPr>
          <w:lang w:val="fr-CA"/>
        </w:rPr>
        <w:t>Les hypothèses</w:t>
      </w:r>
      <w:r w:rsidRPr="00FA558D">
        <w:rPr>
          <w:lang w:val="fr-CA"/>
        </w:rPr>
        <w:t xml:space="preserve"> </w:t>
      </w:r>
      <w:r>
        <w:rPr>
          <w:lang w:val="fr-CA"/>
        </w:rPr>
        <w:t xml:space="preserve">devraient </w:t>
      </w:r>
      <w:r w:rsidR="00CB7D1A">
        <w:rPr>
          <w:lang w:val="fr-CA"/>
        </w:rPr>
        <w:t>reposer sur les commentaires importants</w:t>
      </w:r>
      <w:r w:rsidRPr="00FA558D">
        <w:rPr>
          <w:lang w:val="fr-CA"/>
        </w:rPr>
        <w:t xml:space="preserve"> </w:t>
      </w:r>
      <w:r>
        <w:rPr>
          <w:lang w:val="fr-CA"/>
        </w:rPr>
        <w:t>des</w:t>
      </w:r>
      <w:r w:rsidRPr="00FA558D">
        <w:rPr>
          <w:lang w:val="fr-CA"/>
        </w:rPr>
        <w:t xml:space="preserve"> </w:t>
      </w:r>
      <w:r>
        <w:rPr>
          <w:lang w:val="fr-CA"/>
        </w:rPr>
        <w:t>intervenants</w:t>
      </w:r>
      <w:r w:rsidRPr="00FA558D">
        <w:rPr>
          <w:lang w:val="fr-CA"/>
        </w:rPr>
        <w:t xml:space="preserve">, </w:t>
      </w:r>
      <w:r>
        <w:rPr>
          <w:lang w:val="fr-CA"/>
        </w:rPr>
        <w:t>qui peu</w:t>
      </w:r>
      <w:r w:rsidR="00CB7D1A">
        <w:rPr>
          <w:lang w:val="fr-CA"/>
        </w:rPr>
        <w:t>ven</w:t>
      </w:r>
      <w:r w:rsidR="004E651E">
        <w:rPr>
          <w:lang w:val="fr-CA"/>
        </w:rPr>
        <w:t>t</w:t>
      </w:r>
      <w:r>
        <w:rPr>
          <w:lang w:val="fr-CA"/>
        </w:rPr>
        <w:t xml:space="preserve"> être obtenu</w:t>
      </w:r>
      <w:r w:rsidR="00CB7D1A">
        <w:rPr>
          <w:lang w:val="fr-CA"/>
        </w:rPr>
        <w:t>s</w:t>
      </w:r>
      <w:r>
        <w:rPr>
          <w:lang w:val="fr-CA"/>
        </w:rPr>
        <w:t xml:space="preserve"> par divers moyens. Les organismes de réglementation</w:t>
      </w:r>
      <w:r w:rsidRPr="00FA558D">
        <w:rPr>
          <w:lang w:val="fr-CA"/>
        </w:rPr>
        <w:t xml:space="preserve"> </w:t>
      </w:r>
      <w:r>
        <w:rPr>
          <w:lang w:val="fr-CA"/>
        </w:rPr>
        <w:t>peuvent choisir de mobiliser les intervenants</w:t>
      </w:r>
      <w:r w:rsidRPr="00FA558D">
        <w:rPr>
          <w:lang w:val="fr-CA"/>
        </w:rPr>
        <w:t xml:space="preserve"> </w:t>
      </w:r>
      <w:r>
        <w:rPr>
          <w:lang w:val="fr-CA"/>
        </w:rPr>
        <w:t xml:space="preserve">dans le cadre d’un vaste processus de </w:t>
      </w:r>
      <w:r w:rsidRPr="00FA558D">
        <w:rPr>
          <w:lang w:val="fr-CA"/>
        </w:rPr>
        <w:t>consultati</w:t>
      </w:r>
      <w:r>
        <w:rPr>
          <w:lang w:val="fr-CA"/>
        </w:rPr>
        <w:t>on</w:t>
      </w:r>
      <w:r w:rsidRPr="00C11261" w:rsidR="00C11261">
        <w:rPr>
          <w:lang w:val="fr-CA"/>
        </w:rPr>
        <w:t xml:space="preserve"> </w:t>
      </w:r>
      <w:r w:rsidR="00C11261">
        <w:rPr>
          <w:lang w:val="fr-CA"/>
        </w:rPr>
        <w:t>officiel</w:t>
      </w:r>
      <w:r>
        <w:rPr>
          <w:lang w:val="fr-CA"/>
        </w:rPr>
        <w:t>, bien qu’il puisse aussi être opportun de communiquer de manière informelle avec les principaux intervenants</w:t>
      </w:r>
      <w:r w:rsidRPr="00FA558D">
        <w:rPr>
          <w:lang w:val="fr-CA"/>
        </w:rPr>
        <w:t xml:space="preserve">. </w:t>
      </w:r>
      <w:r w:rsidR="00AD63B8">
        <w:rPr>
          <w:lang w:val="fr-CA"/>
        </w:rPr>
        <w:t>Au bout du compte</w:t>
      </w:r>
      <w:r>
        <w:rPr>
          <w:lang w:val="fr-CA"/>
        </w:rPr>
        <w:t>, les</w:t>
      </w:r>
      <w:r w:rsidRPr="00FA558D">
        <w:rPr>
          <w:lang w:val="fr-CA"/>
        </w:rPr>
        <w:t xml:space="preserve"> </w:t>
      </w:r>
      <w:r>
        <w:rPr>
          <w:lang w:val="fr-CA"/>
        </w:rPr>
        <w:t xml:space="preserve">organismes de réglementation sont les mieux placés pour </w:t>
      </w:r>
      <w:r w:rsidR="00AD63B8">
        <w:rPr>
          <w:lang w:val="fr-CA"/>
        </w:rPr>
        <w:t>déterminer la façon de</w:t>
      </w:r>
      <w:r>
        <w:rPr>
          <w:lang w:val="fr-CA"/>
        </w:rPr>
        <w:t xml:space="preserve"> valider les hypothèses</w:t>
      </w:r>
      <w:r w:rsidR="00B15690">
        <w:rPr>
          <w:lang w:val="fr-CA"/>
        </w:rPr>
        <w:t>. L</w:t>
      </w:r>
      <w:r>
        <w:rPr>
          <w:lang w:val="fr-CA"/>
        </w:rPr>
        <w:t>a section sur la règle du « un pour un » du REIR</w:t>
      </w:r>
      <w:r w:rsidRPr="00FA558D">
        <w:rPr>
          <w:lang w:val="fr-CA"/>
        </w:rPr>
        <w:t xml:space="preserve"> </w:t>
      </w:r>
      <w:r>
        <w:rPr>
          <w:lang w:val="fr-CA"/>
        </w:rPr>
        <w:t xml:space="preserve">devrait indiquer </w:t>
      </w:r>
      <w:r w:rsidR="00AD63B8">
        <w:rPr>
          <w:lang w:val="fr-CA"/>
        </w:rPr>
        <w:t xml:space="preserve">de quelle façon </w:t>
      </w:r>
      <w:r>
        <w:rPr>
          <w:lang w:val="fr-CA"/>
        </w:rPr>
        <w:t>les hypothèses ont été validées</w:t>
      </w:r>
      <w:r w:rsidRPr="00FA558D">
        <w:rPr>
          <w:lang w:val="fr-CA"/>
        </w:rPr>
        <w:t xml:space="preserve">. </w:t>
      </w:r>
    </w:p>
    <w:p w:rsidRPr="00FA558D" w:rsidR="00B91619" w:rsidP="00B91619" w:rsidRDefault="00B91619" w14:paraId="7FEE12A8" w14:textId="77777777">
      <w:pPr>
        <w:tabs>
          <w:tab w:val="left" w:pos="9356"/>
        </w:tabs>
        <w:spacing w:after="0" w:line="240" w:lineRule="auto"/>
        <w:rPr>
          <w:lang w:val="fr-CA"/>
        </w:rPr>
      </w:pPr>
    </w:p>
    <w:p w:rsidRPr="00FA558D" w:rsidR="00B91619" w:rsidP="00B91619" w:rsidRDefault="00B91619" w14:paraId="6B4EB249" w14:textId="56D5C20A">
      <w:pPr>
        <w:tabs>
          <w:tab w:val="left" w:pos="9356"/>
        </w:tabs>
        <w:spacing w:after="0" w:line="240" w:lineRule="auto"/>
        <w:rPr>
          <w:lang w:val="fr-CA"/>
        </w:rPr>
      </w:pPr>
      <w:r>
        <w:rPr>
          <w:lang w:val="fr-CA"/>
        </w:rPr>
        <w:t xml:space="preserve">S’il n’est pas </w:t>
      </w:r>
      <w:r w:rsidR="00B15690">
        <w:rPr>
          <w:lang w:val="fr-CA"/>
        </w:rPr>
        <w:t>envisageable</w:t>
      </w:r>
      <w:r>
        <w:rPr>
          <w:lang w:val="fr-CA"/>
        </w:rPr>
        <w:t xml:space="preserve"> de </w:t>
      </w:r>
      <w:r w:rsidR="00991304">
        <w:rPr>
          <w:lang w:val="fr-CA"/>
        </w:rPr>
        <w:t xml:space="preserve">faire participer </w:t>
      </w:r>
      <w:r>
        <w:rPr>
          <w:lang w:val="fr-CA"/>
        </w:rPr>
        <w:t>les intervenants, les organismes de réglementation</w:t>
      </w:r>
      <w:r w:rsidRPr="00FA558D">
        <w:rPr>
          <w:lang w:val="fr-CA"/>
        </w:rPr>
        <w:t xml:space="preserve"> </w:t>
      </w:r>
      <w:r>
        <w:rPr>
          <w:lang w:val="fr-CA"/>
        </w:rPr>
        <w:t>doivent</w:t>
      </w:r>
      <w:r w:rsidRPr="00FA558D">
        <w:rPr>
          <w:lang w:val="fr-CA"/>
        </w:rPr>
        <w:t xml:space="preserve"> </w:t>
      </w:r>
      <w:r>
        <w:rPr>
          <w:lang w:val="fr-CA"/>
        </w:rPr>
        <w:t>expliquer comment ils ont validé les hypothèses dans le cadre du projet</w:t>
      </w:r>
      <w:r w:rsidR="00760E98">
        <w:rPr>
          <w:lang w:val="fr-CA"/>
        </w:rPr>
        <w:t xml:space="preserve"> de règlement</w:t>
      </w:r>
      <w:r>
        <w:rPr>
          <w:lang w:val="fr-CA"/>
        </w:rPr>
        <w:t xml:space="preserve">. </w:t>
      </w:r>
      <w:r w:rsidR="00760E98">
        <w:rPr>
          <w:lang w:val="fr-CA"/>
        </w:rPr>
        <w:t>Ils</w:t>
      </w:r>
      <w:r w:rsidRPr="00FA558D">
        <w:rPr>
          <w:lang w:val="fr-CA"/>
        </w:rPr>
        <w:t xml:space="preserve"> </w:t>
      </w:r>
      <w:r w:rsidR="00991304">
        <w:rPr>
          <w:lang w:val="fr-CA"/>
        </w:rPr>
        <w:t>p</w:t>
      </w:r>
      <w:r w:rsidR="00760E98">
        <w:rPr>
          <w:lang w:val="fr-CA"/>
        </w:rPr>
        <w:t>euvent</w:t>
      </w:r>
      <w:r w:rsidR="00991304">
        <w:rPr>
          <w:lang w:val="fr-CA"/>
        </w:rPr>
        <w:t xml:space="preserve"> choisir de </w:t>
      </w:r>
      <w:r>
        <w:rPr>
          <w:lang w:val="fr-CA"/>
        </w:rPr>
        <w:t xml:space="preserve">se </w:t>
      </w:r>
      <w:r w:rsidR="00760E98">
        <w:rPr>
          <w:lang w:val="fr-CA"/>
        </w:rPr>
        <w:t>reporter</w:t>
      </w:r>
      <w:r>
        <w:rPr>
          <w:lang w:val="fr-CA"/>
        </w:rPr>
        <w:t xml:space="preserve"> à des échanges antérieurs avec les intervenants</w:t>
      </w:r>
      <w:r w:rsidRPr="00FA558D">
        <w:rPr>
          <w:lang w:val="fr-CA"/>
        </w:rPr>
        <w:t xml:space="preserve"> </w:t>
      </w:r>
      <w:r>
        <w:rPr>
          <w:lang w:val="fr-CA"/>
        </w:rPr>
        <w:t>sur les hypothèses</w:t>
      </w:r>
      <w:r w:rsidRPr="00FA558D">
        <w:rPr>
          <w:lang w:val="fr-CA"/>
        </w:rPr>
        <w:t xml:space="preserve">, </w:t>
      </w:r>
      <w:r>
        <w:rPr>
          <w:lang w:val="fr-CA"/>
        </w:rPr>
        <w:t xml:space="preserve">si ces </w:t>
      </w:r>
      <w:r w:rsidR="00991304">
        <w:rPr>
          <w:lang w:val="fr-CA"/>
        </w:rPr>
        <w:t xml:space="preserve">renseignements </w:t>
      </w:r>
      <w:r>
        <w:rPr>
          <w:lang w:val="fr-CA"/>
        </w:rPr>
        <w:t xml:space="preserve">sont toujours considérés comme </w:t>
      </w:r>
      <w:r w:rsidRPr="00FA558D">
        <w:rPr>
          <w:lang w:val="fr-CA"/>
        </w:rPr>
        <w:t>valid</w:t>
      </w:r>
      <w:r>
        <w:rPr>
          <w:lang w:val="fr-CA"/>
        </w:rPr>
        <w:t>es</w:t>
      </w:r>
      <w:r w:rsidRPr="00FA558D">
        <w:rPr>
          <w:lang w:val="fr-CA"/>
        </w:rPr>
        <w:t xml:space="preserve">. </w:t>
      </w:r>
      <w:r>
        <w:rPr>
          <w:lang w:val="fr-CA"/>
        </w:rPr>
        <w:t xml:space="preserve">Les </w:t>
      </w:r>
      <w:r w:rsidR="00991304">
        <w:rPr>
          <w:lang w:val="fr-CA"/>
        </w:rPr>
        <w:t>renseignements provenant</w:t>
      </w:r>
      <w:r>
        <w:rPr>
          <w:lang w:val="fr-CA"/>
        </w:rPr>
        <w:t xml:space="preserve"> d’échanges antérieurs</w:t>
      </w:r>
      <w:r w:rsidRPr="00FA558D">
        <w:rPr>
          <w:lang w:val="fr-CA"/>
        </w:rPr>
        <w:t xml:space="preserve"> </w:t>
      </w:r>
      <w:r>
        <w:rPr>
          <w:lang w:val="fr-CA"/>
        </w:rPr>
        <w:t xml:space="preserve">devraient être </w:t>
      </w:r>
      <w:r w:rsidR="00991304">
        <w:rPr>
          <w:lang w:val="fr-CA"/>
        </w:rPr>
        <w:t xml:space="preserve">indiqués </w:t>
      </w:r>
      <w:r>
        <w:rPr>
          <w:lang w:val="fr-CA"/>
        </w:rPr>
        <w:t>dans la section sur la règle du « un pour un » du REIR</w:t>
      </w:r>
      <w:r w:rsidRPr="00FA558D">
        <w:rPr>
          <w:lang w:val="fr-CA"/>
        </w:rPr>
        <w:t>.</w:t>
      </w:r>
    </w:p>
    <w:p w:rsidRPr="00FA558D" w:rsidR="00B91619" w:rsidP="00B91619" w:rsidRDefault="00B91619" w14:paraId="451A9314" w14:textId="77777777">
      <w:pPr>
        <w:tabs>
          <w:tab w:val="left" w:pos="9356"/>
        </w:tabs>
        <w:spacing w:after="0" w:line="240" w:lineRule="auto"/>
        <w:rPr>
          <w:lang w:val="fr-CA"/>
        </w:rPr>
      </w:pPr>
    </w:p>
    <w:p w:rsidRPr="00FA558D" w:rsidR="00B91619" w:rsidP="00B91619" w:rsidRDefault="00B91619" w14:paraId="27894A26" w14:textId="70864C3C">
      <w:pPr>
        <w:tabs>
          <w:tab w:val="left" w:pos="9356"/>
        </w:tabs>
        <w:spacing w:after="0" w:line="240" w:lineRule="auto"/>
        <w:rPr>
          <w:lang w:val="fr-CA"/>
        </w:rPr>
      </w:pPr>
      <w:r>
        <w:rPr>
          <w:lang w:val="fr-CA"/>
        </w:rPr>
        <w:t xml:space="preserve">Il existe une exigence </w:t>
      </w:r>
      <w:r w:rsidR="00991304">
        <w:rPr>
          <w:lang w:val="fr-CA"/>
        </w:rPr>
        <w:t>distincte pour</w:t>
      </w:r>
      <w:r>
        <w:rPr>
          <w:lang w:val="fr-CA"/>
        </w:rPr>
        <w:t xml:space="preserve"> remplir la section du REIR</w:t>
      </w:r>
      <w:r w:rsidR="00991304">
        <w:rPr>
          <w:lang w:val="fr-CA"/>
        </w:rPr>
        <w:t xml:space="preserve"> portant </w:t>
      </w:r>
      <w:r>
        <w:rPr>
          <w:lang w:val="fr-CA"/>
        </w:rPr>
        <w:t xml:space="preserve">sur la </w:t>
      </w:r>
      <w:r w:rsidRPr="00FA558D">
        <w:rPr>
          <w:lang w:val="fr-CA"/>
        </w:rPr>
        <w:t>consultation</w:t>
      </w:r>
      <w:r>
        <w:rPr>
          <w:lang w:val="fr-CA"/>
        </w:rPr>
        <w:t xml:space="preserve">. </w:t>
      </w:r>
      <w:r w:rsidR="00991304">
        <w:rPr>
          <w:lang w:val="fr-CA"/>
        </w:rPr>
        <w:t>Afin d’</w:t>
      </w:r>
      <w:r>
        <w:rPr>
          <w:lang w:val="fr-CA"/>
        </w:rPr>
        <w:t>éviter les dédoublements, la section sur la consultation devrait donner un aperçu complet de toutes les activités de consultation</w:t>
      </w:r>
      <w:r w:rsidRPr="00FA558D">
        <w:rPr>
          <w:lang w:val="fr-CA"/>
        </w:rPr>
        <w:t xml:space="preserve">. </w:t>
      </w:r>
      <w:r>
        <w:rPr>
          <w:lang w:val="fr-CA"/>
        </w:rPr>
        <w:t xml:space="preserve">La section sur la règle du « un pour un » devrait </w:t>
      </w:r>
      <w:r w:rsidR="004F6460">
        <w:rPr>
          <w:lang w:val="fr-CA"/>
        </w:rPr>
        <w:t>mettre en évidence</w:t>
      </w:r>
      <w:r>
        <w:rPr>
          <w:lang w:val="fr-CA"/>
        </w:rPr>
        <w:t xml:space="preserve"> toute question </w:t>
      </w:r>
      <w:r w:rsidR="00991304">
        <w:rPr>
          <w:lang w:val="fr-CA"/>
        </w:rPr>
        <w:t xml:space="preserve">précise </w:t>
      </w:r>
      <w:r>
        <w:rPr>
          <w:lang w:val="fr-CA"/>
        </w:rPr>
        <w:t>liée à la règle</w:t>
      </w:r>
      <w:r w:rsidR="00991304">
        <w:rPr>
          <w:lang w:val="fr-CA"/>
        </w:rPr>
        <w:t xml:space="preserve"> </w:t>
      </w:r>
      <w:r>
        <w:rPr>
          <w:lang w:val="fr-CA"/>
        </w:rPr>
        <w:t xml:space="preserve">et </w:t>
      </w:r>
      <w:r w:rsidR="004F6460">
        <w:rPr>
          <w:lang w:val="fr-CA"/>
        </w:rPr>
        <w:t xml:space="preserve">inviter </w:t>
      </w:r>
      <w:r>
        <w:rPr>
          <w:lang w:val="fr-CA"/>
        </w:rPr>
        <w:t xml:space="preserve">le lecteur à </w:t>
      </w:r>
      <w:r w:rsidR="004F6460">
        <w:rPr>
          <w:lang w:val="fr-CA"/>
        </w:rPr>
        <w:t xml:space="preserve">se reporter à </w:t>
      </w:r>
      <w:r>
        <w:rPr>
          <w:lang w:val="fr-CA"/>
        </w:rPr>
        <w:t>la section sur la consultation</w:t>
      </w:r>
      <w:r w:rsidRPr="00FA558D">
        <w:rPr>
          <w:lang w:val="fr-CA"/>
        </w:rPr>
        <w:t xml:space="preserve"> </w:t>
      </w:r>
      <w:r>
        <w:rPr>
          <w:lang w:val="fr-CA"/>
        </w:rPr>
        <w:t xml:space="preserve">pour </w:t>
      </w:r>
      <w:r w:rsidR="004F6460">
        <w:rPr>
          <w:lang w:val="fr-CA"/>
        </w:rPr>
        <w:t>obtenir d’autres renseignements</w:t>
      </w:r>
      <w:r w:rsidRPr="00FA558D">
        <w:rPr>
          <w:lang w:val="fr-CA"/>
        </w:rPr>
        <w:t xml:space="preserve">. </w:t>
      </w:r>
    </w:p>
    <w:p w:rsidRPr="00FA558D" w:rsidR="00B91619" w:rsidP="00B91619" w:rsidRDefault="00B91619" w14:paraId="58EE4C26" w14:textId="77777777">
      <w:pPr>
        <w:tabs>
          <w:tab w:val="left" w:pos="9356"/>
        </w:tabs>
        <w:spacing w:after="0" w:line="240" w:lineRule="auto"/>
        <w:rPr>
          <w:lang w:val="fr-CA"/>
        </w:rPr>
      </w:pPr>
    </w:p>
    <w:p w:rsidRPr="00FA558D" w:rsidR="00B91619" w:rsidP="00B91619" w:rsidRDefault="00B91619" w14:paraId="48EC3E6C" w14:textId="65CE0EFB">
      <w:pPr>
        <w:pStyle w:val="Heading3"/>
        <w:rPr>
          <w:lang w:val="fr-CA"/>
        </w:rPr>
      </w:pPr>
      <w:bookmarkStart w:name="_Toc151373913" w:id="20"/>
      <w:r>
        <w:rPr>
          <w:lang w:val="fr-CA"/>
        </w:rPr>
        <w:t>Calcul des coûts administratifs</w:t>
      </w:r>
      <w:r w:rsidRPr="00FA558D">
        <w:rPr>
          <w:lang w:val="fr-CA"/>
        </w:rPr>
        <w:t xml:space="preserve"> (</w:t>
      </w:r>
      <w:r w:rsidR="00E22BB8">
        <w:rPr>
          <w:lang w:val="fr-CA"/>
        </w:rPr>
        <w:t>paragraphe</w:t>
      </w:r>
      <w:r w:rsidRPr="00FA558D">
        <w:rPr>
          <w:lang w:val="fr-CA"/>
        </w:rPr>
        <w:t> 7.2.3)</w:t>
      </w:r>
      <w:bookmarkEnd w:id="20"/>
    </w:p>
    <w:p w:rsidRPr="00FA558D" w:rsidR="00B91619" w:rsidP="00B91619" w:rsidRDefault="00B91619" w14:paraId="2A238F4D" w14:textId="77777777">
      <w:pPr>
        <w:tabs>
          <w:tab w:val="left" w:pos="9356"/>
        </w:tabs>
        <w:spacing w:after="0" w:line="240" w:lineRule="auto"/>
        <w:rPr>
          <w:lang w:val="fr-CA"/>
        </w:rPr>
      </w:pPr>
    </w:p>
    <w:p w:rsidRPr="00FA558D" w:rsidR="00B91619" w:rsidP="00B91619" w:rsidRDefault="00B91619" w14:paraId="313D3D30" w14:textId="3FC776F4">
      <w:pPr>
        <w:tabs>
          <w:tab w:val="left" w:pos="9356"/>
        </w:tabs>
        <w:spacing w:after="0" w:line="240" w:lineRule="auto"/>
        <w:rPr>
          <w:lang w:val="fr-CA"/>
        </w:rPr>
      </w:pPr>
      <w:r>
        <w:rPr>
          <w:lang w:val="fr-CA"/>
        </w:rPr>
        <w:t>Les coûts administratifs pour les entreprises doivent être calculés pour les projet</w:t>
      </w:r>
      <w:r w:rsidRPr="00FA558D">
        <w:rPr>
          <w:lang w:val="fr-CA"/>
        </w:rPr>
        <w:t>s</w:t>
      </w:r>
      <w:r>
        <w:rPr>
          <w:lang w:val="fr-CA"/>
        </w:rPr>
        <w:t xml:space="preserve"> </w:t>
      </w:r>
      <w:r w:rsidR="00E22BB8">
        <w:rPr>
          <w:lang w:val="fr-CA"/>
        </w:rPr>
        <w:t xml:space="preserve">de règlement </w:t>
      </w:r>
      <w:r>
        <w:rPr>
          <w:lang w:val="fr-CA"/>
        </w:rPr>
        <w:t xml:space="preserve">qui </w:t>
      </w:r>
      <w:r w:rsidR="00991304">
        <w:rPr>
          <w:lang w:val="fr-CA"/>
        </w:rPr>
        <w:t>entraînent l’application de</w:t>
      </w:r>
      <w:r w:rsidRPr="00FA558D" w:rsidR="00991304">
        <w:rPr>
          <w:lang w:val="fr-CA"/>
        </w:rPr>
        <w:t xml:space="preserve"> </w:t>
      </w:r>
      <w:r>
        <w:rPr>
          <w:lang w:val="fr-CA"/>
        </w:rPr>
        <w:t>la règle du « un pour un »</w:t>
      </w:r>
      <w:r w:rsidRPr="00FA558D">
        <w:rPr>
          <w:lang w:val="fr-CA"/>
        </w:rPr>
        <w:t xml:space="preserve">. </w:t>
      </w:r>
      <w:r>
        <w:rPr>
          <w:lang w:val="fr-CA"/>
        </w:rPr>
        <w:t>Le calcul</w:t>
      </w:r>
      <w:r w:rsidRPr="00FA558D">
        <w:rPr>
          <w:lang w:val="fr-CA"/>
        </w:rPr>
        <w:t xml:space="preserve"> </w:t>
      </w:r>
      <w:r>
        <w:rPr>
          <w:lang w:val="fr-CA"/>
        </w:rPr>
        <w:t>devrait être</w:t>
      </w:r>
      <w:r w:rsidRPr="00FA558D">
        <w:rPr>
          <w:lang w:val="fr-CA"/>
        </w:rPr>
        <w:t xml:space="preserve"> </w:t>
      </w:r>
      <w:r w:rsidR="00E22BB8">
        <w:rPr>
          <w:lang w:val="fr-CA"/>
        </w:rPr>
        <w:t xml:space="preserve">effectué </w:t>
      </w:r>
      <w:r>
        <w:rPr>
          <w:lang w:val="fr-CA"/>
        </w:rPr>
        <w:t>à l’aide du Calculateur des coûts réglementaires</w:t>
      </w:r>
      <w:r w:rsidR="00E22BB8">
        <w:rPr>
          <w:lang w:val="fr-CA"/>
        </w:rPr>
        <w:t xml:space="preserve"> qui</w:t>
      </w:r>
      <w:r>
        <w:rPr>
          <w:lang w:val="fr-CA"/>
        </w:rPr>
        <w:t> :</w:t>
      </w:r>
    </w:p>
    <w:p w:rsidRPr="00FA558D" w:rsidR="00B91619" w:rsidP="00B91619" w:rsidRDefault="00B91619" w14:paraId="15612777" w14:textId="56D19A04">
      <w:pPr>
        <w:pStyle w:val="ListParagraph"/>
        <w:numPr>
          <w:ilvl w:val="0"/>
          <w:numId w:val="7"/>
        </w:numPr>
        <w:tabs>
          <w:tab w:val="left" w:pos="9356"/>
        </w:tabs>
        <w:spacing w:after="0" w:line="240" w:lineRule="auto"/>
        <w:rPr>
          <w:lang w:val="fr-CA"/>
        </w:rPr>
      </w:pPr>
      <w:proofErr w:type="gramStart"/>
      <w:r>
        <w:rPr>
          <w:lang w:val="fr-CA"/>
        </w:rPr>
        <w:t>est</w:t>
      </w:r>
      <w:proofErr w:type="gramEnd"/>
      <w:r>
        <w:rPr>
          <w:lang w:val="fr-CA"/>
        </w:rPr>
        <w:t xml:space="preserve"> fondé sur l</w:t>
      </w:r>
      <w:r w:rsidR="00E22BB8">
        <w:rPr>
          <w:lang w:val="fr-CA"/>
        </w:rPr>
        <w:t>e</w:t>
      </w:r>
      <w:r>
        <w:rPr>
          <w:lang w:val="fr-CA"/>
        </w:rPr>
        <w:t xml:space="preserve"> M</w:t>
      </w:r>
      <w:r w:rsidR="00E22BB8">
        <w:rPr>
          <w:lang w:val="fr-CA"/>
        </w:rPr>
        <w:t>odèle</w:t>
      </w:r>
      <w:r>
        <w:rPr>
          <w:lang w:val="fr-CA"/>
        </w:rPr>
        <w:t xml:space="preserve"> des coûts standard;</w:t>
      </w:r>
    </w:p>
    <w:p w:rsidRPr="00FA558D" w:rsidR="00B91619" w:rsidP="00B91619" w:rsidRDefault="00B91619" w14:paraId="4B33CF94" w14:textId="77777777">
      <w:pPr>
        <w:pStyle w:val="ListParagraph"/>
        <w:numPr>
          <w:ilvl w:val="0"/>
          <w:numId w:val="7"/>
        </w:numPr>
        <w:tabs>
          <w:tab w:val="left" w:pos="9356"/>
        </w:tabs>
        <w:spacing w:after="0" w:line="240" w:lineRule="auto"/>
        <w:rPr>
          <w:lang w:val="fr-CA"/>
        </w:rPr>
      </w:pPr>
      <w:proofErr w:type="gramStart"/>
      <w:r>
        <w:rPr>
          <w:lang w:val="fr-CA"/>
        </w:rPr>
        <w:t>applique</w:t>
      </w:r>
      <w:proofErr w:type="gramEnd"/>
      <w:r w:rsidRPr="00FA558D">
        <w:rPr>
          <w:lang w:val="fr-CA"/>
        </w:rPr>
        <w:t xml:space="preserve"> </w:t>
      </w:r>
      <w:r>
        <w:rPr>
          <w:lang w:val="fr-CA"/>
        </w:rPr>
        <w:t>la méthode définie dans</w:t>
      </w:r>
      <w:r w:rsidRPr="00FA558D">
        <w:rPr>
          <w:lang w:val="fr-CA"/>
        </w:rPr>
        <w:t xml:space="preserve"> </w:t>
      </w:r>
      <w:r>
        <w:rPr>
          <w:lang w:val="fr-CA"/>
        </w:rPr>
        <w:t xml:space="preserve">le </w:t>
      </w:r>
      <w:r w:rsidRPr="00303456">
        <w:rPr>
          <w:i/>
          <w:iCs/>
          <w:lang w:val="fr-CA"/>
        </w:rPr>
        <w:t>Règlement sur la réduction de la paperasse</w:t>
      </w:r>
      <w:r>
        <w:rPr>
          <w:lang w:val="fr-CA"/>
        </w:rPr>
        <w:t>.</w:t>
      </w:r>
    </w:p>
    <w:p w:rsidRPr="00FA558D" w:rsidR="00B91619" w:rsidP="00B91619" w:rsidRDefault="00B91619" w14:paraId="1DAF4852" w14:textId="77777777">
      <w:pPr>
        <w:pStyle w:val="ListParagraph"/>
        <w:tabs>
          <w:tab w:val="left" w:pos="9356"/>
        </w:tabs>
        <w:spacing w:after="0" w:line="240" w:lineRule="auto"/>
        <w:rPr>
          <w:lang w:val="fr-CA"/>
        </w:rPr>
      </w:pPr>
    </w:p>
    <w:p w:rsidRPr="00FA558D" w:rsidR="00B91619" w:rsidP="00B91619" w:rsidRDefault="00B91619" w14:paraId="68762650" w14:textId="4FD45947">
      <w:pPr>
        <w:tabs>
          <w:tab w:val="left" w:pos="9356"/>
        </w:tabs>
        <w:spacing w:after="0" w:line="240" w:lineRule="auto"/>
        <w:rPr>
          <w:lang w:val="fr-CA"/>
        </w:rPr>
      </w:pPr>
      <w:r>
        <w:rPr>
          <w:lang w:val="fr-CA"/>
        </w:rPr>
        <w:t>Une fois rempli, le Calculateur des coûts réglementaires</w:t>
      </w:r>
      <w:r w:rsidRPr="00FA558D">
        <w:rPr>
          <w:lang w:val="fr-CA"/>
        </w:rPr>
        <w:t xml:space="preserve"> </w:t>
      </w:r>
      <w:r>
        <w:rPr>
          <w:lang w:val="fr-CA"/>
        </w:rPr>
        <w:t xml:space="preserve">doit être </w:t>
      </w:r>
      <w:r w:rsidR="00E22BB8">
        <w:rPr>
          <w:lang w:val="fr-CA"/>
        </w:rPr>
        <w:t>fourni</w:t>
      </w:r>
      <w:r>
        <w:rPr>
          <w:lang w:val="fr-CA"/>
        </w:rPr>
        <w:t xml:space="preserve"> au SCT</w:t>
      </w:r>
      <w:r w:rsidRPr="00FA558D">
        <w:rPr>
          <w:lang w:val="fr-CA"/>
        </w:rPr>
        <w:t xml:space="preserve">. </w:t>
      </w:r>
    </w:p>
    <w:p w:rsidRPr="00FA558D" w:rsidR="00B91619" w:rsidP="00B91619" w:rsidRDefault="00B91619" w14:paraId="17A8B191" w14:textId="77777777">
      <w:pPr>
        <w:tabs>
          <w:tab w:val="left" w:pos="9356"/>
        </w:tabs>
        <w:spacing w:after="0" w:line="240" w:lineRule="auto"/>
        <w:rPr>
          <w:lang w:val="fr-CA"/>
        </w:rPr>
      </w:pPr>
    </w:p>
    <w:p w:rsidRPr="00FA558D" w:rsidR="00B91619" w:rsidP="00B91619" w:rsidRDefault="00B91619" w14:paraId="3DB0CDBC" w14:textId="74FA7943">
      <w:pPr>
        <w:tabs>
          <w:tab w:val="left" w:pos="9356"/>
        </w:tabs>
        <w:spacing w:after="0" w:line="240" w:lineRule="auto"/>
        <w:rPr>
          <w:lang w:val="fr-CA"/>
        </w:rPr>
      </w:pPr>
      <w:r>
        <w:rPr>
          <w:lang w:val="fr-CA"/>
        </w:rPr>
        <w:t>Bien que les organismes de réglementation soient fortement encouragés à utiliser le Calculateur des coûts réglementaires</w:t>
      </w:r>
      <w:r w:rsidRPr="00FA558D">
        <w:rPr>
          <w:lang w:val="fr-CA"/>
        </w:rPr>
        <w:t>,</w:t>
      </w:r>
      <w:r>
        <w:rPr>
          <w:lang w:val="fr-CA"/>
        </w:rPr>
        <w:t xml:space="preserve"> ils peuvent utiliser tout autre outil de calcul, sous réserve qu’il soit communiqué au Secteur des </w:t>
      </w:r>
      <w:r w:rsidR="00991304">
        <w:rPr>
          <w:lang w:val="fr-CA"/>
        </w:rPr>
        <w:t>a</w:t>
      </w:r>
      <w:r>
        <w:rPr>
          <w:lang w:val="fr-CA"/>
        </w:rPr>
        <w:t>ffaires réglementaires du SCT avant la</w:t>
      </w:r>
      <w:r w:rsidRPr="00FA558D">
        <w:rPr>
          <w:lang w:val="fr-CA"/>
        </w:rPr>
        <w:t xml:space="preserve"> publication</w:t>
      </w:r>
      <w:r w:rsidR="000173F3">
        <w:rPr>
          <w:lang w:val="fr-CA"/>
        </w:rPr>
        <w:t xml:space="preserve"> dans la </w:t>
      </w:r>
      <w:r w:rsidRPr="002D42DD" w:rsidR="000173F3">
        <w:rPr>
          <w:i/>
          <w:iCs/>
          <w:lang w:val="fr-CA"/>
        </w:rPr>
        <w:t>Gazette du Canada</w:t>
      </w:r>
      <w:r>
        <w:rPr>
          <w:lang w:val="fr-CA"/>
        </w:rPr>
        <w:t xml:space="preserve">, afin de confirmer que la méthode </w:t>
      </w:r>
      <w:r w:rsidR="000173F3">
        <w:rPr>
          <w:lang w:val="fr-CA"/>
        </w:rPr>
        <w:t>requise</w:t>
      </w:r>
      <w:r>
        <w:rPr>
          <w:lang w:val="fr-CA"/>
        </w:rPr>
        <w:t xml:space="preserve"> a été appliquée correctement</w:t>
      </w:r>
      <w:r w:rsidR="000173F3">
        <w:rPr>
          <w:lang w:val="fr-CA"/>
        </w:rPr>
        <w:t xml:space="preserve">, comme l’indique le </w:t>
      </w:r>
      <w:r w:rsidRPr="00D15369" w:rsidR="000173F3">
        <w:rPr>
          <w:i/>
          <w:iCs/>
          <w:lang w:val="fr-CA"/>
        </w:rPr>
        <w:t>Règlement sur la réduction de la paperasse</w:t>
      </w:r>
      <w:r w:rsidRPr="00FA558D">
        <w:rPr>
          <w:lang w:val="fr-CA"/>
        </w:rPr>
        <w:t xml:space="preserve">. </w:t>
      </w:r>
    </w:p>
    <w:p w:rsidRPr="00FA558D" w:rsidR="00B91619" w:rsidP="00B91619" w:rsidRDefault="00B91619" w14:paraId="42D178C4" w14:textId="77777777">
      <w:pPr>
        <w:tabs>
          <w:tab w:val="left" w:pos="9356"/>
        </w:tabs>
        <w:spacing w:after="0" w:line="240" w:lineRule="auto"/>
        <w:rPr>
          <w:lang w:val="fr-CA"/>
        </w:rPr>
      </w:pPr>
    </w:p>
    <w:p w:rsidRPr="00FA558D" w:rsidR="00B91619" w:rsidP="00B91619" w:rsidRDefault="00B91619" w14:paraId="7912DE60" w14:textId="6769F206">
      <w:pPr>
        <w:pStyle w:val="Heading4"/>
        <w:rPr>
          <w:lang w:val="fr-CA"/>
        </w:rPr>
      </w:pPr>
      <w:r>
        <w:rPr>
          <w:lang w:val="fr-CA"/>
        </w:rPr>
        <w:t xml:space="preserve">Options de conformité </w:t>
      </w:r>
      <w:r w:rsidR="00A756DD">
        <w:rPr>
          <w:lang w:val="fr-CA"/>
        </w:rPr>
        <w:t>multiples et exigences réglementaires basées sur les résultats</w:t>
      </w:r>
    </w:p>
    <w:p w:rsidRPr="00FA558D" w:rsidR="00B91619" w:rsidP="00B91619" w:rsidRDefault="00B91619" w14:paraId="63EA0DA5" w14:textId="77777777">
      <w:pPr>
        <w:tabs>
          <w:tab w:val="left" w:pos="9356"/>
        </w:tabs>
        <w:spacing w:after="0" w:line="240" w:lineRule="auto"/>
        <w:rPr>
          <w:lang w:val="fr-CA"/>
        </w:rPr>
      </w:pPr>
    </w:p>
    <w:p w:rsidRPr="00FA558D" w:rsidR="00B91619" w:rsidP="00B91619" w:rsidRDefault="00B91619" w14:paraId="251A6E0D" w14:textId="42EB209B">
      <w:pPr>
        <w:tabs>
          <w:tab w:val="left" w:pos="9356"/>
        </w:tabs>
        <w:spacing w:after="0" w:line="240" w:lineRule="auto"/>
        <w:rPr>
          <w:lang w:val="fr-CA"/>
        </w:rPr>
      </w:pPr>
      <w:r>
        <w:rPr>
          <w:lang w:val="fr-CA"/>
        </w:rPr>
        <w:t xml:space="preserve">Afin de </w:t>
      </w:r>
      <w:r w:rsidR="007804CD">
        <w:rPr>
          <w:lang w:val="fr-CA"/>
        </w:rPr>
        <w:t xml:space="preserve">mieux </w:t>
      </w:r>
      <w:r>
        <w:rPr>
          <w:lang w:val="fr-CA"/>
        </w:rPr>
        <w:t>répondre</w:t>
      </w:r>
      <w:r w:rsidRPr="00FA558D">
        <w:rPr>
          <w:lang w:val="fr-CA"/>
        </w:rPr>
        <w:t xml:space="preserve"> </w:t>
      </w:r>
      <w:r>
        <w:rPr>
          <w:lang w:val="fr-CA"/>
        </w:rPr>
        <w:t xml:space="preserve">aux besoins des parties réglementées, les organismes de réglementation sont </w:t>
      </w:r>
      <w:r w:rsidRPr="00FA558D">
        <w:rPr>
          <w:lang w:val="fr-CA"/>
        </w:rPr>
        <w:t>encourag</w:t>
      </w:r>
      <w:r>
        <w:rPr>
          <w:lang w:val="fr-CA"/>
        </w:rPr>
        <w:t>és à faire preuve de souplesse dans l</w:t>
      </w:r>
      <w:r w:rsidR="00773503">
        <w:rPr>
          <w:lang w:val="fr-CA"/>
        </w:rPr>
        <w:t>’élaboration</w:t>
      </w:r>
      <w:r>
        <w:rPr>
          <w:lang w:val="fr-CA"/>
        </w:rPr>
        <w:t xml:space="preserve"> des règlements</w:t>
      </w:r>
      <w:r w:rsidRPr="00FA558D">
        <w:rPr>
          <w:lang w:val="fr-CA"/>
        </w:rPr>
        <w:t xml:space="preserve">. </w:t>
      </w:r>
      <w:r w:rsidR="0056038B">
        <w:rPr>
          <w:lang w:val="fr-CA"/>
        </w:rPr>
        <w:t>Selon l</w:t>
      </w:r>
      <w:r>
        <w:rPr>
          <w:lang w:val="fr-CA"/>
        </w:rPr>
        <w:t xml:space="preserve">a </w:t>
      </w:r>
      <w:r w:rsidR="0056038B">
        <w:rPr>
          <w:lang w:val="fr-CA"/>
        </w:rPr>
        <w:t xml:space="preserve">Directive du Cabinet </w:t>
      </w:r>
      <w:r w:rsidR="0056038B">
        <w:rPr>
          <w:lang w:val="fr-CA"/>
        </w:rPr>
        <w:t xml:space="preserve">sur la réglementation, </w:t>
      </w:r>
      <w:r w:rsidR="008823B8">
        <w:rPr>
          <w:lang w:val="fr-CA"/>
        </w:rPr>
        <w:t xml:space="preserve">les organismes de réglementation </w:t>
      </w:r>
      <w:r w:rsidR="0056038B">
        <w:rPr>
          <w:lang w:val="fr-CA"/>
        </w:rPr>
        <w:t>«</w:t>
      </w:r>
      <w:r w:rsidR="009647E5">
        <w:rPr>
          <w:lang w:val="fr-CA"/>
        </w:rPr>
        <w:t> </w:t>
      </w:r>
      <w:r w:rsidRPr="008823B8" w:rsidR="008823B8">
        <w:rPr>
          <w:lang w:val="fr-CA"/>
        </w:rPr>
        <w:t>doivent chercher à concevoir des règlements axés sur les résultats ou sur le rendement, selon le cas, dans le but de réduire au minimum le fardeau réglementaire imposé aux entreprises et aux Canadiens</w:t>
      </w:r>
      <w:r>
        <w:rPr>
          <w:lang w:val="fr-CA"/>
        </w:rPr>
        <w:t> »</w:t>
      </w:r>
      <w:r w:rsidRPr="00FA558D">
        <w:rPr>
          <w:lang w:val="fr-CA"/>
        </w:rPr>
        <w:t xml:space="preserve">. </w:t>
      </w:r>
    </w:p>
    <w:p w:rsidRPr="00FA558D" w:rsidR="00B91619" w:rsidP="00B91619" w:rsidRDefault="00B91619" w14:paraId="01FCACE9" w14:textId="77777777">
      <w:pPr>
        <w:tabs>
          <w:tab w:val="left" w:pos="9356"/>
        </w:tabs>
        <w:spacing w:after="0" w:line="240" w:lineRule="auto"/>
        <w:rPr>
          <w:lang w:val="fr-CA"/>
        </w:rPr>
      </w:pPr>
    </w:p>
    <w:p w:rsidRPr="0056038B" w:rsidR="0056038B" w:rsidP="0056038B" w:rsidRDefault="0056038B" w14:paraId="49063885" w14:textId="4B9B1CA6">
      <w:pPr>
        <w:tabs>
          <w:tab w:val="left" w:pos="9356"/>
        </w:tabs>
        <w:spacing w:after="0" w:line="240" w:lineRule="auto"/>
        <w:rPr>
          <w:lang w:val="fr-CA"/>
        </w:rPr>
      </w:pPr>
      <w:r w:rsidRPr="0056038B">
        <w:rPr>
          <w:lang w:val="fr-CA"/>
        </w:rPr>
        <w:t xml:space="preserve">Les exigences réglementaires </w:t>
      </w:r>
      <w:r>
        <w:rPr>
          <w:lang w:val="fr-CA"/>
        </w:rPr>
        <w:t>fondées</w:t>
      </w:r>
      <w:r w:rsidRPr="0056038B">
        <w:rPr>
          <w:lang w:val="fr-CA"/>
        </w:rPr>
        <w:t xml:space="preserve"> sur les résultats permettent aux parties réglementées de décider de la manière dont elles atteindront le résultat </w:t>
      </w:r>
      <w:r>
        <w:rPr>
          <w:lang w:val="fr-CA"/>
        </w:rPr>
        <w:t>prévu par</w:t>
      </w:r>
      <w:r w:rsidRPr="0056038B">
        <w:rPr>
          <w:lang w:val="fr-CA"/>
        </w:rPr>
        <w:t xml:space="preserve"> l</w:t>
      </w:r>
      <w:r>
        <w:rPr>
          <w:lang w:val="fr-CA"/>
        </w:rPr>
        <w:t>e règlement</w:t>
      </w:r>
      <w:r w:rsidRPr="0056038B">
        <w:rPr>
          <w:lang w:val="fr-CA"/>
        </w:rPr>
        <w:t xml:space="preserve"> sans avoir à suivre un processus </w:t>
      </w:r>
      <w:r>
        <w:rPr>
          <w:lang w:val="fr-CA"/>
        </w:rPr>
        <w:t>visé par règlement</w:t>
      </w:r>
      <w:r w:rsidRPr="0056038B">
        <w:rPr>
          <w:lang w:val="fr-CA"/>
        </w:rPr>
        <w:t>. En règle générale, les parties doivent ensuite fournir à l</w:t>
      </w:r>
      <w:r w:rsidR="009647E5">
        <w:rPr>
          <w:lang w:val="fr-CA"/>
        </w:rPr>
        <w:t>’</w:t>
      </w:r>
      <w:r w:rsidRPr="0056038B">
        <w:rPr>
          <w:lang w:val="fr-CA"/>
        </w:rPr>
        <w:t>organisme de réglementation davantage d</w:t>
      </w:r>
      <w:r w:rsidR="009647E5">
        <w:rPr>
          <w:lang w:val="fr-CA"/>
        </w:rPr>
        <w:t>’</w:t>
      </w:r>
      <w:r w:rsidRPr="0056038B">
        <w:rPr>
          <w:lang w:val="fr-CA"/>
        </w:rPr>
        <w:t>informations sur leur méthode afin que ce dernier puisse s</w:t>
      </w:r>
      <w:r w:rsidR="009647E5">
        <w:rPr>
          <w:lang w:val="fr-CA"/>
        </w:rPr>
        <w:t>’</w:t>
      </w:r>
      <w:r w:rsidRPr="0056038B">
        <w:rPr>
          <w:lang w:val="fr-CA"/>
        </w:rPr>
        <w:t>assurer qu</w:t>
      </w:r>
      <w:r w:rsidR="009647E5">
        <w:rPr>
          <w:lang w:val="fr-CA"/>
        </w:rPr>
        <w:t>’</w:t>
      </w:r>
      <w:r>
        <w:rPr>
          <w:lang w:val="fr-CA"/>
        </w:rPr>
        <w:t>il s’agit d’une méthode rigoureuse.</w:t>
      </w:r>
      <w:r w:rsidRPr="0056038B">
        <w:rPr>
          <w:lang w:val="fr-CA"/>
        </w:rPr>
        <w:t xml:space="preserve"> Les r</w:t>
      </w:r>
      <w:r>
        <w:rPr>
          <w:lang w:val="fr-CA"/>
        </w:rPr>
        <w:t>èglements</w:t>
      </w:r>
      <w:r w:rsidRPr="0056038B">
        <w:rPr>
          <w:lang w:val="fr-CA"/>
        </w:rPr>
        <w:t xml:space="preserve"> basés sur les résultats ont donc tendance à représenter un </w:t>
      </w:r>
      <w:r>
        <w:rPr>
          <w:lang w:val="fr-CA"/>
        </w:rPr>
        <w:t>fardeau</w:t>
      </w:r>
      <w:r w:rsidRPr="0056038B">
        <w:rPr>
          <w:lang w:val="fr-CA"/>
        </w:rPr>
        <w:t xml:space="preserve"> administrati</w:t>
      </w:r>
      <w:r>
        <w:rPr>
          <w:lang w:val="fr-CA"/>
        </w:rPr>
        <w:t>f</w:t>
      </w:r>
      <w:r w:rsidRPr="0056038B">
        <w:rPr>
          <w:lang w:val="fr-CA"/>
        </w:rPr>
        <w:t xml:space="preserve"> plus important que les </w:t>
      </w:r>
      <w:r>
        <w:rPr>
          <w:lang w:val="fr-CA"/>
        </w:rPr>
        <w:t>règlements</w:t>
      </w:r>
      <w:r w:rsidRPr="0056038B">
        <w:rPr>
          <w:lang w:val="fr-CA"/>
        </w:rPr>
        <w:t xml:space="preserve"> </w:t>
      </w:r>
      <w:r>
        <w:rPr>
          <w:lang w:val="fr-CA"/>
        </w:rPr>
        <w:t>normatifs</w:t>
      </w:r>
      <w:r w:rsidRPr="0056038B">
        <w:rPr>
          <w:lang w:val="fr-CA"/>
        </w:rPr>
        <w:t xml:space="preserve">, </w:t>
      </w:r>
      <w:r>
        <w:rPr>
          <w:lang w:val="fr-CA"/>
        </w:rPr>
        <w:t>pour lesquels la</w:t>
      </w:r>
      <w:r w:rsidRPr="0056038B">
        <w:rPr>
          <w:lang w:val="fr-CA"/>
        </w:rPr>
        <w:t xml:space="preserve"> méthode est intégrée </w:t>
      </w:r>
      <w:r>
        <w:rPr>
          <w:lang w:val="fr-CA"/>
        </w:rPr>
        <w:t>aux</w:t>
      </w:r>
      <w:r w:rsidRPr="0056038B">
        <w:rPr>
          <w:lang w:val="fr-CA"/>
        </w:rPr>
        <w:t xml:space="preserve"> exigences.</w:t>
      </w:r>
    </w:p>
    <w:p w:rsidRPr="0056038B" w:rsidR="0056038B" w:rsidP="0056038B" w:rsidRDefault="0056038B" w14:paraId="0EB31D16" w14:textId="77777777">
      <w:pPr>
        <w:tabs>
          <w:tab w:val="left" w:pos="9356"/>
        </w:tabs>
        <w:spacing w:after="0" w:line="240" w:lineRule="auto"/>
        <w:rPr>
          <w:lang w:val="fr-CA"/>
        </w:rPr>
      </w:pPr>
    </w:p>
    <w:p w:rsidRPr="0056038B" w:rsidR="0056038B" w:rsidP="0056038B" w:rsidRDefault="0056038B" w14:paraId="086F9582" w14:textId="18D3C3D5">
      <w:pPr>
        <w:tabs>
          <w:tab w:val="left" w:pos="9356"/>
        </w:tabs>
        <w:spacing w:after="0" w:line="240" w:lineRule="auto"/>
        <w:rPr>
          <w:lang w:val="fr-CA"/>
        </w:rPr>
      </w:pPr>
      <w:r w:rsidRPr="0056038B">
        <w:rPr>
          <w:lang w:val="fr-CA"/>
        </w:rPr>
        <w:t>Certaines parties réglementées préfèrent toutefois une approche normative. Le fait de disposer d</w:t>
      </w:r>
      <w:r w:rsidR="009647E5">
        <w:rPr>
          <w:lang w:val="fr-CA"/>
        </w:rPr>
        <w:t>’</w:t>
      </w:r>
      <w:r w:rsidRPr="0056038B">
        <w:rPr>
          <w:lang w:val="fr-CA"/>
        </w:rPr>
        <w:t>un processus de conformité fixe signifie qu</w:t>
      </w:r>
      <w:r w:rsidR="009647E5">
        <w:rPr>
          <w:lang w:val="fr-CA"/>
        </w:rPr>
        <w:t>’</w:t>
      </w:r>
      <w:r w:rsidRPr="0056038B">
        <w:rPr>
          <w:lang w:val="fr-CA"/>
        </w:rPr>
        <w:t>elles n</w:t>
      </w:r>
      <w:r w:rsidR="009647E5">
        <w:rPr>
          <w:lang w:val="fr-CA"/>
        </w:rPr>
        <w:t>’</w:t>
      </w:r>
      <w:r w:rsidRPr="0056038B">
        <w:rPr>
          <w:lang w:val="fr-CA"/>
        </w:rPr>
        <w:t>ont pas à consacrer du temps et des efforts à l</w:t>
      </w:r>
      <w:r w:rsidR="009647E5">
        <w:rPr>
          <w:lang w:val="fr-CA"/>
        </w:rPr>
        <w:t>’</w:t>
      </w:r>
      <w:r w:rsidRPr="0056038B">
        <w:rPr>
          <w:lang w:val="fr-CA"/>
        </w:rPr>
        <w:t>élaboration d</w:t>
      </w:r>
      <w:r w:rsidR="00757217">
        <w:rPr>
          <w:lang w:val="fr-CA"/>
        </w:rPr>
        <w:t xml:space="preserve">e leur propre </w:t>
      </w:r>
      <w:r w:rsidRPr="0056038B">
        <w:rPr>
          <w:lang w:val="fr-CA"/>
        </w:rPr>
        <w:t>processus. Comme le processus est connu, l</w:t>
      </w:r>
      <w:r w:rsidR="009647E5">
        <w:rPr>
          <w:lang w:val="fr-CA"/>
        </w:rPr>
        <w:t>’</w:t>
      </w:r>
      <w:r w:rsidRPr="0056038B">
        <w:rPr>
          <w:lang w:val="fr-CA"/>
        </w:rPr>
        <w:t>approche normative tend à alléger l</w:t>
      </w:r>
      <w:r w:rsidR="009C4C8E">
        <w:rPr>
          <w:lang w:val="fr-CA"/>
        </w:rPr>
        <w:t>e</w:t>
      </w:r>
      <w:r w:rsidRPr="0056038B">
        <w:rPr>
          <w:lang w:val="fr-CA"/>
        </w:rPr>
        <w:t xml:space="preserve"> </w:t>
      </w:r>
      <w:r w:rsidR="009C4C8E">
        <w:rPr>
          <w:lang w:val="fr-CA"/>
        </w:rPr>
        <w:t>fardeau</w:t>
      </w:r>
      <w:r w:rsidRPr="0056038B">
        <w:rPr>
          <w:lang w:val="fr-CA"/>
        </w:rPr>
        <w:t xml:space="preserve"> administrati</w:t>
      </w:r>
      <w:r w:rsidR="009C4C8E">
        <w:rPr>
          <w:lang w:val="fr-CA"/>
        </w:rPr>
        <w:t>f</w:t>
      </w:r>
      <w:r w:rsidRPr="0056038B">
        <w:rPr>
          <w:lang w:val="fr-CA"/>
        </w:rPr>
        <w:t xml:space="preserve">. Les </w:t>
      </w:r>
      <w:r w:rsidR="009C4C8E">
        <w:rPr>
          <w:lang w:val="fr-CA"/>
        </w:rPr>
        <w:t>organismes de réglementation</w:t>
      </w:r>
      <w:r w:rsidRPr="0056038B">
        <w:rPr>
          <w:lang w:val="fr-CA"/>
        </w:rPr>
        <w:t xml:space="preserve"> peuvent </w:t>
      </w:r>
      <w:r w:rsidR="009C4C8E">
        <w:rPr>
          <w:lang w:val="fr-CA"/>
        </w:rPr>
        <w:t>établir</w:t>
      </w:r>
      <w:r w:rsidRPr="0056038B">
        <w:rPr>
          <w:lang w:val="fr-CA"/>
        </w:rPr>
        <w:t xml:space="preserve"> une ou plusieurs façons de se conformer à une exigence réglementaire</w:t>
      </w:r>
      <w:r w:rsidR="009C4C8E">
        <w:rPr>
          <w:lang w:val="fr-CA"/>
        </w:rPr>
        <w:t>. I</w:t>
      </w:r>
      <w:r w:rsidRPr="0056038B">
        <w:rPr>
          <w:lang w:val="fr-CA"/>
        </w:rPr>
        <w:t xml:space="preserve">ls peuvent également </w:t>
      </w:r>
      <w:r w:rsidR="009C4C8E">
        <w:rPr>
          <w:lang w:val="fr-CA"/>
        </w:rPr>
        <w:t>prévoir</w:t>
      </w:r>
      <w:r w:rsidRPr="0056038B">
        <w:rPr>
          <w:lang w:val="fr-CA"/>
        </w:rPr>
        <w:t xml:space="preserve"> une </w:t>
      </w:r>
      <w:r w:rsidR="009C4C8E">
        <w:rPr>
          <w:lang w:val="fr-CA"/>
        </w:rPr>
        <w:t>façon</w:t>
      </w:r>
      <w:r w:rsidRPr="0056038B">
        <w:rPr>
          <w:lang w:val="fr-CA"/>
        </w:rPr>
        <w:t xml:space="preserve"> </w:t>
      </w:r>
      <w:r w:rsidR="009C4C8E">
        <w:rPr>
          <w:lang w:val="fr-CA"/>
        </w:rPr>
        <w:t>fondée</w:t>
      </w:r>
      <w:r w:rsidRPr="0056038B">
        <w:rPr>
          <w:lang w:val="fr-CA"/>
        </w:rPr>
        <w:t xml:space="preserve"> sur les résultats </w:t>
      </w:r>
      <w:r w:rsidR="009C4C8E">
        <w:rPr>
          <w:lang w:val="fr-CA"/>
        </w:rPr>
        <w:t>de</w:t>
      </w:r>
      <w:r w:rsidRPr="0056038B">
        <w:rPr>
          <w:lang w:val="fr-CA"/>
        </w:rPr>
        <w:t xml:space="preserve"> se conformer à l</w:t>
      </w:r>
      <w:r w:rsidR="009647E5">
        <w:rPr>
          <w:lang w:val="fr-CA"/>
        </w:rPr>
        <w:t>’</w:t>
      </w:r>
      <w:r w:rsidRPr="0056038B">
        <w:rPr>
          <w:lang w:val="fr-CA"/>
        </w:rPr>
        <w:t xml:space="preserve">exigence. </w:t>
      </w:r>
    </w:p>
    <w:p w:rsidRPr="0056038B" w:rsidR="0056038B" w:rsidP="0056038B" w:rsidRDefault="0056038B" w14:paraId="3BC75EC3" w14:textId="77777777">
      <w:pPr>
        <w:tabs>
          <w:tab w:val="left" w:pos="9356"/>
        </w:tabs>
        <w:spacing w:after="0" w:line="240" w:lineRule="auto"/>
        <w:rPr>
          <w:lang w:val="fr-CA"/>
        </w:rPr>
      </w:pPr>
    </w:p>
    <w:p w:rsidRPr="0056038B" w:rsidR="0056038B" w:rsidP="00F45F10" w:rsidRDefault="0056038B" w14:paraId="6A8B4411" w14:textId="4FF31616">
      <w:pPr>
        <w:tabs>
          <w:tab w:val="left" w:pos="9356"/>
        </w:tabs>
        <w:spacing w:after="0" w:line="240" w:lineRule="auto"/>
        <w:rPr>
          <w:lang w:val="fr-CA"/>
        </w:rPr>
      </w:pPr>
      <w:r w:rsidRPr="0056038B">
        <w:rPr>
          <w:lang w:val="fr-CA"/>
        </w:rPr>
        <w:t>Si elles ont le choix, les parties réglementées choisiront l</w:t>
      </w:r>
      <w:r w:rsidR="009647E5">
        <w:rPr>
          <w:lang w:val="fr-CA"/>
        </w:rPr>
        <w:t>’</w:t>
      </w:r>
      <w:r w:rsidRPr="0056038B">
        <w:rPr>
          <w:lang w:val="fr-CA"/>
        </w:rPr>
        <w:t>option qui convient le mieux à leur situation. Parfois, un r</w:t>
      </w:r>
      <w:r w:rsidR="009C4C8E">
        <w:rPr>
          <w:lang w:val="fr-CA"/>
        </w:rPr>
        <w:t>èglement</w:t>
      </w:r>
      <w:r w:rsidRPr="0056038B">
        <w:rPr>
          <w:lang w:val="fr-CA"/>
        </w:rPr>
        <w:t xml:space="preserve"> basé sur les résultats qui offre une certaine flexibilité en matière de conformité peut s</w:t>
      </w:r>
      <w:r w:rsidR="009647E5">
        <w:rPr>
          <w:lang w:val="fr-CA"/>
        </w:rPr>
        <w:t>’</w:t>
      </w:r>
      <w:r w:rsidRPr="0056038B">
        <w:rPr>
          <w:lang w:val="fr-CA"/>
        </w:rPr>
        <w:t xml:space="preserve">avérer efficace pour les parties réglementées, même si </w:t>
      </w:r>
      <w:r w:rsidR="009C4C8E">
        <w:rPr>
          <w:lang w:val="fr-CA"/>
        </w:rPr>
        <w:t>l</w:t>
      </w:r>
      <w:r w:rsidRPr="0056038B">
        <w:rPr>
          <w:lang w:val="fr-CA"/>
        </w:rPr>
        <w:t xml:space="preserve">es coûts administratifs </w:t>
      </w:r>
      <w:r w:rsidR="009C4C8E">
        <w:rPr>
          <w:lang w:val="fr-CA"/>
        </w:rPr>
        <w:t>connexes sont</w:t>
      </w:r>
      <w:r w:rsidRPr="0056038B">
        <w:rPr>
          <w:lang w:val="fr-CA"/>
        </w:rPr>
        <w:t xml:space="preserve"> plus élevés. Toutefois, la règle du </w:t>
      </w:r>
      <w:r w:rsidR="009C4C8E">
        <w:rPr>
          <w:lang w:val="fr-CA"/>
        </w:rPr>
        <w:t>«</w:t>
      </w:r>
      <w:r w:rsidR="009647E5">
        <w:rPr>
          <w:lang w:val="fr-CA"/>
        </w:rPr>
        <w:t> </w:t>
      </w:r>
      <w:r w:rsidRPr="0056038B">
        <w:rPr>
          <w:lang w:val="fr-CA"/>
        </w:rPr>
        <w:t>un pour un</w:t>
      </w:r>
      <w:r w:rsidR="009647E5">
        <w:rPr>
          <w:lang w:val="fr-CA"/>
        </w:rPr>
        <w:t> </w:t>
      </w:r>
      <w:r w:rsidR="009C4C8E">
        <w:rPr>
          <w:lang w:val="fr-CA"/>
        </w:rPr>
        <w:t>»</w:t>
      </w:r>
      <w:r w:rsidRPr="0056038B">
        <w:rPr>
          <w:lang w:val="fr-CA"/>
        </w:rPr>
        <w:t xml:space="preserve"> ne </w:t>
      </w:r>
      <w:r w:rsidR="00F45F10">
        <w:rPr>
          <w:lang w:val="fr-CA"/>
        </w:rPr>
        <w:t>vise</w:t>
      </w:r>
      <w:r w:rsidRPr="0056038B">
        <w:rPr>
          <w:lang w:val="fr-CA"/>
        </w:rPr>
        <w:t xml:space="preserve"> pas les économies réalisées </w:t>
      </w:r>
      <w:r w:rsidR="00F45F10">
        <w:rPr>
          <w:lang w:val="fr-CA"/>
        </w:rPr>
        <w:t>à l’égard du fardeau</w:t>
      </w:r>
      <w:r w:rsidRPr="0056038B">
        <w:rPr>
          <w:lang w:val="fr-CA"/>
        </w:rPr>
        <w:t xml:space="preserve"> de conformité, car </w:t>
      </w:r>
      <w:r w:rsidR="00F45F10">
        <w:rPr>
          <w:lang w:val="fr-CA"/>
        </w:rPr>
        <w:t xml:space="preserve">le fardeau de conformité </w:t>
      </w:r>
      <w:r w:rsidRPr="0056038B">
        <w:rPr>
          <w:lang w:val="fr-CA"/>
        </w:rPr>
        <w:t>n</w:t>
      </w:r>
      <w:r w:rsidR="009647E5">
        <w:rPr>
          <w:lang w:val="fr-CA"/>
        </w:rPr>
        <w:t>’</w:t>
      </w:r>
      <w:r w:rsidRPr="0056038B">
        <w:rPr>
          <w:lang w:val="fr-CA"/>
        </w:rPr>
        <w:t>entre pas dans le champ d</w:t>
      </w:r>
      <w:r w:rsidR="009647E5">
        <w:rPr>
          <w:lang w:val="fr-CA"/>
        </w:rPr>
        <w:t>’</w:t>
      </w:r>
      <w:r w:rsidRPr="0056038B">
        <w:rPr>
          <w:lang w:val="fr-CA"/>
        </w:rPr>
        <w:t xml:space="preserve">application de la </w:t>
      </w:r>
      <w:r w:rsidRPr="002D42DD" w:rsidR="00F45F10">
        <w:rPr>
          <w:i/>
          <w:iCs/>
          <w:lang w:val="fr-CA"/>
        </w:rPr>
        <w:t>Loi sur la réduction de la paperasse</w:t>
      </w:r>
      <w:r w:rsidR="00F45F10">
        <w:rPr>
          <w:lang w:val="fr-CA"/>
        </w:rPr>
        <w:t xml:space="preserve"> ni dans celui du règlement connexe. </w:t>
      </w:r>
      <w:r w:rsidRPr="0056038B">
        <w:rPr>
          <w:lang w:val="fr-CA"/>
        </w:rPr>
        <w:t xml:space="preserve">Les </w:t>
      </w:r>
      <w:r w:rsidR="00F45F10">
        <w:rPr>
          <w:lang w:val="fr-CA"/>
        </w:rPr>
        <w:t>organismes de réglementation</w:t>
      </w:r>
      <w:r w:rsidRPr="0056038B">
        <w:rPr>
          <w:lang w:val="fr-CA"/>
        </w:rPr>
        <w:t xml:space="preserve"> doivent compenser </w:t>
      </w:r>
      <w:r w:rsidR="00F45F10">
        <w:rPr>
          <w:lang w:val="fr-CA"/>
        </w:rPr>
        <w:t>le fardeau</w:t>
      </w:r>
      <w:r w:rsidRPr="0056038B">
        <w:rPr>
          <w:lang w:val="fr-CA"/>
        </w:rPr>
        <w:t xml:space="preserve"> administrati</w:t>
      </w:r>
      <w:r w:rsidR="00F45F10">
        <w:rPr>
          <w:lang w:val="fr-CA"/>
        </w:rPr>
        <w:t>f supplémentaire</w:t>
      </w:r>
      <w:r w:rsidRPr="0056038B">
        <w:rPr>
          <w:lang w:val="fr-CA"/>
        </w:rPr>
        <w:t xml:space="preserve">, mais ils ne peuvent pas </w:t>
      </w:r>
      <w:r w:rsidR="00F45F10">
        <w:rPr>
          <w:lang w:val="fr-CA"/>
        </w:rPr>
        <w:t>tenir compte des</w:t>
      </w:r>
      <w:r w:rsidRPr="0056038B">
        <w:rPr>
          <w:lang w:val="fr-CA"/>
        </w:rPr>
        <w:t xml:space="preserve"> gains d</w:t>
      </w:r>
      <w:r w:rsidR="009647E5">
        <w:rPr>
          <w:lang w:val="fr-CA"/>
        </w:rPr>
        <w:t>’</w:t>
      </w:r>
      <w:r w:rsidRPr="0056038B">
        <w:rPr>
          <w:lang w:val="fr-CA"/>
        </w:rPr>
        <w:t xml:space="preserve">efficacité en matière de conformité. Par conséquent, la règle a pour effet </w:t>
      </w:r>
      <w:r w:rsidR="00F45F10">
        <w:rPr>
          <w:lang w:val="fr-CA"/>
        </w:rPr>
        <w:t xml:space="preserve">non prévu </w:t>
      </w:r>
      <w:r w:rsidRPr="0056038B">
        <w:rPr>
          <w:lang w:val="fr-CA"/>
        </w:rPr>
        <w:t xml:space="preserve">de dissuader les </w:t>
      </w:r>
      <w:r w:rsidR="00F45F10">
        <w:rPr>
          <w:lang w:val="fr-CA"/>
        </w:rPr>
        <w:t>organismes de réglementation</w:t>
      </w:r>
      <w:r w:rsidRPr="0056038B">
        <w:rPr>
          <w:lang w:val="fr-CA"/>
        </w:rPr>
        <w:t xml:space="preserve"> d</w:t>
      </w:r>
      <w:r w:rsidR="009647E5">
        <w:rPr>
          <w:lang w:val="fr-CA"/>
        </w:rPr>
        <w:t>’</w:t>
      </w:r>
      <w:r w:rsidRPr="0056038B">
        <w:rPr>
          <w:lang w:val="fr-CA"/>
        </w:rPr>
        <w:t xml:space="preserve">utiliser une approche réglementaire </w:t>
      </w:r>
      <w:r w:rsidR="00F45F10">
        <w:rPr>
          <w:lang w:val="fr-CA"/>
        </w:rPr>
        <w:t>fondée</w:t>
      </w:r>
      <w:r w:rsidRPr="0056038B">
        <w:rPr>
          <w:lang w:val="fr-CA"/>
        </w:rPr>
        <w:t xml:space="preserve"> sur les résultats.  </w:t>
      </w:r>
    </w:p>
    <w:p w:rsidRPr="0056038B" w:rsidR="0056038B" w:rsidP="0056038B" w:rsidRDefault="0056038B" w14:paraId="7BBF2939" w14:textId="77777777">
      <w:pPr>
        <w:tabs>
          <w:tab w:val="left" w:pos="9356"/>
        </w:tabs>
        <w:spacing w:after="0" w:line="240" w:lineRule="auto"/>
        <w:rPr>
          <w:lang w:val="fr-CA"/>
        </w:rPr>
      </w:pPr>
    </w:p>
    <w:p w:rsidRPr="0056038B" w:rsidR="0056038B" w:rsidP="0056038B" w:rsidRDefault="0056038B" w14:paraId="6F9D62DF" w14:textId="77A80012">
      <w:pPr>
        <w:tabs>
          <w:tab w:val="left" w:pos="9356"/>
        </w:tabs>
        <w:spacing w:after="0" w:line="240" w:lineRule="auto"/>
        <w:rPr>
          <w:lang w:val="fr-CA"/>
        </w:rPr>
      </w:pPr>
      <w:r w:rsidRPr="0056038B">
        <w:rPr>
          <w:lang w:val="fr-CA"/>
        </w:rPr>
        <w:t xml:space="preserve">Pour remédier à cet effet </w:t>
      </w:r>
      <w:r w:rsidR="008A5AD7">
        <w:rPr>
          <w:lang w:val="fr-CA"/>
        </w:rPr>
        <w:t>non prévu</w:t>
      </w:r>
      <w:r w:rsidRPr="0056038B">
        <w:rPr>
          <w:lang w:val="fr-CA"/>
        </w:rPr>
        <w:t>, lors d</w:t>
      </w:r>
      <w:r w:rsidR="008A5AD7">
        <w:rPr>
          <w:lang w:val="fr-CA"/>
        </w:rPr>
        <w:t>u calcul des</w:t>
      </w:r>
      <w:r w:rsidRPr="0056038B">
        <w:rPr>
          <w:lang w:val="fr-CA"/>
        </w:rPr>
        <w:t xml:space="preserve"> coûts des différentes options, les </w:t>
      </w:r>
      <w:r w:rsidR="008A5AD7">
        <w:rPr>
          <w:lang w:val="fr-CA"/>
        </w:rPr>
        <w:t>organismes de réglementation</w:t>
      </w:r>
      <w:r w:rsidRPr="0056038B">
        <w:rPr>
          <w:lang w:val="fr-CA"/>
        </w:rPr>
        <w:t xml:space="preserve"> doivent partir du principe que l</w:t>
      </w:r>
      <w:r w:rsidR="008A5AD7">
        <w:rPr>
          <w:lang w:val="fr-CA"/>
        </w:rPr>
        <w:t>e fardeau</w:t>
      </w:r>
      <w:r w:rsidRPr="0056038B">
        <w:rPr>
          <w:lang w:val="fr-CA"/>
        </w:rPr>
        <w:t xml:space="preserve"> administrati</w:t>
      </w:r>
      <w:r w:rsidR="008A5AD7">
        <w:rPr>
          <w:lang w:val="fr-CA"/>
        </w:rPr>
        <w:t>f</w:t>
      </w:r>
      <w:r w:rsidRPr="0056038B">
        <w:rPr>
          <w:lang w:val="fr-CA"/>
        </w:rPr>
        <w:t xml:space="preserve"> imposé est le montant minimum qu</w:t>
      </w:r>
      <w:r w:rsidR="009647E5">
        <w:rPr>
          <w:lang w:val="fr-CA"/>
        </w:rPr>
        <w:t>’</w:t>
      </w:r>
      <w:r w:rsidRPr="0056038B">
        <w:rPr>
          <w:lang w:val="fr-CA"/>
        </w:rPr>
        <w:t xml:space="preserve">une partie réglementée devra </w:t>
      </w:r>
      <w:r w:rsidR="008A5AD7">
        <w:rPr>
          <w:lang w:val="fr-CA"/>
        </w:rPr>
        <w:t>prendre en charge</w:t>
      </w:r>
      <w:r w:rsidRPr="0056038B">
        <w:rPr>
          <w:lang w:val="fr-CA"/>
        </w:rPr>
        <w:t xml:space="preserve"> pour se conformer à l</w:t>
      </w:r>
      <w:r w:rsidR="009647E5">
        <w:rPr>
          <w:lang w:val="fr-CA"/>
        </w:rPr>
        <w:t>’</w:t>
      </w:r>
      <w:r w:rsidRPr="0056038B">
        <w:rPr>
          <w:lang w:val="fr-CA"/>
        </w:rPr>
        <w:t xml:space="preserve">exigence. Lors </w:t>
      </w:r>
      <w:r w:rsidR="008A5AD7">
        <w:rPr>
          <w:lang w:val="fr-CA"/>
        </w:rPr>
        <w:t xml:space="preserve">du calcul </w:t>
      </w:r>
      <w:r w:rsidRPr="0056038B">
        <w:rPr>
          <w:lang w:val="fr-CA"/>
        </w:rPr>
        <w:t>d</w:t>
      </w:r>
      <w:r w:rsidR="008A5AD7">
        <w:rPr>
          <w:lang w:val="fr-CA"/>
        </w:rPr>
        <w:t>es coûts</w:t>
      </w:r>
      <w:r w:rsidRPr="0056038B">
        <w:rPr>
          <w:lang w:val="fr-CA"/>
        </w:rPr>
        <w:t xml:space="preserve"> d</w:t>
      </w:r>
      <w:r w:rsidR="008A5AD7">
        <w:rPr>
          <w:lang w:val="fr-CA"/>
        </w:rPr>
        <w:t>u fardeau réglementaire</w:t>
      </w:r>
      <w:r w:rsidRPr="0056038B">
        <w:rPr>
          <w:lang w:val="fr-CA"/>
        </w:rPr>
        <w:t xml:space="preserve">, les </w:t>
      </w:r>
      <w:r w:rsidR="00A0442D">
        <w:rPr>
          <w:lang w:val="fr-CA"/>
        </w:rPr>
        <w:t>organismes de réglementation</w:t>
      </w:r>
      <w:r w:rsidRPr="0056038B">
        <w:rPr>
          <w:lang w:val="fr-CA"/>
        </w:rPr>
        <w:t xml:space="preserve"> doivent </w:t>
      </w:r>
      <w:r w:rsidR="00A0442D">
        <w:rPr>
          <w:lang w:val="fr-CA"/>
        </w:rPr>
        <w:t>partir du principe qu</w:t>
      </w:r>
      <w:r w:rsidRPr="0056038B">
        <w:rPr>
          <w:lang w:val="fr-CA"/>
        </w:rPr>
        <w:t xml:space="preserve">e </w:t>
      </w:r>
      <w:r w:rsidRPr="002D42DD">
        <w:rPr>
          <w:b/>
          <w:bCs/>
          <w:lang w:val="fr-CA"/>
        </w:rPr>
        <w:t xml:space="preserve">toutes </w:t>
      </w:r>
      <w:r w:rsidRPr="0056038B">
        <w:rPr>
          <w:lang w:val="fr-CA"/>
        </w:rPr>
        <w:t>les parties réglementées choisiront l</w:t>
      </w:r>
      <w:r w:rsidR="009647E5">
        <w:rPr>
          <w:lang w:val="fr-CA"/>
        </w:rPr>
        <w:t>’</w:t>
      </w:r>
      <w:r w:rsidRPr="0056038B">
        <w:rPr>
          <w:lang w:val="fr-CA"/>
        </w:rPr>
        <w:t>option la moins coûteuse. Si l</w:t>
      </w:r>
      <w:r w:rsidR="009647E5">
        <w:rPr>
          <w:lang w:val="fr-CA"/>
        </w:rPr>
        <w:t>’</w:t>
      </w:r>
      <w:r w:rsidRPr="0056038B">
        <w:rPr>
          <w:lang w:val="fr-CA"/>
        </w:rPr>
        <w:t>option la moins coûteuse n</w:t>
      </w:r>
      <w:r w:rsidR="009647E5">
        <w:rPr>
          <w:lang w:val="fr-CA"/>
        </w:rPr>
        <w:t>’</w:t>
      </w:r>
      <w:r w:rsidR="00A0442D">
        <w:rPr>
          <w:lang w:val="fr-CA"/>
        </w:rPr>
        <w:t>a pas pour effet d’imposer un</w:t>
      </w:r>
      <w:r w:rsidRPr="0056038B">
        <w:rPr>
          <w:lang w:val="fr-CA"/>
        </w:rPr>
        <w:t xml:space="preserve"> </w:t>
      </w:r>
      <w:r w:rsidR="00A0442D">
        <w:rPr>
          <w:lang w:val="fr-CA"/>
        </w:rPr>
        <w:t>fardeau</w:t>
      </w:r>
      <w:r w:rsidRPr="0056038B">
        <w:rPr>
          <w:lang w:val="fr-CA"/>
        </w:rPr>
        <w:t xml:space="preserve"> administrati</w:t>
      </w:r>
      <w:r w:rsidR="00A0442D">
        <w:rPr>
          <w:lang w:val="fr-CA"/>
        </w:rPr>
        <w:t>f</w:t>
      </w:r>
      <w:r w:rsidRPr="0056038B">
        <w:rPr>
          <w:lang w:val="fr-CA"/>
        </w:rPr>
        <w:t xml:space="preserve"> aux entreprises, la règle ne s</w:t>
      </w:r>
      <w:r w:rsidR="00A0442D">
        <w:rPr>
          <w:lang w:val="fr-CA"/>
        </w:rPr>
        <w:t>’appliquera</w:t>
      </w:r>
      <w:r w:rsidRPr="0056038B">
        <w:rPr>
          <w:lang w:val="fr-CA"/>
        </w:rPr>
        <w:t xml:space="preserve"> pas. Cette approche consistant à utiliser l</w:t>
      </w:r>
      <w:r w:rsidR="009647E5">
        <w:rPr>
          <w:lang w:val="fr-CA"/>
        </w:rPr>
        <w:t>’</w:t>
      </w:r>
      <w:r w:rsidRPr="0056038B">
        <w:rPr>
          <w:lang w:val="fr-CA"/>
        </w:rPr>
        <w:t>option la moins coûteuse dans le processus d</w:t>
      </w:r>
      <w:r w:rsidR="00A0442D">
        <w:rPr>
          <w:lang w:val="fr-CA"/>
        </w:rPr>
        <w:t xml:space="preserve">e calcul </w:t>
      </w:r>
      <w:r w:rsidRPr="0056038B">
        <w:rPr>
          <w:lang w:val="fr-CA"/>
        </w:rPr>
        <w:t>des coûts s</w:t>
      </w:r>
      <w:r w:rsidR="009647E5">
        <w:rPr>
          <w:lang w:val="fr-CA"/>
        </w:rPr>
        <w:t>’</w:t>
      </w:r>
      <w:r w:rsidRPr="0056038B">
        <w:rPr>
          <w:lang w:val="fr-CA"/>
        </w:rPr>
        <w:t>applique au processus d</w:t>
      </w:r>
      <w:r w:rsidR="00A0442D">
        <w:rPr>
          <w:lang w:val="fr-CA"/>
        </w:rPr>
        <w:t>e calcul des</w:t>
      </w:r>
      <w:r w:rsidRPr="0056038B">
        <w:rPr>
          <w:lang w:val="fr-CA"/>
        </w:rPr>
        <w:t xml:space="preserve"> coûts pour toutes les combinaisons d</w:t>
      </w:r>
      <w:r w:rsidR="009647E5">
        <w:rPr>
          <w:lang w:val="fr-CA"/>
        </w:rPr>
        <w:t>’</w:t>
      </w:r>
      <w:r w:rsidRPr="0056038B">
        <w:rPr>
          <w:lang w:val="fr-CA"/>
        </w:rPr>
        <w:t xml:space="preserve">exigences </w:t>
      </w:r>
      <w:r w:rsidR="00A0442D">
        <w:rPr>
          <w:lang w:val="fr-CA"/>
        </w:rPr>
        <w:t>normatives</w:t>
      </w:r>
      <w:r w:rsidRPr="0056038B">
        <w:rPr>
          <w:lang w:val="fr-CA"/>
        </w:rPr>
        <w:t xml:space="preserve"> ou fondées sur les résultats</w:t>
      </w:r>
      <w:r w:rsidR="00C97B4B">
        <w:rPr>
          <w:lang w:val="fr-CA"/>
        </w:rPr>
        <w:t xml:space="preserve">. Toutefois, </w:t>
      </w:r>
    </w:p>
    <w:p w:rsidRPr="0056038B" w:rsidR="0056038B" w:rsidP="0056038B" w:rsidRDefault="0056038B" w14:paraId="03E6E5E6" w14:textId="77777777">
      <w:pPr>
        <w:tabs>
          <w:tab w:val="left" w:pos="9356"/>
        </w:tabs>
        <w:spacing w:after="0" w:line="240" w:lineRule="auto"/>
        <w:rPr>
          <w:lang w:val="fr-CA"/>
        </w:rPr>
      </w:pPr>
    </w:p>
    <w:p w:rsidRPr="002D42DD" w:rsidR="00A0442D" w:rsidP="00A0442D" w:rsidRDefault="00C97B4B" w14:paraId="60C8B388" w14:textId="26628C90">
      <w:pPr>
        <w:pStyle w:val="ListParagraph"/>
        <w:numPr>
          <w:ilvl w:val="0"/>
          <w:numId w:val="33"/>
        </w:numPr>
        <w:tabs>
          <w:tab w:val="left" w:pos="9356"/>
        </w:tabs>
        <w:spacing w:after="0" w:line="240" w:lineRule="auto"/>
        <w:rPr>
          <w:lang w:val="fr-CA"/>
        </w:rPr>
      </w:pPr>
      <w:r>
        <w:rPr>
          <w:lang w:val="fr-CA"/>
        </w:rPr>
        <w:t>e</w:t>
      </w:r>
      <w:r w:rsidRPr="0056038B" w:rsidR="0056038B">
        <w:rPr>
          <w:lang w:val="fr-CA"/>
        </w:rPr>
        <w:t>lle ne s</w:t>
      </w:r>
      <w:r w:rsidR="009647E5">
        <w:rPr>
          <w:lang w:val="fr-CA"/>
        </w:rPr>
        <w:t>’</w:t>
      </w:r>
      <w:r w:rsidRPr="0056038B" w:rsidR="0056038B">
        <w:rPr>
          <w:lang w:val="fr-CA"/>
        </w:rPr>
        <w:t>applique que lorsque plusieurs options permettent d</w:t>
      </w:r>
      <w:r w:rsidR="009647E5">
        <w:rPr>
          <w:lang w:val="fr-CA"/>
        </w:rPr>
        <w:t>’</w:t>
      </w:r>
      <w:r w:rsidRPr="0056038B" w:rsidR="0056038B">
        <w:rPr>
          <w:lang w:val="fr-CA"/>
        </w:rPr>
        <w:t>obtenir exactement le même résultat</w:t>
      </w:r>
      <w:r w:rsidR="00A0442D">
        <w:rPr>
          <w:lang w:val="fr-CA"/>
        </w:rPr>
        <w:t>, p</w:t>
      </w:r>
      <w:r w:rsidRPr="0056038B" w:rsidR="0056038B">
        <w:rPr>
          <w:lang w:val="fr-CA"/>
        </w:rPr>
        <w:t>ar exemple, si le résultat est le respect d</w:t>
      </w:r>
      <w:r w:rsidR="009647E5">
        <w:rPr>
          <w:lang w:val="fr-CA"/>
        </w:rPr>
        <w:t>’</w:t>
      </w:r>
      <w:r w:rsidRPr="0056038B" w:rsidR="0056038B">
        <w:rPr>
          <w:lang w:val="fr-CA"/>
        </w:rPr>
        <w:t>une norme technique, toutes les options doivent respecter cette norme</w:t>
      </w:r>
      <w:r w:rsidR="00A0442D">
        <w:rPr>
          <w:lang w:val="fr-CA"/>
        </w:rPr>
        <w:t xml:space="preserve">, et </w:t>
      </w:r>
      <w:r w:rsidR="00144600">
        <w:rPr>
          <w:lang w:val="fr-CA"/>
        </w:rPr>
        <w:t xml:space="preserve">pour </w:t>
      </w:r>
      <w:r w:rsidR="00A0442D">
        <w:rPr>
          <w:lang w:val="fr-CA"/>
        </w:rPr>
        <w:t>l</w:t>
      </w:r>
      <w:r w:rsidRPr="0056038B" w:rsidR="0056038B">
        <w:rPr>
          <w:lang w:val="fr-CA"/>
        </w:rPr>
        <w:t>es options qui permettent d</w:t>
      </w:r>
      <w:r w:rsidR="009647E5">
        <w:rPr>
          <w:lang w:val="fr-CA"/>
        </w:rPr>
        <w:t>’</w:t>
      </w:r>
      <w:r w:rsidRPr="0056038B" w:rsidR="0056038B">
        <w:rPr>
          <w:lang w:val="fr-CA"/>
        </w:rPr>
        <w:t>obtenir un résultat différent (par exemple, autre que le respect d</w:t>
      </w:r>
      <w:r w:rsidR="009647E5">
        <w:rPr>
          <w:lang w:val="fr-CA"/>
        </w:rPr>
        <w:t>’</w:t>
      </w:r>
      <w:r w:rsidRPr="0056038B" w:rsidR="0056038B">
        <w:rPr>
          <w:lang w:val="fr-CA"/>
        </w:rPr>
        <w:t>une norme)</w:t>
      </w:r>
      <w:r w:rsidR="00144600">
        <w:rPr>
          <w:lang w:val="fr-CA"/>
        </w:rPr>
        <w:t>, il n’est pas possible d’</w:t>
      </w:r>
      <w:r w:rsidRPr="0056038B" w:rsidR="0056038B">
        <w:rPr>
          <w:lang w:val="fr-CA"/>
        </w:rPr>
        <w:t xml:space="preserve">utiliser cette approche et </w:t>
      </w:r>
      <w:r w:rsidR="00144600">
        <w:rPr>
          <w:lang w:val="fr-CA"/>
        </w:rPr>
        <w:t xml:space="preserve">le calcul des coûts </w:t>
      </w:r>
      <w:r w:rsidRPr="0056038B" w:rsidR="0056038B">
        <w:rPr>
          <w:lang w:val="fr-CA"/>
        </w:rPr>
        <w:t xml:space="preserve">doit être </w:t>
      </w:r>
      <w:r w:rsidR="00144600">
        <w:rPr>
          <w:lang w:val="fr-CA"/>
        </w:rPr>
        <w:t xml:space="preserve">effectué </w:t>
      </w:r>
      <w:r w:rsidRPr="0056038B" w:rsidR="0056038B">
        <w:rPr>
          <w:lang w:val="fr-CA"/>
        </w:rPr>
        <w:t xml:space="preserve">séparément </w:t>
      </w:r>
      <w:r w:rsidR="00144600">
        <w:rPr>
          <w:lang w:val="fr-CA"/>
        </w:rPr>
        <w:t xml:space="preserve">pour chacune </w:t>
      </w:r>
      <w:r>
        <w:rPr>
          <w:lang w:val="fr-CA"/>
        </w:rPr>
        <w:t>des options</w:t>
      </w:r>
      <w:r w:rsidR="00144600">
        <w:rPr>
          <w:lang w:val="fr-CA"/>
        </w:rPr>
        <w:t xml:space="preserve"> en fonction </w:t>
      </w:r>
      <w:r w:rsidRPr="0056038B" w:rsidR="0056038B">
        <w:rPr>
          <w:lang w:val="fr-CA"/>
        </w:rPr>
        <w:t>de l</w:t>
      </w:r>
      <w:r w:rsidR="009647E5">
        <w:rPr>
          <w:lang w:val="fr-CA"/>
        </w:rPr>
        <w:t>’</w:t>
      </w:r>
      <w:r>
        <w:rPr>
          <w:lang w:val="fr-CA"/>
        </w:rPr>
        <w:t xml:space="preserve">intérêt </w:t>
      </w:r>
      <w:r w:rsidRPr="0056038B" w:rsidR="0056038B">
        <w:rPr>
          <w:lang w:val="fr-CA"/>
        </w:rPr>
        <w:t xml:space="preserve">prévu </w:t>
      </w:r>
      <w:r>
        <w:rPr>
          <w:lang w:val="fr-CA"/>
        </w:rPr>
        <w:t>pour</w:t>
      </w:r>
      <w:r w:rsidRPr="0056038B" w:rsidR="0056038B">
        <w:rPr>
          <w:lang w:val="fr-CA"/>
        </w:rPr>
        <w:t xml:space="preserve"> chaque activité</w:t>
      </w:r>
      <w:r>
        <w:rPr>
          <w:lang w:val="fr-CA"/>
        </w:rPr>
        <w:t>;</w:t>
      </w:r>
      <w:r w:rsidRPr="0056038B" w:rsidR="0056038B">
        <w:rPr>
          <w:lang w:val="fr-CA"/>
        </w:rPr>
        <w:t xml:space="preserve"> </w:t>
      </w:r>
    </w:p>
    <w:p w:rsidRPr="0056038B" w:rsidR="0056038B" w:rsidP="0056038B" w:rsidRDefault="0056038B" w14:paraId="4C0E56C9" w14:textId="0E9C40FA">
      <w:pPr>
        <w:tabs>
          <w:tab w:val="left" w:pos="9356"/>
        </w:tabs>
        <w:spacing w:after="0" w:line="240" w:lineRule="auto"/>
        <w:rPr>
          <w:lang w:val="fr-CA"/>
        </w:rPr>
      </w:pPr>
    </w:p>
    <w:p w:rsidRPr="002D42DD" w:rsidR="00A0442D" w:rsidP="00A0442D" w:rsidRDefault="0056038B" w14:paraId="73E846A2" w14:textId="5A6D44FF">
      <w:pPr>
        <w:pStyle w:val="ListParagraph"/>
        <w:numPr>
          <w:ilvl w:val="0"/>
          <w:numId w:val="33"/>
        </w:numPr>
        <w:tabs>
          <w:tab w:val="left" w:pos="9356"/>
        </w:tabs>
        <w:spacing w:after="0" w:line="240" w:lineRule="auto"/>
        <w:rPr>
          <w:lang w:val="fr-CA"/>
        </w:rPr>
      </w:pPr>
      <w:proofErr w:type="gramStart"/>
      <w:r w:rsidRPr="0056038B">
        <w:rPr>
          <w:lang w:val="fr-CA"/>
        </w:rPr>
        <w:t>elle</w:t>
      </w:r>
      <w:proofErr w:type="gramEnd"/>
      <w:r w:rsidRPr="0056038B">
        <w:rPr>
          <w:lang w:val="fr-CA"/>
        </w:rPr>
        <w:t xml:space="preserve"> ne s</w:t>
      </w:r>
      <w:r w:rsidR="009647E5">
        <w:rPr>
          <w:lang w:val="fr-CA"/>
        </w:rPr>
        <w:t>’</w:t>
      </w:r>
      <w:r w:rsidRPr="0056038B">
        <w:rPr>
          <w:lang w:val="fr-CA"/>
        </w:rPr>
        <w:t xml:space="preserve">applique pas aux situations </w:t>
      </w:r>
      <w:r w:rsidR="00C97B4B">
        <w:rPr>
          <w:lang w:val="fr-CA"/>
        </w:rPr>
        <w:t>pour</w:t>
      </w:r>
      <w:r w:rsidRPr="0056038B">
        <w:rPr>
          <w:lang w:val="fr-CA"/>
        </w:rPr>
        <w:t xml:space="preserve"> lesquelles la partie réglementée peut choisir de ne pas participer à l</w:t>
      </w:r>
      <w:r w:rsidR="009647E5">
        <w:rPr>
          <w:lang w:val="fr-CA"/>
        </w:rPr>
        <w:t>’</w:t>
      </w:r>
      <w:r w:rsidRPr="0056038B">
        <w:rPr>
          <w:lang w:val="fr-CA"/>
        </w:rPr>
        <w:t>activité réglementée</w:t>
      </w:r>
      <w:r w:rsidR="00C97B4B">
        <w:rPr>
          <w:lang w:val="fr-CA"/>
        </w:rPr>
        <w:t>, et l</w:t>
      </w:r>
      <w:r w:rsidRPr="0056038B">
        <w:rPr>
          <w:lang w:val="fr-CA"/>
        </w:rPr>
        <w:t>a décision de ne pas participer n</w:t>
      </w:r>
      <w:r w:rsidR="009647E5">
        <w:rPr>
          <w:lang w:val="fr-CA"/>
        </w:rPr>
        <w:t>’</w:t>
      </w:r>
      <w:r w:rsidRPr="0056038B">
        <w:rPr>
          <w:lang w:val="fr-CA"/>
        </w:rPr>
        <w:t xml:space="preserve">aboutit pas au même </w:t>
      </w:r>
      <w:r w:rsidRPr="0056038B">
        <w:rPr>
          <w:lang w:val="fr-CA"/>
        </w:rPr>
        <w:t xml:space="preserve">résultat réglementaire que la participation, </w:t>
      </w:r>
      <w:r w:rsidR="00757217">
        <w:rPr>
          <w:lang w:val="fr-CA"/>
        </w:rPr>
        <w:t>ce qui signifie qu’</w:t>
      </w:r>
      <w:r w:rsidRPr="0056038B">
        <w:rPr>
          <w:lang w:val="fr-CA"/>
        </w:rPr>
        <w:t>elle n</w:t>
      </w:r>
      <w:r w:rsidR="009647E5">
        <w:rPr>
          <w:lang w:val="fr-CA"/>
        </w:rPr>
        <w:t>’</w:t>
      </w:r>
      <w:r w:rsidRPr="0056038B">
        <w:rPr>
          <w:lang w:val="fr-CA"/>
        </w:rPr>
        <w:t>est donc pas équivalente et ne peut être considérée comme l</w:t>
      </w:r>
      <w:r w:rsidR="009647E5">
        <w:rPr>
          <w:lang w:val="fr-CA"/>
        </w:rPr>
        <w:t>’</w:t>
      </w:r>
      <w:r w:rsidRPr="0056038B">
        <w:rPr>
          <w:lang w:val="fr-CA"/>
        </w:rPr>
        <w:t>option la moins coûteuse aux fins du calcul des coûts.</w:t>
      </w:r>
    </w:p>
    <w:p w:rsidRPr="0056038B" w:rsidR="0056038B" w:rsidP="0056038B" w:rsidRDefault="0056038B" w14:paraId="51C3C2CF" w14:textId="30EA9A02">
      <w:pPr>
        <w:tabs>
          <w:tab w:val="left" w:pos="9356"/>
        </w:tabs>
        <w:spacing w:after="0" w:line="240" w:lineRule="auto"/>
        <w:rPr>
          <w:lang w:val="fr-CA"/>
        </w:rPr>
      </w:pPr>
      <w:r w:rsidRPr="0056038B">
        <w:rPr>
          <w:lang w:val="fr-CA"/>
        </w:rPr>
        <w:t xml:space="preserve"> </w:t>
      </w:r>
    </w:p>
    <w:p w:rsidRPr="00FA558D" w:rsidR="00B91619" w:rsidP="008F7987" w:rsidRDefault="0056038B" w14:paraId="241D48CB" w14:textId="757A39F3">
      <w:pPr>
        <w:tabs>
          <w:tab w:val="left" w:pos="9356"/>
        </w:tabs>
        <w:spacing w:after="0" w:line="240" w:lineRule="auto"/>
        <w:rPr>
          <w:lang w:val="fr-CA"/>
        </w:rPr>
      </w:pPr>
      <w:r w:rsidRPr="0056038B">
        <w:rPr>
          <w:lang w:val="fr-CA"/>
        </w:rPr>
        <w:t>L</w:t>
      </w:r>
      <w:r w:rsidR="009647E5">
        <w:rPr>
          <w:lang w:val="fr-CA"/>
        </w:rPr>
        <w:t>’</w:t>
      </w:r>
      <w:r w:rsidRPr="0056038B">
        <w:rPr>
          <w:lang w:val="fr-CA"/>
        </w:rPr>
        <w:t>utilisation de l</w:t>
      </w:r>
      <w:r w:rsidR="009647E5">
        <w:rPr>
          <w:lang w:val="fr-CA"/>
        </w:rPr>
        <w:t>’</w:t>
      </w:r>
      <w:r w:rsidRPr="0056038B">
        <w:rPr>
          <w:lang w:val="fr-CA"/>
        </w:rPr>
        <w:t xml:space="preserve">option la moins coûteuse comme base </w:t>
      </w:r>
      <w:r w:rsidR="00C97B4B">
        <w:rPr>
          <w:lang w:val="fr-CA"/>
        </w:rPr>
        <w:t>pour le</w:t>
      </w:r>
      <w:r w:rsidRPr="0056038B">
        <w:rPr>
          <w:lang w:val="fr-CA"/>
        </w:rPr>
        <w:t xml:space="preserve"> calcul des coûts </w:t>
      </w:r>
      <w:r w:rsidR="00B91619">
        <w:rPr>
          <w:lang w:val="fr-CA"/>
        </w:rPr>
        <w:t>peut donner lieu à des incohérences entre la section sur la règle du « un pour un » et la section sur l’analyse des coût</w:t>
      </w:r>
      <w:r w:rsidR="00EC2B82">
        <w:rPr>
          <w:lang w:val="fr-CA"/>
        </w:rPr>
        <w:t>s</w:t>
      </w:r>
      <w:r w:rsidR="00C308A7">
        <w:rPr>
          <w:lang w:val="fr-CA"/>
        </w:rPr>
        <w:noBreakHyphen/>
        <w:t>avantages</w:t>
      </w:r>
      <w:r w:rsidR="00B91619">
        <w:rPr>
          <w:lang w:val="fr-CA"/>
        </w:rPr>
        <w:t xml:space="preserve"> du REIR</w:t>
      </w:r>
      <w:r w:rsidRPr="00FA558D" w:rsidR="00B91619">
        <w:rPr>
          <w:lang w:val="fr-CA"/>
        </w:rPr>
        <w:t xml:space="preserve">. </w:t>
      </w:r>
      <w:r w:rsidR="00B91619">
        <w:rPr>
          <w:lang w:val="fr-CA"/>
        </w:rPr>
        <w:t>L’analyse coût</w:t>
      </w:r>
      <w:r w:rsidR="00C308A7">
        <w:rPr>
          <w:lang w:val="fr-CA"/>
        </w:rPr>
        <w:t>s</w:t>
      </w:r>
      <w:r w:rsidR="00C308A7">
        <w:rPr>
          <w:lang w:val="fr-CA"/>
        </w:rPr>
        <w:noBreakHyphen/>
        <w:t>avantages</w:t>
      </w:r>
      <w:r w:rsidR="00B91619">
        <w:rPr>
          <w:lang w:val="fr-CA"/>
        </w:rPr>
        <w:t> :</w:t>
      </w:r>
    </w:p>
    <w:p w:rsidRPr="00FA558D" w:rsidR="00B91619" w:rsidP="00B91619" w:rsidRDefault="00B91619" w14:paraId="127E49EC" w14:textId="77777777">
      <w:pPr>
        <w:tabs>
          <w:tab w:val="left" w:pos="9356"/>
        </w:tabs>
        <w:spacing w:after="0" w:line="240" w:lineRule="auto"/>
        <w:rPr>
          <w:lang w:val="fr-CA"/>
        </w:rPr>
      </w:pPr>
    </w:p>
    <w:p w:rsidRPr="00FA558D" w:rsidR="00B91619" w:rsidP="00B91619" w:rsidRDefault="00B91619" w14:paraId="11E6A2BA" w14:textId="26AFA87A">
      <w:pPr>
        <w:pStyle w:val="ListParagraph"/>
        <w:numPr>
          <w:ilvl w:val="0"/>
          <w:numId w:val="19"/>
        </w:numPr>
        <w:tabs>
          <w:tab w:val="left" w:pos="9356"/>
        </w:tabs>
        <w:spacing w:after="0" w:line="240" w:lineRule="auto"/>
        <w:rPr>
          <w:lang w:val="fr-CA"/>
        </w:rPr>
      </w:pPr>
      <w:proofErr w:type="gramStart"/>
      <w:r>
        <w:rPr>
          <w:lang w:val="fr-CA"/>
        </w:rPr>
        <w:t>permet</w:t>
      </w:r>
      <w:proofErr w:type="gramEnd"/>
      <w:r>
        <w:rPr>
          <w:lang w:val="fr-CA"/>
        </w:rPr>
        <w:t xml:space="preserve"> d’estimer </w:t>
      </w:r>
      <w:r w:rsidR="00C308A7">
        <w:rPr>
          <w:lang w:val="fr-CA"/>
        </w:rPr>
        <w:t>l’avantage</w:t>
      </w:r>
      <w:r>
        <w:rPr>
          <w:lang w:val="fr-CA"/>
        </w:rPr>
        <w:t xml:space="preserve"> net d’après les</w:t>
      </w:r>
      <w:r w:rsidRPr="00FA558D">
        <w:rPr>
          <w:lang w:val="fr-CA"/>
        </w:rPr>
        <w:t xml:space="preserve"> </w:t>
      </w:r>
      <w:r>
        <w:rPr>
          <w:lang w:val="fr-CA"/>
        </w:rPr>
        <w:t>hypothèse</w:t>
      </w:r>
      <w:r w:rsidRPr="00FA558D">
        <w:rPr>
          <w:lang w:val="fr-CA"/>
        </w:rPr>
        <w:t xml:space="preserve">s </w:t>
      </w:r>
      <w:r>
        <w:rPr>
          <w:lang w:val="fr-CA"/>
        </w:rPr>
        <w:t>sur l</w:t>
      </w:r>
      <w:r w:rsidR="008F7987">
        <w:rPr>
          <w:lang w:val="fr-CA"/>
        </w:rPr>
        <w:t>’utilisation de</w:t>
      </w:r>
      <w:r>
        <w:rPr>
          <w:lang w:val="fr-CA"/>
        </w:rPr>
        <w:t xml:space="preserve"> chaque </w:t>
      </w:r>
      <w:r w:rsidRPr="00FA558D">
        <w:rPr>
          <w:lang w:val="fr-CA"/>
        </w:rPr>
        <w:t>option</w:t>
      </w:r>
      <w:r>
        <w:rPr>
          <w:lang w:val="fr-CA"/>
        </w:rPr>
        <w:t>;</w:t>
      </w:r>
    </w:p>
    <w:p w:rsidRPr="00FA558D" w:rsidR="00B91619" w:rsidP="00B91619" w:rsidRDefault="00B91619" w14:paraId="57FD71B1" w14:textId="1FAB0ED5">
      <w:pPr>
        <w:pStyle w:val="ListParagraph"/>
        <w:numPr>
          <w:ilvl w:val="0"/>
          <w:numId w:val="19"/>
        </w:numPr>
        <w:tabs>
          <w:tab w:val="left" w:pos="9356"/>
        </w:tabs>
        <w:spacing w:after="0" w:line="240" w:lineRule="auto"/>
        <w:rPr>
          <w:lang w:val="fr-CA"/>
        </w:rPr>
      </w:pPr>
      <w:proofErr w:type="gramStart"/>
      <w:r>
        <w:rPr>
          <w:lang w:val="fr-CA"/>
        </w:rPr>
        <w:t>ne</w:t>
      </w:r>
      <w:proofErr w:type="gramEnd"/>
      <w:r>
        <w:rPr>
          <w:lang w:val="fr-CA"/>
        </w:rPr>
        <w:t xml:space="preserve"> se fonde jamais sur un</w:t>
      </w:r>
      <w:r w:rsidR="008F7987">
        <w:rPr>
          <w:lang w:val="fr-CA"/>
        </w:rPr>
        <w:t xml:space="preserve">e utilisation à 100 % de </w:t>
      </w:r>
      <w:r>
        <w:rPr>
          <w:lang w:val="fr-CA"/>
        </w:rPr>
        <w:t xml:space="preserve">l’option </w:t>
      </w:r>
      <w:r w:rsidR="008F7987">
        <w:rPr>
          <w:lang w:val="fr-CA"/>
        </w:rPr>
        <w:t>qui présente les coûts administratifs les moins élevés</w:t>
      </w:r>
      <w:r>
        <w:rPr>
          <w:lang w:val="fr-CA"/>
        </w:rPr>
        <w:t>.</w:t>
      </w:r>
    </w:p>
    <w:p w:rsidRPr="00FA558D" w:rsidR="00B91619" w:rsidP="00B91619" w:rsidRDefault="00B91619" w14:paraId="30FF6F04" w14:textId="77777777">
      <w:pPr>
        <w:tabs>
          <w:tab w:val="left" w:pos="9356"/>
        </w:tabs>
        <w:spacing w:after="0" w:line="240" w:lineRule="auto"/>
        <w:rPr>
          <w:lang w:val="fr-CA"/>
        </w:rPr>
      </w:pPr>
    </w:p>
    <w:p w:rsidRPr="00FA558D" w:rsidR="008F7987" w:rsidP="008F7987" w:rsidRDefault="008138CA" w14:paraId="376D9F1C" w14:textId="37721C8F">
      <w:pPr>
        <w:tabs>
          <w:tab w:val="left" w:pos="9356"/>
        </w:tabs>
        <w:spacing w:after="0" w:line="240" w:lineRule="auto"/>
        <w:rPr>
          <w:lang w:val="fr-CA"/>
        </w:rPr>
      </w:pPr>
      <w:r>
        <w:rPr>
          <w:lang w:val="fr-CA"/>
        </w:rPr>
        <w:t>D</w:t>
      </w:r>
      <w:r w:rsidRPr="0056038B">
        <w:rPr>
          <w:lang w:val="fr-CA"/>
        </w:rPr>
        <w:t>ans un souci de clarté et de transparence</w:t>
      </w:r>
      <w:r>
        <w:rPr>
          <w:lang w:val="fr-CA"/>
        </w:rPr>
        <w:t>, l</w:t>
      </w:r>
      <w:r w:rsidRPr="0056038B" w:rsidR="008F7987">
        <w:rPr>
          <w:lang w:val="fr-CA"/>
        </w:rPr>
        <w:t xml:space="preserve">orsque </w:t>
      </w:r>
      <w:r>
        <w:rPr>
          <w:lang w:val="fr-CA"/>
        </w:rPr>
        <w:t>l</w:t>
      </w:r>
      <w:r w:rsidRPr="0056038B" w:rsidR="008F7987">
        <w:rPr>
          <w:lang w:val="fr-CA"/>
        </w:rPr>
        <w:t xml:space="preserve">es hypothèses utilisées dans la section </w:t>
      </w:r>
      <w:r w:rsidR="008F7987">
        <w:rPr>
          <w:lang w:val="fr-CA"/>
        </w:rPr>
        <w:t xml:space="preserve">sur </w:t>
      </w:r>
      <w:r w:rsidRPr="0056038B" w:rsidR="008F7987">
        <w:rPr>
          <w:lang w:val="fr-CA"/>
        </w:rPr>
        <w:t xml:space="preserve">la règle du </w:t>
      </w:r>
      <w:r w:rsidR="008F7987">
        <w:rPr>
          <w:lang w:val="fr-CA"/>
        </w:rPr>
        <w:t>«</w:t>
      </w:r>
      <w:r w:rsidR="009647E5">
        <w:rPr>
          <w:lang w:val="fr-CA"/>
        </w:rPr>
        <w:t> </w:t>
      </w:r>
      <w:r w:rsidRPr="0056038B" w:rsidR="008F7987">
        <w:rPr>
          <w:lang w:val="fr-CA"/>
        </w:rPr>
        <w:t>un pour un</w:t>
      </w:r>
      <w:r w:rsidR="009647E5">
        <w:rPr>
          <w:lang w:val="fr-CA"/>
        </w:rPr>
        <w:t> </w:t>
      </w:r>
      <w:r w:rsidR="008F7987">
        <w:rPr>
          <w:lang w:val="fr-CA"/>
        </w:rPr>
        <w:t>»</w:t>
      </w:r>
      <w:r w:rsidRPr="0056038B" w:rsidR="008F7987">
        <w:rPr>
          <w:lang w:val="fr-CA"/>
        </w:rPr>
        <w:t xml:space="preserve"> </w:t>
      </w:r>
      <w:r>
        <w:rPr>
          <w:lang w:val="fr-CA"/>
        </w:rPr>
        <w:t xml:space="preserve">diffèrent de celles </w:t>
      </w:r>
      <w:r w:rsidRPr="0056038B" w:rsidR="008F7987">
        <w:rPr>
          <w:lang w:val="fr-CA"/>
        </w:rPr>
        <w:t xml:space="preserve">dans la section </w:t>
      </w:r>
      <w:r w:rsidR="008F7987">
        <w:rPr>
          <w:lang w:val="fr-CA"/>
        </w:rPr>
        <w:t>sur</w:t>
      </w:r>
      <w:r w:rsidRPr="0056038B" w:rsidR="008F7987">
        <w:rPr>
          <w:lang w:val="fr-CA"/>
        </w:rPr>
        <w:t xml:space="preserve"> l</w:t>
      </w:r>
      <w:r w:rsidR="009647E5">
        <w:rPr>
          <w:lang w:val="fr-CA"/>
        </w:rPr>
        <w:t>’</w:t>
      </w:r>
      <w:r w:rsidRPr="0056038B" w:rsidR="008F7987">
        <w:rPr>
          <w:lang w:val="fr-CA"/>
        </w:rPr>
        <w:t xml:space="preserve">analyse coûts-avantages du REIR, </w:t>
      </w:r>
      <w:r>
        <w:rPr>
          <w:lang w:val="fr-CA"/>
        </w:rPr>
        <w:t xml:space="preserve">il faut indiquer </w:t>
      </w:r>
      <w:r w:rsidRPr="0056038B" w:rsidR="008F7987">
        <w:rPr>
          <w:lang w:val="fr-CA"/>
        </w:rPr>
        <w:t xml:space="preserve">clairement </w:t>
      </w:r>
      <w:r>
        <w:rPr>
          <w:lang w:val="fr-CA"/>
        </w:rPr>
        <w:t xml:space="preserve">les différences </w:t>
      </w:r>
      <w:r w:rsidRPr="0056038B" w:rsidR="008F7987">
        <w:rPr>
          <w:lang w:val="fr-CA"/>
        </w:rPr>
        <w:t xml:space="preserve">dans la section </w:t>
      </w:r>
      <w:r>
        <w:rPr>
          <w:lang w:val="fr-CA"/>
        </w:rPr>
        <w:t>sur</w:t>
      </w:r>
      <w:r w:rsidRPr="0056038B" w:rsidR="008F7987">
        <w:rPr>
          <w:lang w:val="fr-CA"/>
        </w:rPr>
        <w:t xml:space="preserve"> la règle du </w:t>
      </w:r>
      <w:r>
        <w:rPr>
          <w:lang w:val="fr-CA"/>
        </w:rPr>
        <w:t>«</w:t>
      </w:r>
      <w:r w:rsidR="009647E5">
        <w:rPr>
          <w:lang w:val="fr-CA"/>
        </w:rPr>
        <w:t> </w:t>
      </w:r>
      <w:r w:rsidRPr="0056038B" w:rsidR="008F7987">
        <w:rPr>
          <w:lang w:val="fr-CA"/>
        </w:rPr>
        <w:t>un pour un</w:t>
      </w:r>
      <w:r w:rsidR="009647E5">
        <w:rPr>
          <w:lang w:val="fr-CA"/>
        </w:rPr>
        <w:t> </w:t>
      </w:r>
      <w:r>
        <w:rPr>
          <w:lang w:val="fr-CA"/>
        </w:rPr>
        <w:t>»</w:t>
      </w:r>
      <w:r w:rsidR="008F7987">
        <w:rPr>
          <w:lang w:val="fr-CA"/>
        </w:rPr>
        <w:t>.</w:t>
      </w:r>
    </w:p>
    <w:p w:rsidRPr="00FA558D" w:rsidR="00B91619" w:rsidP="00B91619" w:rsidRDefault="00B91619" w14:paraId="48B12968" w14:textId="77777777">
      <w:pPr>
        <w:tabs>
          <w:tab w:val="left" w:pos="9356"/>
        </w:tabs>
        <w:spacing w:after="0" w:line="240" w:lineRule="auto"/>
        <w:rPr>
          <w:lang w:val="fr-CA"/>
        </w:rPr>
      </w:pPr>
    </w:p>
    <w:p w:rsidRPr="00FA558D" w:rsidR="00B91619" w:rsidP="00B91619" w:rsidRDefault="00492D48" w14:paraId="4F8E525F" w14:textId="6F219CED">
      <w:pPr>
        <w:pStyle w:val="Heading4"/>
        <w:rPr>
          <w:lang w:val="fr-CA"/>
        </w:rPr>
      </w:pPr>
      <w:r>
        <w:rPr>
          <w:lang w:val="fr-CA"/>
        </w:rPr>
        <w:t>Ensemble de r</w:t>
      </w:r>
      <w:r w:rsidR="00B91619">
        <w:rPr>
          <w:lang w:val="fr-CA"/>
        </w:rPr>
        <w:t>èglements</w:t>
      </w:r>
    </w:p>
    <w:p w:rsidRPr="00FA558D" w:rsidR="00B91619" w:rsidP="00B91619" w:rsidRDefault="00B91619" w14:paraId="21FAED51" w14:textId="77777777">
      <w:pPr>
        <w:tabs>
          <w:tab w:val="left" w:pos="9356"/>
        </w:tabs>
        <w:spacing w:after="0" w:line="240" w:lineRule="auto"/>
        <w:rPr>
          <w:lang w:val="fr-CA"/>
        </w:rPr>
      </w:pPr>
    </w:p>
    <w:p w:rsidRPr="00FA558D" w:rsidR="00B91619" w:rsidP="00B91619" w:rsidRDefault="00B91619" w14:paraId="326EF7FF" w14:textId="37812033">
      <w:pPr>
        <w:tabs>
          <w:tab w:val="left" w:pos="9356"/>
        </w:tabs>
        <w:spacing w:after="0" w:line="240" w:lineRule="auto"/>
        <w:rPr>
          <w:lang w:val="fr-CA"/>
        </w:rPr>
      </w:pPr>
      <w:r>
        <w:rPr>
          <w:lang w:val="fr-CA"/>
        </w:rPr>
        <w:t>Il est parfois nécessaire</w:t>
      </w:r>
      <w:r w:rsidRPr="00FA558D">
        <w:rPr>
          <w:lang w:val="fr-CA"/>
        </w:rPr>
        <w:t xml:space="preserve"> </w:t>
      </w:r>
      <w:r>
        <w:rPr>
          <w:lang w:val="fr-CA"/>
        </w:rPr>
        <w:t xml:space="preserve">de recourir à </w:t>
      </w:r>
      <w:r w:rsidR="00DD53A1">
        <w:rPr>
          <w:lang w:val="fr-CA"/>
        </w:rPr>
        <w:t>plusieurs</w:t>
      </w:r>
      <w:r>
        <w:rPr>
          <w:lang w:val="fr-CA"/>
        </w:rPr>
        <w:t xml:space="preserve"> instruments réglementaires pour prendre toutes les mesures techniques liées à une modification réglementaire</w:t>
      </w:r>
      <w:r w:rsidRPr="00FA558D">
        <w:rPr>
          <w:lang w:val="fr-CA"/>
        </w:rPr>
        <w:t xml:space="preserve">. </w:t>
      </w:r>
      <w:r w:rsidR="00DD53A1">
        <w:rPr>
          <w:lang w:val="fr-CA"/>
        </w:rPr>
        <w:t xml:space="preserve">Il peut s’agir d’une combinaison </w:t>
      </w:r>
      <w:r>
        <w:rPr>
          <w:lang w:val="fr-CA"/>
        </w:rPr>
        <w:t>de nouveaux règlement</w:t>
      </w:r>
      <w:r w:rsidRPr="00FA558D">
        <w:rPr>
          <w:lang w:val="fr-CA"/>
        </w:rPr>
        <w:t xml:space="preserve">s, </w:t>
      </w:r>
      <w:r>
        <w:rPr>
          <w:lang w:val="fr-CA"/>
        </w:rPr>
        <w:t>de modifications réglementaires</w:t>
      </w:r>
      <w:r w:rsidR="00DD53A1">
        <w:rPr>
          <w:lang w:val="fr-CA"/>
        </w:rPr>
        <w:t>, d’ordonnances</w:t>
      </w:r>
      <w:r>
        <w:rPr>
          <w:lang w:val="fr-CA"/>
        </w:rPr>
        <w:t xml:space="preserve"> et </w:t>
      </w:r>
      <w:r w:rsidR="006537AC">
        <w:rPr>
          <w:lang w:val="fr-CA"/>
        </w:rPr>
        <w:t>d</w:t>
      </w:r>
      <w:r w:rsidR="00DD53A1">
        <w:rPr>
          <w:lang w:val="fr-CA"/>
        </w:rPr>
        <w:t>e</w:t>
      </w:r>
      <w:r w:rsidR="00EC2B82">
        <w:rPr>
          <w:lang w:val="fr-CA"/>
        </w:rPr>
        <w:t xml:space="preserve"> </w:t>
      </w:r>
      <w:r>
        <w:rPr>
          <w:lang w:val="fr-CA"/>
        </w:rPr>
        <w:t xml:space="preserve">décrets </w:t>
      </w:r>
      <w:r w:rsidR="00DD53A1">
        <w:rPr>
          <w:lang w:val="fr-CA"/>
        </w:rPr>
        <w:t>qui sont regroupés</w:t>
      </w:r>
      <w:r>
        <w:rPr>
          <w:lang w:val="fr-CA"/>
        </w:rPr>
        <w:t xml:space="preserve"> et approuvés</w:t>
      </w:r>
      <w:r w:rsidRPr="00FA558D">
        <w:rPr>
          <w:lang w:val="fr-CA"/>
        </w:rPr>
        <w:t xml:space="preserve"> </w:t>
      </w:r>
      <w:r>
        <w:rPr>
          <w:lang w:val="fr-CA"/>
        </w:rPr>
        <w:t>ensemble</w:t>
      </w:r>
      <w:r w:rsidRPr="00FA558D">
        <w:rPr>
          <w:lang w:val="fr-CA"/>
        </w:rPr>
        <w:t>,</w:t>
      </w:r>
      <w:r>
        <w:rPr>
          <w:lang w:val="fr-CA"/>
        </w:rPr>
        <w:t xml:space="preserve"> chacun </w:t>
      </w:r>
      <w:r w:rsidR="006537AC">
        <w:rPr>
          <w:lang w:val="fr-CA"/>
        </w:rPr>
        <w:t>ayant</w:t>
      </w:r>
      <w:r>
        <w:rPr>
          <w:lang w:val="fr-CA"/>
        </w:rPr>
        <w:t xml:space="preserve"> son propre numéro </w:t>
      </w:r>
      <w:r w:rsidR="00DD53A1">
        <w:rPr>
          <w:lang w:val="fr-CA"/>
        </w:rPr>
        <w:t>DORS (</w:t>
      </w:r>
      <w:r>
        <w:rPr>
          <w:lang w:val="fr-CA"/>
        </w:rPr>
        <w:t>décret</w:t>
      </w:r>
      <w:r w:rsidR="006537AC">
        <w:rPr>
          <w:lang w:val="fr-CA"/>
        </w:rPr>
        <w:t>s</w:t>
      </w:r>
      <w:r>
        <w:rPr>
          <w:lang w:val="fr-CA"/>
        </w:rPr>
        <w:t>, ordonnance</w:t>
      </w:r>
      <w:r w:rsidR="006537AC">
        <w:rPr>
          <w:lang w:val="fr-CA"/>
        </w:rPr>
        <w:t>s</w:t>
      </w:r>
      <w:r>
        <w:rPr>
          <w:lang w:val="fr-CA"/>
        </w:rPr>
        <w:t xml:space="preserve"> et règlement</w:t>
      </w:r>
      <w:r w:rsidR="006537AC">
        <w:rPr>
          <w:lang w:val="fr-CA"/>
        </w:rPr>
        <w:t>s</w:t>
      </w:r>
      <w:r>
        <w:rPr>
          <w:lang w:val="fr-CA"/>
        </w:rPr>
        <w:t xml:space="preserve"> statutaire</w:t>
      </w:r>
      <w:r w:rsidR="006537AC">
        <w:rPr>
          <w:lang w:val="fr-CA"/>
        </w:rPr>
        <w:t>s</w:t>
      </w:r>
      <w:r w:rsidR="00DD53A1">
        <w:rPr>
          <w:lang w:val="fr-CA"/>
        </w:rPr>
        <w:t>)</w:t>
      </w:r>
      <w:r w:rsidRPr="00FA558D">
        <w:rPr>
          <w:lang w:val="fr-CA"/>
        </w:rPr>
        <w:t xml:space="preserve">. </w:t>
      </w:r>
      <w:r w:rsidR="00DD53A1">
        <w:rPr>
          <w:lang w:val="fr-CA"/>
        </w:rPr>
        <w:t xml:space="preserve">Il y a souvent </w:t>
      </w:r>
      <w:r>
        <w:rPr>
          <w:lang w:val="fr-CA"/>
        </w:rPr>
        <w:t xml:space="preserve">un </w:t>
      </w:r>
      <w:r w:rsidR="00DD53A1">
        <w:rPr>
          <w:lang w:val="fr-CA"/>
        </w:rPr>
        <w:t xml:space="preserve">seul </w:t>
      </w:r>
      <w:r>
        <w:rPr>
          <w:lang w:val="fr-CA"/>
        </w:rPr>
        <w:t xml:space="preserve">REIR pour </w:t>
      </w:r>
      <w:r w:rsidR="00492D48">
        <w:rPr>
          <w:lang w:val="fr-CA"/>
        </w:rPr>
        <w:t xml:space="preserve">l’ensemble de </w:t>
      </w:r>
      <w:r w:rsidR="00DD53A1">
        <w:rPr>
          <w:lang w:val="fr-CA"/>
        </w:rPr>
        <w:t>l’</w:t>
      </w:r>
      <w:r w:rsidRPr="00FA558D">
        <w:rPr>
          <w:lang w:val="fr-CA"/>
        </w:rPr>
        <w:t>initiative</w:t>
      </w:r>
      <w:r>
        <w:rPr>
          <w:lang w:val="fr-CA"/>
        </w:rPr>
        <w:t xml:space="preserve"> qui </w:t>
      </w:r>
      <w:r w:rsidR="00540D11">
        <w:rPr>
          <w:lang w:val="fr-CA"/>
        </w:rPr>
        <w:t xml:space="preserve">accompagne </w:t>
      </w:r>
      <w:r>
        <w:rPr>
          <w:lang w:val="fr-CA"/>
        </w:rPr>
        <w:t xml:space="preserve">l’un des </w:t>
      </w:r>
      <w:r w:rsidRPr="00FA558D">
        <w:rPr>
          <w:lang w:val="fr-CA"/>
        </w:rPr>
        <w:t>instruments</w:t>
      </w:r>
      <w:r>
        <w:rPr>
          <w:lang w:val="fr-CA"/>
        </w:rPr>
        <w:t xml:space="preserve">, </w:t>
      </w:r>
      <w:r w:rsidR="00DD53A1">
        <w:rPr>
          <w:lang w:val="fr-CA"/>
        </w:rPr>
        <w:t>et</w:t>
      </w:r>
      <w:r>
        <w:rPr>
          <w:lang w:val="fr-CA"/>
        </w:rPr>
        <w:t xml:space="preserve"> les autres </w:t>
      </w:r>
      <w:r w:rsidRPr="00FA558D">
        <w:rPr>
          <w:lang w:val="fr-CA"/>
        </w:rPr>
        <w:t>instruments re</w:t>
      </w:r>
      <w:r>
        <w:rPr>
          <w:lang w:val="fr-CA"/>
        </w:rPr>
        <w:t>nvoient à l’i</w:t>
      </w:r>
      <w:r w:rsidRPr="00FA558D">
        <w:rPr>
          <w:lang w:val="fr-CA"/>
        </w:rPr>
        <w:t>nstrument</w:t>
      </w:r>
      <w:r>
        <w:rPr>
          <w:lang w:val="fr-CA"/>
        </w:rPr>
        <w:t xml:space="preserve"> </w:t>
      </w:r>
      <w:r w:rsidR="00DD53A1">
        <w:rPr>
          <w:lang w:val="fr-CA"/>
        </w:rPr>
        <w:t xml:space="preserve">qui contient </w:t>
      </w:r>
      <w:r>
        <w:rPr>
          <w:lang w:val="fr-CA"/>
        </w:rPr>
        <w:t>le REIR</w:t>
      </w:r>
      <w:r w:rsidRPr="00FA558D">
        <w:rPr>
          <w:lang w:val="fr-CA"/>
        </w:rPr>
        <w:t>.</w:t>
      </w:r>
    </w:p>
    <w:p w:rsidRPr="00FA558D" w:rsidR="00B91619" w:rsidP="00B91619" w:rsidRDefault="00B91619" w14:paraId="662CB49F" w14:textId="77777777">
      <w:pPr>
        <w:tabs>
          <w:tab w:val="left" w:pos="9356"/>
        </w:tabs>
        <w:spacing w:after="0" w:line="240" w:lineRule="auto"/>
        <w:rPr>
          <w:lang w:val="fr-CA"/>
        </w:rPr>
      </w:pPr>
    </w:p>
    <w:p w:rsidRPr="00FA558D" w:rsidR="00B91619" w:rsidP="00B91619" w:rsidRDefault="00B91619" w14:paraId="5C1A206F" w14:textId="7D5B56C9">
      <w:pPr>
        <w:tabs>
          <w:tab w:val="left" w:pos="9356"/>
        </w:tabs>
        <w:spacing w:after="0" w:line="240" w:lineRule="auto"/>
        <w:rPr>
          <w:lang w:val="fr-CA"/>
        </w:rPr>
      </w:pPr>
      <w:r>
        <w:rPr>
          <w:lang w:val="fr-CA"/>
        </w:rPr>
        <w:t>Si l’</w:t>
      </w:r>
      <w:r w:rsidRPr="00FA558D">
        <w:rPr>
          <w:lang w:val="fr-CA"/>
        </w:rPr>
        <w:t xml:space="preserve">initiative </w:t>
      </w:r>
      <w:r>
        <w:rPr>
          <w:lang w:val="fr-CA"/>
        </w:rPr>
        <w:t xml:space="preserve">modifie le fardeau administratif </w:t>
      </w:r>
      <w:r w:rsidR="006537AC">
        <w:rPr>
          <w:lang w:val="fr-CA"/>
        </w:rPr>
        <w:t>imposé aux</w:t>
      </w:r>
      <w:r>
        <w:rPr>
          <w:lang w:val="fr-CA"/>
        </w:rPr>
        <w:t xml:space="preserve"> entreprises</w:t>
      </w:r>
      <w:r w:rsidRPr="00FA558D">
        <w:rPr>
          <w:lang w:val="fr-CA"/>
        </w:rPr>
        <w:t xml:space="preserve">, </w:t>
      </w:r>
      <w:r>
        <w:rPr>
          <w:lang w:val="fr-CA"/>
        </w:rPr>
        <w:t>l</w:t>
      </w:r>
      <w:r w:rsidR="00492D48">
        <w:rPr>
          <w:lang w:val="fr-CA"/>
        </w:rPr>
        <w:t>a modification</w:t>
      </w:r>
      <w:r>
        <w:rPr>
          <w:lang w:val="fr-CA"/>
        </w:rPr>
        <w:t xml:space="preserve"> doit être calculé</w:t>
      </w:r>
      <w:r w:rsidR="00492D48">
        <w:rPr>
          <w:lang w:val="fr-CA"/>
        </w:rPr>
        <w:t>e</w:t>
      </w:r>
      <w:r>
        <w:rPr>
          <w:lang w:val="fr-CA"/>
        </w:rPr>
        <w:t xml:space="preserve"> et pris</w:t>
      </w:r>
      <w:r w:rsidR="00492D48">
        <w:rPr>
          <w:lang w:val="fr-CA"/>
        </w:rPr>
        <w:t>e</w:t>
      </w:r>
      <w:r>
        <w:rPr>
          <w:lang w:val="fr-CA"/>
        </w:rPr>
        <w:t xml:space="preserve"> en compte</w:t>
      </w:r>
      <w:r w:rsidRPr="00FA558D">
        <w:rPr>
          <w:lang w:val="fr-CA"/>
        </w:rPr>
        <w:t xml:space="preserve"> </w:t>
      </w:r>
      <w:r w:rsidR="00492D48">
        <w:rPr>
          <w:lang w:val="fr-CA"/>
        </w:rPr>
        <w:t>dans le cadre de</w:t>
      </w:r>
      <w:r>
        <w:rPr>
          <w:lang w:val="fr-CA"/>
        </w:rPr>
        <w:t xml:space="preserve"> la règle du « un pour un »</w:t>
      </w:r>
      <w:r w:rsidRPr="00FA558D">
        <w:rPr>
          <w:lang w:val="fr-CA"/>
        </w:rPr>
        <w:t xml:space="preserve">. </w:t>
      </w:r>
      <w:r>
        <w:rPr>
          <w:lang w:val="fr-CA"/>
        </w:rPr>
        <w:t>Le fardeau administratif net lié à l’</w:t>
      </w:r>
      <w:r w:rsidRPr="00FA558D">
        <w:rPr>
          <w:lang w:val="fr-CA"/>
        </w:rPr>
        <w:t>initiative (</w:t>
      </w:r>
      <w:r>
        <w:rPr>
          <w:lang w:val="fr-CA"/>
        </w:rPr>
        <w:t>élément</w:t>
      </w:r>
      <w:r w:rsidRPr="00FA558D">
        <w:rPr>
          <w:lang w:val="fr-CA"/>
        </w:rPr>
        <w:t xml:space="preserve"> A) </w:t>
      </w:r>
      <w:r>
        <w:rPr>
          <w:lang w:val="fr-CA"/>
        </w:rPr>
        <w:t>peut être</w:t>
      </w:r>
      <w:r w:rsidRPr="00FA558D">
        <w:rPr>
          <w:lang w:val="fr-CA"/>
        </w:rPr>
        <w:t xml:space="preserve"> </w:t>
      </w:r>
      <w:r w:rsidR="00492D48">
        <w:rPr>
          <w:lang w:val="fr-CA"/>
        </w:rPr>
        <w:t xml:space="preserve">indiqué </w:t>
      </w:r>
      <w:r>
        <w:rPr>
          <w:lang w:val="fr-CA"/>
        </w:rPr>
        <w:t>comme un montant unique dans le REIR</w:t>
      </w:r>
      <w:r w:rsidRPr="00FA558D">
        <w:rPr>
          <w:lang w:val="fr-CA"/>
        </w:rPr>
        <w:t xml:space="preserve">. </w:t>
      </w:r>
      <w:r w:rsidR="00492D48">
        <w:rPr>
          <w:lang w:val="fr-CA"/>
        </w:rPr>
        <w:t>En ce qui concerne</w:t>
      </w:r>
      <w:r>
        <w:rPr>
          <w:lang w:val="fr-CA"/>
        </w:rPr>
        <w:t xml:space="preserve"> les </w:t>
      </w:r>
      <w:r w:rsidRPr="00FA558D">
        <w:rPr>
          <w:lang w:val="fr-CA"/>
        </w:rPr>
        <w:t>initiatives</w:t>
      </w:r>
      <w:r>
        <w:rPr>
          <w:lang w:val="fr-CA"/>
        </w:rPr>
        <w:t xml:space="preserve"> </w:t>
      </w:r>
      <w:r w:rsidR="00492D48">
        <w:rPr>
          <w:lang w:val="fr-CA"/>
        </w:rPr>
        <w:t>pour</w:t>
      </w:r>
      <w:r>
        <w:rPr>
          <w:lang w:val="fr-CA"/>
        </w:rPr>
        <w:t xml:space="preserve"> lesquelles un seul </w:t>
      </w:r>
      <w:r w:rsidRPr="00FA558D">
        <w:rPr>
          <w:lang w:val="fr-CA"/>
        </w:rPr>
        <w:t xml:space="preserve">instrument </w:t>
      </w:r>
      <w:r>
        <w:rPr>
          <w:lang w:val="fr-CA"/>
        </w:rPr>
        <w:t>est utilisé</w:t>
      </w:r>
      <w:r w:rsidRPr="00FA558D">
        <w:rPr>
          <w:lang w:val="fr-CA"/>
        </w:rPr>
        <w:t xml:space="preserve">, </w:t>
      </w:r>
      <w:r>
        <w:rPr>
          <w:lang w:val="fr-CA"/>
        </w:rPr>
        <w:t>le fardeau</w:t>
      </w:r>
      <w:r w:rsidRPr="00FA558D">
        <w:rPr>
          <w:lang w:val="fr-CA"/>
        </w:rPr>
        <w:t xml:space="preserve"> </w:t>
      </w:r>
      <w:r>
        <w:rPr>
          <w:lang w:val="fr-CA"/>
        </w:rPr>
        <w:t xml:space="preserve">peut aussi être </w:t>
      </w:r>
      <w:r w:rsidR="00492D48">
        <w:rPr>
          <w:lang w:val="fr-CA"/>
        </w:rPr>
        <w:t>indiqué</w:t>
      </w:r>
      <w:r>
        <w:rPr>
          <w:lang w:val="fr-CA"/>
        </w:rPr>
        <w:t xml:space="preserve"> comme un montant unique dans le REIR</w:t>
      </w:r>
      <w:r w:rsidRPr="00FA558D">
        <w:rPr>
          <w:lang w:val="fr-CA"/>
        </w:rPr>
        <w:t xml:space="preserve">. </w:t>
      </w:r>
    </w:p>
    <w:p w:rsidRPr="00FA558D" w:rsidR="00B91619" w:rsidP="00B91619" w:rsidRDefault="00B91619" w14:paraId="715B3902" w14:textId="77777777">
      <w:pPr>
        <w:tabs>
          <w:tab w:val="left" w:pos="9356"/>
        </w:tabs>
        <w:spacing w:after="0" w:line="240" w:lineRule="auto"/>
        <w:rPr>
          <w:lang w:val="fr-CA"/>
        </w:rPr>
      </w:pPr>
    </w:p>
    <w:p w:rsidRPr="00FA558D" w:rsidR="00B91619" w:rsidP="00B91619" w:rsidRDefault="00B91619" w14:paraId="53A6F723" w14:textId="362CB84C">
      <w:pPr>
        <w:tabs>
          <w:tab w:val="left" w:pos="9356"/>
        </w:tabs>
        <w:spacing w:after="0" w:line="240" w:lineRule="auto"/>
        <w:rPr>
          <w:lang w:val="fr-CA"/>
        </w:rPr>
      </w:pPr>
      <w:r>
        <w:rPr>
          <w:lang w:val="fr-CA"/>
        </w:rPr>
        <w:t>Si l’in</w:t>
      </w:r>
      <w:r w:rsidRPr="00FA558D">
        <w:rPr>
          <w:lang w:val="fr-CA"/>
        </w:rPr>
        <w:t xml:space="preserve">itiative </w:t>
      </w:r>
      <w:r>
        <w:rPr>
          <w:lang w:val="fr-CA"/>
        </w:rPr>
        <w:t>comprend</w:t>
      </w:r>
      <w:r w:rsidRPr="00FA558D">
        <w:rPr>
          <w:lang w:val="fr-CA"/>
        </w:rPr>
        <w:t xml:space="preserve"> </w:t>
      </w:r>
      <w:r>
        <w:rPr>
          <w:lang w:val="fr-CA"/>
        </w:rPr>
        <w:t>plusieurs</w:t>
      </w:r>
      <w:r w:rsidRPr="00FA558D">
        <w:rPr>
          <w:lang w:val="fr-CA"/>
        </w:rPr>
        <w:t xml:space="preserve"> </w:t>
      </w:r>
      <w:r>
        <w:rPr>
          <w:lang w:val="fr-CA"/>
        </w:rPr>
        <w:t xml:space="preserve">nouveaux règlements (tels qu’ils sont </w:t>
      </w:r>
      <w:r w:rsidR="006537AC">
        <w:rPr>
          <w:lang w:val="fr-CA"/>
        </w:rPr>
        <w:t xml:space="preserve">définis </w:t>
      </w:r>
      <w:r>
        <w:rPr>
          <w:lang w:val="fr-CA"/>
        </w:rPr>
        <w:t xml:space="preserve">dans la </w:t>
      </w:r>
      <w:r w:rsidRPr="00FA558D">
        <w:rPr>
          <w:lang w:val="fr-CA"/>
        </w:rPr>
        <w:t>Politique sur la limitation du fardeau réglementaire sur les entreprises),</w:t>
      </w:r>
      <w:r>
        <w:rPr>
          <w:lang w:val="fr-CA"/>
        </w:rPr>
        <w:t xml:space="preserve"> chacun sera </w:t>
      </w:r>
      <w:r w:rsidR="00E224BA">
        <w:rPr>
          <w:lang w:val="fr-CA"/>
        </w:rPr>
        <w:t xml:space="preserve">compté </w:t>
      </w:r>
      <w:r>
        <w:rPr>
          <w:lang w:val="fr-CA"/>
        </w:rPr>
        <w:t xml:space="preserve">comme un </w:t>
      </w:r>
      <w:r w:rsidR="00E224BA">
        <w:rPr>
          <w:lang w:val="fr-CA"/>
        </w:rPr>
        <w:t>titre</w:t>
      </w:r>
      <w:r w:rsidRPr="00FA558D">
        <w:rPr>
          <w:lang w:val="fr-CA"/>
        </w:rPr>
        <w:t xml:space="preserve"> </w:t>
      </w:r>
      <w:r w:rsidR="00492D48">
        <w:rPr>
          <w:lang w:val="fr-CA"/>
        </w:rPr>
        <w:t>dans</w:t>
      </w:r>
      <w:r w:rsidR="006537AC">
        <w:rPr>
          <w:lang w:val="fr-CA"/>
        </w:rPr>
        <w:t xml:space="preserve"> </w:t>
      </w:r>
      <w:r>
        <w:rPr>
          <w:lang w:val="fr-CA"/>
        </w:rPr>
        <w:t>l’élément</w:t>
      </w:r>
      <w:r w:rsidRPr="00FA558D">
        <w:rPr>
          <w:lang w:val="fr-CA"/>
        </w:rPr>
        <w:t> B</w:t>
      </w:r>
      <w:r>
        <w:rPr>
          <w:lang w:val="fr-CA"/>
        </w:rPr>
        <w:t xml:space="preserve">. </w:t>
      </w:r>
      <w:r w:rsidR="006537AC">
        <w:rPr>
          <w:lang w:val="fr-CA"/>
        </w:rPr>
        <w:t>Si tous les instruments de l’ensemble</w:t>
      </w:r>
      <w:r w:rsidR="00A9277E">
        <w:rPr>
          <w:lang w:val="fr-CA"/>
        </w:rPr>
        <w:t xml:space="preserve"> </w:t>
      </w:r>
      <w:r>
        <w:rPr>
          <w:lang w:val="fr-CA"/>
        </w:rPr>
        <w:t xml:space="preserve">ne </w:t>
      </w:r>
      <w:r w:rsidR="00E224BA">
        <w:rPr>
          <w:lang w:val="fr-CA"/>
        </w:rPr>
        <w:t>donnent pas lieu à des</w:t>
      </w:r>
      <w:r>
        <w:rPr>
          <w:lang w:val="fr-CA"/>
        </w:rPr>
        <w:t xml:space="preserve"> </w:t>
      </w:r>
      <w:r w:rsidR="00492D48">
        <w:rPr>
          <w:lang w:val="fr-CA"/>
        </w:rPr>
        <w:t xml:space="preserve">modifications </w:t>
      </w:r>
      <w:r w:rsidR="006537AC">
        <w:rPr>
          <w:lang w:val="fr-CA"/>
        </w:rPr>
        <w:t>particuli</w:t>
      </w:r>
      <w:r w:rsidR="00492D48">
        <w:rPr>
          <w:lang w:val="fr-CA"/>
        </w:rPr>
        <w:t>ères</w:t>
      </w:r>
      <w:r w:rsidR="006537AC">
        <w:rPr>
          <w:lang w:val="fr-CA"/>
        </w:rPr>
        <w:t xml:space="preserve"> </w:t>
      </w:r>
      <w:r>
        <w:rPr>
          <w:lang w:val="fr-CA"/>
        </w:rPr>
        <w:t>qui augmentent le fardeau</w:t>
      </w:r>
      <w:r w:rsidRPr="00FA558D">
        <w:rPr>
          <w:lang w:val="fr-CA"/>
        </w:rPr>
        <w:t xml:space="preserve">, </w:t>
      </w:r>
      <w:r w:rsidR="00E224BA">
        <w:rPr>
          <w:lang w:val="fr-CA"/>
        </w:rPr>
        <w:t xml:space="preserve">le fait de compter les titres de cette façon </w:t>
      </w:r>
      <w:r>
        <w:rPr>
          <w:lang w:val="fr-CA"/>
        </w:rPr>
        <w:t>pourrait indûment gonfler le solde du portefeuille</w:t>
      </w:r>
      <w:r w:rsidRPr="00FA558D">
        <w:rPr>
          <w:lang w:val="fr-CA"/>
        </w:rPr>
        <w:t xml:space="preserve"> </w:t>
      </w:r>
      <w:r w:rsidR="00E224BA">
        <w:rPr>
          <w:lang w:val="fr-CA"/>
        </w:rPr>
        <w:t>dans</w:t>
      </w:r>
      <w:r>
        <w:rPr>
          <w:lang w:val="fr-CA"/>
        </w:rPr>
        <w:t xml:space="preserve"> l’élément</w:t>
      </w:r>
      <w:r w:rsidRPr="00FA558D">
        <w:rPr>
          <w:lang w:val="fr-CA"/>
        </w:rPr>
        <w:t xml:space="preserve"> B. </w:t>
      </w:r>
    </w:p>
    <w:p w:rsidRPr="00FA558D" w:rsidR="00B91619" w:rsidP="00B91619" w:rsidRDefault="00B91619" w14:paraId="4763EBD5" w14:textId="77777777">
      <w:pPr>
        <w:tabs>
          <w:tab w:val="left" w:pos="9356"/>
        </w:tabs>
        <w:spacing w:after="0" w:line="240" w:lineRule="auto"/>
        <w:rPr>
          <w:lang w:val="fr-CA"/>
        </w:rPr>
      </w:pPr>
    </w:p>
    <w:p w:rsidRPr="00FA558D" w:rsidR="00B91619" w:rsidP="00B91619" w:rsidRDefault="00B91619" w14:paraId="5F5B165B" w14:textId="15D2938F">
      <w:pPr>
        <w:tabs>
          <w:tab w:val="left" w:pos="9356"/>
        </w:tabs>
        <w:spacing w:after="0" w:line="240" w:lineRule="auto"/>
        <w:rPr>
          <w:lang w:val="fr-CA"/>
        </w:rPr>
      </w:pPr>
      <w:r>
        <w:rPr>
          <w:lang w:val="fr-CA"/>
        </w:rPr>
        <w:t xml:space="preserve">Pour éviter </w:t>
      </w:r>
      <w:r w:rsidR="00A101D0">
        <w:rPr>
          <w:lang w:val="fr-CA"/>
        </w:rPr>
        <w:t>que cela se produise</w:t>
      </w:r>
      <w:r w:rsidRPr="00FA558D">
        <w:rPr>
          <w:lang w:val="fr-CA"/>
        </w:rPr>
        <w:t xml:space="preserve">, </w:t>
      </w:r>
      <w:r>
        <w:rPr>
          <w:lang w:val="fr-CA"/>
        </w:rPr>
        <w:t xml:space="preserve">il est </w:t>
      </w:r>
      <w:r w:rsidRPr="00FA558D">
        <w:rPr>
          <w:lang w:val="fr-CA"/>
        </w:rPr>
        <w:t xml:space="preserve">important </w:t>
      </w:r>
      <w:r w:rsidR="00A101D0">
        <w:rPr>
          <w:lang w:val="fr-CA"/>
        </w:rPr>
        <w:t xml:space="preserve">d’indiquer clairement dans </w:t>
      </w:r>
      <w:r>
        <w:rPr>
          <w:lang w:val="fr-CA"/>
        </w:rPr>
        <w:t>le REIR :</w:t>
      </w:r>
    </w:p>
    <w:p w:rsidRPr="00FA558D" w:rsidR="00B91619" w:rsidP="00B91619" w:rsidRDefault="00B91619" w14:paraId="447581F1" w14:textId="77777777">
      <w:pPr>
        <w:tabs>
          <w:tab w:val="left" w:pos="9356"/>
        </w:tabs>
        <w:spacing w:after="0" w:line="240" w:lineRule="auto"/>
        <w:rPr>
          <w:lang w:val="fr-CA"/>
        </w:rPr>
      </w:pPr>
    </w:p>
    <w:p w:rsidRPr="00FA558D" w:rsidR="00B91619" w:rsidP="00B91619" w:rsidRDefault="00B91619" w14:paraId="6B06CF11" w14:textId="757555AE">
      <w:pPr>
        <w:pStyle w:val="ListParagraph"/>
        <w:numPr>
          <w:ilvl w:val="0"/>
          <w:numId w:val="8"/>
        </w:numPr>
        <w:tabs>
          <w:tab w:val="left" w:pos="9356"/>
        </w:tabs>
        <w:spacing w:after="0" w:line="240" w:lineRule="auto"/>
        <w:rPr>
          <w:lang w:val="fr-CA"/>
        </w:rPr>
      </w:pPr>
      <w:proofErr w:type="gramStart"/>
      <w:r>
        <w:rPr>
          <w:lang w:val="fr-CA"/>
        </w:rPr>
        <w:t>quel</w:t>
      </w:r>
      <w:proofErr w:type="gramEnd"/>
      <w:r>
        <w:rPr>
          <w:lang w:val="fr-CA"/>
        </w:rPr>
        <w:t xml:space="preserve"> </w:t>
      </w:r>
      <w:r w:rsidRPr="00FA558D">
        <w:rPr>
          <w:lang w:val="fr-CA"/>
        </w:rPr>
        <w:t xml:space="preserve">instrument </w:t>
      </w:r>
      <w:r>
        <w:rPr>
          <w:lang w:val="fr-CA"/>
        </w:rPr>
        <w:t>comprend les exigence</w:t>
      </w:r>
      <w:r w:rsidRPr="00FA558D">
        <w:rPr>
          <w:lang w:val="fr-CA"/>
        </w:rPr>
        <w:t>s</w:t>
      </w:r>
      <w:r>
        <w:rPr>
          <w:lang w:val="fr-CA"/>
        </w:rPr>
        <w:t xml:space="preserve"> </w:t>
      </w:r>
      <w:r w:rsidR="007804CD">
        <w:rPr>
          <w:lang w:val="fr-CA"/>
        </w:rPr>
        <w:t xml:space="preserve">desquelles </w:t>
      </w:r>
      <w:r>
        <w:rPr>
          <w:lang w:val="fr-CA"/>
        </w:rPr>
        <w:t>découlent les changements d</w:t>
      </w:r>
      <w:r w:rsidR="00E224BA">
        <w:rPr>
          <w:lang w:val="fr-CA"/>
        </w:rPr>
        <w:t>ans le</w:t>
      </w:r>
      <w:r>
        <w:rPr>
          <w:lang w:val="fr-CA"/>
        </w:rPr>
        <w:t xml:space="preserve"> fardeau administratif; </w:t>
      </w:r>
    </w:p>
    <w:p w:rsidRPr="00FA558D" w:rsidR="00B91619" w:rsidP="00B91619" w:rsidRDefault="00B91619" w14:paraId="7F42BB2E" w14:textId="77777777">
      <w:pPr>
        <w:pStyle w:val="ListParagraph"/>
        <w:numPr>
          <w:ilvl w:val="0"/>
          <w:numId w:val="8"/>
        </w:numPr>
        <w:tabs>
          <w:tab w:val="left" w:pos="9356"/>
        </w:tabs>
        <w:spacing w:after="0" w:line="240" w:lineRule="auto"/>
        <w:rPr>
          <w:lang w:val="fr-CA"/>
        </w:rPr>
      </w:pPr>
      <w:proofErr w:type="gramStart"/>
      <w:r>
        <w:rPr>
          <w:lang w:val="fr-CA"/>
        </w:rPr>
        <w:t>le</w:t>
      </w:r>
      <w:proofErr w:type="gramEnd"/>
      <w:r>
        <w:rPr>
          <w:lang w:val="fr-CA"/>
        </w:rPr>
        <w:t xml:space="preserve"> montant du fardeau</w:t>
      </w:r>
      <w:r w:rsidRPr="00FA558D">
        <w:rPr>
          <w:lang w:val="fr-CA"/>
        </w:rPr>
        <w:t xml:space="preserve"> </w:t>
      </w:r>
      <w:r>
        <w:rPr>
          <w:lang w:val="fr-CA"/>
        </w:rPr>
        <w:t xml:space="preserve">associé à chaque </w:t>
      </w:r>
      <w:r w:rsidRPr="00FA558D">
        <w:rPr>
          <w:lang w:val="fr-CA"/>
        </w:rPr>
        <w:t>instrument</w:t>
      </w:r>
      <w:r>
        <w:rPr>
          <w:lang w:val="fr-CA"/>
        </w:rPr>
        <w:t>.</w:t>
      </w:r>
    </w:p>
    <w:p w:rsidRPr="00FA558D" w:rsidR="00B91619" w:rsidP="00B91619" w:rsidRDefault="00B91619" w14:paraId="3E13C53A" w14:textId="77777777">
      <w:pPr>
        <w:tabs>
          <w:tab w:val="left" w:pos="9356"/>
        </w:tabs>
        <w:spacing w:after="0" w:line="240" w:lineRule="auto"/>
        <w:rPr>
          <w:lang w:val="fr-CA"/>
        </w:rPr>
      </w:pPr>
    </w:p>
    <w:p w:rsidRPr="00FA558D" w:rsidR="00B91619" w:rsidP="00B91619" w:rsidRDefault="00E64D8E" w14:paraId="1782231B" w14:textId="2597E7B0">
      <w:pPr>
        <w:tabs>
          <w:tab w:val="left" w:pos="9356"/>
        </w:tabs>
        <w:spacing w:after="0" w:line="240" w:lineRule="auto"/>
        <w:rPr>
          <w:lang w:val="fr-CA"/>
        </w:rPr>
      </w:pPr>
      <w:r>
        <w:rPr>
          <w:lang w:val="fr-CA"/>
        </w:rPr>
        <w:t xml:space="preserve">Ainsi, il sera possible de </w:t>
      </w:r>
      <w:r w:rsidR="00B91619">
        <w:rPr>
          <w:lang w:val="fr-CA"/>
        </w:rPr>
        <w:t xml:space="preserve">s’assurer que seuls les </w:t>
      </w:r>
      <w:r w:rsidRPr="00FA558D" w:rsidR="00B91619">
        <w:rPr>
          <w:lang w:val="fr-CA"/>
        </w:rPr>
        <w:t>instruments</w:t>
      </w:r>
      <w:r w:rsidR="00B91619">
        <w:rPr>
          <w:lang w:val="fr-CA"/>
        </w:rPr>
        <w:t xml:space="preserve"> qui </w:t>
      </w:r>
      <w:r w:rsidR="00F17203">
        <w:rPr>
          <w:lang w:val="fr-CA"/>
        </w:rPr>
        <w:t>alourdissent le fardeau</w:t>
      </w:r>
      <w:r w:rsidRPr="00FA558D" w:rsidR="00B91619">
        <w:rPr>
          <w:lang w:val="fr-CA"/>
        </w:rPr>
        <w:t xml:space="preserve"> </w:t>
      </w:r>
      <w:r w:rsidR="00B91619">
        <w:rPr>
          <w:lang w:val="fr-CA"/>
        </w:rPr>
        <w:t>sont pris en compte</w:t>
      </w:r>
      <w:r w:rsidRPr="00FA558D" w:rsidR="00B91619">
        <w:rPr>
          <w:lang w:val="fr-CA"/>
        </w:rPr>
        <w:t xml:space="preserve"> </w:t>
      </w:r>
      <w:r>
        <w:rPr>
          <w:lang w:val="fr-CA"/>
        </w:rPr>
        <w:t>dans</w:t>
      </w:r>
      <w:r w:rsidR="006537AC">
        <w:rPr>
          <w:lang w:val="fr-CA"/>
        </w:rPr>
        <w:t xml:space="preserve"> </w:t>
      </w:r>
      <w:r w:rsidR="00B91619">
        <w:rPr>
          <w:lang w:val="fr-CA"/>
        </w:rPr>
        <w:t>l’élément</w:t>
      </w:r>
      <w:r w:rsidRPr="00FA558D" w:rsidR="00B91619">
        <w:rPr>
          <w:lang w:val="fr-CA"/>
        </w:rPr>
        <w:t> B.</w:t>
      </w:r>
    </w:p>
    <w:p w:rsidRPr="00FA558D" w:rsidR="00B91619" w:rsidP="00B91619" w:rsidRDefault="00B91619" w14:paraId="76897EE6" w14:textId="77777777">
      <w:pPr>
        <w:tabs>
          <w:tab w:val="left" w:pos="9356"/>
        </w:tabs>
        <w:spacing w:after="0" w:line="240" w:lineRule="auto"/>
        <w:rPr>
          <w:lang w:val="fr-CA"/>
        </w:rPr>
      </w:pPr>
    </w:p>
    <w:p w:rsidRPr="00FA558D" w:rsidR="00B91619" w:rsidP="00B91619" w:rsidRDefault="00B91619" w14:paraId="13D63152" w14:textId="7C7B8018">
      <w:pPr>
        <w:pStyle w:val="Heading3"/>
        <w:rPr>
          <w:lang w:val="fr-CA"/>
        </w:rPr>
      </w:pPr>
      <w:bookmarkStart w:name="_Toc151373914" w:id="21"/>
      <w:r>
        <w:rPr>
          <w:lang w:val="fr-CA"/>
        </w:rPr>
        <w:t>Évaluation des</w:t>
      </w:r>
      <w:r w:rsidRPr="00FA558D">
        <w:rPr>
          <w:lang w:val="fr-CA"/>
        </w:rPr>
        <w:t xml:space="preserve"> </w:t>
      </w:r>
      <w:r>
        <w:rPr>
          <w:lang w:val="fr-CA"/>
        </w:rPr>
        <w:t>coûts administratifs</w:t>
      </w:r>
      <w:r w:rsidRPr="00FA558D">
        <w:rPr>
          <w:lang w:val="fr-CA"/>
        </w:rPr>
        <w:t xml:space="preserve"> (</w:t>
      </w:r>
      <w:r w:rsidR="00876C7E">
        <w:rPr>
          <w:lang w:val="fr-CA"/>
        </w:rPr>
        <w:t>paragraphe</w:t>
      </w:r>
      <w:r w:rsidRPr="00FA558D">
        <w:rPr>
          <w:lang w:val="fr-CA"/>
        </w:rPr>
        <w:t> 7.2.4)</w:t>
      </w:r>
      <w:bookmarkEnd w:id="21"/>
    </w:p>
    <w:p w:rsidRPr="00FA558D" w:rsidR="00B91619" w:rsidP="00B91619" w:rsidRDefault="00B91619" w14:paraId="1B2EE2B2" w14:textId="77777777">
      <w:pPr>
        <w:tabs>
          <w:tab w:val="left" w:pos="9356"/>
        </w:tabs>
        <w:spacing w:after="0" w:line="240" w:lineRule="auto"/>
        <w:rPr>
          <w:lang w:val="fr-CA"/>
        </w:rPr>
      </w:pPr>
    </w:p>
    <w:p w:rsidRPr="00FA558D" w:rsidR="00B91619" w:rsidP="004F7AB3" w:rsidRDefault="00B91619" w14:paraId="603DEE60" w14:textId="429B9FA8">
      <w:pPr>
        <w:pStyle w:val="ListParagraph"/>
        <w:widowControl w:val="0"/>
        <w:spacing w:after="0" w:line="240" w:lineRule="auto"/>
        <w:ind w:left="0"/>
        <w:rPr>
          <w:lang w:val="fr-CA"/>
        </w:rPr>
      </w:pPr>
      <w:r>
        <w:rPr>
          <w:lang w:val="fr-CA"/>
        </w:rPr>
        <w:t>Afin de retirer l’effet de l’inflation</w:t>
      </w:r>
      <w:r w:rsidRPr="004F7AB3" w:rsidR="00B901F2">
        <w:rPr>
          <w:lang w:val="fr-CA"/>
        </w:rPr>
        <w:t xml:space="preserve"> et </w:t>
      </w:r>
      <w:r w:rsidRPr="00B901F2" w:rsidR="00B901F2">
        <w:rPr>
          <w:lang w:val="fr-CA"/>
        </w:rPr>
        <w:t>tenir compte du coût d</w:t>
      </w:r>
      <w:r w:rsidR="009647E5">
        <w:rPr>
          <w:lang w:val="fr-CA"/>
        </w:rPr>
        <w:t>’</w:t>
      </w:r>
      <w:r w:rsidRPr="00B901F2" w:rsidR="00B901F2">
        <w:rPr>
          <w:lang w:val="fr-CA"/>
        </w:rPr>
        <w:t>opportunité du capital</w:t>
      </w:r>
      <w:r>
        <w:rPr>
          <w:lang w:val="fr-CA"/>
        </w:rPr>
        <w:t xml:space="preserve">, les coûts doivent être </w:t>
      </w:r>
      <w:r w:rsidR="00B901F2">
        <w:rPr>
          <w:lang w:val="fr-CA"/>
        </w:rPr>
        <w:t>exprimés</w:t>
      </w:r>
      <w:r>
        <w:rPr>
          <w:lang w:val="fr-CA"/>
        </w:rPr>
        <w:t xml:space="preserve"> en dollars constants </w:t>
      </w:r>
      <w:r w:rsidR="00396176">
        <w:rPr>
          <w:lang w:val="fr-CA"/>
        </w:rPr>
        <w:t xml:space="preserve">et être actualisés </w:t>
      </w:r>
      <w:r>
        <w:rPr>
          <w:lang w:val="fr-CA"/>
        </w:rPr>
        <w:t>afin de permettre une comparaison utile et conforme, peu importe l’année au cours de laquelle les résultats ont été mesurés initialement</w:t>
      </w:r>
      <w:r w:rsidRPr="00FA558D">
        <w:rPr>
          <w:lang w:val="fr-CA"/>
        </w:rPr>
        <w:t xml:space="preserve">. </w:t>
      </w:r>
      <w:r w:rsidR="004E36B7">
        <w:rPr>
          <w:lang w:val="fr-CA"/>
        </w:rPr>
        <w:t xml:space="preserve"> </w:t>
      </w:r>
    </w:p>
    <w:p w:rsidR="004E36B7" w:rsidP="00B91619" w:rsidRDefault="004E36B7" w14:paraId="6D64411F" w14:textId="77777777">
      <w:pPr>
        <w:pStyle w:val="ListParagraph"/>
        <w:widowControl w:val="0"/>
        <w:spacing w:after="0" w:line="240" w:lineRule="auto"/>
        <w:ind w:left="0"/>
        <w:contextualSpacing w:val="0"/>
        <w:rPr>
          <w:lang w:val="fr-CA"/>
        </w:rPr>
      </w:pPr>
    </w:p>
    <w:p w:rsidRPr="00FA558D" w:rsidR="00B91619" w:rsidP="00B91619" w:rsidRDefault="00B91619" w14:paraId="42EEC359" w14:textId="49E0D303">
      <w:pPr>
        <w:pStyle w:val="ListParagraph"/>
        <w:widowControl w:val="0"/>
        <w:spacing w:after="0" w:line="240" w:lineRule="auto"/>
        <w:ind w:left="0"/>
        <w:contextualSpacing w:val="0"/>
        <w:rPr>
          <w:lang w:val="fr-CA"/>
        </w:rPr>
      </w:pPr>
      <w:r>
        <w:rPr>
          <w:lang w:val="fr-CA"/>
        </w:rPr>
        <w:t xml:space="preserve">Le </w:t>
      </w:r>
      <w:r w:rsidRPr="004F7AB3" w:rsidR="006537AC">
        <w:rPr>
          <w:i/>
          <w:iCs/>
          <w:lang w:val="fr-CA"/>
        </w:rPr>
        <w:t>R</w:t>
      </w:r>
      <w:r w:rsidRPr="004F7AB3">
        <w:rPr>
          <w:i/>
          <w:iCs/>
          <w:lang w:val="fr-CA"/>
        </w:rPr>
        <w:t>èglement sur la réduction de la paperasse</w:t>
      </w:r>
      <w:r w:rsidRPr="00FA558D">
        <w:rPr>
          <w:lang w:val="fr-CA"/>
        </w:rPr>
        <w:t xml:space="preserve"> </w:t>
      </w:r>
      <w:r>
        <w:rPr>
          <w:lang w:val="fr-CA"/>
        </w:rPr>
        <w:t xml:space="preserve">établit la façon de rajuster les coûts administratifs </w:t>
      </w:r>
      <w:r w:rsidR="004E36B7">
        <w:rPr>
          <w:lang w:val="fr-CA"/>
        </w:rPr>
        <w:t>compris</w:t>
      </w:r>
      <w:r>
        <w:rPr>
          <w:lang w:val="fr-CA"/>
        </w:rPr>
        <w:t xml:space="preserve"> dans le projet de règlement</w:t>
      </w:r>
      <w:r w:rsidRPr="00FA558D">
        <w:rPr>
          <w:lang w:val="fr-CA"/>
        </w:rPr>
        <w:t xml:space="preserve">. </w:t>
      </w:r>
      <w:r>
        <w:rPr>
          <w:lang w:val="fr-CA"/>
        </w:rPr>
        <w:t xml:space="preserve">Les </w:t>
      </w:r>
      <w:r w:rsidR="004E36B7">
        <w:rPr>
          <w:lang w:val="fr-CA"/>
        </w:rPr>
        <w:t>montants</w:t>
      </w:r>
      <w:r>
        <w:rPr>
          <w:lang w:val="fr-CA"/>
        </w:rPr>
        <w:t xml:space="preserve"> qui sont présentés dans le REIR doivent être identiques à ceux générés par le Calculateur des coûts réglementaires</w:t>
      </w:r>
      <w:r w:rsidRPr="00FA558D">
        <w:rPr>
          <w:lang w:val="fr-CA"/>
        </w:rPr>
        <w:t xml:space="preserve">. </w:t>
      </w:r>
      <w:r>
        <w:rPr>
          <w:lang w:val="fr-CA"/>
        </w:rPr>
        <w:t xml:space="preserve">Le seul arrondissement des </w:t>
      </w:r>
      <w:r w:rsidR="004E36B7">
        <w:rPr>
          <w:lang w:val="fr-CA"/>
        </w:rPr>
        <w:t>montants</w:t>
      </w:r>
      <w:r>
        <w:rPr>
          <w:lang w:val="fr-CA"/>
        </w:rPr>
        <w:t xml:space="preserve"> permis est au dollar</w:t>
      </w:r>
      <w:r w:rsidR="004E36B7">
        <w:rPr>
          <w:lang w:val="fr-CA"/>
        </w:rPr>
        <w:t xml:space="preserve"> près</w:t>
      </w:r>
      <w:r w:rsidRPr="00FA558D">
        <w:rPr>
          <w:lang w:val="fr-CA"/>
        </w:rPr>
        <w:t xml:space="preserve">. </w:t>
      </w:r>
    </w:p>
    <w:p w:rsidRPr="00FA558D" w:rsidR="00B91619" w:rsidP="00B91619" w:rsidRDefault="00B91619" w14:paraId="5CC90B71" w14:textId="77777777">
      <w:pPr>
        <w:pStyle w:val="ListParagraph"/>
        <w:widowControl w:val="0"/>
        <w:spacing w:after="0" w:line="240" w:lineRule="auto"/>
        <w:ind w:left="0"/>
        <w:contextualSpacing w:val="0"/>
        <w:rPr>
          <w:lang w:val="fr-CA"/>
        </w:rPr>
      </w:pPr>
    </w:p>
    <w:p w:rsidRPr="00FA558D" w:rsidR="00B91619" w:rsidP="00B91619" w:rsidRDefault="00B91619" w14:paraId="27C8CD49" w14:textId="11710F95">
      <w:pPr>
        <w:widowControl w:val="0"/>
        <w:spacing w:after="0" w:line="240" w:lineRule="auto"/>
        <w:rPr>
          <w:lang w:val="fr-CA"/>
        </w:rPr>
      </w:pPr>
      <w:r>
        <w:rPr>
          <w:lang w:val="fr-CA"/>
        </w:rPr>
        <w:t xml:space="preserve">Le </w:t>
      </w:r>
      <w:r w:rsidRPr="004F7AB3">
        <w:rPr>
          <w:i/>
          <w:iCs/>
          <w:lang w:val="fr-CA"/>
        </w:rPr>
        <w:t>Règlement sur la réduction de la paperasse</w:t>
      </w:r>
      <w:r>
        <w:rPr>
          <w:lang w:val="fr-CA"/>
        </w:rPr>
        <w:t xml:space="preserve"> exige que l’année 2012 soit utilisée comme année de </w:t>
      </w:r>
      <w:r w:rsidR="00FF7DBF">
        <w:rPr>
          <w:lang w:val="fr-CA"/>
        </w:rPr>
        <w:t>référence</w:t>
      </w:r>
      <w:r w:rsidR="00B34C60">
        <w:rPr>
          <w:lang w:val="fr-CA"/>
        </w:rPr>
        <w:t xml:space="preserve"> et comme année de base de la valeur actualisée</w:t>
      </w:r>
      <w:r>
        <w:rPr>
          <w:lang w:val="fr-CA"/>
        </w:rPr>
        <w:t xml:space="preserve"> aux fins de l’évaluation de l’augmentation et de la réduction du fardeau</w:t>
      </w:r>
      <w:r w:rsidRPr="00FA558D">
        <w:rPr>
          <w:lang w:val="fr-CA"/>
        </w:rPr>
        <w:t xml:space="preserve">. </w:t>
      </w:r>
      <w:r>
        <w:rPr>
          <w:lang w:val="fr-CA"/>
        </w:rPr>
        <w:t>Un taux d’actualisation de 7 % doit être utilisé aux fins de l’évaluation de l’augmentation et de la réduction du fardeau</w:t>
      </w:r>
      <w:r w:rsidRPr="00FA558D">
        <w:rPr>
          <w:lang w:val="fr-CA"/>
        </w:rPr>
        <w:t xml:space="preserve">. </w:t>
      </w:r>
      <w:r>
        <w:rPr>
          <w:lang w:val="fr-CA"/>
        </w:rPr>
        <w:t>Les salaires peuvent être rajustés au</w:t>
      </w:r>
      <w:r w:rsidR="00A9277E">
        <w:rPr>
          <w:lang w:val="fr-CA"/>
        </w:rPr>
        <w:t xml:space="preserve"> niveau</w:t>
      </w:r>
      <w:r>
        <w:rPr>
          <w:lang w:val="fr-CA"/>
        </w:rPr>
        <w:t xml:space="preserve"> des prix de 2012</w:t>
      </w:r>
      <w:r w:rsidRPr="00FA558D">
        <w:rPr>
          <w:lang w:val="fr-CA"/>
        </w:rPr>
        <w:t xml:space="preserve"> </w:t>
      </w:r>
      <w:r>
        <w:rPr>
          <w:lang w:val="fr-CA"/>
        </w:rPr>
        <w:t>en appliquant la formule ci-après</w:t>
      </w:r>
      <w:r w:rsidR="00D865E6">
        <w:rPr>
          <w:lang w:val="fr-CA"/>
        </w:rPr>
        <w:t>.</w:t>
      </w:r>
      <w:r>
        <w:rPr>
          <w:lang w:val="fr-CA"/>
        </w:rPr>
        <w:t xml:space="preserve"> </w:t>
      </w:r>
    </w:p>
    <w:p w:rsidRPr="00FA558D" w:rsidR="00B91619" w:rsidP="00B91619" w:rsidRDefault="00B91619" w14:paraId="5D783E30" w14:textId="77777777">
      <w:pPr>
        <w:widowControl w:val="0"/>
        <w:spacing w:after="0" w:line="240" w:lineRule="auto"/>
        <w:rPr>
          <w:lang w:val="fr-CA"/>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425"/>
        <w:gridCol w:w="540"/>
        <w:gridCol w:w="6385"/>
      </w:tblGrid>
      <w:tr w:rsidRPr="001A0F20" w:rsidR="00B91619" w:rsidTr="00A9277E" w14:paraId="42C34459" w14:textId="77777777">
        <w:tc>
          <w:tcPr>
            <w:tcW w:w="2425" w:type="dxa"/>
          </w:tcPr>
          <w:p w:rsidRPr="00FA558D" w:rsidR="00B91619" w:rsidP="00A9277E" w:rsidRDefault="00B91619" w14:paraId="68F69B04" w14:textId="77777777">
            <w:pPr>
              <w:jc w:val="center"/>
              <w:rPr>
                <w:lang w:val="fr-CA"/>
              </w:rPr>
            </w:pPr>
            <w:r>
              <w:rPr>
                <w:lang w:val="fr-CA"/>
              </w:rPr>
              <w:t>Coût horaire estimé</w:t>
            </w:r>
          </w:p>
        </w:tc>
        <w:tc>
          <w:tcPr>
            <w:tcW w:w="540" w:type="dxa"/>
          </w:tcPr>
          <w:p w:rsidRPr="00FA558D" w:rsidR="00B91619" w:rsidP="00A9277E" w:rsidRDefault="00B91619" w14:paraId="57A5D1A7" w14:textId="77777777">
            <w:pPr>
              <w:jc w:val="center"/>
              <w:rPr>
                <w:lang w:val="fr-CA"/>
              </w:rPr>
            </w:pPr>
            <w:proofErr w:type="gramStart"/>
            <w:r w:rsidRPr="00FA558D">
              <w:rPr>
                <w:lang w:val="fr-CA"/>
              </w:rPr>
              <w:t>x</w:t>
            </w:r>
            <w:proofErr w:type="gramEnd"/>
          </w:p>
        </w:tc>
        <w:tc>
          <w:tcPr>
            <w:tcW w:w="6385" w:type="dxa"/>
          </w:tcPr>
          <w:p w:rsidRPr="00FA558D" w:rsidR="00B91619" w:rsidP="00A9277E" w:rsidRDefault="00B91619" w14:paraId="0F68CE69" w14:textId="0C764D16">
            <w:pPr>
              <w:jc w:val="center"/>
              <w:rPr>
                <w:lang w:val="fr-CA"/>
              </w:rPr>
            </w:pPr>
            <w:r>
              <w:rPr>
                <w:lang w:val="fr-CA"/>
              </w:rPr>
              <w:t>Rapport entre la valeur de l’indice des prix à la consommation</w:t>
            </w:r>
            <w:r w:rsidR="00D865E6">
              <w:rPr>
                <w:lang w:val="fr-CA"/>
              </w:rPr>
              <w:t xml:space="preserve"> (IPC)</w:t>
            </w:r>
            <w:r>
              <w:rPr>
                <w:lang w:val="fr-CA"/>
              </w:rPr>
              <w:t xml:space="preserve"> pour</w:t>
            </w:r>
            <w:r w:rsidR="006537AC">
              <w:rPr>
                <w:lang w:val="fr-CA"/>
              </w:rPr>
              <w:t> </w:t>
            </w:r>
            <w:r>
              <w:rPr>
                <w:lang w:val="fr-CA"/>
              </w:rPr>
              <w:t>2012 et la valeur de l’</w:t>
            </w:r>
            <w:r w:rsidR="00D865E6">
              <w:rPr>
                <w:lang w:val="fr-CA"/>
              </w:rPr>
              <w:t>IPC</w:t>
            </w:r>
            <w:r>
              <w:rPr>
                <w:lang w:val="fr-CA"/>
              </w:rPr>
              <w:t xml:space="preserve"> pour l’année </w:t>
            </w:r>
            <w:r w:rsidR="00B34C60">
              <w:rPr>
                <w:lang w:val="fr-CA"/>
              </w:rPr>
              <w:t xml:space="preserve">au cours de </w:t>
            </w:r>
            <w:r>
              <w:rPr>
                <w:lang w:val="fr-CA"/>
              </w:rPr>
              <w:t>laquelle le coût a été estimé</w:t>
            </w:r>
            <w:r w:rsidRPr="00FA558D">
              <w:rPr>
                <w:rStyle w:val="FootnoteReference"/>
                <w:lang w:val="fr-CA"/>
              </w:rPr>
              <w:footnoteReference w:id="1"/>
            </w:r>
          </w:p>
        </w:tc>
      </w:tr>
    </w:tbl>
    <w:p w:rsidRPr="00FA558D" w:rsidR="00B91619" w:rsidP="00B91619" w:rsidRDefault="00B91619" w14:paraId="5821D8A2" w14:textId="77777777">
      <w:pPr>
        <w:widowControl w:val="0"/>
        <w:spacing w:after="0" w:line="240" w:lineRule="auto"/>
        <w:rPr>
          <w:lang w:val="fr-CA"/>
        </w:rPr>
      </w:pPr>
    </w:p>
    <w:p w:rsidRPr="00FA558D" w:rsidR="00B91619" w:rsidP="00B91619" w:rsidRDefault="00B91619" w14:paraId="25809193" w14:textId="12517D58">
      <w:pPr>
        <w:tabs>
          <w:tab w:val="left" w:pos="9356"/>
        </w:tabs>
        <w:spacing w:after="0" w:line="240" w:lineRule="auto"/>
        <w:rPr>
          <w:lang w:val="fr-CA"/>
        </w:rPr>
      </w:pPr>
      <w:r>
        <w:rPr>
          <w:lang w:val="fr-CA"/>
        </w:rPr>
        <w:t>Les organismes de réglementation</w:t>
      </w:r>
      <w:r w:rsidRPr="00FA558D">
        <w:rPr>
          <w:lang w:val="fr-CA"/>
        </w:rPr>
        <w:t xml:space="preserve"> </w:t>
      </w:r>
      <w:r>
        <w:rPr>
          <w:lang w:val="fr-CA"/>
        </w:rPr>
        <w:t>doivent utiliser</w:t>
      </w:r>
      <w:r w:rsidRPr="00FA558D">
        <w:rPr>
          <w:lang w:val="fr-CA"/>
        </w:rPr>
        <w:t xml:space="preserve"> </w:t>
      </w:r>
      <w:r>
        <w:rPr>
          <w:lang w:val="fr-CA"/>
        </w:rPr>
        <w:t>une période de prévisions de 10</w:t>
      </w:r>
      <w:r w:rsidR="009647E5">
        <w:rPr>
          <w:lang w:val="fr-CA"/>
        </w:rPr>
        <w:t> </w:t>
      </w:r>
      <w:r>
        <w:rPr>
          <w:lang w:val="fr-CA"/>
        </w:rPr>
        <w:t>ans aux fins de l’évaluation de l’augmentation et de la réduction du fardeau</w:t>
      </w:r>
      <w:r w:rsidRPr="00FA558D">
        <w:rPr>
          <w:lang w:val="fr-CA"/>
        </w:rPr>
        <w:t xml:space="preserve">. </w:t>
      </w:r>
      <w:r>
        <w:rPr>
          <w:lang w:val="fr-CA"/>
        </w:rPr>
        <w:t>Ces prévisions sur 10</w:t>
      </w:r>
      <w:r w:rsidR="009647E5">
        <w:rPr>
          <w:lang w:val="fr-CA"/>
        </w:rPr>
        <w:t> </w:t>
      </w:r>
      <w:r>
        <w:rPr>
          <w:lang w:val="fr-CA"/>
        </w:rPr>
        <w:t xml:space="preserve">ans doivent commencer </w:t>
      </w:r>
      <w:r w:rsidR="009D78B9">
        <w:rPr>
          <w:lang w:val="fr-CA"/>
        </w:rPr>
        <w:t xml:space="preserve">à la date d’enregistrement </w:t>
      </w:r>
      <w:r w:rsidR="00536A77">
        <w:rPr>
          <w:lang w:val="fr-CA"/>
        </w:rPr>
        <w:t>d</w:t>
      </w:r>
      <w:r w:rsidR="009D78B9">
        <w:rPr>
          <w:lang w:val="fr-CA"/>
        </w:rPr>
        <w:t>u règlement</w:t>
      </w:r>
      <w:r>
        <w:rPr>
          <w:lang w:val="fr-CA"/>
        </w:rPr>
        <w:t xml:space="preserve">. </w:t>
      </w:r>
    </w:p>
    <w:p w:rsidRPr="00FA558D" w:rsidR="00B91619" w:rsidP="00B91619" w:rsidRDefault="00B91619" w14:paraId="505D7C42" w14:textId="77777777">
      <w:pPr>
        <w:tabs>
          <w:tab w:val="left" w:pos="9356"/>
        </w:tabs>
        <w:spacing w:after="0" w:line="240" w:lineRule="auto"/>
        <w:rPr>
          <w:lang w:val="fr-CA"/>
        </w:rPr>
      </w:pPr>
    </w:p>
    <w:p w:rsidRPr="009E17AD" w:rsidR="00B91619" w:rsidP="00B91619" w:rsidRDefault="00B91619" w14:paraId="2D74D13C" w14:textId="13515F4E">
      <w:pPr>
        <w:pStyle w:val="Heading3"/>
        <w:rPr>
          <w:lang w:val="fr-CA"/>
        </w:rPr>
      </w:pPr>
      <w:bookmarkStart w:name="_Toc151373915" w:id="22"/>
      <w:r w:rsidRPr="009E17AD">
        <w:rPr>
          <w:lang w:val="fr-CA"/>
        </w:rPr>
        <w:t>Compensation des coûts administratifs (</w:t>
      </w:r>
      <w:r w:rsidR="006F12D2">
        <w:rPr>
          <w:lang w:val="fr-CA"/>
        </w:rPr>
        <w:t>paragraphe</w:t>
      </w:r>
      <w:r w:rsidRPr="009E17AD">
        <w:rPr>
          <w:lang w:val="fr-CA"/>
        </w:rPr>
        <w:t> 7.2.5)</w:t>
      </w:r>
      <w:bookmarkEnd w:id="22"/>
    </w:p>
    <w:p w:rsidRPr="00FA558D" w:rsidR="00B91619" w:rsidP="00B91619" w:rsidRDefault="00B91619" w14:paraId="758BBBCB" w14:textId="77777777">
      <w:pPr>
        <w:tabs>
          <w:tab w:val="left" w:pos="9356"/>
        </w:tabs>
        <w:spacing w:after="0" w:line="240" w:lineRule="auto"/>
        <w:rPr>
          <w:lang w:val="fr-CA"/>
        </w:rPr>
      </w:pPr>
    </w:p>
    <w:p w:rsidRPr="00FA558D" w:rsidR="00B91619" w:rsidP="00B91619" w:rsidRDefault="009F4681" w14:paraId="0CB04227" w14:textId="1905F507">
      <w:pPr>
        <w:tabs>
          <w:tab w:val="left" w:pos="9356"/>
        </w:tabs>
        <w:spacing w:after="0" w:line="240" w:lineRule="auto"/>
        <w:rPr>
          <w:lang w:val="fr-CA"/>
        </w:rPr>
      </w:pPr>
      <w:r>
        <w:rPr>
          <w:lang w:val="fr-CA"/>
        </w:rPr>
        <w:t xml:space="preserve">En vertu de </w:t>
      </w:r>
      <w:r w:rsidR="00B91619">
        <w:rPr>
          <w:lang w:val="fr-CA"/>
        </w:rPr>
        <w:t>l’élément</w:t>
      </w:r>
      <w:r w:rsidRPr="00FA558D" w:rsidR="00B91619">
        <w:rPr>
          <w:lang w:val="fr-CA"/>
        </w:rPr>
        <w:t> A</w:t>
      </w:r>
      <w:r w:rsidR="00B91619">
        <w:rPr>
          <w:lang w:val="fr-CA"/>
        </w:rPr>
        <w:t xml:space="preserve"> de la règle</w:t>
      </w:r>
      <w:r w:rsidRPr="00FA558D" w:rsidR="00B91619">
        <w:rPr>
          <w:lang w:val="fr-CA"/>
        </w:rPr>
        <w:t xml:space="preserve">, </w:t>
      </w:r>
      <w:r w:rsidR="00B91619">
        <w:rPr>
          <w:lang w:val="fr-CA"/>
        </w:rPr>
        <w:t xml:space="preserve">les </w:t>
      </w:r>
      <w:r>
        <w:rPr>
          <w:lang w:val="fr-CA"/>
        </w:rPr>
        <w:t xml:space="preserve">modifications </w:t>
      </w:r>
      <w:r w:rsidR="00B91619">
        <w:rPr>
          <w:lang w:val="fr-CA"/>
        </w:rPr>
        <w:t xml:space="preserve">réglementaires qui </w:t>
      </w:r>
      <w:r w:rsidR="005706BE">
        <w:rPr>
          <w:lang w:val="fr-CA"/>
        </w:rPr>
        <w:t xml:space="preserve">entraînent </w:t>
      </w:r>
      <w:r>
        <w:rPr>
          <w:lang w:val="fr-CA"/>
        </w:rPr>
        <w:t>de nouveaux</w:t>
      </w:r>
      <w:r w:rsidR="00B91619">
        <w:rPr>
          <w:lang w:val="fr-CA"/>
        </w:rPr>
        <w:t xml:space="preserve"> coûts </w:t>
      </w:r>
      <w:r>
        <w:rPr>
          <w:lang w:val="fr-CA"/>
        </w:rPr>
        <w:t xml:space="preserve">administratifs </w:t>
      </w:r>
      <w:r w:rsidR="005706BE">
        <w:rPr>
          <w:lang w:val="fr-CA"/>
        </w:rPr>
        <w:t xml:space="preserve">pour les </w:t>
      </w:r>
      <w:r w:rsidR="00B91619">
        <w:rPr>
          <w:lang w:val="fr-CA"/>
        </w:rPr>
        <w:t>entreprises</w:t>
      </w:r>
      <w:r w:rsidRPr="00FA558D" w:rsidR="00B91619">
        <w:rPr>
          <w:lang w:val="fr-CA"/>
        </w:rPr>
        <w:t xml:space="preserve"> </w:t>
      </w:r>
      <w:r w:rsidR="00B91619">
        <w:rPr>
          <w:lang w:val="fr-CA"/>
        </w:rPr>
        <w:t>doivent</w:t>
      </w:r>
      <w:r w:rsidRPr="00FA558D" w:rsidR="00B91619">
        <w:rPr>
          <w:lang w:val="fr-CA"/>
        </w:rPr>
        <w:t xml:space="preserve"> </w:t>
      </w:r>
      <w:r w:rsidR="00B91619">
        <w:rPr>
          <w:lang w:val="fr-CA"/>
        </w:rPr>
        <w:t>être compensé</w:t>
      </w:r>
      <w:r w:rsidR="007C1161">
        <w:rPr>
          <w:lang w:val="fr-CA"/>
        </w:rPr>
        <w:t>es</w:t>
      </w:r>
      <w:r w:rsidR="00B91619">
        <w:rPr>
          <w:lang w:val="fr-CA"/>
        </w:rPr>
        <w:t xml:space="preserve"> par une réduction équivalente des coûts administratifs découlant de la réglementation existante</w:t>
      </w:r>
      <w:r w:rsidRPr="00FA558D" w:rsidR="00B91619">
        <w:rPr>
          <w:lang w:val="fr-CA"/>
        </w:rPr>
        <w:t xml:space="preserve">. </w:t>
      </w:r>
    </w:p>
    <w:p w:rsidRPr="00FA558D" w:rsidR="00B91619" w:rsidP="00B91619" w:rsidRDefault="00B91619" w14:paraId="60E678C1" w14:textId="77777777">
      <w:pPr>
        <w:tabs>
          <w:tab w:val="left" w:pos="9356"/>
        </w:tabs>
        <w:spacing w:after="0" w:line="240" w:lineRule="auto"/>
        <w:rPr>
          <w:lang w:val="fr-CA"/>
        </w:rPr>
      </w:pPr>
    </w:p>
    <w:p w:rsidRPr="00FA558D" w:rsidR="00B91619" w:rsidP="00B91619" w:rsidRDefault="00B91619" w14:paraId="04B372DC" w14:textId="6EE448E7">
      <w:pPr>
        <w:tabs>
          <w:tab w:val="left" w:pos="9356"/>
        </w:tabs>
        <w:spacing w:after="0" w:line="240" w:lineRule="auto"/>
        <w:rPr>
          <w:lang w:val="fr-CA"/>
        </w:rPr>
      </w:pPr>
      <w:r>
        <w:rPr>
          <w:lang w:val="fr-CA"/>
        </w:rPr>
        <w:t xml:space="preserve">Cette compensation peut être </w:t>
      </w:r>
      <w:r w:rsidR="00117FCD">
        <w:rPr>
          <w:lang w:val="fr-CA"/>
        </w:rPr>
        <w:t>réalisée</w:t>
      </w:r>
      <w:r>
        <w:rPr>
          <w:lang w:val="fr-CA"/>
        </w:rPr>
        <w:t xml:space="preserve"> par divers moyens, notamment :</w:t>
      </w:r>
    </w:p>
    <w:p w:rsidRPr="00FA558D" w:rsidR="00B91619" w:rsidP="00B91619" w:rsidRDefault="00B91619" w14:paraId="734A273A" w14:textId="77777777">
      <w:pPr>
        <w:tabs>
          <w:tab w:val="left" w:pos="9356"/>
        </w:tabs>
        <w:spacing w:after="0" w:line="240" w:lineRule="auto"/>
        <w:rPr>
          <w:lang w:val="fr-CA"/>
        </w:rPr>
      </w:pPr>
    </w:p>
    <w:p w:rsidRPr="00FA558D" w:rsidR="00B91619" w:rsidP="00B91619" w:rsidRDefault="00117FCD" w14:paraId="7ECFDCF2" w14:textId="0BCC88FE">
      <w:pPr>
        <w:pStyle w:val="ListParagraph"/>
        <w:numPr>
          <w:ilvl w:val="0"/>
          <w:numId w:val="9"/>
        </w:numPr>
        <w:tabs>
          <w:tab w:val="left" w:pos="9356"/>
        </w:tabs>
        <w:spacing w:after="0" w:line="240" w:lineRule="auto"/>
        <w:rPr>
          <w:lang w:val="fr-CA"/>
        </w:rPr>
      </w:pPr>
      <w:proofErr w:type="gramStart"/>
      <w:r>
        <w:rPr>
          <w:lang w:val="fr-CA"/>
        </w:rPr>
        <w:t>en</w:t>
      </w:r>
      <w:proofErr w:type="gramEnd"/>
      <w:r>
        <w:rPr>
          <w:lang w:val="fr-CA"/>
        </w:rPr>
        <w:t xml:space="preserve"> supprimant des e</w:t>
      </w:r>
      <w:r w:rsidR="00B91619">
        <w:rPr>
          <w:lang w:val="fr-CA"/>
        </w:rPr>
        <w:t xml:space="preserve">xigences </w:t>
      </w:r>
      <w:r w:rsidR="009F4681">
        <w:rPr>
          <w:lang w:val="fr-CA"/>
        </w:rPr>
        <w:t>particulières relatives à la</w:t>
      </w:r>
      <w:r w:rsidR="00B91619">
        <w:rPr>
          <w:lang w:val="fr-CA"/>
        </w:rPr>
        <w:t xml:space="preserve"> conservation de l’</w:t>
      </w:r>
      <w:r w:rsidRPr="00FA558D" w:rsidR="00B91619">
        <w:rPr>
          <w:lang w:val="fr-CA"/>
        </w:rPr>
        <w:t>information</w:t>
      </w:r>
      <w:r w:rsidR="00B91619">
        <w:rPr>
          <w:lang w:val="fr-CA"/>
        </w:rPr>
        <w:t>;</w:t>
      </w:r>
    </w:p>
    <w:p w:rsidRPr="00FA558D" w:rsidR="00B91619" w:rsidP="00B91619" w:rsidRDefault="00117FCD" w14:paraId="075C19F1" w14:textId="4C01B359">
      <w:pPr>
        <w:pStyle w:val="ListParagraph"/>
        <w:numPr>
          <w:ilvl w:val="0"/>
          <w:numId w:val="9"/>
        </w:numPr>
        <w:tabs>
          <w:tab w:val="left" w:pos="9356"/>
        </w:tabs>
        <w:spacing w:after="0" w:line="240" w:lineRule="auto"/>
        <w:rPr>
          <w:lang w:val="fr-CA"/>
        </w:rPr>
      </w:pPr>
      <w:proofErr w:type="gramStart"/>
      <w:r>
        <w:rPr>
          <w:lang w:val="fr-CA"/>
        </w:rPr>
        <w:t>en</w:t>
      </w:r>
      <w:proofErr w:type="gramEnd"/>
      <w:r>
        <w:rPr>
          <w:lang w:val="fr-CA"/>
        </w:rPr>
        <w:t xml:space="preserve"> modifiant</w:t>
      </w:r>
      <w:r w:rsidR="00B91619">
        <w:rPr>
          <w:lang w:val="fr-CA"/>
        </w:rPr>
        <w:t xml:space="preserve"> </w:t>
      </w:r>
      <w:r w:rsidR="009E17AD">
        <w:rPr>
          <w:lang w:val="fr-CA"/>
        </w:rPr>
        <w:t xml:space="preserve">les </w:t>
      </w:r>
      <w:r w:rsidR="00B91619">
        <w:rPr>
          <w:lang w:val="fr-CA"/>
        </w:rPr>
        <w:t xml:space="preserve">échéanciers </w:t>
      </w:r>
      <w:r w:rsidR="009E17AD">
        <w:rPr>
          <w:lang w:val="fr-CA"/>
        </w:rPr>
        <w:t xml:space="preserve">pour </w:t>
      </w:r>
      <w:r w:rsidR="00B91619">
        <w:rPr>
          <w:lang w:val="fr-CA"/>
        </w:rPr>
        <w:t>la présentation de rapports;</w:t>
      </w:r>
      <w:r w:rsidRPr="00FA558D" w:rsidR="00B91619">
        <w:rPr>
          <w:lang w:val="fr-CA"/>
        </w:rPr>
        <w:t xml:space="preserve"> </w:t>
      </w:r>
    </w:p>
    <w:p w:rsidRPr="00FA558D" w:rsidR="00B91619" w:rsidP="00B91619" w:rsidRDefault="00117FCD" w14:paraId="735BE6EC" w14:textId="75C60BF4">
      <w:pPr>
        <w:pStyle w:val="ListParagraph"/>
        <w:numPr>
          <w:ilvl w:val="0"/>
          <w:numId w:val="9"/>
        </w:numPr>
        <w:tabs>
          <w:tab w:val="left" w:pos="9356"/>
        </w:tabs>
        <w:spacing w:after="0" w:line="240" w:lineRule="auto"/>
        <w:rPr>
          <w:lang w:val="fr-CA"/>
        </w:rPr>
      </w:pPr>
      <w:proofErr w:type="gramStart"/>
      <w:r>
        <w:rPr>
          <w:lang w:val="fr-CA"/>
        </w:rPr>
        <w:t>en</w:t>
      </w:r>
      <w:proofErr w:type="gramEnd"/>
      <w:r>
        <w:rPr>
          <w:lang w:val="fr-CA"/>
        </w:rPr>
        <w:t xml:space="preserve"> </w:t>
      </w:r>
      <w:r w:rsidRPr="00FA558D" w:rsidR="00B91619">
        <w:rPr>
          <w:lang w:val="fr-CA"/>
        </w:rPr>
        <w:t>a</w:t>
      </w:r>
      <w:r w:rsidR="00B91619">
        <w:rPr>
          <w:lang w:val="fr-CA"/>
        </w:rPr>
        <w:t>utorisa</w:t>
      </w:r>
      <w:r>
        <w:rPr>
          <w:lang w:val="fr-CA"/>
        </w:rPr>
        <w:t>nt</w:t>
      </w:r>
      <w:r w:rsidR="00B91619">
        <w:rPr>
          <w:lang w:val="fr-CA"/>
        </w:rPr>
        <w:t xml:space="preserve"> la collecte</w:t>
      </w:r>
      <w:r w:rsidR="009F4681">
        <w:rPr>
          <w:lang w:val="fr-CA"/>
        </w:rPr>
        <w:t xml:space="preserve"> de renseignements par voie</w:t>
      </w:r>
      <w:r w:rsidR="00B91619">
        <w:rPr>
          <w:lang w:val="fr-CA"/>
        </w:rPr>
        <w:t xml:space="preserve"> électronique;</w:t>
      </w:r>
    </w:p>
    <w:p w:rsidRPr="00FA558D" w:rsidR="00B91619" w:rsidP="00B91619" w:rsidRDefault="00117FCD" w14:paraId="27B6EAAA" w14:textId="64CE4393">
      <w:pPr>
        <w:pStyle w:val="ListParagraph"/>
        <w:numPr>
          <w:ilvl w:val="0"/>
          <w:numId w:val="9"/>
        </w:numPr>
        <w:tabs>
          <w:tab w:val="left" w:pos="9356"/>
        </w:tabs>
        <w:spacing w:after="0" w:line="240" w:lineRule="auto"/>
        <w:rPr>
          <w:lang w:val="fr-CA"/>
        </w:rPr>
      </w:pPr>
      <w:proofErr w:type="gramStart"/>
      <w:r>
        <w:rPr>
          <w:lang w:val="fr-CA"/>
        </w:rPr>
        <w:t>en</w:t>
      </w:r>
      <w:proofErr w:type="gramEnd"/>
      <w:r>
        <w:rPr>
          <w:lang w:val="fr-CA"/>
        </w:rPr>
        <w:t xml:space="preserve"> </w:t>
      </w:r>
      <w:r w:rsidR="00B91619">
        <w:rPr>
          <w:lang w:val="fr-CA"/>
        </w:rPr>
        <w:t>autorisa</w:t>
      </w:r>
      <w:r>
        <w:rPr>
          <w:lang w:val="fr-CA"/>
        </w:rPr>
        <w:t>nt</w:t>
      </w:r>
      <w:r w:rsidR="009F4681">
        <w:rPr>
          <w:lang w:val="fr-CA"/>
        </w:rPr>
        <w:t xml:space="preserve"> l’échange de renseignements</w:t>
      </w:r>
      <w:r w:rsidRPr="00FA558D" w:rsidR="00B91619">
        <w:rPr>
          <w:lang w:val="fr-CA"/>
        </w:rPr>
        <w:t xml:space="preserve"> </w:t>
      </w:r>
      <w:r w:rsidR="00B91619">
        <w:rPr>
          <w:lang w:val="fr-CA"/>
        </w:rPr>
        <w:t>entre</w:t>
      </w:r>
      <w:r w:rsidRPr="00FA558D" w:rsidR="00B91619">
        <w:rPr>
          <w:lang w:val="fr-CA"/>
        </w:rPr>
        <w:t xml:space="preserve"> </w:t>
      </w:r>
      <w:r w:rsidR="00B91619">
        <w:rPr>
          <w:lang w:val="fr-CA"/>
        </w:rPr>
        <w:t xml:space="preserve">les ministères </w:t>
      </w:r>
      <w:r>
        <w:rPr>
          <w:lang w:val="fr-CA"/>
        </w:rPr>
        <w:t>fédéraux</w:t>
      </w:r>
      <w:r w:rsidR="00B91619">
        <w:rPr>
          <w:lang w:val="fr-CA"/>
        </w:rPr>
        <w:t xml:space="preserve"> ou d’autres ordres d</w:t>
      </w:r>
      <w:r>
        <w:rPr>
          <w:lang w:val="fr-CA"/>
        </w:rPr>
        <w:t>e</w:t>
      </w:r>
      <w:r w:rsidR="00B91619">
        <w:rPr>
          <w:lang w:val="fr-CA"/>
        </w:rPr>
        <w:t xml:space="preserve"> gouvernement.</w:t>
      </w:r>
    </w:p>
    <w:p w:rsidRPr="00FA558D" w:rsidR="00B91619" w:rsidP="00B91619" w:rsidRDefault="00B91619" w14:paraId="2F554A0F" w14:textId="77777777">
      <w:pPr>
        <w:tabs>
          <w:tab w:val="left" w:pos="9356"/>
        </w:tabs>
        <w:spacing w:after="0" w:line="240" w:lineRule="auto"/>
        <w:rPr>
          <w:lang w:val="fr-CA"/>
        </w:rPr>
      </w:pPr>
    </w:p>
    <w:p w:rsidRPr="00FA558D" w:rsidR="00B91619" w:rsidP="00B91619" w:rsidRDefault="00B91619" w14:paraId="7606F42B" w14:textId="13070BFB">
      <w:pPr>
        <w:tabs>
          <w:tab w:val="left" w:pos="9356"/>
        </w:tabs>
        <w:spacing w:after="0" w:line="240" w:lineRule="auto"/>
        <w:rPr>
          <w:lang w:val="fr-CA"/>
        </w:rPr>
      </w:pPr>
      <w:r>
        <w:rPr>
          <w:lang w:val="fr-CA"/>
        </w:rPr>
        <w:t>La règle du « un pour un »</w:t>
      </w:r>
      <w:r w:rsidRPr="00FA558D">
        <w:rPr>
          <w:lang w:val="fr-CA"/>
        </w:rPr>
        <w:t xml:space="preserve"> </w:t>
      </w:r>
      <w:r>
        <w:rPr>
          <w:lang w:val="fr-CA"/>
        </w:rPr>
        <w:t>s’applique uniquement</w:t>
      </w:r>
      <w:r w:rsidRPr="00FA558D">
        <w:rPr>
          <w:lang w:val="fr-CA"/>
        </w:rPr>
        <w:t xml:space="preserve"> </w:t>
      </w:r>
      <w:r>
        <w:rPr>
          <w:lang w:val="fr-CA"/>
        </w:rPr>
        <w:t xml:space="preserve">aux </w:t>
      </w:r>
      <w:r w:rsidR="00977C62">
        <w:rPr>
          <w:lang w:val="fr-CA"/>
        </w:rPr>
        <w:t xml:space="preserve">modifications </w:t>
      </w:r>
      <w:r>
        <w:rPr>
          <w:lang w:val="fr-CA"/>
        </w:rPr>
        <w:t>réglementaires</w:t>
      </w:r>
      <w:r w:rsidRPr="00FA558D">
        <w:rPr>
          <w:lang w:val="fr-CA"/>
        </w:rPr>
        <w:t xml:space="preserve"> </w:t>
      </w:r>
      <w:r>
        <w:rPr>
          <w:lang w:val="fr-CA"/>
        </w:rPr>
        <w:t>tel</w:t>
      </w:r>
      <w:r w:rsidR="00977C62">
        <w:rPr>
          <w:lang w:val="fr-CA"/>
        </w:rPr>
        <w:t>le</w:t>
      </w:r>
      <w:r>
        <w:rPr>
          <w:lang w:val="fr-CA"/>
        </w:rPr>
        <w:t>s qu’</w:t>
      </w:r>
      <w:r w:rsidR="00977C62">
        <w:rPr>
          <w:lang w:val="fr-CA"/>
        </w:rPr>
        <w:t>elle</w:t>
      </w:r>
      <w:r>
        <w:rPr>
          <w:lang w:val="fr-CA"/>
        </w:rPr>
        <w:t>s sont défini</w:t>
      </w:r>
      <w:r w:rsidR="00977C62">
        <w:rPr>
          <w:lang w:val="fr-CA"/>
        </w:rPr>
        <w:t>e</w:t>
      </w:r>
      <w:r>
        <w:rPr>
          <w:lang w:val="fr-CA"/>
        </w:rPr>
        <w:t xml:space="preserve">s dans la </w:t>
      </w:r>
      <w:r w:rsidRPr="004F7AB3">
        <w:rPr>
          <w:i/>
          <w:iCs/>
          <w:lang w:val="fr-CA"/>
        </w:rPr>
        <w:t>Loi sur la réduction de la paperasse</w:t>
      </w:r>
      <w:r w:rsidRPr="00FA558D">
        <w:rPr>
          <w:lang w:val="fr-CA"/>
        </w:rPr>
        <w:t>,</w:t>
      </w:r>
      <w:r>
        <w:rPr>
          <w:lang w:val="fr-CA"/>
        </w:rPr>
        <w:t xml:space="preserve"> et les organismes de réglementation</w:t>
      </w:r>
      <w:r w:rsidRPr="00FA558D">
        <w:rPr>
          <w:lang w:val="fr-CA"/>
        </w:rPr>
        <w:t xml:space="preserve"> </w:t>
      </w:r>
      <w:r>
        <w:rPr>
          <w:lang w:val="fr-CA"/>
        </w:rPr>
        <w:t xml:space="preserve">ne peuvent </w:t>
      </w:r>
      <w:r w:rsidR="00F86960">
        <w:rPr>
          <w:lang w:val="fr-CA"/>
        </w:rPr>
        <w:t xml:space="preserve">pas s’attribuer le </w:t>
      </w:r>
      <w:r w:rsidR="00183386">
        <w:rPr>
          <w:lang w:val="fr-CA"/>
        </w:rPr>
        <w:t>crédit</w:t>
      </w:r>
      <w:r w:rsidR="00F86960">
        <w:rPr>
          <w:lang w:val="fr-CA"/>
        </w:rPr>
        <w:t xml:space="preserve"> </w:t>
      </w:r>
      <w:r>
        <w:rPr>
          <w:lang w:val="fr-CA"/>
        </w:rPr>
        <w:t xml:space="preserve">de la réduction du fardeau </w:t>
      </w:r>
      <w:r w:rsidR="00F86960">
        <w:rPr>
          <w:lang w:val="fr-CA"/>
        </w:rPr>
        <w:t xml:space="preserve">en modifiant </w:t>
      </w:r>
      <w:r>
        <w:rPr>
          <w:lang w:val="fr-CA"/>
        </w:rPr>
        <w:t xml:space="preserve">des politiques ou des programmes qui </w:t>
      </w:r>
      <w:r>
        <w:rPr>
          <w:lang w:val="fr-CA"/>
        </w:rPr>
        <w:t xml:space="preserve">réduisent les coûts </w:t>
      </w:r>
      <w:r w:rsidR="00FB1F6D">
        <w:rPr>
          <w:lang w:val="fr-CA"/>
        </w:rPr>
        <w:t>d</w:t>
      </w:r>
      <w:r w:rsidR="00977C62">
        <w:rPr>
          <w:lang w:val="fr-CA"/>
        </w:rPr>
        <w:t xml:space="preserve">u </w:t>
      </w:r>
      <w:r>
        <w:rPr>
          <w:lang w:val="fr-CA"/>
        </w:rPr>
        <w:t>fardeau administratif</w:t>
      </w:r>
      <w:r w:rsidRPr="00FA558D">
        <w:rPr>
          <w:lang w:val="fr-CA"/>
        </w:rPr>
        <w:t xml:space="preserve"> </w:t>
      </w:r>
      <w:r w:rsidR="00977C62">
        <w:rPr>
          <w:lang w:val="fr-CA"/>
        </w:rPr>
        <w:t>imposé aux</w:t>
      </w:r>
      <w:r>
        <w:rPr>
          <w:lang w:val="fr-CA"/>
        </w:rPr>
        <w:t xml:space="preserve"> entreprises,</w:t>
      </w:r>
      <w:r w:rsidRPr="00FA558D">
        <w:rPr>
          <w:lang w:val="fr-CA"/>
        </w:rPr>
        <w:t xml:space="preserve"> </w:t>
      </w:r>
      <w:r>
        <w:rPr>
          <w:lang w:val="fr-CA"/>
        </w:rPr>
        <w:t>sauf si la ré</w:t>
      </w:r>
      <w:r w:rsidRPr="00FA558D">
        <w:rPr>
          <w:lang w:val="fr-CA"/>
        </w:rPr>
        <w:t xml:space="preserve">duction </w:t>
      </w:r>
      <w:r>
        <w:rPr>
          <w:lang w:val="fr-CA"/>
        </w:rPr>
        <w:t xml:space="preserve">des coûts est </w:t>
      </w:r>
      <w:r w:rsidRPr="00FA558D">
        <w:rPr>
          <w:lang w:val="fr-CA"/>
        </w:rPr>
        <w:t>di</w:t>
      </w:r>
      <w:r>
        <w:rPr>
          <w:lang w:val="fr-CA"/>
        </w:rPr>
        <w:t>rectement</w:t>
      </w:r>
      <w:r w:rsidRPr="00FA558D">
        <w:rPr>
          <w:lang w:val="fr-CA"/>
        </w:rPr>
        <w:t xml:space="preserve"> </w:t>
      </w:r>
      <w:r>
        <w:rPr>
          <w:lang w:val="fr-CA"/>
        </w:rPr>
        <w:t>liée</w:t>
      </w:r>
      <w:r w:rsidRPr="00FA558D">
        <w:rPr>
          <w:lang w:val="fr-CA"/>
        </w:rPr>
        <w:t xml:space="preserve"> </w:t>
      </w:r>
      <w:r>
        <w:rPr>
          <w:lang w:val="fr-CA"/>
        </w:rPr>
        <w:t>à la modification réglementaire</w:t>
      </w:r>
      <w:r w:rsidRPr="00FA558D">
        <w:rPr>
          <w:lang w:val="fr-CA"/>
        </w:rPr>
        <w:t>.</w:t>
      </w:r>
    </w:p>
    <w:p w:rsidRPr="00FA558D" w:rsidR="00B91619" w:rsidP="00B91619" w:rsidRDefault="00B91619" w14:paraId="03D203D8" w14:textId="77777777">
      <w:pPr>
        <w:tabs>
          <w:tab w:val="left" w:pos="9356"/>
        </w:tabs>
        <w:spacing w:after="0" w:line="240" w:lineRule="auto"/>
        <w:rPr>
          <w:lang w:val="fr-CA"/>
        </w:rPr>
      </w:pPr>
    </w:p>
    <w:p w:rsidRPr="00FA558D" w:rsidR="00B91619" w:rsidP="00B91619" w:rsidRDefault="00B91619" w14:paraId="2AEA3070" w14:textId="0FAF5AEA">
      <w:pPr>
        <w:tabs>
          <w:tab w:val="left" w:pos="9356"/>
        </w:tabs>
        <w:spacing w:after="0" w:line="240" w:lineRule="auto"/>
        <w:rPr>
          <w:lang w:val="fr-CA"/>
        </w:rPr>
      </w:pPr>
      <w:r>
        <w:rPr>
          <w:lang w:val="fr-CA"/>
        </w:rPr>
        <w:t xml:space="preserve">Les organismes de réglementation sont </w:t>
      </w:r>
      <w:r w:rsidRPr="00FA558D">
        <w:rPr>
          <w:lang w:val="fr-CA"/>
        </w:rPr>
        <w:t>encourag</w:t>
      </w:r>
      <w:r>
        <w:rPr>
          <w:lang w:val="fr-CA"/>
        </w:rPr>
        <w:t xml:space="preserve">és à </w:t>
      </w:r>
      <w:r w:rsidR="00977C62">
        <w:rPr>
          <w:lang w:val="fr-CA"/>
        </w:rPr>
        <w:t>déterminer</w:t>
      </w:r>
      <w:r w:rsidR="00BC072F">
        <w:rPr>
          <w:lang w:val="fr-CA"/>
        </w:rPr>
        <w:t xml:space="preserve"> de façon proactive </w:t>
      </w:r>
      <w:r w:rsidR="00977C62">
        <w:rPr>
          <w:lang w:val="fr-CA"/>
        </w:rPr>
        <w:t>le</w:t>
      </w:r>
      <w:r>
        <w:rPr>
          <w:lang w:val="fr-CA"/>
        </w:rPr>
        <w:t xml:space="preserve"> fardeau</w:t>
      </w:r>
      <w:r w:rsidR="00977C62">
        <w:rPr>
          <w:lang w:val="fr-CA"/>
        </w:rPr>
        <w:t xml:space="preserve"> existant</w:t>
      </w:r>
      <w:r>
        <w:rPr>
          <w:lang w:val="fr-CA"/>
        </w:rPr>
        <w:t xml:space="preserve"> qui pourrait être éliminé. </w:t>
      </w:r>
      <w:r w:rsidR="00977C62">
        <w:rPr>
          <w:lang w:val="fr-CA"/>
        </w:rPr>
        <w:t>Cette mesure</w:t>
      </w:r>
      <w:r>
        <w:rPr>
          <w:lang w:val="fr-CA"/>
        </w:rPr>
        <w:t xml:space="preserve"> profiter</w:t>
      </w:r>
      <w:r w:rsidR="00977C62">
        <w:rPr>
          <w:lang w:val="fr-CA"/>
        </w:rPr>
        <w:t>a</w:t>
      </w:r>
      <w:r>
        <w:rPr>
          <w:lang w:val="fr-CA"/>
        </w:rPr>
        <w:t xml:space="preserve"> immédiatement aux entreprises, et la réduction du fardeau</w:t>
      </w:r>
      <w:r w:rsidR="00977C62">
        <w:rPr>
          <w:lang w:val="fr-CA"/>
        </w:rPr>
        <w:t xml:space="preserve"> qui en découle</w:t>
      </w:r>
      <w:r w:rsidRPr="00FA558D">
        <w:rPr>
          <w:lang w:val="fr-CA"/>
        </w:rPr>
        <w:t xml:space="preserve"> </w:t>
      </w:r>
      <w:r>
        <w:rPr>
          <w:lang w:val="fr-CA"/>
        </w:rPr>
        <w:t xml:space="preserve">pourrait être appliquée </w:t>
      </w:r>
      <w:r w:rsidR="00977C62">
        <w:rPr>
          <w:lang w:val="fr-CA"/>
        </w:rPr>
        <w:t>aux</w:t>
      </w:r>
      <w:r>
        <w:rPr>
          <w:lang w:val="fr-CA"/>
        </w:rPr>
        <w:t xml:space="preserve"> obligations de compensation</w:t>
      </w:r>
      <w:r w:rsidRPr="00BC072F" w:rsidR="00BC072F">
        <w:rPr>
          <w:lang w:val="fr-CA"/>
        </w:rPr>
        <w:t xml:space="preserve"> </w:t>
      </w:r>
      <w:r w:rsidR="00BC072F">
        <w:rPr>
          <w:lang w:val="fr-CA"/>
        </w:rPr>
        <w:t>en vigueur</w:t>
      </w:r>
      <w:r>
        <w:rPr>
          <w:lang w:val="fr-CA"/>
        </w:rPr>
        <w:t xml:space="preserve">, ou </w:t>
      </w:r>
      <w:r w:rsidR="00BC072F">
        <w:rPr>
          <w:lang w:val="fr-CA"/>
        </w:rPr>
        <w:t>être conservée</w:t>
      </w:r>
      <w:r>
        <w:rPr>
          <w:lang w:val="fr-CA"/>
        </w:rPr>
        <w:t xml:space="preserve"> pour répondre à des exigences </w:t>
      </w:r>
      <w:r w:rsidR="00BC072F">
        <w:rPr>
          <w:lang w:val="fr-CA"/>
        </w:rPr>
        <w:t>futures</w:t>
      </w:r>
      <w:r>
        <w:rPr>
          <w:lang w:val="fr-CA"/>
        </w:rPr>
        <w:t>.</w:t>
      </w:r>
      <w:r w:rsidRPr="00FA558D">
        <w:rPr>
          <w:lang w:val="fr-CA"/>
        </w:rPr>
        <w:t xml:space="preserve"> </w:t>
      </w:r>
    </w:p>
    <w:p w:rsidRPr="00FA558D" w:rsidR="00B91619" w:rsidP="00B91619" w:rsidRDefault="00B91619" w14:paraId="755110A6" w14:textId="77777777">
      <w:pPr>
        <w:tabs>
          <w:tab w:val="left" w:pos="9356"/>
        </w:tabs>
        <w:spacing w:after="0" w:line="240" w:lineRule="auto"/>
        <w:rPr>
          <w:lang w:val="fr-CA"/>
        </w:rPr>
      </w:pPr>
    </w:p>
    <w:p w:rsidRPr="00FA558D" w:rsidR="00B91619" w:rsidP="00B91619" w:rsidRDefault="00CB3E2E" w14:paraId="41F8B9F3" w14:textId="535B20D9">
      <w:pPr>
        <w:pStyle w:val="Heading3"/>
        <w:rPr>
          <w:lang w:val="fr-CA"/>
        </w:rPr>
      </w:pPr>
      <w:bookmarkStart w:name="_Toc151373916" w:id="23"/>
      <w:r>
        <w:rPr>
          <w:lang w:val="fr-CA"/>
        </w:rPr>
        <w:t>Titres réglementaires compensatoires</w:t>
      </w:r>
      <w:r w:rsidR="00B91619">
        <w:rPr>
          <w:lang w:val="fr-CA"/>
        </w:rPr>
        <w:t xml:space="preserve"> </w:t>
      </w:r>
      <w:r w:rsidRPr="00FA558D" w:rsidR="00B91619">
        <w:rPr>
          <w:lang w:val="fr-CA"/>
        </w:rPr>
        <w:t>(</w:t>
      </w:r>
      <w:r>
        <w:rPr>
          <w:lang w:val="fr-CA"/>
        </w:rPr>
        <w:t>paragraphe</w:t>
      </w:r>
      <w:r w:rsidRPr="00FA558D" w:rsidR="00B91619">
        <w:rPr>
          <w:lang w:val="fr-CA"/>
        </w:rPr>
        <w:t> 7.2.6)</w:t>
      </w:r>
      <w:bookmarkEnd w:id="23"/>
    </w:p>
    <w:p w:rsidRPr="00FA558D" w:rsidR="00B91619" w:rsidP="00B91619" w:rsidRDefault="00B91619" w14:paraId="7E026CAD" w14:textId="77777777">
      <w:pPr>
        <w:tabs>
          <w:tab w:val="left" w:pos="9356"/>
        </w:tabs>
        <w:spacing w:after="0" w:line="240" w:lineRule="auto"/>
        <w:rPr>
          <w:lang w:val="fr-CA"/>
        </w:rPr>
      </w:pPr>
    </w:p>
    <w:p w:rsidRPr="00FA558D" w:rsidR="00B91619" w:rsidP="00B91619" w:rsidRDefault="00B91619" w14:paraId="3E101B0A" w14:textId="45FCC743">
      <w:pPr>
        <w:pStyle w:val="Heading4"/>
        <w:rPr>
          <w:lang w:val="fr-CA"/>
        </w:rPr>
      </w:pPr>
      <w:r w:rsidRPr="00FA558D">
        <w:rPr>
          <w:lang w:val="fr-CA"/>
        </w:rPr>
        <w:t xml:space="preserve">Types </w:t>
      </w:r>
      <w:r>
        <w:rPr>
          <w:lang w:val="fr-CA"/>
        </w:rPr>
        <w:t>de</w:t>
      </w:r>
      <w:r w:rsidRPr="00FA558D">
        <w:rPr>
          <w:lang w:val="fr-CA"/>
        </w:rPr>
        <w:t xml:space="preserve"> </w:t>
      </w:r>
      <w:r>
        <w:rPr>
          <w:lang w:val="fr-CA"/>
        </w:rPr>
        <w:t>règlement</w:t>
      </w:r>
      <w:r w:rsidRPr="00FA558D">
        <w:rPr>
          <w:lang w:val="fr-CA"/>
        </w:rPr>
        <w:t>s</w:t>
      </w:r>
      <w:r>
        <w:rPr>
          <w:lang w:val="fr-CA"/>
        </w:rPr>
        <w:t xml:space="preserve"> </w:t>
      </w:r>
      <w:r w:rsidR="00566134">
        <w:rPr>
          <w:lang w:val="fr-CA"/>
        </w:rPr>
        <w:t xml:space="preserve">qui répondent aux critères de </w:t>
      </w:r>
      <w:r>
        <w:rPr>
          <w:lang w:val="fr-CA"/>
        </w:rPr>
        <w:t>l’élément</w:t>
      </w:r>
      <w:r w:rsidRPr="00FA558D">
        <w:rPr>
          <w:lang w:val="fr-CA"/>
        </w:rPr>
        <w:t> B</w:t>
      </w:r>
    </w:p>
    <w:p w:rsidRPr="00FA558D" w:rsidR="00B91619" w:rsidP="00B91619" w:rsidRDefault="00B91619" w14:paraId="0AEA2195" w14:textId="77777777">
      <w:pPr>
        <w:tabs>
          <w:tab w:val="left" w:pos="9356"/>
        </w:tabs>
        <w:spacing w:after="0" w:line="240" w:lineRule="auto"/>
        <w:rPr>
          <w:lang w:val="fr-CA"/>
        </w:rPr>
      </w:pPr>
    </w:p>
    <w:p w:rsidRPr="00FA558D" w:rsidR="00B91619" w:rsidP="00B91619" w:rsidRDefault="00B91619" w14:paraId="53170787" w14:textId="6A562647">
      <w:pPr>
        <w:tabs>
          <w:tab w:val="left" w:pos="9356"/>
        </w:tabs>
        <w:spacing w:after="0" w:line="240" w:lineRule="auto"/>
        <w:rPr>
          <w:b/>
          <w:lang w:val="fr-CA"/>
        </w:rPr>
      </w:pPr>
      <w:r>
        <w:rPr>
          <w:b/>
          <w:lang w:val="fr-CA"/>
        </w:rPr>
        <w:t xml:space="preserve">Règlements </w:t>
      </w:r>
      <w:r w:rsidR="00183386">
        <w:rPr>
          <w:b/>
          <w:lang w:val="fr-CA"/>
        </w:rPr>
        <w:t>désuets</w:t>
      </w:r>
      <w:r w:rsidRPr="00FA558D">
        <w:rPr>
          <w:b/>
          <w:lang w:val="fr-CA"/>
        </w:rPr>
        <w:t xml:space="preserve"> </w:t>
      </w:r>
    </w:p>
    <w:p w:rsidRPr="00FF69AA" w:rsidR="00B91619" w:rsidP="00B91619" w:rsidRDefault="00B91619" w14:paraId="35889AF0" w14:textId="4595B771">
      <w:pPr>
        <w:tabs>
          <w:tab w:val="left" w:pos="9356"/>
        </w:tabs>
        <w:spacing w:after="0" w:line="240" w:lineRule="auto"/>
        <w:rPr>
          <w:lang w:val="fr-CA"/>
        </w:rPr>
      </w:pPr>
      <w:r>
        <w:rPr>
          <w:lang w:val="fr-CA"/>
        </w:rPr>
        <w:t>Un</w:t>
      </w:r>
      <w:r w:rsidRPr="00FA558D">
        <w:rPr>
          <w:lang w:val="fr-CA"/>
        </w:rPr>
        <w:t xml:space="preserve"> </w:t>
      </w:r>
      <w:r>
        <w:rPr>
          <w:lang w:val="fr-CA"/>
        </w:rPr>
        <w:t xml:space="preserve">règlement </w:t>
      </w:r>
      <w:r w:rsidR="00183386">
        <w:rPr>
          <w:lang w:val="fr-CA"/>
        </w:rPr>
        <w:t>désuet</w:t>
      </w:r>
      <w:r w:rsidRPr="00FA558D">
        <w:rPr>
          <w:lang w:val="fr-CA"/>
        </w:rPr>
        <w:t xml:space="preserve"> </w:t>
      </w:r>
      <w:r>
        <w:rPr>
          <w:lang w:val="fr-CA"/>
        </w:rPr>
        <w:t xml:space="preserve">est un règlement </w:t>
      </w:r>
      <w:r w:rsidR="00566134">
        <w:rPr>
          <w:lang w:val="fr-CA"/>
        </w:rPr>
        <w:t>qui n’est plus en vigueur</w:t>
      </w:r>
      <w:r>
        <w:rPr>
          <w:lang w:val="fr-CA"/>
        </w:rPr>
        <w:t xml:space="preserve"> par</w:t>
      </w:r>
      <w:r w:rsidR="00183386">
        <w:rPr>
          <w:lang w:val="fr-CA"/>
        </w:rPr>
        <w:t>ce</w:t>
      </w:r>
      <w:r>
        <w:rPr>
          <w:lang w:val="fr-CA"/>
        </w:rPr>
        <w:t xml:space="preserve"> que l’activité </w:t>
      </w:r>
      <w:r w:rsidR="00183386">
        <w:rPr>
          <w:lang w:val="fr-CA"/>
        </w:rPr>
        <w:t>réglementée</w:t>
      </w:r>
      <w:r w:rsidRPr="00FF69AA">
        <w:rPr>
          <w:lang w:val="fr-CA"/>
        </w:rPr>
        <w:t xml:space="preserve"> </w:t>
      </w:r>
      <w:r w:rsidRPr="00FF69AA" w:rsidR="00566134">
        <w:rPr>
          <w:lang w:val="fr-CA"/>
        </w:rPr>
        <w:t>n’est plus exercée</w:t>
      </w:r>
      <w:r w:rsidRPr="00FF69AA">
        <w:rPr>
          <w:lang w:val="fr-CA"/>
        </w:rPr>
        <w:t xml:space="preserve"> ou </w:t>
      </w:r>
      <w:r w:rsidRPr="00FF69AA" w:rsidR="00566134">
        <w:rPr>
          <w:lang w:val="fr-CA"/>
        </w:rPr>
        <w:t>que la date d’expiration d</w:t>
      </w:r>
      <w:r w:rsidRPr="00FF69AA">
        <w:rPr>
          <w:lang w:val="fr-CA"/>
        </w:rPr>
        <w:t xml:space="preserve">u règlement </w:t>
      </w:r>
      <w:r w:rsidRPr="00FF69AA" w:rsidR="00566134">
        <w:rPr>
          <w:lang w:val="fr-CA"/>
        </w:rPr>
        <w:t xml:space="preserve">est </w:t>
      </w:r>
      <w:r w:rsidR="00183386">
        <w:rPr>
          <w:lang w:val="fr-CA"/>
        </w:rPr>
        <w:t>dé</w:t>
      </w:r>
      <w:r w:rsidRPr="00FF69AA" w:rsidR="00566134">
        <w:rPr>
          <w:lang w:val="fr-CA"/>
        </w:rPr>
        <w:t>passée</w:t>
      </w:r>
      <w:r w:rsidRPr="00FF69AA">
        <w:rPr>
          <w:lang w:val="fr-CA"/>
        </w:rPr>
        <w:t xml:space="preserve">. </w:t>
      </w:r>
      <w:r w:rsidRPr="00FF69AA" w:rsidR="00566134">
        <w:rPr>
          <w:lang w:val="fr-CA"/>
        </w:rPr>
        <w:t xml:space="preserve">Lorsqu’ils </w:t>
      </w:r>
      <w:r w:rsidRPr="00FF69AA">
        <w:rPr>
          <w:lang w:val="fr-CA"/>
        </w:rPr>
        <w:t>supprime</w:t>
      </w:r>
      <w:r w:rsidRPr="00FF69AA" w:rsidR="00566134">
        <w:rPr>
          <w:lang w:val="fr-CA"/>
        </w:rPr>
        <w:t>nt</w:t>
      </w:r>
      <w:r w:rsidRPr="00FF69AA">
        <w:rPr>
          <w:lang w:val="fr-CA"/>
        </w:rPr>
        <w:t xml:space="preserve"> un règlement </w:t>
      </w:r>
      <w:r w:rsidR="00183386">
        <w:rPr>
          <w:lang w:val="fr-CA"/>
        </w:rPr>
        <w:t>désuet</w:t>
      </w:r>
      <w:r w:rsidRPr="00FF69AA">
        <w:rPr>
          <w:lang w:val="fr-CA"/>
        </w:rPr>
        <w:t xml:space="preserve">, les organismes de réglementation ne peuvent </w:t>
      </w:r>
      <w:r w:rsidR="00183386">
        <w:rPr>
          <w:lang w:val="fr-CA"/>
        </w:rPr>
        <w:t>obtenir un crédit qu’au titre de</w:t>
      </w:r>
      <w:r w:rsidRPr="00FF69AA">
        <w:rPr>
          <w:lang w:val="fr-CA"/>
        </w:rPr>
        <w:t xml:space="preserve"> l’élément B.</w:t>
      </w:r>
    </w:p>
    <w:p w:rsidRPr="00FF69AA" w:rsidR="00B91619" w:rsidP="00B91619" w:rsidRDefault="00B91619" w14:paraId="54ACBB4F" w14:textId="77777777">
      <w:pPr>
        <w:tabs>
          <w:tab w:val="left" w:pos="9356"/>
        </w:tabs>
        <w:spacing w:after="0" w:line="240" w:lineRule="auto"/>
        <w:rPr>
          <w:lang w:val="fr-CA"/>
        </w:rPr>
      </w:pPr>
    </w:p>
    <w:p w:rsidRPr="00FF69AA" w:rsidR="00B91619" w:rsidP="00B91619" w:rsidRDefault="00B91619" w14:paraId="019AA28A" w14:textId="5643C25C">
      <w:pPr>
        <w:tabs>
          <w:tab w:val="left" w:pos="9356"/>
        </w:tabs>
        <w:spacing w:after="0" w:line="240" w:lineRule="auto"/>
        <w:rPr>
          <w:b/>
          <w:lang w:val="fr-CA"/>
        </w:rPr>
      </w:pPr>
      <w:r w:rsidRPr="00FF69AA">
        <w:rPr>
          <w:b/>
          <w:lang w:val="fr-CA"/>
        </w:rPr>
        <w:t xml:space="preserve">Règlements </w:t>
      </w:r>
      <w:proofErr w:type="gramStart"/>
      <w:r w:rsidRPr="00FF69AA" w:rsidR="00BE336B">
        <w:rPr>
          <w:b/>
          <w:lang w:val="fr-CA"/>
        </w:rPr>
        <w:t>ayant</w:t>
      </w:r>
      <w:proofErr w:type="gramEnd"/>
      <w:r w:rsidRPr="00FF69AA" w:rsidR="00BE336B">
        <w:rPr>
          <w:b/>
          <w:lang w:val="fr-CA"/>
        </w:rPr>
        <w:t xml:space="preserve"> des répercussions sur les entreprises</w:t>
      </w:r>
      <w:r w:rsidRPr="00FF69AA">
        <w:rPr>
          <w:b/>
          <w:lang w:val="fr-CA"/>
        </w:rPr>
        <w:t xml:space="preserve"> </w:t>
      </w:r>
    </w:p>
    <w:p w:rsidRPr="00FF69AA" w:rsidR="00B91619" w:rsidP="00B91619" w:rsidRDefault="00B91619" w14:paraId="245A3DA2" w14:textId="4F6E24DC">
      <w:pPr>
        <w:tabs>
          <w:tab w:val="left" w:pos="9356"/>
        </w:tabs>
        <w:spacing w:after="0" w:line="240" w:lineRule="auto"/>
        <w:rPr>
          <w:lang w:val="fr-CA"/>
        </w:rPr>
      </w:pPr>
      <w:r w:rsidRPr="00FF69AA">
        <w:rPr>
          <w:lang w:val="fr-CA"/>
        </w:rPr>
        <w:t xml:space="preserve">Un titre réglementaire peut être supprimé pour </w:t>
      </w:r>
      <w:r w:rsidR="00183386">
        <w:rPr>
          <w:lang w:val="fr-CA"/>
        </w:rPr>
        <w:t>obtenir un crédit au titre de</w:t>
      </w:r>
      <w:r w:rsidRPr="00FF69AA">
        <w:rPr>
          <w:lang w:val="fr-CA"/>
        </w:rPr>
        <w:t xml:space="preserve"> l’élément B. </w:t>
      </w:r>
      <w:r w:rsidR="00183386">
        <w:rPr>
          <w:lang w:val="fr-CA"/>
        </w:rPr>
        <w:t>Il est aussi possible d’obtenir un crédit au titre de</w:t>
      </w:r>
      <w:r w:rsidRPr="00FF69AA">
        <w:rPr>
          <w:lang w:val="fr-CA"/>
        </w:rPr>
        <w:t xml:space="preserve"> l’élément A si le règlement </w:t>
      </w:r>
      <w:r w:rsidR="00183386">
        <w:rPr>
          <w:lang w:val="fr-CA"/>
        </w:rPr>
        <w:t xml:space="preserve">permet de </w:t>
      </w:r>
      <w:r w:rsidRPr="00FF69AA">
        <w:rPr>
          <w:lang w:val="fr-CA"/>
        </w:rPr>
        <w:t>rédui</w:t>
      </w:r>
      <w:r w:rsidR="00183386">
        <w:rPr>
          <w:lang w:val="fr-CA"/>
        </w:rPr>
        <w:t>re</w:t>
      </w:r>
      <w:r w:rsidRPr="00FF69AA">
        <w:rPr>
          <w:lang w:val="fr-CA"/>
        </w:rPr>
        <w:t xml:space="preserve"> les coûts administratifs pour les entreprises.</w:t>
      </w:r>
    </w:p>
    <w:p w:rsidRPr="00FF69AA" w:rsidR="00B91619" w:rsidP="00B91619" w:rsidRDefault="00B91619" w14:paraId="34FB3DDB" w14:textId="77777777">
      <w:pPr>
        <w:tabs>
          <w:tab w:val="left" w:pos="9356"/>
        </w:tabs>
        <w:spacing w:after="0" w:line="240" w:lineRule="auto"/>
        <w:rPr>
          <w:lang w:val="fr-CA"/>
        </w:rPr>
      </w:pPr>
    </w:p>
    <w:p w:rsidRPr="00FF69AA" w:rsidR="00B91619" w:rsidP="00B91619" w:rsidRDefault="00B91619" w14:paraId="2580BCE9" w14:textId="65725149">
      <w:pPr>
        <w:tabs>
          <w:tab w:val="left" w:pos="9356"/>
        </w:tabs>
        <w:spacing w:after="0" w:line="240" w:lineRule="auto"/>
        <w:rPr>
          <w:b/>
          <w:lang w:val="fr-CA"/>
        </w:rPr>
      </w:pPr>
      <w:r w:rsidRPr="00FF69AA">
        <w:rPr>
          <w:b/>
          <w:lang w:val="fr-CA"/>
        </w:rPr>
        <w:t xml:space="preserve">Règlements </w:t>
      </w:r>
      <w:proofErr w:type="gramStart"/>
      <w:r w:rsidRPr="00FF69AA" w:rsidR="00BE336B">
        <w:rPr>
          <w:b/>
          <w:lang w:val="fr-CA"/>
        </w:rPr>
        <w:t>n’ayant</w:t>
      </w:r>
      <w:proofErr w:type="gramEnd"/>
      <w:r w:rsidRPr="00FF69AA" w:rsidR="00BE336B">
        <w:rPr>
          <w:b/>
          <w:lang w:val="fr-CA"/>
        </w:rPr>
        <w:t xml:space="preserve"> aucune répercussion sur les entreprises</w:t>
      </w:r>
    </w:p>
    <w:p w:rsidRPr="00FA558D" w:rsidR="00B91619" w:rsidP="00B91619" w:rsidRDefault="00B91619" w14:paraId="56DBF745" w14:textId="0961720E">
      <w:pPr>
        <w:tabs>
          <w:tab w:val="left" w:pos="9356"/>
        </w:tabs>
        <w:spacing w:after="0" w:line="240" w:lineRule="auto"/>
        <w:rPr>
          <w:lang w:val="fr-CA"/>
        </w:rPr>
      </w:pPr>
      <w:r w:rsidRPr="00FF69AA">
        <w:rPr>
          <w:lang w:val="fr-CA"/>
        </w:rPr>
        <w:t xml:space="preserve">Un règlement sans répercussions </w:t>
      </w:r>
      <w:r w:rsidR="005E3AF2">
        <w:rPr>
          <w:lang w:val="fr-CA"/>
        </w:rPr>
        <w:t>sur</w:t>
      </w:r>
      <w:r w:rsidRPr="00FF69AA">
        <w:rPr>
          <w:lang w:val="fr-CA"/>
        </w:rPr>
        <w:t xml:space="preserve"> les entreprises peut être </w:t>
      </w:r>
      <w:r w:rsidR="005E3AF2">
        <w:rPr>
          <w:lang w:val="fr-CA"/>
        </w:rPr>
        <w:t>supprimé pour répondre aux critères de</w:t>
      </w:r>
      <w:r w:rsidRPr="00FF69AA">
        <w:rPr>
          <w:lang w:val="fr-CA"/>
        </w:rPr>
        <w:t xml:space="preserve"> l’élément B</w:t>
      </w:r>
      <w:r w:rsidR="005E3AF2">
        <w:rPr>
          <w:lang w:val="fr-CA"/>
        </w:rPr>
        <w:t>. T</w:t>
      </w:r>
      <w:r w:rsidRPr="00FF69AA">
        <w:rPr>
          <w:lang w:val="fr-CA"/>
        </w:rPr>
        <w:t>outefois, aucun</w:t>
      </w:r>
      <w:r w:rsidR="005E3AF2">
        <w:rPr>
          <w:lang w:val="fr-CA"/>
        </w:rPr>
        <w:t xml:space="preserve"> crédit </w:t>
      </w:r>
      <w:r w:rsidRPr="00FF69AA">
        <w:rPr>
          <w:lang w:val="fr-CA"/>
        </w:rPr>
        <w:t xml:space="preserve">ne peut être </w:t>
      </w:r>
      <w:r w:rsidR="005E3AF2">
        <w:rPr>
          <w:lang w:val="fr-CA"/>
        </w:rPr>
        <w:t>obtenu pour la suppression au titre de</w:t>
      </w:r>
      <w:r w:rsidRPr="00FF69AA">
        <w:rPr>
          <w:lang w:val="fr-CA"/>
        </w:rPr>
        <w:t xml:space="preserve"> l’élément A.</w:t>
      </w:r>
    </w:p>
    <w:p w:rsidRPr="00FA558D" w:rsidR="00B91619" w:rsidP="00B91619" w:rsidRDefault="00B91619" w14:paraId="4FA9F23C" w14:textId="77777777">
      <w:pPr>
        <w:tabs>
          <w:tab w:val="left" w:pos="9356"/>
        </w:tabs>
        <w:spacing w:after="0" w:line="240" w:lineRule="auto"/>
        <w:rPr>
          <w:lang w:val="fr-CA"/>
        </w:rPr>
      </w:pPr>
    </w:p>
    <w:p w:rsidRPr="00FA558D" w:rsidR="00B91619" w:rsidP="00B91619" w:rsidRDefault="00B91619" w14:paraId="45BEDA10" w14:textId="77777777">
      <w:pPr>
        <w:pStyle w:val="Heading4"/>
        <w:rPr>
          <w:lang w:val="fr-CA"/>
        </w:rPr>
      </w:pPr>
      <w:r>
        <w:rPr>
          <w:lang w:val="fr-CA"/>
        </w:rPr>
        <w:t>Abrogation et remplacement</w:t>
      </w:r>
    </w:p>
    <w:p w:rsidRPr="00FA558D" w:rsidR="00B91619" w:rsidP="00B91619" w:rsidRDefault="00B91619" w14:paraId="45C071BA" w14:textId="77777777">
      <w:pPr>
        <w:tabs>
          <w:tab w:val="left" w:pos="9356"/>
        </w:tabs>
        <w:spacing w:after="0" w:line="240" w:lineRule="auto"/>
        <w:rPr>
          <w:lang w:val="fr-CA"/>
        </w:rPr>
      </w:pPr>
    </w:p>
    <w:p w:rsidRPr="00FA558D" w:rsidR="00B91619" w:rsidP="00B91619" w:rsidRDefault="00B91619" w14:paraId="02D7C537" w14:textId="63BA4EAE">
      <w:pPr>
        <w:tabs>
          <w:tab w:val="left" w:pos="9356"/>
        </w:tabs>
        <w:spacing w:after="0" w:line="240" w:lineRule="auto"/>
        <w:rPr>
          <w:lang w:val="fr-CA"/>
        </w:rPr>
      </w:pPr>
      <w:r w:rsidRPr="00FB1F6D">
        <w:rPr>
          <w:lang w:val="fr-CA"/>
        </w:rPr>
        <w:t xml:space="preserve">Lorsqu’un règlement est abrogé et remplacé par un autre, le traitement du titre </w:t>
      </w:r>
      <w:r w:rsidRPr="00FB1F6D" w:rsidR="003A67B5">
        <w:rPr>
          <w:lang w:val="fr-CA"/>
        </w:rPr>
        <w:t>supprimé et du titre ajouté</w:t>
      </w:r>
      <w:r w:rsidRPr="00FB1F6D">
        <w:rPr>
          <w:lang w:val="fr-CA"/>
        </w:rPr>
        <w:t xml:space="preserve"> dépend de la question de savoir si le nouveau titre entraîne</w:t>
      </w:r>
      <w:r w:rsidRPr="00FB1F6D" w:rsidR="00FB1F6D">
        <w:rPr>
          <w:lang w:val="fr-CA"/>
        </w:rPr>
        <w:t>ra ou non</w:t>
      </w:r>
      <w:r w:rsidRPr="00FB1F6D">
        <w:rPr>
          <w:lang w:val="fr-CA"/>
        </w:rPr>
        <w:t xml:space="preserve"> une modification progressive du fardeau administratif </w:t>
      </w:r>
      <w:r w:rsidRPr="00FB1F6D" w:rsidR="003A67B5">
        <w:rPr>
          <w:lang w:val="fr-CA"/>
        </w:rPr>
        <w:t>imposé aux</w:t>
      </w:r>
      <w:r w:rsidRPr="00FB1F6D">
        <w:rPr>
          <w:lang w:val="fr-CA"/>
        </w:rPr>
        <w:t xml:space="preserve"> entreprises.</w:t>
      </w:r>
    </w:p>
    <w:p w:rsidRPr="00FA558D" w:rsidR="00B91619" w:rsidP="00B91619" w:rsidRDefault="00B91619" w14:paraId="2AB57DE3" w14:textId="77777777">
      <w:pPr>
        <w:tabs>
          <w:tab w:val="left" w:pos="9356"/>
        </w:tabs>
        <w:spacing w:after="0" w:line="240" w:lineRule="auto"/>
        <w:rPr>
          <w:lang w:val="fr-CA"/>
        </w:rPr>
      </w:pPr>
    </w:p>
    <w:p w:rsidRPr="00FA558D" w:rsidR="00B91619" w:rsidP="00B91619" w:rsidRDefault="00B91619" w14:paraId="0FAB3C12" w14:textId="4812FF1E">
      <w:pPr>
        <w:tabs>
          <w:tab w:val="left" w:pos="9356"/>
        </w:tabs>
        <w:spacing w:after="0" w:line="240" w:lineRule="auto"/>
        <w:rPr>
          <w:lang w:val="fr-CA"/>
        </w:rPr>
      </w:pPr>
      <w:r>
        <w:rPr>
          <w:lang w:val="fr-CA"/>
        </w:rPr>
        <w:t>Si le</w:t>
      </w:r>
      <w:r w:rsidRPr="00FA558D">
        <w:rPr>
          <w:lang w:val="fr-CA"/>
        </w:rPr>
        <w:t xml:space="preserve"> </w:t>
      </w:r>
      <w:r>
        <w:rPr>
          <w:lang w:val="fr-CA"/>
        </w:rPr>
        <w:t>nouveau règlement</w:t>
      </w:r>
      <w:r w:rsidRPr="00FA558D">
        <w:rPr>
          <w:lang w:val="fr-CA"/>
        </w:rPr>
        <w:t xml:space="preserve"> </w:t>
      </w:r>
      <w:r w:rsidR="00F6227E">
        <w:rPr>
          <w:lang w:val="fr-CA"/>
        </w:rPr>
        <w:t>donne lieu à</w:t>
      </w:r>
      <w:r w:rsidRPr="00FA558D" w:rsidR="00F6227E">
        <w:rPr>
          <w:lang w:val="fr-CA"/>
        </w:rPr>
        <w:t xml:space="preserve"> </w:t>
      </w:r>
      <w:r>
        <w:rPr>
          <w:lang w:val="fr-CA"/>
        </w:rPr>
        <w:t>une modification progressive du</w:t>
      </w:r>
      <w:r w:rsidRPr="00FA558D">
        <w:rPr>
          <w:lang w:val="fr-CA"/>
        </w:rPr>
        <w:t xml:space="preserve"> </w:t>
      </w:r>
      <w:r>
        <w:rPr>
          <w:lang w:val="fr-CA"/>
        </w:rPr>
        <w:t xml:space="preserve">fardeau administratif </w:t>
      </w:r>
      <w:r w:rsidR="00F6227E">
        <w:rPr>
          <w:lang w:val="fr-CA"/>
        </w:rPr>
        <w:t>imposé aux</w:t>
      </w:r>
      <w:r>
        <w:rPr>
          <w:lang w:val="fr-CA"/>
        </w:rPr>
        <w:t xml:space="preserve"> entreprises</w:t>
      </w:r>
      <w:r w:rsidRPr="00FA558D">
        <w:rPr>
          <w:lang w:val="fr-CA"/>
        </w:rPr>
        <w:t xml:space="preserve"> (</w:t>
      </w:r>
      <w:r>
        <w:rPr>
          <w:lang w:val="fr-CA"/>
        </w:rPr>
        <w:t>c’est-à-dire si l’élément</w:t>
      </w:r>
      <w:r w:rsidRPr="00FA558D">
        <w:rPr>
          <w:lang w:val="fr-CA"/>
        </w:rPr>
        <w:t xml:space="preserve"> A </w:t>
      </w:r>
      <w:r w:rsidR="00FB1F6D">
        <w:rPr>
          <w:lang w:val="fr-CA"/>
        </w:rPr>
        <w:t>s’applique</w:t>
      </w:r>
      <w:r w:rsidRPr="00FA558D">
        <w:rPr>
          <w:lang w:val="fr-CA"/>
        </w:rPr>
        <w:t xml:space="preserve">), </w:t>
      </w:r>
      <w:r>
        <w:rPr>
          <w:lang w:val="fr-CA"/>
        </w:rPr>
        <w:t>le nouveau titre et le titre abrogé sont respectivement pris en compte</w:t>
      </w:r>
      <w:r w:rsidRPr="00FA558D">
        <w:rPr>
          <w:lang w:val="fr-CA"/>
        </w:rPr>
        <w:t xml:space="preserve"> </w:t>
      </w:r>
      <w:r>
        <w:rPr>
          <w:lang w:val="fr-CA"/>
        </w:rPr>
        <w:t xml:space="preserve">comme </w:t>
      </w:r>
      <w:r w:rsidR="00946C6F">
        <w:rPr>
          <w:lang w:val="fr-CA"/>
        </w:rPr>
        <w:t xml:space="preserve">un titre </w:t>
      </w:r>
      <w:r w:rsidR="0013017E">
        <w:rPr>
          <w:lang w:val="fr-CA"/>
        </w:rPr>
        <w:t xml:space="preserve">ajouté </w:t>
      </w:r>
      <w:r>
        <w:rPr>
          <w:lang w:val="fr-CA"/>
        </w:rPr>
        <w:t xml:space="preserve">et </w:t>
      </w:r>
      <w:r w:rsidR="00946C6F">
        <w:rPr>
          <w:lang w:val="fr-CA"/>
        </w:rPr>
        <w:t>un</w:t>
      </w:r>
      <w:r>
        <w:rPr>
          <w:lang w:val="fr-CA"/>
        </w:rPr>
        <w:t xml:space="preserve"> </w:t>
      </w:r>
      <w:r w:rsidR="00946C6F">
        <w:rPr>
          <w:lang w:val="fr-CA"/>
        </w:rPr>
        <w:t>titre</w:t>
      </w:r>
      <w:r w:rsidR="0013017E">
        <w:rPr>
          <w:lang w:val="fr-CA"/>
        </w:rPr>
        <w:t xml:space="preserve"> supprimé</w:t>
      </w:r>
      <w:r w:rsidR="00946C6F">
        <w:rPr>
          <w:lang w:val="fr-CA"/>
        </w:rPr>
        <w:t xml:space="preserve"> respectivement</w:t>
      </w:r>
      <w:r>
        <w:rPr>
          <w:lang w:val="fr-CA"/>
        </w:rPr>
        <w:t>. Si plus d’un</w:t>
      </w:r>
      <w:r w:rsidRPr="00FA558D">
        <w:rPr>
          <w:lang w:val="fr-CA"/>
        </w:rPr>
        <w:t xml:space="preserve"> </w:t>
      </w:r>
      <w:r>
        <w:rPr>
          <w:lang w:val="fr-CA"/>
        </w:rPr>
        <w:t>titre est abrogé</w:t>
      </w:r>
      <w:r w:rsidRPr="00FA558D">
        <w:rPr>
          <w:lang w:val="fr-CA"/>
        </w:rPr>
        <w:t>,</w:t>
      </w:r>
      <w:r>
        <w:rPr>
          <w:lang w:val="fr-CA"/>
        </w:rPr>
        <w:t xml:space="preserve"> chaque titre est </w:t>
      </w:r>
      <w:r w:rsidR="00946C6F">
        <w:rPr>
          <w:lang w:val="fr-CA"/>
        </w:rPr>
        <w:t xml:space="preserve">compté </w:t>
      </w:r>
      <w:r>
        <w:rPr>
          <w:lang w:val="fr-CA"/>
        </w:rPr>
        <w:t>comme un</w:t>
      </w:r>
      <w:r w:rsidR="00946C6F">
        <w:rPr>
          <w:lang w:val="fr-CA"/>
        </w:rPr>
        <w:t xml:space="preserve"> titre supprimé</w:t>
      </w:r>
      <w:r w:rsidRPr="00FA558D">
        <w:rPr>
          <w:lang w:val="fr-CA"/>
        </w:rPr>
        <w:t xml:space="preserve">. </w:t>
      </w:r>
      <w:r>
        <w:rPr>
          <w:lang w:val="fr-CA"/>
        </w:rPr>
        <w:t>Toute modification progressive du</w:t>
      </w:r>
      <w:r w:rsidRPr="00FA558D">
        <w:rPr>
          <w:lang w:val="fr-CA"/>
        </w:rPr>
        <w:t xml:space="preserve"> </w:t>
      </w:r>
      <w:r>
        <w:rPr>
          <w:lang w:val="fr-CA"/>
        </w:rPr>
        <w:t xml:space="preserve">fardeau administratif </w:t>
      </w:r>
      <w:r w:rsidR="00F6227E">
        <w:rPr>
          <w:lang w:val="fr-CA"/>
        </w:rPr>
        <w:t>imposé aux</w:t>
      </w:r>
      <w:r>
        <w:rPr>
          <w:lang w:val="fr-CA"/>
        </w:rPr>
        <w:t xml:space="preserve"> entreprises est pris</w:t>
      </w:r>
      <w:r w:rsidR="00A9277E">
        <w:rPr>
          <w:lang w:val="fr-CA"/>
        </w:rPr>
        <w:t>e</w:t>
      </w:r>
      <w:r>
        <w:rPr>
          <w:lang w:val="fr-CA"/>
        </w:rPr>
        <w:t xml:space="preserve"> en compte</w:t>
      </w:r>
      <w:r w:rsidRPr="00FA558D">
        <w:rPr>
          <w:lang w:val="fr-CA"/>
        </w:rPr>
        <w:t xml:space="preserve"> </w:t>
      </w:r>
      <w:r w:rsidR="00946C6F">
        <w:rPr>
          <w:lang w:val="fr-CA"/>
        </w:rPr>
        <w:t>sous l’</w:t>
      </w:r>
      <w:r>
        <w:rPr>
          <w:lang w:val="fr-CA"/>
        </w:rPr>
        <w:t>élément</w:t>
      </w:r>
      <w:r w:rsidRPr="00FA558D">
        <w:rPr>
          <w:lang w:val="fr-CA"/>
        </w:rPr>
        <w:t xml:space="preserve"> A. </w:t>
      </w:r>
    </w:p>
    <w:p w:rsidRPr="00FA558D" w:rsidR="00B91619" w:rsidP="00B91619" w:rsidRDefault="00B91619" w14:paraId="372C3769" w14:textId="77777777">
      <w:pPr>
        <w:pStyle w:val="ListParagraph"/>
        <w:tabs>
          <w:tab w:val="left" w:pos="9356"/>
        </w:tabs>
        <w:spacing w:after="0" w:line="240" w:lineRule="auto"/>
        <w:ind w:left="360"/>
        <w:rPr>
          <w:lang w:val="fr-CA"/>
        </w:rPr>
      </w:pPr>
    </w:p>
    <w:p w:rsidRPr="00FA558D" w:rsidR="00B91619" w:rsidP="00B91619" w:rsidRDefault="00B91619" w14:paraId="36568BD0" w14:textId="3D7FEA7B">
      <w:pPr>
        <w:tabs>
          <w:tab w:val="left" w:pos="9356"/>
        </w:tabs>
        <w:spacing w:after="0" w:line="240" w:lineRule="auto"/>
        <w:rPr>
          <w:lang w:val="fr-CA"/>
        </w:rPr>
      </w:pPr>
      <w:r>
        <w:rPr>
          <w:lang w:val="fr-CA"/>
        </w:rPr>
        <w:t>Si le</w:t>
      </w:r>
      <w:r w:rsidRPr="00FA558D">
        <w:rPr>
          <w:lang w:val="fr-CA"/>
        </w:rPr>
        <w:t xml:space="preserve"> </w:t>
      </w:r>
      <w:r>
        <w:rPr>
          <w:lang w:val="fr-CA"/>
        </w:rPr>
        <w:t>nouveau règlement</w:t>
      </w:r>
      <w:r w:rsidRPr="00FA558D">
        <w:rPr>
          <w:lang w:val="fr-CA"/>
        </w:rPr>
        <w:t xml:space="preserve"> </w:t>
      </w:r>
      <w:r w:rsidR="00F6227E">
        <w:rPr>
          <w:lang w:val="fr-CA"/>
        </w:rPr>
        <w:t xml:space="preserve">ne donne </w:t>
      </w:r>
      <w:r>
        <w:rPr>
          <w:lang w:val="fr-CA"/>
        </w:rPr>
        <w:t>pas</w:t>
      </w:r>
      <w:r w:rsidR="00F6227E">
        <w:rPr>
          <w:lang w:val="fr-CA"/>
        </w:rPr>
        <w:t xml:space="preserve"> lieu à une</w:t>
      </w:r>
      <w:r>
        <w:rPr>
          <w:lang w:val="fr-CA"/>
        </w:rPr>
        <w:t xml:space="preserve"> modification progressive du fardeau administratif </w:t>
      </w:r>
      <w:r w:rsidR="00F6227E">
        <w:rPr>
          <w:lang w:val="fr-CA"/>
        </w:rPr>
        <w:t>imposé aux</w:t>
      </w:r>
      <w:r>
        <w:rPr>
          <w:lang w:val="fr-CA"/>
        </w:rPr>
        <w:t xml:space="preserve"> entreprises</w:t>
      </w:r>
      <w:r w:rsidRPr="00FA558D">
        <w:rPr>
          <w:lang w:val="fr-CA"/>
        </w:rPr>
        <w:t xml:space="preserve"> (</w:t>
      </w:r>
      <w:r>
        <w:rPr>
          <w:lang w:val="fr-CA"/>
        </w:rPr>
        <w:t>c’est-à-dire si l’élément</w:t>
      </w:r>
      <w:r w:rsidRPr="00FA558D">
        <w:rPr>
          <w:lang w:val="fr-CA"/>
        </w:rPr>
        <w:t xml:space="preserve"> A </w:t>
      </w:r>
      <w:r>
        <w:rPr>
          <w:lang w:val="fr-CA"/>
        </w:rPr>
        <w:t>n</w:t>
      </w:r>
      <w:r w:rsidR="00946C6F">
        <w:rPr>
          <w:lang w:val="fr-CA"/>
        </w:rPr>
        <w:t xml:space="preserve">e s’applique </w:t>
      </w:r>
      <w:r w:rsidRPr="004F7AB3" w:rsidR="00946C6F">
        <w:rPr>
          <w:b/>
          <w:bCs/>
          <w:lang w:val="fr-CA"/>
        </w:rPr>
        <w:t>pas</w:t>
      </w:r>
      <w:r w:rsidRPr="00FA558D">
        <w:rPr>
          <w:lang w:val="fr-CA"/>
        </w:rPr>
        <w:t xml:space="preserve">), </w:t>
      </w:r>
      <w:r>
        <w:rPr>
          <w:lang w:val="fr-CA"/>
        </w:rPr>
        <w:t>le nouveau titre n’est pas</w:t>
      </w:r>
      <w:r w:rsidRPr="00FA558D">
        <w:rPr>
          <w:lang w:val="fr-CA"/>
        </w:rPr>
        <w:t xml:space="preserve"> </w:t>
      </w:r>
      <w:r>
        <w:rPr>
          <w:lang w:val="fr-CA"/>
        </w:rPr>
        <w:t>pris en compte</w:t>
      </w:r>
      <w:r w:rsidRPr="00FA558D">
        <w:rPr>
          <w:lang w:val="fr-CA"/>
        </w:rPr>
        <w:t xml:space="preserve"> </w:t>
      </w:r>
      <w:r>
        <w:rPr>
          <w:lang w:val="fr-CA"/>
        </w:rPr>
        <w:t>comme un ajout</w:t>
      </w:r>
      <w:r w:rsidRPr="00FA558D">
        <w:rPr>
          <w:lang w:val="fr-CA"/>
        </w:rPr>
        <w:t>,</w:t>
      </w:r>
      <w:r>
        <w:rPr>
          <w:lang w:val="fr-CA"/>
        </w:rPr>
        <w:t xml:space="preserve"> et le premier règlement abrogé n’est pas</w:t>
      </w:r>
      <w:r w:rsidRPr="00FA558D">
        <w:rPr>
          <w:lang w:val="fr-CA"/>
        </w:rPr>
        <w:t xml:space="preserve"> </w:t>
      </w:r>
      <w:r>
        <w:rPr>
          <w:lang w:val="fr-CA"/>
        </w:rPr>
        <w:t>pris en compte comme un</w:t>
      </w:r>
      <w:r w:rsidR="00551BD0">
        <w:rPr>
          <w:lang w:val="fr-CA"/>
        </w:rPr>
        <w:t xml:space="preserve"> </w:t>
      </w:r>
      <w:r>
        <w:rPr>
          <w:lang w:val="fr-CA"/>
        </w:rPr>
        <w:t>règlement</w:t>
      </w:r>
      <w:r w:rsidR="00E93764">
        <w:rPr>
          <w:lang w:val="fr-CA"/>
        </w:rPr>
        <w:t xml:space="preserve"> </w:t>
      </w:r>
      <w:r w:rsidR="00551BD0">
        <w:rPr>
          <w:lang w:val="fr-CA"/>
        </w:rPr>
        <w:t>supprimé</w:t>
      </w:r>
      <w:r>
        <w:rPr>
          <w:lang w:val="fr-CA"/>
        </w:rPr>
        <w:t>. Toutefois</w:t>
      </w:r>
      <w:r w:rsidRPr="00FA558D">
        <w:rPr>
          <w:lang w:val="fr-CA"/>
        </w:rPr>
        <w:t>,</w:t>
      </w:r>
      <w:r>
        <w:rPr>
          <w:lang w:val="fr-CA"/>
        </w:rPr>
        <w:t xml:space="preserve"> si </w:t>
      </w:r>
      <w:r w:rsidR="003D4985">
        <w:rPr>
          <w:lang w:val="fr-CA"/>
        </w:rPr>
        <w:t>plusieurs</w:t>
      </w:r>
      <w:r w:rsidRPr="00FA558D">
        <w:rPr>
          <w:lang w:val="fr-CA"/>
        </w:rPr>
        <w:t xml:space="preserve"> </w:t>
      </w:r>
      <w:r>
        <w:rPr>
          <w:lang w:val="fr-CA"/>
        </w:rPr>
        <w:t>titre</w:t>
      </w:r>
      <w:r w:rsidRPr="00FA558D">
        <w:rPr>
          <w:lang w:val="fr-CA"/>
        </w:rPr>
        <w:t>s</w:t>
      </w:r>
      <w:r>
        <w:rPr>
          <w:lang w:val="fr-CA"/>
        </w:rPr>
        <w:t xml:space="preserve"> sont abrogés</w:t>
      </w:r>
      <w:r w:rsidRPr="00FA558D">
        <w:rPr>
          <w:lang w:val="fr-CA"/>
        </w:rPr>
        <w:t>,</w:t>
      </w:r>
      <w:r>
        <w:rPr>
          <w:lang w:val="fr-CA"/>
        </w:rPr>
        <w:t xml:space="preserve"> chaque titre abrogé </w:t>
      </w:r>
      <w:r w:rsidR="00F6227E">
        <w:rPr>
          <w:lang w:val="fr-CA"/>
        </w:rPr>
        <w:t xml:space="preserve">supplémentaire </w:t>
      </w:r>
      <w:r>
        <w:rPr>
          <w:lang w:val="fr-CA"/>
        </w:rPr>
        <w:t>est pris en compte comme un règlement</w:t>
      </w:r>
      <w:r w:rsidR="00551BD0">
        <w:rPr>
          <w:lang w:val="fr-CA"/>
        </w:rPr>
        <w:t xml:space="preserve"> supprimé</w:t>
      </w:r>
      <w:r w:rsidRPr="00FA558D">
        <w:rPr>
          <w:lang w:val="fr-CA"/>
        </w:rPr>
        <w:t xml:space="preserve">. </w:t>
      </w:r>
    </w:p>
    <w:p w:rsidRPr="00FA558D" w:rsidR="00B91619" w:rsidP="00B91619" w:rsidRDefault="00B91619" w14:paraId="313E8E25" w14:textId="77777777">
      <w:pPr>
        <w:tabs>
          <w:tab w:val="left" w:pos="9356"/>
        </w:tabs>
        <w:spacing w:after="0" w:line="240" w:lineRule="auto"/>
        <w:rPr>
          <w:lang w:val="fr-CA"/>
        </w:rPr>
      </w:pPr>
    </w:p>
    <w:p w:rsidRPr="00FA558D" w:rsidR="00B91619" w:rsidP="00B91619" w:rsidRDefault="00B91619" w14:paraId="47DFE447" w14:textId="1197AD36">
      <w:pPr>
        <w:tabs>
          <w:tab w:val="left" w:pos="9356"/>
        </w:tabs>
        <w:spacing w:after="0" w:line="240" w:lineRule="auto"/>
        <w:rPr>
          <w:lang w:val="fr-CA"/>
        </w:rPr>
      </w:pPr>
      <w:r>
        <w:rPr>
          <w:lang w:val="fr-CA"/>
        </w:rPr>
        <w:t>Pour plus de clarté, le tableau </w:t>
      </w:r>
      <w:r w:rsidRPr="00FA558D">
        <w:rPr>
          <w:lang w:val="fr-CA"/>
        </w:rPr>
        <w:t>2</w:t>
      </w:r>
      <w:r>
        <w:rPr>
          <w:lang w:val="fr-CA"/>
        </w:rPr>
        <w:t xml:space="preserve"> </w:t>
      </w:r>
      <w:r w:rsidR="004055ED">
        <w:rPr>
          <w:lang w:val="fr-CA"/>
        </w:rPr>
        <w:t>montre l’application d’un</w:t>
      </w:r>
      <w:r w:rsidR="00256C94">
        <w:rPr>
          <w:lang w:val="fr-CA"/>
        </w:rPr>
        <w:t>e</w:t>
      </w:r>
      <w:r w:rsidR="004055ED">
        <w:rPr>
          <w:lang w:val="fr-CA"/>
        </w:rPr>
        <w:t xml:space="preserve"> telle situation</w:t>
      </w:r>
      <w:r>
        <w:rPr>
          <w:lang w:val="fr-CA"/>
        </w:rPr>
        <w:t>.</w:t>
      </w:r>
    </w:p>
    <w:p w:rsidRPr="00FA558D" w:rsidR="00B91619" w:rsidP="00B91619" w:rsidRDefault="00B91619" w14:paraId="73455287" w14:textId="77777777">
      <w:pPr>
        <w:tabs>
          <w:tab w:val="left" w:pos="9356"/>
        </w:tabs>
        <w:spacing w:after="0" w:line="240" w:lineRule="auto"/>
        <w:rPr>
          <w:lang w:val="fr-CA"/>
        </w:rPr>
      </w:pPr>
      <w:r w:rsidRPr="00FA558D">
        <w:rPr>
          <w:lang w:val="fr-CA"/>
        </w:rPr>
        <w:t xml:space="preserve"> </w:t>
      </w:r>
    </w:p>
    <w:p w:rsidRPr="00FA558D" w:rsidR="00B91619" w:rsidP="00B91619" w:rsidRDefault="00B91619" w14:paraId="457C03F9" w14:textId="01CB7FCE">
      <w:pPr>
        <w:tabs>
          <w:tab w:val="left" w:pos="9356"/>
        </w:tabs>
        <w:spacing w:after="0" w:line="240" w:lineRule="auto"/>
        <w:rPr>
          <w:b/>
          <w:lang w:val="fr-CA"/>
        </w:rPr>
      </w:pPr>
      <w:r w:rsidRPr="00FA558D">
        <w:rPr>
          <w:b/>
          <w:lang w:val="fr-CA"/>
        </w:rPr>
        <w:t>Table</w:t>
      </w:r>
      <w:r>
        <w:rPr>
          <w:b/>
          <w:lang w:val="fr-CA"/>
        </w:rPr>
        <w:t>au</w:t>
      </w:r>
      <w:r w:rsidRPr="00FA558D">
        <w:rPr>
          <w:b/>
          <w:lang w:val="fr-CA"/>
        </w:rPr>
        <w:t> 2</w:t>
      </w:r>
      <w:r w:rsidR="004055ED">
        <w:rPr>
          <w:b/>
          <w:lang w:val="fr-CA"/>
        </w:rPr>
        <w:t>.</w:t>
      </w:r>
      <w:r>
        <w:rPr>
          <w:b/>
          <w:lang w:val="fr-CA"/>
        </w:rPr>
        <w:t xml:space="preserve"> A</w:t>
      </w:r>
      <w:r w:rsidRPr="00FA558D">
        <w:rPr>
          <w:b/>
          <w:lang w:val="fr-CA"/>
        </w:rPr>
        <w:t>pplication</w:t>
      </w:r>
      <w:r>
        <w:rPr>
          <w:b/>
          <w:lang w:val="fr-CA"/>
        </w:rPr>
        <w:t xml:space="preserve"> de la règle du « un pour un »</w:t>
      </w:r>
      <w:r w:rsidRPr="00FA558D">
        <w:rPr>
          <w:b/>
          <w:lang w:val="fr-CA"/>
        </w:rPr>
        <w:t xml:space="preserve"> </w:t>
      </w:r>
    </w:p>
    <w:tbl>
      <w:tblPr>
        <w:tblStyle w:val="TableGrid"/>
        <w:tblW w:w="0" w:type="auto"/>
        <w:tblLook w:val="04A0" w:firstRow="1" w:lastRow="0" w:firstColumn="1" w:lastColumn="0" w:noHBand="0" w:noVBand="1"/>
      </w:tblPr>
      <w:tblGrid>
        <w:gridCol w:w="1390"/>
        <w:gridCol w:w="3974"/>
        <w:gridCol w:w="3986"/>
      </w:tblGrid>
      <w:tr w:rsidRPr="001A0F20" w:rsidR="00B91619" w:rsidTr="00A9277E" w14:paraId="7F62A2DB" w14:textId="77777777">
        <w:tc>
          <w:tcPr>
            <w:tcW w:w="1129" w:type="dxa"/>
            <w:shd w:val="clear" w:color="auto" w:fill="FFFFFF" w:themeFill="background1"/>
          </w:tcPr>
          <w:p w:rsidRPr="00FA558D" w:rsidR="00B91619" w:rsidP="00A9277E" w:rsidRDefault="00B91619" w14:paraId="41B135C2" w14:textId="77777777">
            <w:pPr>
              <w:tabs>
                <w:tab w:val="left" w:pos="9356"/>
              </w:tabs>
              <w:rPr>
                <w:b/>
                <w:lang w:val="fr-CA"/>
              </w:rPr>
            </w:pPr>
            <w:r>
              <w:rPr>
                <w:b/>
                <w:lang w:val="fr-CA"/>
              </w:rPr>
              <w:t>Modification du fardeau</w:t>
            </w:r>
          </w:p>
        </w:tc>
        <w:tc>
          <w:tcPr>
            <w:tcW w:w="4110" w:type="dxa"/>
            <w:shd w:val="clear" w:color="auto" w:fill="FFFFFF" w:themeFill="background1"/>
          </w:tcPr>
          <w:p w:rsidRPr="00FA558D" w:rsidR="00B91619" w:rsidP="00A9277E" w:rsidRDefault="00B91619" w14:paraId="46682633" w14:textId="4BB32B14">
            <w:pPr>
              <w:tabs>
                <w:tab w:val="left" w:pos="9356"/>
              </w:tabs>
              <w:jc w:val="center"/>
              <w:rPr>
                <w:b/>
                <w:lang w:val="fr-CA"/>
              </w:rPr>
            </w:pPr>
            <w:r>
              <w:rPr>
                <w:b/>
                <w:lang w:val="fr-CA"/>
              </w:rPr>
              <w:t xml:space="preserve">La modification </w:t>
            </w:r>
            <w:r w:rsidR="00256C94">
              <w:rPr>
                <w:b/>
                <w:lang w:val="fr-CA"/>
              </w:rPr>
              <w:t>entraîne</w:t>
            </w:r>
            <w:r>
              <w:rPr>
                <w:b/>
                <w:lang w:val="fr-CA"/>
              </w:rPr>
              <w:t xml:space="preserve"> un fardeau administratif</w:t>
            </w:r>
          </w:p>
        </w:tc>
        <w:tc>
          <w:tcPr>
            <w:tcW w:w="4111" w:type="dxa"/>
            <w:shd w:val="clear" w:color="auto" w:fill="FFFFFF" w:themeFill="background1"/>
          </w:tcPr>
          <w:p w:rsidRPr="00FA558D" w:rsidR="00B91619" w:rsidP="00A9277E" w:rsidRDefault="00B91619" w14:paraId="248E3A63" w14:textId="61D3B86D">
            <w:pPr>
              <w:tabs>
                <w:tab w:val="left" w:pos="9356"/>
              </w:tabs>
              <w:jc w:val="center"/>
              <w:rPr>
                <w:b/>
                <w:lang w:val="fr-CA"/>
              </w:rPr>
            </w:pPr>
            <w:r>
              <w:rPr>
                <w:b/>
                <w:lang w:val="fr-CA"/>
              </w:rPr>
              <w:t>La modification n’</w:t>
            </w:r>
            <w:r w:rsidR="00256C94">
              <w:rPr>
                <w:b/>
                <w:lang w:val="fr-CA"/>
              </w:rPr>
              <w:t>entraîne</w:t>
            </w:r>
            <w:r>
              <w:rPr>
                <w:b/>
                <w:lang w:val="fr-CA"/>
              </w:rPr>
              <w:t xml:space="preserve"> aucun</w:t>
            </w:r>
            <w:r w:rsidRPr="00FA558D">
              <w:rPr>
                <w:b/>
                <w:lang w:val="fr-CA"/>
              </w:rPr>
              <w:t xml:space="preserve"> </w:t>
            </w:r>
            <w:r>
              <w:rPr>
                <w:b/>
                <w:lang w:val="fr-CA"/>
              </w:rPr>
              <w:t>fardeau administratif</w:t>
            </w:r>
          </w:p>
        </w:tc>
      </w:tr>
      <w:tr w:rsidRPr="001A0F20" w:rsidR="00B91619" w:rsidTr="00A9277E" w14:paraId="281C2CF1" w14:textId="77777777">
        <w:tc>
          <w:tcPr>
            <w:tcW w:w="1129" w:type="dxa"/>
            <w:shd w:val="clear" w:color="auto" w:fill="FFFFFF" w:themeFill="background1"/>
          </w:tcPr>
          <w:p w:rsidRPr="00FA558D" w:rsidR="00B91619" w:rsidP="00A9277E" w:rsidRDefault="00256C94" w14:paraId="060EA2EC" w14:textId="1E986254">
            <w:pPr>
              <w:tabs>
                <w:tab w:val="left" w:pos="9356"/>
              </w:tabs>
              <w:rPr>
                <w:b/>
                <w:lang w:val="fr-CA"/>
              </w:rPr>
            </w:pPr>
            <w:r>
              <w:rPr>
                <w:b/>
                <w:lang w:val="fr-CA"/>
              </w:rPr>
              <w:t>N</w:t>
            </w:r>
            <w:r w:rsidR="00B91619">
              <w:rPr>
                <w:b/>
                <w:lang w:val="fr-CA"/>
              </w:rPr>
              <w:t>et</w:t>
            </w:r>
            <w:r>
              <w:rPr>
                <w:b/>
                <w:lang w:val="fr-CA"/>
              </w:rPr>
              <w:t xml:space="preserve"> zéro</w:t>
            </w:r>
          </w:p>
        </w:tc>
        <w:tc>
          <w:tcPr>
            <w:tcW w:w="4110" w:type="dxa"/>
            <w:shd w:val="clear" w:color="auto" w:fill="FFFFFF" w:themeFill="background1"/>
          </w:tcPr>
          <w:p w:rsidRPr="00FA558D" w:rsidR="00B91619" w:rsidP="00A9277E" w:rsidRDefault="00B91619" w14:paraId="7A8CF8D8" w14:textId="50B68EB5">
            <w:pPr>
              <w:tabs>
                <w:tab w:val="left" w:pos="9356"/>
              </w:tabs>
              <w:rPr>
                <w:lang w:val="fr-CA"/>
              </w:rPr>
            </w:pPr>
            <w:r>
              <w:rPr>
                <w:lang w:val="fr-CA"/>
              </w:rPr>
              <w:t>Sous l’élément</w:t>
            </w:r>
            <w:r w:rsidRPr="00FA558D">
              <w:rPr>
                <w:lang w:val="fr-CA"/>
              </w:rPr>
              <w:t xml:space="preserve"> B, </w:t>
            </w:r>
            <w:r>
              <w:rPr>
                <w:lang w:val="fr-CA"/>
              </w:rPr>
              <w:t>le nouveau titre est pris en compte</w:t>
            </w:r>
            <w:r w:rsidRPr="00FA558D">
              <w:rPr>
                <w:lang w:val="fr-CA"/>
              </w:rPr>
              <w:t xml:space="preserve"> </w:t>
            </w:r>
            <w:r>
              <w:rPr>
                <w:lang w:val="fr-CA"/>
              </w:rPr>
              <w:t xml:space="preserve">comme </w:t>
            </w:r>
            <w:r w:rsidR="00256C94">
              <w:rPr>
                <w:lang w:val="fr-CA"/>
              </w:rPr>
              <w:t xml:space="preserve">un </w:t>
            </w:r>
            <w:r>
              <w:rPr>
                <w:lang w:val="fr-CA"/>
              </w:rPr>
              <w:t>ajout d</w:t>
            </w:r>
            <w:r w:rsidR="001E1D85">
              <w:rPr>
                <w:lang w:val="fr-CA"/>
              </w:rPr>
              <w:t>e</w:t>
            </w:r>
            <w:r w:rsidR="00256C94">
              <w:rPr>
                <w:lang w:val="fr-CA"/>
              </w:rPr>
              <w:t xml:space="preserve"> titre</w:t>
            </w:r>
            <w:r w:rsidRPr="00FA558D">
              <w:rPr>
                <w:lang w:val="fr-CA"/>
              </w:rPr>
              <w:t>,</w:t>
            </w:r>
            <w:r>
              <w:rPr>
                <w:lang w:val="fr-CA"/>
              </w:rPr>
              <w:t xml:space="preserve"> et le </w:t>
            </w:r>
            <w:r w:rsidR="00256C94">
              <w:rPr>
                <w:lang w:val="fr-CA"/>
              </w:rPr>
              <w:t>titre</w:t>
            </w:r>
            <w:r>
              <w:rPr>
                <w:lang w:val="fr-CA"/>
              </w:rPr>
              <w:t xml:space="preserve"> abrogé</w:t>
            </w:r>
            <w:r w:rsidR="00256C94">
              <w:rPr>
                <w:lang w:val="fr-CA"/>
              </w:rPr>
              <w:t xml:space="preserve">, </w:t>
            </w:r>
            <w:r>
              <w:rPr>
                <w:lang w:val="fr-CA"/>
              </w:rPr>
              <w:t xml:space="preserve">comme </w:t>
            </w:r>
            <w:r w:rsidR="001E1D85">
              <w:rPr>
                <w:lang w:val="fr-CA"/>
              </w:rPr>
              <w:t>une</w:t>
            </w:r>
            <w:r>
              <w:rPr>
                <w:lang w:val="fr-CA"/>
              </w:rPr>
              <w:t xml:space="preserve"> </w:t>
            </w:r>
            <w:r w:rsidR="00B771D4">
              <w:rPr>
                <w:lang w:val="fr-CA"/>
              </w:rPr>
              <w:t xml:space="preserve">suppression </w:t>
            </w:r>
            <w:r w:rsidR="001E1D85">
              <w:rPr>
                <w:lang w:val="fr-CA"/>
              </w:rPr>
              <w:t>de titre</w:t>
            </w:r>
            <w:r w:rsidRPr="00FA558D">
              <w:rPr>
                <w:lang w:val="fr-CA"/>
              </w:rPr>
              <w:t xml:space="preserve">. </w:t>
            </w:r>
          </w:p>
          <w:p w:rsidRPr="00FA558D" w:rsidR="00B91619" w:rsidP="00A9277E" w:rsidRDefault="00B91619" w14:paraId="0D3370C1" w14:textId="77777777">
            <w:pPr>
              <w:tabs>
                <w:tab w:val="left" w:pos="9356"/>
              </w:tabs>
              <w:rPr>
                <w:lang w:val="fr-CA"/>
              </w:rPr>
            </w:pPr>
          </w:p>
          <w:p w:rsidRPr="00FA558D" w:rsidR="00B91619" w:rsidRDefault="00B91619" w14:paraId="09796060" w14:textId="5358282F">
            <w:pPr>
              <w:tabs>
                <w:tab w:val="left" w:pos="9356"/>
              </w:tabs>
              <w:rPr>
                <w:lang w:val="fr-CA"/>
              </w:rPr>
            </w:pPr>
            <w:r>
              <w:rPr>
                <w:lang w:val="fr-CA"/>
              </w:rPr>
              <w:t>Toute modification progressive du fardeau administratif est prise en compte</w:t>
            </w:r>
            <w:r w:rsidRPr="00FA558D">
              <w:rPr>
                <w:lang w:val="fr-CA"/>
              </w:rPr>
              <w:t xml:space="preserve"> </w:t>
            </w:r>
            <w:r w:rsidR="005E3753">
              <w:rPr>
                <w:lang w:val="fr-CA"/>
              </w:rPr>
              <w:t xml:space="preserve">sous </w:t>
            </w:r>
            <w:r>
              <w:rPr>
                <w:lang w:val="fr-CA"/>
              </w:rPr>
              <w:t>l’élément</w:t>
            </w:r>
            <w:r w:rsidRPr="00FA558D">
              <w:rPr>
                <w:lang w:val="fr-CA"/>
              </w:rPr>
              <w:t> A.</w:t>
            </w:r>
          </w:p>
        </w:tc>
        <w:tc>
          <w:tcPr>
            <w:tcW w:w="4111" w:type="dxa"/>
            <w:shd w:val="clear" w:color="auto" w:fill="FFFFFF" w:themeFill="background1"/>
          </w:tcPr>
          <w:p w:rsidRPr="00FA558D" w:rsidR="00B91619" w:rsidRDefault="00B91619" w14:paraId="10730890" w14:textId="50D44E6C">
            <w:pPr>
              <w:tabs>
                <w:tab w:val="left" w:pos="9356"/>
              </w:tabs>
              <w:rPr>
                <w:lang w:val="fr-CA"/>
              </w:rPr>
            </w:pPr>
            <w:r>
              <w:rPr>
                <w:lang w:val="fr-CA"/>
              </w:rPr>
              <w:t>Sous l’élément</w:t>
            </w:r>
            <w:r w:rsidRPr="00FA558D">
              <w:rPr>
                <w:lang w:val="fr-CA"/>
              </w:rPr>
              <w:t xml:space="preserve"> B, </w:t>
            </w:r>
            <w:r>
              <w:rPr>
                <w:lang w:val="fr-CA"/>
              </w:rPr>
              <w:t>le nouveau titre n’est pas</w:t>
            </w:r>
            <w:r w:rsidRPr="00FA558D">
              <w:rPr>
                <w:lang w:val="fr-CA"/>
              </w:rPr>
              <w:t xml:space="preserve"> </w:t>
            </w:r>
            <w:r>
              <w:rPr>
                <w:lang w:val="fr-CA"/>
              </w:rPr>
              <w:t>pris en compte</w:t>
            </w:r>
            <w:r w:rsidRPr="00FA558D">
              <w:rPr>
                <w:lang w:val="fr-CA"/>
              </w:rPr>
              <w:t xml:space="preserve"> </w:t>
            </w:r>
            <w:r>
              <w:rPr>
                <w:lang w:val="fr-CA"/>
              </w:rPr>
              <w:t>comme un ajout</w:t>
            </w:r>
            <w:r w:rsidRPr="00FA558D">
              <w:rPr>
                <w:lang w:val="fr-CA"/>
              </w:rPr>
              <w:t>,</w:t>
            </w:r>
            <w:r>
              <w:rPr>
                <w:lang w:val="fr-CA"/>
              </w:rPr>
              <w:t xml:space="preserve"> et le </w:t>
            </w:r>
            <w:r w:rsidR="00256C94">
              <w:rPr>
                <w:lang w:val="fr-CA"/>
              </w:rPr>
              <w:t>titre</w:t>
            </w:r>
            <w:r>
              <w:rPr>
                <w:lang w:val="fr-CA"/>
              </w:rPr>
              <w:t xml:space="preserve"> abrogé n’est pas</w:t>
            </w:r>
            <w:r w:rsidRPr="00FA558D">
              <w:rPr>
                <w:lang w:val="fr-CA"/>
              </w:rPr>
              <w:t xml:space="preserve"> </w:t>
            </w:r>
            <w:r>
              <w:rPr>
                <w:lang w:val="fr-CA"/>
              </w:rPr>
              <w:t>pris en compte</w:t>
            </w:r>
            <w:r w:rsidRPr="00FA558D">
              <w:rPr>
                <w:lang w:val="fr-CA"/>
              </w:rPr>
              <w:t xml:space="preserve"> </w:t>
            </w:r>
            <w:r>
              <w:rPr>
                <w:lang w:val="fr-CA"/>
              </w:rPr>
              <w:t>comme un</w:t>
            </w:r>
            <w:r w:rsidR="001E1D85">
              <w:rPr>
                <w:lang w:val="fr-CA"/>
              </w:rPr>
              <w:t>e suppression de</w:t>
            </w:r>
            <w:r w:rsidR="00256C94">
              <w:rPr>
                <w:lang w:val="fr-CA"/>
              </w:rPr>
              <w:t xml:space="preserve"> titre</w:t>
            </w:r>
            <w:r w:rsidRPr="00FA558D">
              <w:rPr>
                <w:lang w:val="fr-CA"/>
              </w:rPr>
              <w:t xml:space="preserve">. </w:t>
            </w:r>
          </w:p>
        </w:tc>
      </w:tr>
      <w:tr w:rsidRPr="001A0F20" w:rsidR="00B91619" w:rsidTr="00A9277E" w14:paraId="0445641A" w14:textId="77777777">
        <w:tc>
          <w:tcPr>
            <w:tcW w:w="1129" w:type="dxa"/>
            <w:shd w:val="clear" w:color="auto" w:fill="FFFFFF" w:themeFill="background1"/>
          </w:tcPr>
          <w:p w:rsidRPr="00FA558D" w:rsidR="00B91619" w:rsidP="00A9277E" w:rsidRDefault="00B91619" w14:paraId="5BF4EEF8" w14:textId="77777777">
            <w:pPr>
              <w:tabs>
                <w:tab w:val="left" w:pos="9356"/>
              </w:tabs>
              <w:rPr>
                <w:b/>
                <w:lang w:val="fr-CA"/>
              </w:rPr>
            </w:pPr>
            <w:r>
              <w:rPr>
                <w:b/>
                <w:lang w:val="fr-CA"/>
              </w:rPr>
              <w:t>Réduction nette</w:t>
            </w:r>
          </w:p>
        </w:tc>
        <w:tc>
          <w:tcPr>
            <w:tcW w:w="4110" w:type="dxa"/>
            <w:shd w:val="clear" w:color="auto" w:fill="FFFFFF" w:themeFill="background1"/>
          </w:tcPr>
          <w:p w:rsidRPr="00FA558D" w:rsidR="00B91619" w:rsidP="00A9277E" w:rsidRDefault="00B91619" w14:paraId="5E807CA1" w14:textId="688B9981">
            <w:pPr>
              <w:tabs>
                <w:tab w:val="left" w:pos="9356"/>
              </w:tabs>
              <w:rPr>
                <w:lang w:val="fr-CA"/>
              </w:rPr>
            </w:pPr>
            <w:r>
              <w:rPr>
                <w:lang w:val="fr-CA"/>
              </w:rPr>
              <w:t>Sous l’élément</w:t>
            </w:r>
            <w:r w:rsidRPr="00FA558D">
              <w:rPr>
                <w:lang w:val="fr-CA"/>
              </w:rPr>
              <w:t xml:space="preserve"> B, </w:t>
            </w:r>
            <w:r>
              <w:rPr>
                <w:lang w:val="fr-CA"/>
              </w:rPr>
              <w:t>le nouveau titre est pris en compte</w:t>
            </w:r>
            <w:r w:rsidRPr="00FA558D">
              <w:rPr>
                <w:lang w:val="fr-CA"/>
              </w:rPr>
              <w:t xml:space="preserve"> </w:t>
            </w:r>
            <w:r>
              <w:rPr>
                <w:lang w:val="fr-CA"/>
              </w:rPr>
              <w:t>comme un ajout</w:t>
            </w:r>
            <w:r w:rsidRPr="00FA558D">
              <w:rPr>
                <w:lang w:val="fr-CA"/>
              </w:rPr>
              <w:t>,</w:t>
            </w:r>
            <w:r>
              <w:rPr>
                <w:lang w:val="fr-CA"/>
              </w:rPr>
              <w:t xml:space="preserve"> et </w:t>
            </w:r>
            <w:r w:rsidRPr="00C00FAC">
              <w:rPr>
                <w:b/>
                <w:lang w:val="fr-CA"/>
              </w:rPr>
              <w:t>tous</w:t>
            </w:r>
            <w:r w:rsidRPr="008C5FFA">
              <w:rPr>
                <w:lang w:val="fr-CA"/>
              </w:rPr>
              <w:t xml:space="preserve"> les titres abrogés</w:t>
            </w:r>
            <w:r>
              <w:rPr>
                <w:lang w:val="fr-CA"/>
              </w:rPr>
              <w:t xml:space="preserve"> sont pris en compte comme </w:t>
            </w:r>
            <w:r w:rsidR="001E1D85">
              <w:rPr>
                <w:lang w:val="fr-CA"/>
              </w:rPr>
              <w:t>une</w:t>
            </w:r>
            <w:r w:rsidRPr="00FA558D">
              <w:rPr>
                <w:lang w:val="fr-CA"/>
              </w:rPr>
              <w:t xml:space="preserve"> </w:t>
            </w:r>
            <w:r w:rsidR="00B771D4">
              <w:rPr>
                <w:lang w:val="fr-CA"/>
              </w:rPr>
              <w:t xml:space="preserve">suppression </w:t>
            </w:r>
            <w:r>
              <w:rPr>
                <w:lang w:val="fr-CA"/>
              </w:rPr>
              <w:t>d</w:t>
            </w:r>
            <w:r w:rsidR="001E1D85">
              <w:rPr>
                <w:lang w:val="fr-CA"/>
              </w:rPr>
              <w:t>e titre</w:t>
            </w:r>
            <w:r w:rsidRPr="00FA558D">
              <w:rPr>
                <w:lang w:val="fr-CA"/>
              </w:rPr>
              <w:t>.</w:t>
            </w:r>
          </w:p>
          <w:p w:rsidRPr="00FA558D" w:rsidR="00B91619" w:rsidP="00A9277E" w:rsidRDefault="00B91619" w14:paraId="023A12D8" w14:textId="77777777">
            <w:pPr>
              <w:tabs>
                <w:tab w:val="left" w:pos="9356"/>
              </w:tabs>
              <w:rPr>
                <w:lang w:val="fr-CA"/>
              </w:rPr>
            </w:pPr>
          </w:p>
          <w:p w:rsidRPr="00FA558D" w:rsidR="00B91619" w:rsidP="00A9277E" w:rsidRDefault="00B91619" w14:paraId="08F1A098" w14:textId="77777777">
            <w:pPr>
              <w:tabs>
                <w:tab w:val="left" w:pos="9356"/>
              </w:tabs>
              <w:rPr>
                <w:lang w:val="fr-CA"/>
              </w:rPr>
            </w:pPr>
            <w:r>
              <w:rPr>
                <w:lang w:val="fr-CA"/>
              </w:rPr>
              <w:t>Toute modification progressive du fardeau administratif est prise en compte</w:t>
            </w:r>
            <w:r w:rsidRPr="00FA558D">
              <w:rPr>
                <w:lang w:val="fr-CA"/>
              </w:rPr>
              <w:t xml:space="preserve"> </w:t>
            </w:r>
            <w:r>
              <w:rPr>
                <w:lang w:val="fr-CA"/>
              </w:rPr>
              <w:t>sous l’élément</w:t>
            </w:r>
            <w:r w:rsidRPr="00FA558D">
              <w:rPr>
                <w:lang w:val="fr-CA"/>
              </w:rPr>
              <w:t> A.</w:t>
            </w:r>
          </w:p>
        </w:tc>
        <w:tc>
          <w:tcPr>
            <w:tcW w:w="4111" w:type="dxa"/>
            <w:shd w:val="clear" w:color="auto" w:fill="FFFFFF" w:themeFill="background1"/>
          </w:tcPr>
          <w:p w:rsidRPr="00FA558D" w:rsidR="00B91619" w:rsidRDefault="00B91619" w14:paraId="38AA9C92" w14:textId="66A5DD5C">
            <w:pPr>
              <w:tabs>
                <w:tab w:val="left" w:pos="9356"/>
              </w:tabs>
              <w:rPr>
                <w:lang w:val="fr-CA"/>
              </w:rPr>
            </w:pPr>
            <w:r>
              <w:rPr>
                <w:lang w:val="fr-CA"/>
              </w:rPr>
              <w:t>Sous l’élément</w:t>
            </w:r>
            <w:r w:rsidRPr="00FA558D">
              <w:rPr>
                <w:lang w:val="fr-CA"/>
              </w:rPr>
              <w:t xml:space="preserve"> B, </w:t>
            </w:r>
            <w:r>
              <w:rPr>
                <w:lang w:val="fr-CA"/>
              </w:rPr>
              <w:t>le nouveau titre n’est pas</w:t>
            </w:r>
            <w:r w:rsidRPr="00FA558D">
              <w:rPr>
                <w:lang w:val="fr-CA"/>
              </w:rPr>
              <w:t xml:space="preserve"> </w:t>
            </w:r>
            <w:r>
              <w:rPr>
                <w:lang w:val="fr-CA"/>
              </w:rPr>
              <w:t>pris en compte</w:t>
            </w:r>
            <w:r w:rsidRPr="00FA558D">
              <w:rPr>
                <w:lang w:val="fr-CA"/>
              </w:rPr>
              <w:t xml:space="preserve"> </w:t>
            </w:r>
            <w:r>
              <w:rPr>
                <w:lang w:val="fr-CA"/>
              </w:rPr>
              <w:t>comme un ajout</w:t>
            </w:r>
            <w:r w:rsidRPr="00FA558D">
              <w:rPr>
                <w:lang w:val="fr-CA"/>
              </w:rPr>
              <w:t xml:space="preserve">. </w:t>
            </w:r>
            <w:r>
              <w:rPr>
                <w:lang w:val="fr-CA"/>
              </w:rPr>
              <w:t xml:space="preserve">Le </w:t>
            </w:r>
            <w:r>
              <w:rPr>
                <w:b/>
                <w:lang w:val="fr-CA"/>
              </w:rPr>
              <w:t>premier</w:t>
            </w:r>
            <w:r w:rsidRPr="00FA558D">
              <w:rPr>
                <w:lang w:val="fr-CA"/>
              </w:rPr>
              <w:t xml:space="preserve"> </w:t>
            </w:r>
            <w:r w:rsidR="00256C94">
              <w:rPr>
                <w:lang w:val="fr-CA"/>
              </w:rPr>
              <w:t>titre</w:t>
            </w:r>
            <w:r>
              <w:rPr>
                <w:lang w:val="fr-CA"/>
              </w:rPr>
              <w:t xml:space="preserve"> abrogé n’est pas</w:t>
            </w:r>
            <w:r w:rsidRPr="00FA558D">
              <w:rPr>
                <w:lang w:val="fr-CA"/>
              </w:rPr>
              <w:t xml:space="preserve"> </w:t>
            </w:r>
            <w:r>
              <w:rPr>
                <w:lang w:val="fr-CA"/>
              </w:rPr>
              <w:t>pris en compte</w:t>
            </w:r>
            <w:r w:rsidRPr="00FA558D">
              <w:rPr>
                <w:lang w:val="fr-CA"/>
              </w:rPr>
              <w:t xml:space="preserve"> </w:t>
            </w:r>
            <w:r>
              <w:rPr>
                <w:lang w:val="fr-CA"/>
              </w:rPr>
              <w:t xml:space="preserve">comme une </w:t>
            </w:r>
            <w:r w:rsidR="00B771D4">
              <w:rPr>
                <w:lang w:val="fr-CA"/>
              </w:rPr>
              <w:t xml:space="preserve">suppression </w:t>
            </w:r>
            <w:r>
              <w:rPr>
                <w:lang w:val="fr-CA"/>
              </w:rPr>
              <w:t>d</w:t>
            </w:r>
            <w:r w:rsidR="001E1D85">
              <w:rPr>
                <w:lang w:val="fr-CA"/>
              </w:rPr>
              <w:t>e titre</w:t>
            </w:r>
            <w:r w:rsidRPr="00FA558D">
              <w:rPr>
                <w:lang w:val="fr-CA"/>
              </w:rPr>
              <w:t>,</w:t>
            </w:r>
            <w:r>
              <w:rPr>
                <w:lang w:val="fr-CA"/>
              </w:rPr>
              <w:t xml:space="preserve"> mais chaque titre</w:t>
            </w:r>
            <w:r w:rsidRPr="00FA558D">
              <w:rPr>
                <w:lang w:val="fr-CA"/>
              </w:rPr>
              <w:t xml:space="preserve"> </w:t>
            </w:r>
            <w:r>
              <w:rPr>
                <w:lang w:val="fr-CA"/>
              </w:rPr>
              <w:t xml:space="preserve">abrogé </w:t>
            </w:r>
            <w:r w:rsidR="00C11A15">
              <w:rPr>
                <w:lang w:val="fr-CA"/>
              </w:rPr>
              <w:t xml:space="preserve">supplémentaire </w:t>
            </w:r>
            <w:r>
              <w:rPr>
                <w:lang w:val="fr-CA"/>
              </w:rPr>
              <w:t>est pris en compte</w:t>
            </w:r>
            <w:r w:rsidRPr="00FA558D">
              <w:rPr>
                <w:lang w:val="fr-CA"/>
              </w:rPr>
              <w:t xml:space="preserve"> </w:t>
            </w:r>
            <w:r>
              <w:rPr>
                <w:lang w:val="fr-CA"/>
              </w:rPr>
              <w:t xml:space="preserve">comme une </w:t>
            </w:r>
            <w:r w:rsidR="00B771D4">
              <w:rPr>
                <w:lang w:val="fr-CA"/>
              </w:rPr>
              <w:t xml:space="preserve">suppression </w:t>
            </w:r>
            <w:r>
              <w:rPr>
                <w:lang w:val="fr-CA"/>
              </w:rPr>
              <w:t>d</w:t>
            </w:r>
            <w:r w:rsidR="001E1D85">
              <w:rPr>
                <w:lang w:val="fr-CA"/>
              </w:rPr>
              <w:t>e titre</w:t>
            </w:r>
            <w:r w:rsidRPr="00FA558D">
              <w:rPr>
                <w:lang w:val="fr-CA"/>
              </w:rPr>
              <w:t>.</w:t>
            </w:r>
          </w:p>
        </w:tc>
      </w:tr>
    </w:tbl>
    <w:p w:rsidR="00C503C7" w:rsidP="004F7AB3" w:rsidRDefault="00C503C7" w14:paraId="240ABDA4" w14:textId="77777777">
      <w:pPr>
        <w:pStyle w:val="Heading3"/>
        <w:numPr>
          <w:ilvl w:val="0"/>
          <w:numId w:val="0"/>
        </w:numPr>
        <w:ind w:left="720" w:hanging="720"/>
        <w:rPr>
          <w:lang w:val="fr-CA"/>
        </w:rPr>
      </w:pPr>
    </w:p>
    <w:p w:rsidRPr="004F7AB3" w:rsidR="00C503C7" w:rsidP="00C503C7" w:rsidRDefault="00C503C7" w14:paraId="2A572149" w14:textId="10118AFD">
      <w:pPr>
        <w:pStyle w:val="Heading4"/>
        <w:rPr>
          <w:lang w:val="fr-CA"/>
        </w:rPr>
      </w:pPr>
      <w:r w:rsidRPr="004F7AB3">
        <w:rPr>
          <w:lang w:val="fr-CA"/>
        </w:rPr>
        <w:t>Abrogations automatiques</w:t>
      </w:r>
    </w:p>
    <w:p w:rsidRPr="004F7AB3" w:rsidR="00C503C7" w:rsidP="00C503C7" w:rsidRDefault="00C503C7" w14:paraId="6BA4AF3B" w14:textId="77777777">
      <w:pPr>
        <w:tabs>
          <w:tab w:val="left" w:pos="9356"/>
        </w:tabs>
        <w:spacing w:after="0" w:line="240" w:lineRule="auto"/>
        <w:rPr>
          <w:b/>
          <w:lang w:val="fr-CA"/>
        </w:rPr>
      </w:pPr>
    </w:p>
    <w:p w:rsidRPr="0053635A" w:rsidR="00C503C7" w:rsidP="00C503C7" w:rsidRDefault="00C503C7" w14:paraId="2FD88A04" w14:textId="142C8E7F">
      <w:pPr>
        <w:tabs>
          <w:tab w:val="left" w:pos="9356"/>
        </w:tabs>
        <w:spacing w:after="0" w:line="240" w:lineRule="auto"/>
        <w:rPr>
          <w:bCs/>
          <w:lang w:val="fr-CA"/>
        </w:rPr>
      </w:pPr>
      <w:r w:rsidRPr="004F7AB3">
        <w:rPr>
          <w:bCs/>
          <w:lang w:val="fr-CA"/>
        </w:rPr>
        <w:t xml:space="preserve">Un nouveau règlement comporte parfois une </w:t>
      </w:r>
      <w:r>
        <w:rPr>
          <w:bCs/>
          <w:lang w:val="fr-CA"/>
        </w:rPr>
        <w:t>clause</w:t>
      </w:r>
      <w:r w:rsidRPr="0053635A">
        <w:rPr>
          <w:bCs/>
          <w:lang w:val="fr-CA"/>
        </w:rPr>
        <w:t xml:space="preserve"> qui permet son abrogation automatique, sans qu</w:t>
      </w:r>
      <w:r w:rsidR="009647E5">
        <w:rPr>
          <w:bCs/>
          <w:lang w:val="fr-CA"/>
        </w:rPr>
        <w:t>’</w:t>
      </w:r>
      <w:r w:rsidRPr="0053635A">
        <w:rPr>
          <w:bCs/>
          <w:lang w:val="fr-CA"/>
        </w:rPr>
        <w:t>il soit nécessaire d</w:t>
      </w:r>
      <w:r w:rsidR="009647E5">
        <w:rPr>
          <w:bCs/>
          <w:lang w:val="fr-CA"/>
        </w:rPr>
        <w:t>’</w:t>
      </w:r>
      <w:r w:rsidRPr="0053635A">
        <w:rPr>
          <w:bCs/>
          <w:lang w:val="fr-CA"/>
        </w:rPr>
        <w:t>adopter un instrument d</w:t>
      </w:r>
      <w:r w:rsidR="009647E5">
        <w:rPr>
          <w:bCs/>
          <w:lang w:val="fr-CA"/>
        </w:rPr>
        <w:t>’</w:t>
      </w:r>
      <w:r w:rsidRPr="0053635A">
        <w:rPr>
          <w:bCs/>
          <w:lang w:val="fr-CA"/>
        </w:rPr>
        <w:t xml:space="preserve">abrogation distinct. Cette clause indique également ce qui </w:t>
      </w:r>
      <w:r w:rsidR="00BD4343">
        <w:rPr>
          <w:bCs/>
          <w:lang w:val="fr-CA"/>
        </w:rPr>
        <w:t>pourrait déclencher</w:t>
      </w:r>
      <w:r w:rsidRPr="0053635A">
        <w:rPr>
          <w:bCs/>
          <w:lang w:val="fr-CA"/>
        </w:rPr>
        <w:t xml:space="preserve"> l</w:t>
      </w:r>
      <w:r w:rsidR="009647E5">
        <w:rPr>
          <w:bCs/>
          <w:lang w:val="fr-CA"/>
        </w:rPr>
        <w:t>’</w:t>
      </w:r>
      <w:r w:rsidRPr="0053635A">
        <w:rPr>
          <w:bCs/>
          <w:lang w:val="fr-CA"/>
        </w:rPr>
        <w:t>abrogation, par exemple</w:t>
      </w:r>
      <w:r w:rsidR="00BD4343">
        <w:rPr>
          <w:bCs/>
          <w:lang w:val="fr-CA"/>
        </w:rPr>
        <w:t> :</w:t>
      </w:r>
    </w:p>
    <w:p w:rsidRPr="0053635A" w:rsidR="00C503C7" w:rsidP="0053635A" w:rsidRDefault="00C503C7" w14:paraId="213397B1" w14:textId="6CA45577">
      <w:pPr>
        <w:pStyle w:val="ListParagraph"/>
        <w:numPr>
          <w:ilvl w:val="0"/>
          <w:numId w:val="8"/>
        </w:numPr>
        <w:tabs>
          <w:tab w:val="left" w:pos="9356"/>
        </w:tabs>
        <w:spacing w:after="0" w:line="240" w:lineRule="auto"/>
        <w:rPr>
          <w:bCs/>
          <w:lang w:val="fr-CA"/>
        </w:rPr>
      </w:pPr>
      <w:proofErr w:type="gramStart"/>
      <w:r w:rsidRPr="0053635A">
        <w:rPr>
          <w:bCs/>
          <w:lang w:val="fr-CA"/>
        </w:rPr>
        <w:t>une</w:t>
      </w:r>
      <w:proofErr w:type="gramEnd"/>
      <w:r w:rsidRPr="0053635A">
        <w:rPr>
          <w:bCs/>
          <w:lang w:val="fr-CA"/>
        </w:rPr>
        <w:t xml:space="preserve"> date </w:t>
      </w:r>
      <w:r w:rsidR="00BD4343">
        <w:rPr>
          <w:bCs/>
          <w:lang w:val="fr-CA"/>
        </w:rPr>
        <w:t>ultérieure en particulier;</w:t>
      </w:r>
    </w:p>
    <w:p w:rsidRPr="0053635A" w:rsidR="00C503C7" w:rsidP="0053635A" w:rsidRDefault="00C503C7" w14:paraId="534F2BC7" w14:textId="7EB2F48E">
      <w:pPr>
        <w:pStyle w:val="ListParagraph"/>
        <w:numPr>
          <w:ilvl w:val="0"/>
          <w:numId w:val="8"/>
        </w:numPr>
        <w:tabs>
          <w:tab w:val="left" w:pos="9356"/>
        </w:tabs>
        <w:spacing w:after="0" w:line="240" w:lineRule="auto"/>
        <w:rPr>
          <w:bCs/>
          <w:lang w:val="fr-CA"/>
        </w:rPr>
      </w:pPr>
      <w:proofErr w:type="gramStart"/>
      <w:r w:rsidRPr="0053635A">
        <w:rPr>
          <w:bCs/>
          <w:lang w:val="fr-CA"/>
        </w:rPr>
        <w:t>une</w:t>
      </w:r>
      <w:proofErr w:type="gramEnd"/>
      <w:r w:rsidRPr="0053635A">
        <w:rPr>
          <w:bCs/>
          <w:lang w:val="fr-CA"/>
        </w:rPr>
        <w:t xml:space="preserve"> date </w:t>
      </w:r>
      <w:r w:rsidR="00BD4343">
        <w:rPr>
          <w:bCs/>
          <w:lang w:val="fr-CA"/>
        </w:rPr>
        <w:t xml:space="preserve">ultérieure </w:t>
      </w:r>
      <w:r w:rsidRPr="0053635A">
        <w:rPr>
          <w:bCs/>
          <w:lang w:val="fr-CA"/>
        </w:rPr>
        <w:t>variable</w:t>
      </w:r>
      <w:r w:rsidR="00BD4343">
        <w:rPr>
          <w:bCs/>
          <w:lang w:val="fr-CA"/>
        </w:rPr>
        <w:t>;</w:t>
      </w:r>
    </w:p>
    <w:p w:rsidRPr="0053635A" w:rsidR="00C503C7" w:rsidP="0053635A" w:rsidRDefault="00C503C7" w14:paraId="1F4F6044" w14:textId="07A966C8">
      <w:pPr>
        <w:pStyle w:val="ListParagraph"/>
        <w:numPr>
          <w:ilvl w:val="0"/>
          <w:numId w:val="8"/>
        </w:numPr>
        <w:tabs>
          <w:tab w:val="left" w:pos="9356"/>
        </w:tabs>
        <w:spacing w:after="0" w:line="240" w:lineRule="auto"/>
        <w:rPr>
          <w:bCs/>
          <w:lang w:val="fr-CA"/>
        </w:rPr>
      </w:pPr>
      <w:proofErr w:type="gramStart"/>
      <w:r w:rsidRPr="0053635A">
        <w:rPr>
          <w:bCs/>
          <w:lang w:val="fr-CA"/>
        </w:rPr>
        <w:t>une</w:t>
      </w:r>
      <w:proofErr w:type="gramEnd"/>
      <w:r w:rsidRPr="0053635A">
        <w:rPr>
          <w:bCs/>
          <w:lang w:val="fr-CA"/>
        </w:rPr>
        <w:t xml:space="preserve"> condition ou un ensemble de conditions</w:t>
      </w:r>
      <w:r w:rsidR="00BD4343">
        <w:rPr>
          <w:bCs/>
          <w:lang w:val="fr-CA"/>
        </w:rPr>
        <w:t>.</w:t>
      </w:r>
    </w:p>
    <w:p w:rsidRPr="0053635A" w:rsidR="00C503C7" w:rsidP="00C503C7" w:rsidRDefault="00C503C7" w14:paraId="432CC48E" w14:textId="77777777">
      <w:pPr>
        <w:tabs>
          <w:tab w:val="left" w:pos="9356"/>
        </w:tabs>
        <w:spacing w:after="0" w:line="240" w:lineRule="auto"/>
        <w:rPr>
          <w:bCs/>
          <w:lang w:val="fr-CA"/>
        </w:rPr>
      </w:pPr>
    </w:p>
    <w:p w:rsidRPr="0053635A" w:rsidR="00C503C7" w:rsidP="00C503C7" w:rsidRDefault="00C503C7" w14:paraId="277D49BD" w14:textId="54C8F55D">
      <w:pPr>
        <w:tabs>
          <w:tab w:val="left" w:pos="9356"/>
        </w:tabs>
        <w:spacing w:after="0" w:line="240" w:lineRule="auto"/>
        <w:rPr>
          <w:bCs/>
          <w:lang w:val="fr-CA"/>
        </w:rPr>
      </w:pPr>
      <w:r w:rsidRPr="0053635A">
        <w:rPr>
          <w:bCs/>
          <w:lang w:val="fr-CA"/>
        </w:rPr>
        <w:t>Lorsqu</w:t>
      </w:r>
      <w:r w:rsidR="009647E5">
        <w:rPr>
          <w:bCs/>
          <w:lang w:val="fr-CA"/>
        </w:rPr>
        <w:t>’</w:t>
      </w:r>
      <w:r w:rsidRPr="0053635A">
        <w:rPr>
          <w:bCs/>
          <w:lang w:val="fr-CA"/>
        </w:rPr>
        <w:t>un règlement est abrogé automatiquement, il convient de l</w:t>
      </w:r>
      <w:r w:rsidR="009647E5">
        <w:rPr>
          <w:bCs/>
          <w:lang w:val="fr-CA"/>
        </w:rPr>
        <w:t>’</w:t>
      </w:r>
      <w:r w:rsidRPr="0053635A">
        <w:rPr>
          <w:bCs/>
          <w:lang w:val="fr-CA"/>
        </w:rPr>
        <w:t xml:space="preserve">indiquer dans la section du REIR consacrée à la règle </w:t>
      </w:r>
      <w:r w:rsidR="00E93764">
        <w:rPr>
          <w:bCs/>
          <w:lang w:val="fr-CA"/>
        </w:rPr>
        <w:t xml:space="preserve">du </w:t>
      </w:r>
      <w:r w:rsidR="00BD4343">
        <w:rPr>
          <w:bCs/>
          <w:lang w:val="fr-CA"/>
        </w:rPr>
        <w:t>«</w:t>
      </w:r>
      <w:r w:rsidR="009647E5">
        <w:rPr>
          <w:bCs/>
          <w:lang w:val="fr-CA"/>
        </w:rPr>
        <w:t> </w:t>
      </w:r>
      <w:r w:rsidRPr="0053635A">
        <w:rPr>
          <w:bCs/>
          <w:lang w:val="fr-CA"/>
        </w:rPr>
        <w:t>un pour un</w:t>
      </w:r>
      <w:r w:rsidR="009647E5">
        <w:rPr>
          <w:bCs/>
          <w:lang w:val="fr-CA"/>
        </w:rPr>
        <w:t> </w:t>
      </w:r>
      <w:r w:rsidR="00BD4343">
        <w:rPr>
          <w:bCs/>
          <w:lang w:val="fr-CA"/>
        </w:rPr>
        <w:t>» et d’en discuter avec</w:t>
      </w:r>
      <w:r w:rsidRPr="0053635A">
        <w:rPr>
          <w:bCs/>
          <w:lang w:val="fr-CA"/>
        </w:rPr>
        <w:t xml:space="preserve"> l</w:t>
      </w:r>
      <w:r w:rsidR="009647E5">
        <w:rPr>
          <w:bCs/>
          <w:lang w:val="fr-CA"/>
        </w:rPr>
        <w:t>’</w:t>
      </w:r>
      <w:r w:rsidRPr="0053635A">
        <w:rPr>
          <w:bCs/>
          <w:lang w:val="fr-CA"/>
        </w:rPr>
        <w:t xml:space="preserve">analyste du Secteur des affaires réglementaires pour confirmer </w:t>
      </w:r>
      <w:r w:rsidR="00BD4343">
        <w:rPr>
          <w:bCs/>
          <w:lang w:val="fr-CA"/>
        </w:rPr>
        <w:t>que les</w:t>
      </w:r>
      <w:r w:rsidRPr="0053635A">
        <w:rPr>
          <w:bCs/>
          <w:lang w:val="fr-CA"/>
        </w:rPr>
        <w:t xml:space="preserve"> éléments A et B</w:t>
      </w:r>
      <w:r w:rsidR="00BD4343">
        <w:rPr>
          <w:bCs/>
          <w:lang w:val="fr-CA"/>
        </w:rPr>
        <w:t xml:space="preserve"> ont été appliqués correctement</w:t>
      </w:r>
      <w:r w:rsidRPr="0053635A">
        <w:rPr>
          <w:bCs/>
          <w:lang w:val="fr-CA"/>
        </w:rPr>
        <w:t>.</w:t>
      </w:r>
    </w:p>
    <w:p w:rsidRPr="0053635A" w:rsidR="00C503C7" w:rsidP="00C503C7" w:rsidRDefault="00C503C7" w14:paraId="0C829C73" w14:textId="77777777">
      <w:pPr>
        <w:tabs>
          <w:tab w:val="left" w:pos="9356"/>
        </w:tabs>
        <w:spacing w:after="0" w:line="240" w:lineRule="auto"/>
        <w:rPr>
          <w:bCs/>
          <w:lang w:val="fr-CA"/>
        </w:rPr>
      </w:pPr>
    </w:p>
    <w:p w:rsidRPr="0053635A" w:rsidR="00C503C7" w:rsidP="00C503C7" w:rsidRDefault="00C503C7" w14:paraId="09B89184" w14:textId="1A0686AA">
      <w:pPr>
        <w:tabs>
          <w:tab w:val="left" w:pos="9356"/>
        </w:tabs>
        <w:spacing w:after="0" w:line="240" w:lineRule="auto"/>
        <w:rPr>
          <w:bCs/>
          <w:lang w:val="fr-CA"/>
        </w:rPr>
      </w:pPr>
      <w:r w:rsidRPr="0053635A">
        <w:rPr>
          <w:bCs/>
          <w:lang w:val="fr-CA"/>
        </w:rPr>
        <w:t>Lors de l</w:t>
      </w:r>
      <w:r w:rsidR="009647E5">
        <w:rPr>
          <w:bCs/>
          <w:lang w:val="fr-CA"/>
        </w:rPr>
        <w:t>’</w:t>
      </w:r>
      <w:r w:rsidRPr="0053635A">
        <w:rPr>
          <w:bCs/>
          <w:lang w:val="fr-CA"/>
        </w:rPr>
        <w:t xml:space="preserve">élaboration du nouveau règlement, </w:t>
      </w:r>
      <w:r w:rsidR="00BD4343">
        <w:rPr>
          <w:bCs/>
          <w:lang w:val="fr-CA"/>
        </w:rPr>
        <w:t>il faut</w:t>
      </w:r>
      <w:r w:rsidRPr="0053635A">
        <w:rPr>
          <w:bCs/>
          <w:lang w:val="fr-CA"/>
        </w:rPr>
        <w:t xml:space="preserve"> </w:t>
      </w:r>
      <w:r w:rsidR="00BD4343">
        <w:rPr>
          <w:bCs/>
          <w:lang w:val="fr-CA"/>
        </w:rPr>
        <w:t>prévoir</w:t>
      </w:r>
      <w:r w:rsidRPr="0053635A">
        <w:rPr>
          <w:bCs/>
          <w:lang w:val="fr-CA"/>
        </w:rPr>
        <w:t xml:space="preserve"> l</w:t>
      </w:r>
      <w:r w:rsidR="00BD4343">
        <w:rPr>
          <w:bCs/>
          <w:lang w:val="fr-CA"/>
        </w:rPr>
        <w:t>’</w:t>
      </w:r>
      <w:r w:rsidRPr="0053635A">
        <w:rPr>
          <w:bCs/>
          <w:lang w:val="fr-CA"/>
        </w:rPr>
        <w:t xml:space="preserve">application de la règle du </w:t>
      </w:r>
      <w:r w:rsidR="00BD4343">
        <w:rPr>
          <w:bCs/>
          <w:lang w:val="fr-CA"/>
        </w:rPr>
        <w:t>«</w:t>
      </w:r>
      <w:r w:rsidR="009647E5">
        <w:rPr>
          <w:bCs/>
          <w:lang w:val="fr-CA"/>
        </w:rPr>
        <w:t> </w:t>
      </w:r>
      <w:r w:rsidRPr="0053635A">
        <w:rPr>
          <w:bCs/>
          <w:lang w:val="fr-CA"/>
        </w:rPr>
        <w:t>un pour un</w:t>
      </w:r>
      <w:r w:rsidR="009647E5">
        <w:rPr>
          <w:bCs/>
          <w:lang w:val="fr-CA"/>
        </w:rPr>
        <w:t> </w:t>
      </w:r>
      <w:r w:rsidR="00BD4343">
        <w:rPr>
          <w:bCs/>
          <w:lang w:val="fr-CA"/>
        </w:rPr>
        <w:t>»</w:t>
      </w:r>
      <w:r w:rsidRPr="0053635A">
        <w:rPr>
          <w:bCs/>
          <w:lang w:val="fr-CA"/>
        </w:rPr>
        <w:t xml:space="preserve"> à l</w:t>
      </w:r>
      <w:r w:rsidR="009647E5">
        <w:rPr>
          <w:bCs/>
          <w:lang w:val="fr-CA"/>
        </w:rPr>
        <w:t>’</w:t>
      </w:r>
      <w:r w:rsidRPr="0053635A">
        <w:rPr>
          <w:bCs/>
          <w:lang w:val="fr-CA"/>
        </w:rPr>
        <w:t>abrogation éventuelle (voir l</w:t>
      </w:r>
      <w:r w:rsidR="00BD4343">
        <w:rPr>
          <w:bCs/>
          <w:lang w:val="fr-CA"/>
        </w:rPr>
        <w:t>e paragraphe</w:t>
      </w:r>
      <w:r w:rsidR="009647E5">
        <w:rPr>
          <w:bCs/>
          <w:lang w:val="fr-CA"/>
        </w:rPr>
        <w:t> </w:t>
      </w:r>
      <w:r w:rsidRPr="0053635A">
        <w:rPr>
          <w:bCs/>
          <w:lang w:val="fr-CA"/>
        </w:rPr>
        <w:t>3.2.6 de la politique et l</w:t>
      </w:r>
      <w:r w:rsidR="00BD4343">
        <w:rPr>
          <w:bCs/>
          <w:lang w:val="fr-CA"/>
        </w:rPr>
        <w:t>’</w:t>
      </w:r>
      <w:r w:rsidRPr="0053635A">
        <w:rPr>
          <w:bCs/>
          <w:lang w:val="fr-CA"/>
        </w:rPr>
        <w:t xml:space="preserve">information de </w:t>
      </w:r>
      <w:r w:rsidR="00BD4343">
        <w:rPr>
          <w:bCs/>
          <w:lang w:val="fr-CA"/>
        </w:rPr>
        <w:t>la présente</w:t>
      </w:r>
      <w:r w:rsidRPr="0053635A">
        <w:rPr>
          <w:bCs/>
          <w:lang w:val="fr-CA"/>
        </w:rPr>
        <w:t xml:space="preserve"> section sur l</w:t>
      </w:r>
      <w:r w:rsidR="009647E5">
        <w:rPr>
          <w:bCs/>
          <w:lang w:val="fr-CA"/>
        </w:rPr>
        <w:t>’</w:t>
      </w:r>
      <w:r w:rsidRPr="0053635A">
        <w:rPr>
          <w:bCs/>
          <w:lang w:val="fr-CA"/>
        </w:rPr>
        <w:t xml:space="preserve">application des éléments A et B). </w:t>
      </w:r>
    </w:p>
    <w:p w:rsidRPr="0053635A" w:rsidR="00C503C7" w:rsidP="00C503C7" w:rsidRDefault="00C503C7" w14:paraId="08B32F1A" w14:textId="77777777">
      <w:pPr>
        <w:tabs>
          <w:tab w:val="left" w:pos="9356"/>
        </w:tabs>
        <w:spacing w:after="0" w:line="240" w:lineRule="auto"/>
        <w:rPr>
          <w:bCs/>
          <w:lang w:val="fr-CA"/>
        </w:rPr>
      </w:pPr>
    </w:p>
    <w:p w:rsidRPr="0053635A" w:rsidR="00C503C7" w:rsidP="0053635A" w:rsidRDefault="00C503C7" w14:paraId="5D22AA1F" w14:textId="0C92F5BF">
      <w:pPr>
        <w:pStyle w:val="ListParagraph"/>
        <w:numPr>
          <w:ilvl w:val="0"/>
          <w:numId w:val="37"/>
        </w:numPr>
        <w:tabs>
          <w:tab w:val="left" w:pos="9356"/>
        </w:tabs>
        <w:spacing w:after="0" w:line="240" w:lineRule="auto"/>
        <w:rPr>
          <w:bCs/>
          <w:lang w:val="fr-CA"/>
        </w:rPr>
      </w:pPr>
      <w:r w:rsidRPr="0053635A">
        <w:rPr>
          <w:bCs/>
          <w:lang w:val="fr-CA"/>
        </w:rPr>
        <w:t xml:space="preserve">Un nouveau titre réglementaire </w:t>
      </w:r>
      <w:r w:rsidR="00BD4343">
        <w:rPr>
          <w:bCs/>
          <w:lang w:val="fr-CA"/>
        </w:rPr>
        <w:t>donnant lieu à un</w:t>
      </w:r>
      <w:r w:rsidRPr="0053635A">
        <w:rPr>
          <w:bCs/>
          <w:lang w:val="fr-CA"/>
        </w:rPr>
        <w:t xml:space="preserve"> nouve</w:t>
      </w:r>
      <w:r w:rsidR="00BD4343">
        <w:rPr>
          <w:bCs/>
          <w:lang w:val="fr-CA"/>
        </w:rPr>
        <w:t xml:space="preserve">au fardeau </w:t>
      </w:r>
      <w:r w:rsidRPr="0053635A">
        <w:rPr>
          <w:bCs/>
          <w:lang w:val="fr-CA"/>
        </w:rPr>
        <w:t>administrati</w:t>
      </w:r>
      <w:r w:rsidR="00BD4343">
        <w:rPr>
          <w:bCs/>
          <w:lang w:val="fr-CA"/>
        </w:rPr>
        <w:t>f</w:t>
      </w:r>
      <w:r w:rsidRPr="0053635A">
        <w:rPr>
          <w:bCs/>
          <w:lang w:val="fr-CA"/>
        </w:rPr>
        <w:t xml:space="preserve"> pour les entreprises </w:t>
      </w:r>
      <w:r w:rsidR="00BD4343">
        <w:rPr>
          <w:bCs/>
          <w:lang w:val="fr-CA"/>
        </w:rPr>
        <w:t xml:space="preserve">entraînerait l’application </w:t>
      </w:r>
      <w:r w:rsidR="00E93764">
        <w:rPr>
          <w:bCs/>
          <w:lang w:val="fr-CA"/>
        </w:rPr>
        <w:t>d</w:t>
      </w:r>
      <w:r w:rsidRPr="0053635A">
        <w:rPr>
          <w:bCs/>
          <w:lang w:val="fr-CA"/>
        </w:rPr>
        <w:t>es éléments A et B de la règle</w:t>
      </w:r>
      <w:r w:rsidR="00AA0F5B">
        <w:rPr>
          <w:bCs/>
          <w:lang w:val="fr-CA"/>
        </w:rPr>
        <w:t xml:space="preserve">. Le fardeau administratif et le titre seraient sans doute pris en compte </w:t>
      </w:r>
      <w:r w:rsidR="00297C9D">
        <w:rPr>
          <w:bCs/>
          <w:lang w:val="fr-CA"/>
        </w:rPr>
        <w:t xml:space="preserve">lors de </w:t>
      </w:r>
      <w:r w:rsidR="00AA0F5B">
        <w:rPr>
          <w:bCs/>
          <w:lang w:val="fr-CA"/>
        </w:rPr>
        <w:t>l’</w:t>
      </w:r>
      <w:r w:rsidR="0027250D">
        <w:rPr>
          <w:bCs/>
          <w:lang w:val="fr-CA"/>
        </w:rPr>
        <w:t>adoption</w:t>
      </w:r>
      <w:r w:rsidRPr="0053635A">
        <w:rPr>
          <w:bCs/>
          <w:lang w:val="fr-CA"/>
        </w:rPr>
        <w:t>, puis supprimés lors de l</w:t>
      </w:r>
      <w:r w:rsidR="009647E5">
        <w:rPr>
          <w:bCs/>
          <w:lang w:val="fr-CA"/>
        </w:rPr>
        <w:t>’</w:t>
      </w:r>
      <w:r w:rsidRPr="0053635A">
        <w:rPr>
          <w:bCs/>
          <w:lang w:val="fr-CA"/>
        </w:rPr>
        <w:t xml:space="preserve">abrogation. </w:t>
      </w:r>
    </w:p>
    <w:p w:rsidRPr="0053635A" w:rsidR="00C503C7" w:rsidP="0053635A" w:rsidRDefault="00C503C7" w14:paraId="15E55183" w14:textId="0862BE83">
      <w:pPr>
        <w:pStyle w:val="ListParagraph"/>
        <w:numPr>
          <w:ilvl w:val="0"/>
          <w:numId w:val="37"/>
        </w:numPr>
        <w:tabs>
          <w:tab w:val="left" w:pos="9356"/>
        </w:tabs>
        <w:spacing w:after="0" w:line="240" w:lineRule="auto"/>
        <w:rPr>
          <w:bCs/>
          <w:lang w:val="fr-CA"/>
        </w:rPr>
      </w:pPr>
      <w:r w:rsidRPr="0053635A">
        <w:rPr>
          <w:bCs/>
          <w:lang w:val="fr-CA"/>
        </w:rPr>
        <w:t xml:space="preserve">Un nouveau règlement </w:t>
      </w:r>
      <w:r w:rsidR="001D1D40">
        <w:rPr>
          <w:bCs/>
          <w:lang w:val="fr-CA"/>
        </w:rPr>
        <w:t>qui n’impose pas de</w:t>
      </w:r>
      <w:r w:rsidRPr="0053635A">
        <w:rPr>
          <w:bCs/>
          <w:lang w:val="fr-CA"/>
        </w:rPr>
        <w:t xml:space="preserve"> </w:t>
      </w:r>
      <w:r w:rsidR="001D1D40">
        <w:rPr>
          <w:bCs/>
          <w:lang w:val="fr-CA"/>
        </w:rPr>
        <w:t>fardeau</w:t>
      </w:r>
      <w:r w:rsidRPr="0053635A">
        <w:rPr>
          <w:bCs/>
          <w:lang w:val="fr-CA"/>
        </w:rPr>
        <w:t xml:space="preserve"> administrati</w:t>
      </w:r>
      <w:r w:rsidR="001D1D40">
        <w:rPr>
          <w:bCs/>
          <w:lang w:val="fr-CA"/>
        </w:rPr>
        <w:t>f</w:t>
      </w:r>
      <w:r w:rsidRPr="0053635A">
        <w:rPr>
          <w:bCs/>
          <w:lang w:val="fr-CA"/>
        </w:rPr>
        <w:t xml:space="preserve"> n</w:t>
      </w:r>
      <w:r w:rsidR="001D1D40">
        <w:rPr>
          <w:bCs/>
          <w:lang w:val="fr-CA"/>
        </w:rPr>
        <w:t xml:space="preserve">’entraînerait pas l’application de </w:t>
      </w:r>
      <w:r w:rsidRPr="0053635A">
        <w:rPr>
          <w:bCs/>
          <w:lang w:val="fr-CA"/>
        </w:rPr>
        <w:t>l</w:t>
      </w:r>
      <w:r w:rsidR="009647E5">
        <w:rPr>
          <w:bCs/>
          <w:lang w:val="fr-CA"/>
        </w:rPr>
        <w:t>’</w:t>
      </w:r>
      <w:r w:rsidRPr="0053635A">
        <w:rPr>
          <w:bCs/>
          <w:lang w:val="fr-CA"/>
        </w:rPr>
        <w:t xml:space="preserve">élément A ni </w:t>
      </w:r>
      <w:r w:rsidR="001D1D40">
        <w:rPr>
          <w:bCs/>
          <w:lang w:val="fr-CA"/>
        </w:rPr>
        <w:t xml:space="preserve">de </w:t>
      </w:r>
      <w:r w:rsidRPr="0053635A">
        <w:rPr>
          <w:bCs/>
          <w:lang w:val="fr-CA"/>
        </w:rPr>
        <w:t>l</w:t>
      </w:r>
      <w:r w:rsidR="009647E5">
        <w:rPr>
          <w:bCs/>
          <w:lang w:val="fr-CA"/>
        </w:rPr>
        <w:t>’</w:t>
      </w:r>
      <w:r w:rsidRPr="0053635A">
        <w:rPr>
          <w:bCs/>
          <w:lang w:val="fr-CA"/>
        </w:rPr>
        <w:t xml:space="preserve">élément B lors de son </w:t>
      </w:r>
      <w:r w:rsidR="0027250D">
        <w:rPr>
          <w:bCs/>
          <w:lang w:val="fr-CA"/>
        </w:rPr>
        <w:t>adoption</w:t>
      </w:r>
      <w:r w:rsidRPr="0053635A">
        <w:rPr>
          <w:bCs/>
          <w:lang w:val="fr-CA"/>
        </w:rPr>
        <w:t xml:space="preserve">, mais </w:t>
      </w:r>
      <w:r w:rsidR="001D1D40">
        <w:rPr>
          <w:bCs/>
          <w:lang w:val="fr-CA"/>
        </w:rPr>
        <w:t>entraînerait l’application de</w:t>
      </w:r>
      <w:r w:rsidRPr="0053635A">
        <w:rPr>
          <w:bCs/>
          <w:lang w:val="fr-CA"/>
        </w:rPr>
        <w:t xml:space="preserve"> l</w:t>
      </w:r>
      <w:r w:rsidR="009647E5">
        <w:rPr>
          <w:bCs/>
          <w:lang w:val="fr-CA"/>
        </w:rPr>
        <w:t>’</w:t>
      </w:r>
      <w:r w:rsidRPr="0053635A">
        <w:rPr>
          <w:bCs/>
          <w:lang w:val="fr-CA"/>
        </w:rPr>
        <w:t xml:space="preserve">élément B lors de son abrogation. </w:t>
      </w:r>
    </w:p>
    <w:p w:rsidRPr="0053635A" w:rsidR="00C503C7" w:rsidP="00C503C7" w:rsidRDefault="00C503C7" w14:paraId="1974D7CC" w14:textId="77777777">
      <w:pPr>
        <w:tabs>
          <w:tab w:val="left" w:pos="9356"/>
        </w:tabs>
        <w:spacing w:after="0" w:line="240" w:lineRule="auto"/>
        <w:rPr>
          <w:bCs/>
          <w:lang w:val="fr-CA"/>
        </w:rPr>
      </w:pPr>
    </w:p>
    <w:p w:rsidRPr="0053635A" w:rsidR="00C503C7" w:rsidP="00C503C7" w:rsidRDefault="00C503C7" w14:paraId="32877258" w14:textId="53BEDA13">
      <w:pPr>
        <w:tabs>
          <w:tab w:val="left" w:pos="9356"/>
        </w:tabs>
        <w:spacing w:after="0" w:line="240" w:lineRule="auto"/>
        <w:rPr>
          <w:bCs/>
          <w:lang w:val="fr-CA"/>
        </w:rPr>
      </w:pPr>
      <w:r w:rsidRPr="0053635A">
        <w:rPr>
          <w:bCs/>
          <w:lang w:val="fr-CA"/>
        </w:rPr>
        <w:t xml:space="preserve">Aux fins de la règle du </w:t>
      </w:r>
      <w:r w:rsidR="00297C9D">
        <w:rPr>
          <w:bCs/>
          <w:lang w:val="fr-CA"/>
        </w:rPr>
        <w:t>«</w:t>
      </w:r>
      <w:r w:rsidR="009647E5">
        <w:rPr>
          <w:bCs/>
          <w:lang w:val="fr-CA"/>
        </w:rPr>
        <w:t> </w:t>
      </w:r>
      <w:r w:rsidRPr="0053635A">
        <w:rPr>
          <w:bCs/>
          <w:lang w:val="fr-CA"/>
        </w:rPr>
        <w:t>un pour un</w:t>
      </w:r>
      <w:r w:rsidR="009647E5">
        <w:rPr>
          <w:bCs/>
          <w:lang w:val="fr-CA"/>
        </w:rPr>
        <w:t> </w:t>
      </w:r>
      <w:r w:rsidR="00297C9D">
        <w:rPr>
          <w:bCs/>
          <w:lang w:val="fr-CA"/>
        </w:rPr>
        <w:t>»</w:t>
      </w:r>
      <w:r w:rsidRPr="0053635A">
        <w:rPr>
          <w:bCs/>
          <w:lang w:val="fr-CA"/>
        </w:rPr>
        <w:t>, l</w:t>
      </w:r>
      <w:r w:rsidR="009647E5">
        <w:rPr>
          <w:bCs/>
          <w:lang w:val="fr-CA"/>
        </w:rPr>
        <w:t>’</w:t>
      </w:r>
      <w:r w:rsidRPr="0053635A">
        <w:rPr>
          <w:bCs/>
          <w:lang w:val="fr-CA"/>
        </w:rPr>
        <w:t>abrogation du titre (et d</w:t>
      </w:r>
      <w:r w:rsidR="00297C9D">
        <w:rPr>
          <w:bCs/>
          <w:lang w:val="fr-CA"/>
        </w:rPr>
        <w:t>u fardeau</w:t>
      </w:r>
      <w:r w:rsidRPr="0053635A">
        <w:rPr>
          <w:bCs/>
          <w:lang w:val="fr-CA"/>
        </w:rPr>
        <w:t xml:space="preserve">, </w:t>
      </w:r>
      <w:r w:rsidR="003F600E">
        <w:rPr>
          <w:bCs/>
          <w:lang w:val="fr-CA"/>
        </w:rPr>
        <w:t>s’il y a lieu</w:t>
      </w:r>
      <w:r w:rsidRPr="0053635A">
        <w:rPr>
          <w:bCs/>
          <w:lang w:val="fr-CA"/>
        </w:rPr>
        <w:t xml:space="preserve">) est </w:t>
      </w:r>
      <w:r w:rsidR="003F600E">
        <w:rPr>
          <w:bCs/>
          <w:lang w:val="fr-CA"/>
        </w:rPr>
        <w:t>comptée comme une suppression de t</w:t>
      </w:r>
      <w:r w:rsidRPr="0053635A">
        <w:rPr>
          <w:bCs/>
          <w:lang w:val="fr-CA"/>
        </w:rPr>
        <w:t xml:space="preserve">itre (et </w:t>
      </w:r>
      <w:r w:rsidR="003F600E">
        <w:rPr>
          <w:bCs/>
          <w:lang w:val="fr-CA"/>
        </w:rPr>
        <w:t>de fardeau</w:t>
      </w:r>
      <w:r w:rsidRPr="0053635A">
        <w:rPr>
          <w:bCs/>
          <w:lang w:val="fr-CA"/>
        </w:rPr>
        <w:t xml:space="preserve">, </w:t>
      </w:r>
      <w:r w:rsidR="003F600E">
        <w:rPr>
          <w:bCs/>
          <w:lang w:val="fr-CA"/>
        </w:rPr>
        <w:t>s’il y a lieu</w:t>
      </w:r>
      <w:r w:rsidRPr="0053635A">
        <w:rPr>
          <w:bCs/>
          <w:lang w:val="fr-CA"/>
        </w:rPr>
        <w:t xml:space="preserve">) à la date de son abrogation. </w:t>
      </w:r>
      <w:r w:rsidR="003F600E">
        <w:rPr>
          <w:bCs/>
          <w:lang w:val="fr-CA"/>
        </w:rPr>
        <w:t xml:space="preserve">Ainsi, </w:t>
      </w:r>
      <w:r w:rsidRPr="0053635A">
        <w:rPr>
          <w:bCs/>
          <w:lang w:val="fr-CA"/>
        </w:rPr>
        <w:t>le nouveau titre et l</w:t>
      </w:r>
      <w:r w:rsidR="003F600E">
        <w:rPr>
          <w:bCs/>
          <w:lang w:val="fr-CA"/>
        </w:rPr>
        <w:t>e nouveau fardeau</w:t>
      </w:r>
      <w:r w:rsidRPr="0053635A">
        <w:rPr>
          <w:bCs/>
          <w:lang w:val="fr-CA"/>
        </w:rPr>
        <w:t xml:space="preserve"> comptent comme </w:t>
      </w:r>
      <w:r w:rsidR="003F600E">
        <w:rPr>
          <w:bCs/>
          <w:lang w:val="fr-CA"/>
        </w:rPr>
        <w:t xml:space="preserve">un ajout de </w:t>
      </w:r>
      <w:r w:rsidRPr="0053635A">
        <w:rPr>
          <w:bCs/>
          <w:lang w:val="fr-CA"/>
        </w:rPr>
        <w:t xml:space="preserve">titre et </w:t>
      </w:r>
      <w:r w:rsidR="003F600E">
        <w:rPr>
          <w:bCs/>
          <w:lang w:val="fr-CA"/>
        </w:rPr>
        <w:t>de fardeau</w:t>
      </w:r>
      <w:r w:rsidRPr="0053635A">
        <w:rPr>
          <w:bCs/>
          <w:lang w:val="fr-CA"/>
        </w:rPr>
        <w:t xml:space="preserve"> dès que le </w:t>
      </w:r>
      <w:r w:rsidRPr="0053635A">
        <w:rPr>
          <w:bCs/>
          <w:lang w:val="fr-CA"/>
        </w:rPr>
        <w:t>règlement est pris, mais l</w:t>
      </w:r>
      <w:r w:rsidR="009647E5">
        <w:rPr>
          <w:bCs/>
          <w:lang w:val="fr-CA"/>
        </w:rPr>
        <w:t>’</w:t>
      </w:r>
      <w:r w:rsidRPr="0053635A">
        <w:rPr>
          <w:bCs/>
          <w:lang w:val="fr-CA"/>
        </w:rPr>
        <w:t xml:space="preserve">abrogation ne compte comme </w:t>
      </w:r>
      <w:r w:rsidR="003F600E">
        <w:rPr>
          <w:bCs/>
          <w:lang w:val="fr-CA"/>
        </w:rPr>
        <w:t xml:space="preserve">une suppression de </w:t>
      </w:r>
      <w:r w:rsidRPr="0053635A">
        <w:rPr>
          <w:bCs/>
          <w:lang w:val="fr-CA"/>
        </w:rPr>
        <w:t xml:space="preserve">titre et </w:t>
      </w:r>
      <w:r w:rsidR="003F600E">
        <w:rPr>
          <w:bCs/>
          <w:lang w:val="fr-CA"/>
        </w:rPr>
        <w:t>de fardeau</w:t>
      </w:r>
      <w:r w:rsidRPr="0053635A">
        <w:rPr>
          <w:bCs/>
          <w:lang w:val="fr-CA"/>
        </w:rPr>
        <w:t xml:space="preserve"> qu</w:t>
      </w:r>
      <w:r w:rsidR="009647E5">
        <w:rPr>
          <w:bCs/>
          <w:lang w:val="fr-CA"/>
        </w:rPr>
        <w:t>’</w:t>
      </w:r>
      <w:r w:rsidRPr="0053635A">
        <w:rPr>
          <w:bCs/>
          <w:lang w:val="fr-CA"/>
        </w:rPr>
        <w:t>une fois qu</w:t>
      </w:r>
      <w:r w:rsidR="003F600E">
        <w:rPr>
          <w:bCs/>
          <w:lang w:val="fr-CA"/>
        </w:rPr>
        <w:t>e le titre</w:t>
      </w:r>
      <w:r w:rsidRPr="0053635A">
        <w:rPr>
          <w:bCs/>
          <w:lang w:val="fr-CA"/>
        </w:rPr>
        <w:t xml:space="preserve"> est effectivement abrogé. </w:t>
      </w:r>
      <w:r w:rsidR="003F600E">
        <w:rPr>
          <w:bCs/>
          <w:lang w:val="fr-CA"/>
        </w:rPr>
        <w:t xml:space="preserve">Il en est ainsi </w:t>
      </w:r>
      <w:r w:rsidRPr="0053635A">
        <w:rPr>
          <w:bCs/>
          <w:lang w:val="fr-CA"/>
        </w:rPr>
        <w:t>parce que le règlement pourrait être modifié de telle sorte que la disposition d</w:t>
      </w:r>
      <w:r w:rsidR="009647E5">
        <w:rPr>
          <w:bCs/>
          <w:lang w:val="fr-CA"/>
        </w:rPr>
        <w:t>’</w:t>
      </w:r>
      <w:r w:rsidRPr="0053635A">
        <w:rPr>
          <w:bCs/>
          <w:lang w:val="fr-CA"/>
        </w:rPr>
        <w:t xml:space="preserve">abrogation pourrait être modifiée ou ne pas être </w:t>
      </w:r>
      <w:r w:rsidR="003F600E">
        <w:rPr>
          <w:bCs/>
          <w:lang w:val="fr-CA"/>
        </w:rPr>
        <w:t>appliquée</w:t>
      </w:r>
      <w:r w:rsidRPr="0053635A">
        <w:rPr>
          <w:bCs/>
          <w:lang w:val="fr-CA"/>
        </w:rPr>
        <w:t>, ce qui ferait que l</w:t>
      </w:r>
      <w:r w:rsidR="003F600E">
        <w:rPr>
          <w:bCs/>
          <w:lang w:val="fr-CA"/>
        </w:rPr>
        <w:t>a suppression du</w:t>
      </w:r>
      <w:r w:rsidRPr="0053635A">
        <w:rPr>
          <w:bCs/>
          <w:lang w:val="fr-CA"/>
        </w:rPr>
        <w:t xml:space="preserve"> règlement ne se produirait pas réellement. </w:t>
      </w:r>
    </w:p>
    <w:p w:rsidRPr="0053635A" w:rsidR="00C503C7" w:rsidP="00C503C7" w:rsidRDefault="00C503C7" w14:paraId="113A6D84" w14:textId="77777777">
      <w:pPr>
        <w:tabs>
          <w:tab w:val="left" w:pos="9356"/>
        </w:tabs>
        <w:spacing w:after="0" w:line="240" w:lineRule="auto"/>
        <w:rPr>
          <w:bCs/>
          <w:lang w:val="fr-CA"/>
        </w:rPr>
      </w:pPr>
    </w:p>
    <w:p w:rsidRPr="0053635A" w:rsidR="00C503C7" w:rsidP="00C503C7" w:rsidRDefault="00C503C7" w14:paraId="098828BD" w14:textId="604F6169">
      <w:pPr>
        <w:tabs>
          <w:tab w:val="left" w:pos="9356"/>
        </w:tabs>
        <w:spacing w:after="0" w:line="240" w:lineRule="auto"/>
        <w:rPr>
          <w:bCs/>
          <w:lang w:val="fr-CA"/>
        </w:rPr>
      </w:pPr>
      <w:r w:rsidRPr="0053635A">
        <w:rPr>
          <w:bCs/>
          <w:lang w:val="fr-CA"/>
        </w:rPr>
        <w:t>Lorsqu</w:t>
      </w:r>
      <w:r w:rsidR="003F600E">
        <w:rPr>
          <w:bCs/>
          <w:lang w:val="fr-CA"/>
        </w:rPr>
        <w:t>e vous devez consigner</w:t>
      </w:r>
      <w:r w:rsidRPr="0053635A">
        <w:rPr>
          <w:bCs/>
          <w:lang w:val="fr-CA"/>
        </w:rPr>
        <w:t xml:space="preserve"> l</w:t>
      </w:r>
      <w:r w:rsidR="009647E5">
        <w:rPr>
          <w:bCs/>
          <w:lang w:val="fr-CA"/>
        </w:rPr>
        <w:t>’</w:t>
      </w:r>
      <w:r w:rsidRPr="0053635A">
        <w:rPr>
          <w:bCs/>
          <w:lang w:val="fr-CA"/>
        </w:rPr>
        <w:t>abrogation d</w:t>
      </w:r>
      <w:r w:rsidR="009647E5">
        <w:rPr>
          <w:bCs/>
          <w:lang w:val="fr-CA"/>
        </w:rPr>
        <w:t>’</w:t>
      </w:r>
      <w:r w:rsidRPr="0053635A">
        <w:rPr>
          <w:bCs/>
          <w:lang w:val="fr-CA"/>
        </w:rPr>
        <w:t xml:space="preserve">un règlement qui imposait un </w:t>
      </w:r>
      <w:r w:rsidR="003F600E">
        <w:rPr>
          <w:bCs/>
          <w:lang w:val="fr-CA"/>
        </w:rPr>
        <w:t>fardeau</w:t>
      </w:r>
      <w:r w:rsidRPr="0053635A">
        <w:rPr>
          <w:bCs/>
          <w:lang w:val="fr-CA"/>
        </w:rPr>
        <w:t xml:space="preserve"> administrati</w:t>
      </w:r>
      <w:r w:rsidR="003F600E">
        <w:rPr>
          <w:bCs/>
          <w:lang w:val="fr-CA"/>
        </w:rPr>
        <w:t>f</w:t>
      </w:r>
      <w:r w:rsidRPr="0053635A">
        <w:rPr>
          <w:bCs/>
          <w:lang w:val="fr-CA"/>
        </w:rPr>
        <w:t xml:space="preserve"> aux entreprises, vous devez indiquer l</w:t>
      </w:r>
      <w:r w:rsidR="003F600E">
        <w:rPr>
          <w:bCs/>
          <w:lang w:val="fr-CA"/>
        </w:rPr>
        <w:t xml:space="preserve">es répercussions </w:t>
      </w:r>
      <w:r w:rsidRPr="0053635A">
        <w:rPr>
          <w:bCs/>
          <w:lang w:val="fr-CA"/>
        </w:rPr>
        <w:t>différentiel</w:t>
      </w:r>
      <w:r w:rsidR="002971D3">
        <w:rPr>
          <w:bCs/>
          <w:lang w:val="fr-CA"/>
        </w:rPr>
        <w:t>les</w:t>
      </w:r>
      <w:r w:rsidRPr="0053635A">
        <w:rPr>
          <w:bCs/>
          <w:lang w:val="fr-CA"/>
        </w:rPr>
        <w:t xml:space="preserve"> de l</w:t>
      </w:r>
      <w:r w:rsidR="009647E5">
        <w:rPr>
          <w:bCs/>
          <w:lang w:val="fr-CA"/>
        </w:rPr>
        <w:t>’</w:t>
      </w:r>
      <w:r w:rsidRPr="0053635A">
        <w:rPr>
          <w:bCs/>
          <w:lang w:val="fr-CA"/>
        </w:rPr>
        <w:t>abrogation. Pour l</w:t>
      </w:r>
      <w:r w:rsidR="009647E5">
        <w:rPr>
          <w:bCs/>
          <w:lang w:val="fr-CA"/>
        </w:rPr>
        <w:t>’</w:t>
      </w:r>
      <w:r w:rsidRPr="0053635A">
        <w:rPr>
          <w:bCs/>
          <w:lang w:val="fr-CA"/>
        </w:rPr>
        <w:t>élément A (</w:t>
      </w:r>
      <w:r w:rsidR="002971D3">
        <w:rPr>
          <w:bCs/>
          <w:lang w:val="fr-CA"/>
        </w:rPr>
        <w:t>fardeau</w:t>
      </w:r>
      <w:r w:rsidRPr="0053635A">
        <w:rPr>
          <w:bCs/>
          <w:lang w:val="fr-CA"/>
        </w:rPr>
        <w:t>), étant donné qu</w:t>
      </w:r>
      <w:r w:rsidR="009647E5">
        <w:rPr>
          <w:bCs/>
          <w:lang w:val="fr-CA"/>
        </w:rPr>
        <w:t>’</w:t>
      </w:r>
      <w:r w:rsidRPr="0053635A">
        <w:rPr>
          <w:bCs/>
          <w:lang w:val="fr-CA"/>
        </w:rPr>
        <w:t>il n</w:t>
      </w:r>
      <w:r w:rsidR="009647E5">
        <w:rPr>
          <w:bCs/>
          <w:lang w:val="fr-CA"/>
        </w:rPr>
        <w:t>’</w:t>
      </w:r>
      <w:r w:rsidRPr="0053635A">
        <w:rPr>
          <w:bCs/>
          <w:lang w:val="fr-CA"/>
        </w:rPr>
        <w:t>y a pas de modification réglementaire distincte, il n</w:t>
      </w:r>
      <w:r w:rsidR="009647E5">
        <w:rPr>
          <w:bCs/>
          <w:lang w:val="fr-CA"/>
        </w:rPr>
        <w:t>’</w:t>
      </w:r>
      <w:r w:rsidRPr="0053635A">
        <w:rPr>
          <w:bCs/>
          <w:lang w:val="fr-CA"/>
        </w:rPr>
        <w:t xml:space="preserve">est pas possible de recalculer </w:t>
      </w:r>
      <w:r w:rsidR="002971D3">
        <w:rPr>
          <w:bCs/>
          <w:lang w:val="fr-CA"/>
        </w:rPr>
        <w:t xml:space="preserve">le coût de </w:t>
      </w:r>
      <w:r w:rsidRPr="0053635A">
        <w:rPr>
          <w:bCs/>
          <w:lang w:val="fr-CA"/>
        </w:rPr>
        <w:t>ce</w:t>
      </w:r>
      <w:r w:rsidR="002971D3">
        <w:rPr>
          <w:bCs/>
          <w:lang w:val="fr-CA"/>
        </w:rPr>
        <w:t>s répercussions</w:t>
      </w:r>
      <w:r w:rsidRPr="0053635A">
        <w:rPr>
          <w:bCs/>
          <w:lang w:val="fr-CA"/>
        </w:rPr>
        <w:t>. Dans ce cas, vous devrez vous appuyer sur le calcul initial d</w:t>
      </w:r>
      <w:r w:rsidR="002971D3">
        <w:rPr>
          <w:bCs/>
          <w:lang w:val="fr-CA"/>
        </w:rPr>
        <w:t>u coût annualisé des répercussions</w:t>
      </w:r>
      <w:r w:rsidRPr="0053635A">
        <w:rPr>
          <w:bCs/>
          <w:lang w:val="fr-CA"/>
        </w:rPr>
        <w:t>. Pour l</w:t>
      </w:r>
      <w:r w:rsidR="009647E5">
        <w:rPr>
          <w:bCs/>
          <w:lang w:val="fr-CA"/>
        </w:rPr>
        <w:t>’</w:t>
      </w:r>
      <w:r w:rsidRPr="0053635A">
        <w:rPr>
          <w:bCs/>
          <w:lang w:val="fr-CA"/>
        </w:rPr>
        <w:t xml:space="preserve">élément B (titres), le titre qui était compté comme un titre </w:t>
      </w:r>
      <w:r w:rsidR="002971D3">
        <w:rPr>
          <w:bCs/>
          <w:lang w:val="fr-CA"/>
        </w:rPr>
        <w:t>ajouté</w:t>
      </w:r>
      <w:r w:rsidRPr="0053635A">
        <w:rPr>
          <w:bCs/>
          <w:lang w:val="fr-CA"/>
        </w:rPr>
        <w:t xml:space="preserve"> est simplement compté comme un titre </w:t>
      </w:r>
      <w:r w:rsidR="002971D3">
        <w:rPr>
          <w:bCs/>
          <w:lang w:val="fr-CA"/>
        </w:rPr>
        <w:t>supprimé</w:t>
      </w:r>
      <w:r w:rsidRPr="0053635A">
        <w:rPr>
          <w:bCs/>
          <w:lang w:val="fr-CA"/>
        </w:rPr>
        <w:t xml:space="preserve">. </w:t>
      </w:r>
    </w:p>
    <w:p w:rsidRPr="0053635A" w:rsidR="00C503C7" w:rsidP="00C503C7" w:rsidRDefault="00C503C7" w14:paraId="478F8E96" w14:textId="77777777">
      <w:pPr>
        <w:tabs>
          <w:tab w:val="left" w:pos="9356"/>
        </w:tabs>
        <w:spacing w:after="0" w:line="240" w:lineRule="auto"/>
        <w:rPr>
          <w:bCs/>
          <w:lang w:val="fr-CA"/>
        </w:rPr>
      </w:pPr>
    </w:p>
    <w:p w:rsidRPr="0053635A" w:rsidR="00C503C7" w:rsidP="00C503C7" w:rsidRDefault="00C503C7" w14:paraId="695DE59C" w14:textId="4BEDFADE">
      <w:pPr>
        <w:tabs>
          <w:tab w:val="left" w:pos="9356"/>
        </w:tabs>
        <w:spacing w:after="0" w:line="240" w:lineRule="auto"/>
        <w:rPr>
          <w:bCs/>
          <w:lang w:val="fr-CA"/>
        </w:rPr>
      </w:pPr>
      <w:r w:rsidRPr="0053635A">
        <w:rPr>
          <w:bCs/>
          <w:lang w:val="fr-CA"/>
        </w:rPr>
        <w:t>Pour les règlements qui n</w:t>
      </w:r>
      <w:r w:rsidR="009647E5">
        <w:rPr>
          <w:bCs/>
          <w:lang w:val="fr-CA"/>
        </w:rPr>
        <w:t>’</w:t>
      </w:r>
      <w:r w:rsidRPr="0053635A">
        <w:rPr>
          <w:bCs/>
          <w:lang w:val="fr-CA"/>
        </w:rPr>
        <w:t xml:space="preserve">imposent pas de </w:t>
      </w:r>
      <w:r w:rsidR="001167E0">
        <w:rPr>
          <w:bCs/>
          <w:lang w:val="fr-CA"/>
        </w:rPr>
        <w:t>fardeau</w:t>
      </w:r>
      <w:r w:rsidRPr="0053635A">
        <w:rPr>
          <w:bCs/>
          <w:lang w:val="fr-CA"/>
        </w:rPr>
        <w:t xml:space="preserve"> administrati</w:t>
      </w:r>
      <w:r w:rsidR="001167E0">
        <w:rPr>
          <w:bCs/>
          <w:lang w:val="fr-CA"/>
        </w:rPr>
        <w:t>f</w:t>
      </w:r>
      <w:r w:rsidRPr="0053635A">
        <w:rPr>
          <w:bCs/>
          <w:lang w:val="fr-CA"/>
        </w:rPr>
        <w:t xml:space="preserve"> aux entreprises, la règle</w:t>
      </w:r>
      <w:r w:rsidR="001167E0">
        <w:rPr>
          <w:bCs/>
          <w:lang w:val="fr-CA"/>
        </w:rPr>
        <w:t xml:space="preserve"> du</w:t>
      </w:r>
      <w:r w:rsidRPr="0053635A">
        <w:rPr>
          <w:bCs/>
          <w:lang w:val="fr-CA"/>
        </w:rPr>
        <w:t xml:space="preserve"> </w:t>
      </w:r>
      <w:r w:rsidR="001167E0">
        <w:rPr>
          <w:bCs/>
          <w:lang w:val="fr-CA"/>
        </w:rPr>
        <w:t>«</w:t>
      </w:r>
      <w:r w:rsidR="009647E5">
        <w:rPr>
          <w:bCs/>
          <w:lang w:val="fr-CA"/>
        </w:rPr>
        <w:t> </w:t>
      </w:r>
      <w:r w:rsidRPr="0053635A">
        <w:rPr>
          <w:bCs/>
          <w:lang w:val="fr-CA"/>
        </w:rPr>
        <w:t>un pour un</w:t>
      </w:r>
      <w:r w:rsidR="009647E5">
        <w:rPr>
          <w:bCs/>
          <w:lang w:val="fr-CA"/>
        </w:rPr>
        <w:t> </w:t>
      </w:r>
      <w:r w:rsidR="001167E0">
        <w:rPr>
          <w:bCs/>
          <w:lang w:val="fr-CA"/>
        </w:rPr>
        <w:t>»</w:t>
      </w:r>
      <w:r w:rsidRPr="0053635A">
        <w:rPr>
          <w:bCs/>
          <w:lang w:val="fr-CA"/>
        </w:rPr>
        <w:t xml:space="preserve"> n</w:t>
      </w:r>
      <w:r w:rsidR="001167E0">
        <w:rPr>
          <w:bCs/>
          <w:lang w:val="fr-CA"/>
        </w:rPr>
        <w:t xml:space="preserve">e s’applique pas </w:t>
      </w:r>
      <w:r w:rsidRPr="0053635A">
        <w:rPr>
          <w:bCs/>
          <w:lang w:val="fr-CA"/>
        </w:rPr>
        <w:t xml:space="preserve">lorsque le règlement est </w:t>
      </w:r>
      <w:r w:rsidR="001167E0">
        <w:rPr>
          <w:bCs/>
          <w:lang w:val="fr-CA"/>
        </w:rPr>
        <w:t>pris</w:t>
      </w:r>
      <w:r w:rsidRPr="0053635A">
        <w:rPr>
          <w:bCs/>
          <w:lang w:val="fr-CA"/>
        </w:rPr>
        <w:t>. Toutefois, l</w:t>
      </w:r>
      <w:r w:rsidR="009647E5">
        <w:rPr>
          <w:bCs/>
          <w:lang w:val="fr-CA"/>
        </w:rPr>
        <w:t>’</w:t>
      </w:r>
      <w:r w:rsidRPr="0053635A">
        <w:rPr>
          <w:bCs/>
          <w:lang w:val="fr-CA"/>
        </w:rPr>
        <w:t xml:space="preserve">abrogation du règlement </w:t>
      </w:r>
      <w:r w:rsidR="001167E0">
        <w:rPr>
          <w:bCs/>
          <w:lang w:val="fr-CA"/>
        </w:rPr>
        <w:t>entraînerait l’application de</w:t>
      </w:r>
      <w:r w:rsidRPr="0053635A">
        <w:rPr>
          <w:bCs/>
          <w:lang w:val="fr-CA"/>
        </w:rPr>
        <w:t xml:space="preserve"> l</w:t>
      </w:r>
      <w:r w:rsidR="009647E5">
        <w:rPr>
          <w:bCs/>
          <w:lang w:val="fr-CA"/>
        </w:rPr>
        <w:t>’</w:t>
      </w:r>
      <w:r w:rsidRPr="0053635A">
        <w:rPr>
          <w:bCs/>
          <w:lang w:val="fr-CA"/>
        </w:rPr>
        <w:t xml:space="preserve">élément B, ce qui signifie que le résultat net final </w:t>
      </w:r>
      <w:r w:rsidR="001167E0">
        <w:rPr>
          <w:bCs/>
          <w:lang w:val="fr-CA"/>
        </w:rPr>
        <w:t xml:space="preserve">correspondrait à un fardeau </w:t>
      </w:r>
      <w:r w:rsidRPr="0053635A">
        <w:rPr>
          <w:bCs/>
          <w:lang w:val="fr-CA"/>
        </w:rPr>
        <w:t>administrati</w:t>
      </w:r>
      <w:r w:rsidR="001167E0">
        <w:rPr>
          <w:bCs/>
          <w:lang w:val="fr-CA"/>
        </w:rPr>
        <w:t>f</w:t>
      </w:r>
      <w:r w:rsidRPr="0053635A">
        <w:rPr>
          <w:bCs/>
          <w:lang w:val="fr-CA"/>
        </w:rPr>
        <w:t xml:space="preserve"> nul</w:t>
      </w:r>
      <w:r w:rsidR="001167E0">
        <w:rPr>
          <w:bCs/>
          <w:lang w:val="fr-CA"/>
        </w:rPr>
        <w:t>,</w:t>
      </w:r>
      <w:r w:rsidRPr="0053635A">
        <w:rPr>
          <w:bCs/>
          <w:lang w:val="fr-CA"/>
        </w:rPr>
        <w:t xml:space="preserve"> mais </w:t>
      </w:r>
      <w:r w:rsidR="00241DF7">
        <w:rPr>
          <w:bCs/>
          <w:lang w:val="fr-CA"/>
        </w:rPr>
        <w:t xml:space="preserve">à </w:t>
      </w:r>
      <w:r w:rsidRPr="0053635A">
        <w:rPr>
          <w:bCs/>
          <w:lang w:val="fr-CA"/>
        </w:rPr>
        <w:t>un titre réglementaire en moins. Le titre supprimé n</w:t>
      </w:r>
      <w:r w:rsidR="009647E5">
        <w:rPr>
          <w:bCs/>
          <w:lang w:val="fr-CA"/>
        </w:rPr>
        <w:t>’</w:t>
      </w:r>
      <w:r w:rsidRPr="0053635A">
        <w:rPr>
          <w:bCs/>
          <w:lang w:val="fr-CA"/>
        </w:rPr>
        <w:t>est pas compté tant que l</w:t>
      </w:r>
      <w:r w:rsidR="009647E5">
        <w:rPr>
          <w:bCs/>
          <w:lang w:val="fr-CA"/>
        </w:rPr>
        <w:t>’</w:t>
      </w:r>
      <w:r w:rsidRPr="0053635A">
        <w:rPr>
          <w:bCs/>
          <w:lang w:val="fr-CA"/>
        </w:rPr>
        <w:t>abrogation n</w:t>
      </w:r>
      <w:r w:rsidR="009647E5">
        <w:rPr>
          <w:bCs/>
          <w:lang w:val="fr-CA"/>
        </w:rPr>
        <w:t>’</w:t>
      </w:r>
      <w:r w:rsidRPr="0053635A">
        <w:rPr>
          <w:bCs/>
          <w:lang w:val="fr-CA"/>
        </w:rPr>
        <w:t xml:space="preserve">a pas eu lieu officiellement. Le solde négatif résulte des différents critères applicables aux titres </w:t>
      </w:r>
      <w:r w:rsidR="00241DF7">
        <w:rPr>
          <w:bCs/>
          <w:lang w:val="fr-CA"/>
        </w:rPr>
        <w:t>ajoutés</w:t>
      </w:r>
      <w:r w:rsidRPr="0053635A">
        <w:rPr>
          <w:bCs/>
          <w:lang w:val="fr-CA"/>
        </w:rPr>
        <w:t xml:space="preserve"> et aux titres </w:t>
      </w:r>
      <w:r w:rsidR="00241DF7">
        <w:rPr>
          <w:bCs/>
          <w:lang w:val="fr-CA"/>
        </w:rPr>
        <w:t>supprimés</w:t>
      </w:r>
      <w:r w:rsidRPr="0053635A">
        <w:rPr>
          <w:bCs/>
          <w:lang w:val="fr-CA"/>
        </w:rPr>
        <w:t xml:space="preserve"> en vertu du paragraphe</w:t>
      </w:r>
      <w:r w:rsidR="009647E5">
        <w:rPr>
          <w:bCs/>
          <w:lang w:val="fr-CA"/>
        </w:rPr>
        <w:t> </w:t>
      </w:r>
      <w:r w:rsidRPr="0053635A">
        <w:rPr>
          <w:bCs/>
          <w:lang w:val="fr-CA"/>
        </w:rPr>
        <w:t xml:space="preserve">5(2) de la </w:t>
      </w:r>
      <w:r w:rsidRPr="0053635A" w:rsidR="00241DF7">
        <w:rPr>
          <w:bCs/>
          <w:i/>
          <w:iCs/>
          <w:lang w:val="fr-CA"/>
        </w:rPr>
        <w:t>L</w:t>
      </w:r>
      <w:r w:rsidRPr="0053635A">
        <w:rPr>
          <w:bCs/>
          <w:i/>
          <w:iCs/>
          <w:lang w:val="fr-CA"/>
        </w:rPr>
        <w:t>oi sur la réduction de</w:t>
      </w:r>
      <w:r w:rsidRPr="0053635A" w:rsidR="00241DF7">
        <w:rPr>
          <w:bCs/>
          <w:i/>
          <w:iCs/>
          <w:lang w:val="fr-CA"/>
        </w:rPr>
        <w:t xml:space="preserve"> la paperasse</w:t>
      </w:r>
      <w:r w:rsidRPr="0053635A">
        <w:rPr>
          <w:bCs/>
          <w:lang w:val="fr-CA"/>
        </w:rPr>
        <w:t>.</w:t>
      </w:r>
    </w:p>
    <w:p w:rsidRPr="0053635A" w:rsidR="00C503C7" w:rsidP="00C503C7" w:rsidRDefault="00C503C7" w14:paraId="523E78B3" w14:textId="77777777">
      <w:pPr>
        <w:tabs>
          <w:tab w:val="left" w:pos="9356"/>
        </w:tabs>
        <w:spacing w:after="0" w:line="240" w:lineRule="auto"/>
        <w:rPr>
          <w:bCs/>
          <w:lang w:val="fr-CA"/>
        </w:rPr>
      </w:pPr>
    </w:p>
    <w:p w:rsidRPr="0053635A" w:rsidR="00C503C7" w:rsidP="00C503C7" w:rsidRDefault="00C503C7" w14:paraId="41A93B80" w14:textId="0B20A7ED">
      <w:pPr>
        <w:tabs>
          <w:tab w:val="left" w:pos="9356"/>
        </w:tabs>
        <w:spacing w:after="0" w:line="240" w:lineRule="auto"/>
        <w:rPr>
          <w:bCs/>
          <w:lang w:val="fr-CA"/>
        </w:rPr>
      </w:pPr>
      <w:r w:rsidRPr="0053635A">
        <w:rPr>
          <w:bCs/>
          <w:lang w:val="fr-CA"/>
        </w:rPr>
        <w:t>Lorsque la date d</w:t>
      </w:r>
      <w:r w:rsidR="009647E5">
        <w:rPr>
          <w:bCs/>
          <w:lang w:val="fr-CA"/>
        </w:rPr>
        <w:t>’</w:t>
      </w:r>
      <w:r w:rsidRPr="0053635A">
        <w:rPr>
          <w:bCs/>
          <w:lang w:val="fr-CA"/>
        </w:rPr>
        <w:t>abrogation est précis</w:t>
      </w:r>
      <w:r w:rsidR="00241DF7">
        <w:rPr>
          <w:bCs/>
          <w:lang w:val="fr-CA"/>
        </w:rPr>
        <w:t>é</w:t>
      </w:r>
      <w:r w:rsidRPr="0053635A">
        <w:rPr>
          <w:bCs/>
          <w:lang w:val="fr-CA"/>
        </w:rPr>
        <w:t xml:space="preserve">e, </w:t>
      </w:r>
      <w:r w:rsidR="00241DF7">
        <w:rPr>
          <w:bCs/>
          <w:lang w:val="fr-CA"/>
        </w:rPr>
        <w:t xml:space="preserve">indiquez-la </w:t>
      </w:r>
      <w:r w:rsidRPr="0053635A">
        <w:rPr>
          <w:bCs/>
          <w:lang w:val="fr-CA"/>
        </w:rPr>
        <w:t>dans le REIR et précise</w:t>
      </w:r>
      <w:r w:rsidR="00241DF7">
        <w:rPr>
          <w:bCs/>
          <w:lang w:val="fr-CA"/>
        </w:rPr>
        <w:t>z</w:t>
      </w:r>
      <w:r w:rsidRPr="0053635A">
        <w:rPr>
          <w:bCs/>
          <w:lang w:val="fr-CA"/>
        </w:rPr>
        <w:t xml:space="preserve"> que l</w:t>
      </w:r>
      <w:r w:rsidR="009647E5">
        <w:rPr>
          <w:bCs/>
          <w:lang w:val="fr-CA"/>
        </w:rPr>
        <w:t>’</w:t>
      </w:r>
      <w:r w:rsidRPr="0053635A">
        <w:rPr>
          <w:bCs/>
          <w:lang w:val="fr-CA"/>
        </w:rPr>
        <w:t>abrogation sera prise en compte à partir de cette date. S</w:t>
      </w:r>
      <w:r w:rsidR="00241DF7">
        <w:rPr>
          <w:bCs/>
          <w:lang w:val="fr-CA"/>
        </w:rPr>
        <w:t>’il s’agit d’une</w:t>
      </w:r>
      <w:r w:rsidRPr="0053635A">
        <w:rPr>
          <w:bCs/>
          <w:lang w:val="fr-CA"/>
        </w:rPr>
        <w:t xml:space="preserve"> date d</w:t>
      </w:r>
      <w:r w:rsidR="009647E5">
        <w:rPr>
          <w:bCs/>
          <w:lang w:val="fr-CA"/>
        </w:rPr>
        <w:t>’</w:t>
      </w:r>
      <w:r w:rsidRPr="0053635A">
        <w:rPr>
          <w:bCs/>
          <w:lang w:val="fr-CA"/>
        </w:rPr>
        <w:t>abrogation variable (par exemple, liée à l</w:t>
      </w:r>
      <w:r w:rsidR="009647E5">
        <w:rPr>
          <w:bCs/>
          <w:lang w:val="fr-CA"/>
        </w:rPr>
        <w:t>’</w:t>
      </w:r>
      <w:r w:rsidRPr="0053635A">
        <w:rPr>
          <w:bCs/>
          <w:lang w:val="fr-CA"/>
        </w:rPr>
        <w:t>entrée en vigueur d</w:t>
      </w:r>
      <w:r w:rsidR="009647E5">
        <w:rPr>
          <w:bCs/>
          <w:lang w:val="fr-CA"/>
        </w:rPr>
        <w:t>’</w:t>
      </w:r>
      <w:r w:rsidRPr="0053635A">
        <w:rPr>
          <w:bCs/>
          <w:lang w:val="fr-CA"/>
        </w:rPr>
        <w:t>un instrument distinct d</w:t>
      </w:r>
      <w:r w:rsidR="009647E5">
        <w:rPr>
          <w:bCs/>
          <w:lang w:val="fr-CA"/>
        </w:rPr>
        <w:t>’</w:t>
      </w:r>
      <w:r w:rsidRPr="0053635A">
        <w:rPr>
          <w:bCs/>
          <w:lang w:val="fr-CA"/>
        </w:rPr>
        <w:t>une mesure non réglementaire), indiquez-le également. L</w:t>
      </w:r>
      <w:r w:rsidR="009647E5">
        <w:rPr>
          <w:bCs/>
          <w:lang w:val="fr-CA"/>
        </w:rPr>
        <w:t>’</w:t>
      </w:r>
      <w:r w:rsidRPr="0053635A">
        <w:rPr>
          <w:bCs/>
          <w:lang w:val="fr-CA"/>
        </w:rPr>
        <w:t xml:space="preserve">analyste du </w:t>
      </w:r>
      <w:r w:rsidR="00241DF7">
        <w:rPr>
          <w:bCs/>
          <w:lang w:val="fr-CA"/>
        </w:rPr>
        <w:t>S</w:t>
      </w:r>
      <w:r w:rsidRPr="0053635A">
        <w:rPr>
          <w:bCs/>
          <w:lang w:val="fr-CA"/>
        </w:rPr>
        <w:t xml:space="preserve">ecteur des affaires réglementaires </w:t>
      </w:r>
      <w:r w:rsidR="00241DF7">
        <w:rPr>
          <w:bCs/>
          <w:lang w:val="fr-CA"/>
        </w:rPr>
        <w:t>indiquera</w:t>
      </w:r>
      <w:r w:rsidRPr="0053635A">
        <w:rPr>
          <w:bCs/>
          <w:lang w:val="fr-CA"/>
        </w:rPr>
        <w:t xml:space="preserve"> alors, dans la section du REIR consacrée à la règle </w:t>
      </w:r>
      <w:r w:rsidR="00F24A5E">
        <w:rPr>
          <w:bCs/>
          <w:lang w:val="fr-CA"/>
        </w:rPr>
        <w:t xml:space="preserve">du </w:t>
      </w:r>
      <w:r w:rsidR="00241DF7">
        <w:rPr>
          <w:bCs/>
          <w:lang w:val="fr-CA"/>
        </w:rPr>
        <w:t>«</w:t>
      </w:r>
      <w:r w:rsidR="009647E5">
        <w:rPr>
          <w:bCs/>
          <w:lang w:val="fr-CA"/>
        </w:rPr>
        <w:t> </w:t>
      </w:r>
      <w:r w:rsidRPr="0053635A">
        <w:rPr>
          <w:bCs/>
          <w:lang w:val="fr-CA"/>
        </w:rPr>
        <w:t>un pour un</w:t>
      </w:r>
      <w:r w:rsidR="009647E5">
        <w:rPr>
          <w:bCs/>
          <w:lang w:val="fr-CA"/>
        </w:rPr>
        <w:t> </w:t>
      </w:r>
      <w:r w:rsidR="00241DF7">
        <w:rPr>
          <w:bCs/>
          <w:lang w:val="fr-CA"/>
        </w:rPr>
        <w:t>»</w:t>
      </w:r>
      <w:r w:rsidRPr="0053635A">
        <w:rPr>
          <w:bCs/>
          <w:lang w:val="fr-CA"/>
        </w:rPr>
        <w:t>, les conditions de l</w:t>
      </w:r>
      <w:r w:rsidR="009647E5">
        <w:rPr>
          <w:bCs/>
          <w:lang w:val="fr-CA"/>
        </w:rPr>
        <w:t>’</w:t>
      </w:r>
      <w:r w:rsidRPr="0053635A">
        <w:rPr>
          <w:bCs/>
          <w:lang w:val="fr-CA"/>
        </w:rPr>
        <w:t>abrogation éventuelle. Informe</w:t>
      </w:r>
      <w:r w:rsidR="00241DF7">
        <w:rPr>
          <w:bCs/>
          <w:lang w:val="fr-CA"/>
        </w:rPr>
        <w:t>z</w:t>
      </w:r>
      <w:r w:rsidRPr="0053635A">
        <w:rPr>
          <w:bCs/>
          <w:lang w:val="fr-CA"/>
        </w:rPr>
        <w:t xml:space="preserve"> l</w:t>
      </w:r>
      <w:r w:rsidR="009647E5">
        <w:rPr>
          <w:bCs/>
          <w:lang w:val="fr-CA"/>
        </w:rPr>
        <w:t>’</w:t>
      </w:r>
      <w:r w:rsidRPr="0053635A">
        <w:rPr>
          <w:bCs/>
          <w:lang w:val="fr-CA"/>
        </w:rPr>
        <w:t xml:space="preserve">analyste du </w:t>
      </w:r>
      <w:r w:rsidR="00241DF7">
        <w:rPr>
          <w:bCs/>
          <w:lang w:val="fr-CA"/>
        </w:rPr>
        <w:t>S</w:t>
      </w:r>
      <w:r w:rsidRPr="0053635A">
        <w:rPr>
          <w:bCs/>
          <w:lang w:val="fr-CA"/>
        </w:rPr>
        <w:t>ecteur des affaires réglementaires</w:t>
      </w:r>
      <w:r w:rsidR="00241DF7">
        <w:rPr>
          <w:bCs/>
          <w:lang w:val="fr-CA"/>
        </w:rPr>
        <w:t xml:space="preserve"> à l’approche de </w:t>
      </w:r>
      <w:r w:rsidRPr="0053635A">
        <w:rPr>
          <w:bCs/>
          <w:lang w:val="fr-CA"/>
        </w:rPr>
        <w:t>l</w:t>
      </w:r>
      <w:r w:rsidR="00241DF7">
        <w:rPr>
          <w:bCs/>
          <w:lang w:val="fr-CA"/>
        </w:rPr>
        <w:t xml:space="preserve">a date de </w:t>
      </w:r>
      <w:r w:rsidRPr="0053635A">
        <w:rPr>
          <w:bCs/>
          <w:lang w:val="fr-CA"/>
        </w:rPr>
        <w:t>l</w:t>
      </w:r>
      <w:r w:rsidR="009647E5">
        <w:rPr>
          <w:bCs/>
          <w:lang w:val="fr-CA"/>
        </w:rPr>
        <w:t>’</w:t>
      </w:r>
      <w:r w:rsidRPr="0053635A">
        <w:rPr>
          <w:bCs/>
          <w:lang w:val="fr-CA"/>
        </w:rPr>
        <w:t xml:space="preserve">abrogation.  </w:t>
      </w:r>
    </w:p>
    <w:p w:rsidRPr="0053635A" w:rsidR="00C503C7" w:rsidP="00C503C7" w:rsidRDefault="00C503C7" w14:paraId="145C7A7D" w14:textId="77777777">
      <w:pPr>
        <w:tabs>
          <w:tab w:val="left" w:pos="9356"/>
        </w:tabs>
        <w:spacing w:after="0" w:line="240" w:lineRule="auto"/>
        <w:rPr>
          <w:bCs/>
          <w:lang w:val="fr-CA"/>
        </w:rPr>
      </w:pPr>
    </w:p>
    <w:p w:rsidRPr="0053635A" w:rsidR="00C503C7" w:rsidP="00C503C7" w:rsidRDefault="00C503C7" w14:paraId="69E25269" w14:textId="226ACF00">
      <w:pPr>
        <w:tabs>
          <w:tab w:val="left" w:pos="9356"/>
        </w:tabs>
        <w:spacing w:after="0" w:line="240" w:lineRule="auto"/>
        <w:rPr>
          <w:bCs/>
          <w:caps/>
          <w:lang w:val="fr-CA"/>
        </w:rPr>
      </w:pPr>
      <w:r w:rsidRPr="0053635A">
        <w:rPr>
          <w:bCs/>
          <w:lang w:val="fr-CA"/>
        </w:rPr>
        <w:t>Aux fins de l</w:t>
      </w:r>
      <w:r w:rsidR="009647E5">
        <w:rPr>
          <w:bCs/>
          <w:lang w:val="fr-CA"/>
        </w:rPr>
        <w:t>’</w:t>
      </w:r>
      <w:r w:rsidRPr="0053635A">
        <w:rPr>
          <w:bCs/>
          <w:lang w:val="fr-CA"/>
        </w:rPr>
        <w:t>établissement de rapports publics, les abrogations automatiques sont compt</w:t>
      </w:r>
      <w:r w:rsidR="00241DF7">
        <w:rPr>
          <w:bCs/>
          <w:lang w:val="fr-CA"/>
        </w:rPr>
        <w:t>é</w:t>
      </w:r>
      <w:r w:rsidR="00507239">
        <w:rPr>
          <w:bCs/>
          <w:lang w:val="fr-CA"/>
        </w:rPr>
        <w:t>e</w:t>
      </w:r>
      <w:r w:rsidR="00241DF7">
        <w:rPr>
          <w:bCs/>
          <w:lang w:val="fr-CA"/>
        </w:rPr>
        <w:t>s</w:t>
      </w:r>
      <w:r w:rsidRPr="0053635A">
        <w:rPr>
          <w:bCs/>
          <w:lang w:val="fr-CA"/>
        </w:rPr>
        <w:t xml:space="preserve"> dans l</w:t>
      </w:r>
      <w:r w:rsidR="009647E5">
        <w:rPr>
          <w:bCs/>
          <w:lang w:val="fr-CA"/>
        </w:rPr>
        <w:t>’</w:t>
      </w:r>
      <w:r w:rsidRPr="0053635A">
        <w:rPr>
          <w:bCs/>
          <w:lang w:val="fr-CA"/>
        </w:rPr>
        <w:t xml:space="preserve">exercice </w:t>
      </w:r>
      <w:r w:rsidR="00241DF7">
        <w:rPr>
          <w:bCs/>
          <w:lang w:val="fr-CA"/>
        </w:rPr>
        <w:t>financier</w:t>
      </w:r>
      <w:r w:rsidRPr="0053635A">
        <w:rPr>
          <w:bCs/>
          <w:lang w:val="fr-CA"/>
        </w:rPr>
        <w:t xml:space="preserve"> au cours duquel elles ont </w:t>
      </w:r>
      <w:r w:rsidR="00241DF7">
        <w:rPr>
          <w:bCs/>
          <w:lang w:val="fr-CA"/>
        </w:rPr>
        <w:t xml:space="preserve">eu </w:t>
      </w:r>
      <w:r w:rsidRPr="0053635A">
        <w:rPr>
          <w:bCs/>
          <w:lang w:val="fr-CA"/>
        </w:rPr>
        <w:t>lieu officiellement. Elles font partie des données décrites</w:t>
      </w:r>
      <w:r w:rsidR="00241DF7">
        <w:rPr>
          <w:bCs/>
          <w:lang w:val="fr-CA"/>
        </w:rPr>
        <w:t xml:space="preserve"> à l’alinéa</w:t>
      </w:r>
      <w:r w:rsidR="009647E5">
        <w:rPr>
          <w:bCs/>
          <w:lang w:val="fr-CA"/>
        </w:rPr>
        <w:t> </w:t>
      </w:r>
      <w:r w:rsidRPr="0053635A">
        <w:rPr>
          <w:bCs/>
          <w:lang w:val="fr-CA"/>
        </w:rPr>
        <w:t xml:space="preserve">7b) du </w:t>
      </w:r>
      <w:r w:rsidRPr="0053635A">
        <w:rPr>
          <w:bCs/>
          <w:i/>
          <w:iCs/>
          <w:lang w:val="fr-CA"/>
        </w:rPr>
        <w:t>Règlement sur la réduction de</w:t>
      </w:r>
      <w:r w:rsidRPr="0053635A" w:rsidR="00241DF7">
        <w:rPr>
          <w:bCs/>
          <w:i/>
          <w:iCs/>
          <w:lang w:val="fr-CA"/>
        </w:rPr>
        <w:t xml:space="preserve"> la paperasse</w:t>
      </w:r>
      <w:r w:rsidRPr="0053635A">
        <w:rPr>
          <w:bCs/>
          <w:lang w:val="fr-CA"/>
        </w:rPr>
        <w:t xml:space="preserve"> qui doivent figurer dans le rapport annuel prévu à l</w:t>
      </w:r>
      <w:r w:rsidR="009647E5">
        <w:rPr>
          <w:bCs/>
          <w:lang w:val="fr-CA"/>
        </w:rPr>
        <w:t>’</w:t>
      </w:r>
      <w:r w:rsidRPr="0053635A">
        <w:rPr>
          <w:bCs/>
          <w:lang w:val="fr-CA"/>
        </w:rPr>
        <w:t>article</w:t>
      </w:r>
      <w:r w:rsidR="009647E5">
        <w:rPr>
          <w:bCs/>
          <w:lang w:val="fr-CA"/>
        </w:rPr>
        <w:t> </w:t>
      </w:r>
      <w:r w:rsidRPr="0053635A">
        <w:rPr>
          <w:bCs/>
          <w:lang w:val="fr-CA"/>
        </w:rPr>
        <w:t xml:space="preserve">9 de la </w:t>
      </w:r>
      <w:r w:rsidRPr="0053635A">
        <w:rPr>
          <w:bCs/>
          <w:i/>
          <w:iCs/>
          <w:lang w:val="fr-CA"/>
        </w:rPr>
        <w:t>Loi sur la réduction de</w:t>
      </w:r>
      <w:r w:rsidR="00507239">
        <w:rPr>
          <w:bCs/>
          <w:i/>
          <w:iCs/>
          <w:lang w:val="fr-CA"/>
        </w:rPr>
        <w:t xml:space="preserve"> la paperasse</w:t>
      </w:r>
      <w:r w:rsidRPr="0053635A">
        <w:rPr>
          <w:bCs/>
          <w:lang w:val="fr-CA"/>
        </w:rPr>
        <w:t>.</w:t>
      </w:r>
    </w:p>
    <w:p w:rsidRPr="0053635A" w:rsidR="00C503C7" w:rsidP="00C503C7" w:rsidRDefault="00C503C7" w14:paraId="2A8072A4" w14:textId="77777777">
      <w:pPr>
        <w:tabs>
          <w:tab w:val="left" w:pos="9356"/>
        </w:tabs>
        <w:spacing w:after="0" w:line="240" w:lineRule="auto"/>
        <w:rPr>
          <w:b/>
          <w:lang w:val="fr-CA"/>
        </w:rPr>
      </w:pPr>
    </w:p>
    <w:p w:rsidRPr="00C503C7" w:rsidR="00C503C7" w:rsidP="0053635A" w:rsidRDefault="00C503C7" w14:paraId="1CC8845B" w14:textId="77777777">
      <w:pPr>
        <w:pStyle w:val="Heading3"/>
        <w:numPr>
          <w:ilvl w:val="0"/>
          <w:numId w:val="0"/>
        </w:numPr>
        <w:rPr>
          <w:lang w:val="fr-CA"/>
        </w:rPr>
      </w:pPr>
    </w:p>
    <w:p w:rsidRPr="00FA558D" w:rsidR="00B91619" w:rsidP="00B91619" w:rsidRDefault="00B91619" w14:paraId="751DE02E" w14:textId="62DC7743">
      <w:pPr>
        <w:pStyle w:val="Heading3"/>
        <w:rPr>
          <w:lang w:val="fr-CA"/>
        </w:rPr>
      </w:pPr>
      <w:bookmarkStart w:name="_Toc151373917" w:id="24"/>
      <w:r>
        <w:rPr>
          <w:lang w:val="fr-CA"/>
        </w:rPr>
        <w:t>Rapprochement à partir d’un portefeuille</w:t>
      </w:r>
      <w:r w:rsidRPr="00FA558D">
        <w:rPr>
          <w:lang w:val="fr-CA"/>
        </w:rPr>
        <w:t xml:space="preserve"> (</w:t>
      </w:r>
      <w:r w:rsidR="008F76EB">
        <w:rPr>
          <w:lang w:val="fr-CA"/>
        </w:rPr>
        <w:t>paragraphe</w:t>
      </w:r>
      <w:r w:rsidRPr="00FA558D">
        <w:rPr>
          <w:lang w:val="fr-CA"/>
        </w:rPr>
        <w:t> 7.2.7)</w:t>
      </w:r>
      <w:bookmarkEnd w:id="24"/>
    </w:p>
    <w:p w:rsidRPr="00FA558D" w:rsidR="00B91619" w:rsidP="00B91619" w:rsidRDefault="00B91619" w14:paraId="162E4165" w14:textId="77777777">
      <w:pPr>
        <w:tabs>
          <w:tab w:val="left" w:pos="9356"/>
        </w:tabs>
        <w:spacing w:after="0" w:line="240" w:lineRule="auto"/>
        <w:rPr>
          <w:lang w:val="fr-CA"/>
        </w:rPr>
      </w:pPr>
    </w:p>
    <w:p w:rsidRPr="00FA558D" w:rsidR="00B91619" w:rsidP="00B91619" w:rsidRDefault="00B91619" w14:paraId="078F7CC3" w14:textId="77777777">
      <w:pPr>
        <w:pStyle w:val="Heading4"/>
        <w:rPr>
          <w:lang w:val="fr-CA"/>
        </w:rPr>
      </w:pPr>
      <w:r>
        <w:rPr>
          <w:lang w:val="fr-CA"/>
        </w:rPr>
        <w:t>Responsabilité ministérielle conjointe</w:t>
      </w:r>
    </w:p>
    <w:p w:rsidRPr="00FA558D" w:rsidR="00B91619" w:rsidP="00B91619" w:rsidRDefault="00B91619" w14:paraId="26B1F9BE" w14:textId="77777777">
      <w:pPr>
        <w:tabs>
          <w:tab w:val="left" w:pos="9356"/>
        </w:tabs>
        <w:spacing w:after="0" w:line="240" w:lineRule="auto"/>
        <w:rPr>
          <w:lang w:val="fr-CA"/>
        </w:rPr>
      </w:pPr>
    </w:p>
    <w:p w:rsidRPr="00FA558D" w:rsidR="00B91619" w:rsidP="00B91619" w:rsidRDefault="008F76EB" w14:paraId="14C6AAA5" w14:textId="7B5241A8">
      <w:pPr>
        <w:tabs>
          <w:tab w:val="left" w:pos="9356"/>
        </w:tabs>
        <w:spacing w:after="0" w:line="240" w:lineRule="auto"/>
        <w:rPr>
          <w:lang w:val="fr-CA"/>
        </w:rPr>
      </w:pPr>
      <w:r>
        <w:rPr>
          <w:lang w:val="fr-CA"/>
        </w:rPr>
        <w:t>Selon le paragraphe</w:t>
      </w:r>
      <w:r w:rsidRPr="00FA558D" w:rsidR="00B91619">
        <w:rPr>
          <w:lang w:val="fr-CA"/>
        </w:rPr>
        <w:t> 7.2.7</w:t>
      </w:r>
      <w:r w:rsidR="00B91619">
        <w:rPr>
          <w:lang w:val="fr-CA"/>
        </w:rPr>
        <w:t xml:space="preserve"> de la politique</w:t>
      </w:r>
      <w:r>
        <w:rPr>
          <w:lang w:val="fr-CA"/>
        </w:rPr>
        <w:t xml:space="preserve">, </w:t>
      </w:r>
      <w:r w:rsidR="00B91619">
        <w:rPr>
          <w:lang w:val="fr-CA"/>
        </w:rPr>
        <w:t>« si deux ministre</w:t>
      </w:r>
      <w:r w:rsidRPr="00FA558D" w:rsidR="00B91619">
        <w:rPr>
          <w:lang w:val="fr-CA"/>
        </w:rPr>
        <w:t xml:space="preserve">s </w:t>
      </w:r>
      <w:r w:rsidR="00B91619">
        <w:rPr>
          <w:lang w:val="fr-CA"/>
        </w:rPr>
        <w:t>ont une responsabilité partagée</w:t>
      </w:r>
      <w:r w:rsidRPr="00FA558D" w:rsidR="00B91619">
        <w:rPr>
          <w:lang w:val="fr-CA"/>
        </w:rPr>
        <w:t xml:space="preserve"> </w:t>
      </w:r>
      <w:r w:rsidR="00B91619">
        <w:rPr>
          <w:lang w:val="fr-CA"/>
        </w:rPr>
        <w:t>en vertu de la loi et</w:t>
      </w:r>
      <w:r w:rsidR="00FC065B">
        <w:rPr>
          <w:lang w:val="fr-CA"/>
        </w:rPr>
        <w:t>, ils</w:t>
      </w:r>
      <w:r w:rsidR="00B91619">
        <w:rPr>
          <w:lang w:val="fr-CA"/>
        </w:rPr>
        <w:t xml:space="preserve"> parrainent conjointement</w:t>
      </w:r>
      <w:r w:rsidRPr="00FA558D" w:rsidR="00B91619">
        <w:rPr>
          <w:lang w:val="fr-CA"/>
        </w:rPr>
        <w:t xml:space="preserve"> </w:t>
      </w:r>
      <w:r w:rsidR="00B91619">
        <w:rPr>
          <w:lang w:val="fr-CA"/>
        </w:rPr>
        <w:t>la modification réglementaire</w:t>
      </w:r>
      <w:r w:rsidRPr="00FA558D" w:rsidR="00B91619">
        <w:rPr>
          <w:lang w:val="fr-CA"/>
        </w:rPr>
        <w:t>,</w:t>
      </w:r>
      <w:r w:rsidR="00B91619">
        <w:rPr>
          <w:lang w:val="fr-CA"/>
        </w:rPr>
        <w:t xml:space="preserve"> on attribue</w:t>
      </w:r>
      <w:r w:rsidRPr="00FA558D" w:rsidR="00B91619">
        <w:rPr>
          <w:lang w:val="fr-CA"/>
        </w:rPr>
        <w:t xml:space="preserve"> </w:t>
      </w:r>
      <w:r w:rsidR="00B91619">
        <w:rPr>
          <w:lang w:val="fr-CA"/>
        </w:rPr>
        <w:t>l’augmentation ou la réduction du fardeau, l’ajout ou la suppression du règlement au ministre</w:t>
      </w:r>
      <w:r w:rsidRPr="00FA558D" w:rsidR="00B91619">
        <w:rPr>
          <w:lang w:val="fr-CA"/>
        </w:rPr>
        <w:t xml:space="preserve"> </w:t>
      </w:r>
      <w:r w:rsidR="00B91619">
        <w:rPr>
          <w:lang w:val="fr-CA"/>
        </w:rPr>
        <w:t>qui est le principal responsable de</w:t>
      </w:r>
      <w:r w:rsidRPr="00FA558D" w:rsidR="00B91619">
        <w:rPr>
          <w:lang w:val="fr-CA"/>
        </w:rPr>
        <w:t xml:space="preserve"> </w:t>
      </w:r>
      <w:r w:rsidR="00B91619">
        <w:rPr>
          <w:lang w:val="fr-CA"/>
        </w:rPr>
        <w:t>la modification réglementaire ».</w:t>
      </w:r>
      <w:r w:rsidRPr="00FA558D" w:rsidR="00B91619">
        <w:rPr>
          <w:lang w:val="fr-CA"/>
        </w:rPr>
        <w:t xml:space="preserve"> </w:t>
      </w:r>
    </w:p>
    <w:p w:rsidRPr="00FA558D" w:rsidR="00B91619" w:rsidP="00B91619" w:rsidRDefault="00B91619" w14:paraId="248D2D65" w14:textId="77777777">
      <w:pPr>
        <w:tabs>
          <w:tab w:val="left" w:pos="9356"/>
        </w:tabs>
        <w:spacing w:after="0" w:line="240" w:lineRule="auto"/>
        <w:rPr>
          <w:lang w:val="fr-CA"/>
        </w:rPr>
      </w:pPr>
    </w:p>
    <w:p w:rsidRPr="00FA558D" w:rsidR="00B91619" w:rsidP="00B91619" w:rsidRDefault="00B91619" w14:paraId="57135109" w14:textId="632B10B7">
      <w:pPr>
        <w:tabs>
          <w:tab w:val="left" w:pos="9356"/>
        </w:tabs>
        <w:spacing w:after="0" w:line="240" w:lineRule="auto"/>
        <w:ind w:left="66"/>
        <w:rPr>
          <w:lang w:val="fr-CA"/>
        </w:rPr>
      </w:pPr>
      <w:r>
        <w:rPr>
          <w:lang w:val="fr-CA"/>
        </w:rPr>
        <w:t>Par exemp</w:t>
      </w:r>
      <w:r w:rsidRPr="00FA558D">
        <w:rPr>
          <w:lang w:val="fr-CA"/>
        </w:rPr>
        <w:t xml:space="preserve">le, </w:t>
      </w:r>
      <w:r>
        <w:rPr>
          <w:lang w:val="fr-CA"/>
        </w:rPr>
        <w:t>le ministre</w:t>
      </w:r>
      <w:r w:rsidRPr="00FA558D">
        <w:rPr>
          <w:lang w:val="fr-CA"/>
        </w:rPr>
        <w:t xml:space="preserve"> </w:t>
      </w:r>
      <w:r>
        <w:rPr>
          <w:lang w:val="fr-CA"/>
        </w:rPr>
        <w:t>de la Santé et le ministre de l’</w:t>
      </w:r>
      <w:r w:rsidRPr="00FA558D">
        <w:rPr>
          <w:lang w:val="fr-CA"/>
        </w:rPr>
        <w:t>Envi</w:t>
      </w:r>
      <w:r>
        <w:rPr>
          <w:lang w:val="fr-CA"/>
        </w:rPr>
        <w:t>ronneme</w:t>
      </w:r>
      <w:r w:rsidRPr="00FA558D">
        <w:rPr>
          <w:lang w:val="fr-CA"/>
        </w:rPr>
        <w:t>nt</w:t>
      </w:r>
      <w:r>
        <w:rPr>
          <w:lang w:val="fr-CA"/>
        </w:rPr>
        <w:t xml:space="preserve"> sont conjointement</w:t>
      </w:r>
      <w:r w:rsidRPr="00FA558D">
        <w:rPr>
          <w:lang w:val="fr-CA"/>
        </w:rPr>
        <w:t xml:space="preserve"> respons</w:t>
      </w:r>
      <w:r>
        <w:rPr>
          <w:lang w:val="fr-CA"/>
        </w:rPr>
        <w:t>ables d</w:t>
      </w:r>
      <w:r w:rsidR="00FC065B">
        <w:rPr>
          <w:lang w:val="fr-CA"/>
        </w:rPr>
        <w:t>e l</w:t>
      </w:r>
      <w:r>
        <w:rPr>
          <w:lang w:val="fr-CA"/>
        </w:rPr>
        <w:t>’évalu</w:t>
      </w:r>
      <w:r w:rsidR="00FC065B">
        <w:rPr>
          <w:lang w:val="fr-CA"/>
        </w:rPr>
        <w:t>ation des</w:t>
      </w:r>
      <w:r>
        <w:rPr>
          <w:lang w:val="fr-CA"/>
        </w:rPr>
        <w:t xml:space="preserve"> substances toxiques en vertu de la </w:t>
      </w:r>
      <w:r w:rsidRPr="0053635A">
        <w:rPr>
          <w:i/>
          <w:iCs/>
          <w:lang w:val="fr-CA"/>
        </w:rPr>
        <w:t>Loi canadienne sur la protection de l’environnement</w:t>
      </w:r>
      <w:r w:rsidRPr="008C5FFA">
        <w:rPr>
          <w:lang w:val="fr-CA"/>
        </w:rPr>
        <w:t xml:space="preserve"> (1999)</w:t>
      </w:r>
      <w:r w:rsidRPr="00FA558D">
        <w:rPr>
          <w:lang w:val="fr-CA"/>
        </w:rPr>
        <w:t xml:space="preserve">. </w:t>
      </w:r>
      <w:r>
        <w:rPr>
          <w:lang w:val="fr-CA"/>
        </w:rPr>
        <w:t>Les deux ministre</w:t>
      </w:r>
      <w:r w:rsidRPr="00FA558D">
        <w:rPr>
          <w:lang w:val="fr-CA"/>
        </w:rPr>
        <w:t xml:space="preserve">s </w:t>
      </w:r>
      <w:r>
        <w:rPr>
          <w:lang w:val="fr-CA"/>
        </w:rPr>
        <w:t>pourraient conjointement</w:t>
      </w:r>
      <w:r w:rsidRPr="00FA558D">
        <w:rPr>
          <w:lang w:val="fr-CA"/>
        </w:rPr>
        <w:t xml:space="preserve"> </w:t>
      </w:r>
      <w:r>
        <w:rPr>
          <w:lang w:val="fr-CA"/>
        </w:rPr>
        <w:t>parrainer</w:t>
      </w:r>
      <w:r w:rsidRPr="00FA558D">
        <w:rPr>
          <w:lang w:val="fr-CA"/>
        </w:rPr>
        <w:t xml:space="preserve"> </w:t>
      </w:r>
      <w:r>
        <w:rPr>
          <w:lang w:val="fr-CA"/>
        </w:rPr>
        <w:t>des règlement</w:t>
      </w:r>
      <w:r w:rsidRPr="00FA558D">
        <w:rPr>
          <w:lang w:val="fr-CA"/>
        </w:rPr>
        <w:t xml:space="preserve">s </w:t>
      </w:r>
      <w:r>
        <w:rPr>
          <w:lang w:val="fr-CA"/>
        </w:rPr>
        <w:t xml:space="preserve">pour répondre à la menace posée par les </w:t>
      </w:r>
      <w:r w:rsidR="00FC065B">
        <w:rPr>
          <w:lang w:val="fr-CA"/>
        </w:rPr>
        <w:t xml:space="preserve">diphényles </w:t>
      </w:r>
      <w:proofErr w:type="spellStart"/>
      <w:r w:rsidR="00FC065B">
        <w:rPr>
          <w:lang w:val="fr-CA"/>
        </w:rPr>
        <w:t>polychlorés</w:t>
      </w:r>
      <w:proofErr w:type="spellEnd"/>
      <w:r>
        <w:rPr>
          <w:lang w:val="fr-CA"/>
        </w:rPr>
        <w:t xml:space="preserve"> </w:t>
      </w:r>
      <w:r w:rsidR="00F24A5E">
        <w:rPr>
          <w:lang w:val="fr-CA"/>
        </w:rPr>
        <w:t xml:space="preserve">pour </w:t>
      </w:r>
      <w:r>
        <w:rPr>
          <w:lang w:val="fr-CA"/>
        </w:rPr>
        <w:t xml:space="preserve">la santé </w:t>
      </w:r>
      <w:r w:rsidR="00FC065B">
        <w:rPr>
          <w:lang w:val="fr-CA"/>
        </w:rPr>
        <w:t>humaine</w:t>
      </w:r>
      <w:r>
        <w:rPr>
          <w:lang w:val="fr-CA"/>
        </w:rPr>
        <w:t xml:space="preserve"> et l’</w:t>
      </w:r>
      <w:r w:rsidRPr="00FA558D">
        <w:rPr>
          <w:lang w:val="fr-CA"/>
        </w:rPr>
        <w:t>envi</w:t>
      </w:r>
      <w:r>
        <w:rPr>
          <w:lang w:val="fr-CA"/>
        </w:rPr>
        <w:t>ronneme</w:t>
      </w:r>
      <w:r w:rsidRPr="00FA558D">
        <w:rPr>
          <w:lang w:val="fr-CA"/>
        </w:rPr>
        <w:t xml:space="preserve">nt. </w:t>
      </w:r>
      <w:r>
        <w:rPr>
          <w:lang w:val="fr-CA"/>
        </w:rPr>
        <w:t xml:space="preserve">Toutefois, puisque </w:t>
      </w:r>
      <w:r w:rsidR="008F76EB">
        <w:rPr>
          <w:lang w:val="fr-CA"/>
        </w:rPr>
        <w:t>le ministère de l’</w:t>
      </w:r>
      <w:r>
        <w:rPr>
          <w:lang w:val="fr-CA"/>
        </w:rPr>
        <w:t xml:space="preserve">Environnement </w:t>
      </w:r>
      <w:r w:rsidR="008F76EB">
        <w:rPr>
          <w:lang w:val="fr-CA"/>
        </w:rPr>
        <w:t>dirige l’élaboration et l’application de</w:t>
      </w:r>
      <w:r>
        <w:rPr>
          <w:lang w:val="fr-CA"/>
        </w:rPr>
        <w:t xml:space="preserve"> ces</w:t>
      </w:r>
      <w:r w:rsidRPr="00FA558D">
        <w:rPr>
          <w:lang w:val="fr-CA"/>
        </w:rPr>
        <w:t xml:space="preserve"> </w:t>
      </w:r>
      <w:r>
        <w:rPr>
          <w:lang w:val="fr-CA"/>
        </w:rPr>
        <w:t>règlement</w:t>
      </w:r>
      <w:r w:rsidRPr="00FA558D">
        <w:rPr>
          <w:lang w:val="fr-CA"/>
        </w:rPr>
        <w:t xml:space="preserve">s, </w:t>
      </w:r>
      <w:r>
        <w:rPr>
          <w:lang w:val="fr-CA"/>
        </w:rPr>
        <w:t>la totalité des coûts administratifs</w:t>
      </w:r>
      <w:r w:rsidRPr="00FA558D">
        <w:rPr>
          <w:lang w:val="fr-CA"/>
        </w:rPr>
        <w:t xml:space="preserve"> </w:t>
      </w:r>
      <w:r>
        <w:rPr>
          <w:lang w:val="fr-CA"/>
        </w:rPr>
        <w:t>serait attribuée au ministre de l’</w:t>
      </w:r>
      <w:r w:rsidRPr="00FA558D">
        <w:rPr>
          <w:lang w:val="fr-CA"/>
        </w:rPr>
        <w:t>Envi</w:t>
      </w:r>
      <w:r>
        <w:rPr>
          <w:lang w:val="fr-CA"/>
        </w:rPr>
        <w:t>ronneme</w:t>
      </w:r>
      <w:r w:rsidRPr="00FA558D">
        <w:rPr>
          <w:lang w:val="fr-CA"/>
        </w:rPr>
        <w:t xml:space="preserve">nt. </w:t>
      </w:r>
    </w:p>
    <w:p w:rsidRPr="00FA558D" w:rsidR="00B91619" w:rsidP="00B91619" w:rsidRDefault="00B91619" w14:paraId="1B189BD7" w14:textId="77777777">
      <w:pPr>
        <w:tabs>
          <w:tab w:val="left" w:pos="9356"/>
        </w:tabs>
        <w:spacing w:after="0" w:line="240" w:lineRule="auto"/>
        <w:rPr>
          <w:lang w:val="fr-CA"/>
        </w:rPr>
      </w:pPr>
    </w:p>
    <w:p w:rsidRPr="00FA558D" w:rsidR="00B91619" w:rsidP="00B91619" w:rsidRDefault="00B91619" w14:paraId="1A1F4B38" w14:textId="0DE2A183">
      <w:pPr>
        <w:pStyle w:val="Heading3"/>
        <w:rPr>
          <w:lang w:val="fr-CA"/>
        </w:rPr>
      </w:pPr>
      <w:r>
        <w:rPr>
          <w:lang w:val="fr-CA"/>
        </w:rPr>
        <w:t xml:space="preserve"> </w:t>
      </w:r>
      <w:bookmarkStart w:name="_Toc151373918" w:id="25"/>
      <w:r>
        <w:rPr>
          <w:lang w:val="fr-CA"/>
        </w:rPr>
        <w:t>Non-conformité à l’</w:t>
      </w:r>
      <w:r w:rsidR="00953EC4">
        <w:rPr>
          <w:lang w:val="fr-CA"/>
        </w:rPr>
        <w:t>obligation</w:t>
      </w:r>
      <w:r>
        <w:rPr>
          <w:lang w:val="fr-CA"/>
        </w:rPr>
        <w:t xml:space="preserve"> de compenser</w:t>
      </w:r>
      <w:r w:rsidRPr="00FA558D">
        <w:rPr>
          <w:lang w:val="fr-CA"/>
        </w:rPr>
        <w:t xml:space="preserve"> (</w:t>
      </w:r>
      <w:r w:rsidR="003A7ECF">
        <w:rPr>
          <w:lang w:val="fr-CA"/>
        </w:rPr>
        <w:t>paragraphe</w:t>
      </w:r>
      <w:r w:rsidRPr="00FA558D">
        <w:rPr>
          <w:lang w:val="fr-CA"/>
        </w:rPr>
        <w:t> 7.2.8)</w:t>
      </w:r>
      <w:bookmarkEnd w:id="25"/>
    </w:p>
    <w:p w:rsidRPr="00FA558D" w:rsidR="00B91619" w:rsidP="00B91619" w:rsidRDefault="00B91619" w14:paraId="3D955B17" w14:textId="77777777">
      <w:pPr>
        <w:tabs>
          <w:tab w:val="left" w:pos="9356"/>
        </w:tabs>
        <w:spacing w:after="0" w:line="240" w:lineRule="auto"/>
        <w:rPr>
          <w:lang w:val="fr-CA"/>
        </w:rPr>
      </w:pPr>
    </w:p>
    <w:p w:rsidRPr="00FA558D" w:rsidR="00B91619" w:rsidP="00B91619" w:rsidRDefault="003A7ECF" w14:paraId="25D46097" w14:textId="20B91B1C">
      <w:pPr>
        <w:pStyle w:val="Heading4"/>
        <w:rPr>
          <w:lang w:val="fr-CA"/>
        </w:rPr>
      </w:pPr>
      <w:r>
        <w:rPr>
          <w:lang w:val="fr-CA"/>
        </w:rPr>
        <w:t xml:space="preserve">Résolution </w:t>
      </w:r>
      <w:r w:rsidR="00B91619">
        <w:rPr>
          <w:lang w:val="fr-CA"/>
        </w:rPr>
        <w:t>de</w:t>
      </w:r>
      <w:r w:rsidR="007804CD">
        <w:rPr>
          <w:lang w:val="fr-CA"/>
        </w:rPr>
        <w:t>s cas de</w:t>
      </w:r>
      <w:r w:rsidR="00B91619">
        <w:rPr>
          <w:lang w:val="fr-CA"/>
        </w:rPr>
        <w:t xml:space="preserve"> non-conformité </w:t>
      </w:r>
      <w:r>
        <w:rPr>
          <w:lang w:val="fr-CA"/>
        </w:rPr>
        <w:t>au titre des</w:t>
      </w:r>
      <w:r w:rsidR="00B91619">
        <w:rPr>
          <w:lang w:val="fr-CA"/>
        </w:rPr>
        <w:t xml:space="preserve"> éléments </w:t>
      </w:r>
      <w:r w:rsidRPr="00FA558D" w:rsidR="00B91619">
        <w:rPr>
          <w:lang w:val="fr-CA"/>
        </w:rPr>
        <w:t>A</w:t>
      </w:r>
      <w:r w:rsidR="00B91619">
        <w:rPr>
          <w:lang w:val="fr-CA"/>
        </w:rPr>
        <w:t xml:space="preserve"> et </w:t>
      </w:r>
      <w:r w:rsidRPr="00FA558D" w:rsidR="00B91619">
        <w:rPr>
          <w:lang w:val="fr-CA"/>
        </w:rPr>
        <w:t>B</w:t>
      </w:r>
    </w:p>
    <w:p w:rsidRPr="00FA558D" w:rsidR="00B91619" w:rsidP="00B91619" w:rsidRDefault="00B91619" w14:paraId="5F8A5586" w14:textId="77777777">
      <w:pPr>
        <w:tabs>
          <w:tab w:val="left" w:pos="9356"/>
        </w:tabs>
        <w:spacing w:after="0" w:line="240" w:lineRule="auto"/>
        <w:rPr>
          <w:lang w:val="fr-CA"/>
        </w:rPr>
      </w:pPr>
    </w:p>
    <w:p w:rsidRPr="00FA558D" w:rsidR="00B91619" w:rsidP="00B91619" w:rsidRDefault="00B91619" w14:paraId="58FFD942" w14:textId="05CD28AB">
      <w:pPr>
        <w:tabs>
          <w:tab w:val="left" w:pos="9356"/>
        </w:tabs>
        <w:spacing w:after="0" w:line="240" w:lineRule="auto"/>
        <w:rPr>
          <w:lang w:val="fr-CA"/>
        </w:rPr>
      </w:pPr>
      <w:r>
        <w:rPr>
          <w:lang w:val="fr-CA"/>
        </w:rPr>
        <w:t>L</w:t>
      </w:r>
      <w:r w:rsidR="00BB4978">
        <w:rPr>
          <w:lang w:val="fr-CA"/>
        </w:rPr>
        <w:t>e paragraphe</w:t>
      </w:r>
      <w:r w:rsidRPr="00FA558D">
        <w:rPr>
          <w:lang w:val="fr-CA"/>
        </w:rPr>
        <w:t> 7.2.5</w:t>
      </w:r>
      <w:r>
        <w:rPr>
          <w:lang w:val="fr-CA"/>
        </w:rPr>
        <w:t xml:space="preserve"> de la politique</w:t>
      </w:r>
      <w:r w:rsidRPr="00FA558D">
        <w:rPr>
          <w:lang w:val="fr-CA"/>
        </w:rPr>
        <w:t xml:space="preserve"> </w:t>
      </w:r>
      <w:r>
        <w:rPr>
          <w:lang w:val="fr-CA"/>
        </w:rPr>
        <w:t>énonce l’</w:t>
      </w:r>
      <w:r w:rsidR="00953EC4">
        <w:rPr>
          <w:lang w:val="fr-CA"/>
        </w:rPr>
        <w:t>obligation</w:t>
      </w:r>
      <w:r w:rsidRPr="00FA558D">
        <w:rPr>
          <w:lang w:val="fr-CA"/>
        </w:rPr>
        <w:t xml:space="preserve"> </w:t>
      </w:r>
      <w:r>
        <w:rPr>
          <w:lang w:val="fr-CA"/>
        </w:rPr>
        <w:t>de compenser</w:t>
      </w:r>
      <w:r w:rsidRPr="00FA558D">
        <w:rPr>
          <w:lang w:val="fr-CA"/>
        </w:rPr>
        <w:t xml:space="preserve"> </w:t>
      </w:r>
      <w:r>
        <w:rPr>
          <w:lang w:val="fr-CA"/>
        </w:rPr>
        <w:t>les nouveaux coûts administratifs</w:t>
      </w:r>
      <w:r w:rsidRPr="00FA558D">
        <w:rPr>
          <w:lang w:val="fr-CA"/>
        </w:rPr>
        <w:t xml:space="preserve"> </w:t>
      </w:r>
      <w:r>
        <w:rPr>
          <w:lang w:val="fr-CA"/>
        </w:rPr>
        <w:t xml:space="preserve">dans </w:t>
      </w:r>
      <w:r w:rsidR="00A01D72">
        <w:rPr>
          <w:lang w:val="fr-CA"/>
        </w:rPr>
        <w:t>un délai de</w:t>
      </w:r>
      <w:r>
        <w:rPr>
          <w:lang w:val="fr-CA"/>
        </w:rPr>
        <w:t xml:space="preserve"> deux ans</w:t>
      </w:r>
      <w:r w:rsidRPr="00FA558D">
        <w:rPr>
          <w:lang w:val="fr-CA"/>
        </w:rPr>
        <w:t>,</w:t>
      </w:r>
      <w:r>
        <w:rPr>
          <w:lang w:val="fr-CA"/>
        </w:rPr>
        <w:t xml:space="preserve"> et l</w:t>
      </w:r>
      <w:r w:rsidR="00BB4978">
        <w:rPr>
          <w:lang w:val="fr-CA"/>
        </w:rPr>
        <w:t>e paragraphe</w:t>
      </w:r>
      <w:r w:rsidRPr="00FA558D">
        <w:rPr>
          <w:lang w:val="fr-CA"/>
        </w:rPr>
        <w:t xml:space="preserve"> 7.2.6 </w:t>
      </w:r>
      <w:r>
        <w:rPr>
          <w:lang w:val="fr-CA"/>
        </w:rPr>
        <w:t xml:space="preserve">vise le même processus </w:t>
      </w:r>
      <w:r w:rsidR="00BB4978">
        <w:rPr>
          <w:lang w:val="fr-CA"/>
        </w:rPr>
        <w:t xml:space="preserve">en lien </w:t>
      </w:r>
      <w:r w:rsidR="00ED02D2">
        <w:rPr>
          <w:lang w:val="fr-CA"/>
        </w:rPr>
        <w:t xml:space="preserve">avec </w:t>
      </w:r>
      <w:r>
        <w:rPr>
          <w:lang w:val="fr-CA"/>
        </w:rPr>
        <w:t xml:space="preserve">tout nouveau </w:t>
      </w:r>
      <w:r w:rsidR="00ED02D2">
        <w:rPr>
          <w:lang w:val="fr-CA"/>
        </w:rPr>
        <w:t>titre réglementaire</w:t>
      </w:r>
      <w:r>
        <w:rPr>
          <w:lang w:val="fr-CA"/>
        </w:rPr>
        <w:t xml:space="preserve"> qui </w:t>
      </w:r>
      <w:r w:rsidRPr="00FA558D">
        <w:rPr>
          <w:lang w:val="fr-CA"/>
        </w:rPr>
        <w:t>impose</w:t>
      </w:r>
      <w:r>
        <w:rPr>
          <w:lang w:val="fr-CA"/>
        </w:rPr>
        <w:t xml:space="preserve"> un fardeau</w:t>
      </w:r>
      <w:r w:rsidRPr="00FA558D">
        <w:rPr>
          <w:lang w:val="fr-CA"/>
        </w:rPr>
        <w:t xml:space="preserve"> </w:t>
      </w:r>
      <w:r>
        <w:rPr>
          <w:lang w:val="fr-CA"/>
        </w:rPr>
        <w:t>aux entreprises</w:t>
      </w:r>
      <w:r w:rsidRPr="00FA558D">
        <w:rPr>
          <w:lang w:val="fr-CA"/>
        </w:rPr>
        <w:t xml:space="preserve">. </w:t>
      </w:r>
      <w:r>
        <w:rPr>
          <w:lang w:val="fr-CA"/>
        </w:rPr>
        <w:t xml:space="preserve">Le Secteur des </w:t>
      </w:r>
      <w:r w:rsidR="00A01D72">
        <w:rPr>
          <w:lang w:val="fr-CA"/>
        </w:rPr>
        <w:t>a</w:t>
      </w:r>
      <w:r>
        <w:rPr>
          <w:lang w:val="fr-CA"/>
        </w:rPr>
        <w:t>ffaires réglementaires du SCT surveille :</w:t>
      </w:r>
    </w:p>
    <w:p w:rsidRPr="00FA558D" w:rsidR="00B91619" w:rsidP="00B91619" w:rsidRDefault="00B91619" w14:paraId="6A3EA22C" w14:textId="06698CC1">
      <w:pPr>
        <w:pStyle w:val="ListParagraph"/>
        <w:numPr>
          <w:ilvl w:val="0"/>
          <w:numId w:val="20"/>
        </w:numPr>
        <w:tabs>
          <w:tab w:val="left" w:pos="9356"/>
        </w:tabs>
        <w:spacing w:after="0" w:line="240" w:lineRule="auto"/>
        <w:rPr>
          <w:lang w:val="fr-CA"/>
        </w:rPr>
      </w:pPr>
      <w:proofErr w:type="gramStart"/>
      <w:r>
        <w:rPr>
          <w:lang w:val="fr-CA"/>
        </w:rPr>
        <w:t>l’</w:t>
      </w:r>
      <w:r w:rsidR="00ED02D2">
        <w:rPr>
          <w:lang w:val="fr-CA"/>
        </w:rPr>
        <w:t>adoption</w:t>
      </w:r>
      <w:proofErr w:type="gramEnd"/>
      <w:r w:rsidRPr="00FA558D">
        <w:rPr>
          <w:lang w:val="fr-CA"/>
        </w:rPr>
        <w:t xml:space="preserve"> </w:t>
      </w:r>
      <w:r>
        <w:rPr>
          <w:lang w:val="fr-CA"/>
        </w:rPr>
        <w:t xml:space="preserve">de nouvelles exigences réglementaires et </w:t>
      </w:r>
      <w:r w:rsidR="005C4CB3">
        <w:rPr>
          <w:lang w:val="fr-CA"/>
        </w:rPr>
        <w:t>administratives</w:t>
      </w:r>
      <w:r w:rsidRPr="00ED02D2" w:rsidR="005C4CB3">
        <w:rPr>
          <w:lang w:val="fr-CA"/>
        </w:rPr>
        <w:t xml:space="preserve"> </w:t>
      </w:r>
      <w:r w:rsidR="00ED02D2">
        <w:rPr>
          <w:lang w:val="fr-CA"/>
        </w:rPr>
        <w:t>et de nouveaux titres</w:t>
      </w:r>
      <w:r>
        <w:rPr>
          <w:lang w:val="fr-CA"/>
        </w:rPr>
        <w:t>;</w:t>
      </w:r>
    </w:p>
    <w:p w:rsidRPr="00FA558D" w:rsidR="00B91619" w:rsidP="00B91619" w:rsidRDefault="00B91619" w14:paraId="7FE07315" w14:textId="10AF64B0">
      <w:pPr>
        <w:pStyle w:val="ListParagraph"/>
        <w:numPr>
          <w:ilvl w:val="0"/>
          <w:numId w:val="20"/>
        </w:numPr>
        <w:tabs>
          <w:tab w:val="left" w:pos="9356"/>
        </w:tabs>
        <w:spacing w:after="0" w:line="240" w:lineRule="auto"/>
        <w:rPr>
          <w:lang w:val="fr-CA"/>
        </w:rPr>
      </w:pPr>
      <w:proofErr w:type="gramStart"/>
      <w:r>
        <w:rPr>
          <w:lang w:val="fr-CA"/>
        </w:rPr>
        <w:t>la</w:t>
      </w:r>
      <w:proofErr w:type="gramEnd"/>
      <w:r>
        <w:rPr>
          <w:lang w:val="fr-CA"/>
        </w:rPr>
        <w:t xml:space="preserve"> compensation</w:t>
      </w:r>
      <w:r w:rsidRPr="00FA558D">
        <w:rPr>
          <w:lang w:val="fr-CA"/>
        </w:rPr>
        <w:t xml:space="preserve"> </w:t>
      </w:r>
      <w:r>
        <w:rPr>
          <w:lang w:val="fr-CA"/>
        </w:rPr>
        <w:t>des coûts et titres connexes</w:t>
      </w:r>
      <w:r w:rsidRPr="00FA558D">
        <w:rPr>
          <w:lang w:val="fr-CA"/>
        </w:rPr>
        <w:t xml:space="preserve"> </w:t>
      </w:r>
      <w:r>
        <w:rPr>
          <w:lang w:val="fr-CA"/>
        </w:rPr>
        <w:t xml:space="preserve">liés aux </w:t>
      </w:r>
      <w:r w:rsidR="00A01D72">
        <w:rPr>
          <w:lang w:val="fr-CA"/>
        </w:rPr>
        <w:t xml:space="preserve">modifications </w:t>
      </w:r>
      <w:r w:rsidR="00ED02D2">
        <w:rPr>
          <w:lang w:val="fr-CA"/>
        </w:rPr>
        <w:t xml:space="preserve">réglementaires </w:t>
      </w:r>
      <w:r>
        <w:rPr>
          <w:lang w:val="fr-CA"/>
        </w:rPr>
        <w:t>ultérieure</w:t>
      </w:r>
      <w:r w:rsidR="00ED02D2">
        <w:rPr>
          <w:lang w:val="fr-CA"/>
        </w:rPr>
        <w:t>s</w:t>
      </w:r>
      <w:r>
        <w:rPr>
          <w:lang w:val="fr-CA"/>
        </w:rPr>
        <w:t>.</w:t>
      </w:r>
    </w:p>
    <w:p w:rsidRPr="00FA558D" w:rsidR="00B91619" w:rsidP="00B91619" w:rsidRDefault="00B91619" w14:paraId="60ABEB8E" w14:textId="77777777">
      <w:pPr>
        <w:pStyle w:val="ListParagraph"/>
        <w:tabs>
          <w:tab w:val="left" w:pos="9356"/>
        </w:tabs>
        <w:spacing w:after="0" w:line="240" w:lineRule="auto"/>
        <w:rPr>
          <w:lang w:val="fr-CA"/>
        </w:rPr>
      </w:pPr>
    </w:p>
    <w:p w:rsidRPr="00FA558D" w:rsidR="00B91619" w:rsidP="00B91619" w:rsidRDefault="00B91619" w14:paraId="3E789B40" w14:textId="31D00194">
      <w:pPr>
        <w:tabs>
          <w:tab w:val="left" w:pos="9356"/>
        </w:tabs>
        <w:spacing w:after="0" w:line="240" w:lineRule="auto"/>
        <w:rPr>
          <w:lang w:val="fr-CA"/>
        </w:rPr>
      </w:pPr>
      <w:commentRangeStart w:id="26"/>
      <w:r>
        <w:rPr>
          <w:lang w:val="fr-CA"/>
        </w:rPr>
        <w:t>En cas de non-conformité d’un ministère ou d’un organisme</w:t>
      </w:r>
      <w:r w:rsidR="007A53C9">
        <w:rPr>
          <w:lang w:val="fr-CA"/>
        </w:rPr>
        <w:t>,</w:t>
      </w:r>
      <w:r>
        <w:rPr>
          <w:lang w:val="fr-CA"/>
        </w:rPr>
        <w:t xml:space="preserve"> par exemp</w:t>
      </w:r>
      <w:r w:rsidRPr="00FA558D">
        <w:rPr>
          <w:lang w:val="fr-CA"/>
        </w:rPr>
        <w:t xml:space="preserve">le, </w:t>
      </w:r>
      <w:r>
        <w:rPr>
          <w:lang w:val="fr-CA"/>
        </w:rPr>
        <w:t>le ministère ou l’organisme n’est pas en mesure de supprimer un titre ou une exigence réglementaire</w:t>
      </w:r>
      <w:r w:rsidR="00A01D72">
        <w:rPr>
          <w:lang w:val="fr-CA"/>
        </w:rPr>
        <w:t xml:space="preserve"> en vigueur</w:t>
      </w:r>
      <w:r w:rsidRPr="00FA558D">
        <w:rPr>
          <w:lang w:val="fr-CA"/>
        </w:rPr>
        <w:t xml:space="preserve"> </w:t>
      </w:r>
      <w:r>
        <w:rPr>
          <w:lang w:val="fr-CA"/>
        </w:rPr>
        <w:t>dans les délais impartis</w:t>
      </w:r>
      <w:commentRangeEnd w:id="26"/>
      <w:r w:rsidR="00523F5E">
        <w:rPr>
          <w:rStyle w:val="CommentReference"/>
        </w:rPr>
        <w:commentReference w:id="26"/>
      </w:r>
      <w:r>
        <w:rPr>
          <w:lang w:val="fr-CA"/>
        </w:rPr>
        <w:t xml:space="preserve">, </w:t>
      </w:r>
      <w:r w:rsidR="00ED02D2">
        <w:rPr>
          <w:lang w:val="fr-CA"/>
        </w:rPr>
        <w:t xml:space="preserve">voici les </w:t>
      </w:r>
      <w:r>
        <w:rPr>
          <w:lang w:val="fr-CA"/>
        </w:rPr>
        <w:t xml:space="preserve">étapes </w:t>
      </w:r>
      <w:r w:rsidR="00ED02D2">
        <w:rPr>
          <w:lang w:val="fr-CA"/>
        </w:rPr>
        <w:t>à suivre</w:t>
      </w:r>
      <w:r w:rsidR="00A9277E">
        <w:rPr>
          <w:lang w:val="fr-CA"/>
        </w:rPr>
        <w:t> </w:t>
      </w:r>
      <w:r>
        <w:rPr>
          <w:lang w:val="fr-CA"/>
        </w:rPr>
        <w:t>:</w:t>
      </w:r>
      <w:r w:rsidRPr="00FA558D">
        <w:rPr>
          <w:lang w:val="fr-CA"/>
        </w:rPr>
        <w:t xml:space="preserve"> </w:t>
      </w:r>
    </w:p>
    <w:p w:rsidRPr="00FA558D" w:rsidR="00B91619" w:rsidP="00B91619" w:rsidRDefault="00B91619" w14:paraId="33E8B8F9" w14:textId="77777777">
      <w:pPr>
        <w:pStyle w:val="ListParagraph"/>
        <w:tabs>
          <w:tab w:val="left" w:pos="9356"/>
        </w:tabs>
        <w:spacing w:after="0" w:line="240" w:lineRule="auto"/>
        <w:ind w:left="0"/>
        <w:rPr>
          <w:lang w:val="fr-CA"/>
        </w:rPr>
      </w:pPr>
    </w:p>
    <w:p w:rsidRPr="00FA558D" w:rsidR="00B91619" w:rsidP="00B91619" w:rsidRDefault="00ED02D2" w14:paraId="020CF051" w14:textId="04DD53F9">
      <w:pPr>
        <w:pStyle w:val="ListParagraph"/>
        <w:numPr>
          <w:ilvl w:val="0"/>
          <w:numId w:val="22"/>
        </w:numPr>
        <w:tabs>
          <w:tab w:val="left" w:pos="9356"/>
        </w:tabs>
        <w:spacing w:after="0" w:line="240" w:lineRule="auto"/>
        <w:rPr>
          <w:lang w:val="fr-CA"/>
        </w:rPr>
      </w:pPr>
      <w:proofErr w:type="gramStart"/>
      <w:r>
        <w:rPr>
          <w:lang w:val="fr-CA"/>
        </w:rPr>
        <w:t>l</w:t>
      </w:r>
      <w:r w:rsidR="00B91619">
        <w:rPr>
          <w:lang w:val="fr-CA"/>
        </w:rPr>
        <w:t>e</w:t>
      </w:r>
      <w:proofErr w:type="gramEnd"/>
      <w:r w:rsidR="00B91619">
        <w:rPr>
          <w:lang w:val="fr-CA"/>
        </w:rPr>
        <w:t xml:space="preserve"> SCT</w:t>
      </w:r>
      <w:r w:rsidRPr="00FA558D" w:rsidR="00B91619">
        <w:rPr>
          <w:lang w:val="fr-CA"/>
        </w:rPr>
        <w:t xml:space="preserve"> </w:t>
      </w:r>
      <w:r w:rsidR="00B91619">
        <w:rPr>
          <w:lang w:val="fr-CA"/>
        </w:rPr>
        <w:t>avise</w:t>
      </w:r>
      <w:r w:rsidRPr="00FA558D" w:rsidR="00B91619">
        <w:rPr>
          <w:lang w:val="fr-CA"/>
        </w:rPr>
        <w:t xml:space="preserve"> </w:t>
      </w:r>
      <w:r w:rsidR="00B91619">
        <w:rPr>
          <w:lang w:val="fr-CA"/>
        </w:rPr>
        <w:t xml:space="preserve">le responsable du portefeuille </w:t>
      </w:r>
      <w:r w:rsidR="00186FE2">
        <w:rPr>
          <w:lang w:val="fr-CA"/>
        </w:rPr>
        <w:t>lorsque l’échéance de deux ans du</w:t>
      </w:r>
      <w:r w:rsidR="00B91619">
        <w:rPr>
          <w:lang w:val="fr-CA"/>
        </w:rPr>
        <w:t xml:space="preserve"> portefeuille </w:t>
      </w:r>
      <w:r w:rsidR="00186FE2">
        <w:rPr>
          <w:lang w:val="fr-CA"/>
        </w:rPr>
        <w:t>approche</w:t>
      </w:r>
      <w:r w:rsidR="00B91619">
        <w:rPr>
          <w:lang w:val="fr-CA"/>
        </w:rPr>
        <w:t xml:space="preserve"> pour compenser le nouveau fardeau, et lui demande comment il entend </w:t>
      </w:r>
      <w:r w:rsidR="00186FE2">
        <w:rPr>
          <w:lang w:val="fr-CA"/>
        </w:rPr>
        <w:t xml:space="preserve">procéder </w:t>
      </w:r>
      <w:r w:rsidR="00B91619">
        <w:rPr>
          <w:lang w:val="fr-CA"/>
        </w:rPr>
        <w:t>à la compensation avant l’échéance</w:t>
      </w:r>
      <w:r>
        <w:rPr>
          <w:lang w:val="fr-CA"/>
        </w:rPr>
        <w:t>;</w:t>
      </w:r>
    </w:p>
    <w:p w:rsidRPr="00FA558D" w:rsidR="00B91619" w:rsidP="00B91619" w:rsidRDefault="00B91619" w14:paraId="456C0E52" w14:textId="77777777">
      <w:pPr>
        <w:pStyle w:val="ListParagraph"/>
        <w:tabs>
          <w:tab w:val="left" w:pos="9356"/>
        </w:tabs>
        <w:spacing w:after="0" w:line="240" w:lineRule="auto"/>
        <w:ind w:left="0"/>
        <w:rPr>
          <w:lang w:val="fr-CA"/>
        </w:rPr>
      </w:pPr>
    </w:p>
    <w:p w:rsidRPr="00FA558D" w:rsidR="00B91619" w:rsidP="00B91619" w:rsidRDefault="00ED02D2" w14:paraId="5D6E30CA" w14:textId="2A6C1BFF">
      <w:pPr>
        <w:pStyle w:val="ListParagraph"/>
        <w:numPr>
          <w:ilvl w:val="0"/>
          <w:numId w:val="22"/>
        </w:numPr>
        <w:tabs>
          <w:tab w:val="left" w:pos="9356"/>
        </w:tabs>
        <w:spacing w:after="0" w:line="240" w:lineRule="auto"/>
        <w:rPr>
          <w:lang w:val="fr-CA"/>
        </w:rPr>
      </w:pPr>
      <w:proofErr w:type="gramStart"/>
      <w:r>
        <w:rPr>
          <w:lang w:val="fr-CA"/>
        </w:rPr>
        <w:t>s</w:t>
      </w:r>
      <w:r w:rsidR="00B91619">
        <w:rPr>
          <w:lang w:val="fr-CA"/>
        </w:rPr>
        <w:t>i</w:t>
      </w:r>
      <w:proofErr w:type="gramEnd"/>
      <w:r w:rsidR="00B91619">
        <w:rPr>
          <w:lang w:val="fr-CA"/>
        </w:rPr>
        <w:t xml:space="preserve"> le</w:t>
      </w:r>
      <w:r w:rsidRPr="00FA558D" w:rsidR="00B91619">
        <w:rPr>
          <w:lang w:val="fr-CA"/>
        </w:rPr>
        <w:t xml:space="preserve"> </w:t>
      </w:r>
      <w:r w:rsidR="00B91619">
        <w:rPr>
          <w:lang w:val="fr-CA"/>
        </w:rPr>
        <w:t xml:space="preserve">responsable du portefeuille n’a pas prévu de modification réglementaire qui pourrait permettre la compensation, il doit mener un examen approfondi de la réglementation en vigueur pour </w:t>
      </w:r>
      <w:r w:rsidR="00361A34">
        <w:rPr>
          <w:lang w:val="fr-CA"/>
        </w:rPr>
        <w:t xml:space="preserve">déterminer les exigences ou les titres </w:t>
      </w:r>
      <w:r w:rsidR="00B91619">
        <w:rPr>
          <w:lang w:val="fr-CA"/>
        </w:rPr>
        <w:t>en vigueur qui pourrai</w:t>
      </w:r>
      <w:r w:rsidR="007C1161">
        <w:rPr>
          <w:lang w:val="fr-CA"/>
        </w:rPr>
        <w:t>ent</w:t>
      </w:r>
      <w:r w:rsidR="00B91619">
        <w:rPr>
          <w:lang w:val="fr-CA"/>
        </w:rPr>
        <w:t xml:space="preserve"> être supprimé</w:t>
      </w:r>
      <w:r w:rsidR="00361A34">
        <w:rPr>
          <w:lang w:val="fr-CA"/>
        </w:rPr>
        <w:t>s</w:t>
      </w:r>
      <w:r>
        <w:rPr>
          <w:lang w:val="fr-CA"/>
        </w:rPr>
        <w:t>;</w:t>
      </w:r>
    </w:p>
    <w:p w:rsidRPr="00FA558D" w:rsidR="00B91619" w:rsidP="00B91619" w:rsidRDefault="00B91619" w14:paraId="67528D6C" w14:textId="77777777">
      <w:pPr>
        <w:pStyle w:val="ListParagraph"/>
        <w:tabs>
          <w:tab w:val="left" w:pos="9356"/>
        </w:tabs>
        <w:spacing w:after="0" w:line="240" w:lineRule="auto"/>
        <w:ind w:left="0"/>
        <w:rPr>
          <w:lang w:val="fr-CA"/>
        </w:rPr>
      </w:pPr>
    </w:p>
    <w:p w:rsidRPr="00FA558D" w:rsidR="00B91619" w:rsidP="00B91619" w:rsidRDefault="00ED02D2" w14:paraId="6508527B" w14:textId="6A36A149">
      <w:pPr>
        <w:pStyle w:val="ListParagraph"/>
        <w:numPr>
          <w:ilvl w:val="0"/>
          <w:numId w:val="22"/>
        </w:numPr>
        <w:tabs>
          <w:tab w:val="left" w:pos="9356"/>
        </w:tabs>
        <w:spacing w:after="0" w:line="240" w:lineRule="auto"/>
        <w:rPr>
          <w:lang w:val="fr-CA"/>
        </w:rPr>
      </w:pPr>
      <w:proofErr w:type="gramStart"/>
      <w:r>
        <w:rPr>
          <w:lang w:val="fr-CA"/>
        </w:rPr>
        <w:t>e</w:t>
      </w:r>
      <w:r w:rsidR="00B91619">
        <w:rPr>
          <w:lang w:val="fr-CA"/>
        </w:rPr>
        <w:t>n</w:t>
      </w:r>
      <w:proofErr w:type="gramEnd"/>
      <w:r w:rsidR="00B91619">
        <w:rPr>
          <w:lang w:val="fr-CA"/>
        </w:rPr>
        <w:t xml:space="preserve"> dernier recours, si le responsable du portefeuille n’est pas en mesure </w:t>
      </w:r>
      <w:r w:rsidR="008B26FD">
        <w:rPr>
          <w:lang w:val="fr-CA"/>
        </w:rPr>
        <w:t xml:space="preserve">de </w:t>
      </w:r>
      <w:r>
        <w:rPr>
          <w:lang w:val="fr-CA"/>
        </w:rPr>
        <w:t xml:space="preserve">trouver </w:t>
      </w:r>
      <w:r w:rsidR="008B26FD">
        <w:rPr>
          <w:lang w:val="fr-CA"/>
        </w:rPr>
        <w:t>d</w:t>
      </w:r>
      <w:r w:rsidR="00B91619">
        <w:rPr>
          <w:lang w:val="fr-CA"/>
        </w:rPr>
        <w:t xml:space="preserve">es exigences </w:t>
      </w:r>
      <w:r w:rsidRPr="00FA558D" w:rsidR="00B91619">
        <w:rPr>
          <w:lang w:val="fr-CA"/>
        </w:rPr>
        <w:t>administrative</w:t>
      </w:r>
      <w:r w:rsidR="00B91619">
        <w:rPr>
          <w:lang w:val="fr-CA"/>
        </w:rPr>
        <w:t xml:space="preserve">s ou des titres </w:t>
      </w:r>
      <w:r>
        <w:rPr>
          <w:lang w:val="fr-CA"/>
        </w:rPr>
        <w:t>à</w:t>
      </w:r>
      <w:r w:rsidR="00B91619">
        <w:rPr>
          <w:lang w:val="fr-CA"/>
        </w:rPr>
        <w:t xml:space="preserve"> supprim</w:t>
      </w:r>
      <w:r>
        <w:rPr>
          <w:lang w:val="fr-CA"/>
        </w:rPr>
        <w:t>er</w:t>
      </w:r>
      <w:r w:rsidR="00B91619">
        <w:rPr>
          <w:lang w:val="fr-CA"/>
        </w:rPr>
        <w:t>, le Conseil du Trésor</w:t>
      </w:r>
      <w:r w:rsidRPr="00FA558D" w:rsidR="00B91619">
        <w:rPr>
          <w:lang w:val="fr-CA"/>
        </w:rPr>
        <w:t xml:space="preserve"> (</w:t>
      </w:r>
      <w:r w:rsidR="008B26FD">
        <w:rPr>
          <w:lang w:val="fr-CA"/>
        </w:rPr>
        <w:t>p</w:t>
      </w:r>
      <w:r w:rsidRPr="00FA558D" w:rsidR="00B91619">
        <w:rPr>
          <w:lang w:val="fr-CA"/>
        </w:rPr>
        <w:t>art</w:t>
      </w:r>
      <w:r w:rsidR="00B91619">
        <w:rPr>
          <w:lang w:val="fr-CA"/>
        </w:rPr>
        <w:t>ie</w:t>
      </w:r>
      <w:r w:rsidRPr="00FA558D" w:rsidR="00B91619">
        <w:rPr>
          <w:lang w:val="fr-CA"/>
        </w:rPr>
        <w:t xml:space="preserve"> B) </w:t>
      </w:r>
      <w:r>
        <w:rPr>
          <w:lang w:val="fr-CA"/>
        </w:rPr>
        <w:t>envisagera des</w:t>
      </w:r>
      <w:r w:rsidR="00B91619">
        <w:rPr>
          <w:lang w:val="fr-CA"/>
        </w:rPr>
        <w:t xml:space="preserve"> moyens possibles</w:t>
      </w:r>
      <w:r w:rsidRPr="00FA558D" w:rsidR="00B91619">
        <w:rPr>
          <w:lang w:val="fr-CA"/>
        </w:rPr>
        <w:t xml:space="preserve"> </w:t>
      </w:r>
      <w:r w:rsidR="00B91619">
        <w:rPr>
          <w:lang w:val="fr-CA"/>
        </w:rPr>
        <w:t>de rétablir la conformité du portefeuille</w:t>
      </w:r>
      <w:r w:rsidR="005E7228">
        <w:rPr>
          <w:lang w:val="fr-CA"/>
        </w:rPr>
        <w:t>;</w:t>
      </w:r>
    </w:p>
    <w:p w:rsidRPr="00FA558D" w:rsidR="00B91619" w:rsidP="00B91619" w:rsidRDefault="00B91619" w14:paraId="0B512841" w14:textId="77777777">
      <w:pPr>
        <w:pStyle w:val="ListParagraph"/>
        <w:tabs>
          <w:tab w:val="left" w:pos="9356"/>
        </w:tabs>
        <w:spacing w:after="0" w:line="240" w:lineRule="auto"/>
        <w:ind w:left="0"/>
        <w:rPr>
          <w:lang w:val="fr-CA"/>
        </w:rPr>
      </w:pPr>
    </w:p>
    <w:p w:rsidRPr="00FA558D" w:rsidR="00B91619" w:rsidP="00B91619" w:rsidRDefault="005E7228" w14:paraId="43820AD9" w14:textId="49C99EC9">
      <w:pPr>
        <w:pStyle w:val="ListParagraph"/>
        <w:numPr>
          <w:ilvl w:val="0"/>
          <w:numId w:val="22"/>
        </w:numPr>
        <w:tabs>
          <w:tab w:val="left" w:pos="9356"/>
        </w:tabs>
        <w:spacing w:after="0" w:line="240" w:lineRule="auto"/>
        <w:rPr>
          <w:lang w:val="fr-CA"/>
        </w:rPr>
      </w:pPr>
      <w:proofErr w:type="gramStart"/>
      <w:r>
        <w:rPr>
          <w:lang w:val="fr-CA"/>
        </w:rPr>
        <w:t>le</w:t>
      </w:r>
      <w:proofErr w:type="gramEnd"/>
      <w:r>
        <w:rPr>
          <w:lang w:val="fr-CA"/>
        </w:rPr>
        <w:t xml:space="preserve"> </w:t>
      </w:r>
      <w:r w:rsidR="00B91619">
        <w:rPr>
          <w:lang w:val="fr-CA"/>
        </w:rPr>
        <w:t>prés</w:t>
      </w:r>
      <w:r w:rsidRPr="00FA558D" w:rsidR="00B91619">
        <w:rPr>
          <w:lang w:val="fr-CA"/>
        </w:rPr>
        <w:t xml:space="preserve">ident </w:t>
      </w:r>
      <w:r w:rsidR="00B91619">
        <w:rPr>
          <w:lang w:val="fr-CA"/>
        </w:rPr>
        <w:t>du Conseil du Trésor p</w:t>
      </w:r>
      <w:r>
        <w:rPr>
          <w:lang w:val="fr-CA"/>
        </w:rPr>
        <w:t>eut</w:t>
      </w:r>
      <w:r w:rsidR="00B91619">
        <w:rPr>
          <w:lang w:val="fr-CA"/>
        </w:rPr>
        <w:t xml:space="preserve"> divulguer les cas de </w:t>
      </w:r>
      <w:r w:rsidRPr="00FA558D" w:rsidR="00B91619">
        <w:rPr>
          <w:lang w:val="fr-CA"/>
        </w:rPr>
        <w:t>non-co</w:t>
      </w:r>
      <w:r w:rsidR="00B91619">
        <w:rPr>
          <w:lang w:val="fr-CA"/>
        </w:rPr>
        <w:t>nformité</w:t>
      </w:r>
      <w:r w:rsidRPr="00FA558D" w:rsidR="00B91619">
        <w:rPr>
          <w:lang w:val="fr-CA"/>
        </w:rPr>
        <w:t xml:space="preserve"> </w:t>
      </w:r>
      <w:r w:rsidR="00B91619">
        <w:rPr>
          <w:lang w:val="fr-CA"/>
        </w:rPr>
        <w:t xml:space="preserve">dans </w:t>
      </w:r>
      <w:r w:rsidR="008B26FD">
        <w:rPr>
          <w:lang w:val="fr-CA"/>
        </w:rPr>
        <w:t>l</w:t>
      </w:r>
      <w:r w:rsidR="00B91619">
        <w:rPr>
          <w:lang w:val="fr-CA"/>
        </w:rPr>
        <w:t>es rapports</w:t>
      </w:r>
      <w:r w:rsidR="008B26FD">
        <w:rPr>
          <w:lang w:val="fr-CA"/>
        </w:rPr>
        <w:t xml:space="preserve"> publics</w:t>
      </w:r>
      <w:r w:rsidR="00B91619">
        <w:rPr>
          <w:lang w:val="fr-CA"/>
        </w:rPr>
        <w:t xml:space="preserve">, </w:t>
      </w:r>
      <w:r>
        <w:rPr>
          <w:lang w:val="fr-CA"/>
        </w:rPr>
        <w:t>par exemple les rapports</w:t>
      </w:r>
      <w:r w:rsidR="00B91619">
        <w:rPr>
          <w:lang w:val="fr-CA"/>
        </w:rPr>
        <w:t xml:space="preserve"> annuel</w:t>
      </w:r>
      <w:r>
        <w:rPr>
          <w:lang w:val="fr-CA"/>
        </w:rPr>
        <w:t>s</w:t>
      </w:r>
      <w:r w:rsidR="00B91619">
        <w:rPr>
          <w:lang w:val="fr-CA"/>
        </w:rPr>
        <w:t xml:space="preserve"> au Parlement</w:t>
      </w:r>
      <w:r w:rsidRPr="00FA558D" w:rsidR="00B91619">
        <w:rPr>
          <w:lang w:val="fr-CA"/>
        </w:rPr>
        <w:t xml:space="preserve">, </w:t>
      </w:r>
      <w:r w:rsidR="008B26FD">
        <w:rPr>
          <w:lang w:val="fr-CA"/>
        </w:rPr>
        <w:t>afin d’assurer</w:t>
      </w:r>
      <w:r w:rsidR="00B91619">
        <w:rPr>
          <w:lang w:val="fr-CA"/>
        </w:rPr>
        <w:t xml:space="preserve"> la </w:t>
      </w:r>
      <w:r w:rsidRPr="00FA558D" w:rsidR="00B91619">
        <w:rPr>
          <w:lang w:val="fr-CA"/>
        </w:rPr>
        <w:t>transpa</w:t>
      </w:r>
      <w:r w:rsidR="00B91619">
        <w:rPr>
          <w:lang w:val="fr-CA"/>
        </w:rPr>
        <w:t>rence</w:t>
      </w:r>
      <w:r w:rsidRPr="00FA558D" w:rsidR="00B91619">
        <w:rPr>
          <w:lang w:val="fr-CA"/>
        </w:rPr>
        <w:t xml:space="preserve"> </w:t>
      </w:r>
      <w:r>
        <w:rPr>
          <w:lang w:val="fr-CA"/>
        </w:rPr>
        <w:t>auprès des</w:t>
      </w:r>
      <w:r w:rsidR="00B91619">
        <w:rPr>
          <w:lang w:val="fr-CA"/>
        </w:rPr>
        <w:t xml:space="preserve"> intervenants et </w:t>
      </w:r>
      <w:r>
        <w:rPr>
          <w:lang w:val="fr-CA"/>
        </w:rPr>
        <w:t>d</w:t>
      </w:r>
      <w:r w:rsidR="00B91619">
        <w:rPr>
          <w:lang w:val="fr-CA"/>
        </w:rPr>
        <w:t>es parties réglementées.</w:t>
      </w:r>
    </w:p>
    <w:p w:rsidRPr="00FA558D" w:rsidR="00B91619" w:rsidP="00B91619" w:rsidRDefault="00B91619" w14:paraId="6EE6FA60" w14:textId="77777777">
      <w:pPr>
        <w:tabs>
          <w:tab w:val="left" w:pos="9356"/>
        </w:tabs>
        <w:spacing w:after="0" w:line="240" w:lineRule="auto"/>
        <w:rPr>
          <w:lang w:val="fr-CA"/>
        </w:rPr>
      </w:pPr>
    </w:p>
    <w:p w:rsidRPr="0030301E" w:rsidR="00B91619" w:rsidP="00B91619" w:rsidRDefault="00B91619" w14:paraId="2E202305" w14:textId="2C61EE3C">
      <w:pPr>
        <w:pStyle w:val="Heading3"/>
        <w:rPr>
          <w:lang w:val="fr-CA"/>
        </w:rPr>
      </w:pPr>
      <w:bookmarkStart w:name="_Toc151373919" w:id="27"/>
      <w:r w:rsidRPr="0030301E">
        <w:rPr>
          <w:lang w:val="fr-CA"/>
        </w:rPr>
        <w:t>Exemptions (</w:t>
      </w:r>
      <w:r w:rsidRPr="0030301E" w:rsidR="00486B7E">
        <w:rPr>
          <w:lang w:val="fr-CA"/>
        </w:rPr>
        <w:t>paragraphe</w:t>
      </w:r>
      <w:r w:rsidRPr="0030301E">
        <w:rPr>
          <w:lang w:val="fr-CA"/>
        </w:rPr>
        <w:t> 7.2.9)</w:t>
      </w:r>
      <w:bookmarkEnd w:id="27"/>
    </w:p>
    <w:p w:rsidRPr="00FA558D" w:rsidR="00B91619" w:rsidP="00B91619" w:rsidRDefault="00B91619" w14:paraId="21EC511B" w14:textId="77777777">
      <w:pPr>
        <w:tabs>
          <w:tab w:val="left" w:pos="9356"/>
        </w:tabs>
        <w:spacing w:after="0" w:line="240" w:lineRule="auto"/>
        <w:rPr>
          <w:lang w:val="fr-CA"/>
        </w:rPr>
      </w:pPr>
    </w:p>
    <w:p w:rsidRPr="00FA558D" w:rsidR="00B91619" w:rsidP="00B91619" w:rsidRDefault="00B91619" w14:paraId="01F04DEE" w14:textId="2D5C464B">
      <w:pPr>
        <w:tabs>
          <w:tab w:val="left" w:pos="9356"/>
        </w:tabs>
        <w:spacing w:after="0" w:line="240" w:lineRule="auto"/>
        <w:rPr>
          <w:lang w:val="fr-CA"/>
        </w:rPr>
      </w:pPr>
      <w:r>
        <w:rPr>
          <w:lang w:val="fr-CA"/>
        </w:rPr>
        <w:t>L</w:t>
      </w:r>
      <w:r w:rsidR="00307B06">
        <w:rPr>
          <w:lang w:val="fr-CA"/>
        </w:rPr>
        <w:t>’article</w:t>
      </w:r>
      <w:r w:rsidRPr="00FA558D">
        <w:rPr>
          <w:lang w:val="fr-CA"/>
        </w:rPr>
        <w:t> 6</w:t>
      </w:r>
      <w:r>
        <w:rPr>
          <w:lang w:val="fr-CA"/>
        </w:rPr>
        <w:t xml:space="preserve"> du </w:t>
      </w:r>
      <w:r w:rsidRPr="0053635A">
        <w:rPr>
          <w:i/>
          <w:iCs/>
          <w:lang w:val="fr-CA"/>
        </w:rPr>
        <w:t>Règlement sur la réduction de la paperasse</w:t>
      </w:r>
      <w:r w:rsidRPr="00FA558D">
        <w:rPr>
          <w:lang w:val="fr-CA"/>
        </w:rPr>
        <w:t xml:space="preserve"> </w:t>
      </w:r>
      <w:r>
        <w:rPr>
          <w:lang w:val="fr-CA"/>
        </w:rPr>
        <w:t>définit</w:t>
      </w:r>
      <w:r w:rsidRPr="00FA558D">
        <w:rPr>
          <w:lang w:val="fr-CA"/>
        </w:rPr>
        <w:t xml:space="preserve"> </w:t>
      </w:r>
      <w:r>
        <w:rPr>
          <w:lang w:val="fr-CA"/>
        </w:rPr>
        <w:t>trois</w:t>
      </w:r>
      <w:r w:rsidRPr="00FA558D">
        <w:rPr>
          <w:lang w:val="fr-CA"/>
        </w:rPr>
        <w:t> </w:t>
      </w:r>
      <w:r>
        <w:rPr>
          <w:lang w:val="fr-CA"/>
        </w:rPr>
        <w:t>catégories d’ex</w:t>
      </w:r>
      <w:r w:rsidRPr="00FA558D">
        <w:rPr>
          <w:lang w:val="fr-CA"/>
        </w:rPr>
        <w:t xml:space="preserve">emptions </w:t>
      </w:r>
      <w:r>
        <w:rPr>
          <w:lang w:val="fr-CA"/>
        </w:rPr>
        <w:t>à l’</w:t>
      </w:r>
      <w:r w:rsidR="00953EC4">
        <w:rPr>
          <w:lang w:val="fr-CA"/>
        </w:rPr>
        <w:t>obligation</w:t>
      </w:r>
      <w:r w:rsidRPr="00FA558D">
        <w:rPr>
          <w:lang w:val="fr-CA"/>
        </w:rPr>
        <w:t xml:space="preserve"> </w:t>
      </w:r>
      <w:r>
        <w:rPr>
          <w:lang w:val="fr-CA"/>
        </w:rPr>
        <w:t>de compenser</w:t>
      </w:r>
      <w:r w:rsidRPr="00FA558D">
        <w:rPr>
          <w:lang w:val="fr-CA"/>
        </w:rPr>
        <w:t xml:space="preserve"> </w:t>
      </w:r>
      <w:r w:rsidR="00307B06">
        <w:rPr>
          <w:lang w:val="fr-CA"/>
        </w:rPr>
        <w:t>tout nouveau</w:t>
      </w:r>
      <w:r>
        <w:rPr>
          <w:lang w:val="fr-CA"/>
        </w:rPr>
        <w:t xml:space="preserve"> fardeau </w:t>
      </w:r>
      <w:r w:rsidR="00307B06">
        <w:rPr>
          <w:lang w:val="fr-CA"/>
        </w:rPr>
        <w:t>réglementaire ou titre</w:t>
      </w:r>
      <w:r w:rsidRPr="00FA558D">
        <w:rPr>
          <w:lang w:val="fr-CA"/>
        </w:rPr>
        <w:t xml:space="preserve">. </w:t>
      </w:r>
      <w:r>
        <w:rPr>
          <w:lang w:val="fr-CA"/>
        </w:rPr>
        <w:t>La déci</w:t>
      </w:r>
      <w:r w:rsidRPr="00FA558D">
        <w:rPr>
          <w:lang w:val="fr-CA"/>
        </w:rPr>
        <w:t xml:space="preserve">sion </w:t>
      </w:r>
      <w:r>
        <w:rPr>
          <w:lang w:val="fr-CA"/>
        </w:rPr>
        <w:t>d’</w:t>
      </w:r>
      <w:r w:rsidR="00307B06">
        <w:rPr>
          <w:lang w:val="fr-CA"/>
        </w:rPr>
        <w:t xml:space="preserve">accorder une </w:t>
      </w:r>
      <w:r>
        <w:rPr>
          <w:lang w:val="fr-CA"/>
        </w:rPr>
        <w:t>exempt</w:t>
      </w:r>
      <w:r w:rsidR="00307B06">
        <w:rPr>
          <w:lang w:val="fr-CA"/>
        </w:rPr>
        <w:t>ion</w:t>
      </w:r>
      <w:r>
        <w:rPr>
          <w:lang w:val="fr-CA"/>
        </w:rPr>
        <w:t xml:space="preserve"> </w:t>
      </w:r>
      <w:r w:rsidR="00307B06">
        <w:rPr>
          <w:lang w:val="fr-CA"/>
        </w:rPr>
        <w:t>dans le cadre d’un projet de règlement</w:t>
      </w:r>
      <w:r w:rsidRPr="00FA558D">
        <w:rPr>
          <w:lang w:val="fr-CA"/>
        </w:rPr>
        <w:t xml:space="preserve"> re</w:t>
      </w:r>
      <w:r>
        <w:rPr>
          <w:lang w:val="fr-CA"/>
        </w:rPr>
        <w:t>vient au Conseil du Trésor</w:t>
      </w:r>
      <w:r w:rsidRPr="00FA558D">
        <w:rPr>
          <w:lang w:val="fr-CA"/>
        </w:rPr>
        <w:t xml:space="preserve"> (</w:t>
      </w:r>
      <w:r w:rsidR="00DC4DBA">
        <w:rPr>
          <w:lang w:val="fr-CA"/>
        </w:rPr>
        <w:t>p</w:t>
      </w:r>
      <w:r>
        <w:rPr>
          <w:lang w:val="fr-CA"/>
        </w:rPr>
        <w:t>artie B</w:t>
      </w:r>
      <w:r w:rsidRPr="00FA558D">
        <w:rPr>
          <w:lang w:val="fr-CA"/>
        </w:rPr>
        <w:t>),</w:t>
      </w:r>
      <w:r>
        <w:rPr>
          <w:lang w:val="fr-CA"/>
        </w:rPr>
        <w:t xml:space="preserve"> et les organismes de réglementation</w:t>
      </w:r>
      <w:r w:rsidRPr="00FA558D">
        <w:rPr>
          <w:lang w:val="fr-CA"/>
        </w:rPr>
        <w:t xml:space="preserve"> </w:t>
      </w:r>
      <w:r>
        <w:rPr>
          <w:lang w:val="fr-CA"/>
        </w:rPr>
        <w:t>doivent</w:t>
      </w:r>
      <w:r w:rsidRPr="00FA558D">
        <w:rPr>
          <w:lang w:val="fr-CA"/>
        </w:rPr>
        <w:t xml:space="preserve"> consult</w:t>
      </w:r>
      <w:r>
        <w:rPr>
          <w:lang w:val="fr-CA"/>
        </w:rPr>
        <w:t xml:space="preserve">er le Secteur des </w:t>
      </w:r>
      <w:r w:rsidR="00DC4DBA">
        <w:rPr>
          <w:lang w:val="fr-CA"/>
        </w:rPr>
        <w:t>a</w:t>
      </w:r>
      <w:r>
        <w:rPr>
          <w:lang w:val="fr-CA"/>
        </w:rPr>
        <w:t xml:space="preserve">ffaires réglementaires </w:t>
      </w:r>
      <w:r w:rsidR="00D260CD">
        <w:rPr>
          <w:lang w:val="fr-CA"/>
        </w:rPr>
        <w:t xml:space="preserve">au sujet de la raison pour laquelle </w:t>
      </w:r>
      <w:r w:rsidR="00307B06">
        <w:rPr>
          <w:lang w:val="fr-CA"/>
        </w:rPr>
        <w:t xml:space="preserve">une </w:t>
      </w:r>
      <w:r>
        <w:rPr>
          <w:lang w:val="fr-CA"/>
        </w:rPr>
        <w:t>ex</w:t>
      </w:r>
      <w:r w:rsidRPr="00FA558D">
        <w:rPr>
          <w:lang w:val="fr-CA"/>
        </w:rPr>
        <w:t>emption</w:t>
      </w:r>
      <w:r w:rsidR="00307B06">
        <w:rPr>
          <w:lang w:val="fr-CA"/>
        </w:rPr>
        <w:t xml:space="preserve"> est demandée</w:t>
      </w:r>
      <w:r w:rsidRPr="00FA558D">
        <w:rPr>
          <w:lang w:val="fr-CA"/>
        </w:rPr>
        <w:t>.</w:t>
      </w:r>
      <w:r>
        <w:rPr>
          <w:lang w:val="fr-CA"/>
        </w:rPr>
        <w:t xml:space="preserve"> L</w:t>
      </w:r>
      <w:r w:rsidRPr="00FA558D">
        <w:rPr>
          <w:lang w:val="fr-CA"/>
        </w:rPr>
        <w:t xml:space="preserve">e </w:t>
      </w:r>
      <w:r>
        <w:rPr>
          <w:lang w:val="fr-CA"/>
        </w:rPr>
        <w:t>Conseil du Trésor</w:t>
      </w:r>
      <w:r w:rsidRPr="00FA558D">
        <w:rPr>
          <w:lang w:val="fr-CA"/>
        </w:rPr>
        <w:t xml:space="preserve"> </w:t>
      </w:r>
      <w:r w:rsidR="00307B06">
        <w:rPr>
          <w:lang w:val="fr-CA"/>
        </w:rPr>
        <w:t>examine chacune d</w:t>
      </w:r>
      <w:r>
        <w:rPr>
          <w:lang w:val="fr-CA"/>
        </w:rPr>
        <w:t>es demandes d’ex</w:t>
      </w:r>
      <w:r w:rsidRPr="00FA558D">
        <w:rPr>
          <w:lang w:val="fr-CA"/>
        </w:rPr>
        <w:t>emption</w:t>
      </w:r>
      <w:r>
        <w:rPr>
          <w:lang w:val="fr-CA"/>
        </w:rPr>
        <w:t xml:space="preserve">, et </w:t>
      </w:r>
      <w:r w:rsidR="00DC4DBA">
        <w:rPr>
          <w:lang w:val="fr-CA"/>
        </w:rPr>
        <w:t xml:space="preserve">lui </w:t>
      </w:r>
      <w:r>
        <w:rPr>
          <w:lang w:val="fr-CA"/>
        </w:rPr>
        <w:t xml:space="preserve">seul </w:t>
      </w:r>
      <w:r w:rsidR="00307B06">
        <w:rPr>
          <w:lang w:val="fr-CA"/>
        </w:rPr>
        <w:t xml:space="preserve">peut </w:t>
      </w:r>
      <w:r w:rsidR="00DC4DBA">
        <w:rPr>
          <w:lang w:val="fr-CA"/>
        </w:rPr>
        <w:t>décide</w:t>
      </w:r>
      <w:r w:rsidR="00307B06">
        <w:rPr>
          <w:lang w:val="fr-CA"/>
        </w:rPr>
        <w:t>r</w:t>
      </w:r>
      <w:r>
        <w:rPr>
          <w:lang w:val="fr-CA"/>
        </w:rPr>
        <w:t xml:space="preserve"> si un projet </w:t>
      </w:r>
      <w:r w:rsidR="00307B06">
        <w:rPr>
          <w:lang w:val="fr-CA"/>
        </w:rPr>
        <w:t xml:space="preserve">de règlement </w:t>
      </w:r>
      <w:r>
        <w:rPr>
          <w:lang w:val="fr-CA"/>
        </w:rPr>
        <w:t>remplit les critères d’ex</w:t>
      </w:r>
      <w:r w:rsidRPr="00FA558D">
        <w:rPr>
          <w:lang w:val="fr-CA"/>
        </w:rPr>
        <w:t xml:space="preserve">emption. </w:t>
      </w:r>
      <w:r w:rsidR="00A95E42">
        <w:rPr>
          <w:lang w:val="fr-CA"/>
        </w:rPr>
        <w:t>Il lui incombe ensuite d’approuver ou de refuser l’exemption.</w:t>
      </w:r>
    </w:p>
    <w:p w:rsidRPr="00FA558D" w:rsidR="00B91619" w:rsidP="00B91619" w:rsidRDefault="00B91619" w14:paraId="7AEA641F" w14:textId="77777777">
      <w:pPr>
        <w:tabs>
          <w:tab w:val="left" w:pos="9356"/>
        </w:tabs>
        <w:spacing w:after="0" w:line="240" w:lineRule="auto"/>
        <w:rPr>
          <w:lang w:val="fr-CA"/>
        </w:rPr>
      </w:pPr>
    </w:p>
    <w:p w:rsidRPr="00FA558D" w:rsidR="00B91619" w:rsidP="00B91619" w:rsidRDefault="00B91619" w14:paraId="0D0FF01B" w14:textId="1F19BFD8">
      <w:pPr>
        <w:tabs>
          <w:tab w:val="left" w:pos="9356"/>
        </w:tabs>
        <w:spacing w:after="0" w:line="240" w:lineRule="auto"/>
        <w:rPr>
          <w:lang w:val="fr-CA"/>
        </w:rPr>
      </w:pPr>
      <w:r>
        <w:rPr>
          <w:lang w:val="fr-CA"/>
        </w:rPr>
        <w:t>La première question à poser dans l’examen d’une demande d’</w:t>
      </w:r>
      <w:r w:rsidRPr="00FA558D">
        <w:rPr>
          <w:lang w:val="fr-CA"/>
        </w:rPr>
        <w:t>exemption</w:t>
      </w:r>
      <w:r>
        <w:rPr>
          <w:lang w:val="fr-CA"/>
        </w:rPr>
        <w:t xml:space="preserve"> est celle de savoir si la modification</w:t>
      </w:r>
      <w:r w:rsidRPr="00FA558D">
        <w:rPr>
          <w:lang w:val="fr-CA"/>
        </w:rPr>
        <w:t xml:space="preserve"> pro</w:t>
      </w:r>
      <w:r>
        <w:rPr>
          <w:lang w:val="fr-CA"/>
        </w:rPr>
        <w:t>posée imposerait un nouveau fardeau administratif aux entreprises</w:t>
      </w:r>
      <w:r w:rsidRPr="00FA558D">
        <w:rPr>
          <w:lang w:val="fr-CA"/>
        </w:rPr>
        <w:t>.</w:t>
      </w:r>
      <w:r>
        <w:rPr>
          <w:lang w:val="fr-CA"/>
        </w:rPr>
        <w:t xml:space="preserve"> Les e</w:t>
      </w:r>
      <w:r w:rsidRPr="00FA558D">
        <w:rPr>
          <w:lang w:val="fr-CA"/>
        </w:rPr>
        <w:t xml:space="preserve">xemptions </w:t>
      </w:r>
      <w:r>
        <w:rPr>
          <w:lang w:val="fr-CA"/>
        </w:rPr>
        <w:t>s’appliquent uniquement à l’</w:t>
      </w:r>
      <w:r w:rsidR="00953EC4">
        <w:rPr>
          <w:lang w:val="fr-CA"/>
        </w:rPr>
        <w:t>obligation</w:t>
      </w:r>
      <w:r w:rsidRPr="00FA558D">
        <w:rPr>
          <w:lang w:val="fr-CA"/>
        </w:rPr>
        <w:t xml:space="preserve"> </w:t>
      </w:r>
      <w:r>
        <w:rPr>
          <w:lang w:val="fr-CA"/>
        </w:rPr>
        <w:t>de compenser</w:t>
      </w:r>
      <w:r w:rsidRPr="00FA558D">
        <w:rPr>
          <w:lang w:val="fr-CA"/>
        </w:rPr>
        <w:t xml:space="preserve"> </w:t>
      </w:r>
      <w:r w:rsidR="00DC4DBA">
        <w:rPr>
          <w:lang w:val="fr-CA"/>
        </w:rPr>
        <w:t>l’augmentation du</w:t>
      </w:r>
      <w:r>
        <w:rPr>
          <w:lang w:val="fr-CA"/>
        </w:rPr>
        <w:t xml:space="preserve"> fardeau, et visent </w:t>
      </w:r>
      <w:r>
        <w:rPr>
          <w:lang w:val="fr-CA"/>
        </w:rPr>
        <w:t>exclusivement les règlement</w:t>
      </w:r>
      <w:r w:rsidRPr="00FA558D">
        <w:rPr>
          <w:lang w:val="fr-CA"/>
        </w:rPr>
        <w:t>s</w:t>
      </w:r>
      <w:r>
        <w:rPr>
          <w:lang w:val="fr-CA"/>
        </w:rPr>
        <w:t xml:space="preserve"> qui imposeraient un nouveau fardeau administratif. Sans nouveau fardeau administratif</w:t>
      </w:r>
      <w:r w:rsidRPr="00FA558D">
        <w:rPr>
          <w:lang w:val="fr-CA"/>
        </w:rPr>
        <w:t xml:space="preserve">, </w:t>
      </w:r>
      <w:r>
        <w:rPr>
          <w:lang w:val="fr-CA"/>
        </w:rPr>
        <w:t>il n’y a aucun</w:t>
      </w:r>
      <w:r w:rsidR="00051757">
        <w:rPr>
          <w:lang w:val="fr-CA"/>
        </w:rPr>
        <w:t>e raison</w:t>
      </w:r>
      <w:r>
        <w:rPr>
          <w:lang w:val="fr-CA"/>
        </w:rPr>
        <w:t xml:space="preserve"> de </w:t>
      </w:r>
      <w:r w:rsidR="00DC4DBA">
        <w:rPr>
          <w:lang w:val="fr-CA"/>
        </w:rPr>
        <w:t xml:space="preserve">demander </w:t>
      </w:r>
      <w:r>
        <w:rPr>
          <w:lang w:val="fr-CA"/>
        </w:rPr>
        <w:t xml:space="preserve">une </w:t>
      </w:r>
      <w:r w:rsidRPr="00FA558D">
        <w:rPr>
          <w:lang w:val="fr-CA"/>
        </w:rPr>
        <w:t>exemption.</w:t>
      </w:r>
    </w:p>
    <w:p w:rsidRPr="00FA558D" w:rsidR="00B91619" w:rsidP="00B91619" w:rsidRDefault="00B91619" w14:paraId="377AE2FF" w14:textId="77777777">
      <w:pPr>
        <w:tabs>
          <w:tab w:val="left" w:pos="9356"/>
        </w:tabs>
        <w:spacing w:after="0" w:line="240" w:lineRule="auto"/>
        <w:rPr>
          <w:lang w:val="fr-CA"/>
        </w:rPr>
      </w:pPr>
    </w:p>
    <w:p w:rsidRPr="00FA558D" w:rsidR="00B91619" w:rsidP="00B91619" w:rsidRDefault="00B91619" w14:paraId="00632A68" w14:textId="1ADB15AF">
      <w:pPr>
        <w:tabs>
          <w:tab w:val="left" w:pos="9356"/>
        </w:tabs>
        <w:spacing w:after="0" w:line="240" w:lineRule="auto"/>
        <w:rPr>
          <w:lang w:val="fr-CA"/>
        </w:rPr>
      </w:pPr>
      <w:r>
        <w:rPr>
          <w:lang w:val="fr-CA"/>
        </w:rPr>
        <w:t>Les e</w:t>
      </w:r>
      <w:r w:rsidRPr="00FA558D">
        <w:rPr>
          <w:lang w:val="fr-CA"/>
        </w:rPr>
        <w:t>xemptions</w:t>
      </w:r>
      <w:r>
        <w:rPr>
          <w:lang w:val="fr-CA"/>
        </w:rPr>
        <w:t xml:space="preserve"> ne s’appliquent</w:t>
      </w:r>
      <w:r w:rsidRPr="00FA558D">
        <w:rPr>
          <w:lang w:val="fr-CA"/>
        </w:rPr>
        <w:t xml:space="preserve"> </w:t>
      </w:r>
      <w:r>
        <w:rPr>
          <w:lang w:val="fr-CA"/>
        </w:rPr>
        <w:t>pas aux règlement</w:t>
      </w:r>
      <w:r w:rsidRPr="00FA558D">
        <w:rPr>
          <w:lang w:val="fr-CA"/>
        </w:rPr>
        <w:t>s</w:t>
      </w:r>
      <w:r>
        <w:rPr>
          <w:lang w:val="fr-CA"/>
        </w:rPr>
        <w:t xml:space="preserve"> qui </w:t>
      </w:r>
      <w:r w:rsidR="00051757">
        <w:rPr>
          <w:lang w:val="fr-CA"/>
        </w:rPr>
        <w:t>réduisent</w:t>
      </w:r>
      <w:r>
        <w:rPr>
          <w:lang w:val="fr-CA"/>
        </w:rPr>
        <w:t xml:space="preserve"> </w:t>
      </w:r>
      <w:r w:rsidR="00051757">
        <w:rPr>
          <w:lang w:val="fr-CA"/>
        </w:rPr>
        <w:t>le</w:t>
      </w:r>
      <w:r>
        <w:rPr>
          <w:lang w:val="fr-CA"/>
        </w:rPr>
        <w:t xml:space="preserve"> fardeau administratif </w:t>
      </w:r>
      <w:r w:rsidRPr="00FA558D">
        <w:rPr>
          <w:lang w:val="fr-CA"/>
        </w:rPr>
        <w:t>(</w:t>
      </w:r>
      <w:r>
        <w:rPr>
          <w:lang w:val="fr-CA"/>
        </w:rPr>
        <w:t xml:space="preserve">réduction du fardeau ou </w:t>
      </w:r>
      <w:r w:rsidR="00051757">
        <w:rPr>
          <w:lang w:val="fr-CA"/>
        </w:rPr>
        <w:t>suppression</w:t>
      </w:r>
      <w:r>
        <w:rPr>
          <w:lang w:val="fr-CA"/>
        </w:rPr>
        <w:t xml:space="preserve"> d’un règlement</w:t>
      </w:r>
      <w:r w:rsidRPr="00FA558D">
        <w:rPr>
          <w:lang w:val="fr-CA"/>
        </w:rPr>
        <w:t>)</w:t>
      </w:r>
      <w:r>
        <w:rPr>
          <w:lang w:val="fr-CA"/>
        </w:rPr>
        <w:t xml:space="preserve">. Les organismes de réglementation ont l’obligation </w:t>
      </w:r>
      <w:r w:rsidR="00DC4DBA">
        <w:rPr>
          <w:lang w:val="fr-CA"/>
        </w:rPr>
        <w:t xml:space="preserve">d’indiquer </w:t>
      </w:r>
      <w:r>
        <w:rPr>
          <w:lang w:val="fr-CA"/>
        </w:rPr>
        <w:t>les réductions du</w:t>
      </w:r>
      <w:r w:rsidRPr="00FA558D">
        <w:rPr>
          <w:lang w:val="fr-CA"/>
        </w:rPr>
        <w:t xml:space="preserve"> </w:t>
      </w:r>
      <w:r>
        <w:rPr>
          <w:lang w:val="fr-CA"/>
        </w:rPr>
        <w:t>fardeau dans leurs projets de règlement. Ces</w:t>
      </w:r>
      <w:r w:rsidRPr="00FA558D">
        <w:rPr>
          <w:lang w:val="fr-CA"/>
        </w:rPr>
        <w:t xml:space="preserve"> </w:t>
      </w:r>
      <w:r>
        <w:rPr>
          <w:lang w:val="fr-CA"/>
        </w:rPr>
        <w:t xml:space="preserve">réductions du fardeau peuvent être </w:t>
      </w:r>
      <w:r w:rsidR="00051757">
        <w:rPr>
          <w:lang w:val="fr-CA"/>
        </w:rPr>
        <w:t>conservées</w:t>
      </w:r>
      <w:r>
        <w:rPr>
          <w:lang w:val="fr-CA"/>
        </w:rPr>
        <w:t xml:space="preserve"> et appliquées pour compenser</w:t>
      </w:r>
      <w:r w:rsidRPr="00FA558D">
        <w:rPr>
          <w:lang w:val="fr-CA"/>
        </w:rPr>
        <w:t xml:space="preserve"> </w:t>
      </w:r>
      <w:r w:rsidR="00051757">
        <w:rPr>
          <w:lang w:val="fr-CA"/>
        </w:rPr>
        <w:t>un</w:t>
      </w:r>
      <w:r>
        <w:rPr>
          <w:lang w:val="fr-CA"/>
        </w:rPr>
        <w:t xml:space="preserve"> fardeau administratif </w:t>
      </w:r>
      <w:r w:rsidR="00051757">
        <w:rPr>
          <w:lang w:val="fr-CA"/>
        </w:rPr>
        <w:t>futur</w:t>
      </w:r>
      <w:r w:rsidRPr="00FA558D">
        <w:rPr>
          <w:lang w:val="fr-CA"/>
        </w:rPr>
        <w:t>.</w:t>
      </w:r>
    </w:p>
    <w:p w:rsidRPr="00FA558D" w:rsidR="00B91619" w:rsidP="00B91619" w:rsidRDefault="00B91619" w14:paraId="775E7C1E" w14:textId="77777777">
      <w:pPr>
        <w:tabs>
          <w:tab w:val="left" w:pos="9356"/>
        </w:tabs>
        <w:spacing w:after="0" w:line="240" w:lineRule="auto"/>
        <w:rPr>
          <w:lang w:val="fr-CA"/>
        </w:rPr>
      </w:pPr>
    </w:p>
    <w:p w:rsidRPr="00FA558D" w:rsidR="00B91619" w:rsidP="00B91619" w:rsidRDefault="00B91619" w14:paraId="7ECC8EC5" w14:textId="2D0117EF">
      <w:pPr>
        <w:tabs>
          <w:tab w:val="left" w:pos="9356"/>
        </w:tabs>
        <w:spacing w:after="0" w:line="240" w:lineRule="auto"/>
        <w:rPr>
          <w:lang w:val="fr-CA"/>
        </w:rPr>
      </w:pPr>
      <w:r>
        <w:rPr>
          <w:lang w:val="fr-CA"/>
        </w:rPr>
        <w:t xml:space="preserve">Les </w:t>
      </w:r>
      <w:r w:rsidR="00DC4DBA">
        <w:rPr>
          <w:lang w:val="fr-CA"/>
        </w:rPr>
        <w:t xml:space="preserve">facteurs </w:t>
      </w:r>
      <w:r w:rsidR="003C5387">
        <w:rPr>
          <w:lang w:val="fr-CA"/>
        </w:rPr>
        <w:t xml:space="preserve">à prendre en considération </w:t>
      </w:r>
      <w:r w:rsidR="00DC4DBA">
        <w:rPr>
          <w:lang w:val="fr-CA"/>
        </w:rPr>
        <w:t>relati</w:t>
      </w:r>
      <w:r w:rsidR="003C5387">
        <w:rPr>
          <w:lang w:val="fr-CA"/>
        </w:rPr>
        <w:t>vement</w:t>
      </w:r>
      <w:r>
        <w:rPr>
          <w:lang w:val="fr-CA"/>
        </w:rPr>
        <w:t xml:space="preserve"> à chaque catégorie d’ex</w:t>
      </w:r>
      <w:r w:rsidRPr="00FA558D">
        <w:rPr>
          <w:lang w:val="fr-CA"/>
        </w:rPr>
        <w:t>emption</w:t>
      </w:r>
      <w:r>
        <w:rPr>
          <w:lang w:val="fr-CA"/>
        </w:rPr>
        <w:t xml:space="preserve"> sont définis</w:t>
      </w:r>
      <w:r w:rsidRPr="00FA558D">
        <w:rPr>
          <w:lang w:val="fr-CA"/>
        </w:rPr>
        <w:t xml:space="preserve"> </w:t>
      </w:r>
      <w:r>
        <w:rPr>
          <w:lang w:val="fr-CA"/>
        </w:rPr>
        <w:t>ci</w:t>
      </w:r>
      <w:r w:rsidR="003C5387">
        <w:rPr>
          <w:lang w:val="fr-CA"/>
        </w:rPr>
        <w:noBreakHyphen/>
      </w:r>
      <w:r>
        <w:rPr>
          <w:lang w:val="fr-CA"/>
        </w:rPr>
        <w:t>après</w:t>
      </w:r>
      <w:r w:rsidRPr="00FA558D">
        <w:rPr>
          <w:lang w:val="fr-CA"/>
        </w:rPr>
        <w:t>.</w:t>
      </w:r>
    </w:p>
    <w:p w:rsidRPr="00FA558D" w:rsidR="00B91619" w:rsidP="00B91619" w:rsidRDefault="00B91619" w14:paraId="088E1E2C" w14:textId="77777777">
      <w:pPr>
        <w:tabs>
          <w:tab w:val="left" w:pos="9356"/>
        </w:tabs>
        <w:spacing w:after="0" w:line="240" w:lineRule="auto"/>
        <w:rPr>
          <w:lang w:val="fr-CA"/>
        </w:rPr>
      </w:pPr>
    </w:p>
    <w:p w:rsidRPr="00A95E42" w:rsidR="00B91619" w:rsidP="00B91619" w:rsidRDefault="003C5387" w14:paraId="4F28222D" w14:textId="69B35373">
      <w:pPr>
        <w:pStyle w:val="Heading4"/>
        <w:rPr>
          <w:lang w:val="fr-CA"/>
        </w:rPr>
      </w:pPr>
      <w:commentRangeStart w:id="28"/>
      <w:r w:rsidRPr="00A95E42">
        <w:rPr>
          <w:lang w:val="fr-CA"/>
        </w:rPr>
        <w:t xml:space="preserve">Fiscalité et </w:t>
      </w:r>
      <w:r w:rsidRPr="00A95E42" w:rsidR="00B91619">
        <w:rPr>
          <w:lang w:val="fr-CA"/>
        </w:rPr>
        <w:t xml:space="preserve">administration </w:t>
      </w:r>
      <w:r w:rsidRPr="00A95E42">
        <w:rPr>
          <w:lang w:val="fr-CA"/>
        </w:rPr>
        <w:t>fiscale</w:t>
      </w:r>
      <w:commentRangeEnd w:id="28"/>
      <w:r w:rsidRPr="00A95E42" w:rsidR="00A87FEA">
        <w:rPr>
          <w:rStyle w:val="CommentReference"/>
          <w:rFonts w:asciiTheme="minorHAnsi" w:hAnsiTheme="minorHAnsi" w:eastAsiaTheme="minorHAnsi" w:cstheme="minorBidi"/>
          <w:iCs w:val="0"/>
          <w:color w:val="auto"/>
        </w:rPr>
        <w:commentReference w:id="28"/>
      </w:r>
    </w:p>
    <w:p w:rsidRPr="00A95E42" w:rsidR="00B91619" w:rsidP="00B91619" w:rsidRDefault="00B91619" w14:paraId="51B3E7EC" w14:textId="77777777">
      <w:pPr>
        <w:tabs>
          <w:tab w:val="left" w:pos="9356"/>
        </w:tabs>
        <w:spacing w:after="0" w:line="240" w:lineRule="auto"/>
        <w:rPr>
          <w:lang w:val="fr-CA"/>
        </w:rPr>
      </w:pPr>
    </w:p>
    <w:p w:rsidRPr="00A95E42" w:rsidR="00B91619" w:rsidP="00B91619" w:rsidRDefault="00B91619" w14:paraId="7DD51ED3" w14:textId="37A22DA1">
      <w:pPr>
        <w:tabs>
          <w:tab w:val="left" w:pos="9356"/>
        </w:tabs>
        <w:spacing w:after="0" w:line="240" w:lineRule="auto"/>
        <w:rPr>
          <w:lang w:val="fr-CA"/>
        </w:rPr>
      </w:pPr>
      <w:r w:rsidRPr="00A95E42">
        <w:rPr>
          <w:lang w:val="fr-CA"/>
        </w:rPr>
        <w:t xml:space="preserve">Pour </w:t>
      </w:r>
      <w:r w:rsidRPr="00A95E42" w:rsidR="00EB5ED5">
        <w:rPr>
          <w:lang w:val="fr-CA"/>
        </w:rPr>
        <w:t xml:space="preserve">demander </w:t>
      </w:r>
      <w:r w:rsidRPr="00A95E42">
        <w:rPr>
          <w:lang w:val="fr-CA"/>
        </w:rPr>
        <w:t xml:space="preserve">une exemption relative à cette catégorie, </w:t>
      </w:r>
      <w:commentRangeStart w:id="29"/>
      <w:r w:rsidRPr="00A95E42">
        <w:rPr>
          <w:lang w:val="fr-CA"/>
        </w:rPr>
        <w:t>l</w:t>
      </w:r>
      <w:r w:rsidRPr="00A95E42" w:rsidR="00554598">
        <w:rPr>
          <w:lang w:val="fr-CA"/>
        </w:rPr>
        <w:t xml:space="preserve">es </w:t>
      </w:r>
      <w:r w:rsidRPr="00A95E42">
        <w:rPr>
          <w:lang w:val="fr-CA"/>
        </w:rPr>
        <w:t>organisme</w:t>
      </w:r>
      <w:r w:rsidRPr="00A95E42" w:rsidR="00554598">
        <w:rPr>
          <w:lang w:val="fr-CA"/>
        </w:rPr>
        <w:t>s</w:t>
      </w:r>
      <w:r w:rsidRPr="00A95E42">
        <w:rPr>
          <w:lang w:val="fr-CA"/>
        </w:rPr>
        <w:t xml:space="preserve"> </w:t>
      </w:r>
      <w:commentRangeEnd w:id="29"/>
      <w:r w:rsidRPr="00A95E42" w:rsidR="008C3DF4">
        <w:rPr>
          <w:rStyle w:val="CommentReference"/>
        </w:rPr>
        <w:commentReference w:id="29"/>
      </w:r>
      <w:r w:rsidRPr="00A95E42">
        <w:rPr>
          <w:lang w:val="fr-CA"/>
        </w:rPr>
        <w:t>de réglementation doi</w:t>
      </w:r>
      <w:r w:rsidRPr="00A95E42" w:rsidR="00554598">
        <w:rPr>
          <w:lang w:val="fr-CA"/>
        </w:rPr>
        <w:t>ven</w:t>
      </w:r>
      <w:r w:rsidRPr="00A95E42">
        <w:rPr>
          <w:lang w:val="fr-CA"/>
        </w:rPr>
        <w:t xml:space="preserve">t démontrer que le projet </w:t>
      </w:r>
      <w:r w:rsidRPr="00A95E42" w:rsidR="00554598">
        <w:rPr>
          <w:lang w:val="fr-CA"/>
        </w:rPr>
        <w:t xml:space="preserve">de règlement </w:t>
      </w:r>
      <w:r w:rsidRPr="00A95E42">
        <w:rPr>
          <w:lang w:val="fr-CA"/>
        </w:rPr>
        <w:t>est lié à l</w:t>
      </w:r>
      <w:r w:rsidRPr="00A95E42" w:rsidR="00554598">
        <w:rPr>
          <w:lang w:val="fr-CA"/>
        </w:rPr>
        <w:t>a fiscalité</w:t>
      </w:r>
      <w:r w:rsidRPr="00A95E42">
        <w:rPr>
          <w:lang w:val="fr-CA"/>
        </w:rPr>
        <w:t xml:space="preserve"> ou à l’administration </w:t>
      </w:r>
      <w:r w:rsidRPr="00A95E42" w:rsidR="00554598">
        <w:rPr>
          <w:lang w:val="fr-CA"/>
        </w:rPr>
        <w:t>fiscale</w:t>
      </w:r>
      <w:r w:rsidRPr="00A95E42">
        <w:rPr>
          <w:lang w:val="fr-CA"/>
        </w:rPr>
        <w:t xml:space="preserve">. Les coûts administratifs </w:t>
      </w:r>
      <w:r w:rsidRPr="00A95E42" w:rsidR="00554598">
        <w:rPr>
          <w:lang w:val="fr-CA"/>
        </w:rPr>
        <w:t>prévus</w:t>
      </w:r>
      <w:r w:rsidRPr="00A95E42">
        <w:rPr>
          <w:lang w:val="fr-CA"/>
        </w:rPr>
        <w:t xml:space="preserve"> doivent être estimés et déclarés conformément aux </w:t>
      </w:r>
      <w:r w:rsidRPr="00A95E42" w:rsidR="00EB5ED5">
        <w:rPr>
          <w:lang w:val="fr-CA"/>
        </w:rPr>
        <w:t>exigences énoncées aux</w:t>
      </w:r>
      <w:r w:rsidRPr="00A95E42">
        <w:rPr>
          <w:lang w:val="fr-CA"/>
        </w:rPr>
        <w:t xml:space="preserve"> </w:t>
      </w:r>
      <w:r w:rsidRPr="00A95E42" w:rsidR="00554598">
        <w:rPr>
          <w:lang w:val="fr-CA"/>
        </w:rPr>
        <w:t>paragraphes</w:t>
      </w:r>
      <w:r w:rsidRPr="00A95E42">
        <w:rPr>
          <w:lang w:val="fr-CA"/>
        </w:rPr>
        <w:t xml:space="preserve"> 7.2.2 et 7.2.3 de la </w:t>
      </w:r>
      <w:r w:rsidRPr="00A95E42" w:rsidR="009719D9">
        <w:rPr>
          <w:lang w:val="fr-CA"/>
        </w:rPr>
        <w:t>p</w:t>
      </w:r>
      <w:r w:rsidRPr="00A95E42">
        <w:rPr>
          <w:lang w:val="fr-CA"/>
        </w:rPr>
        <w:t xml:space="preserve">olitique. </w:t>
      </w:r>
    </w:p>
    <w:p w:rsidRPr="00A95E42" w:rsidR="00B91619" w:rsidP="00B91619" w:rsidRDefault="00B91619" w14:paraId="740C798A" w14:textId="77777777">
      <w:pPr>
        <w:tabs>
          <w:tab w:val="left" w:pos="9356"/>
        </w:tabs>
        <w:spacing w:after="0" w:line="240" w:lineRule="auto"/>
        <w:rPr>
          <w:lang w:val="fr-CA"/>
        </w:rPr>
      </w:pPr>
    </w:p>
    <w:p w:rsidRPr="00FA558D" w:rsidR="00B91619" w:rsidP="00B91619" w:rsidRDefault="00B91619" w14:paraId="1D9F8AC3" w14:textId="030FF1F0">
      <w:pPr>
        <w:tabs>
          <w:tab w:val="left" w:pos="9356"/>
        </w:tabs>
        <w:spacing w:after="0" w:line="240" w:lineRule="auto"/>
        <w:rPr>
          <w:lang w:val="fr-CA"/>
        </w:rPr>
      </w:pPr>
      <w:r w:rsidRPr="00A95E42">
        <w:rPr>
          <w:lang w:val="fr-CA"/>
        </w:rPr>
        <w:t xml:space="preserve">Si l’exemption est accordée par le Conseil du Trésor, les coûts </w:t>
      </w:r>
      <w:r w:rsidRPr="00A95E42" w:rsidR="00C45796">
        <w:rPr>
          <w:lang w:val="fr-CA"/>
        </w:rPr>
        <w:t xml:space="preserve">prévus </w:t>
      </w:r>
      <w:r w:rsidRPr="00A95E42" w:rsidR="00554598">
        <w:rPr>
          <w:lang w:val="fr-CA"/>
        </w:rPr>
        <w:t>dans le cadre du</w:t>
      </w:r>
      <w:r w:rsidRPr="00A95E42">
        <w:rPr>
          <w:lang w:val="fr-CA"/>
        </w:rPr>
        <w:t xml:space="preserve"> projet </w:t>
      </w:r>
      <w:r w:rsidRPr="00A95E42" w:rsidR="00554598">
        <w:rPr>
          <w:lang w:val="fr-CA"/>
        </w:rPr>
        <w:t xml:space="preserve">de règlement </w:t>
      </w:r>
      <w:r w:rsidRPr="00A95E42">
        <w:rPr>
          <w:lang w:val="fr-CA"/>
        </w:rPr>
        <w:t xml:space="preserve">ne sont pas </w:t>
      </w:r>
      <w:r w:rsidRPr="00A95E42" w:rsidR="00554598">
        <w:rPr>
          <w:lang w:val="fr-CA"/>
        </w:rPr>
        <w:t>visés par</w:t>
      </w:r>
      <w:r w:rsidRPr="00A95E42">
        <w:rPr>
          <w:lang w:val="fr-CA"/>
        </w:rPr>
        <w:t xml:space="preserve"> l’</w:t>
      </w:r>
      <w:r w:rsidR="00953EC4">
        <w:rPr>
          <w:lang w:val="fr-CA"/>
        </w:rPr>
        <w:t>obligation</w:t>
      </w:r>
      <w:r w:rsidRPr="00A95E42">
        <w:rPr>
          <w:lang w:val="fr-CA"/>
        </w:rPr>
        <w:t xml:space="preserve"> de compensation sous l’élément A. Toutefois, les organismes de réglementation doivent </w:t>
      </w:r>
      <w:r w:rsidRPr="00A95E42" w:rsidR="00C45796">
        <w:rPr>
          <w:lang w:val="fr-CA"/>
        </w:rPr>
        <w:t xml:space="preserve">estimer et </w:t>
      </w:r>
      <w:r w:rsidRPr="00A95E42">
        <w:rPr>
          <w:lang w:val="fr-CA"/>
        </w:rPr>
        <w:t xml:space="preserve">déclarer </w:t>
      </w:r>
      <w:r w:rsidRPr="00A95E42" w:rsidR="00C45796">
        <w:rPr>
          <w:lang w:val="fr-CA"/>
        </w:rPr>
        <w:t>les</w:t>
      </w:r>
      <w:r w:rsidRPr="00A95E42">
        <w:rPr>
          <w:lang w:val="fr-CA"/>
        </w:rPr>
        <w:t xml:space="preserve"> coûts administratifs relatifs au projet de règlement </w:t>
      </w:r>
      <w:r w:rsidRPr="00A95E42" w:rsidR="00C45796">
        <w:rPr>
          <w:lang w:val="fr-CA"/>
        </w:rPr>
        <w:t>à des fins</w:t>
      </w:r>
      <w:r w:rsidRPr="00A95E42">
        <w:rPr>
          <w:lang w:val="fr-CA"/>
        </w:rPr>
        <w:t xml:space="preserve"> de transparence.</w:t>
      </w:r>
      <w:r w:rsidRPr="00FA558D">
        <w:rPr>
          <w:lang w:val="fr-CA"/>
        </w:rPr>
        <w:t xml:space="preserve"> </w:t>
      </w:r>
    </w:p>
    <w:p w:rsidRPr="00FA558D" w:rsidR="00B91619" w:rsidP="00B91619" w:rsidRDefault="00B91619" w14:paraId="0C9B1669" w14:textId="77777777">
      <w:pPr>
        <w:tabs>
          <w:tab w:val="left" w:pos="9356"/>
        </w:tabs>
        <w:spacing w:after="0" w:line="240" w:lineRule="auto"/>
        <w:rPr>
          <w:lang w:val="fr-CA"/>
        </w:rPr>
      </w:pPr>
    </w:p>
    <w:p w:rsidRPr="00FA558D" w:rsidR="00B91619" w:rsidP="00B91619" w:rsidRDefault="00B91619" w14:paraId="34B77D22" w14:textId="77777777">
      <w:pPr>
        <w:pStyle w:val="Heading4"/>
        <w:rPr>
          <w:lang w:val="fr-CA"/>
        </w:rPr>
      </w:pPr>
      <w:r>
        <w:rPr>
          <w:lang w:val="fr-CA"/>
        </w:rPr>
        <w:t>Obligations non assorties d’un pouvoir discrétionnaire</w:t>
      </w:r>
    </w:p>
    <w:p w:rsidRPr="00FA558D" w:rsidR="00B91619" w:rsidP="00B91619" w:rsidRDefault="00B91619" w14:paraId="7E4843A9" w14:textId="77777777">
      <w:pPr>
        <w:tabs>
          <w:tab w:val="left" w:pos="9356"/>
        </w:tabs>
        <w:spacing w:after="0" w:line="240" w:lineRule="auto"/>
        <w:rPr>
          <w:lang w:val="fr-CA"/>
        </w:rPr>
      </w:pPr>
    </w:p>
    <w:p w:rsidRPr="00FA558D" w:rsidR="00B91619" w:rsidP="00B91619" w:rsidRDefault="00B91619" w14:paraId="3558A115" w14:textId="09C517E8">
      <w:pPr>
        <w:tabs>
          <w:tab w:val="left" w:pos="9356"/>
        </w:tabs>
        <w:spacing w:after="0" w:line="240" w:lineRule="auto"/>
        <w:rPr>
          <w:lang w:val="fr-CA"/>
        </w:rPr>
      </w:pPr>
      <w:r>
        <w:rPr>
          <w:lang w:val="fr-CA"/>
        </w:rPr>
        <w:t xml:space="preserve">Pour </w:t>
      </w:r>
      <w:r w:rsidR="00DE19B1">
        <w:rPr>
          <w:lang w:val="fr-CA"/>
        </w:rPr>
        <w:t>demander</w:t>
      </w:r>
      <w:r w:rsidRPr="00FA558D" w:rsidR="00DE19B1">
        <w:rPr>
          <w:lang w:val="fr-CA"/>
        </w:rPr>
        <w:t xml:space="preserve"> </w:t>
      </w:r>
      <w:r>
        <w:rPr>
          <w:lang w:val="fr-CA"/>
        </w:rPr>
        <w:t>une ex</w:t>
      </w:r>
      <w:r w:rsidRPr="00FA558D">
        <w:rPr>
          <w:lang w:val="fr-CA"/>
        </w:rPr>
        <w:t xml:space="preserve">emption </w:t>
      </w:r>
      <w:r>
        <w:rPr>
          <w:lang w:val="fr-CA"/>
        </w:rPr>
        <w:t>relative à cette catégorie, l</w:t>
      </w:r>
      <w:r w:rsidR="008C3DF4">
        <w:rPr>
          <w:lang w:val="fr-CA"/>
        </w:rPr>
        <w:t xml:space="preserve">es </w:t>
      </w:r>
      <w:r>
        <w:rPr>
          <w:lang w:val="fr-CA"/>
        </w:rPr>
        <w:t>organisme</w:t>
      </w:r>
      <w:r w:rsidR="008C3DF4">
        <w:rPr>
          <w:lang w:val="fr-CA"/>
        </w:rPr>
        <w:t>s</w:t>
      </w:r>
      <w:r>
        <w:rPr>
          <w:lang w:val="fr-CA"/>
        </w:rPr>
        <w:t xml:space="preserve"> de réglementation</w:t>
      </w:r>
      <w:r w:rsidRPr="00FA558D">
        <w:rPr>
          <w:lang w:val="fr-CA"/>
        </w:rPr>
        <w:t xml:space="preserve"> </w:t>
      </w:r>
      <w:r>
        <w:rPr>
          <w:lang w:val="fr-CA"/>
        </w:rPr>
        <w:t>doi</w:t>
      </w:r>
      <w:r w:rsidR="008C3DF4">
        <w:rPr>
          <w:lang w:val="fr-CA"/>
        </w:rPr>
        <w:t>vent</w:t>
      </w:r>
      <w:r w:rsidRPr="00FA558D">
        <w:rPr>
          <w:lang w:val="fr-CA"/>
        </w:rPr>
        <w:t xml:space="preserve"> </w:t>
      </w:r>
      <w:r>
        <w:rPr>
          <w:lang w:val="fr-CA"/>
        </w:rPr>
        <w:t xml:space="preserve">démontrer qu’il ne dispose d’aucun pouvoir discrétionnaire </w:t>
      </w:r>
      <w:r w:rsidR="008C3DF4">
        <w:rPr>
          <w:lang w:val="fr-CA"/>
        </w:rPr>
        <w:t>quant à l’élaboration</w:t>
      </w:r>
      <w:r>
        <w:rPr>
          <w:lang w:val="fr-CA"/>
        </w:rPr>
        <w:t xml:space="preserve"> et l’a</w:t>
      </w:r>
      <w:r w:rsidR="008C3DF4">
        <w:rPr>
          <w:lang w:val="fr-CA"/>
        </w:rPr>
        <w:t>pplication</w:t>
      </w:r>
      <w:r>
        <w:rPr>
          <w:lang w:val="fr-CA"/>
        </w:rPr>
        <w:t xml:space="preserve"> </w:t>
      </w:r>
      <w:r w:rsidR="00A95E42">
        <w:rPr>
          <w:lang w:val="fr-CA"/>
        </w:rPr>
        <w:t xml:space="preserve">du </w:t>
      </w:r>
      <w:r>
        <w:rPr>
          <w:lang w:val="fr-CA"/>
        </w:rPr>
        <w:t xml:space="preserve">règlement, notamment en présentant des </w:t>
      </w:r>
      <w:r w:rsidR="0086406B">
        <w:rPr>
          <w:lang w:val="fr-CA"/>
        </w:rPr>
        <w:t>renseignements liés aux éléments ci</w:t>
      </w:r>
      <w:r w:rsidR="0086406B">
        <w:rPr>
          <w:lang w:val="fr-CA"/>
        </w:rPr>
        <w:noBreakHyphen/>
        <w:t>dessous </w:t>
      </w:r>
      <w:r>
        <w:rPr>
          <w:lang w:val="fr-CA"/>
        </w:rPr>
        <w:t>:</w:t>
      </w:r>
    </w:p>
    <w:p w:rsidRPr="00FA558D" w:rsidR="00B91619" w:rsidP="00B91619" w:rsidRDefault="00B91619" w14:paraId="242871AE" w14:textId="598EACF5">
      <w:pPr>
        <w:pStyle w:val="ListParagraph"/>
        <w:numPr>
          <w:ilvl w:val="0"/>
          <w:numId w:val="21"/>
        </w:numPr>
        <w:tabs>
          <w:tab w:val="left" w:pos="9356"/>
        </w:tabs>
        <w:spacing w:after="0" w:line="240" w:lineRule="auto"/>
        <w:rPr>
          <w:lang w:val="fr-CA"/>
        </w:rPr>
      </w:pPr>
      <w:proofErr w:type="gramStart"/>
      <w:r>
        <w:rPr>
          <w:lang w:val="fr-CA"/>
        </w:rPr>
        <w:t>la</w:t>
      </w:r>
      <w:proofErr w:type="gramEnd"/>
      <w:r>
        <w:rPr>
          <w:lang w:val="fr-CA"/>
        </w:rPr>
        <w:t xml:space="preserve"> source de</w:t>
      </w:r>
      <w:r w:rsidRPr="00FA558D">
        <w:rPr>
          <w:lang w:val="fr-CA"/>
        </w:rPr>
        <w:t xml:space="preserve"> </w:t>
      </w:r>
      <w:r>
        <w:rPr>
          <w:lang w:val="fr-CA"/>
        </w:rPr>
        <w:t>l’ob</w:t>
      </w:r>
      <w:r w:rsidRPr="00FA558D">
        <w:rPr>
          <w:lang w:val="fr-CA"/>
        </w:rPr>
        <w:t>ligation</w:t>
      </w:r>
      <w:r>
        <w:rPr>
          <w:lang w:val="fr-CA"/>
        </w:rPr>
        <w:t>;</w:t>
      </w:r>
    </w:p>
    <w:p w:rsidRPr="00FA558D" w:rsidR="00B91619" w:rsidP="00B91619" w:rsidRDefault="0086406B" w14:paraId="3E9DEBE4" w14:textId="4B21CD80">
      <w:pPr>
        <w:pStyle w:val="ListParagraph"/>
        <w:numPr>
          <w:ilvl w:val="0"/>
          <w:numId w:val="21"/>
        </w:numPr>
        <w:tabs>
          <w:tab w:val="left" w:pos="9356"/>
        </w:tabs>
        <w:spacing w:after="0" w:line="240" w:lineRule="auto"/>
        <w:rPr>
          <w:lang w:val="fr-CA"/>
        </w:rPr>
      </w:pPr>
      <w:proofErr w:type="gramStart"/>
      <w:r>
        <w:rPr>
          <w:lang w:val="fr-CA"/>
        </w:rPr>
        <w:t>les</w:t>
      </w:r>
      <w:proofErr w:type="gramEnd"/>
      <w:r w:rsidR="00B91619">
        <w:rPr>
          <w:lang w:val="fr-CA"/>
        </w:rPr>
        <w:t xml:space="preserve"> contraintes </w:t>
      </w:r>
      <w:r w:rsidR="000F1A36">
        <w:rPr>
          <w:lang w:val="fr-CA"/>
        </w:rPr>
        <w:t xml:space="preserve">que fait peser l’obligation sur </w:t>
      </w:r>
      <w:r w:rsidR="00B91619">
        <w:rPr>
          <w:lang w:val="fr-CA"/>
        </w:rPr>
        <w:t>l</w:t>
      </w:r>
      <w:r w:rsidR="000F1A36">
        <w:rPr>
          <w:lang w:val="fr-CA"/>
        </w:rPr>
        <w:t>’élaboration</w:t>
      </w:r>
      <w:r w:rsidR="00B91619">
        <w:rPr>
          <w:lang w:val="fr-CA"/>
        </w:rPr>
        <w:t xml:space="preserve"> et l’</w:t>
      </w:r>
      <w:r w:rsidR="000F1A36">
        <w:rPr>
          <w:lang w:val="fr-CA"/>
        </w:rPr>
        <w:t>application</w:t>
      </w:r>
      <w:r w:rsidR="00B91619">
        <w:rPr>
          <w:lang w:val="fr-CA"/>
        </w:rPr>
        <w:t xml:space="preserve"> d</w:t>
      </w:r>
      <w:r w:rsidR="00A95E42">
        <w:rPr>
          <w:lang w:val="fr-CA"/>
        </w:rPr>
        <w:t>u</w:t>
      </w:r>
      <w:r w:rsidR="00B91619">
        <w:rPr>
          <w:lang w:val="fr-CA"/>
        </w:rPr>
        <w:t xml:space="preserve"> règlement.</w:t>
      </w:r>
    </w:p>
    <w:p w:rsidRPr="00FA558D" w:rsidR="00B91619" w:rsidP="00B91619" w:rsidRDefault="00B91619" w14:paraId="4B6F4ED6" w14:textId="77777777">
      <w:pPr>
        <w:tabs>
          <w:tab w:val="left" w:pos="9356"/>
        </w:tabs>
        <w:spacing w:after="0" w:line="240" w:lineRule="auto"/>
        <w:rPr>
          <w:lang w:val="fr-CA"/>
        </w:rPr>
      </w:pPr>
    </w:p>
    <w:p w:rsidRPr="00FA558D" w:rsidR="00B91619" w:rsidP="00B91619" w:rsidRDefault="00B91619" w14:paraId="08304CC0" w14:textId="18C827FB">
      <w:pPr>
        <w:tabs>
          <w:tab w:val="left" w:pos="9356"/>
        </w:tabs>
        <w:spacing w:after="0" w:line="240" w:lineRule="auto"/>
        <w:rPr>
          <w:lang w:val="fr-CA"/>
        </w:rPr>
      </w:pPr>
      <w:r>
        <w:rPr>
          <w:lang w:val="fr-CA"/>
        </w:rPr>
        <w:t xml:space="preserve">Les coûts administratifs </w:t>
      </w:r>
      <w:r w:rsidR="00D2445E">
        <w:rPr>
          <w:lang w:val="fr-CA"/>
        </w:rPr>
        <w:t xml:space="preserve">prévus </w:t>
      </w:r>
      <w:r>
        <w:rPr>
          <w:lang w:val="fr-CA"/>
        </w:rPr>
        <w:t>doivent être estimés et déclarés conformément aux exigence</w:t>
      </w:r>
      <w:r w:rsidRPr="00FA558D">
        <w:rPr>
          <w:lang w:val="fr-CA"/>
        </w:rPr>
        <w:t xml:space="preserve">s </w:t>
      </w:r>
      <w:r>
        <w:rPr>
          <w:lang w:val="fr-CA"/>
        </w:rPr>
        <w:t xml:space="preserve">énoncées </w:t>
      </w:r>
      <w:r w:rsidR="00D2445E">
        <w:rPr>
          <w:lang w:val="fr-CA"/>
        </w:rPr>
        <w:t>aux paragraphes</w:t>
      </w:r>
      <w:r w:rsidRPr="00FA558D">
        <w:rPr>
          <w:lang w:val="fr-CA"/>
        </w:rPr>
        <w:t> 7.2.2</w:t>
      </w:r>
      <w:r>
        <w:rPr>
          <w:lang w:val="fr-CA"/>
        </w:rPr>
        <w:t xml:space="preserve"> et </w:t>
      </w:r>
      <w:r w:rsidRPr="00FA558D">
        <w:rPr>
          <w:lang w:val="fr-CA"/>
        </w:rPr>
        <w:t>7.2.3</w:t>
      </w:r>
      <w:r>
        <w:rPr>
          <w:lang w:val="fr-CA"/>
        </w:rPr>
        <w:t xml:space="preserve"> de la </w:t>
      </w:r>
      <w:r w:rsidR="009719D9">
        <w:rPr>
          <w:lang w:val="fr-CA"/>
        </w:rPr>
        <w:t>p</w:t>
      </w:r>
      <w:r>
        <w:rPr>
          <w:lang w:val="fr-CA"/>
        </w:rPr>
        <w:t>olitique</w:t>
      </w:r>
      <w:r w:rsidRPr="00FA558D">
        <w:rPr>
          <w:lang w:val="fr-CA"/>
        </w:rPr>
        <w:t xml:space="preserve">. </w:t>
      </w:r>
    </w:p>
    <w:p w:rsidRPr="00FA558D" w:rsidR="00B91619" w:rsidP="00B91619" w:rsidRDefault="00B91619" w14:paraId="3FFD0F88" w14:textId="77777777">
      <w:pPr>
        <w:tabs>
          <w:tab w:val="left" w:pos="9356"/>
        </w:tabs>
        <w:spacing w:after="0" w:line="240" w:lineRule="auto"/>
        <w:rPr>
          <w:lang w:val="fr-CA"/>
        </w:rPr>
      </w:pPr>
    </w:p>
    <w:p w:rsidRPr="00FA558D" w:rsidR="00B91619" w:rsidP="00B91619" w:rsidRDefault="00B91619" w14:paraId="6A49AD92" w14:textId="4AAD52E8">
      <w:pPr>
        <w:tabs>
          <w:tab w:val="left" w:pos="9356"/>
        </w:tabs>
        <w:spacing w:after="0" w:line="240" w:lineRule="auto"/>
        <w:rPr>
          <w:lang w:val="fr-CA"/>
        </w:rPr>
      </w:pPr>
      <w:r>
        <w:rPr>
          <w:lang w:val="fr-CA"/>
        </w:rPr>
        <w:t>Si l’ex</w:t>
      </w:r>
      <w:r w:rsidRPr="00FA558D">
        <w:rPr>
          <w:lang w:val="fr-CA"/>
        </w:rPr>
        <w:t>emption</w:t>
      </w:r>
      <w:r>
        <w:rPr>
          <w:lang w:val="fr-CA"/>
        </w:rPr>
        <w:t xml:space="preserve"> est accordée par le Conseil du Trésor</w:t>
      </w:r>
      <w:r w:rsidRPr="00FA558D">
        <w:rPr>
          <w:lang w:val="fr-CA"/>
        </w:rPr>
        <w:t xml:space="preserve">, </w:t>
      </w:r>
      <w:r>
        <w:rPr>
          <w:lang w:val="fr-CA"/>
        </w:rPr>
        <w:t>les coûts</w:t>
      </w:r>
      <w:r w:rsidRPr="00FA558D">
        <w:rPr>
          <w:lang w:val="fr-CA"/>
        </w:rPr>
        <w:t xml:space="preserve"> </w:t>
      </w:r>
      <w:r w:rsidR="0086406B">
        <w:rPr>
          <w:lang w:val="fr-CA"/>
        </w:rPr>
        <w:t xml:space="preserve">prévus </w:t>
      </w:r>
      <w:r w:rsidR="00F03D4D">
        <w:rPr>
          <w:lang w:val="fr-CA"/>
        </w:rPr>
        <w:t>dans</w:t>
      </w:r>
      <w:r w:rsidR="000D2086">
        <w:rPr>
          <w:lang w:val="fr-CA"/>
        </w:rPr>
        <w:t xml:space="preserve"> </w:t>
      </w:r>
      <w:r w:rsidR="00F03D4D">
        <w:rPr>
          <w:lang w:val="fr-CA"/>
        </w:rPr>
        <w:t>le cadre du</w:t>
      </w:r>
      <w:r>
        <w:rPr>
          <w:lang w:val="fr-CA"/>
        </w:rPr>
        <w:t xml:space="preserve"> projet </w:t>
      </w:r>
      <w:r w:rsidR="00F03D4D">
        <w:rPr>
          <w:lang w:val="fr-CA"/>
        </w:rPr>
        <w:t xml:space="preserve">de règlement </w:t>
      </w:r>
      <w:r>
        <w:rPr>
          <w:lang w:val="fr-CA"/>
        </w:rPr>
        <w:t>ne sont pas</w:t>
      </w:r>
      <w:r w:rsidRPr="00FA558D">
        <w:rPr>
          <w:lang w:val="fr-CA"/>
        </w:rPr>
        <w:t xml:space="preserve"> </w:t>
      </w:r>
      <w:r w:rsidR="00F03D4D">
        <w:rPr>
          <w:lang w:val="fr-CA"/>
        </w:rPr>
        <w:t>visés</w:t>
      </w:r>
      <w:r>
        <w:rPr>
          <w:lang w:val="fr-CA"/>
        </w:rPr>
        <w:t xml:space="preserve"> </w:t>
      </w:r>
      <w:r w:rsidR="00F03D4D">
        <w:rPr>
          <w:lang w:val="fr-CA"/>
        </w:rPr>
        <w:t>par</w:t>
      </w:r>
      <w:r>
        <w:rPr>
          <w:lang w:val="fr-CA"/>
        </w:rPr>
        <w:t xml:space="preserve"> l’</w:t>
      </w:r>
      <w:r w:rsidR="00953EC4">
        <w:rPr>
          <w:lang w:val="fr-CA"/>
        </w:rPr>
        <w:t>obligation</w:t>
      </w:r>
      <w:r>
        <w:rPr>
          <w:lang w:val="fr-CA"/>
        </w:rPr>
        <w:t xml:space="preserve"> de compensation</w:t>
      </w:r>
      <w:r w:rsidRPr="00FA558D">
        <w:rPr>
          <w:lang w:val="fr-CA"/>
        </w:rPr>
        <w:t xml:space="preserve"> </w:t>
      </w:r>
      <w:r>
        <w:rPr>
          <w:lang w:val="fr-CA"/>
        </w:rPr>
        <w:t>sous l’élément</w:t>
      </w:r>
      <w:r w:rsidRPr="00FA558D">
        <w:rPr>
          <w:lang w:val="fr-CA"/>
        </w:rPr>
        <w:t> A</w:t>
      </w:r>
      <w:r>
        <w:rPr>
          <w:lang w:val="fr-CA"/>
        </w:rPr>
        <w:t>. Toutefois, les organismes de réglementation</w:t>
      </w:r>
      <w:r w:rsidRPr="00FA558D">
        <w:rPr>
          <w:lang w:val="fr-CA"/>
        </w:rPr>
        <w:t xml:space="preserve"> </w:t>
      </w:r>
      <w:r>
        <w:rPr>
          <w:lang w:val="fr-CA"/>
        </w:rPr>
        <w:t>doivent estimer et déclarer les coûts administratifs</w:t>
      </w:r>
      <w:r w:rsidRPr="00FA558D">
        <w:rPr>
          <w:lang w:val="fr-CA"/>
        </w:rPr>
        <w:t xml:space="preserve"> </w:t>
      </w:r>
      <w:r>
        <w:rPr>
          <w:lang w:val="fr-CA"/>
        </w:rPr>
        <w:t>relatifs au projet de règlement</w:t>
      </w:r>
      <w:r w:rsidRPr="00FA558D">
        <w:rPr>
          <w:lang w:val="fr-CA"/>
        </w:rPr>
        <w:t xml:space="preserve"> </w:t>
      </w:r>
      <w:r w:rsidR="0086406B">
        <w:rPr>
          <w:lang w:val="fr-CA"/>
        </w:rPr>
        <w:t>à des fins</w:t>
      </w:r>
      <w:r>
        <w:rPr>
          <w:lang w:val="fr-CA"/>
        </w:rPr>
        <w:t xml:space="preserve"> de </w:t>
      </w:r>
      <w:r w:rsidRPr="00FA558D">
        <w:rPr>
          <w:lang w:val="fr-CA"/>
        </w:rPr>
        <w:t>transpa</w:t>
      </w:r>
      <w:r>
        <w:rPr>
          <w:lang w:val="fr-CA"/>
        </w:rPr>
        <w:t>rence</w:t>
      </w:r>
      <w:r w:rsidRPr="00FA558D">
        <w:rPr>
          <w:lang w:val="fr-CA"/>
        </w:rPr>
        <w:t xml:space="preserve">. </w:t>
      </w:r>
    </w:p>
    <w:p w:rsidRPr="00FA558D" w:rsidR="00B91619" w:rsidP="00B91619" w:rsidRDefault="00B91619" w14:paraId="279499B9" w14:textId="77777777">
      <w:pPr>
        <w:tabs>
          <w:tab w:val="left" w:pos="9356"/>
        </w:tabs>
        <w:spacing w:after="0" w:line="240" w:lineRule="auto"/>
        <w:rPr>
          <w:lang w:val="fr-CA"/>
        </w:rPr>
      </w:pPr>
    </w:p>
    <w:p w:rsidRPr="00FA558D" w:rsidR="00B91619" w:rsidP="00B91619" w:rsidRDefault="00B91619" w14:paraId="0ADA2654" w14:textId="77777777">
      <w:pPr>
        <w:pStyle w:val="Heading4"/>
        <w:rPr>
          <w:lang w:val="fr-CA"/>
        </w:rPr>
      </w:pPr>
      <w:r>
        <w:rPr>
          <w:lang w:val="fr-CA"/>
        </w:rPr>
        <w:t>Urgences et circonstances uniques ou exceptionnelles</w:t>
      </w:r>
    </w:p>
    <w:p w:rsidRPr="00FA558D" w:rsidR="00B91619" w:rsidP="00B91619" w:rsidRDefault="00B91619" w14:paraId="6DFD0901" w14:textId="77777777">
      <w:pPr>
        <w:tabs>
          <w:tab w:val="left" w:pos="9356"/>
        </w:tabs>
        <w:spacing w:after="0" w:line="240" w:lineRule="auto"/>
        <w:rPr>
          <w:lang w:val="fr-CA"/>
        </w:rPr>
      </w:pPr>
    </w:p>
    <w:p w:rsidRPr="00FA558D" w:rsidR="00B91619" w:rsidP="00B91619" w:rsidRDefault="00B91619" w14:paraId="1F4F56D0" w14:textId="6D51D52F">
      <w:pPr>
        <w:tabs>
          <w:tab w:val="left" w:pos="9356"/>
        </w:tabs>
        <w:spacing w:after="0" w:line="240" w:lineRule="auto"/>
        <w:rPr>
          <w:lang w:val="fr-CA"/>
        </w:rPr>
      </w:pPr>
      <w:r>
        <w:rPr>
          <w:lang w:val="fr-CA"/>
        </w:rPr>
        <w:t>Cette catégorie</w:t>
      </w:r>
      <w:r w:rsidRPr="00FA558D">
        <w:rPr>
          <w:lang w:val="fr-CA"/>
        </w:rPr>
        <w:t xml:space="preserve"> </w:t>
      </w:r>
      <w:r w:rsidR="007804CD">
        <w:rPr>
          <w:lang w:val="fr-CA"/>
        </w:rPr>
        <w:t xml:space="preserve">offre au Conseil du Trésor </w:t>
      </w:r>
      <w:r>
        <w:rPr>
          <w:lang w:val="fr-CA"/>
        </w:rPr>
        <w:t>une grande marge de manœuvre</w:t>
      </w:r>
      <w:r w:rsidR="007804CD">
        <w:rPr>
          <w:lang w:val="fr-CA"/>
        </w:rPr>
        <w:t xml:space="preserve"> pour </w:t>
      </w:r>
      <w:r w:rsidR="00CC3706">
        <w:rPr>
          <w:lang w:val="fr-CA"/>
        </w:rPr>
        <w:t>accorder une exemption de l’</w:t>
      </w:r>
      <w:r w:rsidR="00953EC4">
        <w:rPr>
          <w:lang w:val="fr-CA"/>
        </w:rPr>
        <w:t>obligation</w:t>
      </w:r>
      <w:r w:rsidRPr="00FA558D" w:rsidR="00CC3706">
        <w:rPr>
          <w:lang w:val="fr-CA"/>
        </w:rPr>
        <w:t xml:space="preserve"> </w:t>
      </w:r>
      <w:r w:rsidR="00CC3706">
        <w:rPr>
          <w:lang w:val="fr-CA"/>
        </w:rPr>
        <w:t xml:space="preserve">de compenser </w:t>
      </w:r>
      <w:r w:rsidR="009647E5">
        <w:rPr>
          <w:lang w:val="fr-CA"/>
        </w:rPr>
        <w:t xml:space="preserve">s’appliquant à </w:t>
      </w:r>
      <w:r w:rsidR="00CC3706">
        <w:rPr>
          <w:lang w:val="fr-CA"/>
        </w:rPr>
        <w:t>des</w:t>
      </w:r>
      <w:r>
        <w:rPr>
          <w:lang w:val="fr-CA"/>
        </w:rPr>
        <w:t xml:space="preserve"> projets de règlement</w:t>
      </w:r>
      <w:r w:rsidRPr="00FA558D">
        <w:rPr>
          <w:lang w:val="fr-CA"/>
        </w:rPr>
        <w:t xml:space="preserve">. </w:t>
      </w:r>
      <w:r w:rsidR="00CC3706">
        <w:rPr>
          <w:lang w:val="fr-CA"/>
        </w:rPr>
        <w:t>Compte tenu de cette marge de manœuvre</w:t>
      </w:r>
      <w:r>
        <w:rPr>
          <w:lang w:val="fr-CA"/>
        </w:rPr>
        <w:t>, aucune exemption accordée au titre de cette catégorie ne doit indûment enfreindre l’esprit ou l’inté</w:t>
      </w:r>
      <w:r w:rsidRPr="00FA558D">
        <w:rPr>
          <w:lang w:val="fr-CA"/>
        </w:rPr>
        <w:t>gr</w:t>
      </w:r>
      <w:r>
        <w:rPr>
          <w:lang w:val="fr-CA"/>
        </w:rPr>
        <w:t>ité</w:t>
      </w:r>
      <w:r w:rsidRPr="00FA558D">
        <w:rPr>
          <w:lang w:val="fr-CA"/>
        </w:rPr>
        <w:t xml:space="preserve"> </w:t>
      </w:r>
      <w:r>
        <w:rPr>
          <w:lang w:val="fr-CA"/>
        </w:rPr>
        <w:t xml:space="preserve">de la </w:t>
      </w:r>
      <w:r w:rsidRPr="00350327">
        <w:rPr>
          <w:i/>
          <w:iCs/>
          <w:lang w:val="fr-CA"/>
        </w:rPr>
        <w:t>Loi sur la réduction de la paperasse</w:t>
      </w:r>
      <w:r>
        <w:rPr>
          <w:lang w:val="fr-CA"/>
        </w:rPr>
        <w:t>. Les organismes de réglementation</w:t>
      </w:r>
      <w:r w:rsidRPr="00FA558D">
        <w:rPr>
          <w:lang w:val="fr-CA"/>
        </w:rPr>
        <w:t xml:space="preserve"> </w:t>
      </w:r>
      <w:r>
        <w:rPr>
          <w:lang w:val="fr-CA"/>
        </w:rPr>
        <w:t>doivent</w:t>
      </w:r>
      <w:r w:rsidRPr="00FA558D">
        <w:rPr>
          <w:lang w:val="fr-CA"/>
        </w:rPr>
        <w:t xml:space="preserve"> </w:t>
      </w:r>
      <w:r>
        <w:rPr>
          <w:lang w:val="fr-CA"/>
        </w:rPr>
        <w:t>clairement</w:t>
      </w:r>
      <w:r w:rsidRPr="00FA558D">
        <w:rPr>
          <w:lang w:val="fr-CA"/>
        </w:rPr>
        <w:t xml:space="preserve"> </w:t>
      </w:r>
      <w:r>
        <w:rPr>
          <w:lang w:val="fr-CA"/>
        </w:rPr>
        <w:t xml:space="preserve">énoncer les </w:t>
      </w:r>
      <w:r w:rsidR="00CC3706">
        <w:rPr>
          <w:lang w:val="fr-CA"/>
        </w:rPr>
        <w:t xml:space="preserve">raisons pour lesquelles ils demandent une </w:t>
      </w:r>
      <w:r>
        <w:rPr>
          <w:lang w:val="fr-CA"/>
        </w:rPr>
        <w:t>ex</w:t>
      </w:r>
      <w:r w:rsidRPr="00FA558D">
        <w:rPr>
          <w:lang w:val="fr-CA"/>
        </w:rPr>
        <w:t>emption,</w:t>
      </w:r>
      <w:r>
        <w:rPr>
          <w:lang w:val="fr-CA"/>
        </w:rPr>
        <w:t xml:space="preserve"> y compris les risques </w:t>
      </w:r>
      <w:r w:rsidR="00E342F8">
        <w:rPr>
          <w:lang w:val="fr-CA"/>
        </w:rPr>
        <w:t>particuliers</w:t>
      </w:r>
      <w:r w:rsidRPr="00FA558D" w:rsidR="00E342F8">
        <w:rPr>
          <w:lang w:val="fr-CA"/>
        </w:rPr>
        <w:t xml:space="preserve"> </w:t>
      </w:r>
      <w:r>
        <w:rPr>
          <w:lang w:val="fr-CA"/>
        </w:rPr>
        <w:t xml:space="preserve">liés au </w:t>
      </w:r>
      <w:r w:rsidR="00CC3706">
        <w:rPr>
          <w:lang w:val="fr-CA"/>
        </w:rPr>
        <w:t>fait de ne pas obtenir une exemption</w:t>
      </w:r>
      <w:r w:rsidRPr="00FA558D">
        <w:rPr>
          <w:lang w:val="fr-CA"/>
        </w:rPr>
        <w:t xml:space="preserve">. </w:t>
      </w:r>
    </w:p>
    <w:p w:rsidRPr="00FA558D" w:rsidR="00B91619" w:rsidP="00B91619" w:rsidRDefault="00B91619" w14:paraId="41C22F2C" w14:textId="77777777">
      <w:pPr>
        <w:tabs>
          <w:tab w:val="left" w:pos="9356"/>
        </w:tabs>
        <w:spacing w:after="0" w:line="240" w:lineRule="auto"/>
        <w:rPr>
          <w:lang w:val="fr-CA"/>
        </w:rPr>
      </w:pPr>
    </w:p>
    <w:p w:rsidRPr="00FA558D" w:rsidR="00B91619" w:rsidP="00B91619" w:rsidRDefault="00B91619" w14:paraId="51987B02" w14:textId="48A3810E">
      <w:pPr>
        <w:tabs>
          <w:tab w:val="left" w:pos="9356"/>
        </w:tabs>
        <w:spacing w:after="0" w:line="240" w:lineRule="auto"/>
        <w:rPr>
          <w:lang w:val="fr-CA"/>
        </w:rPr>
      </w:pPr>
      <w:r>
        <w:rPr>
          <w:lang w:val="fr-CA"/>
        </w:rPr>
        <w:t>Si l’ex</w:t>
      </w:r>
      <w:r w:rsidRPr="00FA558D">
        <w:rPr>
          <w:lang w:val="fr-CA"/>
        </w:rPr>
        <w:t>emption</w:t>
      </w:r>
      <w:r>
        <w:rPr>
          <w:lang w:val="fr-CA"/>
        </w:rPr>
        <w:t xml:space="preserve"> est accordée par le Conseil du Trésor</w:t>
      </w:r>
      <w:r w:rsidRPr="00FA558D">
        <w:rPr>
          <w:lang w:val="fr-CA"/>
        </w:rPr>
        <w:t xml:space="preserve">, </w:t>
      </w:r>
      <w:r>
        <w:rPr>
          <w:lang w:val="fr-CA"/>
        </w:rPr>
        <w:t xml:space="preserve">les coûts </w:t>
      </w:r>
      <w:r w:rsidR="00E342F8">
        <w:rPr>
          <w:lang w:val="fr-CA"/>
        </w:rPr>
        <w:t xml:space="preserve">prévus </w:t>
      </w:r>
      <w:r w:rsidR="00FB1AE6">
        <w:rPr>
          <w:lang w:val="fr-CA"/>
        </w:rPr>
        <w:t>dans le cadre du</w:t>
      </w:r>
      <w:r>
        <w:rPr>
          <w:lang w:val="fr-CA"/>
        </w:rPr>
        <w:t xml:space="preserve"> projet </w:t>
      </w:r>
      <w:r w:rsidR="00FB1AE6">
        <w:rPr>
          <w:lang w:val="fr-CA"/>
        </w:rPr>
        <w:t xml:space="preserve">de règlement </w:t>
      </w:r>
      <w:r>
        <w:rPr>
          <w:lang w:val="fr-CA"/>
        </w:rPr>
        <w:t>ne sont pas</w:t>
      </w:r>
      <w:r w:rsidRPr="00FA558D">
        <w:rPr>
          <w:lang w:val="fr-CA"/>
        </w:rPr>
        <w:t xml:space="preserve"> </w:t>
      </w:r>
      <w:r w:rsidR="00FB1AE6">
        <w:rPr>
          <w:lang w:val="fr-CA"/>
        </w:rPr>
        <w:t>visés par</w:t>
      </w:r>
      <w:r>
        <w:rPr>
          <w:lang w:val="fr-CA"/>
        </w:rPr>
        <w:t xml:space="preserve"> l’</w:t>
      </w:r>
      <w:r w:rsidR="00953EC4">
        <w:rPr>
          <w:lang w:val="fr-CA"/>
        </w:rPr>
        <w:t>obligation</w:t>
      </w:r>
      <w:r>
        <w:rPr>
          <w:lang w:val="fr-CA"/>
        </w:rPr>
        <w:t xml:space="preserve"> de compensation</w:t>
      </w:r>
      <w:r w:rsidRPr="00FA558D">
        <w:rPr>
          <w:lang w:val="fr-CA"/>
        </w:rPr>
        <w:t xml:space="preserve"> </w:t>
      </w:r>
      <w:r>
        <w:rPr>
          <w:lang w:val="fr-CA"/>
        </w:rPr>
        <w:t>sous l’élément</w:t>
      </w:r>
      <w:r w:rsidRPr="00FA558D">
        <w:rPr>
          <w:lang w:val="fr-CA"/>
        </w:rPr>
        <w:t xml:space="preserve"> A. </w:t>
      </w:r>
      <w:r>
        <w:rPr>
          <w:lang w:val="fr-CA"/>
        </w:rPr>
        <w:t>Toutefois</w:t>
      </w:r>
      <w:r w:rsidRPr="00FA558D">
        <w:rPr>
          <w:lang w:val="fr-CA"/>
        </w:rPr>
        <w:t xml:space="preserve">, </w:t>
      </w:r>
      <w:r>
        <w:rPr>
          <w:lang w:val="fr-CA"/>
        </w:rPr>
        <w:t xml:space="preserve">les coûts administratifs </w:t>
      </w:r>
      <w:r w:rsidR="00FB1AE6">
        <w:rPr>
          <w:lang w:val="fr-CA"/>
        </w:rPr>
        <w:t>prévus</w:t>
      </w:r>
      <w:r w:rsidRPr="00FA558D" w:rsidR="00FB1AE6">
        <w:rPr>
          <w:lang w:val="fr-CA"/>
        </w:rPr>
        <w:t xml:space="preserve"> </w:t>
      </w:r>
      <w:r>
        <w:rPr>
          <w:lang w:val="fr-CA"/>
        </w:rPr>
        <w:t>devraient être</w:t>
      </w:r>
      <w:r w:rsidRPr="00FA558D">
        <w:rPr>
          <w:lang w:val="fr-CA"/>
        </w:rPr>
        <w:t xml:space="preserve"> </w:t>
      </w:r>
      <w:r>
        <w:rPr>
          <w:lang w:val="fr-CA"/>
        </w:rPr>
        <w:t xml:space="preserve">estimés et déclarés conformément aux exigences </w:t>
      </w:r>
      <w:r w:rsidR="00E342F8">
        <w:rPr>
          <w:lang w:val="fr-CA"/>
        </w:rPr>
        <w:t xml:space="preserve">énoncées </w:t>
      </w:r>
      <w:r w:rsidR="00FB1AE6">
        <w:rPr>
          <w:lang w:val="fr-CA"/>
        </w:rPr>
        <w:t>aux</w:t>
      </w:r>
      <w:r w:rsidRPr="00FA558D">
        <w:rPr>
          <w:lang w:val="fr-CA"/>
        </w:rPr>
        <w:t xml:space="preserve"> </w:t>
      </w:r>
      <w:r w:rsidR="00FB1AE6">
        <w:rPr>
          <w:lang w:val="fr-CA"/>
        </w:rPr>
        <w:t>paragraphes</w:t>
      </w:r>
      <w:r w:rsidRPr="00FA558D">
        <w:rPr>
          <w:lang w:val="fr-CA"/>
        </w:rPr>
        <w:t> 7.2.2</w:t>
      </w:r>
      <w:r>
        <w:rPr>
          <w:lang w:val="fr-CA"/>
        </w:rPr>
        <w:t xml:space="preserve"> et </w:t>
      </w:r>
      <w:r w:rsidRPr="00FA558D">
        <w:rPr>
          <w:lang w:val="fr-CA"/>
        </w:rPr>
        <w:t>7.2.3</w:t>
      </w:r>
      <w:r>
        <w:rPr>
          <w:lang w:val="fr-CA"/>
        </w:rPr>
        <w:t xml:space="preserve"> de la </w:t>
      </w:r>
      <w:r w:rsidR="009719D9">
        <w:rPr>
          <w:lang w:val="fr-CA"/>
        </w:rPr>
        <w:t>p</w:t>
      </w:r>
      <w:r>
        <w:rPr>
          <w:lang w:val="fr-CA"/>
        </w:rPr>
        <w:t>olitique</w:t>
      </w:r>
      <w:r w:rsidRPr="00FA558D">
        <w:rPr>
          <w:lang w:val="fr-CA"/>
        </w:rPr>
        <w:t xml:space="preserve"> </w:t>
      </w:r>
      <w:r w:rsidR="00E342F8">
        <w:rPr>
          <w:lang w:val="fr-CA"/>
        </w:rPr>
        <w:t>à des fins</w:t>
      </w:r>
      <w:r>
        <w:rPr>
          <w:lang w:val="fr-CA"/>
        </w:rPr>
        <w:t xml:space="preserve"> de tra</w:t>
      </w:r>
      <w:r w:rsidRPr="00FA558D">
        <w:rPr>
          <w:lang w:val="fr-CA"/>
        </w:rPr>
        <w:t>nspa</w:t>
      </w:r>
      <w:r>
        <w:rPr>
          <w:lang w:val="fr-CA"/>
        </w:rPr>
        <w:t>rence</w:t>
      </w:r>
      <w:r w:rsidRPr="00FA558D">
        <w:rPr>
          <w:lang w:val="fr-CA"/>
        </w:rPr>
        <w:t xml:space="preserve">. </w:t>
      </w:r>
    </w:p>
    <w:p w:rsidRPr="00FA558D" w:rsidR="00B91619" w:rsidP="00B91619" w:rsidRDefault="00B91619" w14:paraId="61B3D544" w14:textId="77777777">
      <w:pPr>
        <w:tabs>
          <w:tab w:val="left" w:pos="9356"/>
        </w:tabs>
        <w:spacing w:after="0" w:line="240" w:lineRule="auto"/>
        <w:rPr>
          <w:lang w:val="fr-CA"/>
        </w:rPr>
      </w:pPr>
    </w:p>
    <w:p w:rsidRPr="00FA558D" w:rsidR="00B91619" w:rsidP="00B91619" w:rsidRDefault="00B91619" w14:paraId="4B096DDD" w14:textId="38E16844">
      <w:pPr>
        <w:tabs>
          <w:tab w:val="left" w:pos="9356"/>
        </w:tabs>
        <w:spacing w:after="0" w:line="240" w:lineRule="auto"/>
        <w:rPr>
          <w:lang w:val="fr-CA"/>
        </w:rPr>
      </w:pPr>
      <w:r>
        <w:rPr>
          <w:lang w:val="fr-CA"/>
        </w:rPr>
        <w:t>Cette catégorie d’ex</w:t>
      </w:r>
      <w:r w:rsidRPr="00FA558D">
        <w:rPr>
          <w:lang w:val="fr-CA"/>
        </w:rPr>
        <w:t>emption</w:t>
      </w:r>
      <w:r>
        <w:rPr>
          <w:lang w:val="fr-CA"/>
        </w:rPr>
        <w:t xml:space="preserve"> </w:t>
      </w:r>
      <w:r w:rsidR="0018671E">
        <w:rPr>
          <w:lang w:val="fr-CA"/>
        </w:rPr>
        <w:t>n’</w:t>
      </w:r>
      <w:r>
        <w:rPr>
          <w:lang w:val="fr-CA"/>
        </w:rPr>
        <w:t xml:space="preserve">est </w:t>
      </w:r>
      <w:r w:rsidR="0018671E">
        <w:rPr>
          <w:lang w:val="fr-CA"/>
        </w:rPr>
        <w:t>pas souvent utilisée</w:t>
      </w:r>
      <w:r>
        <w:rPr>
          <w:lang w:val="fr-CA"/>
        </w:rPr>
        <w:t xml:space="preserve">, mais </w:t>
      </w:r>
      <w:r w:rsidR="0018671E">
        <w:rPr>
          <w:lang w:val="fr-CA"/>
        </w:rPr>
        <w:t>l’</w:t>
      </w:r>
      <w:r>
        <w:rPr>
          <w:lang w:val="fr-CA"/>
        </w:rPr>
        <w:t>a été dans le cadre de règlement</w:t>
      </w:r>
      <w:r w:rsidRPr="00FA558D">
        <w:rPr>
          <w:lang w:val="fr-CA"/>
        </w:rPr>
        <w:t>s</w:t>
      </w:r>
      <w:r>
        <w:rPr>
          <w:lang w:val="fr-CA"/>
        </w:rPr>
        <w:t xml:space="preserve"> </w:t>
      </w:r>
      <w:r w:rsidR="0018671E">
        <w:rPr>
          <w:lang w:val="fr-CA"/>
        </w:rPr>
        <w:t>qui prévoient</w:t>
      </w:r>
      <w:r>
        <w:rPr>
          <w:lang w:val="fr-CA"/>
        </w:rPr>
        <w:t xml:space="preserve"> une réponse réglementaire</w:t>
      </w:r>
      <w:r w:rsidRPr="00FA558D">
        <w:rPr>
          <w:lang w:val="fr-CA"/>
        </w:rPr>
        <w:t xml:space="preserve"> </w:t>
      </w:r>
      <w:r>
        <w:rPr>
          <w:lang w:val="fr-CA"/>
        </w:rPr>
        <w:t>immédiate</w:t>
      </w:r>
      <w:r w:rsidRPr="00FA558D">
        <w:rPr>
          <w:lang w:val="fr-CA"/>
        </w:rPr>
        <w:t xml:space="preserve">. </w:t>
      </w:r>
      <w:r>
        <w:rPr>
          <w:lang w:val="fr-CA"/>
        </w:rPr>
        <w:t>Cette ex</w:t>
      </w:r>
      <w:r w:rsidRPr="00FA558D">
        <w:rPr>
          <w:lang w:val="fr-CA"/>
        </w:rPr>
        <w:t xml:space="preserve">emption </w:t>
      </w:r>
      <w:r>
        <w:rPr>
          <w:lang w:val="fr-CA"/>
        </w:rPr>
        <w:t>donne aux organismes de réglementation</w:t>
      </w:r>
      <w:r w:rsidRPr="00FA558D">
        <w:rPr>
          <w:lang w:val="fr-CA"/>
        </w:rPr>
        <w:t xml:space="preserve"> </w:t>
      </w:r>
      <w:r>
        <w:rPr>
          <w:lang w:val="fr-CA"/>
        </w:rPr>
        <w:t xml:space="preserve">le temps nécessaire pour élaborer et proposer une mesure réglementaire plus </w:t>
      </w:r>
      <w:r w:rsidR="0024670D">
        <w:rPr>
          <w:lang w:val="fr-CA"/>
        </w:rPr>
        <w:t>permanente</w:t>
      </w:r>
      <w:r>
        <w:rPr>
          <w:lang w:val="fr-CA"/>
        </w:rPr>
        <w:t>. Dans une telle situation, l’ex</w:t>
      </w:r>
      <w:r w:rsidRPr="00FA558D">
        <w:rPr>
          <w:lang w:val="fr-CA"/>
        </w:rPr>
        <w:t xml:space="preserve">emption </w:t>
      </w:r>
      <w:r>
        <w:rPr>
          <w:lang w:val="fr-CA"/>
        </w:rPr>
        <w:t>peut être considérée comme une mesure provisoire</w:t>
      </w:r>
      <w:r w:rsidRPr="00FA558D">
        <w:rPr>
          <w:lang w:val="fr-CA"/>
        </w:rPr>
        <w:t>,</w:t>
      </w:r>
      <w:r>
        <w:rPr>
          <w:lang w:val="fr-CA"/>
        </w:rPr>
        <w:t xml:space="preserve"> et la règle du « un pour un »</w:t>
      </w:r>
      <w:r w:rsidRPr="00FA558D">
        <w:rPr>
          <w:lang w:val="fr-CA"/>
        </w:rPr>
        <w:t xml:space="preserve"> </w:t>
      </w:r>
      <w:r>
        <w:rPr>
          <w:lang w:val="fr-CA"/>
        </w:rPr>
        <w:t>pourrait s’appliquer à la mesure permanente ultérieure.</w:t>
      </w:r>
    </w:p>
    <w:p w:rsidRPr="00FA558D" w:rsidR="00B91619" w:rsidP="00B91619" w:rsidRDefault="00B91619" w14:paraId="43C8A129" w14:textId="77777777">
      <w:pPr>
        <w:tabs>
          <w:tab w:val="left" w:pos="9356"/>
        </w:tabs>
        <w:spacing w:after="0" w:line="240" w:lineRule="auto"/>
        <w:rPr>
          <w:lang w:val="fr-CA"/>
        </w:rPr>
      </w:pPr>
    </w:p>
    <w:p w:rsidRPr="00FA558D" w:rsidR="00B91619" w:rsidP="00B91619" w:rsidRDefault="00B91619" w14:paraId="02DB6EA0" w14:textId="24D20732">
      <w:pPr>
        <w:pStyle w:val="Heading3"/>
        <w:rPr>
          <w:lang w:val="fr-CA"/>
        </w:rPr>
      </w:pPr>
      <w:bookmarkStart w:name="_Toc151373920" w:id="30"/>
      <w:r>
        <w:rPr>
          <w:lang w:val="fr-CA"/>
        </w:rPr>
        <w:t xml:space="preserve">Exigences </w:t>
      </w:r>
      <w:r w:rsidR="0024670D">
        <w:rPr>
          <w:lang w:val="fr-CA"/>
        </w:rPr>
        <w:t>relatives</w:t>
      </w:r>
      <w:r>
        <w:rPr>
          <w:lang w:val="fr-CA"/>
        </w:rPr>
        <w:t xml:space="preserve"> au</w:t>
      </w:r>
      <w:r w:rsidR="0024670D">
        <w:rPr>
          <w:lang w:val="fr-CA"/>
        </w:rPr>
        <w:t>x</w:t>
      </w:r>
      <w:r>
        <w:rPr>
          <w:lang w:val="fr-CA"/>
        </w:rPr>
        <w:t xml:space="preserve"> </w:t>
      </w:r>
      <w:r w:rsidR="0024670D">
        <w:rPr>
          <w:lang w:val="fr-CA"/>
        </w:rPr>
        <w:t>r</w:t>
      </w:r>
      <w:r>
        <w:rPr>
          <w:lang w:val="fr-CA"/>
        </w:rPr>
        <w:t>ésumé</w:t>
      </w:r>
      <w:r w:rsidR="0024670D">
        <w:rPr>
          <w:lang w:val="fr-CA"/>
        </w:rPr>
        <w:t>s</w:t>
      </w:r>
      <w:r>
        <w:rPr>
          <w:lang w:val="fr-CA"/>
        </w:rPr>
        <w:t xml:space="preserve"> de l’étude d’impact de la réglementation</w:t>
      </w:r>
      <w:r w:rsidRPr="00FA558D">
        <w:rPr>
          <w:lang w:val="fr-CA"/>
        </w:rPr>
        <w:t xml:space="preserve"> (</w:t>
      </w:r>
      <w:r w:rsidR="00415B6A">
        <w:rPr>
          <w:lang w:val="fr-CA"/>
        </w:rPr>
        <w:t>paragraphe</w:t>
      </w:r>
      <w:r w:rsidRPr="00FA558D">
        <w:rPr>
          <w:lang w:val="fr-CA"/>
        </w:rPr>
        <w:t> 7.2.10)</w:t>
      </w:r>
      <w:bookmarkEnd w:id="30"/>
    </w:p>
    <w:p w:rsidRPr="00FA558D" w:rsidR="00B91619" w:rsidP="00B91619" w:rsidRDefault="00B91619" w14:paraId="372FA39A" w14:textId="77777777">
      <w:pPr>
        <w:tabs>
          <w:tab w:val="left" w:pos="9356"/>
        </w:tabs>
        <w:spacing w:after="0" w:line="240" w:lineRule="auto"/>
        <w:rPr>
          <w:lang w:val="fr-CA"/>
        </w:rPr>
      </w:pPr>
    </w:p>
    <w:p w:rsidRPr="00FA558D" w:rsidR="00B91619" w:rsidP="00B91619" w:rsidRDefault="00B91619" w14:paraId="39A41C9F" w14:textId="3E235228">
      <w:pPr>
        <w:tabs>
          <w:tab w:val="left" w:pos="9356"/>
        </w:tabs>
        <w:spacing w:after="0" w:line="240" w:lineRule="auto"/>
        <w:rPr>
          <w:lang w:val="fr-CA"/>
        </w:rPr>
      </w:pPr>
      <w:r>
        <w:rPr>
          <w:lang w:val="fr-CA"/>
        </w:rPr>
        <w:t>L’</w:t>
      </w:r>
      <w:r w:rsidRPr="00FA558D">
        <w:rPr>
          <w:lang w:val="fr-CA"/>
        </w:rPr>
        <w:t>information</w:t>
      </w:r>
      <w:r>
        <w:rPr>
          <w:lang w:val="fr-CA"/>
        </w:rPr>
        <w:t xml:space="preserve"> qui doit être présentée dans la section </w:t>
      </w:r>
      <w:r w:rsidR="00BF0A36">
        <w:rPr>
          <w:lang w:val="fr-CA"/>
        </w:rPr>
        <w:t>sur</w:t>
      </w:r>
      <w:r>
        <w:rPr>
          <w:lang w:val="fr-CA"/>
        </w:rPr>
        <w:t xml:space="preserve"> la règle du « un pour un » du REIR dépend de </w:t>
      </w:r>
      <w:r w:rsidR="00415B6A">
        <w:rPr>
          <w:lang w:val="fr-CA"/>
        </w:rPr>
        <w:t xml:space="preserve">plusieurs </w:t>
      </w:r>
      <w:r>
        <w:rPr>
          <w:lang w:val="fr-CA"/>
        </w:rPr>
        <w:t>facteur</w:t>
      </w:r>
      <w:r w:rsidRPr="00FA558D">
        <w:rPr>
          <w:lang w:val="fr-CA"/>
        </w:rPr>
        <w:t xml:space="preserve">s, </w:t>
      </w:r>
      <w:r>
        <w:rPr>
          <w:lang w:val="fr-CA"/>
        </w:rPr>
        <w:t xml:space="preserve">le plus important </w:t>
      </w:r>
      <w:r w:rsidR="00415B6A">
        <w:rPr>
          <w:lang w:val="fr-CA"/>
        </w:rPr>
        <w:t>étant</w:t>
      </w:r>
      <w:r>
        <w:rPr>
          <w:lang w:val="fr-CA"/>
        </w:rPr>
        <w:t xml:space="preserve"> la question de savoir si</w:t>
      </w:r>
      <w:r w:rsidRPr="00FA558D">
        <w:rPr>
          <w:lang w:val="fr-CA"/>
        </w:rPr>
        <w:t xml:space="preserve"> </w:t>
      </w:r>
      <w:r>
        <w:rPr>
          <w:lang w:val="fr-CA"/>
        </w:rPr>
        <w:t>la règle</w:t>
      </w:r>
      <w:r w:rsidRPr="00FA558D">
        <w:rPr>
          <w:lang w:val="fr-CA"/>
        </w:rPr>
        <w:t xml:space="preserve"> </w:t>
      </w:r>
      <w:r>
        <w:rPr>
          <w:lang w:val="fr-CA"/>
        </w:rPr>
        <w:t>s’applique</w:t>
      </w:r>
      <w:r w:rsidR="00415B6A">
        <w:rPr>
          <w:lang w:val="fr-CA"/>
        </w:rPr>
        <w:t xml:space="preserve"> ou non</w:t>
      </w:r>
      <w:r>
        <w:rPr>
          <w:lang w:val="fr-CA"/>
        </w:rPr>
        <w:t xml:space="preserve"> au </w:t>
      </w:r>
      <w:r w:rsidR="00415B6A">
        <w:rPr>
          <w:lang w:val="fr-CA"/>
        </w:rPr>
        <w:t xml:space="preserve">projet de </w:t>
      </w:r>
      <w:r>
        <w:rPr>
          <w:lang w:val="fr-CA"/>
        </w:rPr>
        <w:t>règlement</w:t>
      </w:r>
      <w:r w:rsidRPr="00FA558D">
        <w:rPr>
          <w:lang w:val="fr-CA"/>
        </w:rPr>
        <w:t xml:space="preserve">. </w:t>
      </w:r>
      <w:r w:rsidR="00415B6A">
        <w:rPr>
          <w:lang w:val="fr-CA"/>
        </w:rPr>
        <w:t>Les paragraphes suivants</w:t>
      </w:r>
      <w:r>
        <w:rPr>
          <w:lang w:val="fr-CA"/>
        </w:rPr>
        <w:t xml:space="preserve"> constitue</w:t>
      </w:r>
      <w:r w:rsidR="00415B6A">
        <w:rPr>
          <w:lang w:val="fr-CA"/>
        </w:rPr>
        <w:t>nt</w:t>
      </w:r>
      <w:r>
        <w:rPr>
          <w:lang w:val="fr-CA"/>
        </w:rPr>
        <w:t xml:space="preserve"> un</w:t>
      </w:r>
      <w:r w:rsidR="00415B6A">
        <w:rPr>
          <w:lang w:val="fr-CA"/>
        </w:rPr>
        <w:t xml:space="preserve"> aperçu</w:t>
      </w:r>
      <w:r>
        <w:rPr>
          <w:lang w:val="fr-CA"/>
        </w:rPr>
        <w:t xml:space="preserve"> de l’i</w:t>
      </w:r>
      <w:r w:rsidRPr="00FA558D">
        <w:rPr>
          <w:lang w:val="fr-CA"/>
        </w:rPr>
        <w:t xml:space="preserve">nformation </w:t>
      </w:r>
      <w:r>
        <w:rPr>
          <w:lang w:val="fr-CA"/>
        </w:rPr>
        <w:t xml:space="preserve">exigée </w:t>
      </w:r>
      <w:r w:rsidR="00F80967">
        <w:rPr>
          <w:lang w:val="fr-CA"/>
        </w:rPr>
        <w:t xml:space="preserve">dans </w:t>
      </w:r>
      <w:r>
        <w:rPr>
          <w:lang w:val="fr-CA"/>
        </w:rPr>
        <w:t>un</w:t>
      </w:r>
      <w:r w:rsidR="00415B6A">
        <w:rPr>
          <w:lang w:val="fr-CA"/>
        </w:rPr>
        <w:t xml:space="preserve"> certain nombre de scénarios</w:t>
      </w:r>
      <w:r w:rsidRPr="00FA558D">
        <w:rPr>
          <w:lang w:val="fr-CA"/>
        </w:rPr>
        <w:t>.</w:t>
      </w:r>
    </w:p>
    <w:p w:rsidRPr="00FA558D" w:rsidR="00B91619" w:rsidP="00B91619" w:rsidRDefault="00B91619" w14:paraId="67EAC9CA" w14:textId="77777777">
      <w:pPr>
        <w:tabs>
          <w:tab w:val="left" w:pos="9356"/>
        </w:tabs>
        <w:spacing w:after="0" w:line="240" w:lineRule="auto"/>
        <w:rPr>
          <w:lang w:val="fr-CA"/>
        </w:rPr>
      </w:pPr>
    </w:p>
    <w:p w:rsidRPr="00FA558D" w:rsidR="00B91619" w:rsidP="00B91619" w:rsidRDefault="00B91619" w14:paraId="354C35E8" w14:textId="77777777">
      <w:pPr>
        <w:pStyle w:val="Heading4"/>
        <w:rPr>
          <w:lang w:val="fr-CA"/>
        </w:rPr>
      </w:pPr>
      <w:r>
        <w:rPr>
          <w:lang w:val="fr-CA"/>
        </w:rPr>
        <w:t>La règle du « un pour un »</w:t>
      </w:r>
      <w:r w:rsidRPr="00FA558D">
        <w:rPr>
          <w:lang w:val="fr-CA"/>
        </w:rPr>
        <w:t xml:space="preserve"> </w:t>
      </w:r>
      <w:r>
        <w:rPr>
          <w:lang w:val="fr-CA"/>
        </w:rPr>
        <w:t>ne s’applique pas</w:t>
      </w:r>
    </w:p>
    <w:p w:rsidRPr="00FA558D" w:rsidR="00B91619" w:rsidP="00B91619" w:rsidRDefault="00B91619" w14:paraId="47BCD1DC" w14:textId="77777777">
      <w:pPr>
        <w:pStyle w:val="ListParagraph"/>
        <w:tabs>
          <w:tab w:val="left" w:pos="9356"/>
        </w:tabs>
        <w:spacing w:after="0" w:line="240" w:lineRule="auto"/>
        <w:rPr>
          <w:lang w:val="fr-CA"/>
        </w:rPr>
      </w:pPr>
    </w:p>
    <w:p w:rsidRPr="00FA558D" w:rsidR="00B91619" w:rsidP="00B91619" w:rsidRDefault="00B91619" w14:paraId="31CBB0D3" w14:textId="380BE5D6">
      <w:pPr>
        <w:tabs>
          <w:tab w:val="left" w:pos="9356"/>
        </w:tabs>
        <w:spacing w:after="0" w:line="240" w:lineRule="auto"/>
        <w:rPr>
          <w:b/>
          <w:lang w:val="fr-CA"/>
        </w:rPr>
      </w:pPr>
      <w:r>
        <w:rPr>
          <w:b/>
          <w:lang w:val="fr-CA"/>
        </w:rPr>
        <w:t xml:space="preserve">Le projet </w:t>
      </w:r>
      <w:r w:rsidR="00CA734A">
        <w:rPr>
          <w:b/>
          <w:lang w:val="fr-CA"/>
        </w:rPr>
        <w:t>de règlement ne fait pas partie du champ d’application de</w:t>
      </w:r>
      <w:r>
        <w:rPr>
          <w:b/>
          <w:lang w:val="fr-CA"/>
        </w:rPr>
        <w:t xml:space="preserve"> la règle</w:t>
      </w:r>
    </w:p>
    <w:p w:rsidRPr="00FA558D" w:rsidR="00B91619" w:rsidP="00B91619" w:rsidRDefault="00B91619" w14:paraId="6E4B6890" w14:textId="7F9F099E">
      <w:pPr>
        <w:tabs>
          <w:tab w:val="left" w:pos="9356"/>
        </w:tabs>
        <w:spacing w:after="0" w:line="240" w:lineRule="auto"/>
        <w:rPr>
          <w:lang w:val="fr-CA"/>
        </w:rPr>
      </w:pPr>
      <w:r>
        <w:rPr>
          <w:lang w:val="fr-CA"/>
        </w:rPr>
        <w:t xml:space="preserve">Le projet </w:t>
      </w:r>
      <w:r w:rsidR="00CA734A">
        <w:rPr>
          <w:lang w:val="fr-CA"/>
        </w:rPr>
        <w:t>ne fait pas partie du</w:t>
      </w:r>
      <w:r>
        <w:rPr>
          <w:lang w:val="fr-CA"/>
        </w:rPr>
        <w:t xml:space="preserve"> champ d’application de la règle</w:t>
      </w:r>
      <w:r w:rsidRPr="00FA558D">
        <w:rPr>
          <w:lang w:val="fr-CA"/>
        </w:rPr>
        <w:t xml:space="preserve"> </w:t>
      </w:r>
      <w:r>
        <w:rPr>
          <w:lang w:val="fr-CA"/>
        </w:rPr>
        <w:t>tel qu’il est défini</w:t>
      </w:r>
      <w:r w:rsidRPr="00FA558D">
        <w:rPr>
          <w:lang w:val="fr-CA"/>
        </w:rPr>
        <w:t xml:space="preserve"> </w:t>
      </w:r>
      <w:r w:rsidR="00A95E42">
        <w:rPr>
          <w:lang w:val="fr-CA"/>
        </w:rPr>
        <w:t xml:space="preserve">à </w:t>
      </w:r>
      <w:r>
        <w:rPr>
          <w:lang w:val="fr-CA"/>
        </w:rPr>
        <w:t>la sec</w:t>
      </w:r>
      <w:r w:rsidRPr="00FA558D">
        <w:rPr>
          <w:lang w:val="fr-CA"/>
        </w:rPr>
        <w:t xml:space="preserve">tion 2 </w:t>
      </w:r>
      <w:r>
        <w:rPr>
          <w:lang w:val="fr-CA"/>
        </w:rPr>
        <w:t xml:space="preserve">de la </w:t>
      </w:r>
      <w:r w:rsidR="00A5699B">
        <w:rPr>
          <w:lang w:val="fr-CA"/>
        </w:rPr>
        <w:t>D</w:t>
      </w:r>
      <w:r>
        <w:rPr>
          <w:lang w:val="fr-CA"/>
        </w:rPr>
        <w:t xml:space="preserve">irective du </w:t>
      </w:r>
      <w:r w:rsidR="00CA734A">
        <w:rPr>
          <w:lang w:val="fr-CA"/>
        </w:rPr>
        <w:t xml:space="preserve">Cabinet </w:t>
      </w:r>
      <w:r>
        <w:rPr>
          <w:lang w:val="fr-CA"/>
        </w:rPr>
        <w:t xml:space="preserve">et la </w:t>
      </w:r>
      <w:r w:rsidRPr="00FA558D">
        <w:rPr>
          <w:lang w:val="fr-CA"/>
        </w:rPr>
        <w:t>section 3</w:t>
      </w:r>
      <w:r>
        <w:rPr>
          <w:lang w:val="fr-CA"/>
        </w:rPr>
        <w:t xml:space="preserve"> de la </w:t>
      </w:r>
      <w:r w:rsidR="009719D9">
        <w:rPr>
          <w:lang w:val="fr-CA"/>
        </w:rPr>
        <w:t>p</w:t>
      </w:r>
      <w:r>
        <w:rPr>
          <w:lang w:val="fr-CA"/>
        </w:rPr>
        <w:t>olitique</w:t>
      </w:r>
      <w:r w:rsidRPr="00FA558D">
        <w:rPr>
          <w:lang w:val="fr-CA"/>
        </w:rPr>
        <w:t xml:space="preserve">. </w:t>
      </w:r>
    </w:p>
    <w:p w:rsidRPr="00FA558D" w:rsidR="00B91619" w:rsidP="00B91619" w:rsidRDefault="00B91619" w14:paraId="5DF75B51" w14:textId="77777777">
      <w:pPr>
        <w:pStyle w:val="ListParagraph"/>
        <w:tabs>
          <w:tab w:val="left" w:pos="9356"/>
        </w:tabs>
        <w:spacing w:after="0" w:line="240" w:lineRule="auto"/>
        <w:ind w:left="360"/>
        <w:rPr>
          <w:lang w:val="fr-CA"/>
        </w:rPr>
      </w:pPr>
    </w:p>
    <w:p w:rsidRPr="00FA558D" w:rsidR="00B91619" w:rsidP="00B91619" w:rsidRDefault="00B91619" w14:paraId="757707C4" w14:textId="37C4B0EF">
      <w:pPr>
        <w:tabs>
          <w:tab w:val="left" w:pos="9356"/>
        </w:tabs>
        <w:spacing w:after="0" w:line="240" w:lineRule="auto"/>
        <w:rPr>
          <w:lang w:val="fr-CA"/>
        </w:rPr>
      </w:pPr>
      <w:r>
        <w:rPr>
          <w:lang w:val="fr-CA"/>
        </w:rPr>
        <w:t>L</w:t>
      </w:r>
      <w:r w:rsidR="00330D02">
        <w:rPr>
          <w:lang w:val="fr-CA"/>
        </w:rPr>
        <w:t>e champ d’application</w:t>
      </w:r>
      <w:r>
        <w:rPr>
          <w:lang w:val="fr-CA"/>
        </w:rPr>
        <w:t xml:space="preserve"> de la règle</w:t>
      </w:r>
      <w:r w:rsidRPr="00FA558D">
        <w:rPr>
          <w:lang w:val="fr-CA"/>
        </w:rPr>
        <w:t xml:space="preserve"> </w:t>
      </w:r>
      <w:r>
        <w:rPr>
          <w:lang w:val="fr-CA"/>
        </w:rPr>
        <w:t>englobe les règlement</w:t>
      </w:r>
      <w:r w:rsidRPr="00FA558D">
        <w:rPr>
          <w:lang w:val="fr-CA"/>
        </w:rPr>
        <w:t xml:space="preserve">s </w:t>
      </w:r>
      <w:r w:rsidR="00CA734A">
        <w:rPr>
          <w:lang w:val="fr-CA"/>
        </w:rPr>
        <w:t xml:space="preserve">pris </w:t>
      </w:r>
      <w:r>
        <w:rPr>
          <w:lang w:val="fr-CA"/>
        </w:rPr>
        <w:t>ou approuvés par</w:t>
      </w:r>
      <w:r w:rsidRPr="00FA558D">
        <w:rPr>
          <w:lang w:val="fr-CA"/>
        </w:rPr>
        <w:t xml:space="preserve"> </w:t>
      </w:r>
      <w:r>
        <w:rPr>
          <w:lang w:val="fr-CA"/>
        </w:rPr>
        <w:t xml:space="preserve">le gouverneur en conseil, et ceux </w:t>
      </w:r>
      <w:r w:rsidR="00CA734A">
        <w:rPr>
          <w:lang w:val="fr-CA"/>
        </w:rPr>
        <w:t xml:space="preserve">pris </w:t>
      </w:r>
      <w:r>
        <w:rPr>
          <w:lang w:val="fr-CA"/>
        </w:rPr>
        <w:t>par un ministre de la Couronne</w:t>
      </w:r>
      <w:r w:rsidRPr="00FA558D">
        <w:rPr>
          <w:lang w:val="fr-CA"/>
        </w:rPr>
        <w:t xml:space="preserve">. </w:t>
      </w:r>
      <w:r w:rsidR="00CA734A">
        <w:rPr>
          <w:lang w:val="fr-CA"/>
        </w:rPr>
        <w:t>Il</w:t>
      </w:r>
      <w:r>
        <w:rPr>
          <w:lang w:val="fr-CA"/>
        </w:rPr>
        <w:t xml:space="preserve"> exclut les règlement</w:t>
      </w:r>
      <w:r w:rsidRPr="00FA558D">
        <w:rPr>
          <w:lang w:val="fr-CA"/>
        </w:rPr>
        <w:t xml:space="preserve">s </w:t>
      </w:r>
      <w:r>
        <w:rPr>
          <w:lang w:val="fr-CA"/>
        </w:rPr>
        <w:t>adoptés par</w:t>
      </w:r>
      <w:r w:rsidRPr="00FA558D">
        <w:rPr>
          <w:lang w:val="fr-CA"/>
        </w:rPr>
        <w:t xml:space="preserve"> </w:t>
      </w:r>
      <w:r>
        <w:rPr>
          <w:lang w:val="fr-CA"/>
        </w:rPr>
        <w:t>un organisme</w:t>
      </w:r>
      <w:r w:rsidRPr="00FA558D">
        <w:rPr>
          <w:lang w:val="fr-CA"/>
        </w:rPr>
        <w:t xml:space="preserve">, </w:t>
      </w:r>
      <w:r>
        <w:rPr>
          <w:lang w:val="fr-CA"/>
        </w:rPr>
        <w:t xml:space="preserve">un </w:t>
      </w:r>
      <w:r w:rsidRPr="00FA558D">
        <w:rPr>
          <w:lang w:val="fr-CA"/>
        </w:rPr>
        <w:t>tribunal</w:t>
      </w:r>
      <w:r>
        <w:rPr>
          <w:lang w:val="fr-CA"/>
        </w:rPr>
        <w:t xml:space="preserve"> ou une autre entité </w:t>
      </w:r>
      <w:r w:rsidR="00CA734A">
        <w:rPr>
          <w:lang w:val="fr-CA"/>
        </w:rPr>
        <w:t>qui est autorisée à le faire</w:t>
      </w:r>
      <w:r>
        <w:rPr>
          <w:lang w:val="fr-CA"/>
        </w:rPr>
        <w:t xml:space="preserve"> par le </w:t>
      </w:r>
      <w:r w:rsidRPr="00FA558D">
        <w:rPr>
          <w:lang w:val="fr-CA"/>
        </w:rPr>
        <w:t>Par</w:t>
      </w:r>
      <w:r>
        <w:rPr>
          <w:lang w:val="fr-CA"/>
        </w:rPr>
        <w:t xml:space="preserve">lement dans </w:t>
      </w:r>
      <w:r w:rsidR="00CA734A">
        <w:rPr>
          <w:lang w:val="fr-CA"/>
        </w:rPr>
        <w:t>un domaine quelconque</w:t>
      </w:r>
      <w:r w:rsidRPr="00FA558D">
        <w:rPr>
          <w:lang w:val="fr-CA"/>
        </w:rPr>
        <w:t>.</w:t>
      </w:r>
    </w:p>
    <w:p w:rsidRPr="00FA558D" w:rsidR="00B91619" w:rsidP="00B91619" w:rsidRDefault="00B91619" w14:paraId="7271E622" w14:textId="77777777">
      <w:pPr>
        <w:pStyle w:val="ListParagraph"/>
        <w:tabs>
          <w:tab w:val="left" w:pos="9356"/>
        </w:tabs>
        <w:spacing w:after="0" w:line="240" w:lineRule="auto"/>
        <w:ind w:left="360"/>
        <w:rPr>
          <w:lang w:val="fr-CA"/>
        </w:rPr>
      </w:pPr>
    </w:p>
    <w:p w:rsidRPr="00FA558D" w:rsidR="00B91619" w:rsidP="00B91619" w:rsidRDefault="00B91619" w14:paraId="169690D4" w14:textId="198B155C">
      <w:pPr>
        <w:tabs>
          <w:tab w:val="left" w:pos="9356"/>
        </w:tabs>
        <w:spacing w:after="0" w:line="240" w:lineRule="auto"/>
        <w:rPr>
          <w:lang w:val="fr-CA"/>
        </w:rPr>
      </w:pPr>
      <w:r>
        <w:rPr>
          <w:lang w:val="fr-CA"/>
        </w:rPr>
        <w:t>Si le</w:t>
      </w:r>
      <w:r w:rsidRPr="00FA558D">
        <w:rPr>
          <w:lang w:val="fr-CA"/>
        </w:rPr>
        <w:t xml:space="preserve"> </w:t>
      </w:r>
      <w:r>
        <w:rPr>
          <w:lang w:val="fr-CA"/>
        </w:rPr>
        <w:t>projet</w:t>
      </w:r>
      <w:r w:rsidRPr="00FA558D">
        <w:rPr>
          <w:lang w:val="fr-CA"/>
        </w:rPr>
        <w:t xml:space="preserve"> </w:t>
      </w:r>
      <w:r>
        <w:rPr>
          <w:lang w:val="fr-CA"/>
        </w:rPr>
        <w:t>comprend une</w:t>
      </w:r>
      <w:r w:rsidRPr="00FA558D">
        <w:rPr>
          <w:lang w:val="fr-CA"/>
        </w:rPr>
        <w:t xml:space="preserve"> </w:t>
      </w:r>
      <w:r>
        <w:rPr>
          <w:lang w:val="fr-CA"/>
        </w:rPr>
        <w:t>section sur la règle du « un pour un »</w:t>
      </w:r>
      <w:r w:rsidRPr="00FA558D">
        <w:rPr>
          <w:lang w:val="fr-CA"/>
        </w:rPr>
        <w:t xml:space="preserve">, </w:t>
      </w:r>
      <w:r w:rsidR="00CA734A">
        <w:rPr>
          <w:lang w:val="fr-CA"/>
        </w:rPr>
        <w:t xml:space="preserve">il </w:t>
      </w:r>
      <w:r>
        <w:rPr>
          <w:lang w:val="fr-CA"/>
        </w:rPr>
        <w:t>devrait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ne s’applique pas puisque</w:t>
      </w:r>
      <w:r w:rsidRPr="00FA558D">
        <w:rPr>
          <w:lang w:val="fr-CA"/>
        </w:rPr>
        <w:t xml:space="preserve"> </w:t>
      </w:r>
      <w:r>
        <w:rPr>
          <w:lang w:val="fr-CA"/>
        </w:rPr>
        <w:t>le règlement</w:t>
      </w:r>
      <w:r w:rsidRPr="00FA558D">
        <w:rPr>
          <w:lang w:val="fr-CA"/>
        </w:rPr>
        <w:t xml:space="preserve"> </w:t>
      </w:r>
      <w:r>
        <w:rPr>
          <w:lang w:val="fr-CA"/>
        </w:rPr>
        <w:t xml:space="preserve">est </w:t>
      </w:r>
      <w:r w:rsidR="00CA734A">
        <w:rPr>
          <w:lang w:val="fr-CA"/>
        </w:rPr>
        <w:t>pris</w:t>
      </w:r>
      <w:r>
        <w:rPr>
          <w:lang w:val="fr-CA"/>
        </w:rPr>
        <w:t xml:space="preserve"> par un</w:t>
      </w:r>
      <w:r w:rsidR="00CA734A">
        <w:rPr>
          <w:lang w:val="fr-CA"/>
        </w:rPr>
        <w:t>e autorité</w:t>
      </w:r>
      <w:r>
        <w:rPr>
          <w:lang w:val="fr-CA"/>
        </w:rPr>
        <w:t xml:space="preserve"> de réglementation indépendant</w:t>
      </w:r>
      <w:r w:rsidR="00CA734A">
        <w:rPr>
          <w:lang w:val="fr-CA"/>
        </w:rPr>
        <w:t>e</w:t>
      </w:r>
      <w:r>
        <w:rPr>
          <w:lang w:val="fr-CA"/>
        </w:rPr>
        <w:t>, et n</w:t>
      </w:r>
      <w:r w:rsidR="00CA734A">
        <w:rPr>
          <w:lang w:val="fr-CA"/>
        </w:rPr>
        <w:t xml:space="preserve">e fait </w:t>
      </w:r>
      <w:r>
        <w:rPr>
          <w:lang w:val="fr-CA"/>
        </w:rPr>
        <w:t xml:space="preserve">donc pas </w:t>
      </w:r>
      <w:r w:rsidR="00CA734A">
        <w:rPr>
          <w:lang w:val="fr-CA"/>
        </w:rPr>
        <w:t>par</w:t>
      </w:r>
      <w:r w:rsidR="007C7A5F">
        <w:rPr>
          <w:lang w:val="fr-CA"/>
        </w:rPr>
        <w:t>t</w:t>
      </w:r>
      <w:r w:rsidR="00CA734A">
        <w:rPr>
          <w:lang w:val="fr-CA"/>
        </w:rPr>
        <w:t>ie du champ d’application de</w:t>
      </w:r>
      <w:r>
        <w:rPr>
          <w:lang w:val="fr-CA"/>
        </w:rPr>
        <w:t xml:space="preserve"> la règle</w:t>
      </w:r>
      <w:r w:rsidRPr="00FA558D">
        <w:rPr>
          <w:lang w:val="fr-CA"/>
        </w:rPr>
        <w:t>.</w:t>
      </w:r>
      <w:r>
        <w:rPr>
          <w:lang w:val="fr-CA"/>
        </w:rPr>
        <w:t> »</w:t>
      </w:r>
      <w:r w:rsidRPr="00FA558D">
        <w:rPr>
          <w:lang w:val="fr-CA"/>
        </w:rPr>
        <w:t xml:space="preserve"> </w:t>
      </w:r>
    </w:p>
    <w:p w:rsidRPr="00FA558D" w:rsidR="00B91619" w:rsidP="00B91619" w:rsidRDefault="00B91619" w14:paraId="293ECCD7" w14:textId="77777777">
      <w:pPr>
        <w:tabs>
          <w:tab w:val="left" w:pos="9356"/>
        </w:tabs>
        <w:spacing w:after="0" w:line="240" w:lineRule="auto"/>
        <w:rPr>
          <w:lang w:val="fr-CA"/>
        </w:rPr>
      </w:pPr>
    </w:p>
    <w:p w:rsidRPr="00FA558D" w:rsidR="00B91619" w:rsidP="00B91619" w:rsidRDefault="00BF0A36" w14:paraId="694513F1" w14:textId="2848F1FF">
      <w:pPr>
        <w:tabs>
          <w:tab w:val="left" w:pos="9356"/>
        </w:tabs>
        <w:spacing w:after="0" w:line="240" w:lineRule="auto"/>
        <w:rPr>
          <w:b/>
          <w:lang w:val="fr-CA"/>
        </w:rPr>
      </w:pPr>
      <w:r>
        <w:rPr>
          <w:b/>
          <w:lang w:val="fr-CA"/>
        </w:rPr>
        <w:t>Il n’y a pas de</w:t>
      </w:r>
      <w:r w:rsidR="00B91619">
        <w:rPr>
          <w:b/>
          <w:lang w:val="fr-CA"/>
        </w:rPr>
        <w:t xml:space="preserve"> répercussion</w:t>
      </w:r>
      <w:r>
        <w:rPr>
          <w:b/>
          <w:lang w:val="fr-CA"/>
        </w:rPr>
        <w:t>s</w:t>
      </w:r>
      <w:r w:rsidR="00B91619">
        <w:rPr>
          <w:b/>
          <w:lang w:val="fr-CA"/>
        </w:rPr>
        <w:t xml:space="preserve"> </w:t>
      </w:r>
      <w:r>
        <w:rPr>
          <w:b/>
          <w:lang w:val="fr-CA"/>
        </w:rPr>
        <w:t xml:space="preserve">sur les entreprises et </w:t>
      </w:r>
      <w:r w:rsidR="00B91619">
        <w:rPr>
          <w:b/>
          <w:lang w:val="fr-CA"/>
        </w:rPr>
        <w:t>aucun ajout o</w:t>
      </w:r>
      <w:r w:rsidR="00912B91">
        <w:rPr>
          <w:b/>
          <w:lang w:val="fr-CA"/>
        </w:rPr>
        <w:t>u</w:t>
      </w:r>
      <w:r>
        <w:rPr>
          <w:b/>
          <w:lang w:val="fr-CA"/>
        </w:rPr>
        <w:t xml:space="preserve"> </w:t>
      </w:r>
      <w:r w:rsidR="00B91619">
        <w:rPr>
          <w:b/>
          <w:lang w:val="fr-CA"/>
        </w:rPr>
        <w:t>suppression d</w:t>
      </w:r>
      <w:r w:rsidR="007C7A5F">
        <w:rPr>
          <w:b/>
          <w:lang w:val="fr-CA"/>
        </w:rPr>
        <w:t>e titre</w:t>
      </w:r>
    </w:p>
    <w:p w:rsidRPr="00FA558D" w:rsidR="00B91619" w:rsidP="00B91619" w:rsidRDefault="00B91619" w14:paraId="1A1AFB77" w14:textId="212E9A99">
      <w:pPr>
        <w:tabs>
          <w:tab w:val="left" w:pos="9356"/>
        </w:tabs>
        <w:spacing w:after="0" w:line="240" w:lineRule="auto"/>
        <w:rPr>
          <w:lang w:val="fr-CA"/>
        </w:rPr>
      </w:pPr>
      <w:r>
        <w:rPr>
          <w:lang w:val="fr-CA"/>
        </w:rPr>
        <w:t>Le projet</w:t>
      </w:r>
      <w:r w:rsidRPr="00FA558D">
        <w:rPr>
          <w:lang w:val="fr-CA"/>
        </w:rPr>
        <w:t xml:space="preserve"> </w:t>
      </w:r>
      <w:proofErr w:type="gramStart"/>
      <w:r>
        <w:rPr>
          <w:lang w:val="fr-CA"/>
        </w:rPr>
        <w:t>n’a</w:t>
      </w:r>
      <w:proofErr w:type="gramEnd"/>
      <w:r>
        <w:rPr>
          <w:lang w:val="fr-CA"/>
        </w:rPr>
        <w:t xml:space="preserve"> aucune répercussion</w:t>
      </w:r>
      <w:r w:rsidRPr="00FA558D">
        <w:rPr>
          <w:lang w:val="fr-CA"/>
        </w:rPr>
        <w:t xml:space="preserve"> </w:t>
      </w:r>
      <w:r w:rsidR="00771FF7">
        <w:rPr>
          <w:lang w:val="fr-CA"/>
        </w:rPr>
        <w:t xml:space="preserve">sur </w:t>
      </w:r>
      <w:r w:rsidR="009B4619">
        <w:rPr>
          <w:lang w:val="fr-CA"/>
        </w:rPr>
        <w:t>un</w:t>
      </w:r>
      <w:r w:rsidR="00771FF7">
        <w:rPr>
          <w:lang w:val="fr-CA"/>
        </w:rPr>
        <w:t xml:space="preserve"> type </w:t>
      </w:r>
      <w:r w:rsidR="009B4619">
        <w:rPr>
          <w:lang w:val="fr-CA"/>
        </w:rPr>
        <w:t xml:space="preserve">quelconque </w:t>
      </w:r>
      <w:r w:rsidR="00771FF7">
        <w:rPr>
          <w:lang w:val="fr-CA"/>
        </w:rPr>
        <w:t>d’</w:t>
      </w:r>
      <w:r>
        <w:rPr>
          <w:lang w:val="fr-CA"/>
        </w:rPr>
        <w:t>entreprise</w:t>
      </w:r>
      <w:r w:rsidRPr="00FA558D">
        <w:rPr>
          <w:lang w:val="fr-CA"/>
        </w:rPr>
        <w:t xml:space="preserve"> </w:t>
      </w:r>
      <w:r w:rsidR="009B4619">
        <w:rPr>
          <w:lang w:val="fr-CA"/>
        </w:rPr>
        <w:t>au sens de</w:t>
      </w:r>
      <w:r>
        <w:rPr>
          <w:lang w:val="fr-CA"/>
        </w:rPr>
        <w:t xml:space="preserve"> la sec</w:t>
      </w:r>
      <w:r w:rsidRPr="00FA558D">
        <w:rPr>
          <w:lang w:val="fr-CA"/>
        </w:rPr>
        <w:t>tion 5</w:t>
      </w:r>
      <w:r>
        <w:rPr>
          <w:lang w:val="fr-CA"/>
        </w:rPr>
        <w:t xml:space="preserve"> de la </w:t>
      </w:r>
      <w:r w:rsidR="009719D9">
        <w:rPr>
          <w:lang w:val="fr-CA"/>
        </w:rPr>
        <w:t>p</w:t>
      </w:r>
      <w:r>
        <w:rPr>
          <w:lang w:val="fr-CA"/>
        </w:rPr>
        <w:t>olitique</w:t>
      </w:r>
      <w:r w:rsidRPr="00FA558D">
        <w:rPr>
          <w:lang w:val="fr-CA"/>
        </w:rPr>
        <w:t>,</w:t>
      </w:r>
      <w:r>
        <w:rPr>
          <w:lang w:val="fr-CA"/>
        </w:rPr>
        <w:t xml:space="preserve"> et il n’y a aucun</w:t>
      </w:r>
      <w:r w:rsidRPr="00FA558D">
        <w:rPr>
          <w:lang w:val="fr-CA"/>
        </w:rPr>
        <w:t xml:space="preserve"> </w:t>
      </w:r>
      <w:r>
        <w:rPr>
          <w:lang w:val="fr-CA"/>
        </w:rPr>
        <w:t>ajout ou suppression d</w:t>
      </w:r>
      <w:r w:rsidR="007C7A5F">
        <w:rPr>
          <w:lang w:val="fr-CA"/>
        </w:rPr>
        <w:t>e titre</w:t>
      </w:r>
      <w:r w:rsidRPr="00FA558D">
        <w:rPr>
          <w:lang w:val="fr-CA"/>
        </w:rPr>
        <w:t>.</w:t>
      </w:r>
    </w:p>
    <w:p w:rsidRPr="00FA558D" w:rsidR="00B91619" w:rsidP="00B91619" w:rsidRDefault="00B91619" w14:paraId="182DC1D3" w14:textId="77777777">
      <w:pPr>
        <w:pStyle w:val="ListParagraph"/>
        <w:tabs>
          <w:tab w:val="left" w:pos="9356"/>
        </w:tabs>
        <w:spacing w:after="0" w:line="240" w:lineRule="auto"/>
        <w:ind w:left="360"/>
        <w:rPr>
          <w:lang w:val="fr-CA"/>
        </w:rPr>
      </w:pPr>
    </w:p>
    <w:p w:rsidRPr="00FA558D" w:rsidR="00B91619" w:rsidP="00B91619" w:rsidRDefault="00B91619" w14:paraId="2E717AF8" w14:textId="7FF0B077">
      <w:pPr>
        <w:tabs>
          <w:tab w:val="left" w:pos="9356"/>
        </w:tabs>
        <w:spacing w:after="0" w:line="240" w:lineRule="auto"/>
        <w:rPr>
          <w:lang w:val="fr-CA"/>
        </w:rPr>
      </w:pPr>
      <w:r>
        <w:rPr>
          <w:lang w:val="fr-CA"/>
        </w:rPr>
        <w:t xml:space="preserve">Dans un tel </w:t>
      </w:r>
      <w:r w:rsidR="009B4619">
        <w:rPr>
          <w:lang w:val="fr-CA"/>
        </w:rPr>
        <w:t>scénario</w:t>
      </w:r>
      <w:r w:rsidRPr="00FA558D">
        <w:rPr>
          <w:lang w:val="fr-CA"/>
        </w:rPr>
        <w:t xml:space="preserve">, </w:t>
      </w: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ne s’applique pas</w:t>
      </w:r>
      <w:r w:rsidRPr="00FA558D">
        <w:rPr>
          <w:lang w:val="fr-CA"/>
        </w:rPr>
        <w:t xml:space="preserve"> </w:t>
      </w:r>
      <w:r>
        <w:rPr>
          <w:lang w:val="fr-CA"/>
        </w:rPr>
        <w:t>puisqu’il n’y a aucune répercussion</w:t>
      </w:r>
      <w:r w:rsidRPr="00FA558D">
        <w:rPr>
          <w:lang w:val="fr-CA"/>
        </w:rPr>
        <w:t xml:space="preserve"> </w:t>
      </w:r>
      <w:r w:rsidR="00771FF7">
        <w:rPr>
          <w:lang w:val="fr-CA"/>
        </w:rPr>
        <w:t xml:space="preserve">sur </w:t>
      </w:r>
      <w:r>
        <w:rPr>
          <w:lang w:val="fr-CA"/>
        </w:rPr>
        <w:t>les entreprises ».</w:t>
      </w:r>
    </w:p>
    <w:p w:rsidRPr="00FA558D" w:rsidR="00B91619" w:rsidP="00B91619" w:rsidRDefault="00B91619" w14:paraId="5287423A" w14:textId="77777777">
      <w:pPr>
        <w:pStyle w:val="ListParagraph"/>
        <w:tabs>
          <w:tab w:val="left" w:pos="9356"/>
        </w:tabs>
        <w:spacing w:after="0" w:line="240" w:lineRule="auto"/>
        <w:ind w:left="0"/>
        <w:rPr>
          <w:lang w:val="fr-CA"/>
        </w:rPr>
      </w:pPr>
    </w:p>
    <w:p w:rsidRPr="00FA558D" w:rsidR="00B91619" w:rsidP="00B91619" w:rsidRDefault="00B91619" w14:paraId="2A048583" w14:textId="7A7B25D0">
      <w:pPr>
        <w:tabs>
          <w:tab w:val="left" w:pos="9356"/>
        </w:tabs>
        <w:spacing w:after="0" w:line="240" w:lineRule="auto"/>
        <w:rPr>
          <w:b/>
          <w:lang w:val="fr-CA"/>
        </w:rPr>
      </w:pPr>
      <w:r>
        <w:rPr>
          <w:b/>
          <w:lang w:val="fr-CA"/>
        </w:rPr>
        <w:t xml:space="preserve">Aucune modification du fardeau administratif </w:t>
      </w:r>
      <w:r w:rsidR="00771FF7">
        <w:rPr>
          <w:b/>
          <w:lang w:val="fr-CA"/>
        </w:rPr>
        <w:t>imposé aux</w:t>
      </w:r>
      <w:r>
        <w:rPr>
          <w:b/>
          <w:lang w:val="fr-CA"/>
        </w:rPr>
        <w:t xml:space="preserve"> entreprises et aucun ajout ou suppression d</w:t>
      </w:r>
      <w:r w:rsidR="007C7A5F">
        <w:rPr>
          <w:b/>
          <w:lang w:val="fr-CA"/>
        </w:rPr>
        <w:t>e titre</w:t>
      </w:r>
      <w:r w:rsidRPr="00FA558D">
        <w:rPr>
          <w:b/>
          <w:lang w:val="fr-CA"/>
        </w:rPr>
        <w:t xml:space="preserve"> </w:t>
      </w:r>
    </w:p>
    <w:p w:rsidRPr="00FA558D" w:rsidR="00B91619" w:rsidP="00B91619" w:rsidRDefault="00B91619" w14:paraId="0A82AF49" w14:textId="29A1CA17">
      <w:pPr>
        <w:tabs>
          <w:tab w:val="left" w:pos="9356"/>
        </w:tabs>
        <w:spacing w:after="0" w:line="240" w:lineRule="auto"/>
        <w:rPr>
          <w:lang w:val="fr-CA"/>
        </w:rPr>
      </w:pPr>
      <w:r>
        <w:rPr>
          <w:lang w:val="fr-CA"/>
        </w:rPr>
        <w:t>Le projet</w:t>
      </w:r>
      <w:r w:rsidRPr="00FA558D">
        <w:rPr>
          <w:lang w:val="fr-CA"/>
        </w:rPr>
        <w:t xml:space="preserve"> </w:t>
      </w:r>
      <w:r>
        <w:rPr>
          <w:lang w:val="fr-CA"/>
        </w:rPr>
        <w:t xml:space="preserve">peut </w:t>
      </w:r>
      <w:proofErr w:type="gramStart"/>
      <w:r>
        <w:rPr>
          <w:lang w:val="fr-CA"/>
        </w:rPr>
        <w:t>avoir</w:t>
      </w:r>
      <w:proofErr w:type="gramEnd"/>
      <w:r>
        <w:rPr>
          <w:lang w:val="fr-CA"/>
        </w:rPr>
        <w:t xml:space="preserve"> des répercussions </w:t>
      </w:r>
      <w:r w:rsidR="007223BA">
        <w:rPr>
          <w:lang w:val="fr-CA"/>
        </w:rPr>
        <w:t>s</w:t>
      </w:r>
      <w:r>
        <w:rPr>
          <w:lang w:val="fr-CA"/>
        </w:rPr>
        <w:t>ur les entreprises, mais il n’entraîne aucune modification progressive du fardeau administratif</w:t>
      </w:r>
      <w:r w:rsidR="00B4147F">
        <w:rPr>
          <w:lang w:val="fr-CA"/>
        </w:rPr>
        <w:t>.</w:t>
      </w:r>
      <w:r w:rsidRPr="00FA558D">
        <w:rPr>
          <w:lang w:val="fr-CA"/>
        </w:rPr>
        <w:t xml:space="preserve"> </w:t>
      </w:r>
      <w:r w:rsidR="00B4147F">
        <w:rPr>
          <w:lang w:val="fr-CA"/>
        </w:rPr>
        <w:t>I</w:t>
      </w:r>
      <w:r>
        <w:rPr>
          <w:lang w:val="fr-CA"/>
        </w:rPr>
        <w:t>l n’y a aucun ajout ou suppression d</w:t>
      </w:r>
      <w:r w:rsidR="007C7A5F">
        <w:rPr>
          <w:lang w:val="fr-CA"/>
        </w:rPr>
        <w:t>e titre</w:t>
      </w:r>
      <w:r>
        <w:rPr>
          <w:lang w:val="fr-CA"/>
        </w:rPr>
        <w:t xml:space="preserve">, et le projet ne consiste pas à abroger un </w:t>
      </w:r>
      <w:r w:rsidR="007C7A5F">
        <w:rPr>
          <w:lang w:val="fr-CA"/>
        </w:rPr>
        <w:t>titre</w:t>
      </w:r>
      <w:r>
        <w:rPr>
          <w:lang w:val="fr-CA"/>
        </w:rPr>
        <w:t xml:space="preserve"> pour le remplacer par un autre</w:t>
      </w:r>
      <w:r w:rsidRPr="00FA558D">
        <w:rPr>
          <w:lang w:val="fr-CA"/>
        </w:rPr>
        <w:t xml:space="preserve">. </w:t>
      </w:r>
    </w:p>
    <w:p w:rsidRPr="00FA558D" w:rsidR="00B91619" w:rsidP="00B91619" w:rsidRDefault="00B91619" w14:paraId="528B3BF1" w14:textId="77777777">
      <w:pPr>
        <w:pStyle w:val="ListParagraph"/>
        <w:tabs>
          <w:tab w:val="left" w:pos="9356"/>
        </w:tabs>
        <w:spacing w:after="0" w:line="240" w:lineRule="auto"/>
        <w:ind w:left="426"/>
        <w:rPr>
          <w:lang w:val="fr-CA"/>
        </w:rPr>
      </w:pPr>
    </w:p>
    <w:p w:rsidRPr="00FA558D" w:rsidR="00B91619" w:rsidP="00B91619" w:rsidRDefault="00B91619" w14:paraId="42875DC6" w14:textId="5EC0CFD2">
      <w:pPr>
        <w:tabs>
          <w:tab w:val="left" w:pos="9356"/>
        </w:tabs>
        <w:spacing w:after="0" w:line="240" w:lineRule="auto"/>
        <w:rPr>
          <w:lang w:val="fr-CA"/>
        </w:rPr>
      </w:pPr>
      <w:r>
        <w:rPr>
          <w:lang w:val="fr-CA"/>
        </w:rPr>
        <w:t xml:space="preserve">Dans un tel </w:t>
      </w:r>
      <w:r w:rsidR="007C7A5F">
        <w:rPr>
          <w:lang w:val="fr-CA"/>
        </w:rPr>
        <w:t>scénario</w:t>
      </w:r>
      <w:r w:rsidRPr="00FA558D">
        <w:rPr>
          <w:lang w:val="fr-CA"/>
        </w:rPr>
        <w:t xml:space="preserve">, </w:t>
      </w: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ne s’applique pas</w:t>
      </w:r>
      <w:r w:rsidRPr="00FA558D">
        <w:rPr>
          <w:lang w:val="fr-CA"/>
        </w:rPr>
        <w:t xml:space="preserve"> </w:t>
      </w:r>
      <w:r>
        <w:rPr>
          <w:lang w:val="fr-CA"/>
        </w:rPr>
        <w:t xml:space="preserve">puisqu’il n’y a aucune modification progressive du fardeau administratif </w:t>
      </w:r>
      <w:r w:rsidR="007223BA">
        <w:rPr>
          <w:lang w:val="fr-CA"/>
        </w:rPr>
        <w:t>imposé aux</w:t>
      </w:r>
      <w:r>
        <w:rPr>
          <w:lang w:val="fr-CA"/>
        </w:rPr>
        <w:t xml:space="preserve"> entreprises</w:t>
      </w:r>
      <w:r w:rsidR="00352090">
        <w:rPr>
          <w:lang w:val="fr-CA"/>
        </w:rPr>
        <w:t xml:space="preserve"> et qu’aucun titre réglementaire n’est abrogé ou </w:t>
      </w:r>
      <w:r w:rsidR="00920343">
        <w:rPr>
          <w:lang w:val="fr-CA"/>
        </w:rPr>
        <w:t>pris</w:t>
      </w:r>
      <w:r w:rsidRPr="00FA558D">
        <w:rPr>
          <w:lang w:val="fr-CA"/>
        </w:rPr>
        <w:t>.</w:t>
      </w:r>
      <w:r>
        <w:rPr>
          <w:lang w:val="fr-CA"/>
        </w:rPr>
        <w:t> »</w:t>
      </w:r>
    </w:p>
    <w:p w:rsidRPr="00FA558D" w:rsidR="00B91619" w:rsidP="00B91619" w:rsidRDefault="00B91619" w14:paraId="5E254ADF" w14:textId="77777777">
      <w:pPr>
        <w:pStyle w:val="ListParagraph"/>
        <w:spacing w:after="0"/>
        <w:ind w:left="426"/>
        <w:rPr>
          <w:lang w:val="fr-CA"/>
        </w:rPr>
      </w:pPr>
    </w:p>
    <w:p w:rsidRPr="00FA558D" w:rsidR="00B91619" w:rsidP="00B91619" w:rsidRDefault="00B91619" w14:paraId="45DEF640" w14:textId="77777777">
      <w:pPr>
        <w:tabs>
          <w:tab w:val="left" w:pos="9356"/>
        </w:tabs>
        <w:spacing w:after="0" w:line="240" w:lineRule="auto"/>
        <w:rPr>
          <w:lang w:val="fr-CA"/>
        </w:rPr>
      </w:pPr>
    </w:p>
    <w:p w:rsidRPr="00FA558D" w:rsidR="00B91619" w:rsidP="00B91619" w:rsidRDefault="00B91619" w14:paraId="1599C174" w14:textId="77777777">
      <w:pPr>
        <w:pStyle w:val="Heading4"/>
        <w:rPr>
          <w:lang w:val="fr-CA"/>
        </w:rPr>
      </w:pPr>
      <w:r>
        <w:rPr>
          <w:lang w:val="fr-CA"/>
        </w:rPr>
        <w:t>La règle du « un pour un »</w:t>
      </w:r>
      <w:r w:rsidRPr="00FA558D">
        <w:rPr>
          <w:lang w:val="fr-CA"/>
        </w:rPr>
        <w:t xml:space="preserve"> </w:t>
      </w:r>
      <w:r>
        <w:rPr>
          <w:lang w:val="fr-CA"/>
        </w:rPr>
        <w:t>s’applique</w:t>
      </w:r>
    </w:p>
    <w:p w:rsidRPr="00FA558D" w:rsidR="00B91619" w:rsidP="00B91619" w:rsidRDefault="00B91619" w14:paraId="469F4E91" w14:textId="77777777">
      <w:pPr>
        <w:tabs>
          <w:tab w:val="left" w:pos="9356"/>
        </w:tabs>
        <w:spacing w:after="0" w:line="240" w:lineRule="auto"/>
        <w:rPr>
          <w:b/>
          <w:lang w:val="fr-CA"/>
        </w:rPr>
      </w:pPr>
    </w:p>
    <w:p w:rsidRPr="00FA558D" w:rsidR="00B91619" w:rsidP="00B91619" w:rsidRDefault="00B91619" w14:paraId="6895D8D4" w14:textId="5CF058D0">
      <w:pPr>
        <w:tabs>
          <w:tab w:val="left" w:pos="9356"/>
        </w:tabs>
        <w:spacing w:after="0" w:line="240" w:lineRule="auto"/>
        <w:rPr>
          <w:b/>
          <w:lang w:val="fr-CA"/>
        </w:rPr>
      </w:pPr>
      <w:r>
        <w:rPr>
          <w:b/>
          <w:lang w:val="fr-CA"/>
        </w:rPr>
        <w:t>L</w:t>
      </w:r>
      <w:r w:rsidR="00DC232E">
        <w:rPr>
          <w:b/>
          <w:lang w:val="fr-CA"/>
        </w:rPr>
        <w:t>’</w:t>
      </w:r>
      <w:r>
        <w:rPr>
          <w:b/>
          <w:lang w:val="fr-CA"/>
        </w:rPr>
        <w:t>élément</w:t>
      </w:r>
      <w:r w:rsidRPr="00FA558D">
        <w:rPr>
          <w:b/>
          <w:lang w:val="fr-CA"/>
        </w:rPr>
        <w:t xml:space="preserve"> A </w:t>
      </w:r>
      <w:r w:rsidR="005D5574">
        <w:rPr>
          <w:b/>
          <w:lang w:val="fr-CA"/>
        </w:rPr>
        <w:t>s’applique</w:t>
      </w:r>
    </w:p>
    <w:p w:rsidRPr="00FA558D" w:rsidR="00B91619" w:rsidP="00B91619" w:rsidRDefault="00B91619" w14:paraId="57AC3A25" w14:textId="1986E8E1">
      <w:pPr>
        <w:tabs>
          <w:tab w:val="left" w:pos="9356"/>
        </w:tabs>
        <w:spacing w:after="0" w:line="240" w:lineRule="auto"/>
        <w:rPr>
          <w:lang w:val="fr-CA"/>
        </w:rPr>
      </w:pPr>
      <w:r>
        <w:rPr>
          <w:lang w:val="fr-CA"/>
        </w:rPr>
        <w:t>Le projet</w:t>
      </w:r>
      <w:r w:rsidRPr="00FA558D">
        <w:rPr>
          <w:lang w:val="fr-CA"/>
        </w:rPr>
        <w:t xml:space="preserve"> </w:t>
      </w:r>
      <w:r w:rsidR="005D5574">
        <w:rPr>
          <w:lang w:val="fr-CA"/>
        </w:rPr>
        <w:t>augmente ou réduit le</w:t>
      </w:r>
      <w:r>
        <w:rPr>
          <w:lang w:val="fr-CA"/>
        </w:rPr>
        <w:t xml:space="preserve"> fardeau administratif progressif</w:t>
      </w:r>
      <w:r w:rsidRPr="00FA558D">
        <w:rPr>
          <w:lang w:val="fr-CA"/>
        </w:rPr>
        <w:t xml:space="preserve"> </w:t>
      </w:r>
      <w:r w:rsidR="005D5574">
        <w:rPr>
          <w:lang w:val="fr-CA"/>
        </w:rPr>
        <w:t xml:space="preserve">imposé </w:t>
      </w:r>
      <w:r w:rsidR="004C0F60">
        <w:rPr>
          <w:lang w:val="fr-CA"/>
        </w:rPr>
        <w:t>aux</w:t>
      </w:r>
      <w:r>
        <w:rPr>
          <w:lang w:val="fr-CA"/>
        </w:rPr>
        <w:t xml:space="preserve"> entreprises</w:t>
      </w:r>
      <w:r w:rsidRPr="00FA558D">
        <w:rPr>
          <w:lang w:val="fr-CA"/>
        </w:rPr>
        <w:t>.</w:t>
      </w:r>
      <w:r>
        <w:rPr>
          <w:lang w:val="fr-CA"/>
        </w:rPr>
        <w:t xml:space="preserve"> Dans la section sur la règle du « un pour un »</w:t>
      </w:r>
      <w:r w:rsidRPr="00FA558D">
        <w:rPr>
          <w:lang w:val="fr-CA"/>
        </w:rPr>
        <w:t xml:space="preserve">, </w:t>
      </w:r>
      <w:r w:rsidR="005D5574">
        <w:rPr>
          <w:lang w:val="fr-CA"/>
        </w:rPr>
        <w:t xml:space="preserve">il faut </w:t>
      </w:r>
      <w:r>
        <w:rPr>
          <w:lang w:val="fr-CA"/>
        </w:rPr>
        <w:t>indiquer</w:t>
      </w:r>
      <w:r w:rsidRPr="00FA558D">
        <w:rPr>
          <w:lang w:val="fr-CA"/>
        </w:rPr>
        <w:t xml:space="preserve"> </w:t>
      </w:r>
      <w:r>
        <w:rPr>
          <w:lang w:val="fr-CA"/>
        </w:rPr>
        <w:t>si</w:t>
      </w:r>
      <w:r w:rsidRPr="00FA558D">
        <w:rPr>
          <w:lang w:val="fr-CA"/>
        </w:rPr>
        <w:t xml:space="preserve"> </w:t>
      </w:r>
      <w:r>
        <w:rPr>
          <w:lang w:val="fr-CA"/>
        </w:rPr>
        <w:t xml:space="preserve">le règlement </w:t>
      </w:r>
      <w:r w:rsidR="005D5574">
        <w:rPr>
          <w:lang w:val="fr-CA"/>
        </w:rPr>
        <w:t>augmente ou réduit le</w:t>
      </w:r>
      <w:r>
        <w:rPr>
          <w:lang w:val="fr-CA"/>
        </w:rPr>
        <w:t xml:space="preserve"> fardeau</w:t>
      </w:r>
      <w:r w:rsidRPr="00FA558D">
        <w:rPr>
          <w:lang w:val="fr-CA"/>
        </w:rPr>
        <w:t xml:space="preserve"> </w:t>
      </w:r>
      <w:r>
        <w:rPr>
          <w:lang w:val="fr-CA"/>
        </w:rPr>
        <w:t>en vertu de la règle</w:t>
      </w:r>
      <w:r w:rsidRPr="00FA558D">
        <w:rPr>
          <w:lang w:val="fr-CA"/>
        </w:rPr>
        <w:t>,</w:t>
      </w:r>
      <w:r>
        <w:rPr>
          <w:lang w:val="fr-CA"/>
        </w:rPr>
        <w:t xml:space="preserve"> et la valeur de la modification du fardeau administratif</w:t>
      </w:r>
      <w:r w:rsidRPr="00FA558D">
        <w:rPr>
          <w:lang w:val="fr-CA"/>
        </w:rPr>
        <w:t>.</w:t>
      </w:r>
    </w:p>
    <w:p w:rsidRPr="00FA558D" w:rsidR="00B91619" w:rsidP="00B91619" w:rsidRDefault="00B91619" w14:paraId="053F8452" w14:textId="77777777">
      <w:pPr>
        <w:pStyle w:val="ListParagraph"/>
        <w:tabs>
          <w:tab w:val="left" w:pos="9356"/>
        </w:tabs>
        <w:spacing w:after="0" w:line="240" w:lineRule="auto"/>
        <w:ind w:left="426"/>
        <w:rPr>
          <w:lang w:val="fr-CA"/>
        </w:rPr>
      </w:pPr>
    </w:p>
    <w:p w:rsidRPr="00FA558D" w:rsidR="00B91619" w:rsidP="00B91619" w:rsidRDefault="00B91619" w14:paraId="70C40053" w14:textId="1C544262">
      <w:pPr>
        <w:tabs>
          <w:tab w:val="left" w:pos="9356"/>
        </w:tabs>
        <w:spacing w:after="0" w:line="240" w:lineRule="auto"/>
        <w:rPr>
          <w:lang w:val="fr-CA"/>
        </w:rPr>
      </w:pPr>
      <w:r>
        <w:rPr>
          <w:lang w:val="fr-CA"/>
        </w:rPr>
        <w:t xml:space="preserve">Dans un tel </w:t>
      </w:r>
      <w:r w:rsidR="005D5574">
        <w:rPr>
          <w:lang w:val="fr-CA"/>
        </w:rPr>
        <w:t>scénario</w:t>
      </w:r>
      <w:r w:rsidRPr="00FA558D">
        <w:rPr>
          <w:lang w:val="fr-CA"/>
        </w:rPr>
        <w:t xml:space="preserve">, </w:t>
      </w: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sidR="005D5574">
        <w:rPr>
          <w:lang w:val="fr-CA"/>
        </w:rPr>
        <w:t>s’</w:t>
      </w:r>
      <w:r>
        <w:rPr>
          <w:lang w:val="fr-CA"/>
        </w:rPr>
        <w:t>applique</w:t>
      </w:r>
      <w:r w:rsidRPr="00FA558D">
        <w:rPr>
          <w:lang w:val="fr-CA"/>
        </w:rPr>
        <w:t xml:space="preserve"> </w:t>
      </w:r>
      <w:r>
        <w:rPr>
          <w:lang w:val="fr-CA"/>
        </w:rPr>
        <w:t xml:space="preserve">puisqu’il y a </w:t>
      </w:r>
      <w:r w:rsidR="00986715">
        <w:rPr>
          <w:lang w:val="fr-CA"/>
        </w:rPr>
        <w:t xml:space="preserve">une </w:t>
      </w:r>
      <w:r>
        <w:rPr>
          <w:lang w:val="fr-CA"/>
        </w:rPr>
        <w:t xml:space="preserve">augmentation ou </w:t>
      </w:r>
      <w:r w:rsidR="00986715">
        <w:rPr>
          <w:lang w:val="fr-CA"/>
        </w:rPr>
        <w:t xml:space="preserve">une </w:t>
      </w:r>
      <w:r w:rsidR="005D5574">
        <w:rPr>
          <w:lang w:val="fr-CA"/>
        </w:rPr>
        <w:t>réduction</w:t>
      </w:r>
      <w:r>
        <w:rPr>
          <w:lang w:val="fr-CA"/>
        </w:rPr>
        <w:t xml:space="preserve"> progressive</w:t>
      </w:r>
      <w:r w:rsidRPr="00FA558D">
        <w:rPr>
          <w:lang w:val="fr-CA"/>
        </w:rPr>
        <w:t xml:space="preserve"> </w:t>
      </w:r>
      <w:r>
        <w:rPr>
          <w:lang w:val="fr-CA"/>
        </w:rPr>
        <w:t xml:space="preserve">du fardeau administratif </w:t>
      </w:r>
      <w:r w:rsidR="00986715">
        <w:rPr>
          <w:lang w:val="fr-CA"/>
        </w:rPr>
        <w:t>imposé aux</w:t>
      </w:r>
      <w:r>
        <w:rPr>
          <w:lang w:val="fr-CA"/>
        </w:rPr>
        <w:t xml:space="preserve"> entreprises</w:t>
      </w:r>
      <w:r w:rsidRPr="00FA558D">
        <w:rPr>
          <w:lang w:val="fr-CA"/>
        </w:rPr>
        <w:t>,</w:t>
      </w:r>
      <w:r>
        <w:rPr>
          <w:lang w:val="fr-CA"/>
        </w:rPr>
        <w:t xml:space="preserve"> et que le projet</w:t>
      </w:r>
      <w:r w:rsidRPr="00FA558D">
        <w:rPr>
          <w:lang w:val="fr-CA"/>
        </w:rPr>
        <w:t xml:space="preserve"> </w:t>
      </w:r>
      <w:r>
        <w:rPr>
          <w:lang w:val="fr-CA"/>
        </w:rPr>
        <w:t>augment</w:t>
      </w:r>
      <w:r w:rsidR="00986715">
        <w:rPr>
          <w:lang w:val="fr-CA"/>
        </w:rPr>
        <w:t>e</w:t>
      </w:r>
      <w:r>
        <w:rPr>
          <w:lang w:val="fr-CA"/>
        </w:rPr>
        <w:t xml:space="preserve"> ou </w:t>
      </w:r>
      <w:r w:rsidR="005D5574">
        <w:rPr>
          <w:lang w:val="fr-CA"/>
        </w:rPr>
        <w:t>réduit</w:t>
      </w:r>
      <w:r>
        <w:rPr>
          <w:lang w:val="fr-CA"/>
        </w:rPr>
        <w:t xml:space="preserve"> le fardeau</w:t>
      </w:r>
      <w:r w:rsidRPr="00FA558D">
        <w:rPr>
          <w:lang w:val="fr-CA"/>
        </w:rPr>
        <w:t xml:space="preserve"> </w:t>
      </w:r>
      <w:r>
        <w:rPr>
          <w:lang w:val="fr-CA"/>
        </w:rPr>
        <w:t>en vertu de la règle</w:t>
      </w:r>
      <w:r w:rsidRPr="00FA558D">
        <w:rPr>
          <w:lang w:val="fr-CA"/>
        </w:rPr>
        <w:t>.</w:t>
      </w:r>
      <w:r w:rsidR="0061375C">
        <w:rPr>
          <w:lang w:val="fr-CA"/>
        </w:rPr>
        <w:t xml:space="preserve"> Aucun titre réglementaire n’est abrogé ou </w:t>
      </w:r>
      <w:r w:rsidR="00D97296">
        <w:rPr>
          <w:lang w:val="fr-CA"/>
        </w:rPr>
        <w:t>pris</w:t>
      </w:r>
      <w:r w:rsidR="0061375C">
        <w:rPr>
          <w:lang w:val="fr-CA"/>
        </w:rPr>
        <w:t>.</w:t>
      </w:r>
      <w:r>
        <w:rPr>
          <w:lang w:val="fr-CA"/>
        </w:rPr>
        <w:t> »</w:t>
      </w:r>
    </w:p>
    <w:p w:rsidRPr="00FA558D" w:rsidR="00B91619" w:rsidP="00B91619" w:rsidRDefault="00B91619" w14:paraId="2A4D5562" w14:textId="77777777">
      <w:pPr>
        <w:pStyle w:val="ListParagraph"/>
        <w:tabs>
          <w:tab w:val="left" w:pos="9356"/>
        </w:tabs>
        <w:spacing w:after="0" w:line="240" w:lineRule="auto"/>
        <w:ind w:left="360"/>
        <w:rPr>
          <w:lang w:val="fr-CA"/>
        </w:rPr>
      </w:pPr>
    </w:p>
    <w:p w:rsidRPr="00FA558D" w:rsidR="00B91619" w:rsidP="00B91619" w:rsidRDefault="00B91619" w14:paraId="73D1535C" w14:textId="07D13C15">
      <w:pPr>
        <w:tabs>
          <w:tab w:val="left" w:pos="9356"/>
        </w:tabs>
        <w:spacing w:after="0" w:line="240" w:lineRule="auto"/>
        <w:rPr>
          <w:lang w:val="fr-CA"/>
        </w:rPr>
      </w:pPr>
      <w:r>
        <w:rPr>
          <w:lang w:val="fr-CA"/>
        </w:rPr>
        <w:t>Cet énoncé</w:t>
      </w:r>
      <w:r w:rsidRPr="00FA558D">
        <w:rPr>
          <w:lang w:val="fr-CA"/>
        </w:rPr>
        <w:t xml:space="preserve"> </w:t>
      </w:r>
      <w:r w:rsidR="006137DA">
        <w:rPr>
          <w:lang w:val="fr-CA"/>
        </w:rPr>
        <w:t>serait</w:t>
      </w:r>
      <w:r>
        <w:rPr>
          <w:lang w:val="fr-CA"/>
        </w:rPr>
        <w:t xml:space="preserve"> suivi</w:t>
      </w:r>
      <w:r w:rsidRPr="00FA558D">
        <w:rPr>
          <w:lang w:val="fr-CA"/>
        </w:rPr>
        <w:t xml:space="preserve"> </w:t>
      </w:r>
      <w:r w:rsidR="006137DA">
        <w:rPr>
          <w:lang w:val="fr-CA"/>
        </w:rPr>
        <w:t>de</w:t>
      </w:r>
      <w:r>
        <w:rPr>
          <w:lang w:val="fr-CA"/>
        </w:rPr>
        <w:t xml:space="preserve"> l’analyse</w:t>
      </w:r>
      <w:r w:rsidRPr="00FA558D">
        <w:rPr>
          <w:lang w:val="fr-CA"/>
        </w:rPr>
        <w:t xml:space="preserve"> </w:t>
      </w:r>
      <w:r>
        <w:rPr>
          <w:lang w:val="fr-CA"/>
        </w:rPr>
        <w:t>menée selon les exigences</w:t>
      </w:r>
      <w:r w:rsidRPr="00FA558D">
        <w:rPr>
          <w:lang w:val="fr-CA"/>
        </w:rPr>
        <w:t xml:space="preserve">, </w:t>
      </w:r>
      <w:r>
        <w:rPr>
          <w:lang w:val="fr-CA"/>
        </w:rPr>
        <w:t>incluant</w:t>
      </w:r>
      <w:r w:rsidRPr="00FA558D">
        <w:rPr>
          <w:lang w:val="fr-CA"/>
        </w:rPr>
        <w:t xml:space="preserve"> </w:t>
      </w:r>
      <w:r>
        <w:rPr>
          <w:lang w:val="fr-CA"/>
        </w:rPr>
        <w:t>la modification nette du fardeau administratif</w:t>
      </w:r>
      <w:r w:rsidRPr="00FA558D">
        <w:rPr>
          <w:lang w:val="fr-CA"/>
        </w:rPr>
        <w:t xml:space="preserve">. </w:t>
      </w:r>
    </w:p>
    <w:p w:rsidRPr="00FA558D" w:rsidR="00B91619" w:rsidP="00B91619" w:rsidRDefault="00B91619" w14:paraId="4077EA8E" w14:textId="77777777">
      <w:pPr>
        <w:tabs>
          <w:tab w:val="left" w:pos="9356"/>
        </w:tabs>
        <w:spacing w:after="0" w:line="240" w:lineRule="auto"/>
        <w:rPr>
          <w:lang w:val="fr-CA"/>
        </w:rPr>
      </w:pPr>
    </w:p>
    <w:p w:rsidRPr="00FA558D" w:rsidR="00B91619" w:rsidP="00B91619" w:rsidRDefault="00B91619" w14:paraId="536E2645" w14:textId="7FB0F668">
      <w:pPr>
        <w:tabs>
          <w:tab w:val="left" w:pos="9356"/>
        </w:tabs>
        <w:spacing w:after="0" w:line="240" w:lineRule="auto"/>
        <w:rPr>
          <w:lang w:val="fr-CA"/>
        </w:rPr>
      </w:pPr>
      <w:r>
        <w:rPr>
          <w:b/>
          <w:lang w:val="fr-CA"/>
        </w:rPr>
        <w:t>L</w:t>
      </w:r>
      <w:r w:rsidR="00DC027D">
        <w:rPr>
          <w:b/>
          <w:lang w:val="fr-CA"/>
        </w:rPr>
        <w:t>es</w:t>
      </w:r>
      <w:r>
        <w:rPr>
          <w:b/>
          <w:lang w:val="fr-CA"/>
        </w:rPr>
        <w:t xml:space="preserve"> élément</w:t>
      </w:r>
      <w:r w:rsidRPr="00FA558D">
        <w:rPr>
          <w:b/>
          <w:lang w:val="fr-CA"/>
        </w:rPr>
        <w:t>s A</w:t>
      </w:r>
      <w:r>
        <w:rPr>
          <w:b/>
          <w:lang w:val="fr-CA"/>
        </w:rPr>
        <w:t xml:space="preserve"> et </w:t>
      </w:r>
      <w:r w:rsidRPr="00FA558D">
        <w:rPr>
          <w:b/>
          <w:lang w:val="fr-CA"/>
        </w:rPr>
        <w:t>B</w:t>
      </w:r>
      <w:r>
        <w:rPr>
          <w:b/>
          <w:lang w:val="fr-CA"/>
        </w:rPr>
        <w:t xml:space="preserve"> </w:t>
      </w:r>
      <w:r w:rsidR="00DC027D">
        <w:rPr>
          <w:b/>
          <w:lang w:val="fr-CA"/>
        </w:rPr>
        <w:t>s’appliquent</w:t>
      </w:r>
      <w:r w:rsidRPr="00FA558D">
        <w:rPr>
          <w:lang w:val="fr-CA"/>
        </w:rPr>
        <w:t xml:space="preserve"> </w:t>
      </w:r>
    </w:p>
    <w:p w:rsidRPr="00FA558D" w:rsidR="00B91619" w:rsidP="00B91619" w:rsidRDefault="00B91619" w14:paraId="43BF195B" w14:textId="77777777">
      <w:pPr>
        <w:tabs>
          <w:tab w:val="left" w:pos="9356"/>
        </w:tabs>
        <w:spacing w:after="0" w:line="240" w:lineRule="auto"/>
        <w:rPr>
          <w:lang w:val="fr-CA"/>
        </w:rPr>
      </w:pPr>
      <w:r>
        <w:rPr>
          <w:lang w:val="fr-CA"/>
        </w:rPr>
        <w:t>Le projet</w:t>
      </w:r>
      <w:r w:rsidRPr="00FA558D">
        <w:rPr>
          <w:lang w:val="fr-CA"/>
        </w:rPr>
        <w:t xml:space="preserve"> </w:t>
      </w:r>
      <w:r>
        <w:rPr>
          <w:lang w:val="fr-CA"/>
        </w:rPr>
        <w:t>remplit l’une des deux conditions ci-après :</w:t>
      </w:r>
    </w:p>
    <w:p w:rsidRPr="00FA558D" w:rsidR="00B91619" w:rsidP="00B91619" w:rsidRDefault="00702F86" w14:paraId="153C8E4E" w14:textId="33DB0A46">
      <w:pPr>
        <w:pStyle w:val="ListParagraph"/>
        <w:numPr>
          <w:ilvl w:val="0"/>
          <w:numId w:val="10"/>
        </w:numPr>
        <w:tabs>
          <w:tab w:val="left" w:pos="9356"/>
        </w:tabs>
        <w:spacing w:after="0" w:line="240" w:lineRule="auto"/>
        <w:rPr>
          <w:lang w:val="fr-CA"/>
        </w:rPr>
      </w:pPr>
      <w:proofErr w:type="gramStart"/>
      <w:r>
        <w:rPr>
          <w:lang w:val="fr-CA"/>
        </w:rPr>
        <w:t>i</w:t>
      </w:r>
      <w:r w:rsidR="00B91619">
        <w:rPr>
          <w:lang w:val="fr-CA"/>
        </w:rPr>
        <w:t>l</w:t>
      </w:r>
      <w:proofErr w:type="gramEnd"/>
      <w:r w:rsidR="00B91619">
        <w:rPr>
          <w:lang w:val="fr-CA"/>
        </w:rPr>
        <w:t xml:space="preserve"> </w:t>
      </w:r>
      <w:r w:rsidRPr="00FA558D" w:rsidR="00B91619">
        <w:rPr>
          <w:lang w:val="fr-CA"/>
        </w:rPr>
        <w:t>intro</w:t>
      </w:r>
      <w:r w:rsidR="00B91619">
        <w:rPr>
          <w:lang w:val="fr-CA"/>
        </w:rPr>
        <w:t>duit un nouveau titre réglementaire qui entraîne</w:t>
      </w:r>
      <w:r w:rsidRPr="00FA558D" w:rsidR="00B91619">
        <w:rPr>
          <w:lang w:val="fr-CA"/>
        </w:rPr>
        <w:t xml:space="preserve"> </w:t>
      </w:r>
      <w:r w:rsidR="00B91619">
        <w:rPr>
          <w:lang w:val="fr-CA"/>
        </w:rPr>
        <w:t xml:space="preserve">une modification progressive du fardeau administratif </w:t>
      </w:r>
      <w:r>
        <w:rPr>
          <w:lang w:val="fr-CA"/>
        </w:rPr>
        <w:t>imposé aux</w:t>
      </w:r>
      <w:r w:rsidR="00B91619">
        <w:rPr>
          <w:lang w:val="fr-CA"/>
        </w:rPr>
        <w:t xml:space="preserve"> entreprises</w:t>
      </w:r>
      <w:r>
        <w:rPr>
          <w:lang w:val="fr-CA"/>
        </w:rPr>
        <w:t>;</w:t>
      </w:r>
    </w:p>
    <w:p w:rsidRPr="00FA558D" w:rsidR="00B91619" w:rsidP="00B91619" w:rsidRDefault="00B91619" w14:paraId="4F2BFC6F" w14:textId="4915A910">
      <w:pPr>
        <w:pStyle w:val="ListParagraph"/>
        <w:numPr>
          <w:ilvl w:val="0"/>
          <w:numId w:val="10"/>
        </w:numPr>
        <w:tabs>
          <w:tab w:val="left" w:pos="9356"/>
        </w:tabs>
        <w:spacing w:after="0" w:line="240" w:lineRule="auto"/>
        <w:rPr>
          <w:lang w:val="fr-CA"/>
        </w:rPr>
      </w:pPr>
      <w:proofErr w:type="gramStart"/>
      <w:r>
        <w:rPr>
          <w:lang w:val="fr-CA"/>
        </w:rPr>
        <w:t>il</w:t>
      </w:r>
      <w:proofErr w:type="gramEnd"/>
      <w:r>
        <w:rPr>
          <w:lang w:val="fr-CA"/>
        </w:rPr>
        <w:t xml:space="preserve"> supprime</w:t>
      </w:r>
      <w:r w:rsidRPr="00FA558D">
        <w:rPr>
          <w:lang w:val="fr-CA"/>
        </w:rPr>
        <w:t xml:space="preserve"> </w:t>
      </w:r>
      <w:r>
        <w:rPr>
          <w:lang w:val="fr-CA"/>
        </w:rPr>
        <w:t>un titre réglementaire existant qui entraîne</w:t>
      </w:r>
      <w:r w:rsidRPr="00FA558D">
        <w:rPr>
          <w:lang w:val="fr-CA"/>
        </w:rPr>
        <w:t xml:space="preserve"> </w:t>
      </w:r>
      <w:r>
        <w:rPr>
          <w:lang w:val="fr-CA"/>
        </w:rPr>
        <w:t xml:space="preserve">une modification progressive du fardeau administratif </w:t>
      </w:r>
      <w:r w:rsidR="00702F86">
        <w:rPr>
          <w:lang w:val="fr-CA"/>
        </w:rPr>
        <w:t>imposé aux</w:t>
      </w:r>
      <w:r>
        <w:rPr>
          <w:lang w:val="fr-CA"/>
        </w:rPr>
        <w:t xml:space="preserve"> entreprises</w:t>
      </w:r>
      <w:r w:rsidR="008105D7">
        <w:rPr>
          <w:lang w:val="fr-CA"/>
        </w:rPr>
        <w:t>.</w:t>
      </w:r>
    </w:p>
    <w:p w:rsidRPr="00FA558D" w:rsidR="00B91619" w:rsidP="00B91619" w:rsidRDefault="00B91619" w14:paraId="65800DB5" w14:textId="77777777">
      <w:pPr>
        <w:pStyle w:val="ListParagraph"/>
        <w:tabs>
          <w:tab w:val="left" w:pos="9356"/>
        </w:tabs>
        <w:spacing w:after="0" w:line="240" w:lineRule="auto"/>
        <w:ind w:left="426"/>
        <w:rPr>
          <w:lang w:val="fr-CA"/>
        </w:rPr>
      </w:pPr>
    </w:p>
    <w:p w:rsidRPr="00FA558D" w:rsidR="00B91619" w:rsidP="00B91619" w:rsidRDefault="00B91619" w14:paraId="7C9ABB5B" w14:textId="1BE3C820">
      <w:pPr>
        <w:tabs>
          <w:tab w:val="left" w:pos="9356"/>
        </w:tabs>
        <w:spacing w:after="0" w:line="240" w:lineRule="auto"/>
        <w:rPr>
          <w:lang w:val="fr-CA"/>
        </w:rPr>
      </w:pPr>
      <w:r>
        <w:rPr>
          <w:lang w:val="fr-CA"/>
        </w:rPr>
        <w:t>Si le</w:t>
      </w:r>
      <w:r w:rsidRPr="00FA558D">
        <w:rPr>
          <w:lang w:val="fr-CA"/>
        </w:rPr>
        <w:t xml:space="preserve"> </w:t>
      </w:r>
      <w:r>
        <w:rPr>
          <w:lang w:val="fr-CA"/>
        </w:rPr>
        <w:t>projet</w:t>
      </w:r>
      <w:r w:rsidRPr="00FA558D">
        <w:rPr>
          <w:lang w:val="fr-CA"/>
        </w:rPr>
        <w:t xml:space="preserve"> </w:t>
      </w:r>
      <w:r>
        <w:rPr>
          <w:lang w:val="fr-CA"/>
        </w:rPr>
        <w:t>est considéré</w:t>
      </w:r>
      <w:r w:rsidRPr="00FA558D">
        <w:rPr>
          <w:lang w:val="fr-CA"/>
        </w:rPr>
        <w:t xml:space="preserve"> </w:t>
      </w:r>
      <w:r>
        <w:rPr>
          <w:lang w:val="fr-CA"/>
        </w:rPr>
        <w:t xml:space="preserve">comme </w:t>
      </w:r>
      <w:r w:rsidR="00702F86">
        <w:rPr>
          <w:lang w:val="fr-CA"/>
        </w:rPr>
        <w:t>un</w:t>
      </w:r>
      <w:r w:rsidR="003B6D68">
        <w:rPr>
          <w:lang w:val="fr-CA"/>
        </w:rPr>
        <w:t xml:space="preserve"> ajout de titre</w:t>
      </w:r>
      <w:r>
        <w:rPr>
          <w:lang w:val="fr-CA"/>
        </w:rPr>
        <w:t xml:space="preserve"> s</w:t>
      </w:r>
      <w:r w:rsidR="003B6D68">
        <w:rPr>
          <w:lang w:val="fr-CA"/>
        </w:rPr>
        <w:t>ous</w:t>
      </w:r>
      <w:r>
        <w:rPr>
          <w:lang w:val="fr-CA"/>
        </w:rPr>
        <w:t xml:space="preserve"> l’élément B</w:t>
      </w:r>
      <w:r w:rsidRPr="00FA558D">
        <w:rPr>
          <w:lang w:val="fr-CA"/>
        </w:rPr>
        <w:t xml:space="preserve">, </w:t>
      </w:r>
      <w:r>
        <w:rPr>
          <w:lang w:val="fr-CA"/>
        </w:rPr>
        <w:t xml:space="preserve">il </w:t>
      </w:r>
      <w:r w:rsidR="00702F86">
        <w:rPr>
          <w:lang w:val="fr-CA"/>
        </w:rPr>
        <w:t xml:space="preserve">entraînera </w:t>
      </w:r>
      <w:r>
        <w:rPr>
          <w:lang w:val="fr-CA"/>
        </w:rPr>
        <w:t xml:space="preserve">aussi nécessairement </w:t>
      </w:r>
      <w:r w:rsidR="00702F86">
        <w:rPr>
          <w:lang w:val="fr-CA"/>
        </w:rPr>
        <w:t xml:space="preserve">l’application de </w:t>
      </w:r>
      <w:r>
        <w:rPr>
          <w:lang w:val="fr-CA"/>
        </w:rPr>
        <w:t>l’élément</w:t>
      </w:r>
      <w:r w:rsidRPr="00FA558D">
        <w:rPr>
          <w:lang w:val="fr-CA"/>
        </w:rPr>
        <w:t> </w:t>
      </w:r>
      <w:r>
        <w:rPr>
          <w:lang w:val="fr-CA"/>
        </w:rPr>
        <w:t>A</w:t>
      </w:r>
      <w:r w:rsidRPr="00FA558D">
        <w:rPr>
          <w:lang w:val="fr-CA"/>
        </w:rPr>
        <w:t xml:space="preserve">. </w:t>
      </w:r>
      <w:r>
        <w:rPr>
          <w:lang w:val="fr-CA"/>
        </w:rPr>
        <w:t xml:space="preserve">Dans un tel </w:t>
      </w:r>
      <w:r w:rsidR="003B6D68">
        <w:rPr>
          <w:lang w:val="fr-CA"/>
        </w:rPr>
        <w:t>scénario</w:t>
      </w:r>
      <w:r w:rsidRPr="00FA558D">
        <w:rPr>
          <w:lang w:val="fr-CA"/>
        </w:rPr>
        <w:t xml:space="preserve">, </w:t>
      </w: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s’applique en raison</w:t>
      </w:r>
      <w:r w:rsidR="00702F86">
        <w:rPr>
          <w:lang w:val="fr-CA"/>
        </w:rPr>
        <w:t xml:space="preserve"> de l’</w:t>
      </w:r>
      <w:r>
        <w:rPr>
          <w:lang w:val="fr-CA"/>
        </w:rPr>
        <w:t>augmentation</w:t>
      </w:r>
      <w:r w:rsidR="00702F86">
        <w:rPr>
          <w:lang w:val="fr-CA"/>
        </w:rPr>
        <w:t xml:space="preserve"> ou de la </w:t>
      </w:r>
      <w:r w:rsidR="003B6D68">
        <w:rPr>
          <w:lang w:val="fr-CA"/>
        </w:rPr>
        <w:t>réduction</w:t>
      </w:r>
      <w:r>
        <w:rPr>
          <w:lang w:val="fr-CA"/>
        </w:rPr>
        <w:t xml:space="preserve"> progressive</w:t>
      </w:r>
      <w:r w:rsidRPr="00FA558D">
        <w:rPr>
          <w:lang w:val="fr-CA"/>
        </w:rPr>
        <w:t xml:space="preserve"> </w:t>
      </w:r>
      <w:r>
        <w:rPr>
          <w:lang w:val="fr-CA"/>
        </w:rPr>
        <w:t xml:space="preserve">du fardeau administratif </w:t>
      </w:r>
      <w:r w:rsidR="00702F86">
        <w:rPr>
          <w:lang w:val="fr-CA"/>
        </w:rPr>
        <w:t>imposé aux</w:t>
      </w:r>
      <w:r>
        <w:rPr>
          <w:lang w:val="fr-CA"/>
        </w:rPr>
        <w:t xml:space="preserve"> entreprises</w:t>
      </w:r>
      <w:r w:rsidRPr="00FA558D">
        <w:rPr>
          <w:lang w:val="fr-CA"/>
        </w:rPr>
        <w:t>,</w:t>
      </w:r>
      <w:r>
        <w:rPr>
          <w:lang w:val="fr-CA"/>
        </w:rPr>
        <w:t xml:space="preserve"> et de l’ajout d’un nouveau titre réglementaire</w:t>
      </w:r>
      <w:r w:rsidRPr="00FA558D">
        <w:rPr>
          <w:lang w:val="fr-CA"/>
        </w:rPr>
        <w:t>.</w:t>
      </w:r>
      <w:r>
        <w:rPr>
          <w:lang w:val="fr-CA"/>
        </w:rPr>
        <w:t> »</w:t>
      </w:r>
    </w:p>
    <w:p w:rsidRPr="00FA558D" w:rsidR="00B91619" w:rsidP="00B91619" w:rsidRDefault="00B91619" w14:paraId="571293C2" w14:textId="77777777">
      <w:pPr>
        <w:pStyle w:val="ListParagraph"/>
        <w:tabs>
          <w:tab w:val="left" w:pos="9356"/>
        </w:tabs>
        <w:spacing w:after="0" w:line="240" w:lineRule="auto"/>
        <w:ind w:left="426"/>
        <w:rPr>
          <w:lang w:val="fr-CA"/>
        </w:rPr>
      </w:pPr>
    </w:p>
    <w:p w:rsidRPr="00FA558D" w:rsidR="00B91619" w:rsidP="00B91619" w:rsidRDefault="00B91619" w14:paraId="7EBB637F" w14:textId="4139EE2A">
      <w:pPr>
        <w:tabs>
          <w:tab w:val="left" w:pos="9356"/>
        </w:tabs>
        <w:spacing w:after="0" w:line="240" w:lineRule="auto"/>
        <w:rPr>
          <w:lang w:val="fr-CA"/>
        </w:rPr>
      </w:pPr>
      <w:r>
        <w:rPr>
          <w:lang w:val="fr-CA"/>
        </w:rPr>
        <w:t>Si le</w:t>
      </w:r>
      <w:r w:rsidRPr="00FA558D">
        <w:rPr>
          <w:lang w:val="fr-CA"/>
        </w:rPr>
        <w:t xml:space="preserve"> </w:t>
      </w:r>
      <w:r>
        <w:rPr>
          <w:lang w:val="fr-CA"/>
        </w:rPr>
        <w:t>projet</w:t>
      </w:r>
      <w:r w:rsidRPr="00FA558D">
        <w:rPr>
          <w:lang w:val="fr-CA"/>
        </w:rPr>
        <w:t xml:space="preserve"> </w:t>
      </w:r>
      <w:r>
        <w:rPr>
          <w:lang w:val="fr-CA"/>
        </w:rPr>
        <w:t>supprime</w:t>
      </w:r>
      <w:r w:rsidRPr="00FA558D">
        <w:rPr>
          <w:lang w:val="fr-CA"/>
        </w:rPr>
        <w:t xml:space="preserve"> </w:t>
      </w:r>
      <w:r>
        <w:rPr>
          <w:lang w:val="fr-CA"/>
        </w:rPr>
        <w:t>un règlement existant et entraîne</w:t>
      </w:r>
      <w:r w:rsidRPr="00FA558D">
        <w:rPr>
          <w:lang w:val="fr-CA"/>
        </w:rPr>
        <w:t xml:space="preserve"> </w:t>
      </w:r>
      <w:r>
        <w:rPr>
          <w:lang w:val="fr-CA"/>
        </w:rPr>
        <w:t xml:space="preserve">une augmentation ou une </w:t>
      </w:r>
      <w:r w:rsidR="008553FB">
        <w:rPr>
          <w:lang w:val="fr-CA"/>
        </w:rPr>
        <w:t xml:space="preserve">réduction </w:t>
      </w:r>
      <w:r>
        <w:rPr>
          <w:lang w:val="fr-CA"/>
        </w:rPr>
        <w:t xml:space="preserve">progressive du fardeau administratif </w:t>
      </w:r>
      <w:r w:rsidR="00702F86">
        <w:rPr>
          <w:lang w:val="fr-CA"/>
        </w:rPr>
        <w:t>imposé aux</w:t>
      </w:r>
      <w:r>
        <w:rPr>
          <w:lang w:val="fr-CA"/>
        </w:rPr>
        <w:t xml:space="preserve"> entreprises</w:t>
      </w:r>
      <w:r w:rsidRPr="00FA558D">
        <w:rPr>
          <w:lang w:val="fr-CA"/>
        </w:rPr>
        <w:t xml:space="preserve">, </w:t>
      </w:r>
      <w:r>
        <w:rPr>
          <w:lang w:val="fr-CA"/>
        </w:rPr>
        <w:t>la section sur la règle du « un pour un » du</w:t>
      </w:r>
      <w:r w:rsidR="00702F86">
        <w:rPr>
          <w:lang w:val="fr-CA"/>
        </w:rPr>
        <w:t> </w:t>
      </w:r>
      <w:r>
        <w:rPr>
          <w:lang w:val="fr-CA"/>
        </w:rPr>
        <w:t>REIR</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Pr>
          <w:lang w:val="fr-CA"/>
        </w:rPr>
        <w:t xml:space="preserve"> </w:t>
      </w:r>
      <w:r w:rsidR="00702F86">
        <w:rPr>
          <w:lang w:val="fr-CA"/>
        </w:rPr>
        <w:t xml:space="preserve">s’applique </w:t>
      </w:r>
      <w:r>
        <w:rPr>
          <w:lang w:val="fr-CA"/>
        </w:rPr>
        <w:t>en raison d’une augmentation</w:t>
      </w:r>
      <w:r w:rsidR="00702F86">
        <w:rPr>
          <w:lang w:val="fr-CA"/>
        </w:rPr>
        <w:t xml:space="preserve"> ou d’une </w:t>
      </w:r>
      <w:r w:rsidR="008553FB">
        <w:rPr>
          <w:lang w:val="fr-CA"/>
        </w:rPr>
        <w:t xml:space="preserve">réduction </w:t>
      </w:r>
      <w:r>
        <w:rPr>
          <w:lang w:val="fr-CA"/>
        </w:rPr>
        <w:t>progressive</w:t>
      </w:r>
      <w:r w:rsidRPr="00FA558D">
        <w:rPr>
          <w:lang w:val="fr-CA"/>
        </w:rPr>
        <w:t xml:space="preserve"> </w:t>
      </w:r>
      <w:r>
        <w:rPr>
          <w:lang w:val="fr-CA"/>
        </w:rPr>
        <w:t xml:space="preserve">du fardeau administratif </w:t>
      </w:r>
      <w:r w:rsidR="00702F86">
        <w:rPr>
          <w:lang w:val="fr-CA"/>
        </w:rPr>
        <w:t>imposé aux</w:t>
      </w:r>
      <w:r>
        <w:rPr>
          <w:lang w:val="fr-CA"/>
        </w:rPr>
        <w:t xml:space="preserve"> entreprises</w:t>
      </w:r>
      <w:r w:rsidRPr="00FA558D">
        <w:rPr>
          <w:lang w:val="fr-CA"/>
        </w:rPr>
        <w:t>,</w:t>
      </w:r>
      <w:r>
        <w:rPr>
          <w:lang w:val="fr-CA"/>
        </w:rPr>
        <w:t xml:space="preserve"> et de l</w:t>
      </w:r>
      <w:r w:rsidR="0000070B">
        <w:rPr>
          <w:lang w:val="fr-CA"/>
        </w:rPr>
        <w:t xml:space="preserve">’abrogation </w:t>
      </w:r>
      <w:r>
        <w:rPr>
          <w:lang w:val="fr-CA"/>
        </w:rPr>
        <w:t xml:space="preserve">d’un </w:t>
      </w:r>
      <w:r w:rsidR="008553FB">
        <w:rPr>
          <w:lang w:val="fr-CA"/>
        </w:rPr>
        <w:t xml:space="preserve">titre </w:t>
      </w:r>
      <w:r>
        <w:rPr>
          <w:lang w:val="fr-CA"/>
        </w:rPr>
        <w:t xml:space="preserve">existant </w:t>
      </w:r>
      <w:r w:rsidRPr="00FA558D">
        <w:rPr>
          <w:lang w:val="fr-CA"/>
        </w:rPr>
        <w:t>(</w:t>
      </w:r>
      <w:r w:rsidR="00411BD6">
        <w:rPr>
          <w:lang w:val="fr-CA"/>
        </w:rPr>
        <w:t>suppression</w:t>
      </w:r>
      <w:r>
        <w:rPr>
          <w:lang w:val="fr-CA"/>
        </w:rPr>
        <w:t xml:space="preserve"> d’un </w:t>
      </w:r>
      <w:r w:rsidR="008553FB">
        <w:rPr>
          <w:lang w:val="fr-CA"/>
        </w:rPr>
        <w:t>titre</w:t>
      </w:r>
      <w:r w:rsidRPr="00FA558D">
        <w:rPr>
          <w:lang w:val="fr-CA"/>
        </w:rPr>
        <w:t>).</w:t>
      </w:r>
      <w:r>
        <w:rPr>
          <w:lang w:val="fr-CA"/>
        </w:rPr>
        <w:t> »</w:t>
      </w:r>
    </w:p>
    <w:p w:rsidRPr="00FA558D" w:rsidR="00B91619" w:rsidP="00B91619" w:rsidRDefault="00B91619" w14:paraId="75E50029" w14:textId="77777777">
      <w:pPr>
        <w:tabs>
          <w:tab w:val="left" w:pos="9356"/>
        </w:tabs>
        <w:spacing w:after="0" w:line="240" w:lineRule="auto"/>
        <w:rPr>
          <w:lang w:val="fr-CA"/>
        </w:rPr>
      </w:pPr>
    </w:p>
    <w:p w:rsidRPr="00FA558D" w:rsidR="00B91619" w:rsidP="00B91619" w:rsidRDefault="00B91619" w14:paraId="6D441CDA" w14:textId="59467135">
      <w:pPr>
        <w:tabs>
          <w:tab w:val="left" w:pos="9356"/>
        </w:tabs>
        <w:spacing w:after="0" w:line="240" w:lineRule="auto"/>
        <w:rPr>
          <w:lang w:val="fr-CA"/>
        </w:rPr>
      </w:pPr>
      <w:r>
        <w:rPr>
          <w:lang w:val="fr-CA"/>
        </w:rPr>
        <w:t>L’énoncé applicable</w:t>
      </w:r>
      <w:r w:rsidRPr="00FA558D">
        <w:rPr>
          <w:lang w:val="fr-CA"/>
        </w:rPr>
        <w:t xml:space="preserve"> </w:t>
      </w:r>
      <w:r w:rsidR="00926814">
        <w:rPr>
          <w:lang w:val="fr-CA"/>
        </w:rPr>
        <w:t>serait</w:t>
      </w:r>
      <w:r>
        <w:rPr>
          <w:lang w:val="fr-CA"/>
        </w:rPr>
        <w:t xml:space="preserve"> suivi</w:t>
      </w:r>
      <w:r w:rsidRPr="00FA558D">
        <w:rPr>
          <w:lang w:val="fr-CA"/>
        </w:rPr>
        <w:t xml:space="preserve"> </w:t>
      </w:r>
      <w:r w:rsidR="006137DA">
        <w:rPr>
          <w:lang w:val="fr-CA"/>
        </w:rPr>
        <w:t>de</w:t>
      </w:r>
      <w:r>
        <w:rPr>
          <w:lang w:val="fr-CA"/>
        </w:rPr>
        <w:t xml:space="preserve"> l’analyse</w:t>
      </w:r>
      <w:r w:rsidRPr="00FA558D">
        <w:rPr>
          <w:lang w:val="fr-CA"/>
        </w:rPr>
        <w:t xml:space="preserve"> </w:t>
      </w:r>
      <w:r>
        <w:rPr>
          <w:lang w:val="fr-CA"/>
        </w:rPr>
        <w:t>menée selon les exigences</w:t>
      </w:r>
      <w:r w:rsidRPr="00FA558D">
        <w:rPr>
          <w:lang w:val="fr-CA"/>
        </w:rPr>
        <w:t xml:space="preserve">, </w:t>
      </w:r>
      <w:r>
        <w:rPr>
          <w:lang w:val="fr-CA"/>
        </w:rPr>
        <w:t>incluant</w:t>
      </w:r>
      <w:r w:rsidRPr="00FA558D">
        <w:rPr>
          <w:lang w:val="fr-CA"/>
        </w:rPr>
        <w:t xml:space="preserve"> </w:t>
      </w:r>
      <w:r>
        <w:rPr>
          <w:lang w:val="fr-CA"/>
        </w:rPr>
        <w:t>la modification nette du fardeau administratif</w:t>
      </w:r>
      <w:r w:rsidRPr="00FA558D">
        <w:rPr>
          <w:lang w:val="fr-CA"/>
        </w:rPr>
        <w:t>.</w:t>
      </w:r>
    </w:p>
    <w:p w:rsidRPr="00FA558D" w:rsidR="00B91619" w:rsidP="00B91619" w:rsidRDefault="00B91619" w14:paraId="6913D00D" w14:textId="77777777">
      <w:pPr>
        <w:tabs>
          <w:tab w:val="left" w:pos="9356"/>
        </w:tabs>
        <w:spacing w:after="0" w:line="240" w:lineRule="auto"/>
        <w:rPr>
          <w:lang w:val="fr-CA"/>
        </w:rPr>
      </w:pPr>
    </w:p>
    <w:p w:rsidRPr="00FA558D" w:rsidR="00B91619" w:rsidP="00B91619" w:rsidRDefault="00B91619" w14:paraId="3821827A" w14:textId="5E91EE02">
      <w:pPr>
        <w:tabs>
          <w:tab w:val="left" w:pos="9356"/>
        </w:tabs>
        <w:spacing w:after="0" w:line="240" w:lineRule="auto"/>
        <w:rPr>
          <w:b/>
          <w:lang w:val="fr-CA"/>
        </w:rPr>
      </w:pPr>
      <w:r>
        <w:rPr>
          <w:b/>
          <w:lang w:val="fr-CA"/>
        </w:rPr>
        <w:t>L</w:t>
      </w:r>
      <w:r w:rsidR="00702F86">
        <w:rPr>
          <w:b/>
          <w:lang w:val="fr-CA"/>
        </w:rPr>
        <w:t>’</w:t>
      </w:r>
      <w:r>
        <w:rPr>
          <w:b/>
          <w:lang w:val="fr-CA"/>
        </w:rPr>
        <w:t>élément</w:t>
      </w:r>
      <w:r w:rsidRPr="00FA558D">
        <w:rPr>
          <w:b/>
          <w:lang w:val="fr-CA"/>
        </w:rPr>
        <w:t xml:space="preserve"> B </w:t>
      </w:r>
      <w:r w:rsidR="003D2C27">
        <w:rPr>
          <w:b/>
          <w:lang w:val="fr-CA"/>
        </w:rPr>
        <w:t>s’applique</w:t>
      </w:r>
    </w:p>
    <w:p w:rsidRPr="00FA558D" w:rsidR="00B91619" w:rsidP="00B91619" w:rsidRDefault="00B91619" w14:paraId="7897508B" w14:textId="642012E6">
      <w:pPr>
        <w:tabs>
          <w:tab w:val="left" w:pos="9356"/>
        </w:tabs>
        <w:spacing w:after="0" w:line="240" w:lineRule="auto"/>
        <w:rPr>
          <w:lang w:val="fr-CA"/>
        </w:rPr>
      </w:pPr>
      <w:r>
        <w:rPr>
          <w:lang w:val="fr-CA"/>
        </w:rPr>
        <w:t>Si le</w:t>
      </w:r>
      <w:r w:rsidRPr="00FA558D">
        <w:rPr>
          <w:lang w:val="fr-CA"/>
        </w:rPr>
        <w:t xml:space="preserve"> </w:t>
      </w:r>
      <w:r>
        <w:rPr>
          <w:lang w:val="fr-CA"/>
        </w:rPr>
        <w:t xml:space="preserve">règlement </w:t>
      </w:r>
      <w:r w:rsidR="00702F86">
        <w:rPr>
          <w:lang w:val="fr-CA"/>
        </w:rPr>
        <w:t xml:space="preserve">entraîne la </w:t>
      </w:r>
      <w:r w:rsidR="00542014">
        <w:rPr>
          <w:lang w:val="fr-CA"/>
        </w:rPr>
        <w:t>suppression</w:t>
      </w:r>
      <w:r w:rsidR="00702F86">
        <w:rPr>
          <w:lang w:val="fr-CA"/>
        </w:rPr>
        <w:t xml:space="preserve"> d’</w:t>
      </w:r>
      <w:r>
        <w:rPr>
          <w:lang w:val="fr-CA"/>
        </w:rPr>
        <w:t xml:space="preserve">un </w:t>
      </w:r>
      <w:r w:rsidR="00006A88">
        <w:rPr>
          <w:lang w:val="fr-CA"/>
        </w:rPr>
        <w:t>titre</w:t>
      </w:r>
      <w:r w:rsidRPr="00FA558D">
        <w:rPr>
          <w:lang w:val="fr-CA"/>
        </w:rPr>
        <w:t xml:space="preserve"> </w:t>
      </w:r>
      <w:r>
        <w:rPr>
          <w:lang w:val="fr-CA"/>
        </w:rPr>
        <w:t>sous l’élément</w:t>
      </w:r>
      <w:r w:rsidRPr="00FA558D">
        <w:rPr>
          <w:lang w:val="fr-CA"/>
        </w:rPr>
        <w:t> B</w:t>
      </w:r>
      <w:r>
        <w:rPr>
          <w:lang w:val="fr-CA"/>
        </w:rPr>
        <w:t>, sans toutefois entraîner une</w:t>
      </w:r>
      <w:r w:rsidRPr="00FA558D">
        <w:rPr>
          <w:lang w:val="fr-CA"/>
        </w:rPr>
        <w:t xml:space="preserve"> </w:t>
      </w:r>
      <w:r>
        <w:rPr>
          <w:lang w:val="fr-CA"/>
        </w:rPr>
        <w:t xml:space="preserve">modification du fardeau administratif </w:t>
      </w:r>
      <w:r w:rsidR="00702F86">
        <w:rPr>
          <w:lang w:val="fr-CA"/>
        </w:rPr>
        <w:t>imposé aux</w:t>
      </w:r>
      <w:r>
        <w:rPr>
          <w:lang w:val="fr-CA"/>
        </w:rPr>
        <w:t xml:space="preserve"> entreprises</w:t>
      </w:r>
      <w:r w:rsidRPr="00FA558D">
        <w:rPr>
          <w:lang w:val="fr-CA"/>
        </w:rPr>
        <w:t xml:space="preserve">, </w:t>
      </w:r>
      <w:r>
        <w:rPr>
          <w:lang w:val="fr-CA"/>
        </w:rPr>
        <w:t xml:space="preserve">la section </w:t>
      </w:r>
      <w:r w:rsidR="00006A88">
        <w:rPr>
          <w:lang w:val="fr-CA"/>
        </w:rPr>
        <w:t xml:space="preserve">de </w:t>
      </w:r>
      <w:r>
        <w:rPr>
          <w:lang w:val="fr-CA"/>
        </w:rPr>
        <w:t xml:space="preserve">la règle du « un pour un » du </w:t>
      </w:r>
      <w:r>
        <w:rPr>
          <w:lang w:val="fr-CA"/>
        </w:rPr>
        <w:t>REIR</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Pr>
          <w:lang w:val="fr-CA"/>
        </w:rPr>
        <w:t xml:space="preserve"> s’applique en raison de l</w:t>
      </w:r>
      <w:r w:rsidR="0087431F">
        <w:rPr>
          <w:lang w:val="fr-CA"/>
        </w:rPr>
        <w:t xml:space="preserve">’abrogation </w:t>
      </w:r>
      <w:r>
        <w:rPr>
          <w:lang w:val="fr-CA"/>
        </w:rPr>
        <w:t>d’un titre réglementaire</w:t>
      </w:r>
      <w:r w:rsidRPr="00FA558D">
        <w:rPr>
          <w:lang w:val="fr-CA"/>
        </w:rPr>
        <w:t>,</w:t>
      </w:r>
      <w:r>
        <w:rPr>
          <w:lang w:val="fr-CA"/>
        </w:rPr>
        <w:t xml:space="preserve"> et p</w:t>
      </w:r>
      <w:r w:rsidR="00E16C6F">
        <w:rPr>
          <w:lang w:val="fr-CA"/>
        </w:rPr>
        <w:t>arce que</w:t>
      </w:r>
      <w:r>
        <w:rPr>
          <w:lang w:val="fr-CA"/>
        </w:rPr>
        <w:t xml:space="preserve"> le projet</w:t>
      </w:r>
      <w:r w:rsidRPr="00FA558D">
        <w:rPr>
          <w:lang w:val="fr-CA"/>
        </w:rPr>
        <w:t xml:space="preserve"> </w:t>
      </w:r>
      <w:r>
        <w:rPr>
          <w:lang w:val="fr-CA"/>
        </w:rPr>
        <w:t>est considéré</w:t>
      </w:r>
      <w:r w:rsidRPr="00FA558D">
        <w:rPr>
          <w:lang w:val="fr-CA"/>
        </w:rPr>
        <w:t xml:space="preserve"> </w:t>
      </w:r>
      <w:r>
        <w:rPr>
          <w:lang w:val="fr-CA"/>
        </w:rPr>
        <w:t xml:space="preserve">comme </w:t>
      </w:r>
      <w:r w:rsidR="00006A88">
        <w:rPr>
          <w:lang w:val="fr-CA"/>
        </w:rPr>
        <w:t>une</w:t>
      </w:r>
      <w:r w:rsidRPr="00FA558D">
        <w:rPr>
          <w:lang w:val="fr-CA"/>
        </w:rPr>
        <w:t xml:space="preserve"> </w:t>
      </w:r>
      <w:r w:rsidR="00542014">
        <w:rPr>
          <w:lang w:val="fr-CA"/>
        </w:rPr>
        <w:t>suppression</w:t>
      </w:r>
      <w:r>
        <w:rPr>
          <w:lang w:val="fr-CA"/>
        </w:rPr>
        <w:t xml:space="preserve"> d</w:t>
      </w:r>
      <w:r w:rsidR="00006A88">
        <w:rPr>
          <w:lang w:val="fr-CA"/>
        </w:rPr>
        <w:t>e titre</w:t>
      </w:r>
      <w:r w:rsidRPr="00FA558D">
        <w:rPr>
          <w:lang w:val="fr-CA"/>
        </w:rPr>
        <w:t>.</w:t>
      </w:r>
      <w:r>
        <w:rPr>
          <w:lang w:val="fr-CA"/>
        </w:rPr>
        <w:t> »</w:t>
      </w:r>
    </w:p>
    <w:p w:rsidRPr="00FA558D" w:rsidR="00B91619" w:rsidP="00B91619" w:rsidRDefault="00B91619" w14:paraId="5FF9D69C" w14:textId="77777777">
      <w:pPr>
        <w:pStyle w:val="ListParagraph"/>
        <w:tabs>
          <w:tab w:val="left" w:pos="9356"/>
        </w:tabs>
        <w:spacing w:after="0" w:line="240" w:lineRule="auto"/>
        <w:ind w:left="1440"/>
        <w:rPr>
          <w:lang w:val="fr-CA"/>
        </w:rPr>
      </w:pPr>
    </w:p>
    <w:p w:rsidRPr="00FA558D" w:rsidR="00B91619" w:rsidP="00B91619" w:rsidRDefault="00B91619" w14:paraId="0EAB1117" w14:textId="3B2373D8">
      <w:pPr>
        <w:tabs>
          <w:tab w:val="left" w:pos="9356"/>
        </w:tabs>
        <w:spacing w:after="0" w:line="240" w:lineRule="auto"/>
        <w:rPr>
          <w:lang w:val="fr-CA"/>
        </w:rPr>
      </w:pPr>
      <w:r>
        <w:rPr>
          <w:lang w:val="fr-CA"/>
        </w:rPr>
        <w:t>Cet énoncé</w:t>
      </w:r>
      <w:r w:rsidRPr="00FA558D">
        <w:rPr>
          <w:lang w:val="fr-CA"/>
        </w:rPr>
        <w:t xml:space="preserve"> </w:t>
      </w:r>
      <w:r w:rsidR="006137DA">
        <w:rPr>
          <w:lang w:val="fr-CA"/>
        </w:rPr>
        <w:t>serait</w:t>
      </w:r>
      <w:r>
        <w:rPr>
          <w:lang w:val="fr-CA"/>
        </w:rPr>
        <w:t xml:space="preserve"> suivi</w:t>
      </w:r>
      <w:r w:rsidRPr="00FA558D">
        <w:rPr>
          <w:lang w:val="fr-CA"/>
        </w:rPr>
        <w:t xml:space="preserve"> </w:t>
      </w:r>
      <w:r w:rsidR="006137DA">
        <w:rPr>
          <w:lang w:val="fr-CA"/>
        </w:rPr>
        <w:t>de</w:t>
      </w:r>
      <w:r>
        <w:rPr>
          <w:lang w:val="fr-CA"/>
        </w:rPr>
        <w:t xml:space="preserve"> l’analyse</w:t>
      </w:r>
      <w:r w:rsidRPr="00FA558D">
        <w:rPr>
          <w:lang w:val="fr-CA"/>
        </w:rPr>
        <w:t xml:space="preserve"> </w:t>
      </w:r>
      <w:r>
        <w:rPr>
          <w:lang w:val="fr-CA"/>
        </w:rPr>
        <w:t>menée selon les exigences</w:t>
      </w:r>
      <w:r w:rsidRPr="00FA558D">
        <w:rPr>
          <w:lang w:val="fr-CA"/>
        </w:rPr>
        <w:t xml:space="preserve">. </w:t>
      </w:r>
    </w:p>
    <w:p w:rsidRPr="00FA558D" w:rsidR="00B91619" w:rsidP="00B91619" w:rsidRDefault="00B91619" w14:paraId="53BB60D8" w14:textId="77777777">
      <w:pPr>
        <w:tabs>
          <w:tab w:val="left" w:pos="9356"/>
        </w:tabs>
        <w:spacing w:after="0" w:line="240" w:lineRule="auto"/>
        <w:rPr>
          <w:lang w:val="fr-CA"/>
        </w:rPr>
      </w:pPr>
    </w:p>
    <w:p w:rsidRPr="00FA558D" w:rsidR="00B91619" w:rsidP="00B91619" w:rsidRDefault="00B91619" w14:paraId="567F0EDE" w14:textId="5A20030E">
      <w:pPr>
        <w:tabs>
          <w:tab w:val="left" w:pos="9356"/>
        </w:tabs>
        <w:spacing w:after="0" w:line="240" w:lineRule="auto"/>
        <w:rPr>
          <w:b/>
          <w:lang w:val="fr-CA"/>
        </w:rPr>
      </w:pPr>
      <w:r>
        <w:rPr>
          <w:b/>
          <w:lang w:val="fr-CA"/>
        </w:rPr>
        <w:t>Abrogation d’un règlement et remplacement par un autre</w:t>
      </w:r>
      <w:r w:rsidRPr="00FA558D">
        <w:rPr>
          <w:b/>
          <w:lang w:val="fr-CA"/>
        </w:rPr>
        <w:t xml:space="preserve"> </w:t>
      </w:r>
      <w:r w:rsidR="00F313C1">
        <w:rPr>
          <w:b/>
          <w:lang w:val="fr-CA"/>
        </w:rPr>
        <w:t>accompagné d’une</w:t>
      </w:r>
      <w:r>
        <w:rPr>
          <w:b/>
          <w:lang w:val="fr-CA"/>
        </w:rPr>
        <w:t xml:space="preserve"> modification du fardeau administratif </w:t>
      </w:r>
      <w:r w:rsidR="00702F86">
        <w:rPr>
          <w:b/>
          <w:lang w:val="fr-CA"/>
        </w:rPr>
        <w:t>imposé aux</w:t>
      </w:r>
      <w:r>
        <w:rPr>
          <w:b/>
          <w:lang w:val="fr-CA"/>
        </w:rPr>
        <w:t xml:space="preserve"> entreprises</w:t>
      </w:r>
    </w:p>
    <w:p w:rsidRPr="00FA558D" w:rsidR="00B91619" w:rsidP="00B91619" w:rsidRDefault="00B91619" w14:paraId="636A30AA" w14:textId="0EC19715">
      <w:pPr>
        <w:tabs>
          <w:tab w:val="left" w:pos="9356"/>
        </w:tabs>
        <w:spacing w:after="0" w:line="240" w:lineRule="auto"/>
        <w:rPr>
          <w:lang w:val="fr-CA"/>
        </w:rPr>
      </w:pPr>
      <w:r>
        <w:rPr>
          <w:lang w:val="fr-CA"/>
        </w:rPr>
        <w:t>Le projet</w:t>
      </w:r>
      <w:r w:rsidRPr="00FA558D">
        <w:rPr>
          <w:lang w:val="fr-CA"/>
        </w:rPr>
        <w:t xml:space="preserve"> </w:t>
      </w:r>
      <w:r>
        <w:rPr>
          <w:lang w:val="fr-CA"/>
        </w:rPr>
        <w:t>abroge</w:t>
      </w:r>
      <w:r w:rsidRPr="00FA558D">
        <w:rPr>
          <w:lang w:val="fr-CA"/>
        </w:rPr>
        <w:t xml:space="preserve"> </w:t>
      </w:r>
      <w:r>
        <w:rPr>
          <w:lang w:val="fr-CA"/>
        </w:rPr>
        <w:t>un titre réglementaire existant, et le remplace</w:t>
      </w:r>
      <w:r w:rsidRPr="00FA558D">
        <w:rPr>
          <w:lang w:val="fr-CA"/>
        </w:rPr>
        <w:t xml:space="preserve"> </w:t>
      </w:r>
      <w:r>
        <w:rPr>
          <w:lang w:val="fr-CA"/>
        </w:rPr>
        <w:t>par un nouveau titre</w:t>
      </w:r>
      <w:r w:rsidRPr="00FA558D">
        <w:rPr>
          <w:lang w:val="fr-CA"/>
        </w:rPr>
        <w:t>,</w:t>
      </w:r>
      <w:r>
        <w:rPr>
          <w:lang w:val="fr-CA"/>
        </w:rPr>
        <w:t xml:space="preserve"> et la modification</w:t>
      </w:r>
      <w:r w:rsidRPr="00FA558D">
        <w:rPr>
          <w:lang w:val="fr-CA"/>
        </w:rPr>
        <w:t xml:space="preserve"> </w:t>
      </w:r>
      <w:r>
        <w:rPr>
          <w:lang w:val="fr-CA"/>
        </w:rPr>
        <w:t>entraîne</w:t>
      </w:r>
      <w:r w:rsidRPr="00FA558D">
        <w:rPr>
          <w:lang w:val="fr-CA"/>
        </w:rPr>
        <w:t xml:space="preserve"> </w:t>
      </w:r>
      <w:r>
        <w:rPr>
          <w:lang w:val="fr-CA"/>
        </w:rPr>
        <w:t xml:space="preserve">une modification progressive du fardeau administratif </w:t>
      </w:r>
      <w:r w:rsidR="00702F86">
        <w:rPr>
          <w:lang w:val="fr-CA"/>
        </w:rPr>
        <w:t>imposé aux</w:t>
      </w:r>
      <w:r>
        <w:rPr>
          <w:lang w:val="fr-CA"/>
        </w:rPr>
        <w:t xml:space="preserve"> entreprises</w:t>
      </w:r>
      <w:r w:rsidRPr="00FA558D">
        <w:rPr>
          <w:lang w:val="fr-CA"/>
        </w:rPr>
        <w:t>.</w:t>
      </w:r>
    </w:p>
    <w:p w:rsidRPr="00FA558D" w:rsidR="00B91619" w:rsidP="00B91619" w:rsidRDefault="00B91619" w14:paraId="7BD9D7AD" w14:textId="77777777">
      <w:pPr>
        <w:tabs>
          <w:tab w:val="left" w:pos="9356"/>
        </w:tabs>
        <w:spacing w:after="0" w:line="240" w:lineRule="auto"/>
        <w:rPr>
          <w:lang w:val="fr-CA"/>
        </w:rPr>
      </w:pPr>
    </w:p>
    <w:p w:rsidRPr="00FA558D" w:rsidR="00B91619" w:rsidP="00B91619" w:rsidRDefault="00B91619" w14:paraId="6F33F398" w14:textId="15E9460B">
      <w:pPr>
        <w:tabs>
          <w:tab w:val="left" w:pos="9356"/>
        </w:tabs>
        <w:spacing w:after="0" w:line="240" w:lineRule="auto"/>
        <w:rPr>
          <w:lang w:val="fr-CA"/>
        </w:rPr>
      </w:pPr>
      <w:r>
        <w:rPr>
          <w:lang w:val="fr-CA"/>
        </w:rPr>
        <w:t xml:space="preserve">Dans un tel </w:t>
      </w:r>
      <w:r w:rsidR="00F313C1">
        <w:rPr>
          <w:lang w:val="fr-CA"/>
        </w:rPr>
        <w:t>scénario</w:t>
      </w:r>
      <w:r>
        <w:rPr>
          <w:lang w:val="fr-CA"/>
        </w:rPr>
        <w:t>, l</w:t>
      </w:r>
      <w:r w:rsidR="00702F86">
        <w:rPr>
          <w:lang w:val="fr-CA"/>
        </w:rPr>
        <w:t>’</w:t>
      </w:r>
      <w:r>
        <w:rPr>
          <w:lang w:val="fr-CA"/>
        </w:rPr>
        <w:t>élément</w:t>
      </w:r>
      <w:r w:rsidRPr="00FA558D">
        <w:rPr>
          <w:lang w:val="fr-CA"/>
        </w:rPr>
        <w:t xml:space="preserve"> A </w:t>
      </w:r>
      <w:r w:rsidR="00F313C1">
        <w:rPr>
          <w:lang w:val="fr-CA"/>
        </w:rPr>
        <w:t xml:space="preserve">s’applique en raison de </w:t>
      </w:r>
      <w:r>
        <w:rPr>
          <w:lang w:val="fr-CA"/>
        </w:rPr>
        <w:t>la modification nette du fardeau administratif</w:t>
      </w:r>
      <w:r w:rsidRPr="00FA558D">
        <w:rPr>
          <w:lang w:val="fr-CA"/>
        </w:rPr>
        <w:t>,</w:t>
      </w:r>
      <w:r>
        <w:rPr>
          <w:lang w:val="fr-CA"/>
        </w:rPr>
        <w:t xml:space="preserve"> et p</w:t>
      </w:r>
      <w:r w:rsidR="00E16C6F">
        <w:rPr>
          <w:lang w:val="fr-CA"/>
        </w:rPr>
        <w:t>arce que</w:t>
      </w:r>
      <w:r>
        <w:rPr>
          <w:lang w:val="fr-CA"/>
        </w:rPr>
        <w:t xml:space="preserve"> l’abrogation et le remplacement ont un effet net nul sous l’élément</w:t>
      </w:r>
      <w:r w:rsidRPr="00FA558D">
        <w:rPr>
          <w:lang w:val="fr-CA"/>
        </w:rPr>
        <w:t xml:space="preserve"> B. </w:t>
      </w:r>
    </w:p>
    <w:p w:rsidRPr="00FA558D" w:rsidR="00B91619" w:rsidP="00B91619" w:rsidRDefault="00B91619" w14:paraId="3714EFB4" w14:textId="77777777">
      <w:pPr>
        <w:tabs>
          <w:tab w:val="left" w:pos="9356"/>
        </w:tabs>
        <w:spacing w:after="0" w:line="240" w:lineRule="auto"/>
        <w:ind w:left="360"/>
        <w:rPr>
          <w:lang w:val="fr-CA"/>
        </w:rPr>
      </w:pPr>
    </w:p>
    <w:p w:rsidRPr="00FA558D" w:rsidR="00B91619" w:rsidP="00B91619" w:rsidRDefault="00B91619" w14:paraId="393C8C01" w14:textId="3130DF00">
      <w:pPr>
        <w:tabs>
          <w:tab w:val="left" w:pos="9356"/>
        </w:tabs>
        <w:spacing w:after="0" w:line="240" w:lineRule="auto"/>
        <w:rPr>
          <w:lang w:val="fr-CA"/>
        </w:rPr>
      </w:pPr>
      <w:r>
        <w:rPr>
          <w:lang w:val="fr-CA"/>
        </w:rPr>
        <w:t>La section sur la règle du « un pour un » du REIR</w:t>
      </w:r>
      <w:r w:rsidRPr="00FA558D">
        <w:rPr>
          <w:lang w:val="fr-CA"/>
        </w:rPr>
        <w:t xml:space="preserve"> </w:t>
      </w:r>
      <w:r>
        <w:rPr>
          <w:lang w:val="fr-CA"/>
        </w:rPr>
        <w:t>doit comprendre le libellé suivant :</w:t>
      </w:r>
      <w:r w:rsidRPr="00FA558D">
        <w:rPr>
          <w:lang w:val="fr-CA"/>
        </w:rPr>
        <w:t xml:space="preserve"> </w:t>
      </w:r>
      <w:r>
        <w:rPr>
          <w:lang w:val="fr-CA"/>
        </w:rPr>
        <w:t xml:space="preserve">« La règle du </w:t>
      </w:r>
      <w:r w:rsidR="00A9277E">
        <w:rPr>
          <w:lang w:val="fr-CA"/>
        </w:rPr>
        <w:t>“</w:t>
      </w:r>
      <w:r>
        <w:rPr>
          <w:lang w:val="fr-CA"/>
        </w:rPr>
        <w:t>un pour un</w:t>
      </w:r>
      <w:r w:rsidR="00A9277E">
        <w:rPr>
          <w:lang w:val="fr-CA"/>
        </w:rPr>
        <w:t>”</w:t>
      </w:r>
      <w:r w:rsidRPr="00FA558D">
        <w:rPr>
          <w:lang w:val="fr-CA"/>
        </w:rPr>
        <w:t xml:space="preserve"> </w:t>
      </w:r>
      <w:r>
        <w:rPr>
          <w:lang w:val="fr-CA"/>
        </w:rPr>
        <w:t>s’applique puisque le projet</w:t>
      </w:r>
      <w:r w:rsidRPr="00FA558D">
        <w:rPr>
          <w:lang w:val="fr-CA"/>
        </w:rPr>
        <w:t xml:space="preserve"> </w:t>
      </w:r>
      <w:r>
        <w:rPr>
          <w:lang w:val="fr-CA"/>
        </w:rPr>
        <w:t>entraîne</w:t>
      </w:r>
      <w:r w:rsidRPr="00FA558D">
        <w:rPr>
          <w:lang w:val="fr-CA"/>
        </w:rPr>
        <w:t xml:space="preserve"> </w:t>
      </w:r>
      <w:r>
        <w:rPr>
          <w:lang w:val="fr-CA"/>
        </w:rPr>
        <w:t xml:space="preserve">une modification progressive du fardeau administratif </w:t>
      </w:r>
      <w:r w:rsidR="00702F86">
        <w:rPr>
          <w:lang w:val="fr-CA"/>
        </w:rPr>
        <w:t>imposé aux</w:t>
      </w:r>
      <w:r>
        <w:rPr>
          <w:lang w:val="fr-CA"/>
        </w:rPr>
        <w:t xml:space="preserve"> entreprises</w:t>
      </w:r>
      <w:r w:rsidRPr="00FA558D">
        <w:rPr>
          <w:lang w:val="fr-CA"/>
        </w:rPr>
        <w:t xml:space="preserve">. </w:t>
      </w:r>
      <w:r>
        <w:rPr>
          <w:lang w:val="fr-CA"/>
        </w:rPr>
        <w:t>Le projet</w:t>
      </w:r>
      <w:r w:rsidRPr="00FA558D">
        <w:rPr>
          <w:lang w:val="fr-CA"/>
        </w:rPr>
        <w:t xml:space="preserve"> </w:t>
      </w:r>
      <w:r>
        <w:rPr>
          <w:lang w:val="fr-CA"/>
        </w:rPr>
        <w:t>abroge</w:t>
      </w:r>
      <w:r w:rsidRPr="00FA558D">
        <w:rPr>
          <w:lang w:val="fr-CA"/>
        </w:rPr>
        <w:t xml:space="preserve"> </w:t>
      </w:r>
      <w:r>
        <w:rPr>
          <w:lang w:val="fr-CA"/>
        </w:rPr>
        <w:t>un règlement existant et le remplace</w:t>
      </w:r>
      <w:r w:rsidRPr="00FA558D">
        <w:rPr>
          <w:lang w:val="fr-CA"/>
        </w:rPr>
        <w:t xml:space="preserve"> </w:t>
      </w:r>
      <w:r>
        <w:rPr>
          <w:lang w:val="fr-CA"/>
        </w:rPr>
        <w:t>par un nouveau titre réglementaire</w:t>
      </w:r>
      <w:r w:rsidRPr="00FA558D">
        <w:rPr>
          <w:lang w:val="fr-CA"/>
        </w:rPr>
        <w:t xml:space="preserve">, </w:t>
      </w:r>
      <w:r>
        <w:rPr>
          <w:lang w:val="fr-CA"/>
        </w:rPr>
        <w:t xml:space="preserve">ce qui n’entraîne aucune augmentation ou </w:t>
      </w:r>
      <w:r w:rsidR="006137DA">
        <w:rPr>
          <w:lang w:val="fr-CA"/>
        </w:rPr>
        <w:t xml:space="preserve">réduction </w:t>
      </w:r>
      <w:r>
        <w:rPr>
          <w:lang w:val="fr-CA"/>
        </w:rPr>
        <w:t>nette des</w:t>
      </w:r>
      <w:r w:rsidRPr="00FA558D">
        <w:rPr>
          <w:lang w:val="fr-CA"/>
        </w:rPr>
        <w:t xml:space="preserve"> </w:t>
      </w:r>
      <w:r>
        <w:rPr>
          <w:lang w:val="fr-CA"/>
        </w:rPr>
        <w:t>titres réglementaire</w:t>
      </w:r>
      <w:r w:rsidRPr="00FA558D">
        <w:rPr>
          <w:lang w:val="fr-CA"/>
        </w:rPr>
        <w:t>s.</w:t>
      </w:r>
      <w:r>
        <w:rPr>
          <w:lang w:val="fr-CA"/>
        </w:rPr>
        <w:t> »</w:t>
      </w:r>
      <w:r w:rsidRPr="00FA558D">
        <w:rPr>
          <w:lang w:val="fr-CA"/>
        </w:rPr>
        <w:t xml:space="preserve"> </w:t>
      </w:r>
    </w:p>
    <w:p w:rsidRPr="00FA558D" w:rsidR="00B91619" w:rsidP="00B91619" w:rsidRDefault="00B91619" w14:paraId="62D3E45E" w14:textId="77777777">
      <w:pPr>
        <w:tabs>
          <w:tab w:val="left" w:pos="9356"/>
        </w:tabs>
        <w:spacing w:after="0" w:line="240" w:lineRule="auto"/>
        <w:ind w:left="360"/>
        <w:rPr>
          <w:lang w:val="fr-CA"/>
        </w:rPr>
      </w:pPr>
    </w:p>
    <w:p w:rsidRPr="00FA558D" w:rsidR="00B91619" w:rsidP="00B91619" w:rsidRDefault="00B91619" w14:paraId="75ECDA77" w14:textId="6B0A618B">
      <w:pPr>
        <w:tabs>
          <w:tab w:val="left" w:pos="9356"/>
        </w:tabs>
        <w:spacing w:after="0" w:line="240" w:lineRule="auto"/>
        <w:rPr>
          <w:lang w:val="fr-CA"/>
        </w:rPr>
      </w:pPr>
      <w:r>
        <w:rPr>
          <w:lang w:val="fr-CA"/>
        </w:rPr>
        <w:t>Cet énoncé</w:t>
      </w:r>
      <w:r w:rsidRPr="00FA558D">
        <w:rPr>
          <w:lang w:val="fr-CA"/>
        </w:rPr>
        <w:t xml:space="preserve"> </w:t>
      </w:r>
      <w:r w:rsidR="006137DA">
        <w:rPr>
          <w:lang w:val="fr-CA"/>
        </w:rPr>
        <w:t>serait</w:t>
      </w:r>
      <w:r>
        <w:rPr>
          <w:lang w:val="fr-CA"/>
        </w:rPr>
        <w:t xml:space="preserve"> suivi </w:t>
      </w:r>
      <w:r w:rsidR="006137DA">
        <w:rPr>
          <w:lang w:val="fr-CA"/>
        </w:rPr>
        <w:t>de</w:t>
      </w:r>
      <w:r>
        <w:rPr>
          <w:lang w:val="fr-CA"/>
        </w:rPr>
        <w:t xml:space="preserve"> l’analyse relative à l’élément</w:t>
      </w:r>
      <w:r w:rsidRPr="00FA558D">
        <w:rPr>
          <w:lang w:val="fr-CA"/>
        </w:rPr>
        <w:t xml:space="preserve"> A </w:t>
      </w:r>
      <w:r>
        <w:rPr>
          <w:lang w:val="fr-CA"/>
        </w:rPr>
        <w:t>menée selon les exigences</w:t>
      </w:r>
      <w:r w:rsidRPr="00FA558D">
        <w:rPr>
          <w:lang w:val="fr-CA"/>
        </w:rPr>
        <w:t xml:space="preserve">, </w:t>
      </w:r>
      <w:r>
        <w:rPr>
          <w:lang w:val="fr-CA"/>
        </w:rPr>
        <w:t>incluant</w:t>
      </w:r>
      <w:r w:rsidRPr="00FA558D">
        <w:rPr>
          <w:lang w:val="fr-CA"/>
        </w:rPr>
        <w:t xml:space="preserve"> </w:t>
      </w:r>
      <w:r>
        <w:rPr>
          <w:lang w:val="fr-CA"/>
        </w:rPr>
        <w:t>la modification nette du fardeau administratif</w:t>
      </w:r>
      <w:r w:rsidRPr="00FA558D">
        <w:rPr>
          <w:lang w:val="fr-CA"/>
        </w:rPr>
        <w:t xml:space="preserve">. </w:t>
      </w:r>
    </w:p>
    <w:p w:rsidR="00B91619" w:rsidP="00B91619" w:rsidRDefault="00B91619" w14:paraId="1A85EBC9" w14:textId="77777777">
      <w:pPr>
        <w:tabs>
          <w:tab w:val="left" w:pos="9356"/>
        </w:tabs>
        <w:spacing w:after="0" w:line="240" w:lineRule="auto"/>
        <w:rPr>
          <w:lang w:val="fr-CA"/>
        </w:rPr>
      </w:pPr>
    </w:p>
    <w:p w:rsidRPr="00690A12" w:rsidR="006137DA" w:rsidP="00690A12" w:rsidRDefault="006137DA" w14:paraId="382C70E0" w14:textId="72BC8D48">
      <w:pPr>
        <w:tabs>
          <w:tab w:val="left" w:pos="9356"/>
        </w:tabs>
        <w:spacing w:after="0" w:line="240" w:lineRule="auto"/>
        <w:rPr>
          <w:lang w:val="fr-CA"/>
        </w:rPr>
      </w:pPr>
      <w:r>
        <w:rPr>
          <w:b/>
          <w:lang w:val="fr-CA"/>
        </w:rPr>
        <w:t>Abrogation d’un règlement et remplacement par un autre</w:t>
      </w:r>
      <w:r w:rsidRPr="00FA558D">
        <w:rPr>
          <w:b/>
          <w:lang w:val="fr-CA"/>
        </w:rPr>
        <w:t xml:space="preserve"> </w:t>
      </w:r>
      <w:r>
        <w:rPr>
          <w:b/>
          <w:lang w:val="fr-CA"/>
        </w:rPr>
        <w:t>sans modification du fardeau administratif imposé aux entreprises</w:t>
      </w:r>
    </w:p>
    <w:p w:rsidRPr="00690A12" w:rsidR="006137DA" w:rsidP="006137DA" w:rsidRDefault="006137DA" w14:paraId="5F4F19DB" w14:textId="0EE18CD6">
      <w:pPr>
        <w:spacing w:after="0" w:line="240" w:lineRule="auto"/>
        <w:rPr>
          <w:lang w:val="fr-CA"/>
        </w:rPr>
      </w:pPr>
      <w:r w:rsidRPr="00690A12">
        <w:rPr>
          <w:lang w:val="fr-CA"/>
        </w:rPr>
        <w:t>L</w:t>
      </w:r>
      <w:r>
        <w:rPr>
          <w:lang w:val="fr-CA"/>
        </w:rPr>
        <w:t>e projet</w:t>
      </w:r>
      <w:r w:rsidRPr="00690A12">
        <w:rPr>
          <w:lang w:val="fr-CA"/>
        </w:rPr>
        <w:t xml:space="preserve"> abroge un titre réglementaire existant et le remplace par </w:t>
      </w:r>
      <w:r w:rsidRPr="00690A12">
        <w:rPr>
          <w:b/>
          <w:bCs/>
          <w:lang w:val="fr-CA"/>
        </w:rPr>
        <w:t>un</w:t>
      </w:r>
      <w:r w:rsidRPr="00690A12">
        <w:rPr>
          <w:lang w:val="fr-CA"/>
        </w:rPr>
        <w:t xml:space="preserve"> nouveau titre réglementaire qui traite essentiellement de la même question. </w:t>
      </w:r>
    </w:p>
    <w:p w:rsidRPr="00690A12" w:rsidR="006137DA" w:rsidP="006137DA" w:rsidRDefault="006137DA" w14:paraId="789FDE37" w14:textId="77777777">
      <w:pPr>
        <w:spacing w:after="0" w:line="240" w:lineRule="auto"/>
        <w:rPr>
          <w:lang w:val="fr-CA"/>
        </w:rPr>
      </w:pPr>
    </w:p>
    <w:p w:rsidRPr="00690A12" w:rsidR="006137DA" w:rsidP="006137DA" w:rsidRDefault="006137DA" w14:paraId="2FF98D15" w14:textId="6F49760A">
      <w:pPr>
        <w:spacing w:after="0" w:line="240" w:lineRule="auto"/>
        <w:rPr>
          <w:lang w:val="fr-CA"/>
        </w:rPr>
      </w:pPr>
      <w:r w:rsidRPr="00690A12">
        <w:rPr>
          <w:lang w:val="fr-CA"/>
        </w:rPr>
        <w:t>Dans ce scénario, l</w:t>
      </w:r>
      <w:r w:rsidR="009647E5">
        <w:rPr>
          <w:lang w:val="fr-CA"/>
        </w:rPr>
        <w:t>’</w:t>
      </w:r>
      <w:r w:rsidRPr="00690A12">
        <w:rPr>
          <w:lang w:val="fr-CA"/>
        </w:rPr>
        <w:t>élément B de la règle s</w:t>
      </w:r>
      <w:r w:rsidR="009647E5">
        <w:rPr>
          <w:lang w:val="fr-CA"/>
        </w:rPr>
        <w:t>’</w:t>
      </w:r>
      <w:r w:rsidRPr="00690A12">
        <w:rPr>
          <w:lang w:val="fr-CA"/>
        </w:rPr>
        <w:t>applique, mais aucun des deux règlements n</w:t>
      </w:r>
      <w:r w:rsidR="009647E5">
        <w:rPr>
          <w:lang w:val="fr-CA"/>
        </w:rPr>
        <w:t>’</w:t>
      </w:r>
      <w:r w:rsidRPr="00690A12">
        <w:rPr>
          <w:lang w:val="fr-CA"/>
        </w:rPr>
        <w:t xml:space="preserve">est considéré comme </w:t>
      </w:r>
      <w:r>
        <w:rPr>
          <w:lang w:val="fr-CA"/>
        </w:rPr>
        <w:t xml:space="preserve">un ajout ou une suppression de </w:t>
      </w:r>
      <w:r w:rsidRPr="00690A12">
        <w:rPr>
          <w:lang w:val="fr-CA"/>
        </w:rPr>
        <w:t xml:space="preserve">titre. La section du REIR consacrée à la règle du </w:t>
      </w:r>
      <w:r>
        <w:rPr>
          <w:lang w:val="fr-CA"/>
        </w:rPr>
        <w:t>«</w:t>
      </w:r>
      <w:r w:rsidR="009647E5">
        <w:rPr>
          <w:lang w:val="fr-CA"/>
        </w:rPr>
        <w:t> </w:t>
      </w:r>
      <w:r w:rsidRPr="00690A12">
        <w:rPr>
          <w:lang w:val="fr-CA"/>
        </w:rPr>
        <w:t>un pour un</w:t>
      </w:r>
      <w:r w:rsidR="009647E5">
        <w:rPr>
          <w:lang w:val="fr-CA"/>
        </w:rPr>
        <w:t> </w:t>
      </w:r>
      <w:r>
        <w:rPr>
          <w:lang w:val="fr-CA"/>
        </w:rPr>
        <w:t>»</w:t>
      </w:r>
      <w:r w:rsidRPr="00690A12">
        <w:rPr>
          <w:lang w:val="fr-CA"/>
        </w:rPr>
        <w:t xml:space="preserve"> devrait </w:t>
      </w:r>
      <w:r>
        <w:rPr>
          <w:lang w:val="fr-CA"/>
        </w:rPr>
        <w:t>comprendre le libellé suivant</w:t>
      </w:r>
      <w:r w:rsidRPr="00690A12">
        <w:rPr>
          <w:lang w:val="fr-CA"/>
        </w:rPr>
        <w:t xml:space="preserve"> : </w:t>
      </w:r>
      <w:r>
        <w:rPr>
          <w:lang w:val="fr-CA"/>
        </w:rPr>
        <w:t>«</w:t>
      </w:r>
      <w:r w:rsidR="009647E5">
        <w:rPr>
          <w:lang w:val="fr-CA"/>
        </w:rPr>
        <w:t> </w:t>
      </w:r>
      <w:r w:rsidRPr="00690A12">
        <w:rPr>
          <w:lang w:val="fr-CA"/>
        </w:rPr>
        <w:t xml:space="preserve">La règle du </w:t>
      </w:r>
      <w:r w:rsidR="009647E5">
        <w:rPr>
          <w:lang w:val="fr-CA"/>
        </w:rPr>
        <w:t>“</w:t>
      </w:r>
      <w:r w:rsidRPr="00690A12">
        <w:rPr>
          <w:lang w:val="fr-CA"/>
        </w:rPr>
        <w:t>un pour un</w:t>
      </w:r>
      <w:r w:rsidR="009647E5">
        <w:rPr>
          <w:lang w:val="fr-CA"/>
        </w:rPr>
        <w:t>”</w:t>
      </w:r>
      <w:r w:rsidRPr="00690A12">
        <w:rPr>
          <w:lang w:val="fr-CA"/>
        </w:rPr>
        <w:t xml:space="preserve"> s</w:t>
      </w:r>
      <w:r w:rsidR="009647E5">
        <w:rPr>
          <w:lang w:val="fr-CA"/>
        </w:rPr>
        <w:t>’</w:t>
      </w:r>
      <w:r w:rsidRPr="00690A12">
        <w:rPr>
          <w:lang w:val="fr-CA"/>
        </w:rPr>
        <w:t>applique</w:t>
      </w:r>
      <w:r>
        <w:rPr>
          <w:lang w:val="fr-CA"/>
        </w:rPr>
        <w:t>,</w:t>
      </w:r>
      <w:r w:rsidRPr="00690A12">
        <w:rPr>
          <w:lang w:val="fr-CA"/>
        </w:rPr>
        <w:t xml:space="preserve"> car l</w:t>
      </w:r>
      <w:r>
        <w:rPr>
          <w:lang w:val="fr-CA"/>
        </w:rPr>
        <w:t>e projet</w:t>
      </w:r>
      <w:r w:rsidRPr="00690A12">
        <w:rPr>
          <w:lang w:val="fr-CA"/>
        </w:rPr>
        <w:t xml:space="preserve"> abroge un règlement existant et le remplace par un nouveau titre réglementaire. Il n</w:t>
      </w:r>
      <w:r w:rsidR="009647E5">
        <w:rPr>
          <w:lang w:val="fr-CA"/>
        </w:rPr>
        <w:t>’</w:t>
      </w:r>
      <w:r w:rsidRPr="00690A12">
        <w:rPr>
          <w:lang w:val="fr-CA"/>
        </w:rPr>
        <w:t xml:space="preserve">y a pas de </w:t>
      </w:r>
      <w:r>
        <w:rPr>
          <w:lang w:val="fr-CA"/>
        </w:rPr>
        <w:t>modification</w:t>
      </w:r>
      <w:r w:rsidRPr="00690A12">
        <w:rPr>
          <w:lang w:val="fr-CA"/>
        </w:rPr>
        <w:t xml:space="preserve"> progressi</w:t>
      </w:r>
      <w:r>
        <w:rPr>
          <w:lang w:val="fr-CA"/>
        </w:rPr>
        <w:t>ve</w:t>
      </w:r>
      <w:r w:rsidRPr="00690A12">
        <w:rPr>
          <w:lang w:val="fr-CA"/>
        </w:rPr>
        <w:t xml:space="preserve"> d</w:t>
      </w:r>
      <w:r>
        <w:rPr>
          <w:lang w:val="fr-CA"/>
        </w:rPr>
        <w:t>u fardeau</w:t>
      </w:r>
      <w:r w:rsidRPr="00690A12">
        <w:rPr>
          <w:lang w:val="fr-CA"/>
        </w:rPr>
        <w:t xml:space="preserve"> administrati</w:t>
      </w:r>
      <w:r>
        <w:rPr>
          <w:lang w:val="fr-CA"/>
        </w:rPr>
        <w:t>f imposé aux</w:t>
      </w:r>
      <w:r w:rsidRPr="00690A12">
        <w:rPr>
          <w:lang w:val="fr-CA"/>
        </w:rPr>
        <w:t xml:space="preserve"> entreprises ni d</w:t>
      </w:r>
      <w:r w:rsidR="009647E5">
        <w:rPr>
          <w:lang w:val="fr-CA"/>
        </w:rPr>
        <w:t>’</w:t>
      </w:r>
      <w:r w:rsidRPr="00690A12">
        <w:rPr>
          <w:lang w:val="fr-CA"/>
        </w:rPr>
        <w:t xml:space="preserve">augmentation ou de </w:t>
      </w:r>
      <w:r>
        <w:rPr>
          <w:lang w:val="fr-CA"/>
        </w:rPr>
        <w:t>réduction</w:t>
      </w:r>
      <w:r w:rsidRPr="00690A12">
        <w:rPr>
          <w:lang w:val="fr-CA"/>
        </w:rPr>
        <w:t xml:space="preserve"> nette des titres réglementaires</w:t>
      </w:r>
      <w:r>
        <w:rPr>
          <w:lang w:val="fr-CA"/>
        </w:rPr>
        <w:t>.</w:t>
      </w:r>
      <w:r w:rsidR="009647E5">
        <w:rPr>
          <w:lang w:val="fr-CA"/>
        </w:rPr>
        <w:t> </w:t>
      </w:r>
      <w:r>
        <w:rPr>
          <w:lang w:val="fr-CA"/>
        </w:rPr>
        <w:t>»</w:t>
      </w:r>
      <w:r w:rsidRPr="00690A12">
        <w:rPr>
          <w:lang w:val="fr-CA"/>
        </w:rPr>
        <w:t xml:space="preserve"> </w:t>
      </w:r>
    </w:p>
    <w:p w:rsidRPr="006137DA" w:rsidR="006137DA" w:rsidP="00B91619" w:rsidRDefault="006137DA" w14:paraId="2D4754A2" w14:textId="77777777">
      <w:pPr>
        <w:tabs>
          <w:tab w:val="left" w:pos="9356"/>
        </w:tabs>
        <w:spacing w:after="0" w:line="240" w:lineRule="auto"/>
        <w:rPr>
          <w:lang w:val="fr-CA"/>
        </w:rPr>
      </w:pPr>
    </w:p>
    <w:p w:rsidRPr="00FA558D" w:rsidR="00B91619" w:rsidP="00B91619" w:rsidRDefault="00B91619" w14:paraId="1EB34EB8" w14:textId="77777777">
      <w:pPr>
        <w:tabs>
          <w:tab w:val="left" w:pos="9356"/>
        </w:tabs>
        <w:spacing w:after="0" w:line="240" w:lineRule="auto"/>
        <w:rPr>
          <w:b/>
          <w:lang w:val="fr-CA"/>
        </w:rPr>
      </w:pPr>
      <w:r>
        <w:rPr>
          <w:b/>
          <w:lang w:val="fr-CA"/>
        </w:rPr>
        <w:t>Abrogation d’un règlement et remplacement par un autre</w:t>
      </w:r>
      <w:r w:rsidRPr="00FA558D">
        <w:rPr>
          <w:b/>
          <w:lang w:val="fr-CA"/>
        </w:rPr>
        <w:t xml:space="preserve"> (</w:t>
      </w:r>
      <w:r>
        <w:rPr>
          <w:b/>
          <w:lang w:val="fr-CA"/>
        </w:rPr>
        <w:t>réduction nette</w:t>
      </w:r>
      <w:r w:rsidRPr="00FA558D">
        <w:rPr>
          <w:b/>
          <w:lang w:val="fr-CA"/>
        </w:rPr>
        <w:t>)</w:t>
      </w:r>
    </w:p>
    <w:p w:rsidRPr="00FA558D" w:rsidR="00B91619" w:rsidP="00B91619" w:rsidRDefault="00B91619" w14:paraId="5FDFB45F" w14:textId="4BBE1D97">
      <w:pPr>
        <w:tabs>
          <w:tab w:val="left" w:pos="9356"/>
        </w:tabs>
        <w:spacing w:after="0" w:line="240" w:lineRule="auto"/>
        <w:rPr>
          <w:lang w:val="fr-CA"/>
        </w:rPr>
      </w:pPr>
      <w:r>
        <w:rPr>
          <w:lang w:val="fr-CA"/>
        </w:rPr>
        <w:t>Le projet</w:t>
      </w:r>
      <w:r w:rsidRPr="00FA558D">
        <w:rPr>
          <w:lang w:val="fr-CA"/>
        </w:rPr>
        <w:t xml:space="preserve"> intro</w:t>
      </w:r>
      <w:r>
        <w:rPr>
          <w:lang w:val="fr-CA"/>
        </w:rPr>
        <w:t>duit un nouveau titre réglementaire et abroge</w:t>
      </w:r>
      <w:r w:rsidRPr="00FA558D">
        <w:rPr>
          <w:lang w:val="fr-CA"/>
        </w:rPr>
        <w:t xml:space="preserve"> </w:t>
      </w:r>
      <w:r>
        <w:rPr>
          <w:b/>
          <w:lang w:val="fr-CA"/>
        </w:rPr>
        <w:t>plus d’un</w:t>
      </w:r>
      <w:r w:rsidRPr="00FA558D">
        <w:rPr>
          <w:lang w:val="fr-CA"/>
        </w:rPr>
        <w:t xml:space="preserve"> </w:t>
      </w:r>
      <w:r>
        <w:rPr>
          <w:lang w:val="fr-CA"/>
        </w:rPr>
        <w:t>titre réglementaire existant qui abord</w:t>
      </w:r>
      <w:r w:rsidR="00EC2B82">
        <w:rPr>
          <w:lang w:val="fr-CA"/>
        </w:rPr>
        <w:t>e</w:t>
      </w:r>
      <w:r>
        <w:rPr>
          <w:lang w:val="fr-CA"/>
        </w:rPr>
        <w:t xml:space="preserve"> </w:t>
      </w:r>
      <w:r w:rsidR="00702F86">
        <w:rPr>
          <w:lang w:val="fr-CA"/>
        </w:rPr>
        <w:t xml:space="preserve">essentiellement </w:t>
      </w:r>
      <w:r>
        <w:rPr>
          <w:lang w:val="fr-CA"/>
        </w:rPr>
        <w:t>la même question</w:t>
      </w:r>
      <w:r w:rsidRPr="00FA558D">
        <w:rPr>
          <w:lang w:val="fr-CA"/>
        </w:rPr>
        <w:t>.</w:t>
      </w:r>
    </w:p>
    <w:p w:rsidRPr="00FA558D" w:rsidR="00B91619" w:rsidP="00B91619" w:rsidRDefault="00B91619" w14:paraId="24177DF3" w14:textId="77777777">
      <w:pPr>
        <w:pStyle w:val="ListParagraph"/>
        <w:tabs>
          <w:tab w:val="left" w:pos="9356"/>
        </w:tabs>
        <w:spacing w:after="0" w:line="240" w:lineRule="auto"/>
        <w:ind w:left="360"/>
        <w:rPr>
          <w:lang w:val="fr-CA"/>
        </w:rPr>
      </w:pPr>
    </w:p>
    <w:p w:rsidRPr="00FA558D" w:rsidR="00B91619" w:rsidP="00B91619" w:rsidRDefault="00B91619" w14:paraId="34479A29" w14:textId="0C4ECC08">
      <w:pPr>
        <w:tabs>
          <w:tab w:val="left" w:pos="9356"/>
        </w:tabs>
        <w:spacing w:after="0" w:line="240" w:lineRule="auto"/>
        <w:rPr>
          <w:lang w:val="fr-CA"/>
        </w:rPr>
      </w:pPr>
      <w:r>
        <w:rPr>
          <w:lang w:val="fr-CA"/>
        </w:rPr>
        <w:t xml:space="preserve">Dans </w:t>
      </w:r>
      <w:r w:rsidR="00114F65">
        <w:rPr>
          <w:lang w:val="fr-CA"/>
        </w:rPr>
        <w:t>ce scénario</w:t>
      </w:r>
      <w:r>
        <w:rPr>
          <w:lang w:val="fr-CA"/>
        </w:rPr>
        <w:t>, l’élément</w:t>
      </w:r>
      <w:r w:rsidRPr="00FA558D">
        <w:rPr>
          <w:lang w:val="fr-CA"/>
        </w:rPr>
        <w:t> B</w:t>
      </w:r>
      <w:r>
        <w:rPr>
          <w:lang w:val="fr-CA"/>
        </w:rPr>
        <w:t xml:space="preserve"> de la règle</w:t>
      </w:r>
      <w:r w:rsidRPr="00FA558D">
        <w:rPr>
          <w:lang w:val="fr-CA"/>
        </w:rPr>
        <w:t xml:space="preserve"> </w:t>
      </w:r>
      <w:r>
        <w:rPr>
          <w:lang w:val="fr-CA"/>
        </w:rPr>
        <w:t>s’applique</w:t>
      </w:r>
      <w:r w:rsidRPr="00FA558D">
        <w:rPr>
          <w:lang w:val="fr-CA"/>
        </w:rPr>
        <w:t>,</w:t>
      </w:r>
      <w:r>
        <w:rPr>
          <w:lang w:val="fr-CA"/>
        </w:rPr>
        <w:t xml:space="preserve"> et la diffé</w:t>
      </w:r>
      <w:r w:rsidRPr="00FA558D">
        <w:rPr>
          <w:lang w:val="fr-CA"/>
        </w:rPr>
        <w:t>rence</w:t>
      </w:r>
      <w:r>
        <w:rPr>
          <w:lang w:val="fr-CA"/>
        </w:rPr>
        <w:t xml:space="preserve"> nette </w:t>
      </w:r>
      <w:r w:rsidR="00114F65">
        <w:rPr>
          <w:lang w:val="fr-CA"/>
        </w:rPr>
        <w:t>dans</w:t>
      </w:r>
      <w:r>
        <w:rPr>
          <w:lang w:val="fr-CA"/>
        </w:rPr>
        <w:t xml:space="preserve"> les titres réglementaire</w:t>
      </w:r>
      <w:r w:rsidRPr="00FA558D">
        <w:rPr>
          <w:lang w:val="fr-CA"/>
        </w:rPr>
        <w:t>s</w:t>
      </w:r>
      <w:r>
        <w:rPr>
          <w:lang w:val="fr-CA"/>
        </w:rPr>
        <w:t xml:space="preserve"> est prise en compte comme une </w:t>
      </w:r>
      <w:r w:rsidR="00114F65">
        <w:rPr>
          <w:lang w:val="fr-CA"/>
        </w:rPr>
        <w:t>suppression</w:t>
      </w:r>
      <w:r>
        <w:rPr>
          <w:lang w:val="fr-CA"/>
        </w:rPr>
        <w:t xml:space="preserve"> de </w:t>
      </w:r>
      <w:r w:rsidR="00114F65">
        <w:rPr>
          <w:lang w:val="fr-CA"/>
        </w:rPr>
        <w:t>titres</w:t>
      </w:r>
      <w:r w:rsidRPr="00FA558D">
        <w:rPr>
          <w:lang w:val="fr-CA"/>
        </w:rPr>
        <w:t xml:space="preserve">. </w:t>
      </w:r>
    </w:p>
    <w:p w:rsidRPr="00FA558D" w:rsidR="00B91619" w:rsidP="00B91619" w:rsidRDefault="00B91619" w14:paraId="39F1EA4A" w14:textId="77777777">
      <w:pPr>
        <w:pStyle w:val="ListParagraph"/>
        <w:tabs>
          <w:tab w:val="left" w:pos="9356"/>
        </w:tabs>
        <w:spacing w:after="0" w:line="240" w:lineRule="auto"/>
        <w:ind w:left="360"/>
        <w:rPr>
          <w:lang w:val="fr-CA"/>
        </w:rPr>
      </w:pPr>
    </w:p>
    <w:p w:rsidRPr="00FA558D" w:rsidR="00B91619" w:rsidP="00B91619" w:rsidRDefault="00B91619" w14:paraId="10B5F918" w14:textId="45F60621">
      <w:pPr>
        <w:tabs>
          <w:tab w:val="left" w:pos="9356"/>
        </w:tabs>
        <w:spacing w:after="0" w:line="240" w:lineRule="auto"/>
        <w:rPr>
          <w:lang w:val="fr-CA"/>
        </w:rPr>
      </w:pPr>
      <w:r>
        <w:rPr>
          <w:lang w:val="fr-CA"/>
        </w:rPr>
        <w:t>La section sur la règle du « un pour un » du REIR</w:t>
      </w:r>
      <w:r w:rsidRPr="00FA558D">
        <w:rPr>
          <w:lang w:val="fr-CA"/>
        </w:rPr>
        <w:t xml:space="preserve"> </w:t>
      </w:r>
      <w:r>
        <w:rPr>
          <w:lang w:val="fr-CA"/>
        </w:rPr>
        <w:t>doit comprendre le libellé suivant :</w:t>
      </w:r>
      <w:r w:rsidRPr="00FA558D">
        <w:rPr>
          <w:lang w:val="fr-CA"/>
        </w:rPr>
        <w:t xml:space="preserve"> </w:t>
      </w:r>
      <w:r>
        <w:rPr>
          <w:lang w:val="fr-CA"/>
        </w:rPr>
        <w:t>« Le projet</w:t>
      </w:r>
      <w:r w:rsidRPr="00FA558D">
        <w:rPr>
          <w:lang w:val="fr-CA"/>
        </w:rPr>
        <w:t xml:space="preserve"> </w:t>
      </w:r>
      <w:r>
        <w:rPr>
          <w:lang w:val="fr-CA"/>
        </w:rPr>
        <w:t>abroge</w:t>
      </w:r>
      <w:r w:rsidRPr="00FA558D">
        <w:rPr>
          <w:lang w:val="fr-CA"/>
        </w:rPr>
        <w:t xml:space="preserve"> [</w:t>
      </w:r>
      <w:r>
        <w:rPr>
          <w:lang w:val="fr-CA"/>
        </w:rPr>
        <w:t>indiquer le nombre</w:t>
      </w:r>
      <w:r w:rsidRPr="00FA558D">
        <w:rPr>
          <w:lang w:val="fr-CA"/>
        </w:rPr>
        <w:t xml:space="preserve">] </w:t>
      </w:r>
      <w:r>
        <w:rPr>
          <w:lang w:val="fr-CA"/>
        </w:rPr>
        <w:t>titres réglementaire</w:t>
      </w:r>
      <w:r w:rsidRPr="00FA558D">
        <w:rPr>
          <w:lang w:val="fr-CA"/>
        </w:rPr>
        <w:t>s</w:t>
      </w:r>
      <w:r>
        <w:rPr>
          <w:lang w:val="fr-CA"/>
        </w:rPr>
        <w:t xml:space="preserve"> existants et les remplace</w:t>
      </w:r>
      <w:r w:rsidRPr="00FA558D">
        <w:rPr>
          <w:lang w:val="fr-CA"/>
        </w:rPr>
        <w:t xml:space="preserve"> </w:t>
      </w:r>
      <w:r>
        <w:rPr>
          <w:lang w:val="fr-CA"/>
        </w:rPr>
        <w:t xml:space="preserve">par un nouveau titre réglementaire. Par conséquent, un nombre net de </w:t>
      </w:r>
      <w:r w:rsidRPr="00FA558D">
        <w:rPr>
          <w:lang w:val="fr-CA"/>
        </w:rPr>
        <w:t>[</w:t>
      </w:r>
      <w:r>
        <w:rPr>
          <w:lang w:val="fr-CA"/>
        </w:rPr>
        <w:t>indiquer le nombre</w:t>
      </w:r>
      <w:r w:rsidRPr="00FA558D">
        <w:rPr>
          <w:lang w:val="fr-CA"/>
        </w:rPr>
        <w:t xml:space="preserve">] </w:t>
      </w:r>
      <w:r w:rsidR="00114F65">
        <w:rPr>
          <w:lang w:val="fr-CA"/>
        </w:rPr>
        <w:t>titres</w:t>
      </w:r>
      <w:r>
        <w:rPr>
          <w:lang w:val="fr-CA"/>
        </w:rPr>
        <w:t xml:space="preserve"> supprimés </w:t>
      </w:r>
      <w:r w:rsidR="007C1161">
        <w:rPr>
          <w:lang w:val="fr-CA"/>
        </w:rPr>
        <w:t>a</w:t>
      </w:r>
      <w:r>
        <w:rPr>
          <w:lang w:val="fr-CA"/>
        </w:rPr>
        <w:t xml:space="preserve"> été pris en compte</w:t>
      </w:r>
      <w:r w:rsidRPr="00FA558D">
        <w:rPr>
          <w:lang w:val="fr-CA"/>
        </w:rPr>
        <w:t xml:space="preserve"> </w:t>
      </w:r>
      <w:r>
        <w:rPr>
          <w:lang w:val="fr-CA"/>
        </w:rPr>
        <w:t>en vertu de la règle</w:t>
      </w:r>
      <w:r w:rsidRPr="00FA558D">
        <w:rPr>
          <w:lang w:val="fr-CA"/>
        </w:rPr>
        <w:t>.</w:t>
      </w:r>
      <w:r>
        <w:rPr>
          <w:lang w:val="fr-CA"/>
        </w:rPr>
        <w:t> »</w:t>
      </w:r>
    </w:p>
    <w:p w:rsidRPr="00FA558D" w:rsidR="00B91619" w:rsidP="00B91619" w:rsidRDefault="00B91619" w14:paraId="3021C9E3" w14:textId="77777777">
      <w:pPr>
        <w:pStyle w:val="ListParagraph"/>
        <w:tabs>
          <w:tab w:val="left" w:pos="9356"/>
        </w:tabs>
        <w:spacing w:after="0" w:line="240" w:lineRule="auto"/>
        <w:ind w:left="360"/>
        <w:rPr>
          <w:lang w:val="fr-CA"/>
        </w:rPr>
      </w:pPr>
    </w:p>
    <w:p w:rsidRPr="00FA558D" w:rsidR="00B91619" w:rsidP="00B91619" w:rsidRDefault="00B91619" w14:paraId="1B4ADDD6" w14:textId="1E9D745B">
      <w:pPr>
        <w:tabs>
          <w:tab w:val="left" w:pos="9356"/>
        </w:tabs>
        <w:spacing w:after="0" w:line="240" w:lineRule="auto"/>
        <w:rPr>
          <w:lang w:val="fr-CA"/>
        </w:rPr>
      </w:pPr>
      <w:r>
        <w:rPr>
          <w:lang w:val="fr-CA"/>
        </w:rPr>
        <w:t>Cet énoncé</w:t>
      </w:r>
      <w:r w:rsidRPr="00FA558D">
        <w:rPr>
          <w:lang w:val="fr-CA"/>
        </w:rPr>
        <w:t xml:space="preserve"> </w:t>
      </w:r>
      <w:r w:rsidR="00114F65">
        <w:rPr>
          <w:lang w:val="fr-CA"/>
        </w:rPr>
        <w:t>serait</w:t>
      </w:r>
      <w:r>
        <w:rPr>
          <w:lang w:val="fr-CA"/>
        </w:rPr>
        <w:t xml:space="preserve"> suivi</w:t>
      </w:r>
      <w:r w:rsidRPr="00FA558D">
        <w:rPr>
          <w:lang w:val="fr-CA"/>
        </w:rPr>
        <w:t xml:space="preserve"> </w:t>
      </w:r>
      <w:r w:rsidR="00114F65">
        <w:rPr>
          <w:lang w:val="fr-CA"/>
        </w:rPr>
        <w:t>de</w:t>
      </w:r>
      <w:r>
        <w:rPr>
          <w:lang w:val="fr-CA"/>
        </w:rPr>
        <w:t xml:space="preserve"> l’analyse</w:t>
      </w:r>
      <w:r w:rsidRPr="00FA558D">
        <w:rPr>
          <w:lang w:val="fr-CA"/>
        </w:rPr>
        <w:t xml:space="preserve"> </w:t>
      </w:r>
      <w:r>
        <w:rPr>
          <w:lang w:val="fr-CA"/>
        </w:rPr>
        <w:t>menée selon les exigences</w:t>
      </w:r>
      <w:r w:rsidRPr="00FA558D">
        <w:rPr>
          <w:lang w:val="fr-CA"/>
        </w:rPr>
        <w:t xml:space="preserve">. </w:t>
      </w:r>
    </w:p>
    <w:p w:rsidR="00B91619" w:rsidP="00B91619" w:rsidRDefault="00B91619" w14:paraId="222D2273" w14:textId="77777777">
      <w:pPr>
        <w:tabs>
          <w:tab w:val="left" w:pos="9356"/>
        </w:tabs>
        <w:spacing w:after="0" w:line="240" w:lineRule="auto"/>
        <w:rPr>
          <w:lang w:val="fr-CA"/>
        </w:rPr>
      </w:pPr>
    </w:p>
    <w:p w:rsidRPr="00690A12" w:rsidR="000B50F5" w:rsidP="000B50F5" w:rsidRDefault="000B50F5" w14:paraId="2D90783E" w14:textId="52FA412B">
      <w:pPr>
        <w:tabs>
          <w:tab w:val="left" w:pos="9356"/>
        </w:tabs>
        <w:spacing w:after="0" w:line="240" w:lineRule="auto"/>
        <w:rPr>
          <w:b/>
          <w:bCs/>
          <w:lang w:val="fr-CA"/>
        </w:rPr>
      </w:pPr>
      <w:r w:rsidRPr="00690A12">
        <w:rPr>
          <w:b/>
          <w:bCs/>
          <w:lang w:val="fr-CA"/>
        </w:rPr>
        <w:t>Abrogations automatiques</w:t>
      </w:r>
    </w:p>
    <w:p w:rsidRPr="00690A12" w:rsidR="000B50F5" w:rsidP="00690A12" w:rsidRDefault="000B50F5" w14:paraId="5AA6D66A" w14:textId="06325666">
      <w:pPr>
        <w:tabs>
          <w:tab w:val="left" w:pos="9356"/>
        </w:tabs>
        <w:spacing w:after="0" w:line="240" w:lineRule="auto"/>
        <w:rPr>
          <w:lang w:val="fr-CA"/>
        </w:rPr>
      </w:pPr>
      <w:r w:rsidRPr="00690A12">
        <w:rPr>
          <w:lang w:val="fr-CA"/>
        </w:rPr>
        <w:t>Lorsqu</w:t>
      </w:r>
      <w:r w:rsidR="009647E5">
        <w:rPr>
          <w:lang w:val="fr-CA"/>
        </w:rPr>
        <w:t>’</w:t>
      </w:r>
      <w:r w:rsidRPr="00690A12">
        <w:rPr>
          <w:lang w:val="fr-CA"/>
        </w:rPr>
        <w:t>un nouveau règlement comporte une clause d</w:t>
      </w:r>
      <w:r w:rsidR="009647E5">
        <w:rPr>
          <w:lang w:val="fr-CA"/>
        </w:rPr>
        <w:t>’</w:t>
      </w:r>
      <w:r w:rsidRPr="00690A12">
        <w:rPr>
          <w:lang w:val="fr-CA"/>
        </w:rPr>
        <w:t xml:space="preserve">abrogation à </w:t>
      </w:r>
      <w:r w:rsidR="00302288">
        <w:rPr>
          <w:lang w:val="fr-CA"/>
        </w:rPr>
        <w:t>une date ultérieure quelconque</w:t>
      </w:r>
      <w:r w:rsidRPr="00690A12">
        <w:rPr>
          <w:lang w:val="fr-CA"/>
        </w:rPr>
        <w:t>, ne comptez pas l</w:t>
      </w:r>
      <w:r w:rsidR="009647E5">
        <w:rPr>
          <w:lang w:val="fr-CA"/>
        </w:rPr>
        <w:t>’</w:t>
      </w:r>
      <w:r w:rsidRPr="00690A12">
        <w:rPr>
          <w:lang w:val="fr-CA"/>
        </w:rPr>
        <w:t>effet de l</w:t>
      </w:r>
      <w:r w:rsidR="009647E5">
        <w:rPr>
          <w:lang w:val="fr-CA"/>
        </w:rPr>
        <w:t>’</w:t>
      </w:r>
      <w:r w:rsidRPr="00690A12">
        <w:rPr>
          <w:lang w:val="fr-CA"/>
        </w:rPr>
        <w:t>abrogation au moment de l</w:t>
      </w:r>
      <w:r w:rsidR="009647E5">
        <w:rPr>
          <w:lang w:val="fr-CA"/>
        </w:rPr>
        <w:t>’</w:t>
      </w:r>
      <w:r w:rsidRPr="00690A12">
        <w:rPr>
          <w:lang w:val="fr-CA"/>
        </w:rPr>
        <w:t xml:space="preserve">introduction du règlement. </w:t>
      </w:r>
      <w:r w:rsidR="00302288">
        <w:rPr>
          <w:lang w:val="fr-CA"/>
        </w:rPr>
        <w:t>Indiquez plutôt</w:t>
      </w:r>
      <w:r w:rsidRPr="00A32B4F" w:rsidR="00302288">
        <w:rPr>
          <w:lang w:val="fr-CA"/>
        </w:rPr>
        <w:t xml:space="preserve"> </w:t>
      </w:r>
      <w:r w:rsidRPr="00D42940" w:rsidR="00E16C6F">
        <w:rPr>
          <w:lang w:val="fr-CA"/>
        </w:rPr>
        <w:t>dans la section de la règle</w:t>
      </w:r>
      <w:r w:rsidR="00E16C6F">
        <w:rPr>
          <w:lang w:val="fr-CA"/>
        </w:rPr>
        <w:t xml:space="preserve"> du «</w:t>
      </w:r>
      <w:r w:rsidR="009647E5">
        <w:rPr>
          <w:lang w:val="fr-CA"/>
        </w:rPr>
        <w:t> </w:t>
      </w:r>
      <w:r w:rsidRPr="00D42940" w:rsidR="00E16C6F">
        <w:rPr>
          <w:lang w:val="fr-CA"/>
        </w:rPr>
        <w:t>un pour un</w:t>
      </w:r>
      <w:r w:rsidR="009647E5">
        <w:rPr>
          <w:lang w:val="fr-CA"/>
        </w:rPr>
        <w:t> </w:t>
      </w:r>
      <w:r w:rsidR="00E16C6F">
        <w:rPr>
          <w:lang w:val="fr-CA"/>
        </w:rPr>
        <w:t xml:space="preserve">» </w:t>
      </w:r>
      <w:r w:rsidRPr="00A32B4F" w:rsidR="00302288">
        <w:rPr>
          <w:lang w:val="fr-CA"/>
        </w:rPr>
        <w:t xml:space="preserve">que le règlement est </w:t>
      </w:r>
      <w:r w:rsidR="00302288">
        <w:rPr>
          <w:lang w:val="fr-CA"/>
        </w:rPr>
        <w:t>visé par</w:t>
      </w:r>
      <w:r w:rsidRPr="00A32B4F" w:rsidR="00302288">
        <w:rPr>
          <w:lang w:val="fr-CA"/>
        </w:rPr>
        <w:t xml:space="preserve"> une abrogation automatique</w:t>
      </w:r>
      <w:r w:rsidRPr="00690A12">
        <w:rPr>
          <w:lang w:val="fr-CA"/>
        </w:rPr>
        <w:t>.</w:t>
      </w:r>
      <w:r w:rsidR="00302288">
        <w:rPr>
          <w:lang w:val="fr-CA"/>
        </w:rPr>
        <w:t xml:space="preserve"> S</w:t>
      </w:r>
      <w:r w:rsidRPr="00690A12">
        <w:rPr>
          <w:lang w:val="fr-CA"/>
        </w:rPr>
        <w:t xml:space="preserve">urveillez </w:t>
      </w:r>
      <w:r w:rsidR="00302288">
        <w:rPr>
          <w:lang w:val="fr-CA"/>
        </w:rPr>
        <w:t xml:space="preserve">ensuite </w:t>
      </w:r>
      <w:r w:rsidRPr="00690A12">
        <w:rPr>
          <w:lang w:val="fr-CA"/>
        </w:rPr>
        <w:t>les conditions d</w:t>
      </w:r>
      <w:r w:rsidR="009647E5">
        <w:rPr>
          <w:lang w:val="fr-CA"/>
        </w:rPr>
        <w:t>’</w:t>
      </w:r>
      <w:r w:rsidRPr="00690A12">
        <w:rPr>
          <w:lang w:val="fr-CA"/>
        </w:rPr>
        <w:t>abrogation dans votre suivi du solde de l</w:t>
      </w:r>
      <w:r w:rsidR="009647E5">
        <w:rPr>
          <w:lang w:val="fr-CA"/>
        </w:rPr>
        <w:t>’</w:t>
      </w:r>
      <w:r w:rsidRPr="00690A12">
        <w:rPr>
          <w:lang w:val="fr-CA"/>
        </w:rPr>
        <w:t xml:space="preserve">élément B et, </w:t>
      </w:r>
      <w:r w:rsidR="00302288">
        <w:rPr>
          <w:lang w:val="fr-CA"/>
        </w:rPr>
        <w:t>s’il y a lieu</w:t>
      </w:r>
      <w:r w:rsidRPr="00690A12">
        <w:rPr>
          <w:lang w:val="fr-CA"/>
        </w:rPr>
        <w:t xml:space="preserve">, </w:t>
      </w:r>
      <w:r w:rsidR="009647E5">
        <w:rPr>
          <w:lang w:val="fr-CA"/>
        </w:rPr>
        <w:t>du</w:t>
      </w:r>
      <w:r w:rsidRPr="00690A12">
        <w:rPr>
          <w:lang w:val="fr-CA"/>
        </w:rPr>
        <w:t xml:space="preserve"> solde de l</w:t>
      </w:r>
      <w:r w:rsidR="009647E5">
        <w:rPr>
          <w:lang w:val="fr-CA"/>
        </w:rPr>
        <w:t>’</w:t>
      </w:r>
      <w:r w:rsidRPr="00690A12">
        <w:rPr>
          <w:lang w:val="fr-CA"/>
        </w:rPr>
        <w:t xml:space="preserve">élément A. </w:t>
      </w:r>
    </w:p>
    <w:p w:rsidRPr="00690A12" w:rsidR="000B50F5" w:rsidP="00690A12" w:rsidRDefault="000B50F5" w14:paraId="4D7C94A5" w14:textId="77777777">
      <w:pPr>
        <w:pStyle w:val="ListParagraph"/>
        <w:tabs>
          <w:tab w:val="left" w:pos="9356"/>
        </w:tabs>
        <w:spacing w:after="0" w:line="240" w:lineRule="auto"/>
        <w:rPr>
          <w:lang w:val="fr-CA"/>
        </w:rPr>
      </w:pPr>
    </w:p>
    <w:p w:rsidRPr="00690A12" w:rsidR="000B50F5" w:rsidP="00690A12" w:rsidRDefault="000B50F5" w14:paraId="3F5F6C9C" w14:textId="64F442E7">
      <w:pPr>
        <w:tabs>
          <w:tab w:val="left" w:pos="9356"/>
        </w:tabs>
        <w:spacing w:after="0" w:line="240" w:lineRule="auto"/>
        <w:rPr>
          <w:lang w:val="fr-CA"/>
        </w:rPr>
      </w:pPr>
      <w:r w:rsidRPr="00690A12">
        <w:rPr>
          <w:lang w:val="fr-CA"/>
        </w:rPr>
        <w:t xml:space="preserve">La section </w:t>
      </w:r>
      <w:r w:rsidR="00302288">
        <w:rPr>
          <w:lang w:val="fr-CA"/>
        </w:rPr>
        <w:t>de</w:t>
      </w:r>
      <w:r w:rsidRPr="00690A12">
        <w:rPr>
          <w:lang w:val="fr-CA"/>
        </w:rPr>
        <w:t xml:space="preserve"> la règle </w:t>
      </w:r>
      <w:r w:rsidR="00302288">
        <w:rPr>
          <w:lang w:val="fr-CA"/>
        </w:rPr>
        <w:t>du «</w:t>
      </w:r>
      <w:r w:rsidR="009647E5">
        <w:rPr>
          <w:lang w:val="fr-CA"/>
        </w:rPr>
        <w:t> </w:t>
      </w:r>
      <w:r w:rsidRPr="00690A12">
        <w:rPr>
          <w:lang w:val="fr-CA"/>
        </w:rPr>
        <w:t>un pour un</w:t>
      </w:r>
      <w:r w:rsidR="009647E5">
        <w:rPr>
          <w:lang w:val="fr-CA"/>
        </w:rPr>
        <w:t> </w:t>
      </w:r>
      <w:r w:rsidR="00302288">
        <w:rPr>
          <w:lang w:val="fr-CA"/>
        </w:rPr>
        <w:t>»</w:t>
      </w:r>
      <w:r w:rsidRPr="00690A12">
        <w:rPr>
          <w:lang w:val="fr-CA"/>
        </w:rPr>
        <w:t xml:space="preserve"> d</w:t>
      </w:r>
      <w:r w:rsidR="00302288">
        <w:rPr>
          <w:lang w:val="fr-CA"/>
        </w:rPr>
        <w:t>evrait comprendre</w:t>
      </w:r>
      <w:r w:rsidRPr="00690A12">
        <w:rPr>
          <w:lang w:val="fr-CA"/>
        </w:rPr>
        <w:t xml:space="preserve"> le libellé pertinent des sections ci-dessus pour indiquer les </w:t>
      </w:r>
      <w:r w:rsidR="00302288">
        <w:rPr>
          <w:lang w:val="fr-CA"/>
        </w:rPr>
        <w:t>répercussions</w:t>
      </w:r>
      <w:r w:rsidRPr="00690A12">
        <w:rPr>
          <w:lang w:val="fr-CA"/>
        </w:rPr>
        <w:t xml:space="preserve"> de l</w:t>
      </w:r>
      <w:r w:rsidR="009647E5">
        <w:rPr>
          <w:lang w:val="fr-CA"/>
        </w:rPr>
        <w:t>’</w:t>
      </w:r>
      <w:r w:rsidRPr="00690A12">
        <w:rPr>
          <w:lang w:val="fr-CA"/>
        </w:rPr>
        <w:t>élément A du nouveau règlement.</w:t>
      </w:r>
      <w:r w:rsidR="00302288">
        <w:rPr>
          <w:lang w:val="fr-CA"/>
        </w:rPr>
        <w:t xml:space="preserve"> </w:t>
      </w:r>
      <w:r w:rsidRPr="00690A12">
        <w:rPr>
          <w:lang w:val="fr-CA"/>
        </w:rPr>
        <w:t xml:space="preserve">Elle doit également </w:t>
      </w:r>
      <w:r w:rsidR="00302288">
        <w:rPr>
          <w:lang w:val="fr-CA"/>
        </w:rPr>
        <w:t>comprendre</w:t>
      </w:r>
      <w:r w:rsidRPr="00690A12">
        <w:rPr>
          <w:lang w:val="fr-CA"/>
        </w:rPr>
        <w:t xml:space="preserve"> le texte suivant relatif à l</w:t>
      </w:r>
      <w:r w:rsidR="009647E5">
        <w:rPr>
          <w:lang w:val="fr-CA"/>
        </w:rPr>
        <w:t>’</w:t>
      </w:r>
      <w:r w:rsidRPr="00690A12">
        <w:rPr>
          <w:lang w:val="fr-CA"/>
        </w:rPr>
        <w:t xml:space="preserve">élément B, </w:t>
      </w:r>
      <w:r w:rsidR="00302288">
        <w:rPr>
          <w:lang w:val="fr-CA"/>
        </w:rPr>
        <w:t>au besoin</w:t>
      </w:r>
      <w:r w:rsidRPr="00690A12">
        <w:rPr>
          <w:lang w:val="fr-CA"/>
        </w:rPr>
        <w:t xml:space="preserve"> :</w:t>
      </w:r>
    </w:p>
    <w:p w:rsidRPr="00690A12" w:rsidR="000B50F5" w:rsidP="00690A12" w:rsidRDefault="000B50F5" w14:paraId="4AD68160" w14:textId="77777777">
      <w:pPr>
        <w:pStyle w:val="ListParagraph"/>
        <w:tabs>
          <w:tab w:val="left" w:pos="9356"/>
        </w:tabs>
        <w:spacing w:after="0" w:line="240" w:lineRule="auto"/>
        <w:rPr>
          <w:lang w:val="fr-CA"/>
        </w:rPr>
      </w:pPr>
    </w:p>
    <w:p w:rsidRPr="00690A12" w:rsidR="000B50F5" w:rsidP="000B50F5" w:rsidRDefault="000B50F5" w14:paraId="222E1E83" w14:textId="35D7FC6F">
      <w:pPr>
        <w:pStyle w:val="ListParagraph"/>
        <w:numPr>
          <w:ilvl w:val="0"/>
          <w:numId w:val="38"/>
        </w:numPr>
        <w:tabs>
          <w:tab w:val="left" w:pos="9356"/>
        </w:tabs>
        <w:spacing w:after="0" w:line="240" w:lineRule="auto"/>
        <w:rPr>
          <w:lang w:val="fr-CA"/>
        </w:rPr>
      </w:pPr>
      <w:proofErr w:type="gramStart"/>
      <w:r w:rsidRPr="00690A12">
        <w:rPr>
          <w:lang w:val="fr-CA"/>
        </w:rPr>
        <w:t>si</w:t>
      </w:r>
      <w:proofErr w:type="gramEnd"/>
      <w:r w:rsidRPr="00690A12">
        <w:rPr>
          <w:lang w:val="fr-CA"/>
        </w:rPr>
        <w:t xml:space="preserve"> </w:t>
      </w:r>
      <w:r w:rsidRPr="00A32B4F" w:rsidR="00302288">
        <w:rPr>
          <w:lang w:val="fr-CA"/>
        </w:rPr>
        <w:t xml:space="preserve">le nouveau règlement </w:t>
      </w:r>
      <w:r w:rsidRPr="00690A12" w:rsidR="00302288">
        <w:rPr>
          <w:b/>
          <w:bCs/>
          <w:lang w:val="fr-CA"/>
        </w:rPr>
        <w:t>n</w:t>
      </w:r>
      <w:r w:rsidR="000D2086">
        <w:rPr>
          <w:b/>
          <w:bCs/>
          <w:lang w:val="fr-CA"/>
        </w:rPr>
        <w:t>’entraîne</w:t>
      </w:r>
      <w:r w:rsidRPr="00690A12" w:rsidR="00302288">
        <w:rPr>
          <w:b/>
          <w:bCs/>
          <w:lang w:val="fr-CA"/>
        </w:rPr>
        <w:t xml:space="preserve"> pas</w:t>
      </w:r>
      <w:r w:rsidR="00302288">
        <w:rPr>
          <w:lang w:val="fr-CA"/>
        </w:rPr>
        <w:t xml:space="preserve"> l’application de </w:t>
      </w:r>
      <w:r w:rsidRPr="00690A12">
        <w:rPr>
          <w:lang w:val="fr-CA"/>
        </w:rPr>
        <w:t>l</w:t>
      </w:r>
      <w:r w:rsidR="009647E5">
        <w:rPr>
          <w:lang w:val="fr-CA"/>
        </w:rPr>
        <w:t>’</w:t>
      </w:r>
      <w:r w:rsidRPr="00690A12">
        <w:rPr>
          <w:lang w:val="fr-CA"/>
        </w:rPr>
        <w:t>élément A</w:t>
      </w:r>
      <w:r w:rsidR="00302288">
        <w:rPr>
          <w:lang w:val="fr-CA"/>
        </w:rPr>
        <w:t xml:space="preserve"> </w:t>
      </w:r>
      <w:r w:rsidRPr="00690A12">
        <w:rPr>
          <w:lang w:val="fr-CA"/>
        </w:rPr>
        <w:t xml:space="preserve">: </w:t>
      </w:r>
      <w:r w:rsidR="00302288">
        <w:rPr>
          <w:lang w:val="fr-CA"/>
        </w:rPr>
        <w:t>«</w:t>
      </w:r>
      <w:r w:rsidR="009647E5">
        <w:rPr>
          <w:lang w:val="fr-CA"/>
        </w:rPr>
        <w:t> </w:t>
      </w:r>
      <w:r w:rsidRPr="00690A12">
        <w:rPr>
          <w:lang w:val="fr-CA"/>
        </w:rPr>
        <w:t xml:space="preserve">Le règlement sera abrogé automatiquement le (date/condition) et sera </w:t>
      </w:r>
      <w:r w:rsidR="00302288">
        <w:rPr>
          <w:lang w:val="fr-CA"/>
        </w:rPr>
        <w:t>compté</w:t>
      </w:r>
      <w:r w:rsidRPr="00690A12">
        <w:rPr>
          <w:lang w:val="fr-CA"/>
        </w:rPr>
        <w:t xml:space="preserve"> comme un titre supprimé à ce moment-là</w:t>
      </w:r>
      <w:r w:rsidR="00302288">
        <w:rPr>
          <w:lang w:val="fr-CA"/>
        </w:rPr>
        <w:t>;</w:t>
      </w:r>
    </w:p>
    <w:p w:rsidRPr="00690A12" w:rsidR="000B50F5" w:rsidP="00690A12" w:rsidRDefault="000B50F5" w14:paraId="5E554AE0" w14:textId="77777777">
      <w:pPr>
        <w:pStyle w:val="ListParagraph"/>
        <w:tabs>
          <w:tab w:val="left" w:pos="9356"/>
        </w:tabs>
        <w:spacing w:after="0" w:line="240" w:lineRule="auto"/>
        <w:rPr>
          <w:lang w:val="fr-CA"/>
        </w:rPr>
      </w:pPr>
    </w:p>
    <w:p w:rsidRPr="00690A12" w:rsidR="000B50F5" w:rsidP="000B50F5" w:rsidRDefault="00302288" w14:paraId="60082339" w14:textId="033A1221">
      <w:pPr>
        <w:pStyle w:val="ListParagraph"/>
        <w:numPr>
          <w:ilvl w:val="0"/>
          <w:numId w:val="38"/>
        </w:numPr>
        <w:tabs>
          <w:tab w:val="left" w:pos="9356"/>
        </w:tabs>
        <w:spacing w:after="0" w:line="240" w:lineRule="auto"/>
        <w:rPr>
          <w:lang w:val="fr-CA"/>
        </w:rPr>
      </w:pPr>
      <w:proofErr w:type="gramStart"/>
      <w:r>
        <w:rPr>
          <w:lang w:val="fr-CA"/>
        </w:rPr>
        <w:t>s</w:t>
      </w:r>
      <w:r w:rsidRPr="00690A12" w:rsidR="000B50F5">
        <w:rPr>
          <w:lang w:val="fr-CA"/>
        </w:rPr>
        <w:t>i</w:t>
      </w:r>
      <w:proofErr w:type="gramEnd"/>
      <w:r w:rsidRPr="00690A12" w:rsidR="000B50F5">
        <w:rPr>
          <w:lang w:val="fr-CA"/>
        </w:rPr>
        <w:t xml:space="preserve"> </w:t>
      </w:r>
      <w:r w:rsidRPr="00A32B4F">
        <w:rPr>
          <w:lang w:val="fr-CA"/>
        </w:rPr>
        <w:t xml:space="preserve">le nouveau règlement </w:t>
      </w:r>
      <w:r w:rsidR="000D2086">
        <w:rPr>
          <w:b/>
          <w:bCs/>
          <w:lang w:val="fr-CA"/>
        </w:rPr>
        <w:t>entraîne</w:t>
      </w:r>
      <w:r>
        <w:rPr>
          <w:lang w:val="fr-CA"/>
        </w:rPr>
        <w:t xml:space="preserve"> l’application de </w:t>
      </w:r>
      <w:r w:rsidRPr="00A32B4F">
        <w:rPr>
          <w:lang w:val="fr-CA"/>
        </w:rPr>
        <w:t>l</w:t>
      </w:r>
      <w:r w:rsidR="009647E5">
        <w:rPr>
          <w:lang w:val="fr-CA"/>
        </w:rPr>
        <w:t>’</w:t>
      </w:r>
      <w:r w:rsidRPr="00A32B4F">
        <w:rPr>
          <w:lang w:val="fr-CA"/>
        </w:rPr>
        <w:t>élément A</w:t>
      </w:r>
      <w:r>
        <w:rPr>
          <w:lang w:val="fr-CA"/>
        </w:rPr>
        <w:t xml:space="preserve"> </w:t>
      </w:r>
      <w:r w:rsidRPr="00690A12" w:rsidR="000B50F5">
        <w:rPr>
          <w:lang w:val="fr-CA"/>
        </w:rPr>
        <w:t xml:space="preserve">: </w:t>
      </w:r>
      <w:r w:rsidR="009647E5">
        <w:rPr>
          <w:lang w:val="fr-CA"/>
        </w:rPr>
        <w:t>“</w:t>
      </w:r>
      <w:r w:rsidRPr="00690A12" w:rsidR="000B50F5">
        <w:rPr>
          <w:lang w:val="fr-CA"/>
        </w:rPr>
        <w:t>Le règlement sera abrogé automatiquement le (date/condition) et sera co</w:t>
      </w:r>
      <w:r w:rsidR="000D2086">
        <w:rPr>
          <w:lang w:val="fr-CA"/>
        </w:rPr>
        <w:t>mpté</w:t>
      </w:r>
      <w:r w:rsidRPr="00690A12" w:rsidR="000B50F5">
        <w:rPr>
          <w:lang w:val="fr-CA"/>
        </w:rPr>
        <w:t xml:space="preserve"> comme un titre </w:t>
      </w:r>
      <w:r w:rsidR="000D2086">
        <w:rPr>
          <w:lang w:val="fr-CA"/>
        </w:rPr>
        <w:t>supprimé</w:t>
      </w:r>
      <w:r w:rsidRPr="00690A12" w:rsidR="000B50F5">
        <w:rPr>
          <w:lang w:val="fr-CA"/>
        </w:rPr>
        <w:t xml:space="preserve"> à ce moment-là. En outre, l</w:t>
      </w:r>
      <w:r w:rsidR="000D2086">
        <w:rPr>
          <w:lang w:val="fr-CA"/>
        </w:rPr>
        <w:t xml:space="preserve">e fardeau administratif imposé </w:t>
      </w:r>
      <w:r w:rsidRPr="00690A12" w:rsidR="000B50F5">
        <w:rPr>
          <w:lang w:val="fr-CA"/>
        </w:rPr>
        <w:t xml:space="preserve">actuellement </w:t>
      </w:r>
      <w:r w:rsidR="000D2086">
        <w:rPr>
          <w:lang w:val="fr-CA"/>
        </w:rPr>
        <w:t>aux</w:t>
      </w:r>
      <w:r w:rsidRPr="00690A12" w:rsidR="000B50F5">
        <w:rPr>
          <w:lang w:val="fr-CA"/>
        </w:rPr>
        <w:t xml:space="preserve"> entreprises sera </w:t>
      </w:r>
      <w:r w:rsidR="000D2086">
        <w:rPr>
          <w:lang w:val="fr-CA"/>
        </w:rPr>
        <w:t>éliminé</w:t>
      </w:r>
      <w:r w:rsidRPr="00690A12" w:rsidR="000B50F5">
        <w:rPr>
          <w:lang w:val="fr-CA"/>
        </w:rPr>
        <w:t xml:space="preserve"> à ce moment-là.</w:t>
      </w:r>
    </w:p>
    <w:p w:rsidRPr="00302288" w:rsidR="000B50F5" w:rsidP="00B91619" w:rsidRDefault="000B50F5" w14:paraId="27CDB668" w14:textId="77777777">
      <w:pPr>
        <w:tabs>
          <w:tab w:val="left" w:pos="9356"/>
        </w:tabs>
        <w:spacing w:after="0" w:line="240" w:lineRule="auto"/>
        <w:rPr>
          <w:lang w:val="fr-CA"/>
        </w:rPr>
      </w:pPr>
    </w:p>
    <w:p w:rsidRPr="00FA558D" w:rsidR="00B91619" w:rsidP="00B91619" w:rsidRDefault="00B91619" w14:paraId="388F6919" w14:textId="77777777">
      <w:pPr>
        <w:pStyle w:val="Heading4"/>
        <w:rPr>
          <w:lang w:val="fr-CA"/>
        </w:rPr>
      </w:pPr>
      <w:r w:rsidRPr="00FA558D">
        <w:rPr>
          <w:lang w:val="fr-CA"/>
        </w:rPr>
        <w:t>Exemptions</w:t>
      </w:r>
    </w:p>
    <w:p w:rsidRPr="00FA558D" w:rsidR="00B91619" w:rsidP="00B91619" w:rsidRDefault="00B91619" w14:paraId="70BFBD52" w14:textId="77777777">
      <w:pPr>
        <w:tabs>
          <w:tab w:val="left" w:pos="9356"/>
        </w:tabs>
        <w:spacing w:after="0" w:line="240" w:lineRule="auto"/>
        <w:rPr>
          <w:lang w:val="fr-CA"/>
        </w:rPr>
      </w:pPr>
    </w:p>
    <w:p w:rsidRPr="00FA558D" w:rsidR="00B91619" w:rsidP="00B91619" w:rsidRDefault="00B91619" w14:paraId="06CED972" w14:textId="69D8A2E9">
      <w:pPr>
        <w:tabs>
          <w:tab w:val="left" w:pos="9356"/>
        </w:tabs>
        <w:spacing w:after="0" w:line="240" w:lineRule="auto"/>
        <w:rPr>
          <w:lang w:val="fr-CA"/>
        </w:rPr>
      </w:pPr>
      <w:r>
        <w:rPr>
          <w:lang w:val="fr-CA"/>
        </w:rPr>
        <w:t>Le Conseil du Trésor</w:t>
      </w:r>
      <w:r w:rsidRPr="00FA558D">
        <w:rPr>
          <w:lang w:val="fr-CA"/>
        </w:rPr>
        <w:t xml:space="preserve"> </w:t>
      </w:r>
      <w:r>
        <w:rPr>
          <w:lang w:val="fr-CA"/>
        </w:rPr>
        <w:t xml:space="preserve">peut </w:t>
      </w:r>
      <w:r w:rsidR="000D2086">
        <w:rPr>
          <w:lang w:val="fr-CA"/>
        </w:rPr>
        <w:t>accorder une exemption de l’</w:t>
      </w:r>
      <w:r w:rsidR="00C13D28">
        <w:rPr>
          <w:lang w:val="fr-CA"/>
        </w:rPr>
        <w:t>obligation</w:t>
      </w:r>
      <w:r w:rsidRPr="00FA558D" w:rsidR="000D2086">
        <w:rPr>
          <w:lang w:val="fr-CA"/>
        </w:rPr>
        <w:t xml:space="preserve"> </w:t>
      </w:r>
      <w:r w:rsidR="000D2086">
        <w:rPr>
          <w:lang w:val="fr-CA"/>
        </w:rPr>
        <w:t>de compenser</w:t>
      </w:r>
      <w:r w:rsidRPr="00FA558D" w:rsidR="000D2086">
        <w:rPr>
          <w:lang w:val="fr-CA"/>
        </w:rPr>
        <w:t xml:space="preserve"> </w:t>
      </w:r>
      <w:r w:rsidR="000D2086">
        <w:rPr>
          <w:lang w:val="fr-CA"/>
        </w:rPr>
        <w:t>tout nouveau fardeau ou ajout de règlement dans le cadre d’un</w:t>
      </w:r>
      <w:r>
        <w:rPr>
          <w:lang w:val="fr-CA"/>
        </w:rPr>
        <w:t xml:space="preserve"> projet</w:t>
      </w:r>
      <w:r w:rsidRPr="00FA558D">
        <w:rPr>
          <w:lang w:val="fr-CA"/>
        </w:rPr>
        <w:t xml:space="preserve">. </w:t>
      </w:r>
      <w:r w:rsidR="000D2086">
        <w:rPr>
          <w:lang w:val="fr-CA"/>
        </w:rPr>
        <w:t>Les paragraphes suivants</w:t>
      </w:r>
      <w:r>
        <w:rPr>
          <w:lang w:val="fr-CA"/>
        </w:rPr>
        <w:t xml:space="preserve"> </w:t>
      </w:r>
      <w:r w:rsidR="000D2086">
        <w:rPr>
          <w:lang w:val="fr-CA"/>
        </w:rPr>
        <w:t xml:space="preserve">contiennent </w:t>
      </w:r>
      <w:r>
        <w:rPr>
          <w:lang w:val="fr-CA"/>
        </w:rPr>
        <w:t>le libellé standard qui doit apparaître dans la section du REIR sur la règle du « un pour un » pour chacune des trois</w:t>
      </w:r>
      <w:r w:rsidRPr="00FA558D">
        <w:rPr>
          <w:lang w:val="fr-CA"/>
        </w:rPr>
        <w:t> </w:t>
      </w:r>
      <w:r>
        <w:rPr>
          <w:lang w:val="fr-CA"/>
        </w:rPr>
        <w:t>catégories d’ex</w:t>
      </w:r>
      <w:r w:rsidRPr="00FA558D">
        <w:rPr>
          <w:lang w:val="fr-CA"/>
        </w:rPr>
        <w:t>emption</w:t>
      </w:r>
      <w:r>
        <w:rPr>
          <w:lang w:val="fr-CA"/>
        </w:rPr>
        <w:t>s</w:t>
      </w:r>
      <w:r w:rsidRPr="00FA558D">
        <w:rPr>
          <w:lang w:val="fr-CA"/>
        </w:rPr>
        <w:t>.</w:t>
      </w:r>
    </w:p>
    <w:p w:rsidRPr="00FA558D" w:rsidR="00B91619" w:rsidP="00B91619" w:rsidRDefault="00B91619" w14:paraId="4878980C" w14:textId="77777777">
      <w:pPr>
        <w:tabs>
          <w:tab w:val="left" w:pos="9356"/>
        </w:tabs>
        <w:spacing w:after="0" w:line="240" w:lineRule="auto"/>
        <w:rPr>
          <w:lang w:val="fr-CA"/>
        </w:rPr>
      </w:pPr>
    </w:p>
    <w:p w:rsidRPr="00FA558D" w:rsidR="00B91619" w:rsidP="00B91619" w:rsidRDefault="000D2086" w14:paraId="556DCF96" w14:textId="148D7F05">
      <w:pPr>
        <w:pStyle w:val="ListParagraph"/>
        <w:numPr>
          <w:ilvl w:val="0"/>
          <w:numId w:val="11"/>
        </w:numPr>
        <w:tabs>
          <w:tab w:val="left" w:pos="9356"/>
        </w:tabs>
        <w:spacing w:after="0" w:line="240" w:lineRule="auto"/>
        <w:rPr>
          <w:b/>
          <w:lang w:val="fr-CA"/>
        </w:rPr>
      </w:pPr>
      <w:r>
        <w:rPr>
          <w:b/>
          <w:lang w:val="fr-CA"/>
        </w:rPr>
        <w:t xml:space="preserve">Fiscalité ou </w:t>
      </w:r>
      <w:r w:rsidR="00B91619">
        <w:rPr>
          <w:b/>
          <w:lang w:val="fr-CA"/>
        </w:rPr>
        <w:t xml:space="preserve">administration </w:t>
      </w:r>
      <w:r w:rsidR="00417CDE">
        <w:rPr>
          <w:b/>
          <w:lang w:val="fr-CA"/>
        </w:rPr>
        <w:t>fiscale</w:t>
      </w:r>
    </w:p>
    <w:p w:rsidRPr="00FA558D" w:rsidR="00B91619" w:rsidP="00B91619" w:rsidRDefault="00B91619" w14:paraId="70C1956A" w14:textId="5F6B0332">
      <w:pPr>
        <w:tabs>
          <w:tab w:val="left" w:pos="9356"/>
        </w:tabs>
        <w:spacing w:after="0" w:line="240" w:lineRule="auto"/>
        <w:ind w:left="720"/>
        <w:rPr>
          <w:lang w:val="fr-CA"/>
        </w:rPr>
      </w:pP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sidR="009647E5">
        <w:rPr>
          <w:lang w:val="fr-CA"/>
        </w:rPr>
        <w:t>‘</w:t>
      </w:r>
      <w:r>
        <w:rPr>
          <w:lang w:val="fr-CA"/>
        </w:rPr>
        <w:t>Le projet</w:t>
      </w:r>
      <w:r w:rsidRPr="00FA558D">
        <w:rPr>
          <w:lang w:val="fr-CA"/>
        </w:rPr>
        <w:t xml:space="preserve"> </w:t>
      </w:r>
      <w:r>
        <w:rPr>
          <w:lang w:val="fr-CA"/>
        </w:rPr>
        <w:t>est lié à l</w:t>
      </w:r>
      <w:r w:rsidR="000D2086">
        <w:rPr>
          <w:lang w:val="fr-CA"/>
        </w:rPr>
        <w:t>a fiscalité</w:t>
      </w:r>
      <w:r>
        <w:rPr>
          <w:lang w:val="fr-CA"/>
        </w:rPr>
        <w:t xml:space="preserve"> ou à l’administration </w:t>
      </w:r>
      <w:r w:rsidR="00417CDE">
        <w:rPr>
          <w:lang w:val="fr-CA"/>
        </w:rPr>
        <w:t>fiscale</w:t>
      </w:r>
      <w:r>
        <w:rPr>
          <w:lang w:val="fr-CA"/>
        </w:rPr>
        <w:t xml:space="preserve">, et est </w:t>
      </w:r>
      <w:r w:rsidR="000D2086">
        <w:rPr>
          <w:lang w:val="fr-CA"/>
        </w:rPr>
        <w:t>visé par une exemption</w:t>
      </w:r>
      <w:r>
        <w:rPr>
          <w:lang w:val="fr-CA"/>
        </w:rPr>
        <w:t xml:space="preserve"> de l’</w:t>
      </w:r>
      <w:r w:rsidR="00C13D28">
        <w:rPr>
          <w:lang w:val="fr-CA"/>
        </w:rPr>
        <w:t>obligation</w:t>
      </w:r>
      <w:r w:rsidRPr="00FA558D">
        <w:rPr>
          <w:lang w:val="fr-CA"/>
        </w:rPr>
        <w:t xml:space="preserve"> </w:t>
      </w:r>
      <w:r>
        <w:rPr>
          <w:lang w:val="fr-CA"/>
        </w:rPr>
        <w:t>de compenser le</w:t>
      </w:r>
      <w:r w:rsidRPr="00FA558D">
        <w:rPr>
          <w:lang w:val="fr-CA"/>
        </w:rPr>
        <w:t xml:space="preserve"> </w:t>
      </w:r>
      <w:r>
        <w:rPr>
          <w:lang w:val="fr-CA"/>
        </w:rPr>
        <w:t>fardeau administratif et les titres réglementaire</w:t>
      </w:r>
      <w:r w:rsidRPr="00FA558D">
        <w:rPr>
          <w:lang w:val="fr-CA"/>
        </w:rPr>
        <w:t xml:space="preserve">s </w:t>
      </w:r>
      <w:r>
        <w:rPr>
          <w:lang w:val="fr-CA"/>
        </w:rPr>
        <w:t xml:space="preserve">en vertu de la règle du </w:t>
      </w:r>
      <w:r w:rsidR="009647E5">
        <w:rPr>
          <w:lang w:val="fr-CA"/>
        </w:rPr>
        <w:t>« </w:t>
      </w:r>
      <w:r>
        <w:rPr>
          <w:lang w:val="fr-CA"/>
        </w:rPr>
        <w:t>un pour un</w:t>
      </w:r>
      <w:r w:rsidR="009647E5">
        <w:rPr>
          <w:lang w:val="fr-CA"/>
        </w:rPr>
        <w:t> »</w:t>
      </w:r>
      <w:r w:rsidR="007803FE">
        <w:rPr>
          <w:lang w:val="fr-CA"/>
        </w:rPr>
        <w:t>.</w:t>
      </w:r>
      <w:r w:rsidR="009647E5">
        <w:rPr>
          <w:lang w:val="fr-CA"/>
        </w:rPr>
        <w:t>’</w:t>
      </w:r>
    </w:p>
    <w:p w:rsidRPr="00FA558D" w:rsidR="00B91619" w:rsidP="00B91619" w:rsidRDefault="00B91619" w14:paraId="4D8E013D" w14:textId="77777777">
      <w:pPr>
        <w:pStyle w:val="ListParagraph"/>
        <w:tabs>
          <w:tab w:val="left" w:pos="9356"/>
        </w:tabs>
        <w:spacing w:after="0" w:line="240" w:lineRule="auto"/>
        <w:ind w:left="709"/>
        <w:rPr>
          <w:lang w:val="fr-CA"/>
        </w:rPr>
      </w:pPr>
    </w:p>
    <w:p w:rsidRPr="00FA558D" w:rsidR="00B91619" w:rsidP="00B91619" w:rsidRDefault="00B91619" w14:paraId="5BD2530E" w14:textId="77777777">
      <w:pPr>
        <w:pStyle w:val="ListParagraph"/>
        <w:numPr>
          <w:ilvl w:val="0"/>
          <w:numId w:val="11"/>
        </w:numPr>
        <w:tabs>
          <w:tab w:val="left" w:pos="9356"/>
        </w:tabs>
        <w:spacing w:after="0" w:line="240" w:lineRule="auto"/>
        <w:rPr>
          <w:b/>
          <w:lang w:val="fr-CA"/>
        </w:rPr>
      </w:pPr>
      <w:r>
        <w:rPr>
          <w:b/>
          <w:lang w:val="fr-CA"/>
        </w:rPr>
        <w:t>Obligations non assorties d’un pouvoir discrétionnaire</w:t>
      </w:r>
    </w:p>
    <w:p w:rsidRPr="00FA558D" w:rsidR="00B91619" w:rsidP="00B91619" w:rsidRDefault="00B91619" w14:paraId="2EC92E62" w14:textId="6DD2A340">
      <w:pPr>
        <w:tabs>
          <w:tab w:val="left" w:pos="9356"/>
        </w:tabs>
        <w:spacing w:after="0" w:line="240" w:lineRule="auto"/>
        <w:ind w:left="720"/>
        <w:rPr>
          <w:lang w:val="fr-CA"/>
        </w:rPr>
      </w:pP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sidR="009647E5">
        <w:rPr>
          <w:lang w:val="fr-CA"/>
        </w:rPr>
        <w:t>‘</w:t>
      </w:r>
      <w:r>
        <w:rPr>
          <w:lang w:val="fr-CA"/>
        </w:rPr>
        <w:t>Le projet</w:t>
      </w:r>
      <w:r w:rsidRPr="00FA558D">
        <w:rPr>
          <w:lang w:val="fr-CA"/>
        </w:rPr>
        <w:t xml:space="preserve"> </w:t>
      </w:r>
      <w:r>
        <w:rPr>
          <w:lang w:val="fr-CA"/>
        </w:rPr>
        <w:t xml:space="preserve">met en place une obligation non assortie d’un pouvoir discrétionnaire, et </w:t>
      </w:r>
      <w:r w:rsidR="007803FE">
        <w:rPr>
          <w:lang w:val="fr-CA"/>
        </w:rPr>
        <w:t>est visé par une exemption de l’</w:t>
      </w:r>
      <w:r w:rsidR="00C13D28">
        <w:rPr>
          <w:lang w:val="fr-CA"/>
        </w:rPr>
        <w:t>obligation</w:t>
      </w:r>
      <w:r w:rsidRPr="00FA558D" w:rsidR="007803FE">
        <w:rPr>
          <w:lang w:val="fr-CA"/>
        </w:rPr>
        <w:t xml:space="preserve"> </w:t>
      </w:r>
      <w:r w:rsidR="007803FE">
        <w:rPr>
          <w:lang w:val="fr-CA"/>
        </w:rPr>
        <w:t>de compenser le</w:t>
      </w:r>
      <w:r w:rsidRPr="00FA558D" w:rsidR="007803FE">
        <w:rPr>
          <w:lang w:val="fr-CA"/>
        </w:rPr>
        <w:t xml:space="preserve"> </w:t>
      </w:r>
      <w:r w:rsidR="007803FE">
        <w:rPr>
          <w:lang w:val="fr-CA"/>
        </w:rPr>
        <w:t>fardeau administratif et les titres réglementaire</w:t>
      </w:r>
      <w:r w:rsidRPr="00FA558D" w:rsidR="007803FE">
        <w:rPr>
          <w:lang w:val="fr-CA"/>
        </w:rPr>
        <w:t xml:space="preserve">s </w:t>
      </w:r>
      <w:r w:rsidR="007803FE">
        <w:rPr>
          <w:lang w:val="fr-CA"/>
        </w:rPr>
        <w:t xml:space="preserve">en vertu de la règle du </w:t>
      </w:r>
      <w:r w:rsidR="009647E5">
        <w:rPr>
          <w:lang w:val="fr-CA"/>
        </w:rPr>
        <w:t>« </w:t>
      </w:r>
      <w:r w:rsidR="007803FE">
        <w:rPr>
          <w:lang w:val="fr-CA"/>
        </w:rPr>
        <w:t>un pour un</w:t>
      </w:r>
      <w:r w:rsidR="009647E5">
        <w:rPr>
          <w:lang w:val="fr-CA"/>
        </w:rPr>
        <w:t> »</w:t>
      </w:r>
      <w:r w:rsidRPr="00FA558D">
        <w:rPr>
          <w:lang w:val="fr-CA"/>
        </w:rPr>
        <w:t>.</w:t>
      </w:r>
      <w:r w:rsidR="009647E5">
        <w:rPr>
          <w:lang w:val="fr-CA"/>
        </w:rPr>
        <w:t>’</w:t>
      </w:r>
    </w:p>
    <w:p w:rsidRPr="00FA558D" w:rsidR="00B91619" w:rsidP="00B91619" w:rsidRDefault="00B91619" w14:paraId="77052776" w14:textId="77777777">
      <w:pPr>
        <w:pStyle w:val="ListParagraph"/>
        <w:tabs>
          <w:tab w:val="left" w:pos="9356"/>
        </w:tabs>
        <w:spacing w:after="0" w:line="240" w:lineRule="auto"/>
        <w:ind w:left="426"/>
        <w:rPr>
          <w:lang w:val="fr-CA"/>
        </w:rPr>
      </w:pPr>
    </w:p>
    <w:p w:rsidRPr="00FA558D" w:rsidR="00B91619" w:rsidP="00B91619" w:rsidRDefault="00B91619" w14:paraId="1BC7CD1C" w14:textId="77777777">
      <w:pPr>
        <w:pStyle w:val="ListParagraph"/>
        <w:numPr>
          <w:ilvl w:val="0"/>
          <w:numId w:val="11"/>
        </w:numPr>
        <w:tabs>
          <w:tab w:val="left" w:pos="9356"/>
        </w:tabs>
        <w:spacing w:after="0" w:line="240" w:lineRule="auto"/>
        <w:rPr>
          <w:b/>
          <w:lang w:val="fr-CA"/>
        </w:rPr>
      </w:pPr>
      <w:r>
        <w:rPr>
          <w:b/>
          <w:lang w:val="fr-CA"/>
        </w:rPr>
        <w:t>Urgences et circonstances uniques ou exceptionnelles</w:t>
      </w:r>
      <w:r w:rsidRPr="00FA558D">
        <w:rPr>
          <w:b/>
          <w:lang w:val="fr-CA"/>
        </w:rPr>
        <w:t xml:space="preserve"> </w:t>
      </w:r>
    </w:p>
    <w:p w:rsidRPr="00FA558D" w:rsidR="00B91619" w:rsidP="00B91619" w:rsidRDefault="00B91619" w14:paraId="5B146C95" w14:textId="6EB6A360">
      <w:pPr>
        <w:tabs>
          <w:tab w:val="left" w:pos="9356"/>
        </w:tabs>
        <w:spacing w:after="0" w:line="240" w:lineRule="auto"/>
        <w:ind w:left="720"/>
        <w:rPr>
          <w:lang w:val="fr-CA"/>
        </w:rPr>
      </w:pPr>
      <w:r>
        <w:rPr>
          <w:lang w:val="fr-CA"/>
        </w:rPr>
        <w:t>La section sur la règle du « un pour un »</w:t>
      </w:r>
      <w:r w:rsidRPr="00FA558D">
        <w:rPr>
          <w:lang w:val="fr-CA"/>
        </w:rPr>
        <w:t xml:space="preserve"> </w:t>
      </w:r>
      <w:r>
        <w:rPr>
          <w:lang w:val="fr-CA"/>
        </w:rPr>
        <w:t>doit comprendre le libellé suivant :</w:t>
      </w:r>
      <w:r w:rsidRPr="00FA558D">
        <w:rPr>
          <w:lang w:val="fr-CA"/>
        </w:rPr>
        <w:t xml:space="preserve"> </w:t>
      </w:r>
      <w:r w:rsidR="009647E5">
        <w:rPr>
          <w:lang w:val="fr-CA"/>
        </w:rPr>
        <w:t>‘</w:t>
      </w:r>
      <w:r>
        <w:rPr>
          <w:lang w:val="fr-CA"/>
        </w:rPr>
        <w:t>Le projet</w:t>
      </w:r>
      <w:r w:rsidRPr="00FA558D">
        <w:rPr>
          <w:lang w:val="fr-CA"/>
        </w:rPr>
        <w:t xml:space="preserve"> </w:t>
      </w:r>
      <w:r>
        <w:rPr>
          <w:lang w:val="fr-CA"/>
        </w:rPr>
        <w:t xml:space="preserve">vise une circonstance </w:t>
      </w:r>
      <w:r w:rsidRPr="00FA558D">
        <w:rPr>
          <w:lang w:val="fr-CA"/>
        </w:rPr>
        <w:t>(</w:t>
      </w:r>
      <w:r>
        <w:rPr>
          <w:lang w:val="fr-CA"/>
        </w:rPr>
        <w:t>urgente</w:t>
      </w:r>
      <w:r w:rsidRPr="00FA558D">
        <w:rPr>
          <w:lang w:val="fr-CA"/>
        </w:rPr>
        <w:t>/unique/</w:t>
      </w:r>
      <w:r>
        <w:rPr>
          <w:lang w:val="fr-CA"/>
        </w:rPr>
        <w:t>exceptionnelle</w:t>
      </w:r>
      <w:r w:rsidRPr="00FA558D">
        <w:rPr>
          <w:lang w:val="fr-CA"/>
        </w:rPr>
        <w:t xml:space="preserve">) </w:t>
      </w:r>
      <w:r>
        <w:rPr>
          <w:lang w:val="fr-CA"/>
        </w:rPr>
        <w:t>et</w:t>
      </w:r>
      <w:r w:rsidRPr="001A47E8" w:rsidR="001A47E8">
        <w:rPr>
          <w:lang w:val="fr-CA"/>
        </w:rPr>
        <w:t xml:space="preserve"> est visé par une exemption de l’</w:t>
      </w:r>
      <w:r w:rsidR="00C13D28">
        <w:rPr>
          <w:lang w:val="fr-CA"/>
        </w:rPr>
        <w:t>obligation</w:t>
      </w:r>
      <w:r w:rsidRPr="001A47E8" w:rsidR="001A47E8">
        <w:rPr>
          <w:lang w:val="fr-CA"/>
        </w:rPr>
        <w:t xml:space="preserve"> de</w:t>
      </w:r>
      <w:r w:rsidR="00B15B48">
        <w:rPr>
          <w:lang w:val="fr-CA"/>
        </w:rPr>
        <w:t xml:space="preserve"> </w:t>
      </w:r>
      <w:r w:rsidRPr="001A47E8" w:rsidR="001A47E8">
        <w:rPr>
          <w:lang w:val="fr-CA"/>
        </w:rPr>
        <w:t xml:space="preserve">compenser le fardeau administratif et les titres réglementaires en vertu de la règle du </w:t>
      </w:r>
      <w:r w:rsidR="009647E5">
        <w:rPr>
          <w:lang w:val="fr-CA"/>
        </w:rPr>
        <w:t>“</w:t>
      </w:r>
      <w:r w:rsidRPr="001A47E8" w:rsidR="001A47E8">
        <w:rPr>
          <w:lang w:val="fr-CA"/>
        </w:rPr>
        <w:t>un pour un”</w:t>
      </w:r>
      <w:r w:rsidRPr="00FA558D">
        <w:rPr>
          <w:lang w:val="fr-CA"/>
        </w:rPr>
        <w:t>.</w:t>
      </w:r>
      <w:r w:rsidR="009647E5">
        <w:rPr>
          <w:lang w:val="fr-CA"/>
        </w:rPr>
        <w:t>’</w:t>
      </w:r>
    </w:p>
    <w:p w:rsidRPr="00FA558D" w:rsidR="00B91619" w:rsidP="00B91619" w:rsidRDefault="00B91619" w14:paraId="39967FEC" w14:textId="77777777">
      <w:pPr>
        <w:tabs>
          <w:tab w:val="left" w:pos="9356"/>
        </w:tabs>
        <w:spacing w:after="0" w:line="240" w:lineRule="auto"/>
        <w:rPr>
          <w:lang w:val="fr-CA"/>
        </w:rPr>
      </w:pPr>
    </w:p>
    <w:p w:rsidRPr="00FA558D" w:rsidR="00B91619" w:rsidP="00B91619" w:rsidRDefault="00B15B48" w14:paraId="5DB65ADF" w14:textId="594F420A">
      <w:pPr>
        <w:tabs>
          <w:tab w:val="left" w:pos="9356"/>
        </w:tabs>
        <w:spacing w:after="0" w:line="240" w:lineRule="auto"/>
        <w:rPr>
          <w:lang w:val="fr-CA"/>
        </w:rPr>
      </w:pPr>
      <w:r>
        <w:rPr>
          <w:lang w:val="fr-CA"/>
        </w:rPr>
        <w:t xml:space="preserve">Si </w:t>
      </w:r>
      <w:r w:rsidR="00B91619">
        <w:rPr>
          <w:lang w:val="fr-CA"/>
        </w:rPr>
        <w:t>une ex</w:t>
      </w:r>
      <w:r w:rsidRPr="00FA558D" w:rsidR="00B91619">
        <w:rPr>
          <w:lang w:val="fr-CA"/>
        </w:rPr>
        <w:t xml:space="preserve">emption </w:t>
      </w:r>
      <w:r>
        <w:rPr>
          <w:lang w:val="fr-CA"/>
        </w:rPr>
        <w:t xml:space="preserve">permet de se soustraire à </w:t>
      </w:r>
      <w:r w:rsidR="00B91619">
        <w:rPr>
          <w:lang w:val="fr-CA"/>
        </w:rPr>
        <w:t>l’</w:t>
      </w:r>
      <w:r w:rsidR="00C13D28">
        <w:rPr>
          <w:lang w:val="fr-CA"/>
        </w:rPr>
        <w:t>obligation</w:t>
      </w:r>
      <w:r w:rsidRPr="00FA558D" w:rsidR="00B91619">
        <w:rPr>
          <w:lang w:val="fr-CA"/>
        </w:rPr>
        <w:t xml:space="preserve"> </w:t>
      </w:r>
      <w:r w:rsidR="00B91619">
        <w:rPr>
          <w:lang w:val="fr-CA"/>
        </w:rPr>
        <w:t>de compenser</w:t>
      </w:r>
      <w:r w:rsidRPr="00FA558D" w:rsidR="00B91619">
        <w:rPr>
          <w:lang w:val="fr-CA"/>
        </w:rPr>
        <w:t xml:space="preserve"> </w:t>
      </w:r>
      <w:r w:rsidR="00B91619">
        <w:rPr>
          <w:lang w:val="fr-CA"/>
        </w:rPr>
        <w:t xml:space="preserve">un nouveau fardeau ou un nouveau règlement, il </w:t>
      </w:r>
      <w:r>
        <w:rPr>
          <w:lang w:val="fr-CA"/>
        </w:rPr>
        <w:t>n’en demeure pas moins</w:t>
      </w:r>
      <w:r w:rsidR="00B978E3">
        <w:rPr>
          <w:lang w:val="fr-CA"/>
        </w:rPr>
        <w:t xml:space="preserve"> q</w:t>
      </w:r>
      <w:r>
        <w:rPr>
          <w:lang w:val="fr-CA"/>
        </w:rPr>
        <w:t xml:space="preserve">u’il est toujours avantageux pour </w:t>
      </w:r>
      <w:r w:rsidR="00B91619">
        <w:rPr>
          <w:lang w:val="fr-CA"/>
        </w:rPr>
        <w:t>les ministre</w:t>
      </w:r>
      <w:r w:rsidRPr="00FA558D" w:rsidR="00B91619">
        <w:rPr>
          <w:lang w:val="fr-CA"/>
        </w:rPr>
        <w:t>s</w:t>
      </w:r>
      <w:r w:rsidR="00B91619">
        <w:rPr>
          <w:lang w:val="fr-CA"/>
        </w:rPr>
        <w:t xml:space="preserve"> et le grand public </w:t>
      </w:r>
      <w:r>
        <w:rPr>
          <w:lang w:val="fr-CA"/>
        </w:rPr>
        <w:t>de connaître</w:t>
      </w:r>
      <w:r w:rsidR="00B91619">
        <w:rPr>
          <w:lang w:val="fr-CA"/>
        </w:rPr>
        <w:t xml:space="preserve"> les répercussions d’une modification </w:t>
      </w:r>
      <w:r w:rsidR="00B978E3">
        <w:rPr>
          <w:lang w:val="fr-CA"/>
        </w:rPr>
        <w:t>sur</w:t>
      </w:r>
      <w:r w:rsidR="00B91619">
        <w:rPr>
          <w:lang w:val="fr-CA"/>
        </w:rPr>
        <w:t xml:space="preserve"> </w:t>
      </w:r>
      <w:r w:rsidR="00B978E3">
        <w:rPr>
          <w:lang w:val="fr-CA"/>
        </w:rPr>
        <w:t>le</w:t>
      </w:r>
      <w:r w:rsidR="00B91619">
        <w:rPr>
          <w:lang w:val="fr-CA"/>
        </w:rPr>
        <w:t xml:space="preserve"> fardeau administratif, </w:t>
      </w:r>
      <w:r w:rsidR="001721CD">
        <w:rPr>
          <w:lang w:val="fr-CA"/>
        </w:rPr>
        <w:t>à des fins</w:t>
      </w:r>
      <w:r w:rsidR="00B91619">
        <w:rPr>
          <w:lang w:val="fr-CA"/>
        </w:rPr>
        <w:t xml:space="preserve"> de tra</w:t>
      </w:r>
      <w:r w:rsidRPr="00FA558D" w:rsidR="00B91619">
        <w:rPr>
          <w:lang w:val="fr-CA"/>
        </w:rPr>
        <w:t>nspa</w:t>
      </w:r>
      <w:r w:rsidR="00B91619">
        <w:rPr>
          <w:lang w:val="fr-CA"/>
        </w:rPr>
        <w:t xml:space="preserve">rence. Les organismes de réglementation sont fortement encouragés à décrire en termes </w:t>
      </w:r>
      <w:r w:rsidRPr="00FA558D" w:rsidR="00B91619">
        <w:rPr>
          <w:lang w:val="fr-CA"/>
        </w:rPr>
        <w:t>qualitati</w:t>
      </w:r>
      <w:r w:rsidR="00B91619">
        <w:rPr>
          <w:lang w:val="fr-CA"/>
        </w:rPr>
        <w:t xml:space="preserve">fs tout fardeau </w:t>
      </w:r>
      <w:r w:rsidR="00B978E3">
        <w:rPr>
          <w:lang w:val="fr-CA"/>
        </w:rPr>
        <w:t xml:space="preserve">prévu </w:t>
      </w:r>
      <w:r w:rsidR="00B4147F">
        <w:rPr>
          <w:lang w:val="fr-CA"/>
        </w:rPr>
        <w:t>et à inclure</w:t>
      </w:r>
      <w:r w:rsidR="00B91619">
        <w:rPr>
          <w:lang w:val="fr-CA"/>
        </w:rPr>
        <w:t xml:space="preserve"> des renseignements quantitatifs</w:t>
      </w:r>
      <w:r w:rsidR="00B978E3">
        <w:rPr>
          <w:lang w:val="fr-CA"/>
        </w:rPr>
        <w:t xml:space="preserve"> et </w:t>
      </w:r>
      <w:r w:rsidR="00B91619">
        <w:rPr>
          <w:lang w:val="fr-CA"/>
        </w:rPr>
        <w:t>sur les coûts, dans la mesure du pos</w:t>
      </w:r>
      <w:r w:rsidRPr="00FA558D" w:rsidR="00B91619">
        <w:rPr>
          <w:lang w:val="fr-CA"/>
        </w:rPr>
        <w:t>sible.</w:t>
      </w:r>
    </w:p>
    <w:p w:rsidRPr="00FA558D" w:rsidR="00B91619" w:rsidP="00B91619" w:rsidRDefault="00B91619" w14:paraId="37C90A8F" w14:textId="77777777">
      <w:pPr>
        <w:tabs>
          <w:tab w:val="left" w:pos="9356"/>
        </w:tabs>
        <w:spacing w:after="0" w:line="240" w:lineRule="auto"/>
        <w:rPr>
          <w:lang w:val="fr-CA"/>
        </w:rPr>
      </w:pPr>
    </w:p>
    <w:p w:rsidRPr="00FA558D" w:rsidR="00B91619" w:rsidP="00B91619" w:rsidRDefault="00B91619" w14:paraId="36A6D8DB" w14:textId="1EEC8C8C">
      <w:pPr>
        <w:pStyle w:val="Heading3"/>
        <w:rPr>
          <w:lang w:val="fr-CA"/>
        </w:rPr>
      </w:pPr>
      <w:bookmarkStart w:name="_Toc151373921" w:id="31"/>
      <w:r>
        <w:rPr>
          <w:lang w:val="fr-CA"/>
        </w:rPr>
        <w:t>Exigence de présentation de rapports annuels (</w:t>
      </w:r>
      <w:r w:rsidR="00CB4864">
        <w:rPr>
          <w:lang w:val="fr-CA"/>
        </w:rPr>
        <w:t>paragraphe</w:t>
      </w:r>
      <w:r w:rsidRPr="00FA558D">
        <w:rPr>
          <w:lang w:val="fr-CA"/>
        </w:rPr>
        <w:t> 7.2.11)</w:t>
      </w:r>
      <w:bookmarkEnd w:id="31"/>
    </w:p>
    <w:p w:rsidRPr="00FA558D" w:rsidR="00B91619" w:rsidP="00B91619" w:rsidRDefault="00B91619" w14:paraId="39DA1948" w14:textId="77777777">
      <w:pPr>
        <w:tabs>
          <w:tab w:val="left" w:pos="9356"/>
        </w:tabs>
        <w:spacing w:after="0" w:line="240" w:lineRule="auto"/>
        <w:rPr>
          <w:lang w:val="fr-CA"/>
        </w:rPr>
      </w:pPr>
    </w:p>
    <w:p w:rsidRPr="00FA558D" w:rsidR="00B91619" w:rsidP="00B91619" w:rsidRDefault="00B91619" w14:paraId="7F08C32F" w14:textId="5E046493">
      <w:pPr>
        <w:tabs>
          <w:tab w:val="left" w:pos="9356"/>
        </w:tabs>
        <w:spacing w:after="0" w:line="240" w:lineRule="auto"/>
        <w:rPr>
          <w:lang w:val="fr-CA"/>
        </w:rPr>
      </w:pPr>
      <w:r>
        <w:rPr>
          <w:lang w:val="fr-CA"/>
        </w:rPr>
        <w:t>L’article </w:t>
      </w:r>
      <w:r w:rsidRPr="00FA558D">
        <w:rPr>
          <w:lang w:val="fr-CA"/>
        </w:rPr>
        <w:t xml:space="preserve">9 </w:t>
      </w:r>
      <w:r>
        <w:rPr>
          <w:lang w:val="fr-CA"/>
        </w:rPr>
        <w:t xml:space="preserve">de la </w:t>
      </w:r>
      <w:r w:rsidRPr="007C2065">
        <w:rPr>
          <w:i/>
          <w:iCs/>
          <w:lang w:val="fr-CA"/>
        </w:rPr>
        <w:t>Loi sur la réduction de la paperasse</w:t>
      </w:r>
      <w:r>
        <w:rPr>
          <w:lang w:val="fr-CA"/>
        </w:rPr>
        <w:t xml:space="preserve"> exige la publication annuelle d’un rapport </w:t>
      </w:r>
      <w:r w:rsidR="00CB4864">
        <w:rPr>
          <w:lang w:val="fr-CA"/>
        </w:rPr>
        <w:t>sur</w:t>
      </w:r>
      <w:r>
        <w:rPr>
          <w:lang w:val="fr-CA"/>
        </w:rPr>
        <w:t xml:space="preserve"> l’application de l’article</w:t>
      </w:r>
      <w:r w:rsidR="00A9277E">
        <w:rPr>
          <w:lang w:val="fr-CA"/>
        </w:rPr>
        <w:t> </w:t>
      </w:r>
      <w:r>
        <w:rPr>
          <w:lang w:val="fr-CA"/>
        </w:rPr>
        <w:t xml:space="preserve">5 de la </w:t>
      </w:r>
      <w:r w:rsidR="00CB4864">
        <w:rPr>
          <w:lang w:val="fr-CA"/>
        </w:rPr>
        <w:t xml:space="preserve">loi </w:t>
      </w:r>
      <w:r w:rsidR="00417CDE">
        <w:rPr>
          <w:lang w:val="fr-CA"/>
        </w:rPr>
        <w:t>au cours de</w:t>
      </w:r>
      <w:r>
        <w:rPr>
          <w:lang w:val="fr-CA"/>
        </w:rPr>
        <w:t xml:space="preserve"> l’exercice </w:t>
      </w:r>
      <w:r w:rsidR="00A230E8">
        <w:rPr>
          <w:lang w:val="fr-CA"/>
        </w:rPr>
        <w:t xml:space="preserve">financier </w:t>
      </w:r>
      <w:r>
        <w:rPr>
          <w:lang w:val="fr-CA"/>
        </w:rPr>
        <w:t xml:space="preserve">précédent. La politique exige qu’un rapport soit présenté chaque année au </w:t>
      </w:r>
      <w:r w:rsidRPr="00FA558D">
        <w:rPr>
          <w:lang w:val="fr-CA"/>
        </w:rPr>
        <w:t>Par</w:t>
      </w:r>
      <w:r>
        <w:rPr>
          <w:lang w:val="fr-CA"/>
        </w:rPr>
        <w:t>leme</w:t>
      </w:r>
      <w:r w:rsidRPr="00FA558D">
        <w:rPr>
          <w:lang w:val="fr-CA"/>
        </w:rPr>
        <w:t xml:space="preserve">nt </w:t>
      </w:r>
      <w:r>
        <w:rPr>
          <w:lang w:val="fr-CA"/>
        </w:rPr>
        <w:t>pour :</w:t>
      </w:r>
    </w:p>
    <w:p w:rsidRPr="00FA558D" w:rsidR="00B91619" w:rsidP="00B91619" w:rsidRDefault="00B91619" w14:paraId="0E34CEB9" w14:textId="25EC5970">
      <w:pPr>
        <w:pStyle w:val="ListParagraph"/>
        <w:numPr>
          <w:ilvl w:val="0"/>
          <w:numId w:val="12"/>
        </w:numPr>
        <w:tabs>
          <w:tab w:val="left" w:pos="9356"/>
        </w:tabs>
        <w:spacing w:after="0" w:line="240" w:lineRule="auto"/>
        <w:rPr>
          <w:lang w:val="fr-CA"/>
        </w:rPr>
      </w:pPr>
      <w:proofErr w:type="gramStart"/>
      <w:r>
        <w:rPr>
          <w:lang w:val="fr-CA"/>
        </w:rPr>
        <w:t>répondre</w:t>
      </w:r>
      <w:proofErr w:type="gramEnd"/>
      <w:r>
        <w:rPr>
          <w:lang w:val="fr-CA"/>
        </w:rPr>
        <w:t xml:space="preserve"> aux exigences sur les rapports énoncées dans la </w:t>
      </w:r>
      <w:r w:rsidRPr="007C2065">
        <w:rPr>
          <w:i/>
          <w:iCs/>
          <w:lang w:val="fr-CA"/>
        </w:rPr>
        <w:t>Loi sur la réduction de la paperass</w:t>
      </w:r>
      <w:r w:rsidRPr="007C2065" w:rsidR="00A230E8">
        <w:rPr>
          <w:i/>
          <w:iCs/>
          <w:lang w:val="fr-CA"/>
        </w:rPr>
        <w:t>e</w:t>
      </w:r>
      <w:r w:rsidR="00A230E8">
        <w:rPr>
          <w:lang w:val="fr-CA"/>
        </w:rPr>
        <w:t>;</w:t>
      </w:r>
    </w:p>
    <w:p w:rsidRPr="00FA558D" w:rsidR="00B91619" w:rsidP="00B91619" w:rsidRDefault="00A9277E" w14:paraId="1AEB5139" w14:textId="7C6EF8BB">
      <w:pPr>
        <w:pStyle w:val="ListParagraph"/>
        <w:numPr>
          <w:ilvl w:val="0"/>
          <w:numId w:val="12"/>
        </w:numPr>
        <w:tabs>
          <w:tab w:val="left" w:pos="9356"/>
        </w:tabs>
        <w:spacing w:after="0" w:line="240" w:lineRule="auto"/>
        <w:rPr>
          <w:lang w:val="fr-CA"/>
        </w:rPr>
      </w:pPr>
      <w:proofErr w:type="gramStart"/>
      <w:r>
        <w:rPr>
          <w:lang w:val="fr-CA"/>
        </w:rPr>
        <w:t>f</w:t>
      </w:r>
      <w:r w:rsidR="00B91619">
        <w:rPr>
          <w:lang w:val="fr-CA"/>
        </w:rPr>
        <w:t>aire</w:t>
      </w:r>
      <w:proofErr w:type="gramEnd"/>
      <w:r w:rsidR="00B91619">
        <w:rPr>
          <w:lang w:val="fr-CA"/>
        </w:rPr>
        <w:t xml:space="preserve"> rapport sur les autres initiatives de gestion de la réglementation.</w:t>
      </w:r>
    </w:p>
    <w:p w:rsidRPr="00FA558D" w:rsidR="00B91619" w:rsidP="00B91619" w:rsidRDefault="00B91619" w14:paraId="5097AC28" w14:textId="77777777">
      <w:pPr>
        <w:tabs>
          <w:tab w:val="left" w:pos="9356"/>
        </w:tabs>
        <w:spacing w:after="0" w:line="240" w:lineRule="auto"/>
        <w:rPr>
          <w:lang w:val="fr-CA"/>
        </w:rPr>
      </w:pPr>
    </w:p>
    <w:p w:rsidRPr="00FA558D" w:rsidR="00B91619" w:rsidP="00B91619" w:rsidRDefault="00B91619" w14:paraId="65B45A10" w14:textId="438B7645">
      <w:pPr>
        <w:tabs>
          <w:tab w:val="left" w:pos="9356"/>
        </w:tabs>
        <w:spacing w:after="0" w:line="240" w:lineRule="auto"/>
        <w:rPr>
          <w:lang w:val="fr-CA"/>
        </w:rPr>
      </w:pPr>
      <w:r>
        <w:rPr>
          <w:lang w:val="fr-CA"/>
        </w:rPr>
        <w:t>Le rapport annuel</w:t>
      </w:r>
      <w:r w:rsidRPr="00FA558D">
        <w:rPr>
          <w:lang w:val="fr-CA"/>
        </w:rPr>
        <w:t xml:space="preserve"> </w:t>
      </w:r>
      <w:r>
        <w:rPr>
          <w:lang w:val="fr-CA"/>
        </w:rPr>
        <w:t xml:space="preserve">peut aussi souligner les </w:t>
      </w:r>
      <w:r w:rsidR="00A230E8">
        <w:rPr>
          <w:lang w:val="fr-CA"/>
        </w:rPr>
        <w:t>cas</w:t>
      </w:r>
      <w:r>
        <w:rPr>
          <w:lang w:val="fr-CA"/>
        </w:rPr>
        <w:t xml:space="preserve"> de non-conformité à l’</w:t>
      </w:r>
      <w:r w:rsidR="00CB4864">
        <w:rPr>
          <w:lang w:val="fr-CA"/>
        </w:rPr>
        <w:t>obligation</w:t>
      </w:r>
      <w:r>
        <w:rPr>
          <w:lang w:val="fr-CA"/>
        </w:rPr>
        <w:t xml:space="preserve"> de compenser</w:t>
      </w:r>
      <w:r w:rsidRPr="00FA558D">
        <w:rPr>
          <w:lang w:val="fr-CA"/>
        </w:rPr>
        <w:t xml:space="preserve"> </w:t>
      </w:r>
      <w:r>
        <w:rPr>
          <w:lang w:val="fr-CA"/>
        </w:rPr>
        <w:t>en vertu de la règle du « un pour un »</w:t>
      </w:r>
      <w:r w:rsidRPr="00FA558D">
        <w:rPr>
          <w:lang w:val="fr-CA"/>
        </w:rPr>
        <w:t>.</w:t>
      </w:r>
      <w:r>
        <w:rPr>
          <w:lang w:val="fr-CA"/>
        </w:rPr>
        <w:t xml:space="preserve"> Dans un tel cas, il est attendu que le processus défini </w:t>
      </w:r>
      <w:r w:rsidR="00CB4864">
        <w:rPr>
          <w:lang w:val="fr-CA"/>
        </w:rPr>
        <w:t>au paragraphe</w:t>
      </w:r>
      <w:r w:rsidRPr="00FA558D">
        <w:rPr>
          <w:lang w:val="fr-CA"/>
        </w:rPr>
        <w:t> 7.2.8</w:t>
      </w:r>
      <w:r>
        <w:rPr>
          <w:lang w:val="fr-CA"/>
        </w:rPr>
        <w:t xml:space="preserve"> de la politique aura déjà été mis en </w:t>
      </w:r>
      <w:r w:rsidRPr="00FA558D">
        <w:rPr>
          <w:lang w:val="fr-CA"/>
        </w:rPr>
        <w:t xml:space="preserve">place. </w:t>
      </w:r>
    </w:p>
    <w:p w:rsidRPr="00FA558D" w:rsidR="00B91619" w:rsidP="00B91619" w:rsidRDefault="00B91619" w14:paraId="52F0085B" w14:textId="77777777">
      <w:pPr>
        <w:tabs>
          <w:tab w:val="left" w:pos="9356"/>
        </w:tabs>
        <w:spacing w:after="0" w:line="240" w:lineRule="auto"/>
        <w:rPr>
          <w:lang w:val="fr-CA"/>
        </w:rPr>
      </w:pPr>
    </w:p>
    <w:p w:rsidRPr="00FA558D" w:rsidR="00B91619" w:rsidP="00B91619" w:rsidRDefault="00B91619" w14:paraId="5D7D5E27" w14:textId="505A314F">
      <w:pPr>
        <w:tabs>
          <w:tab w:val="left" w:pos="9356"/>
        </w:tabs>
        <w:spacing w:after="0" w:line="240" w:lineRule="auto"/>
        <w:rPr>
          <w:lang w:val="fr-CA"/>
        </w:rPr>
      </w:pPr>
      <w:r>
        <w:rPr>
          <w:lang w:val="fr-CA"/>
        </w:rPr>
        <w:t xml:space="preserve">Le premier </w:t>
      </w:r>
      <w:r w:rsidR="00CB4864">
        <w:rPr>
          <w:lang w:val="fr-CA"/>
        </w:rPr>
        <w:t xml:space="preserve">rapport </w:t>
      </w:r>
      <w:r>
        <w:rPr>
          <w:lang w:val="fr-CA"/>
        </w:rPr>
        <w:t>annuel au Parlement</w:t>
      </w:r>
      <w:r w:rsidRPr="00FA558D">
        <w:rPr>
          <w:lang w:val="fr-CA"/>
        </w:rPr>
        <w:t xml:space="preserve"> (</w:t>
      </w:r>
      <w:r>
        <w:rPr>
          <w:lang w:val="fr-CA"/>
        </w:rPr>
        <w:t xml:space="preserve">exercice </w:t>
      </w:r>
      <w:r w:rsidR="00A230E8">
        <w:rPr>
          <w:lang w:val="fr-CA"/>
        </w:rPr>
        <w:t xml:space="preserve">financier de </w:t>
      </w:r>
      <w:r w:rsidRPr="00FA558D">
        <w:rPr>
          <w:lang w:val="fr-CA"/>
        </w:rPr>
        <w:t>2016 </w:t>
      </w:r>
      <w:r>
        <w:rPr>
          <w:lang w:val="fr-CA"/>
        </w:rPr>
        <w:t xml:space="preserve">à </w:t>
      </w:r>
      <w:r w:rsidRPr="00FA558D">
        <w:rPr>
          <w:lang w:val="fr-CA"/>
        </w:rPr>
        <w:t xml:space="preserve">2017) </w:t>
      </w:r>
      <w:r>
        <w:rPr>
          <w:lang w:val="fr-CA"/>
        </w:rPr>
        <w:t xml:space="preserve">abordait la règle du « un pour un » </w:t>
      </w:r>
      <w:r w:rsidR="00A230E8">
        <w:rPr>
          <w:lang w:val="fr-CA"/>
        </w:rPr>
        <w:t>ainsi que</w:t>
      </w:r>
      <w:r>
        <w:rPr>
          <w:lang w:val="fr-CA"/>
        </w:rPr>
        <w:t xml:space="preserve"> les avantages et les coûts des règlements les plus </w:t>
      </w:r>
      <w:r w:rsidR="00CB4864">
        <w:rPr>
          <w:lang w:val="fr-CA"/>
        </w:rPr>
        <w:t>importants</w:t>
      </w:r>
      <w:r>
        <w:rPr>
          <w:lang w:val="fr-CA"/>
        </w:rPr>
        <w:t xml:space="preserve">. Le </w:t>
      </w:r>
      <w:r w:rsidRPr="00FA558D">
        <w:rPr>
          <w:lang w:val="fr-CA"/>
        </w:rPr>
        <w:t>format</w:t>
      </w:r>
      <w:r>
        <w:rPr>
          <w:lang w:val="fr-CA"/>
        </w:rPr>
        <w:t xml:space="preserve"> et le contenu du rapport annuel peuvent changer au fil du temps puisque le président du Conseil du Trésor peut choisir d’y inclure des renseignements sur d’autres initiatives de gestion de la réglementation</w:t>
      </w:r>
      <w:r w:rsidRPr="00FA558D">
        <w:rPr>
          <w:lang w:val="fr-CA"/>
        </w:rPr>
        <w:t xml:space="preserve">. </w:t>
      </w:r>
    </w:p>
    <w:p w:rsidRPr="00FA558D" w:rsidR="00B91619" w:rsidP="00B91619" w:rsidRDefault="00B91619" w14:paraId="2D91E8DE" w14:textId="77777777">
      <w:pPr>
        <w:tabs>
          <w:tab w:val="left" w:pos="9356"/>
        </w:tabs>
        <w:spacing w:after="0" w:line="240" w:lineRule="auto"/>
        <w:rPr>
          <w:lang w:val="fr-CA"/>
        </w:rPr>
      </w:pPr>
    </w:p>
    <w:p w:rsidRPr="00FA558D" w:rsidR="00B91619" w:rsidP="00B91619" w:rsidRDefault="00B91619" w14:paraId="519F594D" w14:textId="0AC7DF5D">
      <w:pPr>
        <w:pStyle w:val="Heading1"/>
        <w:rPr>
          <w:lang w:val="fr-CA"/>
        </w:rPr>
      </w:pPr>
      <w:bookmarkStart w:name="_Toc151373922" w:id="32"/>
      <w:r>
        <w:rPr>
          <w:lang w:val="fr-CA"/>
        </w:rPr>
        <w:t xml:space="preserve">La </w:t>
      </w:r>
      <w:r w:rsidR="00685B11">
        <w:rPr>
          <w:lang w:val="fr-CA"/>
        </w:rPr>
        <w:t xml:space="preserve">Lentille </w:t>
      </w:r>
      <w:r>
        <w:rPr>
          <w:lang w:val="fr-CA"/>
        </w:rPr>
        <w:t>des petites entreprises</w:t>
      </w:r>
      <w:r w:rsidRPr="00FA558D">
        <w:rPr>
          <w:lang w:val="fr-CA"/>
        </w:rPr>
        <w:t xml:space="preserve"> (section 8)</w:t>
      </w:r>
      <w:bookmarkEnd w:id="32"/>
      <w:r w:rsidRPr="00FA558D">
        <w:rPr>
          <w:lang w:val="fr-CA"/>
        </w:rPr>
        <w:t xml:space="preserve"> </w:t>
      </w:r>
    </w:p>
    <w:p w:rsidRPr="00FA558D" w:rsidR="00B91619" w:rsidP="00B91619" w:rsidRDefault="00B91619" w14:paraId="6931B1D7" w14:textId="690C980D">
      <w:pPr>
        <w:pStyle w:val="Heading2"/>
        <w:numPr>
          <w:ilvl w:val="1"/>
          <w:numId w:val="26"/>
        </w:numPr>
        <w:ind w:left="720" w:hanging="720"/>
        <w:rPr>
          <w:lang w:val="fr-CA"/>
        </w:rPr>
      </w:pPr>
      <w:bookmarkStart w:name="_Toc151373923" w:id="33"/>
      <w:r>
        <w:rPr>
          <w:lang w:val="fr-CA"/>
        </w:rPr>
        <w:t>Exigences de la politique</w:t>
      </w:r>
      <w:r w:rsidRPr="00FA558D">
        <w:rPr>
          <w:lang w:val="fr-CA"/>
        </w:rPr>
        <w:t xml:space="preserve"> (</w:t>
      </w:r>
      <w:r w:rsidR="00685B11">
        <w:rPr>
          <w:lang w:val="fr-CA"/>
        </w:rPr>
        <w:t>paragraphe</w:t>
      </w:r>
      <w:r w:rsidRPr="00FA558D">
        <w:rPr>
          <w:lang w:val="fr-CA"/>
        </w:rPr>
        <w:t> 8.2)</w:t>
      </w:r>
      <w:bookmarkEnd w:id="33"/>
    </w:p>
    <w:p w:rsidRPr="00FA558D" w:rsidR="00B91619" w:rsidP="00B91619" w:rsidRDefault="00B91619" w14:paraId="32808143" w14:textId="77777777">
      <w:pPr>
        <w:tabs>
          <w:tab w:val="left" w:pos="9356"/>
        </w:tabs>
        <w:spacing w:after="0" w:line="240" w:lineRule="auto"/>
        <w:rPr>
          <w:lang w:val="fr-CA"/>
        </w:rPr>
      </w:pPr>
    </w:p>
    <w:p w:rsidRPr="00FA558D" w:rsidR="00B91619" w:rsidP="00B91619" w:rsidRDefault="00B91619" w14:paraId="06EBC05C" w14:textId="17D209B1">
      <w:pPr>
        <w:tabs>
          <w:tab w:val="left" w:pos="9356"/>
        </w:tabs>
        <w:spacing w:after="0" w:line="240" w:lineRule="auto"/>
        <w:rPr>
          <w:lang w:val="fr-CA"/>
        </w:rPr>
      </w:pPr>
      <w:r>
        <w:rPr>
          <w:lang w:val="fr-CA"/>
        </w:rPr>
        <w:t xml:space="preserve">La </w:t>
      </w:r>
      <w:r w:rsidR="006A2E5B">
        <w:rPr>
          <w:lang w:val="fr-CA"/>
        </w:rPr>
        <w:t>L</w:t>
      </w:r>
      <w:r w:rsidR="00827BD1">
        <w:rPr>
          <w:lang w:val="fr-CA"/>
        </w:rPr>
        <w:t>entille</w:t>
      </w:r>
      <w:r>
        <w:rPr>
          <w:lang w:val="fr-CA"/>
        </w:rPr>
        <w:t xml:space="preserve"> des petites entreprises</w:t>
      </w:r>
      <w:r w:rsidRPr="00FA558D">
        <w:rPr>
          <w:lang w:val="fr-CA"/>
        </w:rPr>
        <w:t xml:space="preserve"> </w:t>
      </w:r>
      <w:r>
        <w:rPr>
          <w:lang w:val="fr-CA"/>
        </w:rPr>
        <w:t>s’applique aux</w:t>
      </w:r>
      <w:r w:rsidRPr="00FA558D">
        <w:rPr>
          <w:lang w:val="fr-CA"/>
        </w:rPr>
        <w:t xml:space="preserve"> </w:t>
      </w:r>
      <w:r w:rsidR="00F0397A">
        <w:rPr>
          <w:lang w:val="fr-CA"/>
        </w:rPr>
        <w:t xml:space="preserve">modifications </w:t>
      </w:r>
      <w:r>
        <w:rPr>
          <w:lang w:val="fr-CA"/>
        </w:rPr>
        <w:t xml:space="preserve">réglementaires qui </w:t>
      </w:r>
      <w:r w:rsidR="006A2E5B">
        <w:rPr>
          <w:lang w:val="fr-CA"/>
        </w:rPr>
        <w:t xml:space="preserve">ont pour effet d’imposer </w:t>
      </w:r>
      <w:r>
        <w:rPr>
          <w:lang w:val="fr-CA"/>
        </w:rPr>
        <w:t xml:space="preserve">un fardeau </w:t>
      </w:r>
      <w:r w:rsidR="006A2E5B">
        <w:rPr>
          <w:lang w:val="fr-CA"/>
        </w:rPr>
        <w:t xml:space="preserve">administratif ou de conformité supplémentaire </w:t>
      </w:r>
      <w:r>
        <w:rPr>
          <w:lang w:val="fr-CA"/>
        </w:rPr>
        <w:t>et progressif aux petites entreprises</w:t>
      </w:r>
      <w:r w:rsidRPr="00FA558D">
        <w:rPr>
          <w:lang w:val="fr-CA"/>
        </w:rPr>
        <w:t>.</w:t>
      </w:r>
      <w:r>
        <w:rPr>
          <w:lang w:val="fr-CA"/>
        </w:rPr>
        <w:t xml:space="preserve"> Les questions ci-après ont été formulées pour aider les organismes de réglementation</w:t>
      </w:r>
      <w:r w:rsidRPr="00FA558D">
        <w:rPr>
          <w:lang w:val="fr-CA"/>
        </w:rPr>
        <w:t xml:space="preserve"> </w:t>
      </w:r>
      <w:r>
        <w:rPr>
          <w:lang w:val="fr-CA"/>
        </w:rPr>
        <w:t>à établir si</w:t>
      </w:r>
      <w:r w:rsidRPr="00FA558D">
        <w:rPr>
          <w:lang w:val="fr-CA"/>
        </w:rPr>
        <w:t xml:space="preserve"> </w:t>
      </w:r>
      <w:r>
        <w:rPr>
          <w:lang w:val="fr-CA"/>
        </w:rPr>
        <w:t xml:space="preserve">la </w:t>
      </w:r>
      <w:r w:rsidR="00827BD1">
        <w:rPr>
          <w:lang w:val="fr-CA"/>
        </w:rPr>
        <w:t>lentille</w:t>
      </w:r>
      <w:r w:rsidRPr="00FA558D">
        <w:rPr>
          <w:lang w:val="fr-CA"/>
        </w:rPr>
        <w:t xml:space="preserve"> </w:t>
      </w:r>
      <w:r>
        <w:rPr>
          <w:lang w:val="fr-CA"/>
        </w:rPr>
        <w:t>s’applique à un projet de règlement</w:t>
      </w:r>
      <w:r w:rsidR="006A0B20">
        <w:rPr>
          <w:lang w:val="fr-CA"/>
        </w:rPr>
        <w:t xml:space="preserve"> quelconque</w:t>
      </w:r>
      <w:r w:rsidRPr="00FA558D">
        <w:rPr>
          <w:lang w:val="fr-CA"/>
        </w:rPr>
        <w:t>.</w:t>
      </w:r>
    </w:p>
    <w:p w:rsidRPr="00FA558D" w:rsidR="00B91619" w:rsidP="00B91619" w:rsidRDefault="00B91619" w14:paraId="1D3F34CF" w14:textId="77777777">
      <w:pPr>
        <w:tabs>
          <w:tab w:val="left" w:pos="9356"/>
        </w:tabs>
        <w:spacing w:after="0" w:line="240" w:lineRule="auto"/>
        <w:rPr>
          <w:lang w:val="fr-CA"/>
        </w:rPr>
      </w:pPr>
    </w:p>
    <w:p w:rsidRPr="00FA558D" w:rsidR="00B91619" w:rsidP="00B91619" w:rsidRDefault="00B91619" w14:paraId="1CD9A332" w14:textId="43CE46F7">
      <w:pPr>
        <w:pStyle w:val="ListParagraph"/>
        <w:numPr>
          <w:ilvl w:val="6"/>
          <w:numId w:val="16"/>
        </w:numPr>
        <w:tabs>
          <w:tab w:val="left" w:pos="9356"/>
        </w:tabs>
        <w:spacing w:after="0" w:line="240" w:lineRule="auto"/>
        <w:ind w:left="720"/>
        <w:rPr>
          <w:lang w:val="fr-CA"/>
        </w:rPr>
      </w:pPr>
      <w:r>
        <w:rPr>
          <w:lang w:val="fr-CA"/>
        </w:rPr>
        <w:t xml:space="preserve">Le </w:t>
      </w:r>
      <w:r w:rsidR="00CB4601">
        <w:rPr>
          <w:lang w:val="fr-CA"/>
        </w:rPr>
        <w:t xml:space="preserve">projet de </w:t>
      </w:r>
      <w:r>
        <w:rPr>
          <w:lang w:val="fr-CA"/>
        </w:rPr>
        <w:t xml:space="preserve">règlement a-t-il été </w:t>
      </w:r>
      <w:r w:rsidR="00CB4601">
        <w:rPr>
          <w:lang w:val="fr-CA"/>
        </w:rPr>
        <w:t>pris</w:t>
      </w:r>
      <w:r>
        <w:rPr>
          <w:lang w:val="fr-CA"/>
        </w:rPr>
        <w:t xml:space="preserve"> ou approuvé par le gouverneur en conseil ou </w:t>
      </w:r>
      <w:r w:rsidR="00CB4601">
        <w:rPr>
          <w:lang w:val="fr-CA"/>
        </w:rPr>
        <w:t>pris</w:t>
      </w:r>
      <w:r>
        <w:rPr>
          <w:lang w:val="fr-CA"/>
        </w:rPr>
        <w:t xml:space="preserve"> par un ministre de la Couronne</w:t>
      </w:r>
      <w:r w:rsidRPr="00FA558D">
        <w:rPr>
          <w:lang w:val="fr-CA"/>
        </w:rPr>
        <w:t>?</w:t>
      </w:r>
    </w:p>
    <w:p w:rsidRPr="00FA558D" w:rsidR="00B91619" w:rsidP="00B91619" w:rsidRDefault="00B91619" w14:paraId="64567F44" w14:textId="3CAE583A">
      <w:pPr>
        <w:pStyle w:val="ListParagraph"/>
        <w:numPr>
          <w:ilvl w:val="0"/>
          <w:numId w:val="3"/>
        </w:numPr>
        <w:tabs>
          <w:tab w:val="left" w:pos="9356"/>
        </w:tabs>
        <w:spacing w:after="0" w:line="240" w:lineRule="auto"/>
        <w:ind w:left="1080"/>
        <w:rPr>
          <w:lang w:val="fr-CA"/>
        </w:rPr>
      </w:pPr>
      <w:r>
        <w:rPr>
          <w:lang w:val="fr-CA"/>
        </w:rPr>
        <w:t>Si ce n’est pas le cas,</w:t>
      </w:r>
      <w:r w:rsidRPr="00FA558D">
        <w:rPr>
          <w:lang w:val="fr-CA"/>
        </w:rPr>
        <w:t xml:space="preserve"> </w:t>
      </w:r>
      <w:r>
        <w:rPr>
          <w:lang w:val="fr-CA"/>
        </w:rPr>
        <w:t xml:space="preserve">la </w:t>
      </w:r>
      <w:r w:rsidR="00827BD1">
        <w:rPr>
          <w:lang w:val="fr-CA"/>
        </w:rPr>
        <w:t>lentille</w:t>
      </w:r>
      <w:r w:rsidRPr="00FA558D">
        <w:rPr>
          <w:lang w:val="fr-CA"/>
        </w:rPr>
        <w:t xml:space="preserve"> </w:t>
      </w:r>
      <w:r>
        <w:rPr>
          <w:lang w:val="fr-CA"/>
        </w:rPr>
        <w:t>n</w:t>
      </w:r>
      <w:r w:rsidR="00CB4601">
        <w:rPr>
          <w:lang w:val="fr-CA"/>
        </w:rPr>
        <w:t>e s’applique</w:t>
      </w:r>
      <w:r>
        <w:rPr>
          <w:lang w:val="fr-CA"/>
        </w:rPr>
        <w:t xml:space="preserve"> pas.</w:t>
      </w:r>
    </w:p>
    <w:p w:rsidRPr="00FA558D" w:rsidR="00B91619" w:rsidP="00B91619" w:rsidRDefault="00CB4601" w14:paraId="655D4631" w14:textId="512E124A">
      <w:pPr>
        <w:pStyle w:val="ListParagraph"/>
        <w:numPr>
          <w:ilvl w:val="0"/>
          <w:numId w:val="3"/>
        </w:numPr>
        <w:tabs>
          <w:tab w:val="left" w:pos="9356"/>
        </w:tabs>
        <w:spacing w:after="0" w:line="240" w:lineRule="auto"/>
        <w:ind w:left="1080"/>
        <w:rPr>
          <w:lang w:val="fr-CA"/>
        </w:rPr>
      </w:pPr>
      <w:r>
        <w:rPr>
          <w:lang w:val="fr-CA"/>
        </w:rPr>
        <w:t>Dans l’affirmative</w:t>
      </w:r>
      <w:r w:rsidR="00B91619">
        <w:rPr>
          <w:lang w:val="fr-CA"/>
        </w:rPr>
        <w:t>,</w:t>
      </w:r>
      <w:r w:rsidRPr="00FA558D" w:rsidR="00B91619">
        <w:rPr>
          <w:lang w:val="fr-CA"/>
        </w:rPr>
        <w:t xml:space="preserve"> </w:t>
      </w:r>
      <w:r>
        <w:rPr>
          <w:lang w:val="fr-CA"/>
        </w:rPr>
        <w:t>passez</w:t>
      </w:r>
      <w:r w:rsidRPr="00FA558D">
        <w:rPr>
          <w:lang w:val="fr-CA"/>
        </w:rPr>
        <w:t xml:space="preserve"> </w:t>
      </w:r>
      <w:r w:rsidR="00B91619">
        <w:rPr>
          <w:lang w:val="fr-CA"/>
        </w:rPr>
        <w:t xml:space="preserve">à la </w:t>
      </w:r>
      <w:r w:rsidRPr="00FA558D" w:rsidR="00B91619">
        <w:rPr>
          <w:lang w:val="fr-CA"/>
        </w:rPr>
        <w:t>question 2</w:t>
      </w:r>
      <w:r w:rsidR="00B91619">
        <w:rPr>
          <w:lang w:val="fr-CA"/>
        </w:rPr>
        <w:t>.</w:t>
      </w:r>
    </w:p>
    <w:p w:rsidRPr="00FA558D" w:rsidR="00B91619" w:rsidP="00B91619" w:rsidRDefault="00B91619" w14:paraId="465AB49F" w14:textId="77777777">
      <w:pPr>
        <w:tabs>
          <w:tab w:val="left" w:pos="9356"/>
        </w:tabs>
        <w:spacing w:after="0" w:line="240" w:lineRule="auto"/>
        <w:rPr>
          <w:lang w:val="fr-CA"/>
        </w:rPr>
      </w:pPr>
    </w:p>
    <w:p w:rsidRPr="00FA558D" w:rsidR="00B91619" w:rsidP="00B91619" w:rsidRDefault="00B91619" w14:paraId="20D0040A" w14:textId="1B40E1CD">
      <w:pPr>
        <w:pStyle w:val="ListParagraph"/>
        <w:numPr>
          <w:ilvl w:val="6"/>
          <w:numId w:val="16"/>
        </w:numPr>
        <w:tabs>
          <w:tab w:val="left" w:pos="9356"/>
        </w:tabs>
        <w:spacing w:after="0" w:line="240" w:lineRule="auto"/>
        <w:ind w:left="720"/>
        <w:rPr>
          <w:lang w:val="fr-CA"/>
        </w:rPr>
      </w:pPr>
      <w:r>
        <w:rPr>
          <w:lang w:val="fr-CA"/>
        </w:rPr>
        <w:t xml:space="preserve">Le </w:t>
      </w:r>
      <w:r w:rsidR="00CB4601">
        <w:rPr>
          <w:lang w:val="fr-CA"/>
        </w:rPr>
        <w:t xml:space="preserve">projet de règlement </w:t>
      </w:r>
      <w:r>
        <w:rPr>
          <w:lang w:val="fr-CA"/>
        </w:rPr>
        <w:t>a-t-il des répercussions sur les entreprises canadiennes</w:t>
      </w:r>
      <w:r w:rsidRPr="00FA558D">
        <w:rPr>
          <w:lang w:val="fr-CA"/>
        </w:rPr>
        <w:t>?</w:t>
      </w:r>
    </w:p>
    <w:p w:rsidRPr="00FA558D" w:rsidR="00B91619" w:rsidP="00B91619" w:rsidRDefault="00B91619" w14:paraId="6737CA06" w14:textId="54C8148B">
      <w:pPr>
        <w:pStyle w:val="ListParagraph"/>
        <w:numPr>
          <w:ilvl w:val="0"/>
          <w:numId w:val="3"/>
        </w:numPr>
        <w:tabs>
          <w:tab w:val="left" w:pos="9356"/>
        </w:tabs>
        <w:spacing w:after="0" w:line="240" w:lineRule="auto"/>
        <w:ind w:left="1080"/>
        <w:rPr>
          <w:lang w:val="fr-CA"/>
        </w:rPr>
      </w:pPr>
      <w:r>
        <w:rPr>
          <w:lang w:val="fr-CA"/>
        </w:rPr>
        <w:t>Si ce n’est pas le cas,</w:t>
      </w:r>
      <w:r w:rsidRPr="00FA558D">
        <w:rPr>
          <w:lang w:val="fr-CA"/>
        </w:rPr>
        <w:t xml:space="preserve"> </w:t>
      </w:r>
      <w:r>
        <w:rPr>
          <w:lang w:val="fr-CA"/>
        </w:rPr>
        <w:t xml:space="preserve">la </w:t>
      </w:r>
      <w:r w:rsidR="00827BD1">
        <w:rPr>
          <w:lang w:val="fr-CA"/>
        </w:rPr>
        <w:t>lentille</w:t>
      </w:r>
      <w:r w:rsidRPr="00FA558D">
        <w:rPr>
          <w:lang w:val="fr-CA"/>
        </w:rPr>
        <w:t xml:space="preserve"> </w:t>
      </w:r>
      <w:r>
        <w:rPr>
          <w:lang w:val="fr-CA"/>
        </w:rPr>
        <w:t>n</w:t>
      </w:r>
      <w:r w:rsidR="00CB4601">
        <w:rPr>
          <w:lang w:val="fr-CA"/>
        </w:rPr>
        <w:t>e s’</w:t>
      </w:r>
      <w:r w:rsidR="00F0397A">
        <w:rPr>
          <w:lang w:val="fr-CA"/>
        </w:rPr>
        <w:t>applique</w:t>
      </w:r>
      <w:r w:rsidR="00CB4601">
        <w:rPr>
          <w:lang w:val="fr-CA"/>
        </w:rPr>
        <w:t xml:space="preserve"> pas</w:t>
      </w:r>
      <w:r>
        <w:rPr>
          <w:lang w:val="fr-CA"/>
        </w:rPr>
        <w:t>.</w:t>
      </w:r>
    </w:p>
    <w:p w:rsidRPr="00FA558D" w:rsidR="00B91619" w:rsidP="00B91619" w:rsidRDefault="00CB4601" w14:paraId="624E3293" w14:textId="67FEF951">
      <w:pPr>
        <w:pStyle w:val="ListParagraph"/>
        <w:numPr>
          <w:ilvl w:val="0"/>
          <w:numId w:val="3"/>
        </w:numPr>
        <w:tabs>
          <w:tab w:val="left" w:pos="9356"/>
        </w:tabs>
        <w:spacing w:after="0" w:line="240" w:lineRule="auto"/>
        <w:ind w:left="1080"/>
        <w:rPr>
          <w:lang w:val="fr-CA"/>
        </w:rPr>
      </w:pPr>
      <w:r>
        <w:rPr>
          <w:lang w:val="fr-CA"/>
        </w:rPr>
        <w:t>Dans l’affirmative</w:t>
      </w:r>
      <w:r w:rsidR="00B91619">
        <w:rPr>
          <w:lang w:val="fr-CA"/>
        </w:rPr>
        <w:t>,</w:t>
      </w:r>
      <w:r w:rsidRPr="00FA558D" w:rsidR="00B91619">
        <w:rPr>
          <w:lang w:val="fr-CA"/>
        </w:rPr>
        <w:t xml:space="preserve"> </w:t>
      </w:r>
      <w:r w:rsidR="00B91619">
        <w:rPr>
          <w:lang w:val="fr-CA"/>
        </w:rPr>
        <w:t>passe</w:t>
      </w:r>
      <w:r>
        <w:rPr>
          <w:lang w:val="fr-CA"/>
        </w:rPr>
        <w:t>z</w:t>
      </w:r>
      <w:r w:rsidRPr="00FA558D" w:rsidR="00B91619">
        <w:rPr>
          <w:lang w:val="fr-CA"/>
        </w:rPr>
        <w:t xml:space="preserve"> </w:t>
      </w:r>
      <w:r w:rsidR="00F0397A">
        <w:rPr>
          <w:lang w:val="fr-CA"/>
        </w:rPr>
        <w:t xml:space="preserve">à la </w:t>
      </w:r>
      <w:r w:rsidRPr="00FA558D" w:rsidR="00B91619">
        <w:rPr>
          <w:lang w:val="fr-CA"/>
        </w:rPr>
        <w:t>question 3</w:t>
      </w:r>
      <w:r w:rsidR="00B91619">
        <w:rPr>
          <w:lang w:val="fr-CA"/>
        </w:rPr>
        <w:t>.</w:t>
      </w:r>
    </w:p>
    <w:p w:rsidRPr="00FA558D" w:rsidR="00B91619" w:rsidP="00B91619" w:rsidRDefault="00B91619" w14:paraId="6CF72EE8" w14:textId="77777777">
      <w:pPr>
        <w:tabs>
          <w:tab w:val="left" w:pos="9356"/>
        </w:tabs>
        <w:spacing w:after="0" w:line="240" w:lineRule="auto"/>
        <w:rPr>
          <w:lang w:val="fr-CA"/>
        </w:rPr>
      </w:pPr>
    </w:p>
    <w:p w:rsidRPr="00FA558D" w:rsidR="00B91619" w:rsidP="00B91619" w:rsidRDefault="00B91619" w14:paraId="61CF5DA2" w14:textId="27054775">
      <w:pPr>
        <w:pStyle w:val="ListParagraph"/>
        <w:numPr>
          <w:ilvl w:val="6"/>
          <w:numId w:val="16"/>
        </w:numPr>
        <w:tabs>
          <w:tab w:val="left" w:pos="9356"/>
        </w:tabs>
        <w:spacing w:after="0" w:line="240" w:lineRule="auto"/>
        <w:ind w:left="720"/>
        <w:rPr>
          <w:lang w:val="fr-CA"/>
        </w:rPr>
      </w:pPr>
      <w:r>
        <w:rPr>
          <w:lang w:val="fr-CA"/>
        </w:rPr>
        <w:t xml:space="preserve">Le </w:t>
      </w:r>
      <w:r w:rsidR="00CB4601">
        <w:rPr>
          <w:lang w:val="fr-CA"/>
        </w:rPr>
        <w:t xml:space="preserve">projet de </w:t>
      </w:r>
      <w:r>
        <w:rPr>
          <w:lang w:val="fr-CA"/>
        </w:rPr>
        <w:t>règlement a-t-il des répercussions sur les petites entreprises canadiennes</w:t>
      </w:r>
      <w:r w:rsidRPr="00FA558D">
        <w:rPr>
          <w:lang w:val="fr-CA"/>
        </w:rPr>
        <w:t xml:space="preserve"> (</w:t>
      </w:r>
      <w:r>
        <w:rPr>
          <w:lang w:val="fr-CA"/>
        </w:rPr>
        <w:t>telles qu’elles sont définies dans la politique</w:t>
      </w:r>
      <w:r w:rsidRPr="00FA558D">
        <w:rPr>
          <w:lang w:val="fr-CA"/>
        </w:rPr>
        <w:t>)?</w:t>
      </w:r>
    </w:p>
    <w:p w:rsidRPr="00FA558D" w:rsidR="00B91619" w:rsidP="00B91619" w:rsidRDefault="00B91619" w14:paraId="6B480A82" w14:textId="20964E1D">
      <w:pPr>
        <w:pStyle w:val="ListParagraph"/>
        <w:numPr>
          <w:ilvl w:val="0"/>
          <w:numId w:val="3"/>
        </w:numPr>
        <w:tabs>
          <w:tab w:val="left" w:pos="9356"/>
        </w:tabs>
        <w:spacing w:after="0" w:line="240" w:lineRule="auto"/>
        <w:ind w:left="1080"/>
        <w:rPr>
          <w:lang w:val="fr-CA"/>
        </w:rPr>
      </w:pPr>
      <w:r>
        <w:rPr>
          <w:lang w:val="fr-CA"/>
        </w:rPr>
        <w:t>Si ce n’est pas le cas,</w:t>
      </w:r>
      <w:r w:rsidRPr="00FA558D">
        <w:rPr>
          <w:lang w:val="fr-CA"/>
        </w:rPr>
        <w:t xml:space="preserve"> </w:t>
      </w:r>
      <w:r>
        <w:rPr>
          <w:lang w:val="fr-CA"/>
        </w:rPr>
        <w:t xml:space="preserve">la </w:t>
      </w:r>
      <w:r w:rsidR="00827BD1">
        <w:rPr>
          <w:lang w:val="fr-CA"/>
        </w:rPr>
        <w:t>lentille</w:t>
      </w:r>
      <w:r w:rsidRPr="00FA558D">
        <w:rPr>
          <w:lang w:val="fr-CA"/>
        </w:rPr>
        <w:t xml:space="preserve"> </w:t>
      </w:r>
      <w:r>
        <w:rPr>
          <w:lang w:val="fr-CA"/>
        </w:rPr>
        <w:t>n</w:t>
      </w:r>
      <w:r w:rsidR="00CB4601">
        <w:rPr>
          <w:lang w:val="fr-CA"/>
        </w:rPr>
        <w:t>e s’</w:t>
      </w:r>
      <w:r w:rsidR="00F0397A">
        <w:rPr>
          <w:lang w:val="fr-CA"/>
        </w:rPr>
        <w:t>applique</w:t>
      </w:r>
      <w:r w:rsidR="00CB4601">
        <w:rPr>
          <w:lang w:val="fr-CA"/>
        </w:rPr>
        <w:t xml:space="preserve"> pas</w:t>
      </w:r>
      <w:r>
        <w:rPr>
          <w:lang w:val="fr-CA"/>
        </w:rPr>
        <w:t>.</w:t>
      </w:r>
    </w:p>
    <w:p w:rsidRPr="00FA558D" w:rsidR="00B91619" w:rsidP="00B91619" w:rsidRDefault="00CB4601" w14:paraId="45C80454" w14:textId="3A647BAA">
      <w:pPr>
        <w:pStyle w:val="ListParagraph"/>
        <w:numPr>
          <w:ilvl w:val="0"/>
          <w:numId w:val="3"/>
        </w:numPr>
        <w:tabs>
          <w:tab w:val="left" w:pos="9356"/>
        </w:tabs>
        <w:spacing w:after="0" w:line="240" w:lineRule="auto"/>
        <w:ind w:left="1080"/>
        <w:rPr>
          <w:lang w:val="fr-CA"/>
        </w:rPr>
      </w:pPr>
      <w:r>
        <w:rPr>
          <w:lang w:val="fr-CA"/>
        </w:rPr>
        <w:t>Dans l’affirmative</w:t>
      </w:r>
      <w:r w:rsidR="00B91619">
        <w:rPr>
          <w:lang w:val="fr-CA"/>
        </w:rPr>
        <w:t>,</w:t>
      </w:r>
      <w:r w:rsidRPr="00FA558D" w:rsidR="00B91619">
        <w:rPr>
          <w:lang w:val="fr-CA"/>
        </w:rPr>
        <w:t xml:space="preserve"> </w:t>
      </w:r>
      <w:r w:rsidR="00B91619">
        <w:rPr>
          <w:lang w:val="fr-CA"/>
        </w:rPr>
        <w:t>la </w:t>
      </w:r>
      <w:r w:rsidR="00827BD1">
        <w:rPr>
          <w:lang w:val="fr-CA"/>
        </w:rPr>
        <w:t>lentille</w:t>
      </w:r>
      <w:r w:rsidRPr="00FA558D" w:rsidR="00B91619">
        <w:rPr>
          <w:lang w:val="fr-CA"/>
        </w:rPr>
        <w:t xml:space="preserve"> </w:t>
      </w:r>
      <w:r w:rsidR="00F0397A">
        <w:rPr>
          <w:lang w:val="fr-CA"/>
        </w:rPr>
        <w:t>s’applique</w:t>
      </w:r>
      <w:r w:rsidR="00B91619">
        <w:rPr>
          <w:lang w:val="fr-CA"/>
        </w:rPr>
        <w:t>.</w:t>
      </w:r>
    </w:p>
    <w:p w:rsidRPr="00FA558D" w:rsidR="00B91619" w:rsidP="00B91619" w:rsidRDefault="00B91619" w14:paraId="255AE1F5" w14:textId="77777777">
      <w:pPr>
        <w:tabs>
          <w:tab w:val="left" w:pos="9356"/>
        </w:tabs>
        <w:spacing w:after="0" w:line="240" w:lineRule="auto"/>
        <w:rPr>
          <w:lang w:val="fr-CA"/>
        </w:rPr>
      </w:pPr>
    </w:p>
    <w:p w:rsidRPr="00FA558D" w:rsidR="00B91619" w:rsidP="00B91619" w:rsidRDefault="00B91619" w14:paraId="2A9B4CDF" w14:textId="7CB56CB6">
      <w:pPr>
        <w:tabs>
          <w:tab w:val="left" w:pos="9356"/>
        </w:tabs>
        <w:spacing w:after="0" w:line="240" w:lineRule="auto"/>
        <w:rPr>
          <w:lang w:val="fr-CA"/>
        </w:rPr>
      </w:pPr>
      <w:r>
        <w:rPr>
          <w:lang w:val="fr-CA"/>
        </w:rPr>
        <w:t xml:space="preserve">Si la </w:t>
      </w:r>
      <w:r w:rsidR="00827BD1">
        <w:rPr>
          <w:lang w:val="fr-CA"/>
        </w:rPr>
        <w:t>lentille</w:t>
      </w:r>
      <w:r w:rsidRPr="00FA558D">
        <w:rPr>
          <w:lang w:val="fr-CA"/>
        </w:rPr>
        <w:t xml:space="preserve"> </w:t>
      </w:r>
      <w:r w:rsidR="00F0397A">
        <w:rPr>
          <w:lang w:val="fr-CA"/>
        </w:rPr>
        <w:t>s’applique</w:t>
      </w:r>
      <w:r>
        <w:rPr>
          <w:lang w:val="fr-CA"/>
        </w:rPr>
        <w:t>, l</w:t>
      </w:r>
      <w:r w:rsidR="000D67EF">
        <w:rPr>
          <w:lang w:val="fr-CA"/>
        </w:rPr>
        <w:t xml:space="preserve">es </w:t>
      </w:r>
      <w:r>
        <w:rPr>
          <w:lang w:val="fr-CA"/>
        </w:rPr>
        <w:t>organisme</w:t>
      </w:r>
      <w:r w:rsidR="000D67EF">
        <w:rPr>
          <w:lang w:val="fr-CA"/>
        </w:rPr>
        <w:t>s</w:t>
      </w:r>
      <w:r>
        <w:rPr>
          <w:lang w:val="fr-CA"/>
        </w:rPr>
        <w:t xml:space="preserve"> de réglementation</w:t>
      </w:r>
      <w:r w:rsidRPr="00FA558D">
        <w:rPr>
          <w:lang w:val="fr-CA"/>
        </w:rPr>
        <w:t xml:space="preserve"> </w:t>
      </w:r>
      <w:r>
        <w:rPr>
          <w:lang w:val="fr-CA"/>
        </w:rPr>
        <w:t>doi</w:t>
      </w:r>
      <w:r w:rsidR="000D67EF">
        <w:rPr>
          <w:lang w:val="fr-CA"/>
        </w:rPr>
        <w:t>ven</w:t>
      </w:r>
      <w:r>
        <w:rPr>
          <w:lang w:val="fr-CA"/>
        </w:rPr>
        <w:t>t respecter les exigence</w:t>
      </w:r>
      <w:r w:rsidRPr="00FA558D">
        <w:rPr>
          <w:lang w:val="fr-CA"/>
        </w:rPr>
        <w:t xml:space="preserve">s </w:t>
      </w:r>
      <w:r>
        <w:rPr>
          <w:lang w:val="fr-CA"/>
        </w:rPr>
        <w:t>définies dans</w:t>
      </w:r>
      <w:r w:rsidRPr="00FA558D">
        <w:rPr>
          <w:lang w:val="fr-CA"/>
        </w:rPr>
        <w:t xml:space="preserve"> </w:t>
      </w:r>
      <w:r>
        <w:rPr>
          <w:lang w:val="fr-CA"/>
        </w:rPr>
        <w:t xml:space="preserve">la </w:t>
      </w:r>
      <w:r w:rsidR="00F0397A">
        <w:rPr>
          <w:lang w:val="fr-CA"/>
        </w:rPr>
        <w:t>p</w:t>
      </w:r>
      <w:r>
        <w:rPr>
          <w:lang w:val="fr-CA"/>
        </w:rPr>
        <w:t>olitique</w:t>
      </w:r>
      <w:r w:rsidRPr="00FA558D">
        <w:rPr>
          <w:lang w:val="fr-CA"/>
        </w:rPr>
        <w:t xml:space="preserve">. </w:t>
      </w:r>
      <w:r>
        <w:rPr>
          <w:lang w:val="fr-CA"/>
        </w:rPr>
        <w:t>La s</w:t>
      </w:r>
      <w:r w:rsidRPr="00FA558D">
        <w:rPr>
          <w:lang w:val="fr-CA"/>
        </w:rPr>
        <w:t>ection 10</w:t>
      </w:r>
      <w:r>
        <w:rPr>
          <w:lang w:val="fr-CA"/>
        </w:rPr>
        <w:t xml:space="preserve"> du présent guide</w:t>
      </w:r>
      <w:r w:rsidRPr="00FA558D">
        <w:rPr>
          <w:lang w:val="fr-CA"/>
        </w:rPr>
        <w:t xml:space="preserve"> </w:t>
      </w:r>
      <w:r w:rsidR="000D67EF">
        <w:rPr>
          <w:lang w:val="fr-CA"/>
        </w:rPr>
        <w:t>indique</w:t>
      </w:r>
      <w:r>
        <w:rPr>
          <w:lang w:val="fr-CA"/>
        </w:rPr>
        <w:t xml:space="preserve"> l’information et le libellé s</w:t>
      </w:r>
      <w:r w:rsidRPr="00FA558D">
        <w:rPr>
          <w:lang w:val="fr-CA"/>
        </w:rPr>
        <w:t xml:space="preserve">tandard </w:t>
      </w:r>
      <w:r>
        <w:rPr>
          <w:lang w:val="fr-CA"/>
        </w:rPr>
        <w:t xml:space="preserve">à inclure dans le REIR pour chacun des </w:t>
      </w:r>
      <w:r w:rsidR="000D67EF">
        <w:rPr>
          <w:lang w:val="fr-CA"/>
        </w:rPr>
        <w:t>scénarios</w:t>
      </w:r>
      <w:r>
        <w:rPr>
          <w:lang w:val="fr-CA"/>
        </w:rPr>
        <w:t xml:space="preserve"> </w:t>
      </w:r>
      <w:r w:rsidR="000D67EF">
        <w:rPr>
          <w:lang w:val="fr-CA"/>
        </w:rPr>
        <w:t>susmentionnés</w:t>
      </w:r>
      <w:r w:rsidRPr="00FA558D">
        <w:rPr>
          <w:lang w:val="fr-CA"/>
        </w:rPr>
        <w:t>.</w:t>
      </w:r>
    </w:p>
    <w:p w:rsidRPr="00FA558D" w:rsidR="00B91619" w:rsidP="00B91619" w:rsidRDefault="00B91619" w14:paraId="22E0CAD3" w14:textId="77777777">
      <w:pPr>
        <w:tabs>
          <w:tab w:val="left" w:pos="9356"/>
        </w:tabs>
        <w:spacing w:after="0" w:line="240" w:lineRule="auto"/>
        <w:rPr>
          <w:lang w:val="fr-CA"/>
        </w:rPr>
      </w:pPr>
    </w:p>
    <w:p w:rsidRPr="00FA558D" w:rsidR="00B91619" w:rsidP="00B91619" w:rsidRDefault="00F0397A" w14:paraId="24D1C2E4" w14:textId="32A0DC1B">
      <w:pPr>
        <w:pStyle w:val="Heading3"/>
        <w:numPr>
          <w:ilvl w:val="2"/>
          <w:numId w:val="27"/>
        </w:numPr>
        <w:ind w:left="720" w:hanging="720"/>
        <w:rPr>
          <w:lang w:val="fr-CA"/>
        </w:rPr>
      </w:pPr>
      <w:bookmarkStart w:name="_Toc151373924" w:id="34"/>
      <w:r>
        <w:rPr>
          <w:lang w:val="fr-CA"/>
        </w:rPr>
        <w:t>Détermination</w:t>
      </w:r>
      <w:r w:rsidRPr="00FA558D">
        <w:rPr>
          <w:lang w:val="fr-CA"/>
        </w:rPr>
        <w:t xml:space="preserve"> </w:t>
      </w:r>
      <w:r w:rsidR="00B91619">
        <w:rPr>
          <w:lang w:val="fr-CA"/>
        </w:rPr>
        <w:t>des répercussions</w:t>
      </w:r>
      <w:r w:rsidRPr="00FA558D" w:rsidR="00B91619">
        <w:rPr>
          <w:lang w:val="fr-CA"/>
        </w:rPr>
        <w:t xml:space="preserve"> </w:t>
      </w:r>
      <w:r w:rsidR="00B91619">
        <w:rPr>
          <w:lang w:val="fr-CA"/>
        </w:rPr>
        <w:t>sur les petites entreprises</w:t>
      </w:r>
      <w:r w:rsidRPr="00FA558D" w:rsidR="00B91619">
        <w:rPr>
          <w:lang w:val="fr-CA"/>
        </w:rPr>
        <w:t xml:space="preserve"> (</w:t>
      </w:r>
      <w:r w:rsidR="00191988">
        <w:rPr>
          <w:lang w:val="fr-CA"/>
        </w:rPr>
        <w:t>paragraphe</w:t>
      </w:r>
      <w:r w:rsidRPr="00FA558D" w:rsidR="00B91619">
        <w:rPr>
          <w:lang w:val="fr-CA"/>
        </w:rPr>
        <w:t> 8.2.1)</w:t>
      </w:r>
      <w:bookmarkEnd w:id="34"/>
    </w:p>
    <w:p w:rsidRPr="00FA558D" w:rsidR="00B91619" w:rsidP="00B91619" w:rsidRDefault="00B91619" w14:paraId="1E2E6E2F" w14:textId="77777777">
      <w:pPr>
        <w:tabs>
          <w:tab w:val="left" w:pos="9356"/>
        </w:tabs>
        <w:spacing w:after="0" w:line="240" w:lineRule="auto"/>
        <w:rPr>
          <w:lang w:val="fr-CA"/>
        </w:rPr>
      </w:pPr>
    </w:p>
    <w:p w:rsidRPr="00FA558D" w:rsidR="00B91619" w:rsidP="00B91619" w:rsidRDefault="00B91619" w14:paraId="7645D43E" w14:textId="3CD27230">
      <w:pPr>
        <w:tabs>
          <w:tab w:val="left" w:pos="9356"/>
        </w:tabs>
        <w:spacing w:after="0" w:line="240" w:lineRule="auto"/>
        <w:rPr>
          <w:lang w:val="fr-CA"/>
        </w:rPr>
      </w:pPr>
      <w:r>
        <w:rPr>
          <w:lang w:val="fr-CA"/>
        </w:rPr>
        <w:t>Pour tous les</w:t>
      </w:r>
      <w:r w:rsidRPr="00FA558D">
        <w:rPr>
          <w:lang w:val="fr-CA"/>
        </w:rPr>
        <w:t xml:space="preserve"> </w:t>
      </w:r>
      <w:r>
        <w:rPr>
          <w:lang w:val="fr-CA"/>
        </w:rPr>
        <w:t>projets de règlement, l</w:t>
      </w:r>
      <w:r w:rsidR="00942212">
        <w:rPr>
          <w:lang w:val="fr-CA"/>
        </w:rPr>
        <w:t xml:space="preserve">es </w:t>
      </w:r>
      <w:r>
        <w:rPr>
          <w:lang w:val="fr-CA"/>
        </w:rPr>
        <w:t>organisme</w:t>
      </w:r>
      <w:r w:rsidR="00942212">
        <w:rPr>
          <w:lang w:val="fr-CA"/>
        </w:rPr>
        <w:t>s</w:t>
      </w:r>
      <w:r>
        <w:rPr>
          <w:lang w:val="fr-CA"/>
        </w:rPr>
        <w:t xml:space="preserve"> de réglementation doi</w:t>
      </w:r>
      <w:r w:rsidR="00942212">
        <w:rPr>
          <w:lang w:val="fr-CA"/>
        </w:rPr>
        <w:t>ven</w:t>
      </w:r>
      <w:r>
        <w:rPr>
          <w:lang w:val="fr-CA"/>
        </w:rPr>
        <w:t xml:space="preserve">t </w:t>
      </w:r>
      <w:r w:rsidR="001D6D84">
        <w:rPr>
          <w:lang w:val="fr-CA"/>
        </w:rPr>
        <w:t>indiquer</w:t>
      </w:r>
      <w:r>
        <w:rPr>
          <w:lang w:val="fr-CA"/>
        </w:rPr>
        <w:t xml:space="preserve"> si</w:t>
      </w:r>
      <w:r w:rsidRPr="00FA558D">
        <w:rPr>
          <w:lang w:val="fr-CA"/>
        </w:rPr>
        <w:t xml:space="preserve"> </w:t>
      </w:r>
      <w:r>
        <w:rPr>
          <w:lang w:val="fr-CA"/>
        </w:rPr>
        <w:t>le règlement</w:t>
      </w:r>
      <w:r w:rsidRPr="00FA558D">
        <w:rPr>
          <w:lang w:val="fr-CA"/>
        </w:rPr>
        <w:t xml:space="preserve"> </w:t>
      </w:r>
      <w:r w:rsidR="001D6D84">
        <w:rPr>
          <w:lang w:val="fr-CA"/>
        </w:rPr>
        <w:t xml:space="preserve">est susceptible </w:t>
      </w:r>
      <w:proofErr w:type="gramStart"/>
      <w:r w:rsidR="001D6D84">
        <w:rPr>
          <w:lang w:val="fr-CA"/>
        </w:rPr>
        <w:t>d’avoir</w:t>
      </w:r>
      <w:proofErr w:type="gramEnd"/>
      <w:r w:rsidR="001D6D84">
        <w:rPr>
          <w:lang w:val="fr-CA"/>
        </w:rPr>
        <w:t xml:space="preserve"> des</w:t>
      </w:r>
      <w:r>
        <w:rPr>
          <w:lang w:val="fr-CA"/>
        </w:rPr>
        <w:t xml:space="preserve"> répercussions sur les petites entreprises</w:t>
      </w:r>
      <w:r w:rsidRPr="00FA558D">
        <w:rPr>
          <w:lang w:val="fr-CA"/>
        </w:rPr>
        <w:t xml:space="preserve">. </w:t>
      </w:r>
      <w:r>
        <w:rPr>
          <w:lang w:val="fr-CA"/>
        </w:rPr>
        <w:t>Dans sa version</w:t>
      </w:r>
      <w:r w:rsidR="001D6D84">
        <w:rPr>
          <w:lang w:val="fr-CA"/>
        </w:rPr>
        <w:t xml:space="preserve"> antérieure</w:t>
      </w:r>
      <w:r>
        <w:rPr>
          <w:lang w:val="fr-CA"/>
        </w:rPr>
        <w:t xml:space="preserve">, la </w:t>
      </w:r>
      <w:r w:rsidR="001D6D84">
        <w:rPr>
          <w:lang w:val="fr-CA"/>
        </w:rPr>
        <w:t xml:space="preserve">Lentille </w:t>
      </w:r>
      <w:r>
        <w:rPr>
          <w:lang w:val="fr-CA"/>
        </w:rPr>
        <w:t>des petites entreprises</w:t>
      </w:r>
      <w:r w:rsidRPr="00FA558D">
        <w:rPr>
          <w:lang w:val="fr-CA"/>
        </w:rPr>
        <w:t xml:space="preserve"> </w:t>
      </w:r>
      <w:r>
        <w:rPr>
          <w:lang w:val="fr-CA"/>
        </w:rPr>
        <w:t>s’appliqu</w:t>
      </w:r>
      <w:r w:rsidR="001D6D84">
        <w:rPr>
          <w:lang w:val="fr-CA"/>
        </w:rPr>
        <w:t>ait</w:t>
      </w:r>
      <w:r>
        <w:rPr>
          <w:lang w:val="fr-CA"/>
        </w:rPr>
        <w:t xml:space="preserve"> aux :</w:t>
      </w:r>
    </w:p>
    <w:p w:rsidRPr="00FA558D" w:rsidR="00B91619" w:rsidP="00B91619" w:rsidRDefault="00B91619" w14:paraId="6FEC4030" w14:textId="25D02544">
      <w:pPr>
        <w:pStyle w:val="ListParagraph"/>
        <w:numPr>
          <w:ilvl w:val="0"/>
          <w:numId w:val="13"/>
        </w:numPr>
        <w:tabs>
          <w:tab w:val="left" w:pos="9356"/>
        </w:tabs>
        <w:spacing w:after="0" w:line="240" w:lineRule="auto"/>
        <w:rPr>
          <w:lang w:val="fr-CA"/>
        </w:rPr>
      </w:pPr>
      <w:proofErr w:type="gramStart"/>
      <w:r>
        <w:rPr>
          <w:lang w:val="fr-CA"/>
        </w:rPr>
        <w:t>règlements</w:t>
      </w:r>
      <w:proofErr w:type="gramEnd"/>
      <w:r>
        <w:rPr>
          <w:lang w:val="fr-CA"/>
        </w:rPr>
        <w:t xml:space="preserve"> </w:t>
      </w:r>
      <w:r w:rsidR="001D6D84">
        <w:rPr>
          <w:lang w:val="fr-CA"/>
        </w:rPr>
        <w:t>importants</w:t>
      </w:r>
      <w:r>
        <w:rPr>
          <w:lang w:val="fr-CA"/>
        </w:rPr>
        <w:t>;</w:t>
      </w:r>
    </w:p>
    <w:p w:rsidRPr="00FA558D" w:rsidR="00B91619" w:rsidP="00B91619" w:rsidRDefault="00B91619" w14:paraId="55676068" w14:textId="4ACF52DD">
      <w:pPr>
        <w:pStyle w:val="ListParagraph"/>
        <w:numPr>
          <w:ilvl w:val="0"/>
          <w:numId w:val="13"/>
        </w:numPr>
        <w:tabs>
          <w:tab w:val="left" w:pos="9356"/>
        </w:tabs>
        <w:spacing w:after="0" w:line="240" w:lineRule="auto"/>
        <w:rPr>
          <w:lang w:val="fr-CA"/>
        </w:rPr>
      </w:pPr>
      <w:proofErr w:type="gramStart"/>
      <w:r>
        <w:rPr>
          <w:lang w:val="fr-CA"/>
        </w:rPr>
        <w:t>règlement</w:t>
      </w:r>
      <w:r w:rsidRPr="00FA558D">
        <w:rPr>
          <w:lang w:val="fr-CA"/>
        </w:rPr>
        <w:t>s</w:t>
      </w:r>
      <w:proofErr w:type="gramEnd"/>
      <w:r>
        <w:rPr>
          <w:lang w:val="fr-CA"/>
        </w:rPr>
        <w:t xml:space="preserve"> </w:t>
      </w:r>
      <w:r w:rsidR="001D6D84">
        <w:rPr>
          <w:lang w:val="fr-CA"/>
        </w:rPr>
        <w:t xml:space="preserve">qui </w:t>
      </w:r>
      <w:r w:rsidR="00417CDE">
        <w:rPr>
          <w:lang w:val="fr-CA"/>
        </w:rPr>
        <w:t>avaient</w:t>
      </w:r>
      <w:r w:rsidR="001D6D84">
        <w:rPr>
          <w:lang w:val="fr-CA"/>
        </w:rPr>
        <w:t xml:space="preserve"> de faibles répercussions, mais </w:t>
      </w:r>
      <w:r>
        <w:rPr>
          <w:lang w:val="fr-CA"/>
        </w:rPr>
        <w:t xml:space="preserve">qui </w:t>
      </w:r>
      <w:r w:rsidR="00417CDE">
        <w:rPr>
          <w:lang w:val="fr-CA"/>
        </w:rPr>
        <w:t>avaient</w:t>
      </w:r>
      <w:r>
        <w:rPr>
          <w:lang w:val="fr-CA"/>
        </w:rPr>
        <w:t xml:space="preserve"> des répercussions </w:t>
      </w:r>
      <w:r w:rsidR="001D6D84">
        <w:rPr>
          <w:lang w:val="fr-CA"/>
        </w:rPr>
        <w:t>disproportionnées</w:t>
      </w:r>
      <w:r>
        <w:rPr>
          <w:lang w:val="fr-CA"/>
        </w:rPr>
        <w:t xml:space="preserve"> sur les petites entreprises.</w:t>
      </w:r>
    </w:p>
    <w:p w:rsidRPr="00FA558D" w:rsidR="00B91619" w:rsidP="00B91619" w:rsidRDefault="00B91619" w14:paraId="79EA5011" w14:textId="77777777">
      <w:pPr>
        <w:tabs>
          <w:tab w:val="left" w:pos="9356"/>
        </w:tabs>
        <w:spacing w:after="0" w:line="240" w:lineRule="auto"/>
        <w:rPr>
          <w:lang w:val="fr-CA"/>
        </w:rPr>
      </w:pPr>
    </w:p>
    <w:p w:rsidRPr="00FA558D" w:rsidR="00B91619" w:rsidP="00B91619" w:rsidRDefault="00B91619" w14:paraId="2D0E97A9" w14:textId="48CAD916">
      <w:pPr>
        <w:tabs>
          <w:tab w:val="left" w:pos="9356"/>
        </w:tabs>
        <w:spacing w:after="0" w:line="240" w:lineRule="auto"/>
        <w:rPr>
          <w:lang w:val="fr-CA"/>
        </w:rPr>
      </w:pPr>
      <w:r>
        <w:rPr>
          <w:lang w:val="fr-CA"/>
        </w:rPr>
        <w:t xml:space="preserve">La nouvelle version de la </w:t>
      </w:r>
      <w:r w:rsidR="001D6D84">
        <w:rPr>
          <w:lang w:val="fr-CA"/>
        </w:rPr>
        <w:t xml:space="preserve">Lentille </w:t>
      </w:r>
      <w:r>
        <w:rPr>
          <w:lang w:val="fr-CA"/>
        </w:rPr>
        <w:t>des petites entreprises</w:t>
      </w:r>
      <w:r w:rsidRPr="00FA558D">
        <w:rPr>
          <w:lang w:val="fr-CA"/>
        </w:rPr>
        <w:t xml:space="preserve"> </w:t>
      </w:r>
      <w:r>
        <w:rPr>
          <w:lang w:val="fr-CA"/>
        </w:rPr>
        <w:t>s’applique à tous les projet</w:t>
      </w:r>
      <w:r w:rsidRPr="00FA558D">
        <w:rPr>
          <w:lang w:val="fr-CA"/>
        </w:rPr>
        <w:t>s</w:t>
      </w:r>
      <w:r w:rsidR="00417CDE">
        <w:rPr>
          <w:lang w:val="fr-CA"/>
        </w:rPr>
        <w:t xml:space="preserve"> de règlement</w:t>
      </w:r>
      <w:r w:rsidR="001D6D84">
        <w:rPr>
          <w:lang w:val="fr-CA"/>
        </w:rPr>
        <w:t xml:space="preserve">. Toutefois, </w:t>
      </w:r>
      <w:r>
        <w:rPr>
          <w:lang w:val="fr-CA"/>
        </w:rPr>
        <w:t>les exigences concernant l’analyse peuvent varier selon les coûts</w:t>
      </w:r>
      <w:r w:rsidRPr="00FA558D">
        <w:rPr>
          <w:lang w:val="fr-CA"/>
        </w:rPr>
        <w:t xml:space="preserve"> </w:t>
      </w:r>
      <w:r>
        <w:rPr>
          <w:lang w:val="fr-CA"/>
        </w:rPr>
        <w:t>liés au projet</w:t>
      </w:r>
      <w:r w:rsidR="00417CDE">
        <w:rPr>
          <w:lang w:val="fr-CA"/>
        </w:rPr>
        <w:t xml:space="preserve"> de règlement</w:t>
      </w:r>
      <w:r w:rsidRPr="00FA558D">
        <w:rPr>
          <w:lang w:val="fr-CA"/>
        </w:rPr>
        <w:t>.</w:t>
      </w:r>
    </w:p>
    <w:p w:rsidRPr="00FA558D" w:rsidR="00B91619" w:rsidP="00B91619" w:rsidRDefault="00B91619" w14:paraId="23DCEF0F" w14:textId="77777777">
      <w:pPr>
        <w:tabs>
          <w:tab w:val="left" w:pos="9356"/>
        </w:tabs>
        <w:spacing w:after="0" w:line="240" w:lineRule="auto"/>
        <w:rPr>
          <w:lang w:val="fr-CA"/>
        </w:rPr>
      </w:pPr>
    </w:p>
    <w:p w:rsidRPr="00FA558D" w:rsidR="00B91619" w:rsidP="00B91619" w:rsidRDefault="00F0397A" w14:paraId="6DCBE2EB" w14:textId="5D6AD17F">
      <w:pPr>
        <w:pStyle w:val="Heading3"/>
        <w:numPr>
          <w:ilvl w:val="2"/>
          <w:numId w:val="27"/>
        </w:numPr>
        <w:ind w:left="720" w:hanging="720"/>
        <w:rPr>
          <w:lang w:val="fr-CA"/>
        </w:rPr>
      </w:pPr>
      <w:bookmarkStart w:name="_Toc151373925" w:id="35"/>
      <w:r>
        <w:rPr>
          <w:lang w:val="fr-CA"/>
        </w:rPr>
        <w:t xml:space="preserve">Description </w:t>
      </w:r>
      <w:r w:rsidR="00B91619">
        <w:rPr>
          <w:lang w:val="fr-CA"/>
        </w:rPr>
        <w:t>des répercussions</w:t>
      </w:r>
      <w:r w:rsidRPr="00FA558D" w:rsidR="00B91619">
        <w:rPr>
          <w:lang w:val="fr-CA"/>
        </w:rPr>
        <w:t xml:space="preserve"> </w:t>
      </w:r>
      <w:r w:rsidR="00B91619">
        <w:rPr>
          <w:lang w:val="fr-CA"/>
        </w:rPr>
        <w:t>sur les petites entreprises</w:t>
      </w:r>
      <w:r w:rsidRPr="00FA558D" w:rsidR="00B91619">
        <w:rPr>
          <w:lang w:val="fr-CA"/>
        </w:rPr>
        <w:t xml:space="preserve"> (</w:t>
      </w:r>
      <w:r w:rsidR="00235F60">
        <w:rPr>
          <w:lang w:val="fr-CA"/>
        </w:rPr>
        <w:t>paragraphe</w:t>
      </w:r>
      <w:r w:rsidRPr="00FA558D" w:rsidR="00B91619">
        <w:rPr>
          <w:lang w:val="fr-CA"/>
        </w:rPr>
        <w:t> 8.2.2)</w:t>
      </w:r>
      <w:bookmarkEnd w:id="35"/>
    </w:p>
    <w:p w:rsidRPr="00FA558D" w:rsidR="00B91619" w:rsidP="00B91619" w:rsidRDefault="00B91619" w14:paraId="41CD54B8" w14:textId="77777777">
      <w:pPr>
        <w:tabs>
          <w:tab w:val="left" w:pos="9356"/>
        </w:tabs>
        <w:spacing w:after="0" w:line="240" w:lineRule="auto"/>
        <w:rPr>
          <w:lang w:val="fr-CA"/>
        </w:rPr>
      </w:pPr>
    </w:p>
    <w:p w:rsidRPr="00FA558D" w:rsidR="00B91619" w:rsidP="00B91619" w:rsidRDefault="00B91619" w14:paraId="7D3800B7" w14:textId="3B52591A">
      <w:pPr>
        <w:tabs>
          <w:tab w:val="left" w:pos="9356"/>
        </w:tabs>
        <w:spacing w:after="0" w:line="240" w:lineRule="auto"/>
        <w:rPr>
          <w:lang w:val="fr-CA"/>
        </w:rPr>
      </w:pPr>
      <w:r>
        <w:rPr>
          <w:lang w:val="fr-CA"/>
        </w:rPr>
        <w:t xml:space="preserve">Une fois </w:t>
      </w:r>
      <w:r w:rsidR="00F0397A">
        <w:rPr>
          <w:lang w:val="fr-CA"/>
        </w:rPr>
        <w:t>qu</w:t>
      </w:r>
      <w:r w:rsidR="006C79CF">
        <w:rPr>
          <w:lang w:val="fr-CA"/>
        </w:rPr>
        <w:t xml:space="preserve">e les organismes de réglementation ont </w:t>
      </w:r>
      <w:r w:rsidR="00F0397A">
        <w:rPr>
          <w:lang w:val="fr-CA"/>
        </w:rPr>
        <w:t>déterminé qu’il y aura des</w:t>
      </w:r>
      <w:r>
        <w:rPr>
          <w:lang w:val="fr-CA"/>
        </w:rPr>
        <w:t xml:space="preserve"> répercussions</w:t>
      </w:r>
      <w:r w:rsidRPr="00FA558D">
        <w:rPr>
          <w:lang w:val="fr-CA"/>
        </w:rPr>
        <w:t xml:space="preserve"> </w:t>
      </w:r>
      <w:r>
        <w:rPr>
          <w:lang w:val="fr-CA"/>
        </w:rPr>
        <w:t>sur les petites entreprises</w:t>
      </w:r>
      <w:r w:rsidRPr="00FA558D">
        <w:rPr>
          <w:lang w:val="fr-CA"/>
        </w:rPr>
        <w:t xml:space="preserve">, </w:t>
      </w:r>
      <w:r w:rsidR="006C79CF">
        <w:rPr>
          <w:lang w:val="fr-CA"/>
        </w:rPr>
        <w:t xml:space="preserve">ils doivent décrire </w:t>
      </w:r>
      <w:r>
        <w:rPr>
          <w:lang w:val="fr-CA"/>
        </w:rPr>
        <w:t>ces répercussions</w:t>
      </w:r>
      <w:r w:rsidRPr="00FA558D">
        <w:rPr>
          <w:lang w:val="fr-CA"/>
        </w:rPr>
        <w:t xml:space="preserve"> </w:t>
      </w:r>
      <w:r>
        <w:rPr>
          <w:lang w:val="fr-CA"/>
        </w:rPr>
        <w:t xml:space="preserve">dans la section du REIR portant sur la </w:t>
      </w:r>
      <w:r w:rsidR="006C79CF">
        <w:rPr>
          <w:lang w:val="fr-CA"/>
        </w:rPr>
        <w:t xml:space="preserve">Lentille </w:t>
      </w:r>
      <w:r>
        <w:rPr>
          <w:lang w:val="fr-CA"/>
        </w:rPr>
        <w:t>des petites entreprises</w:t>
      </w:r>
      <w:r w:rsidRPr="00FA558D">
        <w:rPr>
          <w:lang w:val="fr-CA"/>
        </w:rPr>
        <w:t xml:space="preserve">. </w:t>
      </w:r>
      <w:r>
        <w:rPr>
          <w:lang w:val="fr-CA"/>
        </w:rPr>
        <w:t>La des</w:t>
      </w:r>
      <w:r w:rsidRPr="00FA558D">
        <w:rPr>
          <w:lang w:val="fr-CA"/>
        </w:rPr>
        <w:t xml:space="preserve">cription </w:t>
      </w:r>
      <w:r>
        <w:rPr>
          <w:lang w:val="fr-CA"/>
        </w:rPr>
        <w:t>des répercussions</w:t>
      </w:r>
      <w:r w:rsidRPr="00FA558D">
        <w:rPr>
          <w:lang w:val="fr-CA"/>
        </w:rPr>
        <w:t xml:space="preserve"> </w:t>
      </w:r>
      <w:r>
        <w:rPr>
          <w:lang w:val="fr-CA"/>
        </w:rPr>
        <w:t>formera le fondement de tout établissement éventuel des coûts des répercussions sur les petites entreprises</w:t>
      </w:r>
      <w:r w:rsidRPr="00FA558D">
        <w:rPr>
          <w:lang w:val="fr-CA"/>
        </w:rPr>
        <w:t>.</w:t>
      </w:r>
      <w:r>
        <w:rPr>
          <w:lang w:val="fr-CA"/>
        </w:rPr>
        <w:t xml:space="preserve"> La description des coûts </w:t>
      </w:r>
      <w:r w:rsidR="006C79CF">
        <w:rPr>
          <w:lang w:val="fr-CA"/>
        </w:rPr>
        <w:t>s’aligne sur les</w:t>
      </w:r>
      <w:r>
        <w:rPr>
          <w:lang w:val="fr-CA"/>
        </w:rPr>
        <w:t xml:space="preserve"> exigence</w:t>
      </w:r>
      <w:r w:rsidRPr="00FA558D">
        <w:rPr>
          <w:lang w:val="fr-CA"/>
        </w:rPr>
        <w:t>s</w:t>
      </w:r>
      <w:r>
        <w:rPr>
          <w:lang w:val="fr-CA"/>
        </w:rPr>
        <w:t xml:space="preserve"> relatives à l’énoncé de l’analyse coûts</w:t>
      </w:r>
      <w:r w:rsidR="00F0397A">
        <w:rPr>
          <w:lang w:val="fr-CA"/>
        </w:rPr>
        <w:noBreakHyphen/>
      </w:r>
      <w:r>
        <w:rPr>
          <w:lang w:val="fr-CA"/>
        </w:rPr>
        <w:t>avantages du projet</w:t>
      </w:r>
      <w:r w:rsidR="00DD5C30">
        <w:rPr>
          <w:lang w:val="fr-CA"/>
        </w:rPr>
        <w:t xml:space="preserve"> de règlement</w:t>
      </w:r>
      <w:r>
        <w:rPr>
          <w:lang w:val="fr-CA"/>
        </w:rPr>
        <w:t xml:space="preserve">. Pour obtenir des renseignements plus </w:t>
      </w:r>
      <w:r w:rsidR="006C79CF">
        <w:rPr>
          <w:lang w:val="fr-CA"/>
        </w:rPr>
        <w:t>détaillés</w:t>
      </w:r>
      <w:r>
        <w:rPr>
          <w:lang w:val="fr-CA"/>
        </w:rPr>
        <w:t xml:space="preserve">, </w:t>
      </w:r>
      <w:r w:rsidR="00B4147F">
        <w:rPr>
          <w:lang w:val="fr-CA"/>
        </w:rPr>
        <w:t>consulte</w:t>
      </w:r>
      <w:r w:rsidR="006C79CF">
        <w:rPr>
          <w:lang w:val="fr-CA"/>
        </w:rPr>
        <w:t>z</w:t>
      </w:r>
      <w:r w:rsidR="00B4147F">
        <w:rPr>
          <w:lang w:val="fr-CA"/>
        </w:rPr>
        <w:t xml:space="preserve"> les</w:t>
      </w:r>
      <w:r>
        <w:rPr>
          <w:lang w:val="fr-CA"/>
        </w:rPr>
        <w:t xml:space="preserve"> exigences liées à l’analyse définies </w:t>
      </w:r>
      <w:r w:rsidR="006C79CF">
        <w:rPr>
          <w:lang w:val="fr-CA"/>
        </w:rPr>
        <w:t>au paragraphe</w:t>
      </w:r>
      <w:r w:rsidRPr="00FA558D">
        <w:rPr>
          <w:lang w:val="fr-CA"/>
        </w:rPr>
        <w:t xml:space="preserve"> 6.1 </w:t>
      </w:r>
      <w:r>
        <w:rPr>
          <w:lang w:val="fr-CA"/>
        </w:rPr>
        <w:t xml:space="preserve">de la </w:t>
      </w:r>
      <w:hyperlink w:history="1" r:id="rId29">
        <w:r>
          <w:rPr>
            <w:rStyle w:val="Hyperlink"/>
            <w:lang w:val="fr-CA"/>
          </w:rPr>
          <w:t>Politique sur l’analyse coûts-avantages</w:t>
        </w:r>
      </w:hyperlink>
      <w:r w:rsidRPr="00FA558D">
        <w:rPr>
          <w:lang w:val="fr-CA"/>
        </w:rPr>
        <w:t>.</w:t>
      </w:r>
    </w:p>
    <w:p w:rsidRPr="00FA558D" w:rsidR="00B91619" w:rsidP="00B91619" w:rsidRDefault="00B91619" w14:paraId="68805F91" w14:textId="77777777">
      <w:pPr>
        <w:tabs>
          <w:tab w:val="left" w:pos="9356"/>
        </w:tabs>
        <w:spacing w:after="0" w:line="240" w:lineRule="auto"/>
        <w:rPr>
          <w:lang w:val="fr-CA"/>
        </w:rPr>
      </w:pPr>
    </w:p>
    <w:p w:rsidRPr="00FA558D" w:rsidR="00B91619" w:rsidP="00B91619" w:rsidRDefault="007D009F" w14:paraId="1FDF3DE1" w14:textId="3E3E0C9B">
      <w:pPr>
        <w:tabs>
          <w:tab w:val="left" w:pos="9356"/>
        </w:tabs>
        <w:spacing w:after="0" w:line="240" w:lineRule="auto"/>
        <w:rPr>
          <w:lang w:val="fr-CA"/>
        </w:rPr>
      </w:pPr>
      <w:r>
        <w:rPr>
          <w:lang w:val="fr-CA"/>
        </w:rPr>
        <w:t>L</w:t>
      </w:r>
      <w:r w:rsidR="00BC57A1">
        <w:rPr>
          <w:lang w:val="fr-CA"/>
        </w:rPr>
        <w:t>’ampleur des répercussions</w:t>
      </w:r>
      <w:r w:rsidR="00B91619">
        <w:rPr>
          <w:lang w:val="fr-CA"/>
        </w:rPr>
        <w:t xml:space="preserve"> </w:t>
      </w:r>
      <w:r w:rsidR="00BC57A1">
        <w:rPr>
          <w:lang w:val="fr-CA"/>
        </w:rPr>
        <w:t>est tout d’abord déterminé</w:t>
      </w:r>
      <w:r w:rsidR="009647E5">
        <w:rPr>
          <w:lang w:val="fr-CA"/>
        </w:rPr>
        <w:t>e</w:t>
      </w:r>
      <w:r w:rsidR="00BC57A1">
        <w:rPr>
          <w:lang w:val="fr-CA"/>
        </w:rPr>
        <w:t xml:space="preserve"> en fonction </w:t>
      </w:r>
      <w:r w:rsidR="00B91619">
        <w:rPr>
          <w:lang w:val="fr-CA"/>
        </w:rPr>
        <w:t xml:space="preserve">du </w:t>
      </w:r>
      <w:r w:rsidR="00B91619">
        <w:rPr>
          <w:b/>
          <w:lang w:val="fr-CA"/>
        </w:rPr>
        <w:t xml:space="preserve">coût total </w:t>
      </w:r>
      <w:r w:rsidR="00BC57A1">
        <w:rPr>
          <w:b/>
          <w:lang w:val="fr-CA"/>
        </w:rPr>
        <w:t>prévu</w:t>
      </w:r>
      <w:r w:rsidR="00B91619">
        <w:rPr>
          <w:b/>
          <w:lang w:val="fr-CA"/>
        </w:rPr>
        <w:t xml:space="preserve"> à l’échelle nation</w:t>
      </w:r>
      <w:r w:rsidRPr="00FA558D" w:rsidR="00B91619">
        <w:rPr>
          <w:b/>
          <w:lang w:val="fr-CA"/>
        </w:rPr>
        <w:t>al</w:t>
      </w:r>
      <w:r w:rsidR="00B91619">
        <w:rPr>
          <w:b/>
          <w:lang w:val="fr-CA"/>
        </w:rPr>
        <w:t>e</w:t>
      </w:r>
      <w:r w:rsidR="00B91619">
        <w:rPr>
          <w:lang w:val="fr-CA"/>
        </w:rPr>
        <w:t xml:space="preserve"> du projet</w:t>
      </w:r>
      <w:r w:rsidR="00DD5C30">
        <w:rPr>
          <w:lang w:val="fr-CA"/>
        </w:rPr>
        <w:t xml:space="preserve"> de règlement</w:t>
      </w:r>
      <w:r w:rsidR="00B91619">
        <w:rPr>
          <w:lang w:val="fr-CA"/>
        </w:rPr>
        <w:t xml:space="preserve">, et </w:t>
      </w:r>
      <w:r w:rsidRPr="00FA558D" w:rsidR="00B91619">
        <w:rPr>
          <w:lang w:val="fr-CA"/>
        </w:rPr>
        <w:t>no</w:t>
      </w:r>
      <w:r w:rsidR="00B91619">
        <w:rPr>
          <w:lang w:val="fr-CA"/>
        </w:rPr>
        <w:t xml:space="preserve">n </w:t>
      </w:r>
      <w:r w:rsidR="00BC57A1">
        <w:rPr>
          <w:lang w:val="fr-CA"/>
        </w:rPr>
        <w:t xml:space="preserve">en fonction </w:t>
      </w:r>
      <w:r w:rsidR="00B91619">
        <w:rPr>
          <w:lang w:val="fr-CA"/>
        </w:rPr>
        <w:t>du total des coûts pour les petites entreprises</w:t>
      </w:r>
      <w:r w:rsidRPr="00FA558D" w:rsidR="00B91619">
        <w:rPr>
          <w:lang w:val="fr-CA"/>
        </w:rPr>
        <w:t xml:space="preserve">. </w:t>
      </w:r>
    </w:p>
    <w:p w:rsidRPr="00FA558D" w:rsidR="00B91619" w:rsidP="00B91619" w:rsidRDefault="00B91619" w14:paraId="5255B269" w14:textId="77777777">
      <w:pPr>
        <w:tabs>
          <w:tab w:val="left" w:pos="9356"/>
        </w:tabs>
        <w:spacing w:after="0" w:line="240" w:lineRule="auto"/>
        <w:rPr>
          <w:lang w:val="fr-CA"/>
        </w:rPr>
      </w:pPr>
    </w:p>
    <w:p w:rsidRPr="00FA558D" w:rsidR="00B91619" w:rsidP="00B91619" w:rsidRDefault="00B91619" w14:paraId="3CAA3F89" w14:textId="255D908B">
      <w:pPr>
        <w:tabs>
          <w:tab w:val="left" w:pos="9356"/>
        </w:tabs>
        <w:spacing w:after="0" w:line="240" w:lineRule="auto"/>
        <w:rPr>
          <w:lang w:val="fr-CA"/>
        </w:rPr>
      </w:pPr>
      <w:r>
        <w:rPr>
          <w:lang w:val="fr-CA"/>
        </w:rPr>
        <w:t>Pour les projet</w:t>
      </w:r>
      <w:r w:rsidRPr="00FA558D">
        <w:rPr>
          <w:lang w:val="fr-CA"/>
        </w:rPr>
        <w:t>s</w:t>
      </w:r>
      <w:r>
        <w:rPr>
          <w:lang w:val="fr-CA"/>
        </w:rPr>
        <w:t xml:space="preserve"> </w:t>
      </w:r>
      <w:r w:rsidR="00DD5C30">
        <w:rPr>
          <w:lang w:val="fr-CA"/>
        </w:rPr>
        <w:t xml:space="preserve">de règlement </w:t>
      </w:r>
      <w:r>
        <w:rPr>
          <w:lang w:val="fr-CA"/>
        </w:rPr>
        <w:t>dont les coûts annuels anticipés sont inférieurs à un million de dollars, il faut présenter une description qualitative des répercussions</w:t>
      </w:r>
      <w:r w:rsidRPr="00FA558D">
        <w:rPr>
          <w:lang w:val="fr-CA"/>
        </w:rPr>
        <w:t xml:space="preserve"> </w:t>
      </w:r>
      <w:r>
        <w:rPr>
          <w:lang w:val="fr-CA"/>
        </w:rPr>
        <w:t>sur les petites entreprises</w:t>
      </w:r>
      <w:r w:rsidRPr="00FA558D">
        <w:rPr>
          <w:lang w:val="fr-CA"/>
        </w:rPr>
        <w:t xml:space="preserve">. </w:t>
      </w:r>
      <w:r>
        <w:rPr>
          <w:lang w:val="fr-CA"/>
        </w:rPr>
        <w:t xml:space="preserve">Des renseignements </w:t>
      </w:r>
      <w:r w:rsidR="00DD6230">
        <w:rPr>
          <w:lang w:val="fr-CA"/>
        </w:rPr>
        <w:t xml:space="preserve">sur les avantages quantitatifs et </w:t>
      </w:r>
      <w:r w:rsidR="00F0397A">
        <w:rPr>
          <w:lang w:val="fr-CA"/>
        </w:rPr>
        <w:t>monét</w:t>
      </w:r>
      <w:r w:rsidR="00DD6230">
        <w:rPr>
          <w:lang w:val="fr-CA"/>
        </w:rPr>
        <w:t>arisés</w:t>
      </w:r>
      <w:r w:rsidR="00F0397A">
        <w:rPr>
          <w:lang w:val="fr-CA"/>
        </w:rPr>
        <w:t xml:space="preserve"> </w:t>
      </w:r>
      <w:r>
        <w:rPr>
          <w:lang w:val="fr-CA"/>
        </w:rPr>
        <w:t>peuvent aussi être présentés s’ils sont disponibles.</w:t>
      </w:r>
    </w:p>
    <w:p w:rsidRPr="00FA558D" w:rsidR="00B91619" w:rsidP="00B91619" w:rsidRDefault="00B91619" w14:paraId="6A5438FE" w14:textId="77777777">
      <w:pPr>
        <w:tabs>
          <w:tab w:val="left" w:pos="9356"/>
        </w:tabs>
        <w:spacing w:after="0" w:line="240" w:lineRule="auto"/>
        <w:rPr>
          <w:lang w:val="fr-CA"/>
        </w:rPr>
      </w:pPr>
    </w:p>
    <w:p w:rsidRPr="00FA558D" w:rsidR="00B91619" w:rsidP="00B91619" w:rsidRDefault="00B91619" w14:paraId="3C1B5A64" w14:textId="56E3FFC3">
      <w:pPr>
        <w:tabs>
          <w:tab w:val="left" w:pos="9356"/>
        </w:tabs>
        <w:spacing w:after="0" w:line="240" w:lineRule="auto"/>
        <w:rPr>
          <w:lang w:val="fr-CA"/>
        </w:rPr>
      </w:pPr>
      <w:r>
        <w:rPr>
          <w:lang w:val="fr-CA"/>
        </w:rPr>
        <w:t xml:space="preserve">Pour les projets dont les coûts annuels </w:t>
      </w:r>
      <w:r w:rsidR="00DD6230">
        <w:rPr>
          <w:lang w:val="fr-CA"/>
        </w:rPr>
        <w:t>prévus</w:t>
      </w:r>
      <w:r>
        <w:rPr>
          <w:lang w:val="fr-CA"/>
        </w:rPr>
        <w:t xml:space="preserve"> sont d’un million de dollars</w:t>
      </w:r>
      <w:r w:rsidR="00F0397A">
        <w:rPr>
          <w:lang w:val="fr-CA"/>
        </w:rPr>
        <w:t xml:space="preserve"> ou plus</w:t>
      </w:r>
      <w:r>
        <w:rPr>
          <w:lang w:val="fr-CA"/>
        </w:rPr>
        <w:t xml:space="preserve">, il faut </w:t>
      </w:r>
      <w:r w:rsidR="00DD6230">
        <w:rPr>
          <w:lang w:val="fr-CA"/>
        </w:rPr>
        <w:t>présenter une description quantitative des</w:t>
      </w:r>
      <w:r>
        <w:rPr>
          <w:lang w:val="fr-CA"/>
        </w:rPr>
        <w:t xml:space="preserve"> répercussions </w:t>
      </w:r>
      <w:r w:rsidR="00DD6230">
        <w:rPr>
          <w:lang w:val="fr-CA"/>
        </w:rPr>
        <w:t>sur</w:t>
      </w:r>
      <w:r>
        <w:rPr>
          <w:lang w:val="fr-CA"/>
        </w:rPr>
        <w:t xml:space="preserve"> les petites entreprises</w:t>
      </w:r>
      <w:r w:rsidRPr="00FA558D">
        <w:rPr>
          <w:lang w:val="fr-CA"/>
        </w:rPr>
        <w:t>.</w:t>
      </w:r>
      <w:r>
        <w:rPr>
          <w:lang w:val="fr-CA"/>
        </w:rPr>
        <w:t xml:space="preserve"> Dans les cas où les </w:t>
      </w:r>
      <w:r>
        <w:rPr>
          <w:b/>
          <w:lang w:val="fr-CA"/>
        </w:rPr>
        <w:t xml:space="preserve">avantages </w:t>
      </w:r>
      <w:r>
        <w:rPr>
          <w:lang w:val="fr-CA"/>
        </w:rPr>
        <w:t xml:space="preserve">ne peuvent </w:t>
      </w:r>
      <w:r w:rsidR="00670926">
        <w:rPr>
          <w:lang w:val="fr-CA"/>
        </w:rPr>
        <w:t xml:space="preserve">pas </w:t>
      </w:r>
      <w:r>
        <w:rPr>
          <w:lang w:val="fr-CA"/>
        </w:rPr>
        <w:t xml:space="preserve">être facilement </w:t>
      </w:r>
      <w:r w:rsidR="00F0397A">
        <w:rPr>
          <w:lang w:val="fr-CA"/>
        </w:rPr>
        <w:t>monét</w:t>
      </w:r>
      <w:r w:rsidR="00670926">
        <w:rPr>
          <w:lang w:val="fr-CA"/>
        </w:rPr>
        <w:t>ar</w:t>
      </w:r>
      <w:r w:rsidR="00F0397A">
        <w:rPr>
          <w:lang w:val="fr-CA"/>
        </w:rPr>
        <w:t>isés</w:t>
      </w:r>
      <w:r>
        <w:rPr>
          <w:lang w:val="fr-CA"/>
        </w:rPr>
        <w:t>, une analyse quantitative des avantages peut être présentée. Néanmoins, tous les coûts</w:t>
      </w:r>
      <w:r w:rsidR="00C5160F">
        <w:rPr>
          <w:lang w:val="fr-CA"/>
        </w:rPr>
        <w:t xml:space="preserve"> </w:t>
      </w:r>
      <w:r>
        <w:rPr>
          <w:lang w:val="fr-CA"/>
        </w:rPr>
        <w:t>doivent être</w:t>
      </w:r>
      <w:r w:rsidR="00C5160F">
        <w:rPr>
          <w:lang w:val="fr-CA"/>
        </w:rPr>
        <w:t xml:space="preserve"> </w:t>
      </w:r>
      <w:r w:rsidR="00F0397A">
        <w:rPr>
          <w:lang w:val="fr-CA"/>
        </w:rPr>
        <w:t>monét</w:t>
      </w:r>
      <w:r w:rsidR="00670926">
        <w:rPr>
          <w:lang w:val="fr-CA"/>
        </w:rPr>
        <w:t>ar</w:t>
      </w:r>
      <w:r w:rsidR="00F0397A">
        <w:rPr>
          <w:lang w:val="fr-CA"/>
        </w:rPr>
        <w:t>isés</w:t>
      </w:r>
      <w:r w:rsidRPr="00FA558D">
        <w:rPr>
          <w:lang w:val="fr-CA"/>
        </w:rPr>
        <w:t xml:space="preserve">. </w:t>
      </w:r>
    </w:p>
    <w:p w:rsidRPr="00FA558D" w:rsidR="00B91619" w:rsidP="00B91619" w:rsidRDefault="00B91619" w14:paraId="00677A4F" w14:textId="77777777">
      <w:pPr>
        <w:tabs>
          <w:tab w:val="left" w:pos="9356"/>
        </w:tabs>
        <w:spacing w:after="0" w:line="240" w:lineRule="auto"/>
        <w:rPr>
          <w:lang w:val="fr-CA"/>
        </w:rPr>
      </w:pPr>
    </w:p>
    <w:p w:rsidRPr="00FA558D" w:rsidR="00B91619" w:rsidP="00B91619" w:rsidRDefault="008A7713" w14:paraId="1CCBE338" w14:textId="5C198EE4">
      <w:pPr>
        <w:tabs>
          <w:tab w:val="left" w:pos="9356"/>
        </w:tabs>
        <w:spacing w:after="0" w:line="240" w:lineRule="auto"/>
        <w:rPr>
          <w:lang w:val="fr-CA"/>
        </w:rPr>
      </w:pPr>
      <w:r>
        <w:rPr>
          <w:lang w:val="fr-CA"/>
        </w:rPr>
        <w:t>L</w:t>
      </w:r>
      <w:r w:rsidR="00B91619">
        <w:rPr>
          <w:lang w:val="fr-CA"/>
        </w:rPr>
        <w:t xml:space="preserve">a </w:t>
      </w:r>
      <w:r>
        <w:rPr>
          <w:lang w:val="fr-CA"/>
        </w:rPr>
        <w:t>L</w:t>
      </w:r>
      <w:r w:rsidR="00827BD1">
        <w:rPr>
          <w:lang w:val="fr-CA"/>
        </w:rPr>
        <w:t>entille</w:t>
      </w:r>
      <w:r w:rsidR="00B91619">
        <w:rPr>
          <w:lang w:val="fr-CA"/>
        </w:rPr>
        <w:t xml:space="preserve"> des petites entreprises s’applique aux</w:t>
      </w:r>
      <w:r w:rsidRPr="00FA558D" w:rsidR="00B91619">
        <w:rPr>
          <w:lang w:val="fr-CA"/>
        </w:rPr>
        <w:t xml:space="preserve"> </w:t>
      </w:r>
      <w:r w:rsidR="00B91619">
        <w:rPr>
          <w:lang w:val="fr-CA"/>
        </w:rPr>
        <w:t>projet</w:t>
      </w:r>
      <w:r w:rsidRPr="00FA558D" w:rsidR="00B91619">
        <w:rPr>
          <w:lang w:val="fr-CA"/>
        </w:rPr>
        <w:t>s</w:t>
      </w:r>
      <w:r w:rsidR="00B91619">
        <w:rPr>
          <w:lang w:val="fr-CA"/>
        </w:rPr>
        <w:t xml:space="preserve"> qui </w:t>
      </w:r>
      <w:r w:rsidR="00B91619">
        <w:rPr>
          <w:b/>
          <w:lang w:val="fr-CA"/>
        </w:rPr>
        <w:t xml:space="preserve">réduiraient </w:t>
      </w:r>
      <w:r w:rsidR="007C1161">
        <w:rPr>
          <w:lang w:val="fr-CA"/>
        </w:rPr>
        <w:t>le f</w:t>
      </w:r>
      <w:r w:rsidR="00B91619">
        <w:rPr>
          <w:lang w:val="fr-CA"/>
        </w:rPr>
        <w:t xml:space="preserve">ardeau administratif et de conformité </w:t>
      </w:r>
      <w:r w:rsidR="00F0397A">
        <w:rPr>
          <w:lang w:val="fr-CA"/>
        </w:rPr>
        <w:t>imposé aux</w:t>
      </w:r>
      <w:r w:rsidR="00B91619">
        <w:rPr>
          <w:lang w:val="fr-CA"/>
        </w:rPr>
        <w:t xml:space="preserve"> petites entreprises</w:t>
      </w:r>
      <w:r w:rsidRPr="00FA558D" w:rsidR="00B91619">
        <w:rPr>
          <w:lang w:val="fr-CA"/>
        </w:rPr>
        <w:t xml:space="preserve">. </w:t>
      </w:r>
      <w:r w:rsidR="00B91619">
        <w:rPr>
          <w:lang w:val="fr-CA"/>
        </w:rPr>
        <w:t>La des</w:t>
      </w:r>
      <w:r w:rsidRPr="00FA558D" w:rsidR="00B91619">
        <w:rPr>
          <w:lang w:val="fr-CA"/>
        </w:rPr>
        <w:t xml:space="preserve">cription </w:t>
      </w:r>
      <w:r w:rsidR="00B91619">
        <w:rPr>
          <w:lang w:val="fr-CA"/>
        </w:rPr>
        <w:t>de ce fardeau réduit doit être présentée dans la section sur la </w:t>
      </w:r>
      <w:r>
        <w:rPr>
          <w:lang w:val="fr-CA"/>
        </w:rPr>
        <w:t xml:space="preserve">Lentille </w:t>
      </w:r>
      <w:r w:rsidR="00B91619">
        <w:rPr>
          <w:lang w:val="fr-CA"/>
        </w:rPr>
        <w:t>des petites entreprises</w:t>
      </w:r>
      <w:r>
        <w:rPr>
          <w:lang w:val="fr-CA"/>
        </w:rPr>
        <w:t xml:space="preserve"> et formulée en des termes adaptés à l’ampleur des répercussions </w:t>
      </w:r>
      <w:r w:rsidR="00B91619">
        <w:rPr>
          <w:lang w:val="fr-CA"/>
        </w:rPr>
        <w:t>du projet</w:t>
      </w:r>
      <w:r w:rsidR="00DD5C30">
        <w:rPr>
          <w:lang w:val="fr-CA"/>
        </w:rPr>
        <w:t xml:space="preserve"> de règlement</w:t>
      </w:r>
      <w:r w:rsidR="00B91619">
        <w:rPr>
          <w:lang w:val="fr-CA"/>
        </w:rPr>
        <w:t>.</w:t>
      </w:r>
      <w:r w:rsidRPr="008A2DF4">
        <w:rPr>
          <w:lang w:val="fr-CA"/>
        </w:rPr>
        <w:t xml:space="preserve"> </w:t>
      </w:r>
      <w:r w:rsidRPr="008A7713">
        <w:rPr>
          <w:lang w:val="fr-CA"/>
        </w:rPr>
        <w:t xml:space="preserve">Les </w:t>
      </w:r>
      <w:r w:rsidR="00E31A76">
        <w:rPr>
          <w:lang w:val="fr-CA"/>
        </w:rPr>
        <w:t xml:space="preserve">répercussions </w:t>
      </w:r>
      <w:r w:rsidRPr="008A7713">
        <w:rPr>
          <w:lang w:val="fr-CA"/>
        </w:rPr>
        <w:t>positi</w:t>
      </w:r>
      <w:r w:rsidR="00E31A76">
        <w:rPr>
          <w:lang w:val="fr-CA"/>
        </w:rPr>
        <w:t>ve</w:t>
      </w:r>
      <w:r w:rsidRPr="008A7713">
        <w:rPr>
          <w:lang w:val="fr-CA"/>
        </w:rPr>
        <w:t>s et négati</w:t>
      </w:r>
      <w:r w:rsidR="00E31A76">
        <w:rPr>
          <w:lang w:val="fr-CA"/>
        </w:rPr>
        <w:t>ve</w:t>
      </w:r>
      <w:r w:rsidRPr="008A7713">
        <w:rPr>
          <w:lang w:val="fr-CA"/>
        </w:rPr>
        <w:t xml:space="preserve">s doivent être </w:t>
      </w:r>
      <w:r w:rsidR="00E31A76">
        <w:rPr>
          <w:lang w:val="fr-CA"/>
        </w:rPr>
        <w:t>comprises</w:t>
      </w:r>
      <w:r w:rsidRPr="008A7713">
        <w:rPr>
          <w:lang w:val="fr-CA"/>
        </w:rPr>
        <w:t xml:space="preserve"> dans le texte et dans les tableaux d</w:t>
      </w:r>
      <w:r w:rsidR="009647E5">
        <w:rPr>
          <w:lang w:val="fr-CA"/>
        </w:rPr>
        <w:t>’</w:t>
      </w:r>
      <w:r w:rsidRPr="008A7713">
        <w:rPr>
          <w:lang w:val="fr-CA"/>
        </w:rPr>
        <w:t>évaluation des coûts pour les pro</w:t>
      </w:r>
      <w:r w:rsidR="00E31A76">
        <w:rPr>
          <w:lang w:val="fr-CA"/>
        </w:rPr>
        <w:t xml:space="preserve">jets </w:t>
      </w:r>
      <w:r w:rsidR="00DD5C30">
        <w:rPr>
          <w:lang w:val="fr-CA"/>
        </w:rPr>
        <w:t xml:space="preserve">de règlement </w:t>
      </w:r>
      <w:r w:rsidR="00E31A76">
        <w:rPr>
          <w:lang w:val="fr-CA"/>
        </w:rPr>
        <w:t xml:space="preserve">qui </w:t>
      </w:r>
      <w:proofErr w:type="gramStart"/>
      <w:r w:rsidR="00E31A76">
        <w:rPr>
          <w:lang w:val="fr-CA"/>
        </w:rPr>
        <w:t>ont</w:t>
      </w:r>
      <w:proofErr w:type="gramEnd"/>
      <w:r w:rsidR="00E31A76">
        <w:rPr>
          <w:lang w:val="fr-CA"/>
        </w:rPr>
        <w:t xml:space="preserve"> des répercussions importantes</w:t>
      </w:r>
      <w:r w:rsidRPr="008A7713">
        <w:rPr>
          <w:lang w:val="fr-CA"/>
        </w:rPr>
        <w:t xml:space="preserve"> sur les petites entreprises.</w:t>
      </w:r>
    </w:p>
    <w:p w:rsidRPr="00FA558D" w:rsidR="00B91619" w:rsidP="00B91619" w:rsidRDefault="00B91619" w14:paraId="54D8AFDD" w14:textId="77777777">
      <w:pPr>
        <w:tabs>
          <w:tab w:val="left" w:pos="9356"/>
        </w:tabs>
        <w:spacing w:after="0" w:line="240" w:lineRule="auto"/>
        <w:rPr>
          <w:lang w:val="fr-CA"/>
        </w:rPr>
      </w:pPr>
    </w:p>
    <w:p w:rsidRPr="00FA558D" w:rsidR="00B91619" w:rsidP="00B91619" w:rsidRDefault="00B91619" w14:paraId="17DF9551" w14:textId="36A7088C">
      <w:pPr>
        <w:pStyle w:val="Heading3"/>
        <w:numPr>
          <w:ilvl w:val="2"/>
          <w:numId w:val="27"/>
        </w:numPr>
        <w:ind w:left="720" w:hanging="720"/>
        <w:rPr>
          <w:lang w:val="fr-CA"/>
        </w:rPr>
      </w:pPr>
      <w:bookmarkStart w:name="_Toc151373926" w:id="36"/>
      <w:r>
        <w:rPr>
          <w:lang w:val="fr-CA"/>
        </w:rPr>
        <w:t>Validation des</w:t>
      </w:r>
      <w:r w:rsidRPr="00FA558D">
        <w:rPr>
          <w:lang w:val="fr-CA"/>
        </w:rPr>
        <w:t xml:space="preserve"> </w:t>
      </w:r>
      <w:r>
        <w:rPr>
          <w:lang w:val="fr-CA"/>
        </w:rPr>
        <w:t>estimation</w:t>
      </w:r>
      <w:r w:rsidRPr="00FA558D">
        <w:rPr>
          <w:lang w:val="fr-CA"/>
        </w:rPr>
        <w:t xml:space="preserve">s </w:t>
      </w:r>
      <w:r>
        <w:rPr>
          <w:lang w:val="fr-CA"/>
        </w:rPr>
        <w:t>du fardeau administratif et de conformité</w:t>
      </w:r>
      <w:r w:rsidRPr="00FA558D">
        <w:rPr>
          <w:lang w:val="fr-CA"/>
        </w:rPr>
        <w:t xml:space="preserve"> (</w:t>
      </w:r>
      <w:r w:rsidR="00E00F92">
        <w:rPr>
          <w:lang w:val="fr-CA"/>
        </w:rPr>
        <w:t>paragraphe</w:t>
      </w:r>
      <w:r w:rsidRPr="00FA558D">
        <w:rPr>
          <w:lang w:val="fr-CA"/>
        </w:rPr>
        <w:t> 8.2.3)</w:t>
      </w:r>
      <w:bookmarkEnd w:id="36"/>
    </w:p>
    <w:p w:rsidRPr="00FA558D" w:rsidR="00B91619" w:rsidP="00B91619" w:rsidRDefault="00B91619" w14:paraId="77700AB5" w14:textId="77777777">
      <w:pPr>
        <w:tabs>
          <w:tab w:val="left" w:pos="9356"/>
        </w:tabs>
        <w:spacing w:after="0" w:line="240" w:lineRule="auto"/>
        <w:rPr>
          <w:lang w:val="fr-CA"/>
        </w:rPr>
      </w:pPr>
    </w:p>
    <w:p w:rsidRPr="00FA558D" w:rsidR="00CB7D1A" w:rsidP="00CB7D1A" w:rsidRDefault="00CB7D1A" w14:paraId="30505A54" w14:textId="77777777">
      <w:pPr>
        <w:tabs>
          <w:tab w:val="left" w:pos="9356"/>
        </w:tabs>
        <w:spacing w:after="0" w:line="240" w:lineRule="auto"/>
        <w:rPr>
          <w:lang w:val="fr-CA"/>
        </w:rPr>
      </w:pPr>
      <w:r w:rsidRPr="00FA558D">
        <w:rPr>
          <w:lang w:val="fr-CA"/>
        </w:rPr>
        <w:t>I</w:t>
      </w:r>
      <w:r>
        <w:rPr>
          <w:lang w:val="fr-CA"/>
        </w:rPr>
        <w:t>l est essentiel que les hypothèse</w:t>
      </w:r>
      <w:r w:rsidRPr="00FA558D">
        <w:rPr>
          <w:lang w:val="fr-CA"/>
        </w:rPr>
        <w:t xml:space="preserve">s </w:t>
      </w:r>
      <w:r>
        <w:rPr>
          <w:lang w:val="fr-CA"/>
        </w:rPr>
        <w:t>utilisées pour estimer les répercussions</w:t>
      </w:r>
      <w:r w:rsidRPr="00FA558D">
        <w:rPr>
          <w:lang w:val="fr-CA"/>
        </w:rPr>
        <w:t xml:space="preserve"> </w:t>
      </w:r>
      <w:r>
        <w:rPr>
          <w:lang w:val="fr-CA"/>
        </w:rPr>
        <w:t>d’un projet</w:t>
      </w:r>
      <w:r w:rsidRPr="00FA558D">
        <w:rPr>
          <w:lang w:val="fr-CA"/>
        </w:rPr>
        <w:t xml:space="preserve"> </w:t>
      </w:r>
      <w:r>
        <w:rPr>
          <w:lang w:val="fr-CA"/>
        </w:rPr>
        <w:t xml:space="preserve">de règlement soient aussi exactes que </w:t>
      </w:r>
      <w:r w:rsidRPr="00FA558D">
        <w:rPr>
          <w:lang w:val="fr-CA"/>
        </w:rPr>
        <w:t xml:space="preserve">possible. </w:t>
      </w:r>
      <w:r>
        <w:rPr>
          <w:lang w:val="fr-CA"/>
        </w:rPr>
        <w:t>Les organismes de réglementation</w:t>
      </w:r>
      <w:r w:rsidRPr="00FA558D">
        <w:rPr>
          <w:lang w:val="fr-CA"/>
        </w:rPr>
        <w:t xml:space="preserve"> </w:t>
      </w:r>
      <w:r>
        <w:rPr>
          <w:lang w:val="fr-CA"/>
        </w:rPr>
        <w:t>devraient valider ces</w:t>
      </w:r>
      <w:r w:rsidRPr="00FA558D">
        <w:rPr>
          <w:lang w:val="fr-CA"/>
        </w:rPr>
        <w:t xml:space="preserve"> </w:t>
      </w:r>
      <w:r>
        <w:rPr>
          <w:lang w:val="fr-CA"/>
        </w:rPr>
        <w:t>hypothèse</w:t>
      </w:r>
      <w:r w:rsidRPr="00FA558D">
        <w:rPr>
          <w:lang w:val="fr-CA"/>
        </w:rPr>
        <w:t xml:space="preserve">s </w:t>
      </w:r>
      <w:r>
        <w:rPr>
          <w:lang w:val="fr-CA"/>
        </w:rPr>
        <w:t>le plus tôt possible dans le processus d’élaboration du règlement</w:t>
      </w:r>
      <w:r w:rsidRPr="00FA558D">
        <w:rPr>
          <w:lang w:val="fr-CA"/>
        </w:rPr>
        <w:t xml:space="preserve">. </w:t>
      </w:r>
    </w:p>
    <w:p w:rsidRPr="00FA558D" w:rsidR="00CB7D1A" w:rsidP="00CB7D1A" w:rsidRDefault="00CB7D1A" w14:paraId="15A6091B" w14:textId="77777777">
      <w:pPr>
        <w:tabs>
          <w:tab w:val="left" w:pos="9356"/>
        </w:tabs>
        <w:spacing w:after="0" w:line="240" w:lineRule="auto"/>
        <w:rPr>
          <w:lang w:val="fr-CA"/>
        </w:rPr>
      </w:pPr>
    </w:p>
    <w:p w:rsidRPr="00FA558D" w:rsidR="00CB7D1A" w:rsidP="00CB7D1A" w:rsidRDefault="00CB7D1A" w14:paraId="1DB81A51" w14:textId="109F52C0">
      <w:pPr>
        <w:tabs>
          <w:tab w:val="left" w:pos="9356"/>
        </w:tabs>
        <w:spacing w:after="0" w:line="240" w:lineRule="auto"/>
        <w:rPr>
          <w:lang w:val="fr-CA"/>
        </w:rPr>
      </w:pPr>
      <w:r>
        <w:rPr>
          <w:lang w:val="fr-CA"/>
        </w:rPr>
        <w:t>Les hypothèses</w:t>
      </w:r>
      <w:r w:rsidRPr="00FA558D">
        <w:rPr>
          <w:lang w:val="fr-CA"/>
        </w:rPr>
        <w:t xml:space="preserve"> </w:t>
      </w:r>
      <w:r>
        <w:rPr>
          <w:lang w:val="fr-CA"/>
        </w:rPr>
        <w:t>devraient reposer sur les commentaires des</w:t>
      </w:r>
      <w:r w:rsidRPr="00FA558D">
        <w:rPr>
          <w:lang w:val="fr-CA"/>
        </w:rPr>
        <w:t xml:space="preserve"> </w:t>
      </w:r>
      <w:r>
        <w:rPr>
          <w:lang w:val="fr-CA"/>
        </w:rPr>
        <w:t>intervenants</w:t>
      </w:r>
      <w:r w:rsidRPr="00FA558D">
        <w:rPr>
          <w:lang w:val="fr-CA"/>
        </w:rPr>
        <w:t xml:space="preserve">, </w:t>
      </w:r>
      <w:r>
        <w:rPr>
          <w:lang w:val="fr-CA"/>
        </w:rPr>
        <w:t>qui peuvent être obtenus par divers moyens. Les organismes de réglementation</w:t>
      </w:r>
      <w:r w:rsidRPr="00FA558D">
        <w:rPr>
          <w:lang w:val="fr-CA"/>
        </w:rPr>
        <w:t xml:space="preserve"> </w:t>
      </w:r>
      <w:r>
        <w:rPr>
          <w:lang w:val="fr-CA"/>
        </w:rPr>
        <w:t>peuvent choisir de mobiliser les intervenants</w:t>
      </w:r>
      <w:r w:rsidRPr="00FA558D">
        <w:rPr>
          <w:lang w:val="fr-CA"/>
        </w:rPr>
        <w:t xml:space="preserve"> </w:t>
      </w:r>
      <w:r>
        <w:rPr>
          <w:lang w:val="fr-CA"/>
        </w:rPr>
        <w:t xml:space="preserve">dans le cadre d’un vaste processus de </w:t>
      </w:r>
      <w:r w:rsidRPr="00FA558D">
        <w:rPr>
          <w:lang w:val="fr-CA"/>
        </w:rPr>
        <w:t>consultati</w:t>
      </w:r>
      <w:r>
        <w:rPr>
          <w:lang w:val="fr-CA"/>
        </w:rPr>
        <w:t>on</w:t>
      </w:r>
      <w:r w:rsidRPr="00C11261">
        <w:rPr>
          <w:lang w:val="fr-CA"/>
        </w:rPr>
        <w:t xml:space="preserve"> </w:t>
      </w:r>
      <w:r>
        <w:rPr>
          <w:lang w:val="fr-CA"/>
        </w:rPr>
        <w:t>officiel, bien qu’il puisse aussi être opportun de communiquer de manière informelle avec les principaux intervenants</w:t>
      </w:r>
      <w:r w:rsidRPr="00FA558D">
        <w:rPr>
          <w:lang w:val="fr-CA"/>
        </w:rPr>
        <w:t xml:space="preserve">. </w:t>
      </w:r>
      <w:r>
        <w:rPr>
          <w:lang w:val="fr-CA"/>
        </w:rPr>
        <w:t>Au bout du compte, les</w:t>
      </w:r>
      <w:r w:rsidRPr="00FA558D">
        <w:rPr>
          <w:lang w:val="fr-CA"/>
        </w:rPr>
        <w:t xml:space="preserve"> </w:t>
      </w:r>
      <w:r>
        <w:rPr>
          <w:lang w:val="fr-CA"/>
        </w:rPr>
        <w:t>organismes de réglementation sont les mieux placés pour déterminer la façon de valider les hypothèses. L</w:t>
      </w:r>
      <w:r w:rsidRPr="00CB7D1A">
        <w:rPr>
          <w:lang w:val="fr-CA"/>
        </w:rPr>
        <w:t xml:space="preserve">a section du REIR portant sur la </w:t>
      </w:r>
      <w:r>
        <w:rPr>
          <w:lang w:val="fr-CA"/>
        </w:rPr>
        <w:t>L</w:t>
      </w:r>
      <w:r w:rsidRPr="00CB7D1A">
        <w:rPr>
          <w:lang w:val="fr-CA"/>
        </w:rPr>
        <w:t>entille des petites entreprises devrait indiquer de quelle façon les hypothèses ont été validées</w:t>
      </w:r>
      <w:r w:rsidRPr="00FA558D">
        <w:rPr>
          <w:lang w:val="fr-CA"/>
        </w:rPr>
        <w:t xml:space="preserve">. </w:t>
      </w:r>
    </w:p>
    <w:p w:rsidRPr="00FA558D" w:rsidR="00CB7D1A" w:rsidP="00CB7D1A" w:rsidRDefault="00CB7D1A" w14:paraId="3AD6502C" w14:textId="77777777">
      <w:pPr>
        <w:tabs>
          <w:tab w:val="left" w:pos="9356"/>
        </w:tabs>
        <w:spacing w:after="0" w:line="240" w:lineRule="auto"/>
        <w:rPr>
          <w:lang w:val="fr-CA"/>
        </w:rPr>
      </w:pPr>
    </w:p>
    <w:p w:rsidRPr="00FA558D" w:rsidR="00CB7D1A" w:rsidP="00CB7D1A" w:rsidRDefault="00CB7D1A" w14:paraId="4ACE6B0B" w14:textId="77777777">
      <w:pPr>
        <w:tabs>
          <w:tab w:val="left" w:pos="9356"/>
        </w:tabs>
        <w:spacing w:after="0" w:line="240" w:lineRule="auto"/>
        <w:rPr>
          <w:lang w:val="fr-CA"/>
        </w:rPr>
      </w:pPr>
      <w:r>
        <w:rPr>
          <w:lang w:val="fr-CA"/>
        </w:rPr>
        <w:t>S’il n’est pas envisageable de faire participer les intervenants, les organismes de réglementation</w:t>
      </w:r>
      <w:r w:rsidRPr="00FA558D">
        <w:rPr>
          <w:lang w:val="fr-CA"/>
        </w:rPr>
        <w:t xml:space="preserve"> </w:t>
      </w:r>
      <w:r>
        <w:rPr>
          <w:lang w:val="fr-CA"/>
        </w:rPr>
        <w:t>doivent</w:t>
      </w:r>
      <w:r w:rsidRPr="00FA558D">
        <w:rPr>
          <w:lang w:val="fr-CA"/>
        </w:rPr>
        <w:t xml:space="preserve"> </w:t>
      </w:r>
      <w:r>
        <w:rPr>
          <w:lang w:val="fr-CA"/>
        </w:rPr>
        <w:t>expliquer comment ils ont validé les hypothèses dans le cadre du projet de règlement. Ils</w:t>
      </w:r>
      <w:r w:rsidRPr="00FA558D">
        <w:rPr>
          <w:lang w:val="fr-CA"/>
        </w:rPr>
        <w:t xml:space="preserve"> </w:t>
      </w:r>
      <w:r>
        <w:rPr>
          <w:lang w:val="fr-CA"/>
        </w:rPr>
        <w:t>peuvent choisir de se reporter à des échanges antérieurs avec les intervenants</w:t>
      </w:r>
      <w:r w:rsidRPr="00FA558D">
        <w:rPr>
          <w:lang w:val="fr-CA"/>
        </w:rPr>
        <w:t xml:space="preserve"> </w:t>
      </w:r>
      <w:r>
        <w:rPr>
          <w:lang w:val="fr-CA"/>
        </w:rPr>
        <w:t>sur les hypothèses</w:t>
      </w:r>
      <w:r w:rsidRPr="00FA558D">
        <w:rPr>
          <w:lang w:val="fr-CA"/>
        </w:rPr>
        <w:t xml:space="preserve">, </w:t>
      </w:r>
      <w:r>
        <w:rPr>
          <w:lang w:val="fr-CA"/>
        </w:rPr>
        <w:t xml:space="preserve">si ces renseignements sont toujours considérés comme </w:t>
      </w:r>
      <w:r w:rsidRPr="00FA558D">
        <w:rPr>
          <w:lang w:val="fr-CA"/>
        </w:rPr>
        <w:t>valid</w:t>
      </w:r>
      <w:r>
        <w:rPr>
          <w:lang w:val="fr-CA"/>
        </w:rPr>
        <w:t>es</w:t>
      </w:r>
      <w:r w:rsidRPr="00FA558D">
        <w:rPr>
          <w:lang w:val="fr-CA"/>
        </w:rPr>
        <w:t xml:space="preserve">. </w:t>
      </w:r>
      <w:r>
        <w:rPr>
          <w:lang w:val="fr-CA"/>
        </w:rPr>
        <w:t>Les renseignements provenant d’échanges antérieurs</w:t>
      </w:r>
      <w:r w:rsidRPr="00FA558D">
        <w:rPr>
          <w:lang w:val="fr-CA"/>
        </w:rPr>
        <w:t xml:space="preserve"> </w:t>
      </w:r>
      <w:r>
        <w:rPr>
          <w:lang w:val="fr-CA"/>
        </w:rPr>
        <w:t>devraient être indiqués dans la section sur la règle du « un pour un » du REIR</w:t>
      </w:r>
      <w:r w:rsidRPr="00FA558D">
        <w:rPr>
          <w:lang w:val="fr-CA"/>
        </w:rPr>
        <w:t>.</w:t>
      </w:r>
    </w:p>
    <w:p w:rsidRPr="00FA558D" w:rsidR="00CB7D1A" w:rsidP="00CB7D1A" w:rsidRDefault="00CB7D1A" w14:paraId="6BED74A3" w14:textId="77777777">
      <w:pPr>
        <w:tabs>
          <w:tab w:val="left" w:pos="9356"/>
        </w:tabs>
        <w:spacing w:after="0" w:line="240" w:lineRule="auto"/>
        <w:rPr>
          <w:lang w:val="fr-CA"/>
        </w:rPr>
      </w:pPr>
    </w:p>
    <w:p w:rsidRPr="00FA558D" w:rsidR="00B91619" w:rsidP="00B91619" w:rsidRDefault="00F0397A" w14:paraId="06E49AF7" w14:textId="625B7F41">
      <w:pPr>
        <w:tabs>
          <w:tab w:val="left" w:pos="9356"/>
        </w:tabs>
        <w:spacing w:after="0" w:line="240" w:lineRule="auto"/>
        <w:rPr>
          <w:lang w:val="fr-CA"/>
        </w:rPr>
      </w:pPr>
      <w:r>
        <w:rPr>
          <w:lang w:val="fr-CA"/>
        </w:rPr>
        <w:t xml:space="preserve">Il existe une exigence distincte pour remplir la section du REIR portant sur la </w:t>
      </w:r>
      <w:r w:rsidRPr="00FA558D">
        <w:rPr>
          <w:lang w:val="fr-CA"/>
        </w:rPr>
        <w:t>consultation</w:t>
      </w:r>
      <w:r>
        <w:rPr>
          <w:lang w:val="fr-CA"/>
        </w:rPr>
        <w:t>. Afin d’éviter les dédoublements, la section sur la consultation devrait donner un aperçu complet de toutes les activités de consultation</w:t>
      </w:r>
      <w:r w:rsidRPr="00FA558D" w:rsidR="00B91619">
        <w:rPr>
          <w:lang w:val="fr-CA"/>
        </w:rPr>
        <w:t xml:space="preserve">. </w:t>
      </w:r>
      <w:r w:rsidR="00B91619">
        <w:rPr>
          <w:lang w:val="fr-CA"/>
        </w:rPr>
        <w:t xml:space="preserve">La section sur la </w:t>
      </w:r>
      <w:r w:rsidR="00944528">
        <w:rPr>
          <w:lang w:val="fr-CA"/>
        </w:rPr>
        <w:t>L</w:t>
      </w:r>
      <w:r w:rsidR="00827BD1">
        <w:rPr>
          <w:lang w:val="fr-CA"/>
        </w:rPr>
        <w:t>entille</w:t>
      </w:r>
      <w:r w:rsidR="00B91619">
        <w:rPr>
          <w:lang w:val="fr-CA"/>
        </w:rPr>
        <w:t xml:space="preserve"> des petites entreprises</w:t>
      </w:r>
      <w:r w:rsidRPr="00FA558D" w:rsidR="00B91619">
        <w:rPr>
          <w:lang w:val="fr-CA"/>
        </w:rPr>
        <w:t xml:space="preserve"> </w:t>
      </w:r>
      <w:r w:rsidR="00B91619">
        <w:rPr>
          <w:lang w:val="fr-CA"/>
        </w:rPr>
        <w:t xml:space="preserve">devrait </w:t>
      </w:r>
      <w:r w:rsidR="00944528">
        <w:rPr>
          <w:lang w:val="fr-CA"/>
        </w:rPr>
        <w:t>mettre en évidence</w:t>
      </w:r>
      <w:r w:rsidR="00B91619">
        <w:rPr>
          <w:lang w:val="fr-CA"/>
        </w:rPr>
        <w:t xml:space="preserve"> </w:t>
      </w:r>
      <w:r>
        <w:rPr>
          <w:lang w:val="fr-CA"/>
        </w:rPr>
        <w:t>toute question précise liée</w:t>
      </w:r>
      <w:r w:rsidDel="00F0397A">
        <w:rPr>
          <w:lang w:val="fr-CA"/>
        </w:rPr>
        <w:t xml:space="preserve"> </w:t>
      </w:r>
      <w:r>
        <w:rPr>
          <w:lang w:val="fr-CA"/>
        </w:rPr>
        <w:t>à</w:t>
      </w:r>
      <w:r w:rsidR="00B91619">
        <w:rPr>
          <w:lang w:val="fr-CA"/>
        </w:rPr>
        <w:t xml:space="preserve"> la </w:t>
      </w:r>
      <w:r w:rsidR="00827BD1">
        <w:rPr>
          <w:lang w:val="fr-CA"/>
        </w:rPr>
        <w:t>lentille</w:t>
      </w:r>
      <w:r w:rsidR="00B91619">
        <w:rPr>
          <w:lang w:val="fr-CA"/>
        </w:rPr>
        <w:t xml:space="preserve">, et </w:t>
      </w:r>
      <w:r w:rsidR="00944528">
        <w:rPr>
          <w:lang w:val="fr-CA"/>
        </w:rPr>
        <w:t>inviter</w:t>
      </w:r>
      <w:r w:rsidR="00B91619">
        <w:rPr>
          <w:lang w:val="fr-CA"/>
        </w:rPr>
        <w:t xml:space="preserve"> le lecteur à</w:t>
      </w:r>
      <w:r w:rsidR="00944528">
        <w:rPr>
          <w:lang w:val="fr-CA"/>
        </w:rPr>
        <w:t xml:space="preserve"> se reporter à </w:t>
      </w:r>
      <w:r w:rsidR="00B91619">
        <w:rPr>
          <w:lang w:val="fr-CA"/>
        </w:rPr>
        <w:t>la section sur la consultation</w:t>
      </w:r>
      <w:r w:rsidRPr="00FA558D" w:rsidR="00B91619">
        <w:rPr>
          <w:lang w:val="fr-CA"/>
        </w:rPr>
        <w:t xml:space="preserve"> </w:t>
      </w:r>
      <w:r w:rsidR="00DD5C30">
        <w:rPr>
          <w:lang w:val="fr-CA"/>
        </w:rPr>
        <w:t xml:space="preserve">pour </w:t>
      </w:r>
      <w:r w:rsidR="00944528">
        <w:rPr>
          <w:lang w:val="fr-CA"/>
        </w:rPr>
        <w:t>obtenir d’autres renseignements</w:t>
      </w:r>
      <w:r w:rsidRPr="00FA558D" w:rsidR="00B91619">
        <w:rPr>
          <w:lang w:val="fr-CA"/>
        </w:rPr>
        <w:t xml:space="preserve">. </w:t>
      </w:r>
      <w:r>
        <w:rPr>
          <w:lang w:val="fr-CA"/>
        </w:rPr>
        <w:t>Pour e</w:t>
      </w:r>
      <w:r w:rsidR="00B91619">
        <w:rPr>
          <w:lang w:val="fr-CA"/>
        </w:rPr>
        <w:t xml:space="preserve">n savoir plus </w:t>
      </w:r>
      <w:r w:rsidR="00944528">
        <w:rPr>
          <w:lang w:val="fr-CA"/>
        </w:rPr>
        <w:t>au sujet de</w:t>
      </w:r>
      <w:r w:rsidR="00B91619">
        <w:rPr>
          <w:lang w:val="fr-CA"/>
        </w:rPr>
        <w:t xml:space="preserve"> la section sur la consultation</w:t>
      </w:r>
      <w:r w:rsidRPr="00FA558D" w:rsidR="00B91619">
        <w:rPr>
          <w:lang w:val="fr-CA"/>
        </w:rPr>
        <w:t xml:space="preserve">, </w:t>
      </w:r>
      <w:r w:rsidR="00944528">
        <w:rPr>
          <w:lang w:val="fr-CA"/>
        </w:rPr>
        <w:t xml:space="preserve">consultez </w:t>
      </w:r>
      <w:r w:rsidR="00B91619">
        <w:rPr>
          <w:lang w:val="fr-CA"/>
        </w:rPr>
        <w:t xml:space="preserve">le </w:t>
      </w:r>
      <w:r w:rsidR="00944528">
        <w:rPr>
          <w:lang w:val="fr-CA"/>
        </w:rPr>
        <w:t>G</w:t>
      </w:r>
      <w:r w:rsidR="00B91619">
        <w:rPr>
          <w:lang w:val="fr-CA"/>
        </w:rPr>
        <w:t>uide</w:t>
      </w:r>
      <w:r w:rsidRPr="00FA558D" w:rsidR="00B91619">
        <w:rPr>
          <w:lang w:val="fr-CA"/>
        </w:rPr>
        <w:t xml:space="preserve"> </w:t>
      </w:r>
      <w:r w:rsidR="00944528">
        <w:rPr>
          <w:lang w:val="fr-CA"/>
        </w:rPr>
        <w:t>d</w:t>
      </w:r>
      <w:r w:rsidR="00B91619">
        <w:rPr>
          <w:lang w:val="fr-CA"/>
        </w:rPr>
        <w:t xml:space="preserve">’élaboration de la réglementation et </w:t>
      </w:r>
      <w:r w:rsidR="00944528">
        <w:rPr>
          <w:lang w:val="fr-CA"/>
        </w:rPr>
        <w:t>de</w:t>
      </w:r>
      <w:r w:rsidR="00B91619">
        <w:rPr>
          <w:lang w:val="fr-CA"/>
        </w:rPr>
        <w:t xml:space="preserve"> rédaction du Résumé de l’étude d’impact de la réglementation</w:t>
      </w:r>
      <w:r w:rsidRPr="00FA558D" w:rsidR="00B91619">
        <w:rPr>
          <w:lang w:val="fr-CA"/>
        </w:rPr>
        <w:t>.</w:t>
      </w:r>
    </w:p>
    <w:p w:rsidRPr="00FA558D" w:rsidR="00B91619" w:rsidP="00B91619" w:rsidRDefault="00B91619" w14:paraId="0B19A41D" w14:textId="77777777">
      <w:pPr>
        <w:tabs>
          <w:tab w:val="left" w:pos="9356"/>
        </w:tabs>
        <w:spacing w:after="0" w:line="240" w:lineRule="auto"/>
        <w:rPr>
          <w:lang w:val="fr-CA"/>
        </w:rPr>
      </w:pPr>
    </w:p>
    <w:p w:rsidRPr="00FA558D" w:rsidR="00B91619" w:rsidP="00B91619" w:rsidRDefault="00B91619" w14:paraId="71B9B0B8" w14:textId="2FFE646B">
      <w:pPr>
        <w:pStyle w:val="Heading3"/>
        <w:numPr>
          <w:ilvl w:val="2"/>
          <w:numId w:val="27"/>
        </w:numPr>
        <w:ind w:left="720" w:hanging="720"/>
        <w:rPr>
          <w:lang w:val="fr-CA"/>
        </w:rPr>
      </w:pPr>
      <w:bookmarkStart w:name="_Toc151373927" w:id="37"/>
      <w:r>
        <w:rPr>
          <w:lang w:val="fr-CA"/>
        </w:rPr>
        <w:t>Prise en compte des besoins des petites entreprises</w:t>
      </w:r>
      <w:r w:rsidRPr="00FA558D">
        <w:rPr>
          <w:lang w:val="fr-CA"/>
        </w:rPr>
        <w:t xml:space="preserve"> (</w:t>
      </w:r>
      <w:r w:rsidR="00944528">
        <w:rPr>
          <w:lang w:val="fr-CA"/>
        </w:rPr>
        <w:t>paragraphe</w:t>
      </w:r>
      <w:r w:rsidRPr="00FA558D">
        <w:rPr>
          <w:lang w:val="fr-CA"/>
        </w:rPr>
        <w:t> 8.2.4)</w:t>
      </w:r>
      <w:bookmarkEnd w:id="37"/>
    </w:p>
    <w:p w:rsidRPr="00FA558D" w:rsidR="00B91619" w:rsidP="00B91619" w:rsidRDefault="00B91619" w14:paraId="7BBD67EB" w14:textId="77777777">
      <w:pPr>
        <w:tabs>
          <w:tab w:val="left" w:pos="9356"/>
        </w:tabs>
        <w:spacing w:after="0" w:line="240" w:lineRule="auto"/>
        <w:rPr>
          <w:lang w:val="fr-CA"/>
        </w:rPr>
      </w:pPr>
    </w:p>
    <w:p w:rsidRPr="00FA558D" w:rsidR="00B91619" w:rsidP="00B91619" w:rsidRDefault="00B91619" w14:paraId="2C48A3EC" w14:textId="4A9E06CA">
      <w:pPr>
        <w:tabs>
          <w:tab w:val="left" w:pos="9356"/>
        </w:tabs>
        <w:spacing w:after="0" w:line="240" w:lineRule="auto"/>
        <w:rPr>
          <w:lang w:val="fr-CA"/>
        </w:rPr>
      </w:pPr>
      <w:r>
        <w:rPr>
          <w:lang w:val="fr-CA"/>
        </w:rPr>
        <w:t>Les organismes de réglementation</w:t>
      </w:r>
      <w:r w:rsidRPr="00FA558D">
        <w:rPr>
          <w:lang w:val="fr-CA"/>
        </w:rPr>
        <w:t xml:space="preserve"> </w:t>
      </w:r>
      <w:r>
        <w:rPr>
          <w:lang w:val="fr-CA"/>
        </w:rPr>
        <w:t xml:space="preserve">doivent </w:t>
      </w:r>
      <w:r w:rsidR="00944528">
        <w:rPr>
          <w:lang w:val="fr-CA"/>
        </w:rPr>
        <w:t>déterminer</w:t>
      </w:r>
      <w:r>
        <w:rPr>
          <w:lang w:val="fr-CA"/>
        </w:rPr>
        <w:t xml:space="preserve"> </w:t>
      </w:r>
      <w:r w:rsidR="00944528">
        <w:rPr>
          <w:lang w:val="fr-CA"/>
        </w:rPr>
        <w:t>les répercussions éventuelles du</w:t>
      </w:r>
      <w:r>
        <w:rPr>
          <w:lang w:val="fr-CA"/>
        </w:rPr>
        <w:t xml:space="preserve"> </w:t>
      </w:r>
      <w:r w:rsidR="00944528">
        <w:rPr>
          <w:lang w:val="fr-CA"/>
        </w:rPr>
        <w:t xml:space="preserve">projet de </w:t>
      </w:r>
      <w:r w:rsidR="002B152B">
        <w:rPr>
          <w:lang w:val="fr-CA"/>
        </w:rPr>
        <w:t>règlement</w:t>
      </w:r>
      <w:r>
        <w:rPr>
          <w:lang w:val="fr-CA"/>
        </w:rPr>
        <w:t xml:space="preserve"> sur les petites entreprises, et formuler le règlement</w:t>
      </w:r>
      <w:r w:rsidRPr="00FA558D">
        <w:rPr>
          <w:lang w:val="fr-CA"/>
        </w:rPr>
        <w:t xml:space="preserve"> </w:t>
      </w:r>
      <w:r w:rsidR="00944528">
        <w:rPr>
          <w:lang w:val="fr-CA"/>
        </w:rPr>
        <w:t xml:space="preserve">de façon à </w:t>
      </w:r>
      <w:r>
        <w:rPr>
          <w:lang w:val="fr-CA"/>
        </w:rPr>
        <w:t>atténuer au maximum ces répercussions</w:t>
      </w:r>
      <w:r w:rsidRPr="00FA558D">
        <w:rPr>
          <w:lang w:val="fr-CA"/>
        </w:rPr>
        <w:t xml:space="preserve">. </w:t>
      </w:r>
      <w:r>
        <w:rPr>
          <w:lang w:val="fr-CA"/>
        </w:rPr>
        <w:t xml:space="preserve">La section sur la </w:t>
      </w:r>
      <w:r w:rsidR="00944528">
        <w:rPr>
          <w:lang w:val="fr-CA"/>
        </w:rPr>
        <w:t>L</w:t>
      </w:r>
      <w:r w:rsidR="00827BD1">
        <w:rPr>
          <w:lang w:val="fr-CA"/>
        </w:rPr>
        <w:t>entille</w:t>
      </w:r>
      <w:r>
        <w:rPr>
          <w:lang w:val="fr-CA"/>
        </w:rPr>
        <w:t xml:space="preserve"> des petites entreprises</w:t>
      </w:r>
      <w:r w:rsidRPr="00FA558D">
        <w:rPr>
          <w:lang w:val="fr-CA"/>
        </w:rPr>
        <w:t xml:space="preserve"> </w:t>
      </w:r>
      <w:r>
        <w:rPr>
          <w:lang w:val="fr-CA"/>
        </w:rPr>
        <w:t>dans le REIR</w:t>
      </w:r>
      <w:r w:rsidRPr="00FA558D">
        <w:rPr>
          <w:lang w:val="fr-CA"/>
        </w:rPr>
        <w:t xml:space="preserve"> </w:t>
      </w:r>
      <w:r>
        <w:rPr>
          <w:lang w:val="fr-CA"/>
        </w:rPr>
        <w:t>devrait</w:t>
      </w:r>
      <w:r w:rsidRPr="00FA558D">
        <w:rPr>
          <w:lang w:val="fr-CA"/>
        </w:rPr>
        <w:t xml:space="preserve"> </w:t>
      </w:r>
      <w:r>
        <w:rPr>
          <w:lang w:val="fr-CA"/>
        </w:rPr>
        <w:t>expliquer</w:t>
      </w:r>
      <w:r w:rsidRPr="00FA558D">
        <w:rPr>
          <w:lang w:val="fr-CA"/>
        </w:rPr>
        <w:t xml:space="preserve"> </w:t>
      </w:r>
      <w:r>
        <w:rPr>
          <w:lang w:val="fr-CA"/>
        </w:rPr>
        <w:t xml:space="preserve">ce processus afin </w:t>
      </w:r>
      <w:r w:rsidR="00F0397A">
        <w:rPr>
          <w:lang w:val="fr-CA"/>
        </w:rPr>
        <w:t xml:space="preserve">que </w:t>
      </w:r>
      <w:r>
        <w:rPr>
          <w:lang w:val="fr-CA"/>
        </w:rPr>
        <w:t xml:space="preserve">les </w:t>
      </w:r>
      <w:r w:rsidR="00F0397A">
        <w:rPr>
          <w:lang w:val="fr-CA"/>
        </w:rPr>
        <w:t xml:space="preserve">décideurs sachent en quoi </w:t>
      </w:r>
      <w:r>
        <w:rPr>
          <w:lang w:val="fr-CA"/>
        </w:rPr>
        <w:t>le projet tient compte des besoins des</w:t>
      </w:r>
      <w:r w:rsidRPr="00FA558D">
        <w:rPr>
          <w:lang w:val="fr-CA"/>
        </w:rPr>
        <w:t xml:space="preserve"> </w:t>
      </w:r>
      <w:r>
        <w:rPr>
          <w:lang w:val="fr-CA"/>
        </w:rPr>
        <w:t>petites entreprises</w:t>
      </w:r>
      <w:r w:rsidRPr="00FA558D">
        <w:rPr>
          <w:lang w:val="fr-CA"/>
        </w:rPr>
        <w:t xml:space="preserve">. </w:t>
      </w:r>
    </w:p>
    <w:p w:rsidRPr="00FA558D" w:rsidR="00B91619" w:rsidP="00B91619" w:rsidRDefault="00B91619" w14:paraId="79C570D1" w14:textId="77777777">
      <w:pPr>
        <w:tabs>
          <w:tab w:val="left" w:pos="9356"/>
        </w:tabs>
        <w:spacing w:after="0" w:line="240" w:lineRule="auto"/>
        <w:rPr>
          <w:lang w:val="fr-CA"/>
        </w:rPr>
      </w:pPr>
    </w:p>
    <w:p w:rsidRPr="00FA558D" w:rsidR="00B91619" w:rsidP="00B91619" w:rsidRDefault="00B91619" w14:paraId="26860B32" w14:textId="1A56CA35">
      <w:pPr>
        <w:tabs>
          <w:tab w:val="left" w:pos="9356"/>
        </w:tabs>
        <w:spacing w:after="0" w:line="240" w:lineRule="auto"/>
        <w:rPr>
          <w:lang w:val="fr-CA"/>
        </w:rPr>
      </w:pPr>
      <w:r>
        <w:rPr>
          <w:lang w:val="fr-CA"/>
        </w:rPr>
        <w:t xml:space="preserve">La réduction au minimum des coûts </w:t>
      </w:r>
      <w:r w:rsidRPr="00FA558D">
        <w:rPr>
          <w:lang w:val="fr-CA"/>
        </w:rPr>
        <w:t>administrati</w:t>
      </w:r>
      <w:r>
        <w:rPr>
          <w:lang w:val="fr-CA"/>
        </w:rPr>
        <w:t xml:space="preserve">fs ou de </w:t>
      </w:r>
      <w:r w:rsidRPr="00FA558D">
        <w:rPr>
          <w:lang w:val="fr-CA"/>
        </w:rPr>
        <w:t>co</w:t>
      </w:r>
      <w:r>
        <w:rPr>
          <w:lang w:val="fr-CA"/>
        </w:rPr>
        <w:t>nformité</w:t>
      </w:r>
      <w:r w:rsidRPr="00FA558D">
        <w:rPr>
          <w:lang w:val="fr-CA"/>
        </w:rPr>
        <w:t xml:space="preserve"> </w:t>
      </w:r>
      <w:r>
        <w:rPr>
          <w:lang w:val="fr-CA"/>
        </w:rPr>
        <w:t>pour les petites entreprises</w:t>
      </w:r>
      <w:r w:rsidRPr="00FA558D">
        <w:rPr>
          <w:lang w:val="fr-CA"/>
        </w:rPr>
        <w:t xml:space="preserve"> </w:t>
      </w:r>
      <w:r>
        <w:rPr>
          <w:lang w:val="fr-CA"/>
        </w:rPr>
        <w:t>ne doit pas être aux dépens de la santé</w:t>
      </w:r>
      <w:r w:rsidRPr="00FA558D">
        <w:rPr>
          <w:lang w:val="fr-CA"/>
        </w:rPr>
        <w:t>,</w:t>
      </w:r>
      <w:r>
        <w:rPr>
          <w:lang w:val="fr-CA"/>
        </w:rPr>
        <w:t xml:space="preserve"> de la</w:t>
      </w:r>
      <w:r w:rsidRPr="00FA558D">
        <w:rPr>
          <w:lang w:val="fr-CA"/>
        </w:rPr>
        <w:t xml:space="preserve"> </w:t>
      </w:r>
      <w:r>
        <w:rPr>
          <w:lang w:val="fr-CA"/>
        </w:rPr>
        <w:t>sécurité ou de la sûreté</w:t>
      </w:r>
      <w:r w:rsidRPr="00FA558D">
        <w:rPr>
          <w:lang w:val="fr-CA"/>
        </w:rPr>
        <w:t xml:space="preserve"> </w:t>
      </w:r>
      <w:r>
        <w:rPr>
          <w:lang w:val="fr-CA"/>
        </w:rPr>
        <w:t>des</w:t>
      </w:r>
      <w:r w:rsidRPr="00FA558D">
        <w:rPr>
          <w:lang w:val="fr-CA"/>
        </w:rPr>
        <w:t xml:space="preserve"> C</w:t>
      </w:r>
      <w:r>
        <w:rPr>
          <w:lang w:val="fr-CA"/>
        </w:rPr>
        <w:t>anadien</w:t>
      </w:r>
      <w:r w:rsidRPr="00FA558D">
        <w:rPr>
          <w:lang w:val="fr-CA"/>
        </w:rPr>
        <w:t>s.</w:t>
      </w:r>
    </w:p>
    <w:p w:rsidRPr="00FA558D" w:rsidR="00B91619" w:rsidP="00B91619" w:rsidRDefault="00B91619" w14:paraId="7F684E02" w14:textId="77777777">
      <w:pPr>
        <w:tabs>
          <w:tab w:val="left" w:pos="9356"/>
        </w:tabs>
        <w:spacing w:after="0" w:line="240" w:lineRule="auto"/>
        <w:rPr>
          <w:lang w:val="fr-CA"/>
        </w:rPr>
      </w:pPr>
    </w:p>
    <w:p w:rsidRPr="00FA558D" w:rsidR="00B91619" w:rsidP="00B91619" w:rsidRDefault="00B91619" w14:paraId="5F85A28D" w14:textId="50F2A6B0">
      <w:pPr>
        <w:tabs>
          <w:tab w:val="left" w:pos="9356"/>
        </w:tabs>
        <w:spacing w:after="0" w:line="240" w:lineRule="auto"/>
        <w:rPr>
          <w:lang w:val="fr-CA"/>
        </w:rPr>
      </w:pPr>
      <w:r>
        <w:rPr>
          <w:lang w:val="fr-CA"/>
        </w:rPr>
        <w:t xml:space="preserve">La </w:t>
      </w:r>
      <w:r w:rsidR="00C06240">
        <w:rPr>
          <w:lang w:val="fr-CA"/>
        </w:rPr>
        <w:t xml:space="preserve">Lentille </w:t>
      </w:r>
      <w:r>
        <w:rPr>
          <w:lang w:val="fr-CA"/>
        </w:rPr>
        <w:t>des petites entreprises</w:t>
      </w:r>
      <w:r w:rsidRPr="00FA558D">
        <w:rPr>
          <w:lang w:val="fr-CA"/>
        </w:rPr>
        <w:t xml:space="preserve"> </w:t>
      </w:r>
      <w:r>
        <w:rPr>
          <w:lang w:val="fr-CA"/>
        </w:rPr>
        <w:t xml:space="preserve">n’exige pas l’application d’une méthode </w:t>
      </w:r>
      <w:r w:rsidR="00AB7A63">
        <w:rPr>
          <w:lang w:val="fr-CA"/>
        </w:rPr>
        <w:t xml:space="preserve">précise </w:t>
      </w:r>
      <w:r>
        <w:rPr>
          <w:lang w:val="fr-CA"/>
        </w:rPr>
        <w:t xml:space="preserve">pour </w:t>
      </w:r>
      <w:r w:rsidR="00AB7A63">
        <w:rPr>
          <w:lang w:val="fr-CA"/>
        </w:rPr>
        <w:t>tenir compte des</w:t>
      </w:r>
      <w:r>
        <w:rPr>
          <w:lang w:val="fr-CA"/>
        </w:rPr>
        <w:t xml:space="preserve"> besoins des</w:t>
      </w:r>
      <w:r w:rsidRPr="00FA558D">
        <w:rPr>
          <w:lang w:val="fr-CA"/>
        </w:rPr>
        <w:t xml:space="preserve"> </w:t>
      </w:r>
      <w:r>
        <w:rPr>
          <w:lang w:val="fr-CA"/>
        </w:rPr>
        <w:t>petites entreprises</w:t>
      </w:r>
      <w:r w:rsidRPr="00FA558D">
        <w:rPr>
          <w:lang w:val="fr-CA"/>
        </w:rPr>
        <w:t>,</w:t>
      </w:r>
      <w:r>
        <w:rPr>
          <w:lang w:val="fr-CA"/>
        </w:rPr>
        <w:t xml:space="preserve"> et les organismes de réglementation peuvent choisir tout</w:t>
      </w:r>
      <w:r w:rsidR="00C06240">
        <w:rPr>
          <w:lang w:val="fr-CA"/>
        </w:rPr>
        <w:t xml:space="preserve">e option </w:t>
      </w:r>
      <w:r w:rsidR="00A3302E">
        <w:rPr>
          <w:lang w:val="fr-CA"/>
        </w:rPr>
        <w:t>fournie à titre d’exemple</w:t>
      </w:r>
      <w:r w:rsidR="00C06240">
        <w:rPr>
          <w:lang w:val="fr-CA"/>
        </w:rPr>
        <w:t xml:space="preserve"> ci-dessous</w:t>
      </w:r>
      <w:r w:rsidR="00A3302E">
        <w:rPr>
          <w:lang w:val="fr-CA"/>
        </w:rPr>
        <w:t xml:space="preserve"> </w:t>
      </w:r>
      <w:r w:rsidR="00C06240">
        <w:rPr>
          <w:lang w:val="fr-CA"/>
        </w:rPr>
        <w:t>ou toute autre option convenable</w:t>
      </w:r>
      <w:r w:rsidR="007C1161">
        <w:rPr>
          <w:lang w:val="fr-CA"/>
        </w:rPr>
        <w:t> </w:t>
      </w:r>
      <w:r>
        <w:rPr>
          <w:lang w:val="fr-CA"/>
        </w:rPr>
        <w:t>:</w:t>
      </w:r>
      <w:r w:rsidRPr="00FA558D">
        <w:rPr>
          <w:lang w:val="fr-CA"/>
        </w:rPr>
        <w:t xml:space="preserve"> </w:t>
      </w:r>
    </w:p>
    <w:p w:rsidRPr="00FA558D" w:rsidR="00B91619" w:rsidP="00B91619" w:rsidRDefault="00B91619" w14:paraId="24B9F6C8" w14:textId="77777777">
      <w:pPr>
        <w:tabs>
          <w:tab w:val="left" w:pos="9356"/>
        </w:tabs>
        <w:spacing w:after="0" w:line="240" w:lineRule="auto"/>
        <w:rPr>
          <w:lang w:val="fr-CA"/>
        </w:rPr>
      </w:pPr>
    </w:p>
    <w:p w:rsidR="00B91619" w:rsidP="00B91619" w:rsidRDefault="00AB7A63" w14:paraId="0D3D1E4B" w14:textId="709CF638">
      <w:pPr>
        <w:pStyle w:val="ListParagraph"/>
        <w:numPr>
          <w:ilvl w:val="0"/>
          <w:numId w:val="1"/>
        </w:numPr>
        <w:tabs>
          <w:tab w:val="left" w:pos="9356"/>
        </w:tabs>
        <w:spacing w:after="0" w:line="240" w:lineRule="auto"/>
        <w:rPr>
          <w:lang w:val="fr-CA"/>
        </w:rPr>
      </w:pPr>
      <w:proofErr w:type="gramStart"/>
      <w:r>
        <w:rPr>
          <w:lang w:val="fr-CA"/>
        </w:rPr>
        <w:t>d</w:t>
      </w:r>
      <w:r w:rsidR="00B91619">
        <w:rPr>
          <w:lang w:val="fr-CA"/>
        </w:rPr>
        <w:t>élais</w:t>
      </w:r>
      <w:proofErr w:type="gramEnd"/>
      <w:r w:rsidR="00B91619">
        <w:rPr>
          <w:lang w:val="fr-CA"/>
        </w:rPr>
        <w:t xml:space="preserve"> plus longs pour répondre aux exigences, prolong</w:t>
      </w:r>
      <w:r w:rsidR="00A9277E">
        <w:rPr>
          <w:lang w:val="fr-CA"/>
        </w:rPr>
        <w:t>ation</w:t>
      </w:r>
      <w:r w:rsidR="00B91619">
        <w:rPr>
          <w:lang w:val="fr-CA"/>
        </w:rPr>
        <w:t xml:space="preserve"> des périodes de </w:t>
      </w:r>
      <w:r w:rsidRPr="00FA558D" w:rsidR="00B91619">
        <w:rPr>
          <w:lang w:val="fr-CA"/>
        </w:rPr>
        <w:t xml:space="preserve">transition </w:t>
      </w:r>
      <w:r w:rsidR="00B91619">
        <w:rPr>
          <w:lang w:val="fr-CA"/>
        </w:rPr>
        <w:t>ou exemptions temporaire</w:t>
      </w:r>
      <w:r>
        <w:rPr>
          <w:lang w:val="fr-CA"/>
        </w:rPr>
        <w:t>s</w:t>
      </w:r>
      <w:r w:rsidR="00B91619">
        <w:rPr>
          <w:lang w:val="fr-CA"/>
        </w:rPr>
        <w:t>;</w:t>
      </w:r>
    </w:p>
    <w:p w:rsidRPr="00FA558D" w:rsidR="00B91619" w:rsidP="00B91619" w:rsidRDefault="00B91619" w14:paraId="7CBFC93B" w14:textId="509EAD1E">
      <w:pPr>
        <w:pStyle w:val="ListParagraph"/>
        <w:numPr>
          <w:ilvl w:val="0"/>
          <w:numId w:val="1"/>
        </w:numPr>
        <w:tabs>
          <w:tab w:val="left" w:pos="9356"/>
        </w:tabs>
        <w:spacing w:after="0" w:line="240" w:lineRule="auto"/>
        <w:rPr>
          <w:lang w:val="fr-CA"/>
        </w:rPr>
      </w:pPr>
      <w:proofErr w:type="gramStart"/>
      <w:r>
        <w:rPr>
          <w:lang w:val="fr-CA"/>
        </w:rPr>
        <w:t>normes</w:t>
      </w:r>
      <w:proofErr w:type="gramEnd"/>
      <w:r>
        <w:rPr>
          <w:lang w:val="fr-CA"/>
        </w:rPr>
        <w:t xml:space="preserve"> fondées sur le rendement;</w:t>
      </w:r>
    </w:p>
    <w:p w:rsidRPr="00FA558D" w:rsidR="00B91619" w:rsidP="00B91619" w:rsidRDefault="00B91619" w14:paraId="6497E028" w14:textId="572C7DFD">
      <w:pPr>
        <w:pStyle w:val="ListParagraph"/>
        <w:numPr>
          <w:ilvl w:val="0"/>
          <w:numId w:val="1"/>
        </w:numPr>
        <w:tabs>
          <w:tab w:val="left" w:pos="9356"/>
        </w:tabs>
        <w:spacing w:after="0" w:line="240" w:lineRule="auto"/>
        <w:rPr>
          <w:lang w:val="fr-CA"/>
        </w:rPr>
      </w:pPr>
      <w:proofErr w:type="gramStart"/>
      <w:r>
        <w:rPr>
          <w:lang w:val="fr-CA"/>
        </w:rPr>
        <w:t>exemptions</w:t>
      </w:r>
      <w:proofErr w:type="gramEnd"/>
      <w:r>
        <w:rPr>
          <w:lang w:val="fr-CA"/>
        </w:rPr>
        <w:t xml:space="preserve"> partielles ou complètes des obligations de conformité, surtout pour les entreprises qui ont de bons antécédents (</w:t>
      </w:r>
      <w:r w:rsidR="00AB7A63">
        <w:rPr>
          <w:lang w:val="fr-CA"/>
        </w:rPr>
        <w:t xml:space="preserve">demander </w:t>
      </w:r>
      <w:r w:rsidR="00C06240">
        <w:rPr>
          <w:lang w:val="fr-CA"/>
        </w:rPr>
        <w:t>d</w:t>
      </w:r>
      <w:r w:rsidR="00AB7A63">
        <w:rPr>
          <w:lang w:val="fr-CA"/>
        </w:rPr>
        <w:t>es</w:t>
      </w:r>
      <w:r>
        <w:rPr>
          <w:lang w:val="fr-CA"/>
        </w:rPr>
        <w:t xml:space="preserve"> conseil</w:t>
      </w:r>
      <w:r w:rsidR="00AB7A63">
        <w:rPr>
          <w:lang w:val="fr-CA"/>
        </w:rPr>
        <w:t>s</w:t>
      </w:r>
      <w:r>
        <w:rPr>
          <w:lang w:val="fr-CA"/>
        </w:rPr>
        <w:t xml:space="preserve"> </w:t>
      </w:r>
      <w:r w:rsidR="00C06240">
        <w:rPr>
          <w:lang w:val="fr-CA"/>
        </w:rPr>
        <w:t>aux services juridiques</w:t>
      </w:r>
      <w:r>
        <w:rPr>
          <w:lang w:val="fr-CA"/>
        </w:rPr>
        <w:t xml:space="preserve"> si cette option est envisagée</w:t>
      </w:r>
      <w:r w:rsidRPr="00FA558D">
        <w:rPr>
          <w:lang w:val="fr-CA"/>
        </w:rPr>
        <w:t>)</w:t>
      </w:r>
      <w:r>
        <w:rPr>
          <w:lang w:val="fr-CA"/>
        </w:rPr>
        <w:t>;</w:t>
      </w:r>
    </w:p>
    <w:p w:rsidRPr="00FA558D" w:rsidR="00B91619" w:rsidP="00B91619" w:rsidRDefault="00B91619" w14:paraId="317F44CF" w14:textId="0A55214B">
      <w:pPr>
        <w:pStyle w:val="ListParagraph"/>
        <w:numPr>
          <w:ilvl w:val="0"/>
          <w:numId w:val="1"/>
        </w:numPr>
        <w:tabs>
          <w:tab w:val="left" w:pos="9356"/>
        </w:tabs>
        <w:spacing w:after="0" w:line="240" w:lineRule="auto"/>
        <w:rPr>
          <w:lang w:val="fr-CA"/>
        </w:rPr>
      </w:pPr>
      <w:proofErr w:type="gramStart"/>
      <w:r>
        <w:rPr>
          <w:lang w:val="fr-CA"/>
        </w:rPr>
        <w:t>rédu</w:t>
      </w:r>
      <w:r w:rsidRPr="00FA558D">
        <w:rPr>
          <w:lang w:val="fr-CA"/>
        </w:rPr>
        <w:t>c</w:t>
      </w:r>
      <w:r>
        <w:rPr>
          <w:lang w:val="fr-CA"/>
        </w:rPr>
        <w:t>tion</w:t>
      </w:r>
      <w:proofErr w:type="gramEnd"/>
      <w:r>
        <w:rPr>
          <w:lang w:val="fr-CA"/>
        </w:rPr>
        <w:t xml:space="preserve"> des coûts liés à la conformité</w:t>
      </w:r>
      <w:r w:rsidR="00AB7A63">
        <w:rPr>
          <w:lang w:val="fr-CA"/>
        </w:rPr>
        <w:t>;</w:t>
      </w:r>
    </w:p>
    <w:p w:rsidRPr="00FA558D" w:rsidR="00B91619" w:rsidP="00B91619" w:rsidRDefault="00B91619" w14:paraId="7A7F90B6" w14:textId="19AD383D">
      <w:pPr>
        <w:pStyle w:val="ListParagraph"/>
        <w:numPr>
          <w:ilvl w:val="0"/>
          <w:numId w:val="1"/>
        </w:numPr>
        <w:tabs>
          <w:tab w:val="left" w:pos="9356"/>
        </w:tabs>
        <w:spacing w:after="0" w:line="240" w:lineRule="auto"/>
        <w:rPr>
          <w:lang w:val="fr-CA"/>
        </w:rPr>
      </w:pPr>
      <w:proofErr w:type="gramStart"/>
      <w:r>
        <w:rPr>
          <w:lang w:val="fr-CA"/>
        </w:rPr>
        <w:t>réduction</w:t>
      </w:r>
      <w:proofErr w:type="gramEnd"/>
      <w:r>
        <w:rPr>
          <w:lang w:val="fr-CA"/>
        </w:rPr>
        <w:t xml:space="preserve"> des frais ou des autres </w:t>
      </w:r>
      <w:r w:rsidRPr="00FA558D">
        <w:rPr>
          <w:lang w:val="fr-CA"/>
        </w:rPr>
        <w:t>charges</w:t>
      </w:r>
      <w:r>
        <w:rPr>
          <w:lang w:val="fr-CA"/>
        </w:rPr>
        <w:t xml:space="preserve"> ou pénalités;</w:t>
      </w:r>
    </w:p>
    <w:p w:rsidRPr="00FA558D" w:rsidR="00B91619" w:rsidP="00B91619" w:rsidRDefault="00B91619" w14:paraId="0ADF9C51" w14:textId="7367146A">
      <w:pPr>
        <w:pStyle w:val="ListParagraph"/>
        <w:numPr>
          <w:ilvl w:val="0"/>
          <w:numId w:val="1"/>
        </w:numPr>
        <w:tabs>
          <w:tab w:val="left" w:pos="9356"/>
        </w:tabs>
        <w:spacing w:after="0" w:line="240" w:lineRule="auto"/>
        <w:rPr>
          <w:lang w:val="fr-CA"/>
        </w:rPr>
      </w:pPr>
      <w:proofErr w:type="gramStart"/>
      <w:r>
        <w:rPr>
          <w:lang w:val="fr-CA"/>
        </w:rPr>
        <w:t>recours</w:t>
      </w:r>
      <w:proofErr w:type="gramEnd"/>
      <w:r>
        <w:rPr>
          <w:lang w:val="fr-CA"/>
        </w:rPr>
        <w:t xml:space="preserve"> </w:t>
      </w:r>
      <w:r w:rsidR="00C06240">
        <w:rPr>
          <w:lang w:val="fr-CA"/>
        </w:rPr>
        <w:t>à des</w:t>
      </w:r>
      <w:r>
        <w:rPr>
          <w:lang w:val="fr-CA"/>
        </w:rPr>
        <w:t xml:space="preserve"> incitatifs </w:t>
      </w:r>
      <w:r w:rsidR="00C06240">
        <w:rPr>
          <w:lang w:val="fr-CA"/>
        </w:rPr>
        <w:t>du marché</w:t>
      </w:r>
      <w:r>
        <w:rPr>
          <w:lang w:val="fr-CA"/>
        </w:rPr>
        <w:t>;</w:t>
      </w:r>
    </w:p>
    <w:p w:rsidRPr="00FA558D" w:rsidR="00B91619" w:rsidP="00B91619" w:rsidRDefault="00B91619" w14:paraId="3F7C8F31" w14:textId="02BEF8BF">
      <w:pPr>
        <w:pStyle w:val="ListParagraph"/>
        <w:numPr>
          <w:ilvl w:val="0"/>
          <w:numId w:val="1"/>
        </w:numPr>
        <w:tabs>
          <w:tab w:val="left" w:pos="9356"/>
        </w:tabs>
        <w:spacing w:after="0" w:line="240" w:lineRule="auto"/>
        <w:rPr>
          <w:lang w:val="fr-CA"/>
        </w:rPr>
      </w:pPr>
      <w:proofErr w:type="gramStart"/>
      <w:r>
        <w:rPr>
          <w:lang w:val="fr-CA"/>
        </w:rPr>
        <w:t>obligations</w:t>
      </w:r>
      <w:proofErr w:type="gramEnd"/>
      <w:r>
        <w:rPr>
          <w:lang w:val="fr-CA"/>
        </w:rPr>
        <w:t xml:space="preserve"> </w:t>
      </w:r>
      <w:r w:rsidRPr="00FA558D">
        <w:rPr>
          <w:lang w:val="fr-CA"/>
        </w:rPr>
        <w:t>simplifi</w:t>
      </w:r>
      <w:r>
        <w:rPr>
          <w:lang w:val="fr-CA"/>
        </w:rPr>
        <w:t xml:space="preserve">ées sur la préparation de rapports et les </w:t>
      </w:r>
      <w:r w:rsidRPr="00FA558D">
        <w:rPr>
          <w:lang w:val="fr-CA"/>
        </w:rPr>
        <w:t>inspections</w:t>
      </w:r>
      <w:r>
        <w:rPr>
          <w:lang w:val="fr-CA"/>
        </w:rPr>
        <w:t>, notamment la diminution de leur fréquence;</w:t>
      </w:r>
    </w:p>
    <w:p w:rsidRPr="00FA558D" w:rsidR="00B91619" w:rsidP="00B91619" w:rsidRDefault="00C06240" w14:paraId="288E1462" w14:textId="6AF641EE">
      <w:pPr>
        <w:pStyle w:val="ListParagraph"/>
        <w:numPr>
          <w:ilvl w:val="0"/>
          <w:numId w:val="1"/>
        </w:numPr>
        <w:tabs>
          <w:tab w:val="left" w:pos="9356"/>
        </w:tabs>
        <w:spacing w:after="0" w:line="240" w:lineRule="auto"/>
        <w:rPr>
          <w:lang w:val="fr-CA"/>
        </w:rPr>
      </w:pPr>
      <w:proofErr w:type="gramStart"/>
      <w:r>
        <w:rPr>
          <w:lang w:val="fr-CA"/>
        </w:rPr>
        <w:t>licences</w:t>
      </w:r>
      <w:proofErr w:type="gramEnd"/>
      <w:r w:rsidRPr="00FA558D" w:rsidR="00B91619">
        <w:rPr>
          <w:lang w:val="fr-CA"/>
        </w:rPr>
        <w:t xml:space="preserve"> </w:t>
      </w:r>
      <w:r w:rsidR="00B91619">
        <w:rPr>
          <w:lang w:val="fr-CA"/>
        </w:rPr>
        <w:t>accordées de manière</w:t>
      </w:r>
      <w:r w:rsidRPr="00FA558D" w:rsidR="00B91619">
        <w:rPr>
          <w:lang w:val="fr-CA"/>
        </w:rPr>
        <w:t xml:space="preserve"> permanent</w:t>
      </w:r>
      <w:r w:rsidR="00B91619">
        <w:rPr>
          <w:lang w:val="fr-CA"/>
        </w:rPr>
        <w:t xml:space="preserve">e, ou </w:t>
      </w:r>
      <w:r w:rsidRPr="00FA558D" w:rsidR="00B91619">
        <w:rPr>
          <w:lang w:val="fr-CA"/>
        </w:rPr>
        <w:t>ren</w:t>
      </w:r>
      <w:r w:rsidR="00B91619">
        <w:rPr>
          <w:lang w:val="fr-CA"/>
        </w:rPr>
        <w:t>ouvelées moins souvent.</w:t>
      </w:r>
    </w:p>
    <w:p w:rsidRPr="00FA558D" w:rsidR="00B91619" w:rsidP="00B91619" w:rsidRDefault="00B91619" w14:paraId="6DB0B550" w14:textId="77777777">
      <w:pPr>
        <w:tabs>
          <w:tab w:val="left" w:pos="9356"/>
        </w:tabs>
        <w:spacing w:after="0" w:line="240" w:lineRule="auto"/>
        <w:rPr>
          <w:lang w:val="fr-CA"/>
        </w:rPr>
      </w:pPr>
    </w:p>
    <w:p w:rsidRPr="00FA558D" w:rsidR="00B91619" w:rsidP="00B91619" w:rsidRDefault="00B91619" w14:paraId="2F28A35E" w14:textId="3E1F7907">
      <w:pPr>
        <w:tabs>
          <w:tab w:val="left" w:pos="9356"/>
        </w:tabs>
        <w:spacing w:after="0" w:line="240" w:lineRule="auto"/>
        <w:rPr>
          <w:lang w:val="fr-CA"/>
        </w:rPr>
      </w:pPr>
      <w:r>
        <w:rPr>
          <w:lang w:val="fr-CA"/>
        </w:rPr>
        <w:t>La collecte d’</w:t>
      </w:r>
      <w:r w:rsidRPr="00FA558D">
        <w:rPr>
          <w:lang w:val="fr-CA"/>
        </w:rPr>
        <w:t>information</w:t>
      </w:r>
      <w:r w:rsidR="001B0628">
        <w:rPr>
          <w:lang w:val="fr-CA"/>
        </w:rPr>
        <w:t>s</w:t>
      </w:r>
      <w:r w:rsidRPr="00FA558D">
        <w:rPr>
          <w:lang w:val="fr-CA"/>
        </w:rPr>
        <w:t xml:space="preserve"> </w:t>
      </w:r>
      <w:r>
        <w:rPr>
          <w:lang w:val="fr-CA"/>
        </w:rPr>
        <w:t>auprès des parties réglementées</w:t>
      </w:r>
      <w:r w:rsidRPr="00FA558D">
        <w:rPr>
          <w:lang w:val="fr-CA"/>
        </w:rPr>
        <w:t xml:space="preserve"> </w:t>
      </w:r>
      <w:r>
        <w:rPr>
          <w:lang w:val="fr-CA"/>
        </w:rPr>
        <w:t>peut être</w:t>
      </w:r>
      <w:r w:rsidRPr="00FA558D">
        <w:rPr>
          <w:lang w:val="fr-CA"/>
        </w:rPr>
        <w:t xml:space="preserve"> </w:t>
      </w:r>
      <w:r>
        <w:rPr>
          <w:lang w:val="fr-CA"/>
        </w:rPr>
        <w:t xml:space="preserve">complexe pour l’ensemble des entreprises, </w:t>
      </w:r>
      <w:r w:rsidR="001B0628">
        <w:rPr>
          <w:lang w:val="fr-CA"/>
        </w:rPr>
        <w:t>en particulier</w:t>
      </w:r>
      <w:r>
        <w:rPr>
          <w:lang w:val="fr-CA"/>
        </w:rPr>
        <w:t xml:space="preserve"> pour les petites entreprises. Les organismes de réglementation</w:t>
      </w:r>
      <w:r w:rsidRPr="00FA558D">
        <w:rPr>
          <w:lang w:val="fr-CA"/>
        </w:rPr>
        <w:t xml:space="preserve"> </w:t>
      </w:r>
      <w:r>
        <w:rPr>
          <w:lang w:val="fr-CA"/>
        </w:rPr>
        <w:t>pourront envisager des moyens de réduire ce fardeau, notamment les suivants :</w:t>
      </w:r>
    </w:p>
    <w:p w:rsidRPr="00FA558D" w:rsidR="00B91619" w:rsidP="00B91619" w:rsidRDefault="00B91619" w14:paraId="451016CE" w14:textId="77777777">
      <w:pPr>
        <w:tabs>
          <w:tab w:val="left" w:pos="9356"/>
        </w:tabs>
        <w:spacing w:after="0" w:line="240" w:lineRule="auto"/>
        <w:rPr>
          <w:lang w:val="fr-CA"/>
        </w:rPr>
      </w:pPr>
    </w:p>
    <w:p w:rsidRPr="00FA558D" w:rsidR="00B91619" w:rsidP="00B91619" w:rsidRDefault="0019509A" w14:paraId="1547A585" w14:textId="7F96B935">
      <w:pPr>
        <w:pStyle w:val="ListParagraph"/>
        <w:numPr>
          <w:ilvl w:val="0"/>
          <w:numId w:val="2"/>
        </w:numPr>
        <w:tabs>
          <w:tab w:val="left" w:pos="9356"/>
        </w:tabs>
        <w:spacing w:after="0" w:line="240" w:lineRule="auto"/>
        <w:rPr>
          <w:lang w:val="fr-CA"/>
        </w:rPr>
      </w:pPr>
      <w:proofErr w:type="gramStart"/>
      <w:r>
        <w:rPr>
          <w:lang w:val="fr-CA"/>
        </w:rPr>
        <w:t>utilisation</w:t>
      </w:r>
      <w:proofErr w:type="gramEnd"/>
      <w:r>
        <w:rPr>
          <w:lang w:val="fr-CA"/>
        </w:rPr>
        <w:t xml:space="preserve"> de </w:t>
      </w:r>
      <w:r w:rsidR="00B91619">
        <w:rPr>
          <w:lang w:val="fr-CA"/>
        </w:rPr>
        <w:t>processus simplifiés pour la collecte d’</w:t>
      </w:r>
      <w:r w:rsidRPr="00FA558D" w:rsidR="00B91619">
        <w:rPr>
          <w:lang w:val="fr-CA"/>
        </w:rPr>
        <w:t>information</w:t>
      </w:r>
      <w:r w:rsidR="001B0628">
        <w:rPr>
          <w:lang w:val="fr-CA"/>
        </w:rPr>
        <w:t>s</w:t>
      </w:r>
      <w:r w:rsidRPr="00FA558D" w:rsidR="00B91619">
        <w:rPr>
          <w:lang w:val="fr-CA"/>
        </w:rPr>
        <w:t xml:space="preserve">, </w:t>
      </w:r>
      <w:r w:rsidR="00B91619">
        <w:rPr>
          <w:lang w:val="fr-CA"/>
        </w:rPr>
        <w:t xml:space="preserve">tels que </w:t>
      </w:r>
      <w:proofErr w:type="spellStart"/>
      <w:r w:rsidRPr="00FA558D" w:rsidR="00B91619">
        <w:rPr>
          <w:lang w:val="fr-CA"/>
        </w:rPr>
        <w:t>BizPaL</w:t>
      </w:r>
      <w:proofErr w:type="spellEnd"/>
      <w:r w:rsidR="00B91619">
        <w:rPr>
          <w:lang w:val="fr-CA"/>
        </w:rPr>
        <w:t xml:space="preserve"> ou l’initiative de guichet unique de l’Agence des services frontaliers du Canada;</w:t>
      </w:r>
    </w:p>
    <w:p w:rsidRPr="00FA558D" w:rsidR="00B91619" w:rsidP="00B91619" w:rsidRDefault="00AB7A63" w14:paraId="78A59A22" w14:textId="3EFEEBD7">
      <w:pPr>
        <w:pStyle w:val="ListParagraph"/>
        <w:numPr>
          <w:ilvl w:val="0"/>
          <w:numId w:val="2"/>
        </w:numPr>
        <w:tabs>
          <w:tab w:val="left" w:pos="9356"/>
        </w:tabs>
        <w:spacing w:after="0" w:line="240" w:lineRule="auto"/>
        <w:rPr>
          <w:lang w:val="fr-CA"/>
        </w:rPr>
      </w:pPr>
      <w:proofErr w:type="gramStart"/>
      <w:r>
        <w:rPr>
          <w:lang w:val="fr-CA"/>
        </w:rPr>
        <w:t>utilisation</w:t>
      </w:r>
      <w:proofErr w:type="gramEnd"/>
      <w:r>
        <w:rPr>
          <w:lang w:val="fr-CA"/>
        </w:rPr>
        <w:t xml:space="preserve"> </w:t>
      </w:r>
      <w:r w:rsidR="00B91619">
        <w:rPr>
          <w:lang w:val="fr-CA"/>
        </w:rPr>
        <w:t>d’</w:t>
      </w:r>
      <w:r w:rsidRPr="00FA558D" w:rsidR="00B91619">
        <w:rPr>
          <w:lang w:val="fr-CA"/>
        </w:rPr>
        <w:t>information</w:t>
      </w:r>
      <w:r w:rsidR="001B0628">
        <w:rPr>
          <w:lang w:val="fr-CA"/>
        </w:rPr>
        <w:t>s</w:t>
      </w:r>
      <w:r w:rsidRPr="00FA558D" w:rsidR="00B91619">
        <w:rPr>
          <w:lang w:val="fr-CA"/>
        </w:rPr>
        <w:t xml:space="preserve"> (</w:t>
      </w:r>
      <w:r w:rsidR="00B91619">
        <w:rPr>
          <w:lang w:val="fr-CA"/>
        </w:rPr>
        <w:t>sauf les renseignements personnels</w:t>
      </w:r>
      <w:r w:rsidRPr="00FA558D" w:rsidR="00B91619">
        <w:rPr>
          <w:lang w:val="fr-CA"/>
        </w:rPr>
        <w:t xml:space="preserve">) </w:t>
      </w:r>
      <w:r w:rsidR="00B91619">
        <w:rPr>
          <w:lang w:val="fr-CA"/>
        </w:rPr>
        <w:t>déjà</w:t>
      </w:r>
      <w:r w:rsidRPr="00FA558D" w:rsidR="00B91619">
        <w:rPr>
          <w:lang w:val="fr-CA"/>
        </w:rPr>
        <w:t xml:space="preserve"> collect</w:t>
      </w:r>
      <w:r w:rsidR="00B91619">
        <w:rPr>
          <w:lang w:val="fr-CA"/>
        </w:rPr>
        <w:t>é</w:t>
      </w:r>
      <w:r w:rsidR="00A9277E">
        <w:rPr>
          <w:lang w:val="fr-CA"/>
        </w:rPr>
        <w:t>e</w:t>
      </w:r>
      <w:r w:rsidR="001B0628">
        <w:rPr>
          <w:lang w:val="fr-CA"/>
        </w:rPr>
        <w:t>s</w:t>
      </w:r>
      <w:r w:rsidR="00B91619">
        <w:rPr>
          <w:lang w:val="fr-CA"/>
        </w:rPr>
        <w:t xml:space="preserve"> par un autre ministère ou une autre </w:t>
      </w:r>
      <w:r>
        <w:rPr>
          <w:lang w:val="fr-CA"/>
        </w:rPr>
        <w:t>administration</w:t>
      </w:r>
      <w:r w:rsidRPr="00FA558D">
        <w:rPr>
          <w:lang w:val="fr-CA"/>
        </w:rPr>
        <w:t xml:space="preserve"> </w:t>
      </w:r>
      <w:r w:rsidR="00B91619">
        <w:rPr>
          <w:lang w:val="fr-CA"/>
        </w:rPr>
        <w:t xml:space="preserve">au lieu de </w:t>
      </w:r>
      <w:r w:rsidR="00B4147F">
        <w:rPr>
          <w:lang w:val="fr-CA"/>
        </w:rPr>
        <w:t>demander</w:t>
      </w:r>
      <w:r w:rsidR="00B91619">
        <w:rPr>
          <w:lang w:val="fr-CA"/>
        </w:rPr>
        <w:t xml:space="preserve"> la même </w:t>
      </w:r>
      <w:r w:rsidRPr="00FA558D" w:rsidR="00B91619">
        <w:rPr>
          <w:lang w:val="fr-CA"/>
        </w:rPr>
        <w:t xml:space="preserve">information </w:t>
      </w:r>
      <w:r w:rsidR="0019509A">
        <w:rPr>
          <w:lang w:val="fr-CA"/>
        </w:rPr>
        <w:t>aux</w:t>
      </w:r>
      <w:r w:rsidR="00B91619">
        <w:rPr>
          <w:lang w:val="fr-CA"/>
        </w:rPr>
        <w:t xml:space="preserve"> petites entreprises</w:t>
      </w:r>
      <w:r w:rsidRPr="00FA558D" w:rsidR="00B91619">
        <w:rPr>
          <w:rStyle w:val="FootnoteReference"/>
          <w:lang w:val="fr-CA"/>
        </w:rPr>
        <w:footnoteReference w:id="2"/>
      </w:r>
      <w:r w:rsidR="00B91619">
        <w:rPr>
          <w:lang w:val="fr-CA"/>
        </w:rPr>
        <w:t>;</w:t>
      </w:r>
    </w:p>
    <w:p w:rsidRPr="00FA558D" w:rsidR="00B91619" w:rsidP="00B91619" w:rsidRDefault="00AB7A63" w14:paraId="0416FABF" w14:textId="61967DE4">
      <w:pPr>
        <w:pStyle w:val="ListParagraph"/>
        <w:numPr>
          <w:ilvl w:val="0"/>
          <w:numId w:val="2"/>
        </w:numPr>
        <w:tabs>
          <w:tab w:val="left" w:pos="9356"/>
        </w:tabs>
        <w:spacing w:after="0" w:line="240" w:lineRule="auto"/>
        <w:rPr>
          <w:lang w:val="fr-CA"/>
        </w:rPr>
      </w:pPr>
      <w:proofErr w:type="gramStart"/>
      <w:r>
        <w:rPr>
          <w:lang w:val="fr-CA"/>
        </w:rPr>
        <w:t>utilisation</w:t>
      </w:r>
      <w:proofErr w:type="gramEnd"/>
      <w:r>
        <w:rPr>
          <w:lang w:val="fr-CA"/>
        </w:rPr>
        <w:t xml:space="preserve"> </w:t>
      </w:r>
      <w:r w:rsidR="00B91619">
        <w:rPr>
          <w:lang w:val="fr-CA"/>
        </w:rPr>
        <w:t xml:space="preserve">de formulaires où sont déjà indiqués les renseignements ou les données </w:t>
      </w:r>
      <w:r w:rsidR="0019509A">
        <w:rPr>
          <w:lang w:val="fr-CA"/>
        </w:rPr>
        <w:t>auxquels le</w:t>
      </w:r>
      <w:r w:rsidR="00B91619">
        <w:rPr>
          <w:lang w:val="fr-CA"/>
        </w:rPr>
        <w:t xml:space="preserve"> ministère</w:t>
      </w:r>
      <w:r w:rsidR="0019509A">
        <w:rPr>
          <w:lang w:val="fr-CA"/>
        </w:rPr>
        <w:t xml:space="preserve"> a déjà accès</w:t>
      </w:r>
      <w:r w:rsidR="00B91619">
        <w:rPr>
          <w:lang w:val="fr-CA"/>
        </w:rPr>
        <w:t>,</w:t>
      </w:r>
      <w:r w:rsidRPr="00FA558D" w:rsidR="00B91619">
        <w:rPr>
          <w:lang w:val="fr-CA"/>
        </w:rPr>
        <w:t xml:space="preserve"> </w:t>
      </w:r>
      <w:r w:rsidR="00B91619">
        <w:rPr>
          <w:lang w:val="fr-CA"/>
        </w:rPr>
        <w:t>afin de</w:t>
      </w:r>
      <w:r w:rsidRPr="00FA558D" w:rsidR="00B91619">
        <w:rPr>
          <w:lang w:val="fr-CA"/>
        </w:rPr>
        <w:t xml:space="preserve"> </w:t>
      </w:r>
      <w:r w:rsidR="00B91619">
        <w:rPr>
          <w:lang w:val="fr-CA"/>
        </w:rPr>
        <w:t>réduire l</w:t>
      </w:r>
      <w:r w:rsidR="0019509A">
        <w:rPr>
          <w:lang w:val="fr-CA"/>
        </w:rPr>
        <w:t>e</w:t>
      </w:r>
      <w:r w:rsidR="00B91619">
        <w:rPr>
          <w:lang w:val="fr-CA"/>
        </w:rPr>
        <w:t xml:space="preserve"> temps </w:t>
      </w:r>
      <w:r>
        <w:rPr>
          <w:lang w:val="fr-CA"/>
        </w:rPr>
        <w:t xml:space="preserve">et </w:t>
      </w:r>
      <w:r w:rsidR="0019509A">
        <w:rPr>
          <w:lang w:val="fr-CA"/>
        </w:rPr>
        <w:t>les coûts</w:t>
      </w:r>
      <w:r w:rsidR="00B91619">
        <w:rPr>
          <w:lang w:val="fr-CA"/>
        </w:rPr>
        <w:t xml:space="preserve"> </w:t>
      </w:r>
      <w:r w:rsidR="0019509A">
        <w:rPr>
          <w:lang w:val="fr-CA"/>
        </w:rPr>
        <w:t>nécessaires</w:t>
      </w:r>
      <w:r w:rsidR="00B91619">
        <w:rPr>
          <w:lang w:val="fr-CA"/>
        </w:rPr>
        <w:t xml:space="preserve"> pour remplir les formulaires;</w:t>
      </w:r>
    </w:p>
    <w:p w:rsidRPr="00FA558D" w:rsidR="00B91619" w:rsidP="00B91619" w:rsidRDefault="0019509A" w14:paraId="009E368D" w14:textId="719C88BA">
      <w:pPr>
        <w:pStyle w:val="ListParagraph"/>
        <w:numPr>
          <w:ilvl w:val="0"/>
          <w:numId w:val="2"/>
        </w:numPr>
        <w:tabs>
          <w:tab w:val="left" w:pos="9356"/>
        </w:tabs>
        <w:spacing w:after="0" w:line="240" w:lineRule="auto"/>
        <w:rPr>
          <w:lang w:val="fr-CA"/>
        </w:rPr>
      </w:pPr>
      <w:proofErr w:type="gramStart"/>
      <w:r>
        <w:rPr>
          <w:lang w:val="fr-CA"/>
        </w:rPr>
        <w:t>recours</w:t>
      </w:r>
      <w:proofErr w:type="gramEnd"/>
      <w:r>
        <w:rPr>
          <w:lang w:val="fr-CA"/>
        </w:rPr>
        <w:t xml:space="preserve"> à la c</w:t>
      </w:r>
      <w:r w:rsidR="00B91619">
        <w:rPr>
          <w:lang w:val="fr-CA"/>
        </w:rPr>
        <w:t>ollecte</w:t>
      </w:r>
      <w:r>
        <w:rPr>
          <w:lang w:val="fr-CA"/>
        </w:rPr>
        <w:t xml:space="preserve"> de données et aux rapports </w:t>
      </w:r>
      <w:r w:rsidR="00B91619">
        <w:rPr>
          <w:lang w:val="fr-CA"/>
        </w:rPr>
        <w:t>électronique</w:t>
      </w:r>
      <w:r>
        <w:rPr>
          <w:lang w:val="fr-CA"/>
        </w:rPr>
        <w:t>s</w:t>
      </w:r>
      <w:r w:rsidR="00B91619">
        <w:rPr>
          <w:lang w:val="fr-CA"/>
        </w:rPr>
        <w:t xml:space="preserve"> ou en ligne</w:t>
      </w:r>
      <w:r>
        <w:rPr>
          <w:lang w:val="fr-CA"/>
        </w:rPr>
        <w:t xml:space="preserve">, </w:t>
      </w:r>
      <w:r w:rsidR="00B91619">
        <w:rPr>
          <w:lang w:val="fr-CA"/>
        </w:rPr>
        <w:t>y compris la validation et la confirmation électroniques de réception des rapports</w:t>
      </w:r>
      <w:r>
        <w:rPr>
          <w:lang w:val="fr-CA"/>
        </w:rPr>
        <w:t>, s’il y a lieu</w:t>
      </w:r>
      <w:r w:rsidR="00B91619">
        <w:rPr>
          <w:lang w:val="fr-CA"/>
        </w:rPr>
        <w:t>;</w:t>
      </w:r>
    </w:p>
    <w:p w:rsidRPr="00FA558D" w:rsidR="00B91619" w:rsidP="00B91619" w:rsidRDefault="0019509A" w14:paraId="509F656F" w14:textId="634DD442">
      <w:pPr>
        <w:pStyle w:val="ListParagraph"/>
        <w:numPr>
          <w:ilvl w:val="0"/>
          <w:numId w:val="2"/>
        </w:numPr>
        <w:tabs>
          <w:tab w:val="left" w:pos="9356"/>
        </w:tabs>
        <w:spacing w:after="0" w:line="240" w:lineRule="auto"/>
        <w:rPr>
          <w:lang w:val="fr-CA"/>
        </w:rPr>
      </w:pPr>
      <w:proofErr w:type="gramStart"/>
      <w:r>
        <w:rPr>
          <w:lang w:val="fr-CA"/>
        </w:rPr>
        <w:t>dans</w:t>
      </w:r>
      <w:proofErr w:type="gramEnd"/>
      <w:r>
        <w:rPr>
          <w:lang w:val="fr-CA"/>
        </w:rPr>
        <w:t xml:space="preserve"> la mesure du possible, </w:t>
      </w:r>
      <w:r w:rsidR="00AB7A63">
        <w:rPr>
          <w:lang w:val="fr-CA"/>
        </w:rPr>
        <w:t>adoption</w:t>
      </w:r>
      <w:r w:rsidR="00B91619">
        <w:rPr>
          <w:lang w:val="fr-CA"/>
        </w:rPr>
        <w:t xml:space="preserve"> de méthodes </w:t>
      </w:r>
      <w:r>
        <w:rPr>
          <w:lang w:val="fr-CA"/>
        </w:rPr>
        <w:t xml:space="preserve">de production de rapports </w:t>
      </w:r>
      <w:r w:rsidR="00B91619">
        <w:rPr>
          <w:lang w:val="fr-CA"/>
        </w:rPr>
        <w:t>compatibles avec les processus d</w:t>
      </w:r>
      <w:r>
        <w:rPr>
          <w:lang w:val="fr-CA"/>
        </w:rPr>
        <w:t>es entreprises</w:t>
      </w:r>
      <w:r w:rsidR="00B91619">
        <w:rPr>
          <w:lang w:val="fr-CA"/>
        </w:rPr>
        <w:t xml:space="preserve"> ou les normes internationales</w:t>
      </w:r>
      <w:r w:rsidRPr="0019509A">
        <w:rPr>
          <w:lang w:val="fr-CA"/>
        </w:rPr>
        <w:t xml:space="preserve"> </w:t>
      </w:r>
      <w:r>
        <w:rPr>
          <w:lang w:val="fr-CA"/>
        </w:rPr>
        <w:t>généralement acceptés</w:t>
      </w:r>
      <w:r w:rsidR="00B91619">
        <w:rPr>
          <w:lang w:val="fr-CA"/>
        </w:rPr>
        <w:t>.</w:t>
      </w:r>
    </w:p>
    <w:p w:rsidR="00B91619" w:rsidP="00B91619" w:rsidRDefault="00B91619" w14:paraId="0E034598" w14:textId="77777777">
      <w:pPr>
        <w:tabs>
          <w:tab w:val="left" w:pos="9356"/>
        </w:tabs>
        <w:spacing w:after="0" w:line="240" w:lineRule="auto"/>
        <w:rPr>
          <w:lang w:val="fr-CA"/>
        </w:rPr>
      </w:pPr>
    </w:p>
    <w:p w:rsidRPr="001A0AF7" w:rsidR="001A0AF7" w:rsidP="001A0AF7" w:rsidRDefault="001A0AF7" w14:paraId="5FBC232B" w14:textId="48925D0E">
      <w:pPr>
        <w:tabs>
          <w:tab w:val="left" w:pos="9356"/>
        </w:tabs>
        <w:spacing w:after="0" w:line="240" w:lineRule="auto"/>
        <w:rPr>
          <w:lang w:val="fr-CA"/>
        </w:rPr>
      </w:pPr>
      <w:r w:rsidRPr="001A0AF7">
        <w:rPr>
          <w:lang w:val="fr-CA"/>
        </w:rPr>
        <w:t>Lorsqu</w:t>
      </w:r>
      <w:r w:rsidR="009647E5">
        <w:rPr>
          <w:lang w:val="fr-CA"/>
        </w:rPr>
        <w:t>’</w:t>
      </w:r>
      <w:r w:rsidRPr="001A0AF7">
        <w:rPr>
          <w:lang w:val="fr-CA"/>
        </w:rPr>
        <w:t xml:space="preserve">un règlement est censé </w:t>
      </w:r>
      <w:r>
        <w:rPr>
          <w:lang w:val="fr-CA"/>
        </w:rPr>
        <w:t>atténuer</w:t>
      </w:r>
      <w:r w:rsidRPr="001A0AF7">
        <w:rPr>
          <w:lang w:val="fr-CA"/>
        </w:rPr>
        <w:t xml:space="preserve"> les </w:t>
      </w:r>
      <w:r>
        <w:rPr>
          <w:lang w:val="fr-CA"/>
        </w:rPr>
        <w:t xml:space="preserve">répercussions </w:t>
      </w:r>
      <w:r w:rsidRPr="001A0AF7">
        <w:rPr>
          <w:lang w:val="fr-CA"/>
        </w:rPr>
        <w:t>administratives ou de conformité sur les petites entreprises, l</w:t>
      </w:r>
      <w:r w:rsidR="009647E5">
        <w:rPr>
          <w:lang w:val="fr-CA"/>
        </w:rPr>
        <w:t>’</w:t>
      </w:r>
      <w:r w:rsidRPr="001A0AF7">
        <w:rPr>
          <w:lang w:val="fr-CA"/>
        </w:rPr>
        <w:t xml:space="preserve">obligation de décrire la manière dont les </w:t>
      </w:r>
      <w:r>
        <w:rPr>
          <w:lang w:val="fr-CA"/>
        </w:rPr>
        <w:t>répercussions</w:t>
      </w:r>
      <w:r w:rsidRPr="001A0AF7">
        <w:rPr>
          <w:lang w:val="fr-CA"/>
        </w:rPr>
        <w:t xml:space="preserve"> seront atténuées est appliquée différemment de la manière dont elle le serait si le règlement était censé imposer de nouveaux coûts. Étant donné que le résultat est bénéfique pour les petites entreprises, il peut n</w:t>
      </w:r>
      <w:r w:rsidR="009647E5">
        <w:rPr>
          <w:lang w:val="fr-CA"/>
        </w:rPr>
        <w:t>’</w:t>
      </w:r>
      <w:r w:rsidRPr="001A0AF7">
        <w:rPr>
          <w:lang w:val="fr-CA"/>
        </w:rPr>
        <w:t>y avoir aucune raison d</w:t>
      </w:r>
      <w:r w:rsidR="009647E5">
        <w:rPr>
          <w:lang w:val="fr-CA"/>
        </w:rPr>
        <w:t>’</w:t>
      </w:r>
      <w:r w:rsidRPr="001A0AF7">
        <w:rPr>
          <w:lang w:val="fr-CA"/>
        </w:rPr>
        <w:t xml:space="preserve">atténuer les </w:t>
      </w:r>
      <w:r>
        <w:rPr>
          <w:lang w:val="fr-CA"/>
        </w:rPr>
        <w:t>répercussions</w:t>
      </w:r>
      <w:r w:rsidRPr="001A0AF7">
        <w:rPr>
          <w:lang w:val="fr-CA"/>
        </w:rPr>
        <w:t>.</w:t>
      </w:r>
      <w:r>
        <w:rPr>
          <w:lang w:val="fr-CA"/>
        </w:rPr>
        <w:t xml:space="preserve"> </w:t>
      </w:r>
      <w:r w:rsidRPr="001A0AF7">
        <w:rPr>
          <w:lang w:val="fr-CA"/>
        </w:rPr>
        <w:t>Dans ce cas, il suffit d</w:t>
      </w:r>
      <w:r w:rsidR="009647E5">
        <w:rPr>
          <w:lang w:val="fr-CA"/>
        </w:rPr>
        <w:t>’</w:t>
      </w:r>
      <w:r w:rsidRPr="001A0AF7">
        <w:rPr>
          <w:lang w:val="fr-CA"/>
        </w:rPr>
        <w:t xml:space="preserve">indiquer que les </w:t>
      </w:r>
      <w:r w:rsidR="00BD7958">
        <w:rPr>
          <w:lang w:val="fr-CA"/>
        </w:rPr>
        <w:t>répercussions</w:t>
      </w:r>
      <w:r w:rsidRPr="001A0AF7">
        <w:rPr>
          <w:lang w:val="fr-CA"/>
        </w:rPr>
        <w:t xml:space="preserve"> sont bénéfiques. </w:t>
      </w:r>
    </w:p>
    <w:p w:rsidRPr="001A0AF7" w:rsidR="001A0AF7" w:rsidP="001A0AF7" w:rsidRDefault="001A0AF7" w14:paraId="4F9E23A7" w14:textId="77777777">
      <w:pPr>
        <w:tabs>
          <w:tab w:val="left" w:pos="9356"/>
        </w:tabs>
        <w:spacing w:after="0" w:line="240" w:lineRule="auto"/>
        <w:rPr>
          <w:lang w:val="fr-CA"/>
        </w:rPr>
      </w:pPr>
    </w:p>
    <w:p w:rsidRPr="00FA558D" w:rsidR="001A0AF7" w:rsidP="001A0AF7" w:rsidRDefault="001A0AF7" w14:paraId="6F770E95" w14:textId="6CA716DC">
      <w:pPr>
        <w:tabs>
          <w:tab w:val="left" w:pos="9356"/>
        </w:tabs>
        <w:spacing w:after="0" w:line="240" w:lineRule="auto"/>
        <w:rPr>
          <w:lang w:val="fr-CA"/>
        </w:rPr>
      </w:pPr>
      <w:r w:rsidRPr="001A0AF7">
        <w:rPr>
          <w:lang w:val="fr-CA"/>
        </w:rPr>
        <w:t xml:space="preserve">Il arrive </w:t>
      </w:r>
      <w:r w:rsidR="00BD7958">
        <w:rPr>
          <w:lang w:val="fr-CA"/>
        </w:rPr>
        <w:t xml:space="preserve">parfois </w:t>
      </w:r>
      <w:r w:rsidRPr="001A0AF7">
        <w:rPr>
          <w:lang w:val="fr-CA"/>
        </w:rPr>
        <w:t>qu</w:t>
      </w:r>
      <w:r w:rsidR="009647E5">
        <w:rPr>
          <w:lang w:val="fr-CA"/>
        </w:rPr>
        <w:t>’</w:t>
      </w:r>
      <w:r w:rsidRPr="001A0AF7">
        <w:rPr>
          <w:lang w:val="fr-CA"/>
        </w:rPr>
        <w:t>un nouve</w:t>
      </w:r>
      <w:r w:rsidR="00BD7958">
        <w:rPr>
          <w:lang w:val="fr-CA"/>
        </w:rPr>
        <w:t>au</w:t>
      </w:r>
      <w:r w:rsidRPr="001A0AF7">
        <w:rPr>
          <w:lang w:val="fr-CA"/>
        </w:rPr>
        <w:t xml:space="preserve"> </w:t>
      </w:r>
      <w:r w:rsidR="00BD7958">
        <w:rPr>
          <w:lang w:val="fr-CA"/>
        </w:rPr>
        <w:t>règlement</w:t>
      </w:r>
      <w:r w:rsidRPr="001A0AF7">
        <w:rPr>
          <w:lang w:val="fr-CA"/>
        </w:rPr>
        <w:t xml:space="preserve"> entraîne une légère réduction nette des coûts pour les petites entreprises, mais une réduction encore plus importante des coûts pour les grandes entreprises. Cette situation peut soulever des problèmes de compétitivité pour les petites entreprises. Dans ce cas, il convient de décrire ce</w:t>
      </w:r>
      <w:r w:rsidR="00BD7958">
        <w:rPr>
          <w:lang w:val="fr-CA"/>
        </w:rPr>
        <w:t>s répercussions</w:t>
      </w:r>
      <w:r w:rsidRPr="001A0AF7">
        <w:rPr>
          <w:lang w:val="fr-CA"/>
        </w:rPr>
        <w:t>, ainsi que toute mesure susceptible de l</w:t>
      </w:r>
      <w:r w:rsidR="009647E5">
        <w:rPr>
          <w:lang w:val="fr-CA"/>
        </w:rPr>
        <w:t>’</w:t>
      </w:r>
      <w:r w:rsidRPr="001A0AF7">
        <w:rPr>
          <w:lang w:val="fr-CA"/>
        </w:rPr>
        <w:t>atténuer.</w:t>
      </w:r>
    </w:p>
    <w:p w:rsidRPr="00FA558D" w:rsidR="00B91619" w:rsidP="00B91619" w:rsidRDefault="00B91619" w14:paraId="2E91973C" w14:textId="7515BCCC">
      <w:pPr>
        <w:pStyle w:val="Heading3"/>
        <w:numPr>
          <w:ilvl w:val="2"/>
          <w:numId w:val="27"/>
        </w:numPr>
        <w:ind w:left="720" w:hanging="720"/>
        <w:rPr>
          <w:lang w:val="fr-CA"/>
        </w:rPr>
      </w:pPr>
      <w:bookmarkStart w:name="_Toc151373928" w:id="38"/>
      <w:r>
        <w:rPr>
          <w:lang w:val="fr-CA"/>
        </w:rPr>
        <w:t>Exigences plus souples pour les petites entreprises</w:t>
      </w:r>
      <w:r w:rsidRPr="00FA558D">
        <w:rPr>
          <w:lang w:val="fr-CA"/>
        </w:rPr>
        <w:t xml:space="preserve"> (</w:t>
      </w:r>
      <w:r w:rsidR="00235773">
        <w:rPr>
          <w:lang w:val="fr-CA"/>
        </w:rPr>
        <w:t>paragraphe</w:t>
      </w:r>
      <w:r w:rsidRPr="00FA558D">
        <w:rPr>
          <w:lang w:val="fr-CA"/>
        </w:rPr>
        <w:t> 8.2.5)</w:t>
      </w:r>
      <w:bookmarkEnd w:id="38"/>
    </w:p>
    <w:p w:rsidRPr="00FA558D" w:rsidR="00B91619" w:rsidP="00B91619" w:rsidRDefault="00B91619" w14:paraId="2263A96C" w14:textId="77777777">
      <w:pPr>
        <w:tabs>
          <w:tab w:val="left" w:pos="9356"/>
        </w:tabs>
        <w:spacing w:after="0" w:line="240" w:lineRule="auto"/>
        <w:rPr>
          <w:lang w:val="fr-CA"/>
        </w:rPr>
      </w:pPr>
    </w:p>
    <w:p w:rsidRPr="00FA558D" w:rsidR="00B91619" w:rsidP="00B91619" w:rsidRDefault="00B91619" w14:paraId="646758CB" w14:textId="04D078AB">
      <w:pPr>
        <w:tabs>
          <w:tab w:val="left" w:pos="9356"/>
        </w:tabs>
        <w:spacing w:after="0" w:line="240" w:lineRule="auto"/>
        <w:rPr>
          <w:lang w:val="fr-CA"/>
        </w:rPr>
      </w:pPr>
      <w:r>
        <w:rPr>
          <w:lang w:val="fr-CA"/>
        </w:rPr>
        <w:t>En plus de</w:t>
      </w:r>
      <w:r w:rsidRPr="00FA558D">
        <w:rPr>
          <w:lang w:val="fr-CA"/>
        </w:rPr>
        <w:t xml:space="preserve"> </w:t>
      </w:r>
      <w:r>
        <w:rPr>
          <w:lang w:val="fr-CA"/>
        </w:rPr>
        <w:t>formuler le règlement</w:t>
      </w:r>
      <w:r w:rsidRPr="00FA558D">
        <w:rPr>
          <w:lang w:val="fr-CA"/>
        </w:rPr>
        <w:t xml:space="preserve"> </w:t>
      </w:r>
      <w:r>
        <w:rPr>
          <w:lang w:val="fr-CA"/>
        </w:rPr>
        <w:t>afin qu’il soit adapté aux besoins des</w:t>
      </w:r>
      <w:r w:rsidRPr="00FA558D">
        <w:rPr>
          <w:lang w:val="fr-CA"/>
        </w:rPr>
        <w:t xml:space="preserve"> </w:t>
      </w:r>
      <w:r>
        <w:rPr>
          <w:lang w:val="fr-CA"/>
        </w:rPr>
        <w:t>petites entreprises, les organismes de réglementation</w:t>
      </w:r>
      <w:r w:rsidRPr="00FA558D">
        <w:rPr>
          <w:lang w:val="fr-CA"/>
        </w:rPr>
        <w:t xml:space="preserve"> </w:t>
      </w:r>
      <w:r>
        <w:rPr>
          <w:lang w:val="fr-CA"/>
        </w:rPr>
        <w:t>peuvent aussi proposer d</w:t>
      </w:r>
      <w:r w:rsidR="00235773">
        <w:rPr>
          <w:lang w:val="fr-CA"/>
        </w:rPr>
        <w:t>’autres</w:t>
      </w:r>
      <w:r>
        <w:rPr>
          <w:lang w:val="fr-CA"/>
        </w:rPr>
        <w:t xml:space="preserve"> exigences </w:t>
      </w:r>
      <w:r w:rsidR="00235773">
        <w:rPr>
          <w:lang w:val="fr-CA"/>
        </w:rPr>
        <w:t>administratives ou de</w:t>
      </w:r>
      <w:r>
        <w:rPr>
          <w:lang w:val="fr-CA"/>
        </w:rPr>
        <w:t xml:space="preserve"> </w:t>
      </w:r>
      <w:r w:rsidRPr="00FA558D">
        <w:rPr>
          <w:lang w:val="fr-CA"/>
        </w:rPr>
        <w:t>co</w:t>
      </w:r>
      <w:r>
        <w:rPr>
          <w:lang w:val="fr-CA"/>
        </w:rPr>
        <w:t xml:space="preserve">nformité pour </w:t>
      </w:r>
      <w:r w:rsidR="00235773">
        <w:rPr>
          <w:lang w:val="fr-CA"/>
        </w:rPr>
        <w:t xml:space="preserve">offrir une </w:t>
      </w:r>
      <w:r>
        <w:rPr>
          <w:lang w:val="fr-CA"/>
        </w:rPr>
        <w:t xml:space="preserve">plus </w:t>
      </w:r>
      <w:r w:rsidR="00235773">
        <w:rPr>
          <w:lang w:val="fr-CA"/>
        </w:rPr>
        <w:t>grande</w:t>
      </w:r>
      <w:r>
        <w:rPr>
          <w:lang w:val="fr-CA"/>
        </w:rPr>
        <w:t xml:space="preserve"> souplesse</w:t>
      </w:r>
      <w:r w:rsidRPr="00FA558D">
        <w:rPr>
          <w:lang w:val="fr-CA"/>
        </w:rPr>
        <w:t xml:space="preserve"> </w:t>
      </w:r>
      <w:r>
        <w:rPr>
          <w:lang w:val="fr-CA"/>
        </w:rPr>
        <w:t>aux</w:t>
      </w:r>
      <w:r w:rsidRPr="00FA558D">
        <w:rPr>
          <w:lang w:val="fr-CA"/>
        </w:rPr>
        <w:t xml:space="preserve"> </w:t>
      </w:r>
      <w:r>
        <w:rPr>
          <w:lang w:val="fr-CA"/>
        </w:rPr>
        <w:t>petites entreprises</w:t>
      </w:r>
      <w:r w:rsidRPr="00FA558D">
        <w:rPr>
          <w:lang w:val="fr-CA"/>
        </w:rPr>
        <w:t xml:space="preserve">. </w:t>
      </w:r>
      <w:r w:rsidR="00AB7A63">
        <w:rPr>
          <w:lang w:val="fr-CA"/>
        </w:rPr>
        <w:t>Ces exigences plus souples</w:t>
      </w:r>
      <w:r>
        <w:rPr>
          <w:lang w:val="fr-CA"/>
        </w:rPr>
        <w:t xml:space="preserve"> ne doi</w:t>
      </w:r>
      <w:r w:rsidR="00AB7A63">
        <w:rPr>
          <w:lang w:val="fr-CA"/>
        </w:rPr>
        <w:t>ven</w:t>
      </w:r>
      <w:r>
        <w:rPr>
          <w:lang w:val="fr-CA"/>
        </w:rPr>
        <w:t>t pas nécessairement se limiter aux petites entreprises, et peu</w:t>
      </w:r>
      <w:r w:rsidR="00AB7A63">
        <w:rPr>
          <w:lang w:val="fr-CA"/>
        </w:rPr>
        <w:t>ven</w:t>
      </w:r>
      <w:r>
        <w:rPr>
          <w:lang w:val="fr-CA"/>
        </w:rPr>
        <w:t>t aussi être</w:t>
      </w:r>
      <w:r w:rsidRPr="00FA558D">
        <w:rPr>
          <w:lang w:val="fr-CA"/>
        </w:rPr>
        <w:t xml:space="preserve"> pro</w:t>
      </w:r>
      <w:r>
        <w:rPr>
          <w:lang w:val="fr-CA"/>
        </w:rPr>
        <w:t>posée</w:t>
      </w:r>
      <w:r w:rsidR="00AB7A63">
        <w:rPr>
          <w:lang w:val="fr-CA"/>
        </w:rPr>
        <w:t>s</w:t>
      </w:r>
      <w:r>
        <w:rPr>
          <w:lang w:val="fr-CA"/>
        </w:rPr>
        <w:t xml:space="preserve"> aux </w:t>
      </w:r>
      <w:r>
        <w:rPr>
          <w:lang w:val="fr-CA"/>
        </w:rPr>
        <w:t>entreprises de toute</w:t>
      </w:r>
      <w:r w:rsidR="00235773">
        <w:rPr>
          <w:lang w:val="fr-CA"/>
        </w:rPr>
        <w:t xml:space="preserve"> taille</w:t>
      </w:r>
      <w:r w:rsidRPr="00FA558D">
        <w:rPr>
          <w:lang w:val="fr-CA"/>
        </w:rPr>
        <w:t xml:space="preserve">. </w:t>
      </w:r>
      <w:r>
        <w:rPr>
          <w:lang w:val="fr-CA"/>
        </w:rPr>
        <w:t xml:space="preserve">Les </w:t>
      </w:r>
      <w:r w:rsidRPr="00FA558D">
        <w:rPr>
          <w:lang w:val="fr-CA"/>
        </w:rPr>
        <w:t xml:space="preserve">options </w:t>
      </w:r>
      <w:r>
        <w:rPr>
          <w:lang w:val="fr-CA"/>
        </w:rPr>
        <w:t>devraient être</w:t>
      </w:r>
      <w:r w:rsidRPr="00FA558D">
        <w:rPr>
          <w:lang w:val="fr-CA"/>
        </w:rPr>
        <w:t xml:space="preserve"> d</w:t>
      </w:r>
      <w:r>
        <w:rPr>
          <w:lang w:val="fr-CA"/>
        </w:rPr>
        <w:t xml:space="preserve">écrites en détail dans la section du REIR portant sur la </w:t>
      </w:r>
      <w:r w:rsidR="00235773">
        <w:rPr>
          <w:lang w:val="fr-CA"/>
        </w:rPr>
        <w:t>L</w:t>
      </w:r>
      <w:r w:rsidR="00827BD1">
        <w:rPr>
          <w:lang w:val="fr-CA"/>
        </w:rPr>
        <w:t>entille</w:t>
      </w:r>
      <w:r>
        <w:rPr>
          <w:lang w:val="fr-CA"/>
        </w:rPr>
        <w:t xml:space="preserve"> des petites entreprises</w:t>
      </w:r>
      <w:r w:rsidRPr="00FA558D">
        <w:rPr>
          <w:lang w:val="fr-CA"/>
        </w:rPr>
        <w:t xml:space="preserve">. </w:t>
      </w:r>
    </w:p>
    <w:p w:rsidRPr="00FA558D" w:rsidR="00B91619" w:rsidP="00B91619" w:rsidRDefault="00B91619" w14:paraId="6BC6454D" w14:textId="77777777">
      <w:pPr>
        <w:tabs>
          <w:tab w:val="left" w:pos="9356"/>
        </w:tabs>
        <w:spacing w:after="0" w:line="240" w:lineRule="auto"/>
        <w:rPr>
          <w:lang w:val="fr-CA"/>
        </w:rPr>
      </w:pPr>
    </w:p>
    <w:p w:rsidR="00B91619" w:rsidP="00B91619" w:rsidRDefault="00235773" w14:paraId="305D87D8" w14:textId="4893524F">
      <w:pPr>
        <w:tabs>
          <w:tab w:val="left" w:pos="9356"/>
        </w:tabs>
        <w:spacing w:after="0" w:line="240" w:lineRule="auto"/>
        <w:rPr>
          <w:lang w:val="fr-CA"/>
        </w:rPr>
      </w:pPr>
      <w:r>
        <w:rPr>
          <w:lang w:val="fr-CA"/>
        </w:rPr>
        <w:t>D</w:t>
      </w:r>
      <w:r w:rsidR="00B91619">
        <w:rPr>
          <w:lang w:val="fr-CA"/>
        </w:rPr>
        <w:t xml:space="preserve">ans certaines </w:t>
      </w:r>
      <w:r w:rsidRPr="00FA558D" w:rsidR="00B91619">
        <w:rPr>
          <w:lang w:val="fr-CA"/>
        </w:rPr>
        <w:t>situations</w:t>
      </w:r>
      <w:r w:rsidR="00B91619">
        <w:rPr>
          <w:lang w:val="fr-CA"/>
        </w:rPr>
        <w:t xml:space="preserve">, </w:t>
      </w:r>
      <w:r w:rsidR="00833A15">
        <w:rPr>
          <w:lang w:val="fr-CA"/>
        </w:rPr>
        <w:t xml:space="preserve">offrir </w:t>
      </w:r>
      <w:r w:rsidR="00B91619">
        <w:rPr>
          <w:lang w:val="fr-CA"/>
        </w:rPr>
        <w:t xml:space="preserve">une telle souplesse n’est pas recommandé ou </w:t>
      </w:r>
      <w:r w:rsidR="00833A15">
        <w:rPr>
          <w:lang w:val="fr-CA"/>
        </w:rPr>
        <w:t xml:space="preserve">n’est pas </w:t>
      </w:r>
      <w:r w:rsidR="00B91619">
        <w:rPr>
          <w:lang w:val="fr-CA"/>
        </w:rPr>
        <w:t xml:space="preserve">possible, par exemple lorsque la loi habilitante </w:t>
      </w:r>
      <w:r w:rsidR="00833A15">
        <w:rPr>
          <w:lang w:val="fr-CA"/>
        </w:rPr>
        <w:t>prévoit</w:t>
      </w:r>
      <w:r w:rsidR="00B91619">
        <w:rPr>
          <w:lang w:val="fr-CA"/>
        </w:rPr>
        <w:t xml:space="preserve"> un pouvoir de réglementation étroit ou prescriptif. Dans une telle situation, il revient aux organismes de réglementation d</w:t>
      </w:r>
      <w:r w:rsidR="00AD644C">
        <w:rPr>
          <w:lang w:val="fr-CA"/>
        </w:rPr>
        <w:t>e fournir les</w:t>
      </w:r>
      <w:r w:rsidR="000634C4">
        <w:rPr>
          <w:lang w:val="fr-CA"/>
        </w:rPr>
        <w:t xml:space="preserve"> raisons</w:t>
      </w:r>
      <w:r w:rsidR="00B91619">
        <w:rPr>
          <w:lang w:val="fr-CA"/>
        </w:rPr>
        <w:t xml:space="preserve"> dans la section du REIR portant sur la </w:t>
      </w:r>
      <w:r w:rsidR="000634C4">
        <w:rPr>
          <w:lang w:val="fr-CA"/>
        </w:rPr>
        <w:t>L</w:t>
      </w:r>
      <w:r w:rsidR="00827BD1">
        <w:rPr>
          <w:lang w:val="fr-CA"/>
        </w:rPr>
        <w:t>entille</w:t>
      </w:r>
      <w:r w:rsidR="00B91619">
        <w:rPr>
          <w:lang w:val="fr-CA"/>
        </w:rPr>
        <w:t xml:space="preserve"> des petites entreprises</w:t>
      </w:r>
      <w:r w:rsidRPr="00FA558D" w:rsidR="00B91619">
        <w:rPr>
          <w:lang w:val="fr-CA"/>
        </w:rPr>
        <w:t>.</w:t>
      </w:r>
    </w:p>
    <w:p w:rsidR="00476EB8" w:rsidP="00B91619" w:rsidRDefault="00476EB8" w14:paraId="5E223EF1" w14:textId="77777777">
      <w:pPr>
        <w:tabs>
          <w:tab w:val="left" w:pos="9356"/>
        </w:tabs>
        <w:spacing w:after="0" w:line="240" w:lineRule="auto"/>
        <w:rPr>
          <w:lang w:val="fr-CA"/>
        </w:rPr>
      </w:pPr>
    </w:p>
    <w:p w:rsidRPr="00FA558D" w:rsidR="00476EB8" w:rsidP="00B91619" w:rsidRDefault="00476EB8" w14:paraId="62EE53DE" w14:textId="5CA198B8">
      <w:pPr>
        <w:tabs>
          <w:tab w:val="left" w:pos="9356"/>
        </w:tabs>
        <w:spacing w:after="0" w:line="240" w:lineRule="auto"/>
        <w:rPr>
          <w:lang w:val="fr-CA"/>
        </w:rPr>
      </w:pPr>
      <w:r w:rsidRPr="00476EB8">
        <w:rPr>
          <w:lang w:val="fr-CA"/>
        </w:rPr>
        <w:t xml:space="preserve">Dans les cas où le règlement est censé réduire les </w:t>
      </w:r>
      <w:r>
        <w:rPr>
          <w:lang w:val="fr-CA"/>
        </w:rPr>
        <w:t>répercussions</w:t>
      </w:r>
      <w:r w:rsidRPr="00476EB8">
        <w:rPr>
          <w:lang w:val="fr-CA"/>
        </w:rPr>
        <w:t xml:space="preserve"> administratives ou de conformité </w:t>
      </w:r>
      <w:r>
        <w:rPr>
          <w:lang w:val="fr-CA"/>
        </w:rPr>
        <w:t>sur</w:t>
      </w:r>
      <w:r w:rsidRPr="00476EB8">
        <w:rPr>
          <w:lang w:val="fr-CA"/>
        </w:rPr>
        <w:t xml:space="preserve"> les petites entreprises, </w:t>
      </w:r>
      <w:r>
        <w:rPr>
          <w:lang w:val="fr-CA"/>
        </w:rPr>
        <w:t>l’</w:t>
      </w:r>
      <w:r w:rsidRPr="00476EB8">
        <w:rPr>
          <w:lang w:val="fr-CA"/>
        </w:rPr>
        <w:t xml:space="preserve">obligation de décrire comment les </w:t>
      </w:r>
      <w:r>
        <w:rPr>
          <w:lang w:val="fr-CA"/>
        </w:rPr>
        <w:t>répercussions</w:t>
      </w:r>
      <w:r w:rsidRPr="00476EB8">
        <w:rPr>
          <w:lang w:val="fr-CA"/>
        </w:rPr>
        <w:t xml:space="preserve"> seront atténuées est souvent appliquée différemment de la manière dont elle le serait si le règlement était censé imposer de nouveaux coûts.</w:t>
      </w:r>
      <w:r>
        <w:rPr>
          <w:lang w:val="fr-CA"/>
        </w:rPr>
        <w:t xml:space="preserve"> </w:t>
      </w:r>
      <w:r w:rsidRPr="00476EB8">
        <w:rPr>
          <w:lang w:val="fr-CA"/>
        </w:rPr>
        <w:t>Étant donné que le résultat est bénéfique pour les petites entreprises, il n</w:t>
      </w:r>
      <w:r w:rsidR="009647E5">
        <w:rPr>
          <w:lang w:val="fr-CA"/>
        </w:rPr>
        <w:t>’</w:t>
      </w:r>
      <w:r w:rsidRPr="00476EB8">
        <w:rPr>
          <w:lang w:val="fr-CA"/>
        </w:rPr>
        <w:t>y a peut-être pas de raison ou d</w:t>
      </w:r>
      <w:r w:rsidR="009647E5">
        <w:rPr>
          <w:lang w:val="fr-CA"/>
        </w:rPr>
        <w:t>’</w:t>
      </w:r>
      <w:r w:rsidRPr="00476EB8">
        <w:rPr>
          <w:lang w:val="fr-CA"/>
        </w:rPr>
        <w:t>occasion d</w:t>
      </w:r>
      <w:r w:rsidR="009647E5">
        <w:rPr>
          <w:lang w:val="fr-CA"/>
        </w:rPr>
        <w:t>’</w:t>
      </w:r>
      <w:r w:rsidRPr="00476EB8">
        <w:rPr>
          <w:lang w:val="fr-CA"/>
        </w:rPr>
        <w:t>offrir une</w:t>
      </w:r>
      <w:r w:rsidR="007F3E8A">
        <w:rPr>
          <w:lang w:val="fr-CA"/>
        </w:rPr>
        <w:t xml:space="preserve"> plus grande souplesse</w:t>
      </w:r>
      <w:r w:rsidRPr="00476EB8">
        <w:rPr>
          <w:lang w:val="fr-CA"/>
        </w:rPr>
        <w:t xml:space="preserve"> aux parties </w:t>
      </w:r>
      <w:r w:rsidR="00AD644C">
        <w:rPr>
          <w:lang w:val="fr-CA"/>
        </w:rPr>
        <w:t>touchées</w:t>
      </w:r>
      <w:r w:rsidRPr="00476EB8">
        <w:rPr>
          <w:lang w:val="fr-CA"/>
        </w:rPr>
        <w:t>.</w:t>
      </w:r>
      <w:r w:rsidR="007F3E8A">
        <w:rPr>
          <w:lang w:val="fr-CA"/>
        </w:rPr>
        <w:t xml:space="preserve"> </w:t>
      </w:r>
      <w:r w:rsidRPr="00476EB8">
        <w:rPr>
          <w:lang w:val="fr-CA"/>
        </w:rPr>
        <w:t>Dans ces situations, il n</w:t>
      </w:r>
      <w:r w:rsidR="009647E5">
        <w:rPr>
          <w:lang w:val="fr-CA"/>
        </w:rPr>
        <w:t>’</w:t>
      </w:r>
      <w:r w:rsidRPr="00476EB8">
        <w:rPr>
          <w:lang w:val="fr-CA"/>
        </w:rPr>
        <w:t xml:space="preserve">est pas nécessaire de faire référence à une </w:t>
      </w:r>
      <w:r w:rsidR="00AD644C">
        <w:rPr>
          <w:lang w:val="fr-CA"/>
        </w:rPr>
        <w:t xml:space="preserve">plus grande </w:t>
      </w:r>
      <w:r w:rsidR="007F3E8A">
        <w:rPr>
          <w:lang w:val="fr-CA"/>
        </w:rPr>
        <w:t>souplesse</w:t>
      </w:r>
      <w:r w:rsidRPr="00476EB8">
        <w:rPr>
          <w:lang w:val="fr-CA"/>
        </w:rPr>
        <w:t>, à moins qu</w:t>
      </w:r>
      <w:r w:rsidR="009647E5">
        <w:rPr>
          <w:lang w:val="fr-CA"/>
        </w:rPr>
        <w:t>’</w:t>
      </w:r>
      <w:r w:rsidRPr="00476EB8">
        <w:rPr>
          <w:lang w:val="fr-CA"/>
        </w:rPr>
        <w:t>il n</w:t>
      </w:r>
      <w:r w:rsidR="009647E5">
        <w:rPr>
          <w:lang w:val="fr-CA"/>
        </w:rPr>
        <w:t>’</w:t>
      </w:r>
      <w:r w:rsidRPr="00476EB8">
        <w:rPr>
          <w:lang w:val="fr-CA"/>
        </w:rPr>
        <w:t xml:space="preserve">existe différentes options </w:t>
      </w:r>
      <w:r w:rsidR="00AD644C">
        <w:rPr>
          <w:lang w:val="fr-CA"/>
        </w:rPr>
        <w:t xml:space="preserve">auxquelles </w:t>
      </w:r>
      <w:r w:rsidRPr="00476EB8">
        <w:rPr>
          <w:lang w:val="fr-CA"/>
        </w:rPr>
        <w:t xml:space="preserve">une petite entreprise pourrait avoir </w:t>
      </w:r>
      <w:r w:rsidR="00AD644C">
        <w:rPr>
          <w:lang w:val="fr-CA"/>
        </w:rPr>
        <w:t xml:space="preserve">accès </w:t>
      </w:r>
      <w:r w:rsidRPr="00476EB8">
        <w:rPr>
          <w:lang w:val="fr-CA"/>
        </w:rPr>
        <w:t xml:space="preserve">pour réaliser les avantages </w:t>
      </w:r>
      <w:r w:rsidR="007F3E8A">
        <w:rPr>
          <w:lang w:val="fr-CA"/>
        </w:rPr>
        <w:t>prévus</w:t>
      </w:r>
      <w:r w:rsidRPr="00476EB8">
        <w:rPr>
          <w:lang w:val="fr-CA"/>
        </w:rPr>
        <w:t>.</w:t>
      </w:r>
    </w:p>
    <w:p w:rsidRPr="00FA558D" w:rsidR="00B91619" w:rsidP="00B91619" w:rsidRDefault="00B91619" w14:paraId="0F314077" w14:textId="77777777">
      <w:pPr>
        <w:tabs>
          <w:tab w:val="left" w:pos="9356"/>
        </w:tabs>
        <w:spacing w:after="0" w:line="240" w:lineRule="auto"/>
        <w:rPr>
          <w:lang w:val="fr-CA"/>
        </w:rPr>
      </w:pPr>
    </w:p>
    <w:p w:rsidRPr="00FA558D" w:rsidR="00B91619" w:rsidP="00B91619" w:rsidRDefault="00B91619" w14:paraId="6F82C448" w14:textId="14715807">
      <w:pPr>
        <w:pStyle w:val="Heading3"/>
        <w:numPr>
          <w:ilvl w:val="2"/>
          <w:numId w:val="27"/>
        </w:numPr>
        <w:ind w:left="720" w:hanging="720"/>
        <w:rPr>
          <w:lang w:val="fr-CA"/>
        </w:rPr>
      </w:pPr>
      <w:bookmarkStart w:name="_Toc151373929" w:id="39"/>
      <w:r>
        <w:rPr>
          <w:lang w:val="fr-CA"/>
        </w:rPr>
        <w:t>Calcul des coûts administratifs et de conformité</w:t>
      </w:r>
      <w:r w:rsidRPr="00FA558D">
        <w:rPr>
          <w:lang w:val="fr-CA"/>
        </w:rPr>
        <w:t xml:space="preserve"> (</w:t>
      </w:r>
      <w:r w:rsidR="000A1DAA">
        <w:rPr>
          <w:lang w:val="fr-CA"/>
        </w:rPr>
        <w:t>paragraphe</w:t>
      </w:r>
      <w:r w:rsidRPr="00FA558D">
        <w:rPr>
          <w:lang w:val="fr-CA"/>
        </w:rPr>
        <w:t> 8.2.6)</w:t>
      </w:r>
      <w:bookmarkEnd w:id="39"/>
    </w:p>
    <w:p w:rsidRPr="00FA558D" w:rsidR="00B91619" w:rsidP="00B91619" w:rsidRDefault="00B91619" w14:paraId="06B1010F" w14:textId="77777777">
      <w:pPr>
        <w:tabs>
          <w:tab w:val="left" w:pos="9356"/>
        </w:tabs>
        <w:spacing w:after="0" w:line="240" w:lineRule="auto"/>
        <w:rPr>
          <w:lang w:val="fr-CA"/>
        </w:rPr>
      </w:pPr>
    </w:p>
    <w:p w:rsidRPr="00FA558D" w:rsidR="00B91619" w:rsidP="00B91619" w:rsidRDefault="00B91619" w14:paraId="4F825C83" w14:textId="75E384AD">
      <w:pPr>
        <w:tabs>
          <w:tab w:val="left" w:pos="9356"/>
        </w:tabs>
        <w:spacing w:after="0" w:line="240" w:lineRule="auto"/>
        <w:rPr>
          <w:lang w:val="fr-CA"/>
        </w:rPr>
      </w:pPr>
      <w:r>
        <w:rPr>
          <w:lang w:val="fr-CA"/>
        </w:rPr>
        <w:t>Les coûts administratifs et de conformité</w:t>
      </w:r>
      <w:r w:rsidRPr="00FA558D">
        <w:rPr>
          <w:lang w:val="fr-CA"/>
        </w:rPr>
        <w:t xml:space="preserve"> </w:t>
      </w:r>
      <w:r>
        <w:rPr>
          <w:lang w:val="fr-CA"/>
        </w:rPr>
        <w:t>pour les</w:t>
      </w:r>
      <w:r w:rsidRPr="00FA558D">
        <w:rPr>
          <w:lang w:val="fr-CA"/>
        </w:rPr>
        <w:t xml:space="preserve"> </w:t>
      </w:r>
      <w:r>
        <w:rPr>
          <w:lang w:val="fr-CA"/>
        </w:rPr>
        <w:t>petites entreprises</w:t>
      </w:r>
      <w:r w:rsidRPr="00FA558D">
        <w:rPr>
          <w:lang w:val="fr-CA"/>
        </w:rPr>
        <w:t xml:space="preserve"> </w:t>
      </w:r>
      <w:r>
        <w:rPr>
          <w:lang w:val="fr-CA"/>
        </w:rPr>
        <w:t>doivent être calculés pour les</w:t>
      </w:r>
      <w:r w:rsidRPr="00FA558D">
        <w:rPr>
          <w:lang w:val="fr-CA"/>
        </w:rPr>
        <w:t xml:space="preserve"> </w:t>
      </w:r>
      <w:r>
        <w:rPr>
          <w:lang w:val="fr-CA"/>
        </w:rPr>
        <w:t>projet</w:t>
      </w:r>
      <w:r w:rsidRPr="00FA558D">
        <w:rPr>
          <w:lang w:val="fr-CA"/>
        </w:rPr>
        <w:t>s</w:t>
      </w:r>
      <w:r>
        <w:rPr>
          <w:lang w:val="fr-CA"/>
        </w:rPr>
        <w:t xml:space="preserve"> </w:t>
      </w:r>
      <w:r w:rsidR="00F90218">
        <w:rPr>
          <w:lang w:val="fr-CA"/>
        </w:rPr>
        <w:t xml:space="preserve">de règlement </w:t>
      </w:r>
      <w:r w:rsidR="00A9277E">
        <w:rPr>
          <w:lang w:val="fr-CA"/>
        </w:rPr>
        <w:t xml:space="preserve">qui </w:t>
      </w:r>
      <w:r w:rsidR="009F1CAB">
        <w:rPr>
          <w:lang w:val="fr-CA"/>
        </w:rPr>
        <w:t>entraînent des</w:t>
      </w:r>
      <w:r>
        <w:rPr>
          <w:lang w:val="fr-CA"/>
        </w:rPr>
        <w:t xml:space="preserve"> coût</w:t>
      </w:r>
      <w:r w:rsidR="009F1CAB">
        <w:rPr>
          <w:lang w:val="fr-CA"/>
        </w:rPr>
        <w:t>s</w:t>
      </w:r>
      <w:r>
        <w:rPr>
          <w:lang w:val="fr-CA"/>
        </w:rPr>
        <w:t xml:space="preserve"> </w:t>
      </w:r>
      <w:r w:rsidR="000A1DAA">
        <w:rPr>
          <w:lang w:val="fr-CA"/>
        </w:rPr>
        <w:t>considérables</w:t>
      </w:r>
      <w:r w:rsidRPr="00FA558D">
        <w:rPr>
          <w:lang w:val="fr-CA"/>
        </w:rPr>
        <w:t xml:space="preserve">. </w:t>
      </w:r>
      <w:r>
        <w:rPr>
          <w:lang w:val="fr-CA"/>
        </w:rPr>
        <w:t xml:space="preserve">Dans la pratique, cette </w:t>
      </w:r>
      <w:r w:rsidRPr="00FA558D">
        <w:rPr>
          <w:lang w:val="fr-CA"/>
        </w:rPr>
        <w:t xml:space="preserve">information </w:t>
      </w:r>
      <w:r>
        <w:rPr>
          <w:lang w:val="fr-CA"/>
        </w:rPr>
        <w:t>serait</w:t>
      </w:r>
      <w:r w:rsidRPr="00FA558D">
        <w:rPr>
          <w:lang w:val="fr-CA"/>
        </w:rPr>
        <w:t xml:space="preserve"> </w:t>
      </w:r>
      <w:r>
        <w:rPr>
          <w:lang w:val="fr-CA"/>
        </w:rPr>
        <w:t>é</w:t>
      </w:r>
      <w:r w:rsidR="00A9277E">
        <w:rPr>
          <w:lang w:val="fr-CA"/>
        </w:rPr>
        <w:t>tayée</w:t>
      </w:r>
      <w:r>
        <w:rPr>
          <w:lang w:val="fr-CA"/>
        </w:rPr>
        <w:t xml:space="preserve"> dans le cadre de l’analyse coût</w:t>
      </w:r>
      <w:r w:rsidR="00AB7A63">
        <w:rPr>
          <w:lang w:val="fr-CA"/>
        </w:rPr>
        <w:t>s</w:t>
      </w:r>
      <w:r w:rsidR="00AB7A63">
        <w:rPr>
          <w:lang w:val="fr-CA"/>
        </w:rPr>
        <w:noBreakHyphen/>
        <w:t>avantages</w:t>
      </w:r>
      <w:r w:rsidRPr="00FA558D">
        <w:rPr>
          <w:lang w:val="fr-CA"/>
        </w:rPr>
        <w:t xml:space="preserve"> </w:t>
      </w:r>
      <w:r>
        <w:rPr>
          <w:lang w:val="fr-CA"/>
        </w:rPr>
        <w:t>du projet</w:t>
      </w:r>
      <w:r w:rsidR="00F90218">
        <w:rPr>
          <w:lang w:val="fr-CA"/>
        </w:rPr>
        <w:t xml:space="preserve"> de règlement</w:t>
      </w:r>
      <w:r w:rsidRPr="00FA558D">
        <w:rPr>
          <w:lang w:val="fr-CA"/>
        </w:rPr>
        <w:t xml:space="preserve">. </w:t>
      </w:r>
      <w:r>
        <w:rPr>
          <w:lang w:val="fr-CA"/>
        </w:rPr>
        <w:t xml:space="preserve">La section du REIR portant sur la </w:t>
      </w:r>
      <w:r w:rsidR="000A1DAA">
        <w:rPr>
          <w:lang w:val="fr-CA"/>
        </w:rPr>
        <w:t>L</w:t>
      </w:r>
      <w:r w:rsidR="00827BD1">
        <w:rPr>
          <w:lang w:val="fr-CA"/>
        </w:rPr>
        <w:t>entille</w:t>
      </w:r>
      <w:r>
        <w:rPr>
          <w:lang w:val="fr-CA"/>
        </w:rPr>
        <w:t xml:space="preserve"> des petites entreprises</w:t>
      </w:r>
      <w:r w:rsidRPr="00FA558D">
        <w:rPr>
          <w:lang w:val="fr-CA"/>
        </w:rPr>
        <w:t xml:space="preserve"> </w:t>
      </w:r>
      <w:r>
        <w:rPr>
          <w:lang w:val="fr-CA"/>
        </w:rPr>
        <w:t>devrait :</w:t>
      </w:r>
    </w:p>
    <w:p w:rsidRPr="00FA558D" w:rsidR="00B91619" w:rsidP="00B91619" w:rsidRDefault="000A1DAA" w14:paraId="5723F30B" w14:textId="06990331">
      <w:pPr>
        <w:pStyle w:val="ListParagraph"/>
        <w:numPr>
          <w:ilvl w:val="0"/>
          <w:numId w:val="23"/>
        </w:numPr>
        <w:tabs>
          <w:tab w:val="left" w:pos="9356"/>
        </w:tabs>
        <w:spacing w:after="0" w:line="240" w:lineRule="auto"/>
        <w:rPr>
          <w:lang w:val="fr-CA"/>
        </w:rPr>
      </w:pPr>
      <w:proofErr w:type="gramStart"/>
      <w:r>
        <w:rPr>
          <w:lang w:val="fr-CA"/>
        </w:rPr>
        <w:t>faire</w:t>
      </w:r>
      <w:proofErr w:type="gramEnd"/>
      <w:r>
        <w:rPr>
          <w:lang w:val="fr-CA"/>
        </w:rPr>
        <w:t xml:space="preserve"> </w:t>
      </w:r>
      <w:r w:rsidR="00B91619">
        <w:rPr>
          <w:lang w:val="fr-CA"/>
        </w:rPr>
        <w:t>référe</w:t>
      </w:r>
      <w:r>
        <w:rPr>
          <w:lang w:val="fr-CA"/>
        </w:rPr>
        <w:t>nce</w:t>
      </w:r>
      <w:r w:rsidR="00B91619">
        <w:rPr>
          <w:lang w:val="fr-CA"/>
        </w:rPr>
        <w:t xml:space="preserve"> expressément aux </w:t>
      </w:r>
      <w:r>
        <w:rPr>
          <w:lang w:val="fr-CA"/>
        </w:rPr>
        <w:t>répercussions sur</w:t>
      </w:r>
      <w:r w:rsidR="00B91619">
        <w:rPr>
          <w:lang w:val="fr-CA"/>
        </w:rPr>
        <w:t xml:space="preserve"> les petites entreprises</w:t>
      </w:r>
      <w:r w:rsidRPr="00FA558D" w:rsidR="00B91619">
        <w:rPr>
          <w:lang w:val="fr-CA"/>
        </w:rPr>
        <w:t xml:space="preserve"> </w:t>
      </w:r>
      <w:r w:rsidR="00B91619">
        <w:rPr>
          <w:lang w:val="fr-CA"/>
        </w:rPr>
        <w:t>uniquement;</w:t>
      </w:r>
    </w:p>
    <w:p w:rsidRPr="00FA558D" w:rsidR="00B91619" w:rsidP="00B91619" w:rsidRDefault="000A1DAA" w14:paraId="192FC497" w14:textId="0656EC3B">
      <w:pPr>
        <w:pStyle w:val="ListParagraph"/>
        <w:numPr>
          <w:ilvl w:val="0"/>
          <w:numId w:val="23"/>
        </w:numPr>
        <w:tabs>
          <w:tab w:val="left" w:pos="9356"/>
        </w:tabs>
        <w:spacing w:after="0" w:line="240" w:lineRule="auto"/>
        <w:rPr>
          <w:lang w:val="fr-CA"/>
        </w:rPr>
      </w:pPr>
      <w:proofErr w:type="gramStart"/>
      <w:r>
        <w:rPr>
          <w:lang w:val="fr-CA"/>
        </w:rPr>
        <w:t>inviter</w:t>
      </w:r>
      <w:proofErr w:type="gramEnd"/>
      <w:r>
        <w:rPr>
          <w:lang w:val="fr-CA"/>
        </w:rPr>
        <w:t xml:space="preserve"> </w:t>
      </w:r>
      <w:r w:rsidR="00B91619">
        <w:rPr>
          <w:lang w:val="fr-CA"/>
        </w:rPr>
        <w:t>le lecteur</w:t>
      </w:r>
      <w:r w:rsidRPr="00FA558D" w:rsidR="00B91619">
        <w:rPr>
          <w:lang w:val="fr-CA"/>
        </w:rPr>
        <w:t xml:space="preserve"> </w:t>
      </w:r>
      <w:r w:rsidR="00B91619">
        <w:rPr>
          <w:lang w:val="fr-CA"/>
        </w:rPr>
        <w:t>à</w:t>
      </w:r>
      <w:r>
        <w:rPr>
          <w:lang w:val="fr-CA"/>
        </w:rPr>
        <w:t xml:space="preserve"> consulter</w:t>
      </w:r>
      <w:r w:rsidR="00B91619">
        <w:rPr>
          <w:lang w:val="fr-CA"/>
        </w:rPr>
        <w:t xml:space="preserve"> l</w:t>
      </w:r>
      <w:r>
        <w:rPr>
          <w:lang w:val="fr-CA"/>
        </w:rPr>
        <w:t>a section de l</w:t>
      </w:r>
      <w:r w:rsidR="00B91619">
        <w:rPr>
          <w:lang w:val="fr-CA"/>
        </w:rPr>
        <w:t>’analyse coût</w:t>
      </w:r>
      <w:r w:rsidR="00AB7A63">
        <w:rPr>
          <w:lang w:val="fr-CA"/>
        </w:rPr>
        <w:t>s</w:t>
      </w:r>
      <w:r w:rsidR="00AB7A63">
        <w:rPr>
          <w:lang w:val="fr-CA"/>
        </w:rPr>
        <w:noBreakHyphen/>
        <w:t>avantages</w:t>
      </w:r>
      <w:r w:rsidRPr="00FA558D" w:rsidR="00B91619">
        <w:rPr>
          <w:lang w:val="fr-CA"/>
        </w:rPr>
        <w:t xml:space="preserve"> </w:t>
      </w:r>
      <w:r w:rsidR="00B91619">
        <w:rPr>
          <w:lang w:val="fr-CA"/>
        </w:rPr>
        <w:t>pour en savoir plus.</w:t>
      </w:r>
    </w:p>
    <w:p w:rsidRPr="00FA558D" w:rsidR="00B91619" w:rsidP="00B91619" w:rsidRDefault="00B91619" w14:paraId="5895954B" w14:textId="77777777">
      <w:pPr>
        <w:tabs>
          <w:tab w:val="left" w:pos="9356"/>
        </w:tabs>
        <w:spacing w:after="0" w:line="240" w:lineRule="auto"/>
        <w:rPr>
          <w:lang w:val="fr-CA"/>
        </w:rPr>
      </w:pPr>
    </w:p>
    <w:p w:rsidRPr="00FA558D" w:rsidR="00B91619" w:rsidP="00B91619" w:rsidRDefault="00B91619" w14:paraId="7D8D402D" w14:textId="6C3E2688">
      <w:pPr>
        <w:spacing w:after="0" w:line="240" w:lineRule="auto"/>
        <w:rPr>
          <w:lang w:val="fr-CA"/>
        </w:rPr>
      </w:pPr>
      <w:r>
        <w:rPr>
          <w:lang w:val="fr-CA"/>
        </w:rPr>
        <w:t>Si les répercussions</w:t>
      </w:r>
      <w:r w:rsidRPr="00FA558D">
        <w:rPr>
          <w:lang w:val="fr-CA"/>
        </w:rPr>
        <w:t xml:space="preserve"> </w:t>
      </w:r>
      <w:r>
        <w:rPr>
          <w:lang w:val="fr-CA"/>
        </w:rPr>
        <w:t>sur les petites entreprises</w:t>
      </w:r>
      <w:r w:rsidRPr="00FA558D">
        <w:rPr>
          <w:lang w:val="fr-CA"/>
        </w:rPr>
        <w:t xml:space="preserve"> </w:t>
      </w:r>
      <w:r w:rsidR="00B4147F">
        <w:rPr>
          <w:lang w:val="fr-CA"/>
        </w:rPr>
        <w:t>d’</w:t>
      </w:r>
      <w:r>
        <w:rPr>
          <w:lang w:val="fr-CA"/>
        </w:rPr>
        <w:t xml:space="preserve">un projet </w:t>
      </w:r>
      <w:r w:rsidR="00F90218">
        <w:rPr>
          <w:lang w:val="fr-CA"/>
        </w:rPr>
        <w:t xml:space="preserve">de règlement </w:t>
      </w:r>
      <w:r>
        <w:rPr>
          <w:lang w:val="fr-CA"/>
        </w:rPr>
        <w:t>dont les coûts</w:t>
      </w:r>
      <w:r w:rsidR="00A9277E">
        <w:rPr>
          <w:lang w:val="fr-CA"/>
        </w:rPr>
        <w:t xml:space="preserve"> sont</w:t>
      </w:r>
      <w:r>
        <w:rPr>
          <w:lang w:val="fr-CA"/>
        </w:rPr>
        <w:t xml:space="preserve"> </w:t>
      </w:r>
      <w:r w:rsidR="009F1CAB">
        <w:rPr>
          <w:lang w:val="fr-CA"/>
        </w:rPr>
        <w:t>importants</w:t>
      </w:r>
      <w:r>
        <w:rPr>
          <w:lang w:val="fr-CA"/>
        </w:rPr>
        <w:t xml:space="preserve"> sont calculées dans le cadre de l’analyse coût</w:t>
      </w:r>
      <w:r w:rsidR="000628AB">
        <w:rPr>
          <w:lang w:val="fr-CA"/>
        </w:rPr>
        <w:t>s</w:t>
      </w:r>
      <w:r w:rsidR="000628AB">
        <w:rPr>
          <w:lang w:val="fr-CA"/>
        </w:rPr>
        <w:noBreakHyphen/>
        <w:t>avantages</w:t>
      </w:r>
      <w:r w:rsidRPr="00FA558D">
        <w:rPr>
          <w:lang w:val="fr-CA"/>
        </w:rPr>
        <w:t xml:space="preserve">, </w:t>
      </w:r>
      <w:r>
        <w:rPr>
          <w:lang w:val="fr-CA"/>
        </w:rPr>
        <w:t xml:space="preserve">les </w:t>
      </w:r>
      <w:r w:rsidR="009F1CAB">
        <w:rPr>
          <w:lang w:val="fr-CA"/>
        </w:rPr>
        <w:t>montants</w:t>
      </w:r>
      <w:r>
        <w:rPr>
          <w:lang w:val="fr-CA"/>
        </w:rPr>
        <w:t xml:space="preserve"> devraient être</w:t>
      </w:r>
      <w:r w:rsidRPr="00FA558D">
        <w:rPr>
          <w:lang w:val="fr-CA"/>
        </w:rPr>
        <w:t xml:space="preserve"> expr</w:t>
      </w:r>
      <w:r>
        <w:rPr>
          <w:lang w:val="fr-CA"/>
        </w:rPr>
        <w:t>imés pour la même année</w:t>
      </w:r>
      <w:r w:rsidR="009F1CAB">
        <w:rPr>
          <w:lang w:val="fr-CA"/>
        </w:rPr>
        <w:t xml:space="preserve"> de </w:t>
      </w:r>
      <w:r w:rsidR="00FF7DBF">
        <w:rPr>
          <w:lang w:val="fr-CA"/>
        </w:rPr>
        <w:t>référence</w:t>
      </w:r>
      <w:r w:rsidR="009F1CAB">
        <w:rPr>
          <w:lang w:val="fr-CA"/>
        </w:rPr>
        <w:t xml:space="preserve"> </w:t>
      </w:r>
      <w:r w:rsidR="00787CB4">
        <w:rPr>
          <w:lang w:val="fr-CA"/>
        </w:rPr>
        <w:t xml:space="preserve">(veuillez noter que le terme utilisé dans la </w:t>
      </w:r>
      <w:r w:rsidRPr="00787CB4" w:rsidR="00787CB4">
        <w:rPr>
          <w:lang w:val="fr-CA"/>
        </w:rPr>
        <w:t>Politique sur l’analyse coûts</w:t>
      </w:r>
      <w:r w:rsidR="00647C63">
        <w:rPr>
          <w:lang w:val="fr-CA"/>
        </w:rPr>
        <w:noBreakHyphen/>
      </w:r>
      <w:r w:rsidRPr="00787CB4" w:rsidR="00787CB4">
        <w:rPr>
          <w:lang w:val="fr-CA"/>
        </w:rPr>
        <w:t>avantages</w:t>
      </w:r>
      <w:r w:rsidR="00787CB4">
        <w:rPr>
          <w:lang w:val="fr-CA"/>
        </w:rPr>
        <w:t xml:space="preserve"> est «</w:t>
      </w:r>
      <w:r w:rsidR="009647E5">
        <w:rPr>
          <w:lang w:val="fr-CA"/>
        </w:rPr>
        <w:t> </w:t>
      </w:r>
      <w:r w:rsidR="00787CB4">
        <w:rPr>
          <w:lang w:val="fr-CA"/>
        </w:rPr>
        <w:t>année du prix</w:t>
      </w:r>
      <w:r w:rsidR="009647E5">
        <w:rPr>
          <w:lang w:val="fr-CA"/>
        </w:rPr>
        <w:t> </w:t>
      </w:r>
      <w:r w:rsidR="00787CB4">
        <w:rPr>
          <w:lang w:val="fr-CA"/>
        </w:rPr>
        <w:t xml:space="preserve">») </w:t>
      </w:r>
      <w:r w:rsidR="009F1CAB">
        <w:rPr>
          <w:lang w:val="fr-CA"/>
        </w:rPr>
        <w:t>que celle de</w:t>
      </w:r>
      <w:r>
        <w:rPr>
          <w:lang w:val="fr-CA"/>
        </w:rPr>
        <w:t xml:space="preserve"> l’analyse coût</w:t>
      </w:r>
      <w:r w:rsidR="00A155C4">
        <w:rPr>
          <w:lang w:val="fr-CA"/>
        </w:rPr>
        <w:t>s</w:t>
      </w:r>
      <w:r w:rsidR="00A155C4">
        <w:rPr>
          <w:lang w:val="fr-CA"/>
        </w:rPr>
        <w:noBreakHyphen/>
        <w:t>avantages</w:t>
      </w:r>
      <w:r w:rsidRPr="00FA558D">
        <w:rPr>
          <w:lang w:val="fr-CA"/>
        </w:rPr>
        <w:t>,</w:t>
      </w:r>
      <w:r>
        <w:rPr>
          <w:lang w:val="fr-CA"/>
        </w:rPr>
        <w:t xml:space="preserve"> et l’année de </w:t>
      </w:r>
      <w:r w:rsidR="00FF7DBF">
        <w:rPr>
          <w:lang w:val="fr-CA"/>
        </w:rPr>
        <w:t>référence</w:t>
      </w:r>
      <w:r w:rsidRPr="00FA558D">
        <w:rPr>
          <w:lang w:val="fr-CA"/>
        </w:rPr>
        <w:t xml:space="preserve"> </w:t>
      </w:r>
      <w:r>
        <w:rPr>
          <w:lang w:val="fr-CA"/>
        </w:rPr>
        <w:t>doit être i</w:t>
      </w:r>
      <w:r w:rsidR="00A155C4">
        <w:rPr>
          <w:lang w:val="fr-CA"/>
        </w:rPr>
        <w:t>ndiqu</w:t>
      </w:r>
      <w:r>
        <w:rPr>
          <w:lang w:val="fr-CA"/>
        </w:rPr>
        <w:t xml:space="preserve">ée en termes </w:t>
      </w:r>
      <w:r w:rsidRPr="00FA558D">
        <w:rPr>
          <w:lang w:val="fr-CA"/>
        </w:rPr>
        <w:t>explicit</w:t>
      </w:r>
      <w:r>
        <w:rPr>
          <w:lang w:val="fr-CA"/>
        </w:rPr>
        <w:t xml:space="preserve">es dans la section sur la </w:t>
      </w:r>
      <w:r w:rsidR="009F1CAB">
        <w:rPr>
          <w:lang w:val="fr-CA"/>
        </w:rPr>
        <w:t>L</w:t>
      </w:r>
      <w:r w:rsidR="00827BD1">
        <w:rPr>
          <w:lang w:val="fr-CA"/>
        </w:rPr>
        <w:t>entille</w:t>
      </w:r>
      <w:r>
        <w:rPr>
          <w:lang w:val="fr-CA"/>
        </w:rPr>
        <w:t xml:space="preserve"> des petites entreprises</w:t>
      </w:r>
      <w:r w:rsidRPr="00FA558D">
        <w:rPr>
          <w:lang w:val="fr-CA"/>
        </w:rPr>
        <w:t>.</w:t>
      </w:r>
      <w:r w:rsidRPr="00FA558D">
        <w:rPr>
          <w:strike/>
          <w:lang w:val="fr-CA"/>
        </w:rPr>
        <w:t xml:space="preserve"> </w:t>
      </w:r>
    </w:p>
    <w:p w:rsidRPr="00FA558D" w:rsidR="00B91619" w:rsidP="00B91619" w:rsidRDefault="00B91619" w14:paraId="2EE3E7B3" w14:textId="77777777">
      <w:pPr>
        <w:spacing w:after="0" w:line="240" w:lineRule="auto"/>
        <w:rPr>
          <w:lang w:val="fr-CA"/>
        </w:rPr>
      </w:pPr>
    </w:p>
    <w:p w:rsidRPr="00FA558D" w:rsidR="00B91619" w:rsidP="00B91619" w:rsidRDefault="00B91619" w14:paraId="783C8056" w14:textId="23F998B2">
      <w:pPr>
        <w:spacing w:after="0" w:line="240" w:lineRule="auto"/>
        <w:rPr>
          <w:lang w:val="fr-CA"/>
        </w:rPr>
      </w:pPr>
      <w:r w:rsidRPr="00C7682F">
        <w:rPr>
          <w:lang w:val="fr-CA"/>
        </w:rPr>
        <w:t xml:space="preserve">Pour les </w:t>
      </w:r>
      <w:r w:rsidRPr="00C7682F" w:rsidR="00EF7655">
        <w:rPr>
          <w:lang w:val="fr-CA"/>
        </w:rPr>
        <w:t>projets</w:t>
      </w:r>
      <w:r w:rsidRPr="00EF7655" w:rsidR="00EF7655">
        <w:rPr>
          <w:lang w:val="fr-CA"/>
        </w:rPr>
        <w:t xml:space="preserve"> de règlement qui </w:t>
      </w:r>
      <w:r w:rsidR="009F1CAB">
        <w:rPr>
          <w:lang w:val="fr-CA"/>
        </w:rPr>
        <w:t xml:space="preserve">entraînent </w:t>
      </w:r>
      <w:r w:rsidRPr="00EF7655" w:rsidR="00EF7655">
        <w:rPr>
          <w:lang w:val="fr-CA"/>
        </w:rPr>
        <w:t>de</w:t>
      </w:r>
      <w:r w:rsidR="009F1CAB">
        <w:rPr>
          <w:lang w:val="fr-CA"/>
        </w:rPr>
        <w:t xml:space="preserve"> faibles </w:t>
      </w:r>
      <w:r w:rsidRPr="00EF7655" w:rsidR="00EF7655">
        <w:rPr>
          <w:lang w:val="fr-CA"/>
        </w:rPr>
        <w:t>coûts</w:t>
      </w:r>
      <w:r>
        <w:rPr>
          <w:lang w:val="fr-CA"/>
        </w:rPr>
        <w:t>, l’analyse coût</w:t>
      </w:r>
      <w:r w:rsidR="00A155C4">
        <w:rPr>
          <w:lang w:val="fr-CA"/>
        </w:rPr>
        <w:t>s</w:t>
      </w:r>
      <w:r w:rsidR="00A155C4">
        <w:rPr>
          <w:lang w:val="fr-CA"/>
        </w:rPr>
        <w:noBreakHyphen/>
        <w:t>avantages</w:t>
      </w:r>
      <w:r>
        <w:rPr>
          <w:lang w:val="fr-CA"/>
        </w:rPr>
        <w:t xml:space="preserve"> n’est pas</w:t>
      </w:r>
      <w:r w:rsidRPr="00FA558D">
        <w:rPr>
          <w:lang w:val="fr-CA"/>
        </w:rPr>
        <w:t xml:space="preserve"> </w:t>
      </w:r>
      <w:r>
        <w:rPr>
          <w:lang w:val="fr-CA"/>
        </w:rPr>
        <w:t>obligatoire. Cependant, si des données quantitatives et monét</w:t>
      </w:r>
      <w:r w:rsidR="00D43CB1">
        <w:rPr>
          <w:lang w:val="fr-CA"/>
        </w:rPr>
        <w:t>ar</w:t>
      </w:r>
      <w:r w:rsidR="00A155C4">
        <w:rPr>
          <w:lang w:val="fr-CA"/>
        </w:rPr>
        <w:t>isées</w:t>
      </w:r>
      <w:r>
        <w:rPr>
          <w:lang w:val="fr-CA"/>
        </w:rPr>
        <w:t xml:space="preserve"> existent sur les répercussions sur les petites entreprises, les organismes de réglementation</w:t>
      </w:r>
      <w:r w:rsidRPr="00FA558D">
        <w:rPr>
          <w:lang w:val="fr-CA"/>
        </w:rPr>
        <w:t xml:space="preserve"> </w:t>
      </w:r>
      <w:r>
        <w:rPr>
          <w:lang w:val="fr-CA"/>
        </w:rPr>
        <w:t>peuvent utiliser le Calculateur des coûts réglementaires du SCT ou un autre outil pour</w:t>
      </w:r>
      <w:r w:rsidR="00A9277E">
        <w:rPr>
          <w:lang w:val="fr-CA"/>
        </w:rPr>
        <w:t xml:space="preserve"> </w:t>
      </w:r>
      <w:r w:rsidR="00A155C4">
        <w:rPr>
          <w:lang w:val="fr-CA"/>
        </w:rPr>
        <w:t xml:space="preserve">établir </w:t>
      </w:r>
      <w:r>
        <w:rPr>
          <w:lang w:val="fr-CA"/>
        </w:rPr>
        <w:t xml:space="preserve">leurs estimations des coûts </w:t>
      </w:r>
      <w:r w:rsidRPr="00FA558D">
        <w:rPr>
          <w:lang w:val="fr-CA"/>
        </w:rPr>
        <w:t>administrati</w:t>
      </w:r>
      <w:r>
        <w:rPr>
          <w:lang w:val="fr-CA"/>
        </w:rPr>
        <w:t xml:space="preserve">fs et de </w:t>
      </w:r>
      <w:r w:rsidRPr="00FA558D">
        <w:rPr>
          <w:lang w:val="fr-CA"/>
        </w:rPr>
        <w:t>co</w:t>
      </w:r>
      <w:r>
        <w:rPr>
          <w:lang w:val="fr-CA"/>
        </w:rPr>
        <w:t xml:space="preserve">nformité. Les </w:t>
      </w:r>
      <w:r w:rsidR="00375AFA">
        <w:rPr>
          <w:lang w:val="fr-CA"/>
        </w:rPr>
        <w:t>éléments</w:t>
      </w:r>
      <w:r w:rsidR="00D43CB1">
        <w:rPr>
          <w:lang w:val="fr-CA"/>
        </w:rPr>
        <w:t xml:space="preserve"> probants </w:t>
      </w:r>
      <w:r w:rsidR="00A155C4">
        <w:rPr>
          <w:lang w:val="fr-CA"/>
        </w:rPr>
        <w:t>à l’appui d</w:t>
      </w:r>
      <w:r>
        <w:rPr>
          <w:lang w:val="fr-CA"/>
        </w:rPr>
        <w:t>es calcul</w:t>
      </w:r>
      <w:r w:rsidRPr="00FA558D">
        <w:rPr>
          <w:lang w:val="fr-CA"/>
        </w:rPr>
        <w:t xml:space="preserve">s, </w:t>
      </w:r>
      <w:r w:rsidR="00D43CB1">
        <w:rPr>
          <w:lang w:val="fr-CA"/>
        </w:rPr>
        <w:t>dont</w:t>
      </w:r>
      <w:r w:rsidRPr="00FA558D">
        <w:rPr>
          <w:lang w:val="fr-CA"/>
        </w:rPr>
        <w:t xml:space="preserve"> </w:t>
      </w:r>
      <w:r>
        <w:rPr>
          <w:lang w:val="fr-CA"/>
        </w:rPr>
        <w:t>le modèle, les données et les hypothèse</w:t>
      </w:r>
      <w:r w:rsidRPr="00FA558D">
        <w:rPr>
          <w:lang w:val="fr-CA"/>
        </w:rPr>
        <w:t>s</w:t>
      </w:r>
      <w:r w:rsidR="00D43CB1">
        <w:rPr>
          <w:lang w:val="fr-CA"/>
        </w:rPr>
        <w:t xml:space="preserve"> </w:t>
      </w:r>
      <w:r>
        <w:rPr>
          <w:lang w:val="fr-CA"/>
        </w:rPr>
        <w:t xml:space="preserve">doivent être </w:t>
      </w:r>
      <w:r w:rsidRPr="00FA558D">
        <w:rPr>
          <w:lang w:val="fr-CA"/>
        </w:rPr>
        <w:t>pr</w:t>
      </w:r>
      <w:r>
        <w:rPr>
          <w:lang w:val="fr-CA"/>
        </w:rPr>
        <w:t>ésentés au SCT</w:t>
      </w:r>
      <w:r w:rsidRPr="00FA558D">
        <w:rPr>
          <w:lang w:val="fr-CA"/>
        </w:rPr>
        <w:t xml:space="preserve">. </w:t>
      </w:r>
      <w:r>
        <w:rPr>
          <w:lang w:val="fr-CA"/>
        </w:rPr>
        <w:t xml:space="preserve">L’année de </w:t>
      </w:r>
      <w:r w:rsidR="00FF7DBF">
        <w:rPr>
          <w:lang w:val="fr-CA"/>
        </w:rPr>
        <w:t>référence de</w:t>
      </w:r>
      <w:r>
        <w:rPr>
          <w:lang w:val="fr-CA"/>
        </w:rPr>
        <w:t xml:space="preserve"> l’estimation des répercussions des coûts de la </w:t>
      </w:r>
      <w:r w:rsidR="00D43CB1">
        <w:rPr>
          <w:lang w:val="fr-CA"/>
        </w:rPr>
        <w:t>L</w:t>
      </w:r>
      <w:r w:rsidR="00827BD1">
        <w:rPr>
          <w:lang w:val="fr-CA"/>
        </w:rPr>
        <w:t>entille</w:t>
      </w:r>
      <w:r>
        <w:rPr>
          <w:lang w:val="fr-CA"/>
        </w:rPr>
        <w:t xml:space="preserve"> des petites entreprises</w:t>
      </w:r>
      <w:r w:rsidRPr="00FA558D">
        <w:rPr>
          <w:lang w:val="fr-CA"/>
        </w:rPr>
        <w:t xml:space="preserve"> </w:t>
      </w:r>
      <w:r>
        <w:rPr>
          <w:lang w:val="fr-CA"/>
        </w:rPr>
        <w:t>doit être clairement</w:t>
      </w:r>
      <w:r w:rsidRPr="00FA558D">
        <w:rPr>
          <w:lang w:val="fr-CA"/>
        </w:rPr>
        <w:t xml:space="preserve"> </w:t>
      </w:r>
      <w:r w:rsidR="00D43CB1">
        <w:rPr>
          <w:lang w:val="fr-CA"/>
        </w:rPr>
        <w:t>indiquée</w:t>
      </w:r>
      <w:r>
        <w:rPr>
          <w:lang w:val="fr-CA"/>
        </w:rPr>
        <w:t xml:space="preserve"> dans la section du REIR portant sur la </w:t>
      </w:r>
      <w:r w:rsidR="00D43CB1">
        <w:rPr>
          <w:lang w:val="fr-CA"/>
        </w:rPr>
        <w:t>L</w:t>
      </w:r>
      <w:r w:rsidR="00827BD1">
        <w:rPr>
          <w:lang w:val="fr-CA"/>
        </w:rPr>
        <w:t>entille</w:t>
      </w:r>
      <w:r>
        <w:rPr>
          <w:lang w:val="fr-CA"/>
        </w:rPr>
        <w:t xml:space="preserve"> des petites entreprises</w:t>
      </w:r>
      <w:r w:rsidRPr="00FA558D">
        <w:rPr>
          <w:lang w:val="fr-CA"/>
        </w:rPr>
        <w:t xml:space="preserve">. </w:t>
      </w:r>
    </w:p>
    <w:p w:rsidRPr="00FA558D" w:rsidR="00B91619" w:rsidP="00B91619" w:rsidRDefault="00B91619" w14:paraId="441459EE" w14:textId="77777777">
      <w:pPr>
        <w:tabs>
          <w:tab w:val="left" w:pos="9356"/>
        </w:tabs>
        <w:spacing w:after="0" w:line="240" w:lineRule="auto"/>
        <w:rPr>
          <w:lang w:val="fr-CA"/>
        </w:rPr>
      </w:pPr>
    </w:p>
    <w:p w:rsidRPr="00FA558D" w:rsidR="00B91619" w:rsidP="00B91619" w:rsidRDefault="00B91619" w14:paraId="5BCACE82" w14:textId="60D60733">
      <w:pPr>
        <w:pStyle w:val="Heading3"/>
        <w:numPr>
          <w:ilvl w:val="2"/>
          <w:numId w:val="27"/>
        </w:numPr>
        <w:ind w:left="720" w:hanging="720"/>
        <w:rPr>
          <w:lang w:val="fr-CA"/>
        </w:rPr>
      </w:pPr>
      <w:bookmarkStart w:name="_Toc151373930" w:id="40"/>
      <w:r>
        <w:rPr>
          <w:lang w:val="fr-CA"/>
        </w:rPr>
        <w:t xml:space="preserve">Exigences liées aux résumés de l’étude d’impact de la réglementation </w:t>
      </w:r>
      <w:r w:rsidRPr="00FA558D">
        <w:rPr>
          <w:lang w:val="fr-CA"/>
        </w:rPr>
        <w:t>(</w:t>
      </w:r>
      <w:r w:rsidR="0021380C">
        <w:rPr>
          <w:lang w:val="fr-CA"/>
        </w:rPr>
        <w:t>paragraphe</w:t>
      </w:r>
      <w:r w:rsidRPr="00FA558D">
        <w:rPr>
          <w:lang w:val="fr-CA"/>
        </w:rPr>
        <w:t> 8.2.7)</w:t>
      </w:r>
      <w:bookmarkEnd w:id="40"/>
    </w:p>
    <w:p w:rsidRPr="00FA558D" w:rsidR="00B91619" w:rsidP="00B91619" w:rsidRDefault="00B91619" w14:paraId="0E614345" w14:textId="77777777">
      <w:pPr>
        <w:tabs>
          <w:tab w:val="left" w:pos="9356"/>
        </w:tabs>
        <w:spacing w:after="0" w:line="240" w:lineRule="auto"/>
        <w:rPr>
          <w:lang w:val="fr-CA"/>
        </w:rPr>
      </w:pPr>
    </w:p>
    <w:p w:rsidRPr="00FA558D" w:rsidR="00B91619" w:rsidP="00B91619" w:rsidRDefault="00B91619" w14:paraId="445E7313" w14:textId="009579F6">
      <w:pPr>
        <w:tabs>
          <w:tab w:val="left" w:pos="9356"/>
        </w:tabs>
        <w:spacing w:after="0" w:line="240" w:lineRule="auto"/>
        <w:rPr>
          <w:lang w:val="fr-CA"/>
        </w:rPr>
      </w:pPr>
      <w:r>
        <w:rPr>
          <w:lang w:val="fr-CA"/>
        </w:rPr>
        <w:t xml:space="preserve">L’information qui </w:t>
      </w:r>
      <w:r w:rsidR="00A9277E">
        <w:rPr>
          <w:lang w:val="fr-CA"/>
        </w:rPr>
        <w:t>d</w:t>
      </w:r>
      <w:r>
        <w:rPr>
          <w:lang w:val="fr-CA"/>
        </w:rPr>
        <w:t xml:space="preserve">oit être présentée dans la section du REIR portant sur la </w:t>
      </w:r>
      <w:r w:rsidR="00187CF0">
        <w:rPr>
          <w:lang w:val="fr-CA"/>
        </w:rPr>
        <w:t>L</w:t>
      </w:r>
      <w:r w:rsidR="00827BD1">
        <w:rPr>
          <w:lang w:val="fr-CA"/>
        </w:rPr>
        <w:t>entille</w:t>
      </w:r>
      <w:r>
        <w:rPr>
          <w:lang w:val="fr-CA"/>
        </w:rPr>
        <w:t xml:space="preserve"> des petites entreprises </w:t>
      </w:r>
      <w:r w:rsidR="00187CF0">
        <w:rPr>
          <w:lang w:val="fr-CA"/>
        </w:rPr>
        <w:t>est déterminée en fonction de plusieurs</w:t>
      </w:r>
      <w:r>
        <w:rPr>
          <w:lang w:val="fr-CA"/>
        </w:rPr>
        <w:t xml:space="preserve"> facteur</w:t>
      </w:r>
      <w:r w:rsidRPr="00FA558D">
        <w:rPr>
          <w:lang w:val="fr-CA"/>
        </w:rPr>
        <w:t>s,</w:t>
      </w:r>
      <w:r>
        <w:rPr>
          <w:lang w:val="fr-CA"/>
        </w:rPr>
        <w:t xml:space="preserve"> dont le plus important est lié à la question de savoir si la lentille</w:t>
      </w:r>
      <w:r w:rsidRPr="00FA558D">
        <w:rPr>
          <w:lang w:val="fr-CA"/>
        </w:rPr>
        <w:t xml:space="preserve"> </w:t>
      </w:r>
      <w:r>
        <w:rPr>
          <w:lang w:val="fr-CA"/>
        </w:rPr>
        <w:t xml:space="preserve">s’applique au </w:t>
      </w:r>
      <w:r w:rsidR="002C33B4">
        <w:rPr>
          <w:lang w:val="fr-CA"/>
        </w:rPr>
        <w:t xml:space="preserve">projet de </w:t>
      </w:r>
      <w:r>
        <w:rPr>
          <w:lang w:val="fr-CA"/>
        </w:rPr>
        <w:t>règlement</w:t>
      </w:r>
      <w:r w:rsidRPr="00FA558D">
        <w:rPr>
          <w:lang w:val="fr-CA"/>
        </w:rPr>
        <w:t xml:space="preserve">. </w:t>
      </w:r>
      <w:r w:rsidR="00187CF0">
        <w:rPr>
          <w:lang w:val="fr-CA"/>
        </w:rPr>
        <w:t xml:space="preserve">Les paragraphes suivants </w:t>
      </w:r>
      <w:r>
        <w:rPr>
          <w:lang w:val="fr-CA"/>
        </w:rPr>
        <w:t>constitue</w:t>
      </w:r>
      <w:r w:rsidR="00187CF0">
        <w:rPr>
          <w:lang w:val="fr-CA"/>
        </w:rPr>
        <w:t xml:space="preserve">nt </w:t>
      </w:r>
      <w:r w:rsidR="002910C7">
        <w:rPr>
          <w:lang w:val="fr-CA"/>
        </w:rPr>
        <w:t xml:space="preserve">un </w:t>
      </w:r>
      <w:r w:rsidR="00187CF0">
        <w:rPr>
          <w:lang w:val="fr-CA"/>
        </w:rPr>
        <w:t>aperçu</w:t>
      </w:r>
      <w:r>
        <w:rPr>
          <w:lang w:val="fr-CA"/>
        </w:rPr>
        <w:t xml:space="preserve"> de l’</w:t>
      </w:r>
      <w:r w:rsidRPr="00FA558D">
        <w:rPr>
          <w:lang w:val="fr-CA"/>
        </w:rPr>
        <w:t xml:space="preserve">information </w:t>
      </w:r>
      <w:r>
        <w:rPr>
          <w:lang w:val="fr-CA"/>
        </w:rPr>
        <w:t>exigée dans divers scénarios</w:t>
      </w:r>
      <w:r w:rsidRPr="00FA558D">
        <w:rPr>
          <w:lang w:val="fr-CA"/>
        </w:rPr>
        <w:t xml:space="preserve">. </w:t>
      </w:r>
    </w:p>
    <w:p w:rsidRPr="00FA558D" w:rsidR="00B91619" w:rsidP="00B91619" w:rsidRDefault="00B91619" w14:paraId="767184E7" w14:textId="77777777">
      <w:pPr>
        <w:tabs>
          <w:tab w:val="left" w:pos="9356"/>
        </w:tabs>
        <w:spacing w:after="0" w:line="240" w:lineRule="auto"/>
        <w:rPr>
          <w:lang w:val="fr-CA"/>
        </w:rPr>
      </w:pPr>
    </w:p>
    <w:p w:rsidRPr="00FA558D" w:rsidR="00B91619" w:rsidP="00B91619" w:rsidRDefault="00B934EE" w14:paraId="7C048C6C" w14:textId="6B798E5D">
      <w:pPr>
        <w:pStyle w:val="Heading4"/>
        <w:rPr>
          <w:lang w:val="fr-CA"/>
        </w:rPr>
      </w:pPr>
      <w:r>
        <w:rPr>
          <w:lang w:val="fr-CA"/>
        </w:rPr>
        <w:t>Aucune analyse des petites entreprises n’est nécessaire</w:t>
      </w:r>
      <w:r w:rsidRPr="00FA558D" w:rsidR="00B91619">
        <w:rPr>
          <w:lang w:val="fr-CA"/>
        </w:rPr>
        <w:t xml:space="preserve"> </w:t>
      </w:r>
    </w:p>
    <w:p w:rsidRPr="00FA558D" w:rsidR="00B91619" w:rsidP="00B91619" w:rsidRDefault="00B91619" w14:paraId="558C0AD6" w14:textId="77777777">
      <w:pPr>
        <w:tabs>
          <w:tab w:val="left" w:pos="9356"/>
        </w:tabs>
        <w:spacing w:after="0" w:line="240" w:lineRule="auto"/>
        <w:rPr>
          <w:lang w:val="fr-CA"/>
        </w:rPr>
      </w:pPr>
    </w:p>
    <w:p w:rsidRPr="00FA558D" w:rsidR="00B91619" w:rsidP="00B91619" w:rsidRDefault="00B91619" w14:paraId="78889A77" w14:textId="4887B93F">
      <w:pPr>
        <w:tabs>
          <w:tab w:val="left" w:pos="9356"/>
        </w:tabs>
        <w:spacing w:after="0" w:line="240" w:lineRule="auto"/>
        <w:rPr>
          <w:lang w:val="fr-CA"/>
        </w:rPr>
      </w:pPr>
      <w:r>
        <w:rPr>
          <w:lang w:val="fr-CA"/>
        </w:rPr>
        <w:t xml:space="preserve">Même si la </w:t>
      </w:r>
      <w:r w:rsidR="00827BD1">
        <w:rPr>
          <w:lang w:val="fr-CA"/>
        </w:rPr>
        <w:t>lentille</w:t>
      </w:r>
      <w:r w:rsidRPr="00FA558D">
        <w:rPr>
          <w:lang w:val="fr-CA"/>
        </w:rPr>
        <w:t xml:space="preserve"> </w:t>
      </w:r>
      <w:r>
        <w:rPr>
          <w:lang w:val="fr-CA"/>
        </w:rPr>
        <w:t>n</w:t>
      </w:r>
      <w:r w:rsidR="00B934EE">
        <w:rPr>
          <w:lang w:val="fr-CA"/>
        </w:rPr>
        <w:t>e s’</w:t>
      </w:r>
      <w:r w:rsidR="00962EDA">
        <w:rPr>
          <w:lang w:val="fr-CA"/>
        </w:rPr>
        <w:t>applique</w:t>
      </w:r>
      <w:r w:rsidR="00B934EE">
        <w:rPr>
          <w:lang w:val="fr-CA"/>
        </w:rPr>
        <w:t xml:space="preserve"> pas</w:t>
      </w:r>
      <w:r>
        <w:rPr>
          <w:lang w:val="fr-CA"/>
        </w:rPr>
        <w:t xml:space="preserve">, il </w:t>
      </w:r>
      <w:r w:rsidR="00B934EE">
        <w:rPr>
          <w:lang w:val="fr-CA"/>
        </w:rPr>
        <w:t>faut tout de même</w:t>
      </w:r>
      <w:r>
        <w:rPr>
          <w:lang w:val="fr-CA"/>
        </w:rPr>
        <w:t xml:space="preserve"> </w:t>
      </w:r>
      <w:r w:rsidR="00247324">
        <w:rPr>
          <w:lang w:val="fr-CA"/>
        </w:rPr>
        <w:t>expliquer</w:t>
      </w:r>
      <w:r>
        <w:rPr>
          <w:lang w:val="fr-CA"/>
        </w:rPr>
        <w:t xml:space="preserve"> dans la section sur la </w:t>
      </w:r>
      <w:r w:rsidR="00B934EE">
        <w:rPr>
          <w:lang w:val="fr-CA"/>
        </w:rPr>
        <w:t>L</w:t>
      </w:r>
      <w:r>
        <w:rPr>
          <w:lang w:val="fr-CA"/>
        </w:rPr>
        <w:t>entille des petites entreprises</w:t>
      </w:r>
      <w:r w:rsidRPr="00FA558D">
        <w:rPr>
          <w:lang w:val="fr-CA"/>
        </w:rPr>
        <w:t xml:space="preserve"> </w:t>
      </w:r>
      <w:r>
        <w:rPr>
          <w:lang w:val="fr-CA"/>
        </w:rPr>
        <w:t>d</w:t>
      </w:r>
      <w:r w:rsidR="00247324">
        <w:rPr>
          <w:lang w:val="fr-CA"/>
        </w:rPr>
        <w:t>u</w:t>
      </w:r>
      <w:r>
        <w:rPr>
          <w:lang w:val="fr-CA"/>
        </w:rPr>
        <w:t xml:space="preserve"> REIR</w:t>
      </w:r>
      <w:r w:rsidR="002910C7">
        <w:rPr>
          <w:lang w:val="fr-CA"/>
        </w:rPr>
        <w:t xml:space="preserve"> pourquoi elle </w:t>
      </w:r>
      <w:r>
        <w:rPr>
          <w:lang w:val="fr-CA"/>
        </w:rPr>
        <w:t>ne s’applique pas</w:t>
      </w:r>
      <w:r w:rsidRPr="00FA558D">
        <w:rPr>
          <w:lang w:val="fr-CA"/>
        </w:rPr>
        <w:t xml:space="preserve">. </w:t>
      </w:r>
      <w:r>
        <w:rPr>
          <w:lang w:val="fr-CA"/>
        </w:rPr>
        <w:t xml:space="preserve">Les scénarios suivants apparaissent en ordre de </w:t>
      </w:r>
      <w:r w:rsidRPr="00FA558D">
        <w:rPr>
          <w:lang w:val="fr-CA"/>
        </w:rPr>
        <w:t>prior</w:t>
      </w:r>
      <w:r>
        <w:rPr>
          <w:lang w:val="fr-CA"/>
        </w:rPr>
        <w:t xml:space="preserve">ité, et reposent sur l’arbre décisionnel présenté </w:t>
      </w:r>
      <w:r w:rsidR="00247324">
        <w:rPr>
          <w:lang w:val="fr-CA"/>
        </w:rPr>
        <w:t>au paragraphe</w:t>
      </w:r>
      <w:r w:rsidRPr="00FA558D">
        <w:rPr>
          <w:lang w:val="fr-CA"/>
        </w:rPr>
        <w:t> 4.1</w:t>
      </w:r>
      <w:r>
        <w:rPr>
          <w:lang w:val="fr-CA"/>
        </w:rPr>
        <w:t xml:space="preserve"> du présent guide</w:t>
      </w:r>
      <w:r w:rsidRPr="00FA558D">
        <w:rPr>
          <w:lang w:val="fr-CA"/>
        </w:rPr>
        <w:t xml:space="preserve">. </w:t>
      </w:r>
      <w:r>
        <w:rPr>
          <w:lang w:val="fr-CA"/>
        </w:rPr>
        <w:t xml:space="preserve">Les </w:t>
      </w:r>
      <w:r w:rsidR="00247324">
        <w:rPr>
          <w:lang w:val="fr-CA"/>
        </w:rPr>
        <w:t>raisons</w:t>
      </w:r>
      <w:r>
        <w:rPr>
          <w:lang w:val="fr-CA"/>
        </w:rPr>
        <w:t xml:space="preserve"> </w:t>
      </w:r>
      <w:r w:rsidR="00247324">
        <w:rPr>
          <w:lang w:val="fr-CA"/>
        </w:rPr>
        <w:t>pour lesquelles la</w:t>
      </w:r>
      <w:r>
        <w:rPr>
          <w:lang w:val="fr-CA"/>
        </w:rPr>
        <w:t xml:space="preserve"> </w:t>
      </w:r>
      <w:r w:rsidR="00827BD1">
        <w:rPr>
          <w:lang w:val="fr-CA"/>
        </w:rPr>
        <w:t>lentille</w:t>
      </w:r>
      <w:r w:rsidRPr="00FA558D">
        <w:rPr>
          <w:lang w:val="fr-CA"/>
        </w:rPr>
        <w:t xml:space="preserve"> </w:t>
      </w:r>
      <w:r>
        <w:rPr>
          <w:lang w:val="fr-CA"/>
        </w:rPr>
        <w:t>ne s’applique pas</w:t>
      </w:r>
      <w:r w:rsidRPr="00FA558D">
        <w:rPr>
          <w:lang w:val="fr-CA"/>
        </w:rPr>
        <w:t xml:space="preserve"> </w:t>
      </w:r>
      <w:r>
        <w:rPr>
          <w:lang w:val="fr-CA"/>
        </w:rPr>
        <w:t xml:space="preserve">doivent </w:t>
      </w:r>
      <w:r w:rsidR="00247324">
        <w:rPr>
          <w:lang w:val="fr-CA"/>
        </w:rPr>
        <w:t>reposer</w:t>
      </w:r>
      <w:r>
        <w:rPr>
          <w:lang w:val="fr-CA"/>
        </w:rPr>
        <w:t xml:space="preserve"> sur le niveau </w:t>
      </w:r>
      <w:r w:rsidR="00247324">
        <w:rPr>
          <w:lang w:val="fr-CA"/>
        </w:rPr>
        <w:t xml:space="preserve">le plus </w:t>
      </w:r>
      <w:r>
        <w:rPr>
          <w:lang w:val="fr-CA"/>
        </w:rPr>
        <w:t xml:space="preserve">élevé de l’arbre décisionnel, et les </w:t>
      </w:r>
      <w:r w:rsidR="00247324">
        <w:rPr>
          <w:lang w:val="fr-CA"/>
        </w:rPr>
        <w:t>raisons supplémentaires</w:t>
      </w:r>
      <w:r>
        <w:rPr>
          <w:lang w:val="fr-CA"/>
        </w:rPr>
        <w:t xml:space="preserve"> doivent être précisé</w:t>
      </w:r>
      <w:r w:rsidR="00247324">
        <w:rPr>
          <w:lang w:val="fr-CA"/>
        </w:rPr>
        <w:t>e</w:t>
      </w:r>
      <w:r>
        <w:rPr>
          <w:lang w:val="fr-CA"/>
        </w:rPr>
        <w:t>s selon ce qui est indiqué ci</w:t>
      </w:r>
      <w:r w:rsidR="00962EDA">
        <w:rPr>
          <w:lang w:val="fr-CA"/>
        </w:rPr>
        <w:noBreakHyphen/>
      </w:r>
      <w:r>
        <w:rPr>
          <w:lang w:val="fr-CA"/>
        </w:rPr>
        <w:t>après</w:t>
      </w:r>
      <w:r w:rsidRPr="00FA558D">
        <w:rPr>
          <w:lang w:val="fr-CA"/>
        </w:rPr>
        <w:t xml:space="preserve">. </w:t>
      </w:r>
    </w:p>
    <w:p w:rsidRPr="00FA558D" w:rsidR="00B91619" w:rsidP="00B91619" w:rsidRDefault="00B91619" w14:paraId="2B9AC88F" w14:textId="77777777">
      <w:pPr>
        <w:pStyle w:val="ListParagraph"/>
        <w:tabs>
          <w:tab w:val="left" w:pos="9356"/>
        </w:tabs>
        <w:spacing w:after="0" w:line="240" w:lineRule="auto"/>
        <w:rPr>
          <w:lang w:val="fr-CA"/>
        </w:rPr>
      </w:pPr>
    </w:p>
    <w:p w:rsidRPr="00FA558D" w:rsidR="00B91619" w:rsidP="00B91619" w:rsidRDefault="00B91619" w14:paraId="6C0CDD0E" w14:textId="0AFA2A36">
      <w:pPr>
        <w:tabs>
          <w:tab w:val="left" w:pos="9356"/>
        </w:tabs>
        <w:spacing w:after="0" w:line="240" w:lineRule="auto"/>
        <w:rPr>
          <w:lang w:val="fr-CA"/>
        </w:rPr>
      </w:pPr>
      <w:r w:rsidRPr="002910C7">
        <w:rPr>
          <w:b/>
          <w:lang w:val="fr-CA"/>
        </w:rPr>
        <w:t>Le projet n</w:t>
      </w:r>
      <w:r w:rsidRPr="002910C7" w:rsidR="00B12BEF">
        <w:rPr>
          <w:b/>
          <w:lang w:val="fr-CA"/>
        </w:rPr>
        <w:t>e fait pas partie du champ d’application de</w:t>
      </w:r>
      <w:r w:rsidRPr="002910C7">
        <w:rPr>
          <w:b/>
          <w:lang w:val="fr-CA"/>
        </w:rPr>
        <w:t xml:space="preserve"> la </w:t>
      </w:r>
      <w:r w:rsidRPr="002910C7" w:rsidR="00827BD1">
        <w:rPr>
          <w:b/>
          <w:lang w:val="fr-CA"/>
        </w:rPr>
        <w:t>lentille</w:t>
      </w:r>
      <w:r w:rsidRPr="00FA558D">
        <w:rPr>
          <w:lang w:val="fr-CA"/>
        </w:rPr>
        <w:t xml:space="preserve"> </w:t>
      </w:r>
    </w:p>
    <w:p w:rsidRPr="00FA558D" w:rsidR="00B91619" w:rsidP="00B91619" w:rsidRDefault="00B91619" w14:paraId="44894A63" w14:textId="31B7D54B">
      <w:pPr>
        <w:tabs>
          <w:tab w:val="left" w:pos="9356"/>
        </w:tabs>
        <w:spacing w:after="0" w:line="240" w:lineRule="auto"/>
        <w:rPr>
          <w:lang w:val="fr-CA"/>
        </w:rPr>
      </w:pPr>
      <w:r>
        <w:rPr>
          <w:lang w:val="fr-CA"/>
        </w:rPr>
        <w:t xml:space="preserve">Le projet </w:t>
      </w:r>
      <w:r w:rsidR="00B12BEF">
        <w:rPr>
          <w:lang w:val="fr-CA"/>
        </w:rPr>
        <w:t>ne fait pas partie du</w:t>
      </w:r>
      <w:r>
        <w:rPr>
          <w:lang w:val="fr-CA"/>
        </w:rPr>
        <w:t xml:space="preserve"> champ d’application de la </w:t>
      </w:r>
      <w:r w:rsidR="00827BD1">
        <w:rPr>
          <w:lang w:val="fr-CA"/>
        </w:rPr>
        <w:t>lentille</w:t>
      </w:r>
      <w:r w:rsidRPr="00FA558D">
        <w:rPr>
          <w:lang w:val="fr-CA"/>
        </w:rPr>
        <w:t xml:space="preserve"> </w:t>
      </w:r>
      <w:r>
        <w:rPr>
          <w:lang w:val="fr-CA"/>
        </w:rPr>
        <w:t>tel qu’il est défini</w:t>
      </w:r>
      <w:r w:rsidRPr="00FA558D">
        <w:rPr>
          <w:lang w:val="fr-CA"/>
        </w:rPr>
        <w:t xml:space="preserve"> </w:t>
      </w:r>
      <w:r w:rsidR="00B12BEF">
        <w:rPr>
          <w:lang w:val="fr-CA"/>
        </w:rPr>
        <w:t>à</w:t>
      </w:r>
      <w:r>
        <w:rPr>
          <w:lang w:val="fr-CA"/>
        </w:rPr>
        <w:t xml:space="preserve"> la sec</w:t>
      </w:r>
      <w:r w:rsidRPr="00FA558D">
        <w:rPr>
          <w:lang w:val="fr-CA"/>
        </w:rPr>
        <w:t xml:space="preserve">tion 2 </w:t>
      </w:r>
      <w:r>
        <w:rPr>
          <w:lang w:val="fr-CA"/>
        </w:rPr>
        <w:t xml:space="preserve">de la Directive du </w:t>
      </w:r>
      <w:r w:rsidR="00B12BEF">
        <w:rPr>
          <w:lang w:val="fr-CA"/>
        </w:rPr>
        <w:t xml:space="preserve">Cabinet </w:t>
      </w:r>
      <w:r>
        <w:rPr>
          <w:lang w:val="fr-CA"/>
        </w:rPr>
        <w:t xml:space="preserve">et </w:t>
      </w:r>
      <w:r w:rsidR="00B12BEF">
        <w:rPr>
          <w:lang w:val="fr-CA"/>
        </w:rPr>
        <w:t xml:space="preserve">à </w:t>
      </w:r>
      <w:r>
        <w:rPr>
          <w:lang w:val="fr-CA"/>
        </w:rPr>
        <w:t xml:space="preserve">la </w:t>
      </w:r>
      <w:r w:rsidRPr="00FA558D">
        <w:rPr>
          <w:lang w:val="fr-CA"/>
        </w:rPr>
        <w:t>section 3</w:t>
      </w:r>
      <w:r>
        <w:rPr>
          <w:lang w:val="fr-CA"/>
        </w:rPr>
        <w:t xml:space="preserve"> de la </w:t>
      </w:r>
      <w:r w:rsidR="00962EDA">
        <w:rPr>
          <w:lang w:val="fr-CA"/>
        </w:rPr>
        <w:t>p</w:t>
      </w:r>
      <w:r>
        <w:rPr>
          <w:lang w:val="fr-CA"/>
        </w:rPr>
        <w:t>olitique</w:t>
      </w:r>
      <w:r w:rsidRPr="00FA558D">
        <w:rPr>
          <w:lang w:val="fr-CA"/>
        </w:rPr>
        <w:t xml:space="preserve">. </w:t>
      </w:r>
    </w:p>
    <w:p w:rsidRPr="00FA558D" w:rsidR="00B91619" w:rsidP="00B91619" w:rsidRDefault="00B91619" w14:paraId="61F78BCF" w14:textId="77777777">
      <w:pPr>
        <w:pStyle w:val="ListParagraph"/>
        <w:tabs>
          <w:tab w:val="left" w:pos="9356"/>
        </w:tabs>
        <w:spacing w:after="0" w:line="240" w:lineRule="auto"/>
        <w:rPr>
          <w:lang w:val="fr-CA"/>
        </w:rPr>
      </w:pPr>
    </w:p>
    <w:p w:rsidRPr="00FA558D" w:rsidR="00B91619" w:rsidP="00B91619" w:rsidRDefault="00B91619" w14:paraId="70BB67DA" w14:textId="247ABA91">
      <w:pPr>
        <w:tabs>
          <w:tab w:val="left" w:pos="9356"/>
        </w:tabs>
        <w:spacing w:after="0" w:line="240" w:lineRule="auto"/>
        <w:rPr>
          <w:lang w:val="fr-CA"/>
        </w:rPr>
      </w:pPr>
      <w:r>
        <w:rPr>
          <w:lang w:val="fr-CA"/>
        </w:rPr>
        <w:t>L</w:t>
      </w:r>
      <w:r w:rsidR="00B12BEF">
        <w:rPr>
          <w:lang w:val="fr-CA"/>
        </w:rPr>
        <w:t xml:space="preserve">e champ d’application </w:t>
      </w:r>
      <w:r>
        <w:rPr>
          <w:lang w:val="fr-CA"/>
        </w:rPr>
        <w:t xml:space="preserve">de la </w:t>
      </w:r>
      <w:r w:rsidR="00827BD1">
        <w:rPr>
          <w:lang w:val="fr-CA"/>
        </w:rPr>
        <w:t>lentille</w:t>
      </w:r>
      <w:r w:rsidRPr="00FA558D">
        <w:rPr>
          <w:lang w:val="fr-CA"/>
        </w:rPr>
        <w:t xml:space="preserve"> </w:t>
      </w:r>
      <w:r>
        <w:rPr>
          <w:lang w:val="fr-CA"/>
        </w:rPr>
        <w:t>englobe les règlement</w:t>
      </w:r>
      <w:r w:rsidRPr="00FA558D">
        <w:rPr>
          <w:lang w:val="fr-CA"/>
        </w:rPr>
        <w:t xml:space="preserve">s </w:t>
      </w:r>
      <w:r w:rsidR="00B12BEF">
        <w:rPr>
          <w:lang w:val="fr-CA"/>
        </w:rPr>
        <w:t>pris</w:t>
      </w:r>
      <w:r>
        <w:rPr>
          <w:lang w:val="fr-CA"/>
        </w:rPr>
        <w:t xml:space="preserve"> ou approuvés par le gouverneur en conseil et ceux </w:t>
      </w:r>
      <w:r w:rsidR="00B12BEF">
        <w:rPr>
          <w:lang w:val="fr-CA"/>
        </w:rPr>
        <w:t>pris</w:t>
      </w:r>
      <w:r>
        <w:rPr>
          <w:lang w:val="fr-CA"/>
        </w:rPr>
        <w:t xml:space="preserve"> par un ministre de la Couronne</w:t>
      </w:r>
      <w:r w:rsidRPr="00FA558D">
        <w:rPr>
          <w:lang w:val="fr-CA"/>
        </w:rPr>
        <w:t xml:space="preserve">. </w:t>
      </w:r>
      <w:r w:rsidR="00B12BEF">
        <w:rPr>
          <w:lang w:val="fr-CA"/>
        </w:rPr>
        <w:t>Il n’inclut</w:t>
      </w:r>
      <w:r>
        <w:rPr>
          <w:lang w:val="fr-CA"/>
        </w:rPr>
        <w:t xml:space="preserve"> pas les règlement</w:t>
      </w:r>
      <w:r w:rsidRPr="00FA558D">
        <w:rPr>
          <w:lang w:val="fr-CA"/>
        </w:rPr>
        <w:t xml:space="preserve">s </w:t>
      </w:r>
      <w:r w:rsidR="00B12BEF">
        <w:rPr>
          <w:lang w:val="fr-CA"/>
        </w:rPr>
        <w:t>pris</w:t>
      </w:r>
      <w:r>
        <w:rPr>
          <w:lang w:val="fr-CA"/>
        </w:rPr>
        <w:t xml:space="preserve"> par</w:t>
      </w:r>
      <w:r w:rsidRPr="00FA558D">
        <w:rPr>
          <w:lang w:val="fr-CA"/>
        </w:rPr>
        <w:t xml:space="preserve"> </w:t>
      </w:r>
      <w:r>
        <w:rPr>
          <w:lang w:val="fr-CA"/>
        </w:rPr>
        <w:t>un organisme</w:t>
      </w:r>
      <w:r w:rsidRPr="00FA558D">
        <w:rPr>
          <w:lang w:val="fr-CA"/>
        </w:rPr>
        <w:t xml:space="preserve">, </w:t>
      </w:r>
      <w:r>
        <w:rPr>
          <w:lang w:val="fr-CA"/>
        </w:rPr>
        <w:t xml:space="preserve">un </w:t>
      </w:r>
      <w:r w:rsidRPr="00FA558D">
        <w:rPr>
          <w:lang w:val="fr-CA"/>
        </w:rPr>
        <w:t>tribunal</w:t>
      </w:r>
      <w:r>
        <w:rPr>
          <w:lang w:val="fr-CA"/>
        </w:rPr>
        <w:t xml:space="preserve"> ou une autre </w:t>
      </w:r>
      <w:r w:rsidRPr="00FA558D">
        <w:rPr>
          <w:lang w:val="fr-CA"/>
        </w:rPr>
        <w:t>ent</w:t>
      </w:r>
      <w:r>
        <w:rPr>
          <w:lang w:val="fr-CA"/>
        </w:rPr>
        <w:t xml:space="preserve">ité </w:t>
      </w:r>
      <w:r w:rsidR="00B12BEF">
        <w:rPr>
          <w:lang w:val="fr-CA"/>
        </w:rPr>
        <w:t>autorisée</w:t>
      </w:r>
      <w:r>
        <w:rPr>
          <w:lang w:val="fr-CA"/>
        </w:rPr>
        <w:t xml:space="preserve"> </w:t>
      </w:r>
      <w:r w:rsidR="00B12BEF">
        <w:rPr>
          <w:lang w:val="fr-CA"/>
        </w:rPr>
        <w:t xml:space="preserve">à le faire </w:t>
      </w:r>
      <w:r>
        <w:rPr>
          <w:lang w:val="fr-CA"/>
        </w:rPr>
        <w:t xml:space="preserve">par le </w:t>
      </w:r>
      <w:r w:rsidRPr="00FA558D">
        <w:rPr>
          <w:lang w:val="fr-CA"/>
        </w:rPr>
        <w:t>Par</w:t>
      </w:r>
      <w:r>
        <w:rPr>
          <w:lang w:val="fr-CA"/>
        </w:rPr>
        <w:t xml:space="preserve">lement dans un autre </w:t>
      </w:r>
      <w:r w:rsidR="00B12BEF">
        <w:rPr>
          <w:lang w:val="fr-CA"/>
        </w:rPr>
        <w:t>domaine</w:t>
      </w:r>
      <w:r w:rsidRPr="00FA558D">
        <w:rPr>
          <w:lang w:val="fr-CA"/>
        </w:rPr>
        <w:t xml:space="preserve">. </w:t>
      </w:r>
    </w:p>
    <w:p w:rsidRPr="00FA558D" w:rsidR="00B91619" w:rsidP="00B91619" w:rsidRDefault="00B91619" w14:paraId="608C065C" w14:textId="77777777">
      <w:pPr>
        <w:pStyle w:val="ListParagraph"/>
        <w:tabs>
          <w:tab w:val="left" w:pos="9356"/>
        </w:tabs>
        <w:spacing w:after="0" w:line="240" w:lineRule="auto"/>
        <w:rPr>
          <w:lang w:val="fr-CA"/>
        </w:rPr>
      </w:pPr>
    </w:p>
    <w:p w:rsidRPr="00FA558D" w:rsidR="00B91619" w:rsidP="00B91619" w:rsidRDefault="00B91619" w14:paraId="76DCF479" w14:textId="40185B23">
      <w:pPr>
        <w:tabs>
          <w:tab w:val="left" w:pos="9356"/>
        </w:tabs>
        <w:spacing w:after="0" w:line="240" w:lineRule="auto"/>
        <w:rPr>
          <w:lang w:val="fr-CA"/>
        </w:rPr>
      </w:pPr>
      <w:r>
        <w:rPr>
          <w:lang w:val="fr-CA"/>
        </w:rPr>
        <w:t>Si le</w:t>
      </w:r>
      <w:r w:rsidRPr="00FA558D">
        <w:rPr>
          <w:lang w:val="fr-CA"/>
        </w:rPr>
        <w:t xml:space="preserve"> </w:t>
      </w:r>
      <w:r>
        <w:rPr>
          <w:lang w:val="fr-CA"/>
        </w:rPr>
        <w:t>projet</w:t>
      </w:r>
      <w:r w:rsidRPr="00FA558D">
        <w:rPr>
          <w:lang w:val="fr-CA"/>
        </w:rPr>
        <w:t xml:space="preserve"> </w:t>
      </w:r>
      <w:r>
        <w:rPr>
          <w:lang w:val="fr-CA"/>
        </w:rPr>
        <w:t>comprend</w:t>
      </w:r>
      <w:r w:rsidRPr="00FA558D">
        <w:rPr>
          <w:lang w:val="fr-CA"/>
        </w:rPr>
        <w:t xml:space="preserve"> </w:t>
      </w:r>
      <w:r>
        <w:rPr>
          <w:lang w:val="fr-CA"/>
        </w:rPr>
        <w:t>une</w:t>
      </w:r>
      <w:r w:rsidRPr="00FA558D">
        <w:rPr>
          <w:lang w:val="fr-CA"/>
        </w:rPr>
        <w:t xml:space="preserve"> </w:t>
      </w:r>
      <w:r w:rsidR="00962EDA">
        <w:rPr>
          <w:lang w:val="fr-CA"/>
        </w:rPr>
        <w:t>s</w:t>
      </w:r>
      <w:r>
        <w:rPr>
          <w:lang w:val="fr-CA"/>
        </w:rPr>
        <w:t xml:space="preserve">ection sur la </w:t>
      </w:r>
      <w:r w:rsidR="00B12BEF">
        <w:rPr>
          <w:lang w:val="fr-CA"/>
        </w:rPr>
        <w:t>L</w:t>
      </w:r>
      <w:r w:rsidR="00827BD1">
        <w:rPr>
          <w:lang w:val="fr-CA"/>
        </w:rPr>
        <w:t>entille</w:t>
      </w:r>
      <w:r>
        <w:rPr>
          <w:lang w:val="fr-CA"/>
        </w:rPr>
        <w:t xml:space="preserve"> des petites entreprises</w:t>
      </w:r>
      <w:r w:rsidRPr="00FA558D">
        <w:rPr>
          <w:lang w:val="fr-CA"/>
        </w:rPr>
        <w:t>, i</w:t>
      </w:r>
      <w:r>
        <w:rPr>
          <w:lang w:val="fr-CA"/>
        </w:rPr>
        <w:t>l</w:t>
      </w:r>
      <w:r w:rsidRPr="00FA558D">
        <w:rPr>
          <w:lang w:val="fr-CA"/>
        </w:rPr>
        <w:t xml:space="preserve"> </w:t>
      </w:r>
      <w:r>
        <w:rPr>
          <w:lang w:val="fr-CA"/>
        </w:rPr>
        <w:t>d</w:t>
      </w:r>
      <w:r w:rsidR="00B12BEF">
        <w:rPr>
          <w:lang w:val="fr-CA"/>
        </w:rPr>
        <w:t xml:space="preserve">evrait </w:t>
      </w:r>
      <w:r>
        <w:rPr>
          <w:lang w:val="fr-CA"/>
        </w:rPr>
        <w:t>comprendre le libellé suivant :</w:t>
      </w:r>
      <w:r w:rsidRPr="00FA558D">
        <w:rPr>
          <w:lang w:val="fr-CA"/>
        </w:rPr>
        <w:t xml:space="preserve"> </w:t>
      </w:r>
      <w:r>
        <w:rPr>
          <w:lang w:val="fr-CA"/>
        </w:rPr>
        <w:t>« </w:t>
      </w:r>
      <w:r w:rsidRPr="00AE7920" w:rsidR="00AE7920">
        <w:rPr>
          <w:lang w:val="fr-CA"/>
        </w:rPr>
        <w:t xml:space="preserve">Le règlement </w:t>
      </w:r>
      <w:r w:rsidR="00616176">
        <w:rPr>
          <w:lang w:val="fr-CA"/>
        </w:rPr>
        <w:t>n</w:t>
      </w:r>
      <w:r w:rsidR="00B12BEF">
        <w:rPr>
          <w:lang w:val="fr-CA"/>
        </w:rPr>
        <w:t>e fait pas partie du champ d’application de</w:t>
      </w:r>
      <w:r w:rsidR="00616176">
        <w:rPr>
          <w:lang w:val="fr-CA"/>
        </w:rPr>
        <w:t xml:space="preserve"> </w:t>
      </w:r>
      <w:r w:rsidRPr="00AE7920" w:rsidR="00AE7920">
        <w:rPr>
          <w:lang w:val="fr-CA"/>
        </w:rPr>
        <w:t xml:space="preserve">la </w:t>
      </w:r>
      <w:r w:rsidR="00B12BEF">
        <w:rPr>
          <w:lang w:val="fr-CA"/>
        </w:rPr>
        <w:t>L</w:t>
      </w:r>
      <w:r w:rsidRPr="00AE7920" w:rsidR="00AE7920">
        <w:rPr>
          <w:lang w:val="fr-CA"/>
        </w:rPr>
        <w:t>entille des petites entreprises parce qu’il est pris par un</w:t>
      </w:r>
      <w:r w:rsidR="00B12BEF">
        <w:rPr>
          <w:lang w:val="fr-CA"/>
        </w:rPr>
        <w:t xml:space="preserve">e autorité </w:t>
      </w:r>
      <w:r w:rsidRPr="00AE7920" w:rsidR="00AE7920">
        <w:rPr>
          <w:lang w:val="fr-CA"/>
        </w:rPr>
        <w:t>de réglementation indépendant</w:t>
      </w:r>
      <w:r w:rsidR="00B12BEF">
        <w:rPr>
          <w:lang w:val="fr-CA"/>
        </w:rPr>
        <w:t>e</w:t>
      </w:r>
      <w:r w:rsidRPr="00AE7920" w:rsidR="00AE7920">
        <w:rPr>
          <w:lang w:val="fr-CA"/>
        </w:rPr>
        <w:t>.</w:t>
      </w:r>
      <w:r>
        <w:rPr>
          <w:lang w:val="fr-CA"/>
        </w:rPr>
        <w:t> »</w:t>
      </w:r>
      <w:r w:rsidRPr="00FA558D">
        <w:rPr>
          <w:lang w:val="fr-CA"/>
        </w:rPr>
        <w:t xml:space="preserve"> </w:t>
      </w:r>
    </w:p>
    <w:p w:rsidRPr="00FA558D" w:rsidR="00B91619" w:rsidP="00B91619" w:rsidRDefault="00B91619" w14:paraId="159BCC3B" w14:textId="77777777">
      <w:pPr>
        <w:tabs>
          <w:tab w:val="left" w:pos="9356"/>
        </w:tabs>
        <w:spacing w:after="0" w:line="240" w:lineRule="auto"/>
        <w:rPr>
          <w:lang w:val="fr-CA"/>
        </w:rPr>
      </w:pPr>
    </w:p>
    <w:p w:rsidRPr="00FA558D" w:rsidR="00B91619" w:rsidP="00B91619" w:rsidRDefault="00B91619" w14:paraId="14F6BA18" w14:textId="79AAADAA">
      <w:pPr>
        <w:tabs>
          <w:tab w:val="left" w:pos="9356"/>
        </w:tabs>
        <w:spacing w:after="0" w:line="240" w:lineRule="auto"/>
        <w:rPr>
          <w:lang w:val="fr-CA"/>
        </w:rPr>
      </w:pPr>
      <w:r>
        <w:rPr>
          <w:b/>
          <w:lang w:val="fr-CA"/>
        </w:rPr>
        <w:t>Aucune répercussion</w:t>
      </w:r>
      <w:r w:rsidRPr="00FA558D">
        <w:rPr>
          <w:b/>
          <w:lang w:val="fr-CA"/>
        </w:rPr>
        <w:t xml:space="preserve"> </w:t>
      </w:r>
      <w:r w:rsidR="00962EDA">
        <w:rPr>
          <w:b/>
          <w:lang w:val="fr-CA"/>
        </w:rPr>
        <w:t xml:space="preserve">sur </w:t>
      </w:r>
      <w:r>
        <w:rPr>
          <w:b/>
          <w:lang w:val="fr-CA"/>
        </w:rPr>
        <w:t>les entreprises</w:t>
      </w:r>
      <w:r w:rsidRPr="00FA558D">
        <w:rPr>
          <w:lang w:val="fr-CA"/>
        </w:rPr>
        <w:t xml:space="preserve"> </w:t>
      </w:r>
    </w:p>
    <w:p w:rsidRPr="00FA558D" w:rsidR="00B91619" w:rsidP="00B91619" w:rsidRDefault="00B4147F" w14:paraId="584DE935" w14:textId="1237CEBD">
      <w:pPr>
        <w:tabs>
          <w:tab w:val="left" w:pos="9356"/>
        </w:tabs>
        <w:spacing w:after="0" w:line="240" w:lineRule="auto"/>
        <w:rPr>
          <w:lang w:val="fr-CA"/>
        </w:rPr>
      </w:pPr>
      <w:r>
        <w:rPr>
          <w:lang w:val="fr-CA"/>
        </w:rPr>
        <w:t>Le projet</w:t>
      </w:r>
      <w:r w:rsidRPr="00FA558D">
        <w:rPr>
          <w:lang w:val="fr-CA"/>
        </w:rPr>
        <w:t xml:space="preserve"> </w:t>
      </w:r>
      <w:proofErr w:type="gramStart"/>
      <w:r>
        <w:rPr>
          <w:lang w:val="fr-CA"/>
        </w:rPr>
        <w:t>n’a</w:t>
      </w:r>
      <w:proofErr w:type="gramEnd"/>
      <w:r>
        <w:rPr>
          <w:lang w:val="fr-CA"/>
        </w:rPr>
        <w:t xml:space="preserve"> aucune répercussion</w:t>
      </w:r>
      <w:r w:rsidRPr="00FA558D">
        <w:rPr>
          <w:lang w:val="fr-CA"/>
        </w:rPr>
        <w:t xml:space="preserve"> </w:t>
      </w:r>
      <w:r>
        <w:rPr>
          <w:lang w:val="fr-CA"/>
        </w:rPr>
        <w:t>sur tout type d’entreprise</w:t>
      </w:r>
      <w:r w:rsidRPr="00FA558D">
        <w:rPr>
          <w:lang w:val="fr-CA"/>
        </w:rPr>
        <w:t xml:space="preserve"> </w:t>
      </w:r>
      <w:r w:rsidR="004A7A53">
        <w:rPr>
          <w:lang w:val="fr-CA"/>
        </w:rPr>
        <w:t>au sens</w:t>
      </w:r>
      <w:r>
        <w:rPr>
          <w:lang w:val="fr-CA"/>
        </w:rPr>
        <w:t xml:space="preserve"> d</w:t>
      </w:r>
      <w:r w:rsidR="004A7A53">
        <w:rPr>
          <w:lang w:val="fr-CA"/>
        </w:rPr>
        <w:t>e</w:t>
      </w:r>
      <w:r>
        <w:rPr>
          <w:lang w:val="fr-CA"/>
        </w:rPr>
        <w:t xml:space="preserve"> la sec</w:t>
      </w:r>
      <w:r w:rsidRPr="00FA558D">
        <w:rPr>
          <w:lang w:val="fr-CA"/>
        </w:rPr>
        <w:t>tion 5</w:t>
      </w:r>
      <w:r>
        <w:rPr>
          <w:lang w:val="fr-CA"/>
        </w:rPr>
        <w:t xml:space="preserve"> de la politique</w:t>
      </w:r>
      <w:r w:rsidRPr="00FA558D" w:rsidR="00B91619">
        <w:rPr>
          <w:lang w:val="fr-CA"/>
        </w:rPr>
        <w:t xml:space="preserve">. </w:t>
      </w:r>
    </w:p>
    <w:p w:rsidRPr="00FA558D" w:rsidR="00B91619" w:rsidP="00B91619" w:rsidRDefault="00B91619" w14:paraId="3FF882D3" w14:textId="77777777">
      <w:pPr>
        <w:pStyle w:val="ListParagraph"/>
        <w:tabs>
          <w:tab w:val="left" w:pos="9356"/>
        </w:tabs>
        <w:spacing w:after="0" w:line="240" w:lineRule="auto"/>
        <w:ind w:left="426"/>
        <w:rPr>
          <w:lang w:val="fr-CA"/>
        </w:rPr>
      </w:pPr>
    </w:p>
    <w:p w:rsidRPr="00FA558D" w:rsidR="00B91619" w:rsidP="00B91619" w:rsidRDefault="00B91619" w14:paraId="3BBFBA0F" w14:textId="1084CE95">
      <w:pPr>
        <w:tabs>
          <w:tab w:val="left" w:pos="9356"/>
        </w:tabs>
        <w:spacing w:after="0" w:line="240" w:lineRule="auto"/>
        <w:rPr>
          <w:lang w:val="fr-CA"/>
        </w:rPr>
      </w:pPr>
      <w:r>
        <w:rPr>
          <w:lang w:val="fr-CA"/>
        </w:rPr>
        <w:t xml:space="preserve">Dans un tel </w:t>
      </w:r>
      <w:r w:rsidR="004A7A53">
        <w:rPr>
          <w:lang w:val="fr-CA"/>
        </w:rPr>
        <w:t>scénario</w:t>
      </w:r>
      <w:r w:rsidRPr="00FA558D">
        <w:rPr>
          <w:lang w:val="fr-CA"/>
        </w:rPr>
        <w:t xml:space="preserve">, </w:t>
      </w:r>
      <w:r>
        <w:rPr>
          <w:lang w:val="fr-CA"/>
        </w:rPr>
        <w:t xml:space="preserve">la section sur la </w:t>
      </w:r>
      <w:r w:rsidR="004A7A53">
        <w:rPr>
          <w:lang w:val="fr-CA"/>
        </w:rPr>
        <w:t>L</w:t>
      </w:r>
      <w:r>
        <w:rPr>
          <w:lang w:val="fr-CA"/>
        </w:rPr>
        <w:t>entille des petites entreprises</w:t>
      </w:r>
      <w:r w:rsidRPr="00FA558D">
        <w:rPr>
          <w:lang w:val="fr-CA"/>
        </w:rPr>
        <w:t xml:space="preserve"> </w:t>
      </w:r>
      <w:r>
        <w:rPr>
          <w:lang w:val="fr-CA"/>
        </w:rPr>
        <w:t>doit comprendre le libellé suivant :</w:t>
      </w:r>
      <w:r w:rsidRPr="00FA558D">
        <w:rPr>
          <w:lang w:val="fr-CA"/>
        </w:rPr>
        <w:t xml:space="preserve"> </w:t>
      </w:r>
      <w:r>
        <w:rPr>
          <w:lang w:val="fr-CA"/>
        </w:rPr>
        <w:t>« </w:t>
      </w:r>
      <w:r w:rsidRPr="00AE7920" w:rsidR="00AE7920">
        <w:rPr>
          <w:lang w:val="fr-CA"/>
        </w:rPr>
        <w:t xml:space="preserve">L’analyse effectuée </w:t>
      </w:r>
      <w:r w:rsidR="0097054A">
        <w:rPr>
          <w:lang w:val="fr-CA"/>
        </w:rPr>
        <w:t xml:space="preserve">dans le </w:t>
      </w:r>
      <w:r w:rsidRPr="00AE7920" w:rsidR="00AE7920">
        <w:rPr>
          <w:lang w:val="fr-CA"/>
        </w:rPr>
        <w:t xml:space="preserve">cadre de la </w:t>
      </w:r>
      <w:r w:rsidR="004A7A53">
        <w:rPr>
          <w:lang w:val="fr-CA"/>
        </w:rPr>
        <w:t>L</w:t>
      </w:r>
      <w:r w:rsidRPr="00AE7920" w:rsidR="00AE7920">
        <w:rPr>
          <w:lang w:val="fr-CA"/>
        </w:rPr>
        <w:t xml:space="preserve">entille des petites entreprises a </w:t>
      </w:r>
      <w:r w:rsidR="004A7A53">
        <w:rPr>
          <w:lang w:val="fr-CA"/>
        </w:rPr>
        <w:t>révélé</w:t>
      </w:r>
      <w:r w:rsidRPr="00AE7920" w:rsidR="00AE7920">
        <w:rPr>
          <w:lang w:val="fr-CA"/>
        </w:rPr>
        <w:t xml:space="preserve"> que le </w:t>
      </w:r>
      <w:r w:rsidR="004A7A53">
        <w:rPr>
          <w:lang w:val="fr-CA"/>
        </w:rPr>
        <w:t xml:space="preserve">projet de </w:t>
      </w:r>
      <w:r w:rsidRPr="00AE7920" w:rsidR="00AE7920">
        <w:rPr>
          <w:lang w:val="fr-CA"/>
        </w:rPr>
        <w:t xml:space="preserve">règlement n’aura aucune répercussion sur les </w:t>
      </w:r>
      <w:r w:rsidR="00AE7920">
        <w:rPr>
          <w:lang w:val="fr-CA"/>
        </w:rPr>
        <w:t xml:space="preserve">petites </w:t>
      </w:r>
      <w:r w:rsidRPr="00AE7920" w:rsidR="00AE7920">
        <w:rPr>
          <w:lang w:val="fr-CA"/>
        </w:rPr>
        <w:t>entreprises canadiennes.</w:t>
      </w:r>
      <w:r w:rsidR="009647E5">
        <w:rPr>
          <w:lang w:val="fr-CA"/>
        </w:rPr>
        <w:t> </w:t>
      </w:r>
      <w:r>
        <w:rPr>
          <w:lang w:val="fr-CA"/>
        </w:rPr>
        <w:t>»</w:t>
      </w:r>
    </w:p>
    <w:p w:rsidRPr="00FA558D" w:rsidR="00B91619" w:rsidP="00B91619" w:rsidRDefault="00B91619" w14:paraId="4551B062" w14:textId="77777777">
      <w:pPr>
        <w:pStyle w:val="ListParagraph"/>
        <w:tabs>
          <w:tab w:val="left" w:pos="9356"/>
        </w:tabs>
        <w:spacing w:after="0" w:line="240" w:lineRule="auto"/>
        <w:ind w:left="426"/>
        <w:rPr>
          <w:lang w:val="fr-CA"/>
        </w:rPr>
      </w:pPr>
    </w:p>
    <w:p w:rsidRPr="00FA558D" w:rsidR="00B91619" w:rsidP="00B91619" w:rsidRDefault="00B91619" w14:paraId="69E87EC2" w14:textId="363AA211">
      <w:pPr>
        <w:tabs>
          <w:tab w:val="left" w:pos="9356"/>
        </w:tabs>
        <w:spacing w:after="0" w:line="240" w:lineRule="auto"/>
        <w:rPr>
          <w:lang w:val="fr-CA"/>
        </w:rPr>
      </w:pPr>
      <w:r>
        <w:rPr>
          <w:lang w:val="fr-CA"/>
        </w:rPr>
        <w:t>La section</w:t>
      </w:r>
      <w:r w:rsidRPr="00FA558D">
        <w:rPr>
          <w:lang w:val="fr-CA"/>
        </w:rPr>
        <w:t xml:space="preserve"> </w:t>
      </w:r>
      <w:r>
        <w:rPr>
          <w:lang w:val="fr-CA"/>
        </w:rPr>
        <w:t>devrait</w:t>
      </w:r>
      <w:r w:rsidRPr="00FA558D">
        <w:rPr>
          <w:lang w:val="fr-CA"/>
        </w:rPr>
        <w:t xml:space="preserve"> </w:t>
      </w:r>
      <w:r>
        <w:rPr>
          <w:lang w:val="fr-CA"/>
        </w:rPr>
        <w:t>aussi</w:t>
      </w:r>
      <w:r w:rsidRPr="00FA558D">
        <w:rPr>
          <w:lang w:val="fr-CA"/>
        </w:rPr>
        <w:t xml:space="preserve"> </w:t>
      </w:r>
      <w:r>
        <w:rPr>
          <w:lang w:val="fr-CA"/>
        </w:rPr>
        <w:t>comprendre</w:t>
      </w:r>
      <w:r w:rsidRPr="00FA558D">
        <w:rPr>
          <w:lang w:val="fr-CA"/>
        </w:rPr>
        <w:t xml:space="preserve"> </w:t>
      </w:r>
      <w:r>
        <w:rPr>
          <w:lang w:val="fr-CA"/>
        </w:rPr>
        <w:t>une courte</w:t>
      </w:r>
      <w:r w:rsidRPr="00FA558D">
        <w:rPr>
          <w:lang w:val="fr-CA"/>
        </w:rPr>
        <w:t xml:space="preserve"> </w:t>
      </w:r>
      <w:r>
        <w:rPr>
          <w:lang w:val="fr-CA"/>
        </w:rPr>
        <w:t>explication</w:t>
      </w:r>
      <w:r w:rsidRPr="00FA558D">
        <w:rPr>
          <w:lang w:val="fr-CA"/>
        </w:rPr>
        <w:t xml:space="preserve"> </w:t>
      </w:r>
      <w:r>
        <w:rPr>
          <w:lang w:val="fr-CA"/>
        </w:rPr>
        <w:t>de la na</w:t>
      </w:r>
      <w:r w:rsidRPr="00FA558D">
        <w:rPr>
          <w:lang w:val="fr-CA"/>
        </w:rPr>
        <w:t xml:space="preserve">ture </w:t>
      </w:r>
      <w:r>
        <w:rPr>
          <w:lang w:val="fr-CA"/>
        </w:rPr>
        <w:t>du règlement et de</w:t>
      </w:r>
      <w:r w:rsidR="004A7A53">
        <w:rPr>
          <w:lang w:val="fr-CA"/>
        </w:rPr>
        <w:t>s</w:t>
      </w:r>
      <w:r>
        <w:rPr>
          <w:lang w:val="fr-CA"/>
        </w:rPr>
        <w:t xml:space="preserve"> </w:t>
      </w:r>
      <w:r w:rsidRPr="00FA558D">
        <w:rPr>
          <w:lang w:val="fr-CA"/>
        </w:rPr>
        <w:t>enti</w:t>
      </w:r>
      <w:r>
        <w:rPr>
          <w:lang w:val="fr-CA"/>
        </w:rPr>
        <w:t>tés qui subiront les répercussions</w:t>
      </w:r>
      <w:r w:rsidRPr="00FA558D">
        <w:rPr>
          <w:lang w:val="fr-CA"/>
        </w:rPr>
        <w:t>.</w:t>
      </w:r>
    </w:p>
    <w:p w:rsidRPr="00FA558D" w:rsidR="00B91619" w:rsidP="00B91619" w:rsidRDefault="00B91619" w14:paraId="1753CC8B" w14:textId="77777777">
      <w:pPr>
        <w:pStyle w:val="ListParagraph"/>
        <w:tabs>
          <w:tab w:val="left" w:pos="9356"/>
        </w:tabs>
        <w:spacing w:after="0" w:line="240" w:lineRule="auto"/>
        <w:rPr>
          <w:lang w:val="fr-CA"/>
        </w:rPr>
      </w:pPr>
    </w:p>
    <w:p w:rsidRPr="00FA558D" w:rsidR="00B91619" w:rsidP="00B91619" w:rsidRDefault="00B91619" w14:paraId="04DAB1D6" w14:textId="77777777">
      <w:pPr>
        <w:tabs>
          <w:tab w:val="left" w:pos="9356"/>
        </w:tabs>
        <w:spacing w:after="0" w:line="240" w:lineRule="auto"/>
        <w:rPr>
          <w:lang w:val="fr-CA"/>
        </w:rPr>
      </w:pPr>
      <w:r>
        <w:rPr>
          <w:b/>
          <w:lang w:val="fr-CA"/>
        </w:rPr>
        <w:t>Aucune répercussion</w:t>
      </w:r>
      <w:r w:rsidRPr="00FA558D">
        <w:rPr>
          <w:b/>
          <w:lang w:val="fr-CA"/>
        </w:rPr>
        <w:t xml:space="preserve"> </w:t>
      </w:r>
      <w:r>
        <w:rPr>
          <w:b/>
          <w:lang w:val="fr-CA"/>
        </w:rPr>
        <w:t>sur les petites entreprises</w:t>
      </w:r>
      <w:r w:rsidRPr="00FA558D">
        <w:rPr>
          <w:lang w:val="fr-CA"/>
        </w:rPr>
        <w:t xml:space="preserve"> </w:t>
      </w:r>
    </w:p>
    <w:p w:rsidRPr="00FA558D" w:rsidR="00B91619" w:rsidP="00B91619" w:rsidRDefault="00B91619" w14:paraId="54E52134" w14:textId="230D4805">
      <w:pPr>
        <w:tabs>
          <w:tab w:val="left" w:pos="9356"/>
        </w:tabs>
        <w:spacing w:after="0" w:line="240" w:lineRule="auto"/>
        <w:rPr>
          <w:lang w:val="fr-CA"/>
        </w:rPr>
      </w:pPr>
      <w:r>
        <w:rPr>
          <w:lang w:val="fr-CA"/>
        </w:rPr>
        <w:t>Le projet</w:t>
      </w:r>
      <w:r w:rsidRPr="00FA558D">
        <w:rPr>
          <w:lang w:val="fr-CA"/>
        </w:rPr>
        <w:t xml:space="preserve"> </w:t>
      </w:r>
      <w:r>
        <w:rPr>
          <w:lang w:val="fr-CA"/>
        </w:rPr>
        <w:t>n’a aucune répercussion</w:t>
      </w:r>
      <w:r w:rsidRPr="00FA558D">
        <w:rPr>
          <w:lang w:val="fr-CA"/>
        </w:rPr>
        <w:t xml:space="preserve"> </w:t>
      </w:r>
      <w:r>
        <w:rPr>
          <w:lang w:val="fr-CA"/>
        </w:rPr>
        <w:t xml:space="preserve">sur les petites entreprises, mais aura des répercussions sur les entreprises qui </w:t>
      </w:r>
      <w:r w:rsidR="00B66660">
        <w:rPr>
          <w:lang w:val="fr-CA"/>
        </w:rPr>
        <w:t>n’entrent pas dans la définition de</w:t>
      </w:r>
      <w:r>
        <w:rPr>
          <w:lang w:val="fr-CA"/>
        </w:rPr>
        <w:t xml:space="preserve"> « petite entreprise »</w:t>
      </w:r>
      <w:r w:rsidRPr="00FA558D">
        <w:rPr>
          <w:lang w:val="fr-CA"/>
        </w:rPr>
        <w:t xml:space="preserve"> </w:t>
      </w:r>
      <w:r w:rsidR="00B66660">
        <w:rPr>
          <w:lang w:val="fr-CA"/>
        </w:rPr>
        <w:t>de</w:t>
      </w:r>
      <w:r>
        <w:rPr>
          <w:lang w:val="fr-CA"/>
        </w:rPr>
        <w:t xml:space="preserve"> la sec</w:t>
      </w:r>
      <w:r w:rsidRPr="00FA558D">
        <w:rPr>
          <w:lang w:val="fr-CA"/>
        </w:rPr>
        <w:t>tion 5</w:t>
      </w:r>
      <w:r>
        <w:rPr>
          <w:lang w:val="fr-CA"/>
        </w:rPr>
        <w:t xml:space="preserve"> de la </w:t>
      </w:r>
      <w:r w:rsidR="00962EDA">
        <w:rPr>
          <w:lang w:val="fr-CA"/>
        </w:rPr>
        <w:t>p</w:t>
      </w:r>
      <w:r>
        <w:rPr>
          <w:lang w:val="fr-CA"/>
        </w:rPr>
        <w:t>olitique</w:t>
      </w:r>
      <w:r w:rsidRPr="00FA558D">
        <w:rPr>
          <w:lang w:val="fr-CA"/>
        </w:rPr>
        <w:t xml:space="preserve">. </w:t>
      </w:r>
    </w:p>
    <w:p w:rsidRPr="00FA558D" w:rsidR="00B91619" w:rsidP="00B91619" w:rsidRDefault="00B91619" w14:paraId="7537A626" w14:textId="77777777">
      <w:pPr>
        <w:pStyle w:val="ListParagraph"/>
        <w:tabs>
          <w:tab w:val="left" w:pos="9356"/>
        </w:tabs>
        <w:spacing w:after="0" w:line="240" w:lineRule="auto"/>
        <w:rPr>
          <w:lang w:val="fr-CA"/>
        </w:rPr>
      </w:pPr>
    </w:p>
    <w:p w:rsidRPr="00FA558D" w:rsidR="00B91619" w:rsidP="00B91619" w:rsidRDefault="00B91619" w14:paraId="72EDECF9" w14:textId="1E9108E9">
      <w:pPr>
        <w:tabs>
          <w:tab w:val="left" w:pos="9356"/>
        </w:tabs>
        <w:spacing w:after="0" w:line="240" w:lineRule="auto"/>
        <w:rPr>
          <w:lang w:val="fr-CA"/>
        </w:rPr>
      </w:pPr>
      <w:r>
        <w:rPr>
          <w:lang w:val="fr-CA"/>
        </w:rPr>
        <w:t xml:space="preserve">Dans un tel </w:t>
      </w:r>
      <w:r w:rsidR="00B66660">
        <w:rPr>
          <w:lang w:val="fr-CA"/>
        </w:rPr>
        <w:t>scénario</w:t>
      </w:r>
      <w:r w:rsidRPr="00FA558D">
        <w:rPr>
          <w:lang w:val="fr-CA"/>
        </w:rPr>
        <w:t xml:space="preserve">, </w:t>
      </w:r>
      <w:r>
        <w:rPr>
          <w:lang w:val="fr-CA"/>
        </w:rPr>
        <w:t xml:space="preserve">la section sur la </w:t>
      </w:r>
      <w:r w:rsidR="00B66660">
        <w:rPr>
          <w:lang w:val="fr-CA"/>
        </w:rPr>
        <w:t>L</w:t>
      </w:r>
      <w:r>
        <w:rPr>
          <w:lang w:val="fr-CA"/>
        </w:rPr>
        <w:t>entille des petites entreprises</w:t>
      </w:r>
      <w:r w:rsidRPr="00FA558D">
        <w:rPr>
          <w:lang w:val="fr-CA"/>
        </w:rPr>
        <w:t xml:space="preserve"> </w:t>
      </w:r>
      <w:r>
        <w:rPr>
          <w:lang w:val="fr-CA"/>
        </w:rPr>
        <w:t>doit comprendre le libellé suivant :</w:t>
      </w:r>
      <w:r w:rsidRPr="00FA558D">
        <w:rPr>
          <w:lang w:val="fr-CA"/>
        </w:rPr>
        <w:t xml:space="preserve"> </w:t>
      </w:r>
      <w:r>
        <w:rPr>
          <w:lang w:val="fr-CA"/>
        </w:rPr>
        <w:t>« </w:t>
      </w:r>
      <w:r w:rsidRPr="00AE7920" w:rsidR="00AE7920">
        <w:rPr>
          <w:lang w:val="fr-CA"/>
        </w:rPr>
        <w:t xml:space="preserve">L’analyse </w:t>
      </w:r>
      <w:r w:rsidR="004C7ECA">
        <w:rPr>
          <w:lang w:val="fr-CA"/>
        </w:rPr>
        <w:t xml:space="preserve">effectuée </w:t>
      </w:r>
      <w:r w:rsidRPr="00AE7920" w:rsidR="00AE7920">
        <w:rPr>
          <w:lang w:val="fr-CA"/>
        </w:rPr>
        <w:t xml:space="preserve">dans le cadre de la </w:t>
      </w:r>
      <w:r w:rsidR="00B66660">
        <w:rPr>
          <w:lang w:val="fr-CA"/>
        </w:rPr>
        <w:t>L</w:t>
      </w:r>
      <w:r w:rsidRPr="00AE7920" w:rsidR="00AE7920">
        <w:rPr>
          <w:lang w:val="fr-CA"/>
        </w:rPr>
        <w:t xml:space="preserve">entille des petites entreprises a </w:t>
      </w:r>
      <w:r w:rsidR="00B66660">
        <w:rPr>
          <w:lang w:val="fr-CA"/>
        </w:rPr>
        <w:t>révélé</w:t>
      </w:r>
      <w:r w:rsidRPr="00AE7920" w:rsidR="00AE7920">
        <w:rPr>
          <w:lang w:val="fr-CA"/>
        </w:rPr>
        <w:t xml:space="preserve"> que le </w:t>
      </w:r>
      <w:r w:rsidR="00B66660">
        <w:rPr>
          <w:lang w:val="fr-CA"/>
        </w:rPr>
        <w:t xml:space="preserve">projet de </w:t>
      </w:r>
      <w:r w:rsidRPr="00AE7920" w:rsidR="00AE7920">
        <w:rPr>
          <w:lang w:val="fr-CA"/>
        </w:rPr>
        <w:t>règlement n’aura aucune répercussion sur les petites entreprises canadiennes</w:t>
      </w:r>
      <w:r w:rsidRPr="00FA558D">
        <w:rPr>
          <w:lang w:val="fr-CA"/>
        </w:rPr>
        <w:t>.</w:t>
      </w:r>
      <w:r>
        <w:rPr>
          <w:lang w:val="fr-CA"/>
        </w:rPr>
        <w:t> »</w:t>
      </w:r>
      <w:r w:rsidRPr="00FA558D">
        <w:rPr>
          <w:lang w:val="fr-CA"/>
        </w:rPr>
        <w:t xml:space="preserve"> </w:t>
      </w:r>
    </w:p>
    <w:p w:rsidRPr="00FA558D" w:rsidR="00B91619" w:rsidP="00B91619" w:rsidRDefault="00B91619" w14:paraId="2CA8FF53" w14:textId="77777777">
      <w:pPr>
        <w:tabs>
          <w:tab w:val="left" w:pos="9356"/>
        </w:tabs>
        <w:spacing w:after="0" w:line="240" w:lineRule="auto"/>
        <w:ind w:left="720"/>
        <w:rPr>
          <w:lang w:val="fr-CA"/>
        </w:rPr>
      </w:pPr>
    </w:p>
    <w:p w:rsidRPr="00FA558D" w:rsidR="00B91619" w:rsidP="00B91619" w:rsidRDefault="00B91619" w14:paraId="6A57D829" w14:textId="5017E67F">
      <w:pPr>
        <w:tabs>
          <w:tab w:val="left" w:pos="9356"/>
        </w:tabs>
        <w:spacing w:after="0" w:line="240" w:lineRule="auto"/>
        <w:rPr>
          <w:lang w:val="fr-CA"/>
        </w:rPr>
      </w:pPr>
      <w:r>
        <w:rPr>
          <w:lang w:val="fr-CA"/>
        </w:rPr>
        <w:t>Vu les répercussions sur les plus grandes entreprises</w:t>
      </w:r>
      <w:r w:rsidRPr="00FA558D">
        <w:rPr>
          <w:lang w:val="fr-CA"/>
        </w:rPr>
        <w:t xml:space="preserve">, </w:t>
      </w:r>
      <w:r>
        <w:rPr>
          <w:lang w:val="fr-CA"/>
        </w:rPr>
        <w:t>il est recommandé de donner une courte explication</w:t>
      </w:r>
      <w:r w:rsidRPr="00FA558D">
        <w:rPr>
          <w:lang w:val="fr-CA"/>
        </w:rPr>
        <w:t xml:space="preserve"> </w:t>
      </w:r>
      <w:r>
        <w:rPr>
          <w:lang w:val="fr-CA"/>
        </w:rPr>
        <w:t xml:space="preserve">qualitative de ces répercussions </w:t>
      </w:r>
      <w:r w:rsidR="00962EDA">
        <w:rPr>
          <w:lang w:val="fr-CA"/>
        </w:rPr>
        <w:t>à des fins</w:t>
      </w:r>
      <w:r>
        <w:rPr>
          <w:lang w:val="fr-CA"/>
        </w:rPr>
        <w:t xml:space="preserve"> de tra</w:t>
      </w:r>
      <w:r w:rsidRPr="00FA558D">
        <w:rPr>
          <w:lang w:val="fr-CA"/>
        </w:rPr>
        <w:t>nspa</w:t>
      </w:r>
      <w:r>
        <w:rPr>
          <w:lang w:val="fr-CA"/>
        </w:rPr>
        <w:t>rence</w:t>
      </w:r>
      <w:r w:rsidRPr="00FA558D">
        <w:rPr>
          <w:lang w:val="fr-CA"/>
        </w:rPr>
        <w:t>.</w:t>
      </w:r>
    </w:p>
    <w:p w:rsidRPr="00FA558D" w:rsidR="00B91619" w:rsidP="00B91619" w:rsidRDefault="00B91619" w14:paraId="470C81E6" w14:textId="77777777">
      <w:pPr>
        <w:tabs>
          <w:tab w:val="left" w:pos="9356"/>
        </w:tabs>
        <w:spacing w:after="0" w:line="240" w:lineRule="auto"/>
        <w:rPr>
          <w:lang w:val="fr-CA"/>
        </w:rPr>
      </w:pPr>
    </w:p>
    <w:p w:rsidRPr="00FA558D" w:rsidR="00B91619" w:rsidP="00B91619" w:rsidRDefault="00B66660" w14:paraId="45E028B3" w14:textId="388781A9">
      <w:pPr>
        <w:pStyle w:val="Heading4"/>
        <w:rPr>
          <w:lang w:val="fr-CA"/>
        </w:rPr>
      </w:pPr>
      <w:r>
        <w:rPr>
          <w:lang w:val="fr-CA"/>
        </w:rPr>
        <w:t>Détermination et description des répercussions sur les petites entreprises</w:t>
      </w:r>
    </w:p>
    <w:p w:rsidRPr="00FA558D" w:rsidR="00B91619" w:rsidP="00B91619" w:rsidRDefault="00B91619" w14:paraId="43863431" w14:textId="77777777">
      <w:pPr>
        <w:tabs>
          <w:tab w:val="left" w:pos="9356"/>
        </w:tabs>
        <w:spacing w:after="0" w:line="240" w:lineRule="auto"/>
        <w:rPr>
          <w:lang w:val="fr-CA"/>
        </w:rPr>
      </w:pPr>
    </w:p>
    <w:p w:rsidRPr="00FA558D" w:rsidR="00B91619" w:rsidP="00B91619" w:rsidRDefault="00B91619" w14:paraId="0E8D1B7D" w14:textId="236C83AD">
      <w:pPr>
        <w:tabs>
          <w:tab w:val="left" w:pos="9356"/>
        </w:tabs>
        <w:spacing w:after="0" w:line="240" w:lineRule="auto"/>
        <w:rPr>
          <w:lang w:val="fr-CA"/>
        </w:rPr>
      </w:pPr>
      <w:r>
        <w:rPr>
          <w:lang w:val="fr-CA"/>
        </w:rPr>
        <w:t xml:space="preserve">La </w:t>
      </w:r>
      <w:r w:rsidR="00B66660">
        <w:rPr>
          <w:lang w:val="fr-CA"/>
        </w:rPr>
        <w:t>L</w:t>
      </w:r>
      <w:r w:rsidR="00827BD1">
        <w:rPr>
          <w:lang w:val="fr-CA"/>
        </w:rPr>
        <w:t>entille</w:t>
      </w:r>
      <w:r w:rsidRPr="00FA558D">
        <w:rPr>
          <w:lang w:val="fr-CA"/>
        </w:rPr>
        <w:t xml:space="preserve"> </w:t>
      </w:r>
      <w:r w:rsidR="00B66660">
        <w:rPr>
          <w:lang w:val="fr-CA"/>
        </w:rPr>
        <w:t xml:space="preserve">des petites entreprises </w:t>
      </w:r>
      <w:r>
        <w:rPr>
          <w:lang w:val="fr-CA"/>
        </w:rPr>
        <w:t xml:space="preserve">est </w:t>
      </w:r>
      <w:r w:rsidR="00A73285">
        <w:rPr>
          <w:lang w:val="fr-CA"/>
        </w:rPr>
        <w:t xml:space="preserve">appliquée </w:t>
      </w:r>
      <w:r>
        <w:rPr>
          <w:lang w:val="fr-CA"/>
        </w:rPr>
        <w:t xml:space="preserve">si le </w:t>
      </w:r>
      <w:r w:rsidR="00B66660">
        <w:rPr>
          <w:lang w:val="fr-CA"/>
        </w:rPr>
        <w:t xml:space="preserve">projet de </w:t>
      </w:r>
      <w:r>
        <w:rPr>
          <w:lang w:val="fr-CA"/>
        </w:rPr>
        <w:t>règlement impos</w:t>
      </w:r>
      <w:r w:rsidR="00EC2B82">
        <w:rPr>
          <w:lang w:val="fr-CA"/>
        </w:rPr>
        <w:t>e</w:t>
      </w:r>
      <w:r w:rsidRPr="00FA558D">
        <w:rPr>
          <w:lang w:val="fr-CA"/>
        </w:rPr>
        <w:t xml:space="preserve"> </w:t>
      </w:r>
      <w:r>
        <w:rPr>
          <w:lang w:val="fr-CA"/>
        </w:rPr>
        <w:t xml:space="preserve">de nouveaux coûts </w:t>
      </w:r>
      <w:r w:rsidRPr="00FA558D">
        <w:rPr>
          <w:lang w:val="fr-CA"/>
        </w:rPr>
        <w:t>administrati</w:t>
      </w:r>
      <w:r>
        <w:rPr>
          <w:lang w:val="fr-CA"/>
        </w:rPr>
        <w:t>fs ou de conformité</w:t>
      </w:r>
      <w:r w:rsidRPr="00FA558D">
        <w:rPr>
          <w:lang w:val="fr-CA"/>
        </w:rPr>
        <w:t xml:space="preserve"> </w:t>
      </w:r>
      <w:r>
        <w:rPr>
          <w:lang w:val="fr-CA"/>
        </w:rPr>
        <w:t>aux petites entreprises du Canada</w:t>
      </w:r>
      <w:r w:rsidRPr="00FA558D">
        <w:rPr>
          <w:lang w:val="fr-CA"/>
        </w:rPr>
        <w:t>.</w:t>
      </w:r>
      <w:r>
        <w:rPr>
          <w:lang w:val="fr-CA"/>
        </w:rPr>
        <w:t xml:space="preserve"> Lorsque la </w:t>
      </w:r>
      <w:r w:rsidR="00827BD1">
        <w:rPr>
          <w:lang w:val="fr-CA"/>
        </w:rPr>
        <w:t>lentille</w:t>
      </w:r>
      <w:r w:rsidRPr="00FA558D">
        <w:rPr>
          <w:lang w:val="fr-CA"/>
        </w:rPr>
        <w:t xml:space="preserve"> </w:t>
      </w:r>
      <w:r>
        <w:rPr>
          <w:lang w:val="fr-CA"/>
        </w:rPr>
        <w:t xml:space="preserve">est </w:t>
      </w:r>
      <w:r w:rsidR="00A73285">
        <w:rPr>
          <w:lang w:val="fr-CA"/>
        </w:rPr>
        <w:t>appliquée</w:t>
      </w:r>
      <w:r w:rsidRPr="00FA558D">
        <w:rPr>
          <w:lang w:val="fr-CA"/>
        </w:rPr>
        <w:t xml:space="preserve">, </w:t>
      </w:r>
      <w:r>
        <w:rPr>
          <w:lang w:val="fr-CA"/>
        </w:rPr>
        <w:t xml:space="preserve">la section du REIR portant sur la </w:t>
      </w:r>
      <w:r w:rsidR="00B66660">
        <w:rPr>
          <w:lang w:val="fr-CA"/>
        </w:rPr>
        <w:t>L</w:t>
      </w:r>
      <w:r w:rsidR="00827BD1">
        <w:rPr>
          <w:lang w:val="fr-CA"/>
        </w:rPr>
        <w:t>entille</w:t>
      </w:r>
      <w:r>
        <w:rPr>
          <w:lang w:val="fr-CA"/>
        </w:rPr>
        <w:t xml:space="preserve"> des petites entreprises</w:t>
      </w:r>
      <w:r w:rsidRPr="00FA558D">
        <w:rPr>
          <w:lang w:val="fr-CA"/>
        </w:rPr>
        <w:t xml:space="preserve"> </w:t>
      </w:r>
      <w:r>
        <w:rPr>
          <w:lang w:val="fr-CA"/>
        </w:rPr>
        <w:t>doit comprendre le libellé suivant :</w:t>
      </w:r>
      <w:r w:rsidRPr="00FA558D">
        <w:rPr>
          <w:lang w:val="fr-CA"/>
        </w:rPr>
        <w:t xml:space="preserve"> </w:t>
      </w:r>
      <w:r>
        <w:rPr>
          <w:lang w:val="fr-CA"/>
        </w:rPr>
        <w:t>« </w:t>
      </w:r>
      <w:r w:rsidRPr="00453B4A" w:rsidR="00453B4A">
        <w:rPr>
          <w:lang w:val="fr-CA"/>
        </w:rPr>
        <w:t xml:space="preserve">L’analyse </w:t>
      </w:r>
      <w:r w:rsidR="004C7ECA">
        <w:rPr>
          <w:lang w:val="fr-CA"/>
        </w:rPr>
        <w:t xml:space="preserve">effectuée </w:t>
      </w:r>
      <w:r w:rsidRPr="00453B4A" w:rsidR="00453B4A">
        <w:rPr>
          <w:lang w:val="fr-CA"/>
        </w:rPr>
        <w:t xml:space="preserve">dans le cadre de la lentille des petites entreprises a </w:t>
      </w:r>
      <w:r w:rsidR="00B66660">
        <w:rPr>
          <w:lang w:val="fr-CA"/>
        </w:rPr>
        <w:t>révélé</w:t>
      </w:r>
      <w:r w:rsidRPr="00453B4A" w:rsidR="00453B4A">
        <w:rPr>
          <w:lang w:val="fr-CA"/>
        </w:rPr>
        <w:t xml:space="preserve"> que le </w:t>
      </w:r>
      <w:r w:rsidR="00B66660">
        <w:rPr>
          <w:lang w:val="fr-CA"/>
        </w:rPr>
        <w:t xml:space="preserve">projet de </w:t>
      </w:r>
      <w:r w:rsidRPr="00453B4A" w:rsidR="00453B4A">
        <w:rPr>
          <w:lang w:val="fr-CA"/>
        </w:rPr>
        <w:t xml:space="preserve">règlement </w:t>
      </w:r>
      <w:r w:rsidR="00453B4A">
        <w:rPr>
          <w:lang w:val="fr-CA"/>
        </w:rPr>
        <w:t xml:space="preserve">aura </w:t>
      </w:r>
      <w:r w:rsidR="00B66660">
        <w:rPr>
          <w:lang w:val="fr-CA"/>
        </w:rPr>
        <w:t>des répercussions</w:t>
      </w:r>
      <w:r w:rsidRPr="00453B4A" w:rsidR="00453B4A">
        <w:rPr>
          <w:lang w:val="fr-CA"/>
        </w:rPr>
        <w:t xml:space="preserve"> sur les petites entreprises</w:t>
      </w:r>
      <w:r w:rsidRPr="00FA558D">
        <w:rPr>
          <w:lang w:val="fr-CA"/>
        </w:rPr>
        <w:t>.</w:t>
      </w:r>
      <w:r>
        <w:rPr>
          <w:lang w:val="fr-CA"/>
        </w:rPr>
        <w:t> »</w:t>
      </w:r>
      <w:r w:rsidRPr="00FA558D">
        <w:rPr>
          <w:lang w:val="fr-CA"/>
        </w:rPr>
        <w:t xml:space="preserve"> </w:t>
      </w:r>
    </w:p>
    <w:p w:rsidRPr="00FA558D" w:rsidR="00B91619" w:rsidP="00B91619" w:rsidRDefault="00B91619" w14:paraId="56643C29" w14:textId="77777777">
      <w:pPr>
        <w:tabs>
          <w:tab w:val="left" w:pos="9356"/>
        </w:tabs>
        <w:spacing w:after="0" w:line="240" w:lineRule="auto"/>
        <w:rPr>
          <w:lang w:val="fr-CA"/>
        </w:rPr>
      </w:pPr>
    </w:p>
    <w:p w:rsidR="00B66660" w:rsidP="00B91619" w:rsidRDefault="00B91619" w14:paraId="3021917D" w14:textId="648C2E9E">
      <w:pPr>
        <w:tabs>
          <w:tab w:val="left" w:pos="9356"/>
        </w:tabs>
        <w:spacing w:after="0" w:line="240" w:lineRule="auto"/>
        <w:rPr>
          <w:lang w:val="fr-CA"/>
        </w:rPr>
      </w:pPr>
      <w:r>
        <w:rPr>
          <w:lang w:val="fr-CA"/>
        </w:rPr>
        <w:t>L’analyse</w:t>
      </w:r>
      <w:r w:rsidRPr="00FA558D">
        <w:rPr>
          <w:lang w:val="fr-CA"/>
        </w:rPr>
        <w:t xml:space="preserve"> </w:t>
      </w:r>
      <w:r>
        <w:rPr>
          <w:lang w:val="fr-CA"/>
        </w:rPr>
        <w:t>exigée</w:t>
      </w:r>
      <w:r w:rsidRPr="00FA558D">
        <w:rPr>
          <w:lang w:val="fr-CA"/>
        </w:rPr>
        <w:t xml:space="preserve"> </w:t>
      </w:r>
      <w:r w:rsidR="00B66660">
        <w:rPr>
          <w:lang w:val="fr-CA"/>
        </w:rPr>
        <w:t>au moyen de</w:t>
      </w:r>
      <w:r>
        <w:rPr>
          <w:lang w:val="fr-CA"/>
        </w:rPr>
        <w:t xml:space="preserve"> la </w:t>
      </w:r>
      <w:r w:rsidR="00B66660">
        <w:rPr>
          <w:lang w:val="fr-CA"/>
        </w:rPr>
        <w:t>L</w:t>
      </w:r>
      <w:r w:rsidR="00827BD1">
        <w:rPr>
          <w:lang w:val="fr-CA"/>
        </w:rPr>
        <w:t>entille</w:t>
      </w:r>
      <w:r w:rsidRPr="00FA558D">
        <w:rPr>
          <w:lang w:val="fr-CA"/>
        </w:rPr>
        <w:t xml:space="preserve"> </w:t>
      </w:r>
      <w:r w:rsidR="00B66660">
        <w:rPr>
          <w:lang w:val="fr-CA"/>
        </w:rPr>
        <w:t>des petites entreprises</w:t>
      </w:r>
      <w:r>
        <w:rPr>
          <w:lang w:val="fr-CA"/>
        </w:rPr>
        <w:t xml:space="preserve"> </w:t>
      </w:r>
      <w:r w:rsidR="00B66660">
        <w:rPr>
          <w:lang w:val="fr-CA"/>
        </w:rPr>
        <w:t xml:space="preserve">doit être </w:t>
      </w:r>
      <w:r>
        <w:rPr>
          <w:lang w:val="fr-CA"/>
        </w:rPr>
        <w:t xml:space="preserve">présentée </w:t>
      </w:r>
      <w:r w:rsidR="00B66660">
        <w:rPr>
          <w:lang w:val="fr-CA"/>
        </w:rPr>
        <w:t>après</w:t>
      </w:r>
      <w:r>
        <w:rPr>
          <w:lang w:val="fr-CA"/>
        </w:rPr>
        <w:t xml:space="preserve"> cet énoncé</w:t>
      </w:r>
      <w:r w:rsidR="00B66660">
        <w:rPr>
          <w:lang w:val="fr-CA"/>
        </w:rPr>
        <w:t xml:space="preserve"> et devrait permettre de répondre aux questions ci-dessous.</w:t>
      </w:r>
    </w:p>
    <w:p w:rsidR="00B66660" w:rsidP="00B91619" w:rsidRDefault="00B66660" w14:paraId="1CD1115B" w14:textId="77777777">
      <w:pPr>
        <w:tabs>
          <w:tab w:val="left" w:pos="9356"/>
        </w:tabs>
        <w:spacing w:after="0" w:line="240" w:lineRule="auto"/>
        <w:rPr>
          <w:lang w:val="fr-CA"/>
        </w:rPr>
      </w:pPr>
    </w:p>
    <w:p w:rsidRPr="00B42F19" w:rsidR="00B66660" w:rsidP="00B66660" w:rsidRDefault="00B66660" w14:paraId="38B78533" w14:textId="70E54C4C">
      <w:pPr>
        <w:pStyle w:val="ListParagraph"/>
        <w:numPr>
          <w:ilvl w:val="0"/>
          <w:numId w:val="39"/>
        </w:numPr>
        <w:spacing w:after="0" w:line="240" w:lineRule="auto"/>
        <w:rPr>
          <w:lang w:val="fr-CA"/>
        </w:rPr>
      </w:pPr>
      <w:r w:rsidRPr="00B42F19">
        <w:rPr>
          <w:lang w:val="fr-CA"/>
        </w:rPr>
        <w:t>Quelles sont les r</w:t>
      </w:r>
      <w:r w:rsidR="00DE6704">
        <w:rPr>
          <w:lang w:val="fr-CA"/>
        </w:rPr>
        <w:t>é</w:t>
      </w:r>
      <w:r w:rsidRPr="00B42F19">
        <w:rPr>
          <w:lang w:val="fr-CA"/>
        </w:rPr>
        <w:t>percussions sur les petites entreprises?</w:t>
      </w:r>
    </w:p>
    <w:p w:rsidRPr="00B42F19" w:rsidR="00B66660" w:rsidP="00B66660" w:rsidRDefault="00DE6704" w14:paraId="737DBFC7" w14:textId="449F6214">
      <w:pPr>
        <w:pStyle w:val="ListParagraph"/>
        <w:numPr>
          <w:ilvl w:val="0"/>
          <w:numId w:val="39"/>
        </w:numPr>
        <w:spacing w:after="0" w:line="240" w:lineRule="auto"/>
        <w:rPr>
          <w:lang w:val="fr-CA"/>
        </w:rPr>
      </w:pPr>
      <w:r w:rsidRPr="00B42F19">
        <w:rPr>
          <w:lang w:val="fr-CA"/>
        </w:rPr>
        <w:t>C</w:t>
      </w:r>
      <w:r>
        <w:rPr>
          <w:lang w:val="fr-CA"/>
        </w:rPr>
        <w:t>omment ces répercussions o</w:t>
      </w:r>
      <w:r w:rsidRPr="00B42F19">
        <w:rPr>
          <w:lang w:val="fr-CA"/>
        </w:rPr>
        <w:t>nt-</w:t>
      </w:r>
      <w:r>
        <w:rPr>
          <w:lang w:val="fr-CA"/>
        </w:rPr>
        <w:t>elles</w:t>
      </w:r>
      <w:r w:rsidRPr="00B42F19">
        <w:rPr>
          <w:lang w:val="fr-CA"/>
        </w:rPr>
        <w:t xml:space="preserve"> été pris</w:t>
      </w:r>
      <w:r>
        <w:rPr>
          <w:lang w:val="fr-CA"/>
        </w:rPr>
        <w:t>es</w:t>
      </w:r>
      <w:r w:rsidRPr="00B42F19">
        <w:rPr>
          <w:lang w:val="fr-CA"/>
        </w:rPr>
        <w:t xml:space="preserve"> en compte dans l</w:t>
      </w:r>
      <w:r>
        <w:rPr>
          <w:lang w:val="fr-CA"/>
        </w:rPr>
        <w:t>’élaboration</w:t>
      </w:r>
      <w:r w:rsidRPr="00B42F19">
        <w:rPr>
          <w:lang w:val="fr-CA"/>
        </w:rPr>
        <w:t xml:space="preserve"> du règlement</w:t>
      </w:r>
      <w:r w:rsidRPr="00B42F19" w:rsidR="00B66660">
        <w:rPr>
          <w:lang w:val="fr-CA"/>
        </w:rPr>
        <w:t>?</w:t>
      </w:r>
    </w:p>
    <w:p w:rsidRPr="005F1556" w:rsidR="00B66660" w:rsidP="00B66660" w:rsidRDefault="00DE6704" w14:paraId="3A3335B9" w14:textId="6CE791DA">
      <w:pPr>
        <w:pStyle w:val="ListParagraph"/>
        <w:numPr>
          <w:ilvl w:val="0"/>
          <w:numId w:val="39"/>
        </w:numPr>
        <w:spacing w:after="0" w:line="240" w:lineRule="auto"/>
      </w:pPr>
      <w:r w:rsidRPr="00B42F19">
        <w:rPr>
          <w:lang w:val="fr-CA"/>
        </w:rPr>
        <w:t>Les petites entreprises ont-elles bénéficié d</w:t>
      </w:r>
      <w:r w:rsidR="009647E5">
        <w:rPr>
          <w:lang w:val="fr-CA"/>
        </w:rPr>
        <w:t>’</w:t>
      </w:r>
      <w:r w:rsidRPr="00B42F19">
        <w:rPr>
          <w:lang w:val="fr-CA"/>
        </w:rPr>
        <w:t xml:space="preserve">une plus grande souplesse? </w:t>
      </w:r>
      <w:r>
        <w:rPr>
          <w:lang w:val="fr-CA"/>
        </w:rPr>
        <w:t>Si ce n’est pas le cas,</w:t>
      </w:r>
      <w:r w:rsidRPr="00B42F19">
        <w:rPr>
          <w:lang w:val="fr-CA"/>
        </w:rPr>
        <w:t xml:space="preserve"> pourquoi?</w:t>
      </w:r>
    </w:p>
    <w:p w:rsidRPr="00B42F19" w:rsidR="00B91619" w:rsidP="00B91619" w:rsidRDefault="00B91619" w14:paraId="5F43379E" w14:textId="77777777">
      <w:pPr>
        <w:tabs>
          <w:tab w:val="left" w:pos="9356"/>
        </w:tabs>
        <w:spacing w:after="0" w:line="240" w:lineRule="auto"/>
        <w:rPr>
          <w:lang w:val="en-US"/>
        </w:rPr>
      </w:pPr>
    </w:p>
    <w:p w:rsidRPr="00FA558D" w:rsidR="00B91619" w:rsidP="00B91619" w:rsidRDefault="00B91619" w14:paraId="30B9945F" w14:textId="0A94499F">
      <w:pPr>
        <w:tabs>
          <w:tab w:val="left" w:pos="9356"/>
        </w:tabs>
        <w:spacing w:after="0" w:line="240" w:lineRule="auto"/>
        <w:rPr>
          <w:lang w:val="fr-CA"/>
        </w:rPr>
      </w:pPr>
      <w:r>
        <w:rPr>
          <w:lang w:val="fr-CA"/>
        </w:rPr>
        <w:t>Les répercussions</w:t>
      </w:r>
      <w:r w:rsidRPr="00FA558D">
        <w:rPr>
          <w:lang w:val="fr-CA"/>
        </w:rPr>
        <w:t xml:space="preserve"> </w:t>
      </w:r>
      <w:r>
        <w:rPr>
          <w:lang w:val="fr-CA"/>
        </w:rPr>
        <w:t>sur les petites entreprises</w:t>
      </w:r>
      <w:r w:rsidRPr="00FA558D">
        <w:rPr>
          <w:lang w:val="fr-CA"/>
        </w:rPr>
        <w:t xml:space="preserve"> </w:t>
      </w:r>
      <w:r>
        <w:rPr>
          <w:lang w:val="fr-CA"/>
        </w:rPr>
        <w:t xml:space="preserve">doivent être </w:t>
      </w:r>
      <w:r w:rsidRPr="00FA558D">
        <w:rPr>
          <w:lang w:val="fr-CA"/>
        </w:rPr>
        <w:t>d</w:t>
      </w:r>
      <w:r>
        <w:rPr>
          <w:lang w:val="fr-CA"/>
        </w:rPr>
        <w:t>écrites conformément aux exigences</w:t>
      </w:r>
      <w:r w:rsidRPr="00FA558D">
        <w:rPr>
          <w:lang w:val="fr-CA"/>
        </w:rPr>
        <w:t xml:space="preserve"> </w:t>
      </w:r>
      <w:r>
        <w:rPr>
          <w:lang w:val="fr-CA"/>
        </w:rPr>
        <w:t xml:space="preserve">définies </w:t>
      </w:r>
      <w:r w:rsidR="00DE6704">
        <w:rPr>
          <w:lang w:val="fr-CA"/>
        </w:rPr>
        <w:t>au paragraphe</w:t>
      </w:r>
      <w:r w:rsidRPr="00FA558D">
        <w:rPr>
          <w:lang w:val="fr-CA"/>
        </w:rPr>
        <w:t> 8.2.2</w:t>
      </w:r>
      <w:r>
        <w:rPr>
          <w:lang w:val="fr-CA"/>
        </w:rPr>
        <w:t xml:space="preserve"> de la </w:t>
      </w:r>
      <w:r w:rsidR="00A73285">
        <w:rPr>
          <w:lang w:val="fr-CA"/>
        </w:rPr>
        <w:t>p</w:t>
      </w:r>
      <w:r>
        <w:rPr>
          <w:lang w:val="fr-CA"/>
        </w:rPr>
        <w:t>olitique</w:t>
      </w:r>
      <w:r w:rsidRPr="00FA558D">
        <w:rPr>
          <w:lang w:val="fr-CA"/>
        </w:rPr>
        <w:t>.</w:t>
      </w:r>
    </w:p>
    <w:p w:rsidRPr="00FA558D" w:rsidR="00B91619" w:rsidP="00B91619" w:rsidRDefault="00B91619" w14:paraId="5A7DD089" w14:textId="77777777">
      <w:pPr>
        <w:tabs>
          <w:tab w:val="left" w:pos="9356"/>
        </w:tabs>
        <w:spacing w:after="0" w:line="240" w:lineRule="auto"/>
        <w:rPr>
          <w:lang w:val="fr-CA"/>
        </w:rPr>
      </w:pPr>
    </w:p>
    <w:p w:rsidRPr="00FA558D" w:rsidR="00B91619" w:rsidP="00B91619" w:rsidRDefault="00B91619" w14:paraId="27B5F150" w14:textId="45AE80F2">
      <w:pPr>
        <w:tabs>
          <w:tab w:val="left" w:pos="9356"/>
        </w:tabs>
        <w:spacing w:after="0" w:line="240" w:lineRule="auto"/>
        <w:rPr>
          <w:lang w:val="fr-CA"/>
        </w:rPr>
      </w:pPr>
      <w:r>
        <w:rPr>
          <w:lang w:val="fr-CA"/>
        </w:rPr>
        <w:t>Tous les projet</w:t>
      </w:r>
      <w:r w:rsidRPr="00FA558D">
        <w:rPr>
          <w:lang w:val="fr-CA"/>
        </w:rPr>
        <w:t xml:space="preserve">s </w:t>
      </w:r>
      <w:r>
        <w:rPr>
          <w:lang w:val="fr-CA"/>
        </w:rPr>
        <w:t>doivent</w:t>
      </w:r>
      <w:r w:rsidRPr="00FA558D">
        <w:rPr>
          <w:lang w:val="fr-CA"/>
        </w:rPr>
        <w:t xml:space="preserve"> d</w:t>
      </w:r>
      <w:r>
        <w:rPr>
          <w:lang w:val="fr-CA"/>
        </w:rPr>
        <w:t>écrire en termes qualitatifs les répercussions</w:t>
      </w:r>
      <w:r w:rsidRPr="00FA558D">
        <w:rPr>
          <w:lang w:val="fr-CA"/>
        </w:rPr>
        <w:t xml:space="preserve"> </w:t>
      </w:r>
      <w:r>
        <w:rPr>
          <w:lang w:val="fr-CA"/>
        </w:rPr>
        <w:t>sur les petites entreprises afin de permettre aux déci</w:t>
      </w:r>
      <w:r w:rsidR="00A73285">
        <w:rPr>
          <w:lang w:val="fr-CA"/>
        </w:rPr>
        <w:t>deurs</w:t>
      </w:r>
      <w:r>
        <w:rPr>
          <w:lang w:val="fr-CA"/>
        </w:rPr>
        <w:t xml:space="preserve"> de comprendre la </w:t>
      </w:r>
      <w:r w:rsidRPr="00FA558D">
        <w:rPr>
          <w:lang w:val="fr-CA"/>
        </w:rPr>
        <w:t xml:space="preserve">nature </w:t>
      </w:r>
      <w:r>
        <w:rPr>
          <w:lang w:val="fr-CA"/>
        </w:rPr>
        <w:t xml:space="preserve">des répercussions. </w:t>
      </w:r>
      <w:r w:rsidR="00DE6704">
        <w:rPr>
          <w:lang w:val="fr-CA"/>
        </w:rPr>
        <w:t>Pour l</w:t>
      </w:r>
      <w:r>
        <w:rPr>
          <w:lang w:val="fr-CA"/>
        </w:rPr>
        <w:t xml:space="preserve">es projets </w:t>
      </w:r>
      <w:r w:rsidR="002A5CE8">
        <w:rPr>
          <w:lang w:val="fr-CA"/>
        </w:rPr>
        <w:t xml:space="preserve">de règlement </w:t>
      </w:r>
      <w:r w:rsidR="00DE6704">
        <w:rPr>
          <w:lang w:val="fr-CA"/>
        </w:rPr>
        <w:t xml:space="preserve">qui </w:t>
      </w:r>
      <w:proofErr w:type="gramStart"/>
      <w:r w:rsidR="00DE6704">
        <w:rPr>
          <w:lang w:val="fr-CA"/>
        </w:rPr>
        <w:t>ont</w:t>
      </w:r>
      <w:proofErr w:type="gramEnd"/>
      <w:r w:rsidR="00DE6704">
        <w:rPr>
          <w:lang w:val="fr-CA"/>
        </w:rPr>
        <w:t xml:space="preserve"> des</w:t>
      </w:r>
      <w:r>
        <w:rPr>
          <w:lang w:val="fr-CA"/>
        </w:rPr>
        <w:t xml:space="preserve"> répercussions </w:t>
      </w:r>
      <w:r w:rsidR="00DE6704">
        <w:rPr>
          <w:lang w:val="fr-CA"/>
        </w:rPr>
        <w:t xml:space="preserve">financières importantes, il faut </w:t>
      </w:r>
      <w:r>
        <w:rPr>
          <w:lang w:val="fr-CA"/>
        </w:rPr>
        <w:t xml:space="preserve">aussi présenter une analyse </w:t>
      </w:r>
      <w:r w:rsidR="0072149F">
        <w:rPr>
          <w:lang w:val="fr-CA"/>
        </w:rPr>
        <w:t>monétarisée</w:t>
      </w:r>
      <w:r w:rsidR="00DE6704">
        <w:rPr>
          <w:lang w:val="fr-CA"/>
        </w:rPr>
        <w:t xml:space="preserve"> </w:t>
      </w:r>
      <w:r>
        <w:rPr>
          <w:lang w:val="fr-CA"/>
        </w:rPr>
        <w:t>des répercussions</w:t>
      </w:r>
      <w:r w:rsidRPr="00FA558D">
        <w:rPr>
          <w:lang w:val="fr-CA"/>
        </w:rPr>
        <w:t xml:space="preserve"> </w:t>
      </w:r>
      <w:r>
        <w:rPr>
          <w:lang w:val="fr-CA"/>
        </w:rPr>
        <w:t xml:space="preserve">sur les petites entreprises et </w:t>
      </w:r>
      <w:r w:rsidR="00DE6704">
        <w:rPr>
          <w:lang w:val="fr-CA"/>
        </w:rPr>
        <w:t>l</w:t>
      </w:r>
      <w:r>
        <w:rPr>
          <w:lang w:val="fr-CA"/>
        </w:rPr>
        <w:t xml:space="preserve">es </w:t>
      </w:r>
      <w:r w:rsidR="00DE6704">
        <w:rPr>
          <w:lang w:val="fr-CA"/>
        </w:rPr>
        <w:t>données quantitatives à l’appui</w:t>
      </w:r>
      <w:r>
        <w:rPr>
          <w:lang w:val="fr-CA"/>
        </w:rPr>
        <w:t xml:space="preserve">, selon le cas. </w:t>
      </w:r>
      <w:r w:rsidR="0072149F">
        <w:rPr>
          <w:lang w:val="fr-CA"/>
        </w:rPr>
        <w:t>Pour l</w:t>
      </w:r>
      <w:r>
        <w:rPr>
          <w:lang w:val="fr-CA"/>
        </w:rPr>
        <w:t xml:space="preserve">es projets </w:t>
      </w:r>
      <w:r w:rsidR="0072149F">
        <w:rPr>
          <w:lang w:val="fr-CA"/>
        </w:rPr>
        <w:t xml:space="preserve">qui ont de faibles </w:t>
      </w:r>
      <w:r>
        <w:rPr>
          <w:lang w:val="fr-CA"/>
        </w:rPr>
        <w:t xml:space="preserve">répercussions </w:t>
      </w:r>
      <w:r w:rsidR="0072149F">
        <w:rPr>
          <w:lang w:val="fr-CA"/>
        </w:rPr>
        <w:t xml:space="preserve">financières, il faut fournir uniquement une </w:t>
      </w:r>
      <w:r>
        <w:rPr>
          <w:lang w:val="fr-CA"/>
        </w:rPr>
        <w:t xml:space="preserve">description </w:t>
      </w:r>
      <w:r w:rsidRPr="00FA558D">
        <w:rPr>
          <w:lang w:val="fr-CA"/>
        </w:rPr>
        <w:t>qualitative</w:t>
      </w:r>
      <w:r w:rsidR="0072149F">
        <w:rPr>
          <w:lang w:val="fr-CA"/>
        </w:rPr>
        <w:t>. Il est aussi possible d’inclure une</w:t>
      </w:r>
      <w:r>
        <w:rPr>
          <w:lang w:val="fr-CA"/>
        </w:rPr>
        <w:t xml:space="preserve"> analyse </w:t>
      </w:r>
      <w:r w:rsidR="0072149F">
        <w:rPr>
          <w:lang w:val="fr-CA"/>
        </w:rPr>
        <w:t xml:space="preserve">monétarisée ou quantitative </w:t>
      </w:r>
      <w:r>
        <w:rPr>
          <w:lang w:val="fr-CA"/>
        </w:rPr>
        <w:t xml:space="preserve">si </w:t>
      </w:r>
      <w:r w:rsidR="0072149F">
        <w:rPr>
          <w:lang w:val="fr-CA"/>
        </w:rPr>
        <w:t>elle est disponible</w:t>
      </w:r>
      <w:r>
        <w:rPr>
          <w:lang w:val="fr-CA"/>
        </w:rPr>
        <w:t>.</w:t>
      </w:r>
    </w:p>
    <w:p w:rsidRPr="00FA558D" w:rsidR="00B91619" w:rsidP="00B91619" w:rsidRDefault="00B91619" w14:paraId="09F73FDD" w14:textId="77777777">
      <w:pPr>
        <w:tabs>
          <w:tab w:val="left" w:pos="9356"/>
        </w:tabs>
        <w:spacing w:after="0" w:line="240" w:lineRule="auto"/>
        <w:rPr>
          <w:lang w:val="fr-CA"/>
        </w:rPr>
      </w:pPr>
    </w:p>
    <w:p w:rsidRPr="00FA558D" w:rsidR="00B91619" w:rsidP="00B91619" w:rsidRDefault="00B91619" w14:paraId="6D59C4CB" w14:textId="4A5B19A7">
      <w:pPr>
        <w:tabs>
          <w:tab w:val="left" w:pos="9356"/>
        </w:tabs>
        <w:spacing w:after="0" w:line="240" w:lineRule="auto"/>
        <w:rPr>
          <w:lang w:val="fr-CA"/>
        </w:rPr>
      </w:pPr>
      <w:r>
        <w:rPr>
          <w:lang w:val="fr-CA"/>
        </w:rPr>
        <w:t>La section</w:t>
      </w:r>
      <w:r w:rsidRPr="00FA558D">
        <w:rPr>
          <w:lang w:val="fr-CA"/>
        </w:rPr>
        <w:t xml:space="preserve"> </w:t>
      </w:r>
      <w:r>
        <w:rPr>
          <w:lang w:val="fr-CA"/>
        </w:rPr>
        <w:t>devrait</w:t>
      </w:r>
      <w:r w:rsidRPr="00FA558D">
        <w:rPr>
          <w:lang w:val="fr-CA"/>
        </w:rPr>
        <w:t xml:space="preserve"> </w:t>
      </w:r>
      <w:r>
        <w:rPr>
          <w:lang w:val="fr-CA"/>
        </w:rPr>
        <w:t>comprendre</w:t>
      </w:r>
      <w:r w:rsidR="0072149F">
        <w:rPr>
          <w:lang w:val="fr-CA"/>
        </w:rPr>
        <w:t>, entre autres,</w:t>
      </w:r>
      <w:r w:rsidRPr="00FA558D">
        <w:rPr>
          <w:lang w:val="fr-CA"/>
        </w:rPr>
        <w:t xml:space="preserve"> </w:t>
      </w:r>
      <w:r w:rsidR="0072149F">
        <w:rPr>
          <w:lang w:val="fr-CA"/>
        </w:rPr>
        <w:t xml:space="preserve">les </w:t>
      </w:r>
      <w:r>
        <w:rPr>
          <w:lang w:val="fr-CA"/>
        </w:rPr>
        <w:t>renseignements suivants :</w:t>
      </w:r>
    </w:p>
    <w:p w:rsidRPr="00FA558D" w:rsidR="00B91619" w:rsidP="00B91619" w:rsidRDefault="00B91619" w14:paraId="27DF92D6" w14:textId="29A8AF97">
      <w:pPr>
        <w:pStyle w:val="ListParagraph"/>
        <w:numPr>
          <w:ilvl w:val="0"/>
          <w:numId w:val="4"/>
        </w:numPr>
        <w:tabs>
          <w:tab w:val="left" w:pos="9356"/>
        </w:tabs>
        <w:spacing w:after="0" w:line="240" w:lineRule="auto"/>
        <w:rPr>
          <w:lang w:val="fr-CA"/>
        </w:rPr>
      </w:pPr>
      <w:proofErr w:type="gramStart"/>
      <w:r>
        <w:rPr>
          <w:lang w:val="fr-CA"/>
        </w:rPr>
        <w:t>le</w:t>
      </w:r>
      <w:proofErr w:type="gramEnd"/>
      <w:r>
        <w:rPr>
          <w:lang w:val="fr-CA"/>
        </w:rPr>
        <w:t xml:space="preserve"> nombre de</w:t>
      </w:r>
      <w:r w:rsidRPr="00FA558D">
        <w:rPr>
          <w:lang w:val="fr-CA"/>
        </w:rPr>
        <w:t xml:space="preserve"> </w:t>
      </w:r>
      <w:r>
        <w:rPr>
          <w:lang w:val="fr-CA"/>
        </w:rPr>
        <w:t>petites entreprises</w:t>
      </w:r>
      <w:r w:rsidRPr="00FA558D">
        <w:rPr>
          <w:lang w:val="fr-CA"/>
        </w:rPr>
        <w:t xml:space="preserve"> </w:t>
      </w:r>
      <w:r>
        <w:rPr>
          <w:lang w:val="fr-CA"/>
        </w:rPr>
        <w:t>touchées;</w:t>
      </w:r>
    </w:p>
    <w:p w:rsidRPr="00FA558D" w:rsidR="00B91619" w:rsidP="00B91619" w:rsidRDefault="00B91619" w14:paraId="4710F595" w14:textId="0406D369">
      <w:pPr>
        <w:pStyle w:val="ListParagraph"/>
        <w:numPr>
          <w:ilvl w:val="0"/>
          <w:numId w:val="4"/>
        </w:numPr>
        <w:tabs>
          <w:tab w:val="left" w:pos="9356"/>
        </w:tabs>
        <w:spacing w:after="0" w:line="240" w:lineRule="auto"/>
        <w:rPr>
          <w:lang w:val="fr-CA"/>
        </w:rPr>
      </w:pPr>
      <w:proofErr w:type="gramStart"/>
      <w:r>
        <w:rPr>
          <w:lang w:val="fr-CA"/>
        </w:rPr>
        <w:t>le</w:t>
      </w:r>
      <w:proofErr w:type="gramEnd"/>
      <w:r>
        <w:rPr>
          <w:lang w:val="fr-CA"/>
        </w:rPr>
        <w:t xml:space="preserve"> coût estimé par petite entreprise;</w:t>
      </w:r>
    </w:p>
    <w:p w:rsidRPr="00FA558D" w:rsidR="00B91619" w:rsidP="00B91619" w:rsidRDefault="00B91619" w14:paraId="70AA26CC" w14:textId="77777777">
      <w:pPr>
        <w:pStyle w:val="ListParagraph"/>
        <w:numPr>
          <w:ilvl w:val="0"/>
          <w:numId w:val="4"/>
        </w:numPr>
        <w:tabs>
          <w:tab w:val="left" w:pos="9356"/>
        </w:tabs>
        <w:spacing w:after="0" w:line="240" w:lineRule="auto"/>
        <w:rPr>
          <w:lang w:val="fr-CA"/>
        </w:rPr>
      </w:pPr>
      <w:proofErr w:type="gramStart"/>
      <w:r>
        <w:rPr>
          <w:lang w:val="fr-CA"/>
        </w:rPr>
        <w:t>comment</w:t>
      </w:r>
      <w:proofErr w:type="gramEnd"/>
      <w:r>
        <w:rPr>
          <w:lang w:val="fr-CA"/>
        </w:rPr>
        <w:t xml:space="preserve"> la population des petites entreprises</w:t>
      </w:r>
      <w:r w:rsidRPr="00FA558D">
        <w:rPr>
          <w:lang w:val="fr-CA"/>
        </w:rPr>
        <w:t xml:space="preserve"> </w:t>
      </w:r>
      <w:r>
        <w:rPr>
          <w:lang w:val="fr-CA"/>
        </w:rPr>
        <w:t>touchées se compare à la population de grandes et moyennes entreprises touchées.</w:t>
      </w:r>
    </w:p>
    <w:p w:rsidRPr="00FA558D" w:rsidR="00B91619" w:rsidP="00B91619" w:rsidRDefault="00B91619" w14:paraId="4A9F5FDD" w14:textId="77777777">
      <w:pPr>
        <w:tabs>
          <w:tab w:val="left" w:pos="9356"/>
        </w:tabs>
        <w:spacing w:after="0" w:line="240" w:lineRule="auto"/>
        <w:rPr>
          <w:lang w:val="fr-CA"/>
        </w:rPr>
      </w:pPr>
    </w:p>
    <w:p w:rsidRPr="00FA558D" w:rsidR="00B91619" w:rsidP="00B91619" w:rsidRDefault="00B91619" w14:paraId="5F2D6F95" w14:textId="4764EDED">
      <w:pPr>
        <w:tabs>
          <w:tab w:val="left" w:pos="9356"/>
        </w:tabs>
        <w:spacing w:after="0" w:line="240" w:lineRule="auto"/>
        <w:rPr>
          <w:lang w:val="fr-CA"/>
        </w:rPr>
      </w:pPr>
      <w:r>
        <w:rPr>
          <w:lang w:val="fr-CA"/>
        </w:rPr>
        <w:t>La section</w:t>
      </w:r>
      <w:r w:rsidRPr="00FA558D">
        <w:rPr>
          <w:lang w:val="fr-CA"/>
        </w:rPr>
        <w:t xml:space="preserve"> </w:t>
      </w:r>
      <w:r>
        <w:rPr>
          <w:lang w:val="fr-CA"/>
        </w:rPr>
        <w:t>doit</w:t>
      </w:r>
      <w:r w:rsidRPr="00FA558D">
        <w:rPr>
          <w:lang w:val="fr-CA"/>
        </w:rPr>
        <w:t xml:space="preserve"> </w:t>
      </w:r>
      <w:r>
        <w:rPr>
          <w:lang w:val="fr-CA"/>
        </w:rPr>
        <w:t>aussi</w:t>
      </w:r>
      <w:r w:rsidRPr="00FA558D">
        <w:rPr>
          <w:lang w:val="fr-CA"/>
        </w:rPr>
        <w:t xml:space="preserve"> </w:t>
      </w:r>
      <w:r>
        <w:rPr>
          <w:lang w:val="fr-CA"/>
        </w:rPr>
        <w:t xml:space="preserve">indiquer </w:t>
      </w:r>
      <w:r w:rsidR="00A73285">
        <w:rPr>
          <w:lang w:val="fr-CA"/>
        </w:rPr>
        <w:t xml:space="preserve">de quelle façon </w:t>
      </w:r>
      <w:r>
        <w:rPr>
          <w:lang w:val="fr-CA"/>
        </w:rPr>
        <w:t>les estimation</w:t>
      </w:r>
      <w:r w:rsidRPr="00FA558D">
        <w:rPr>
          <w:lang w:val="fr-CA"/>
        </w:rPr>
        <w:t>s</w:t>
      </w:r>
      <w:r>
        <w:rPr>
          <w:lang w:val="fr-CA"/>
        </w:rPr>
        <w:t xml:space="preserve"> et les hypothèse</w:t>
      </w:r>
      <w:r w:rsidRPr="00FA558D">
        <w:rPr>
          <w:lang w:val="fr-CA"/>
        </w:rPr>
        <w:t xml:space="preserve">s </w:t>
      </w:r>
      <w:r>
        <w:rPr>
          <w:lang w:val="fr-CA"/>
        </w:rPr>
        <w:t>ont été validées ou formulées à partir de</w:t>
      </w:r>
      <w:r w:rsidR="00CB7D1A">
        <w:rPr>
          <w:lang w:val="fr-CA"/>
        </w:rPr>
        <w:t>s commentaires</w:t>
      </w:r>
      <w:r>
        <w:rPr>
          <w:lang w:val="fr-CA"/>
        </w:rPr>
        <w:t xml:space="preserve"> d</w:t>
      </w:r>
      <w:r w:rsidR="00A73285">
        <w:rPr>
          <w:lang w:val="fr-CA"/>
        </w:rPr>
        <w:t xml:space="preserve">es </w:t>
      </w:r>
      <w:r>
        <w:rPr>
          <w:lang w:val="fr-CA"/>
        </w:rPr>
        <w:t>intervenants</w:t>
      </w:r>
      <w:r w:rsidRPr="00FA558D">
        <w:rPr>
          <w:lang w:val="fr-CA"/>
        </w:rPr>
        <w:t>.</w:t>
      </w:r>
    </w:p>
    <w:p w:rsidRPr="00FA558D" w:rsidR="00B91619" w:rsidP="00B91619" w:rsidRDefault="00B91619" w14:paraId="6D1EA036" w14:textId="77777777">
      <w:pPr>
        <w:tabs>
          <w:tab w:val="left" w:pos="9356"/>
        </w:tabs>
        <w:spacing w:after="0" w:line="240" w:lineRule="auto"/>
        <w:rPr>
          <w:lang w:val="fr-CA"/>
        </w:rPr>
      </w:pPr>
    </w:p>
    <w:p w:rsidRPr="00FA558D" w:rsidR="00B91619" w:rsidP="00B91619" w:rsidRDefault="00B91619" w14:paraId="4AF525D6" w14:textId="4B0D391E">
      <w:pPr>
        <w:tabs>
          <w:tab w:val="left" w:pos="9356"/>
        </w:tabs>
        <w:spacing w:after="0" w:line="240" w:lineRule="auto"/>
        <w:rPr>
          <w:lang w:val="fr-CA"/>
        </w:rPr>
      </w:pPr>
      <w:r>
        <w:rPr>
          <w:lang w:val="fr-CA"/>
        </w:rPr>
        <w:t>D’après l</w:t>
      </w:r>
      <w:r w:rsidR="0072149F">
        <w:rPr>
          <w:lang w:val="fr-CA"/>
        </w:rPr>
        <w:t>e paragraphe</w:t>
      </w:r>
      <w:r w:rsidRPr="00FA558D">
        <w:rPr>
          <w:lang w:val="fr-CA"/>
        </w:rPr>
        <w:t> 8.2.4</w:t>
      </w:r>
      <w:r>
        <w:rPr>
          <w:lang w:val="fr-CA"/>
        </w:rPr>
        <w:t xml:space="preserve"> de la </w:t>
      </w:r>
      <w:r w:rsidR="003773D7">
        <w:rPr>
          <w:lang w:val="fr-CA"/>
        </w:rPr>
        <w:t>p</w:t>
      </w:r>
      <w:r>
        <w:rPr>
          <w:lang w:val="fr-CA"/>
        </w:rPr>
        <w:t>olitique</w:t>
      </w:r>
      <w:r w:rsidRPr="00FA558D">
        <w:rPr>
          <w:lang w:val="fr-CA"/>
        </w:rPr>
        <w:t xml:space="preserve">, </w:t>
      </w:r>
      <w:r>
        <w:rPr>
          <w:lang w:val="fr-CA"/>
        </w:rPr>
        <w:t xml:space="preserve">la section sur la </w:t>
      </w:r>
      <w:r w:rsidR="0072149F">
        <w:rPr>
          <w:lang w:val="fr-CA"/>
        </w:rPr>
        <w:t>L</w:t>
      </w:r>
      <w:r w:rsidR="00827BD1">
        <w:rPr>
          <w:lang w:val="fr-CA"/>
        </w:rPr>
        <w:t>entille</w:t>
      </w:r>
      <w:r>
        <w:rPr>
          <w:lang w:val="fr-CA"/>
        </w:rPr>
        <w:t xml:space="preserve"> des petites entreprises</w:t>
      </w:r>
      <w:r w:rsidRPr="00FA558D">
        <w:rPr>
          <w:lang w:val="fr-CA"/>
        </w:rPr>
        <w:t xml:space="preserve"> </w:t>
      </w:r>
      <w:r>
        <w:rPr>
          <w:lang w:val="fr-CA"/>
        </w:rPr>
        <w:t>devrait</w:t>
      </w:r>
      <w:r w:rsidRPr="00FA558D">
        <w:rPr>
          <w:lang w:val="fr-CA"/>
        </w:rPr>
        <w:t xml:space="preserve"> </w:t>
      </w:r>
      <w:r>
        <w:rPr>
          <w:lang w:val="fr-CA"/>
        </w:rPr>
        <w:t>indiquer comment les besoins des petites entreprises ont été pris en compte dans l</w:t>
      </w:r>
      <w:r w:rsidR="0072149F">
        <w:rPr>
          <w:lang w:val="fr-CA"/>
        </w:rPr>
        <w:t>’élaboration</w:t>
      </w:r>
      <w:r>
        <w:rPr>
          <w:lang w:val="fr-CA"/>
        </w:rPr>
        <w:t xml:space="preserve"> d</w:t>
      </w:r>
      <w:r w:rsidR="0072149F">
        <w:rPr>
          <w:lang w:val="fr-CA"/>
        </w:rPr>
        <w:t>u</w:t>
      </w:r>
      <w:r>
        <w:rPr>
          <w:lang w:val="fr-CA"/>
        </w:rPr>
        <w:t xml:space="preserve"> règlement. Si l’organisme de réglementation n’avait pas le pouvoir discrétionnaire d</w:t>
      </w:r>
      <w:r w:rsidR="0072149F">
        <w:rPr>
          <w:lang w:val="fr-CA"/>
        </w:rPr>
        <w:t>’élaborer</w:t>
      </w:r>
      <w:r>
        <w:rPr>
          <w:lang w:val="fr-CA"/>
        </w:rPr>
        <w:t xml:space="preserve"> le projet</w:t>
      </w:r>
      <w:r w:rsidR="00816AF5">
        <w:rPr>
          <w:lang w:val="fr-CA"/>
        </w:rPr>
        <w:t xml:space="preserve"> de règlement</w:t>
      </w:r>
      <w:r w:rsidRPr="00FA558D">
        <w:rPr>
          <w:lang w:val="fr-CA"/>
        </w:rPr>
        <w:t xml:space="preserve">, </w:t>
      </w:r>
      <w:r w:rsidR="0072149F">
        <w:rPr>
          <w:lang w:val="fr-CA"/>
        </w:rPr>
        <w:t xml:space="preserve">il doit fournir une </w:t>
      </w:r>
      <w:r>
        <w:rPr>
          <w:lang w:val="fr-CA"/>
        </w:rPr>
        <w:t>courte explication informative.</w:t>
      </w:r>
    </w:p>
    <w:p w:rsidRPr="00FA558D" w:rsidR="00B91619" w:rsidP="00B91619" w:rsidRDefault="00B91619" w14:paraId="39B96413" w14:textId="77777777">
      <w:pPr>
        <w:tabs>
          <w:tab w:val="left" w:pos="9356"/>
        </w:tabs>
        <w:spacing w:after="0" w:line="240" w:lineRule="auto"/>
        <w:rPr>
          <w:lang w:val="fr-CA"/>
        </w:rPr>
      </w:pPr>
    </w:p>
    <w:p w:rsidRPr="00FA558D" w:rsidR="00B91619" w:rsidP="00B91619" w:rsidRDefault="00B91619" w14:paraId="184104DF" w14:textId="6BDC39C6">
      <w:pPr>
        <w:tabs>
          <w:tab w:val="left" w:pos="9356"/>
        </w:tabs>
        <w:spacing w:after="0" w:line="240" w:lineRule="auto"/>
        <w:rPr>
          <w:lang w:val="fr-CA"/>
        </w:rPr>
      </w:pPr>
      <w:r>
        <w:rPr>
          <w:lang w:val="fr-CA"/>
        </w:rPr>
        <w:t>L</w:t>
      </w:r>
      <w:r w:rsidR="00EC1FD1">
        <w:rPr>
          <w:lang w:val="fr-CA"/>
        </w:rPr>
        <w:t>e paragraphe</w:t>
      </w:r>
      <w:r w:rsidRPr="00FA558D">
        <w:rPr>
          <w:lang w:val="fr-CA"/>
        </w:rPr>
        <w:t> 8.2.5</w:t>
      </w:r>
      <w:r>
        <w:rPr>
          <w:lang w:val="fr-CA"/>
        </w:rPr>
        <w:t xml:space="preserve"> de la </w:t>
      </w:r>
      <w:r w:rsidR="003773D7">
        <w:rPr>
          <w:lang w:val="fr-CA"/>
        </w:rPr>
        <w:t>p</w:t>
      </w:r>
      <w:r>
        <w:rPr>
          <w:lang w:val="fr-CA"/>
        </w:rPr>
        <w:t>olitique</w:t>
      </w:r>
      <w:r w:rsidRPr="00FA558D">
        <w:rPr>
          <w:lang w:val="fr-CA"/>
        </w:rPr>
        <w:t xml:space="preserve"> </w:t>
      </w:r>
      <w:r w:rsidR="006D61BE">
        <w:rPr>
          <w:lang w:val="fr-CA"/>
        </w:rPr>
        <w:t>exige des</w:t>
      </w:r>
      <w:r>
        <w:rPr>
          <w:lang w:val="fr-CA"/>
        </w:rPr>
        <w:t xml:space="preserve"> organismes de réglementation</w:t>
      </w:r>
      <w:r w:rsidRPr="00FA558D">
        <w:rPr>
          <w:lang w:val="fr-CA"/>
        </w:rPr>
        <w:t xml:space="preserve"> </w:t>
      </w:r>
      <w:r w:rsidR="006D61BE">
        <w:rPr>
          <w:lang w:val="fr-CA"/>
        </w:rPr>
        <w:t xml:space="preserve">qu’ils envisagent d’offrir une plus grande souplesse aux </w:t>
      </w:r>
      <w:r>
        <w:rPr>
          <w:lang w:val="fr-CA"/>
        </w:rPr>
        <w:t>petites entreprises</w:t>
      </w:r>
      <w:r w:rsidR="006D61BE">
        <w:rPr>
          <w:lang w:val="fr-CA"/>
        </w:rPr>
        <w:t xml:space="preserve"> lorsqu’ils élaborent des règlements</w:t>
      </w:r>
      <w:r>
        <w:rPr>
          <w:lang w:val="fr-CA"/>
        </w:rPr>
        <w:t xml:space="preserve">. La section sur la </w:t>
      </w:r>
      <w:r w:rsidR="006D61BE">
        <w:rPr>
          <w:lang w:val="fr-CA"/>
        </w:rPr>
        <w:t>L</w:t>
      </w:r>
      <w:r w:rsidR="00827BD1">
        <w:rPr>
          <w:lang w:val="fr-CA"/>
        </w:rPr>
        <w:t>entille</w:t>
      </w:r>
      <w:r>
        <w:rPr>
          <w:lang w:val="fr-CA"/>
        </w:rPr>
        <w:t xml:space="preserve"> des petites entreprises</w:t>
      </w:r>
      <w:r w:rsidRPr="00FA558D">
        <w:rPr>
          <w:lang w:val="fr-CA"/>
        </w:rPr>
        <w:t xml:space="preserve"> </w:t>
      </w:r>
      <w:r>
        <w:rPr>
          <w:lang w:val="fr-CA"/>
        </w:rPr>
        <w:t>devrait</w:t>
      </w:r>
      <w:r w:rsidRPr="00FA558D">
        <w:rPr>
          <w:lang w:val="fr-CA"/>
        </w:rPr>
        <w:t xml:space="preserve"> </w:t>
      </w:r>
      <w:r>
        <w:rPr>
          <w:lang w:val="fr-CA"/>
        </w:rPr>
        <w:t xml:space="preserve">comprendre une </w:t>
      </w:r>
      <w:r w:rsidRPr="00FA558D">
        <w:rPr>
          <w:lang w:val="fr-CA"/>
        </w:rPr>
        <w:t xml:space="preserve">description </w:t>
      </w:r>
      <w:r>
        <w:rPr>
          <w:lang w:val="fr-CA"/>
        </w:rPr>
        <w:t>de</w:t>
      </w:r>
      <w:r w:rsidR="006D61BE">
        <w:rPr>
          <w:lang w:val="fr-CA"/>
        </w:rPr>
        <w:t>s</w:t>
      </w:r>
      <w:r>
        <w:rPr>
          <w:lang w:val="fr-CA"/>
        </w:rPr>
        <w:t xml:space="preserve"> mesures </w:t>
      </w:r>
      <w:r w:rsidR="006D61BE">
        <w:rPr>
          <w:lang w:val="fr-CA"/>
        </w:rPr>
        <w:t>prises pour offrir une plus grande souplesse aux petites entreprises</w:t>
      </w:r>
      <w:r>
        <w:rPr>
          <w:lang w:val="fr-CA"/>
        </w:rPr>
        <w:t xml:space="preserve">. Si aucune </w:t>
      </w:r>
      <w:r w:rsidR="00D17EBD">
        <w:rPr>
          <w:lang w:val="fr-CA"/>
        </w:rPr>
        <w:t>mesure</w:t>
      </w:r>
      <w:r>
        <w:rPr>
          <w:lang w:val="fr-CA"/>
        </w:rPr>
        <w:t xml:space="preserve"> n’est prévue</w:t>
      </w:r>
      <w:r w:rsidR="00D17EBD">
        <w:rPr>
          <w:lang w:val="fr-CA"/>
        </w:rPr>
        <w:t xml:space="preserve"> à cet égard</w:t>
      </w:r>
      <w:r>
        <w:rPr>
          <w:lang w:val="fr-CA"/>
        </w:rPr>
        <w:t xml:space="preserve">, </w:t>
      </w:r>
      <w:r w:rsidR="00D17EBD">
        <w:rPr>
          <w:lang w:val="fr-CA"/>
        </w:rPr>
        <w:t xml:space="preserve">il faut expliquer pourquoi dans </w:t>
      </w:r>
      <w:r>
        <w:rPr>
          <w:lang w:val="fr-CA"/>
        </w:rPr>
        <w:t>la section</w:t>
      </w:r>
      <w:r w:rsidRPr="00FA558D">
        <w:rPr>
          <w:lang w:val="fr-CA"/>
        </w:rPr>
        <w:t xml:space="preserve">. </w:t>
      </w:r>
    </w:p>
    <w:p w:rsidRPr="00FA558D" w:rsidR="00B91619" w:rsidP="00B91619" w:rsidRDefault="00B91619" w14:paraId="11649BEE" w14:textId="77777777">
      <w:pPr>
        <w:tabs>
          <w:tab w:val="left" w:pos="9356"/>
        </w:tabs>
        <w:spacing w:after="0" w:line="240" w:lineRule="auto"/>
        <w:rPr>
          <w:lang w:val="fr-CA"/>
        </w:rPr>
      </w:pPr>
    </w:p>
    <w:p w:rsidRPr="00FA558D" w:rsidR="00B91619" w:rsidP="00B91619" w:rsidRDefault="00B91619" w14:paraId="5BBEC6C9" w14:textId="7AA16300">
      <w:pPr>
        <w:tabs>
          <w:tab w:val="left" w:pos="9356"/>
        </w:tabs>
        <w:spacing w:after="0" w:line="240" w:lineRule="auto"/>
        <w:rPr>
          <w:lang w:val="fr-CA"/>
        </w:rPr>
      </w:pPr>
      <w:r>
        <w:rPr>
          <w:lang w:val="fr-CA"/>
        </w:rPr>
        <w:t>Le</w:t>
      </w:r>
      <w:r w:rsidR="00D17EBD">
        <w:rPr>
          <w:lang w:val="fr-CA"/>
        </w:rPr>
        <w:t>s</w:t>
      </w:r>
      <w:r>
        <w:rPr>
          <w:lang w:val="fr-CA"/>
        </w:rPr>
        <w:t xml:space="preserve"> coû</w:t>
      </w:r>
      <w:r w:rsidRPr="00FA558D">
        <w:rPr>
          <w:lang w:val="fr-CA"/>
        </w:rPr>
        <w:t xml:space="preserve">ts </w:t>
      </w:r>
      <w:r w:rsidR="00D17EBD">
        <w:rPr>
          <w:lang w:val="fr-CA"/>
        </w:rPr>
        <w:t xml:space="preserve">calculés </w:t>
      </w:r>
      <w:r>
        <w:rPr>
          <w:lang w:val="fr-CA"/>
        </w:rPr>
        <w:t xml:space="preserve">des activités </w:t>
      </w:r>
      <w:r w:rsidRPr="00FA558D">
        <w:rPr>
          <w:lang w:val="fr-CA"/>
        </w:rPr>
        <w:t>administrative</w:t>
      </w:r>
      <w:r>
        <w:rPr>
          <w:lang w:val="fr-CA"/>
        </w:rPr>
        <w:t>s et de conformité :</w:t>
      </w:r>
    </w:p>
    <w:p w:rsidRPr="00FA558D" w:rsidR="00B91619" w:rsidP="00B91619" w:rsidRDefault="00B91619" w14:paraId="40DCF83E" w14:textId="247CB259">
      <w:pPr>
        <w:pStyle w:val="ListParagraph"/>
        <w:numPr>
          <w:ilvl w:val="0"/>
          <w:numId w:val="25"/>
        </w:numPr>
        <w:tabs>
          <w:tab w:val="left" w:pos="9356"/>
        </w:tabs>
        <w:spacing w:after="0" w:line="240" w:lineRule="auto"/>
        <w:rPr>
          <w:lang w:val="fr-CA"/>
        </w:rPr>
      </w:pPr>
      <w:proofErr w:type="gramStart"/>
      <w:r>
        <w:rPr>
          <w:lang w:val="fr-CA"/>
        </w:rPr>
        <w:t>doi</w:t>
      </w:r>
      <w:r w:rsidR="00D17EBD">
        <w:rPr>
          <w:lang w:val="fr-CA"/>
        </w:rPr>
        <w:t>vent</w:t>
      </w:r>
      <w:proofErr w:type="gramEnd"/>
      <w:r>
        <w:rPr>
          <w:lang w:val="fr-CA"/>
        </w:rPr>
        <w:t xml:space="preserve"> être présenté</w:t>
      </w:r>
      <w:r w:rsidR="00D17EBD">
        <w:rPr>
          <w:lang w:val="fr-CA"/>
        </w:rPr>
        <w:t>s</w:t>
      </w:r>
      <w:r>
        <w:rPr>
          <w:lang w:val="fr-CA"/>
        </w:rPr>
        <w:t xml:space="preserve"> pour les règlement</w:t>
      </w:r>
      <w:r w:rsidRPr="00FA558D">
        <w:rPr>
          <w:lang w:val="fr-CA"/>
        </w:rPr>
        <w:t>s</w:t>
      </w:r>
      <w:r>
        <w:rPr>
          <w:lang w:val="fr-CA"/>
        </w:rPr>
        <w:t xml:space="preserve"> </w:t>
      </w:r>
      <w:r w:rsidR="00D17EBD">
        <w:rPr>
          <w:lang w:val="fr-CA"/>
        </w:rPr>
        <w:t>qui ont des</w:t>
      </w:r>
      <w:r>
        <w:rPr>
          <w:lang w:val="fr-CA"/>
        </w:rPr>
        <w:t xml:space="preserve"> répercussions </w:t>
      </w:r>
      <w:r w:rsidR="00D17EBD">
        <w:rPr>
          <w:lang w:val="fr-CA"/>
        </w:rPr>
        <w:t>financières considérables</w:t>
      </w:r>
      <w:r>
        <w:rPr>
          <w:lang w:val="fr-CA"/>
        </w:rPr>
        <w:t xml:space="preserve"> et </w:t>
      </w:r>
      <w:r w:rsidR="003773D7">
        <w:rPr>
          <w:lang w:val="fr-CA"/>
        </w:rPr>
        <w:t xml:space="preserve">pour lesquels </w:t>
      </w:r>
      <w:r>
        <w:rPr>
          <w:lang w:val="fr-CA"/>
        </w:rPr>
        <w:t xml:space="preserve">la </w:t>
      </w:r>
      <w:r w:rsidR="00827BD1">
        <w:rPr>
          <w:lang w:val="fr-CA"/>
        </w:rPr>
        <w:t>lentille</w:t>
      </w:r>
      <w:r w:rsidRPr="00D17EBD" w:rsidR="00D17EBD">
        <w:rPr>
          <w:lang w:val="fr-CA"/>
        </w:rPr>
        <w:t xml:space="preserve"> </w:t>
      </w:r>
      <w:r w:rsidR="00D17EBD">
        <w:rPr>
          <w:lang w:val="fr-CA"/>
        </w:rPr>
        <w:t>s’applique</w:t>
      </w:r>
      <w:r>
        <w:rPr>
          <w:lang w:val="fr-CA"/>
        </w:rPr>
        <w:t>;</w:t>
      </w:r>
    </w:p>
    <w:p w:rsidRPr="00FA558D" w:rsidR="00B91619" w:rsidP="00B91619" w:rsidRDefault="00B91619" w14:paraId="782C3996" w14:textId="681440AB">
      <w:pPr>
        <w:pStyle w:val="ListParagraph"/>
        <w:numPr>
          <w:ilvl w:val="0"/>
          <w:numId w:val="25"/>
        </w:numPr>
        <w:tabs>
          <w:tab w:val="left" w:pos="9356"/>
        </w:tabs>
        <w:spacing w:after="0" w:line="240" w:lineRule="auto"/>
        <w:rPr>
          <w:lang w:val="fr-CA"/>
        </w:rPr>
      </w:pPr>
      <w:proofErr w:type="gramStart"/>
      <w:r>
        <w:rPr>
          <w:lang w:val="fr-CA"/>
        </w:rPr>
        <w:t>devrai</w:t>
      </w:r>
      <w:r w:rsidR="00D17EBD">
        <w:rPr>
          <w:lang w:val="fr-CA"/>
        </w:rPr>
        <w:t>en</w:t>
      </w:r>
      <w:r>
        <w:rPr>
          <w:lang w:val="fr-CA"/>
        </w:rPr>
        <w:t>t</w:t>
      </w:r>
      <w:proofErr w:type="gramEnd"/>
      <w:r>
        <w:rPr>
          <w:lang w:val="fr-CA"/>
        </w:rPr>
        <w:t xml:space="preserve"> être</w:t>
      </w:r>
      <w:r w:rsidRPr="00FA558D">
        <w:rPr>
          <w:lang w:val="fr-CA"/>
        </w:rPr>
        <w:t xml:space="preserve"> </w:t>
      </w:r>
      <w:r>
        <w:rPr>
          <w:lang w:val="fr-CA"/>
        </w:rPr>
        <w:t>présenté</w:t>
      </w:r>
      <w:r w:rsidR="00D17EBD">
        <w:rPr>
          <w:lang w:val="fr-CA"/>
        </w:rPr>
        <w:t>s</w:t>
      </w:r>
      <w:r>
        <w:rPr>
          <w:lang w:val="fr-CA"/>
        </w:rPr>
        <w:t xml:space="preserve"> sous forme</w:t>
      </w:r>
      <w:r w:rsidR="00D17EBD">
        <w:rPr>
          <w:lang w:val="fr-CA"/>
        </w:rPr>
        <w:t xml:space="preserve"> de texte</w:t>
      </w:r>
      <w:r>
        <w:rPr>
          <w:lang w:val="fr-CA"/>
        </w:rPr>
        <w:t>, et des données monét</w:t>
      </w:r>
      <w:r w:rsidR="00D17EBD">
        <w:rPr>
          <w:lang w:val="fr-CA"/>
        </w:rPr>
        <w:t>ar</w:t>
      </w:r>
      <w:r w:rsidR="00B4147F">
        <w:rPr>
          <w:lang w:val="fr-CA"/>
        </w:rPr>
        <w:t>isées</w:t>
      </w:r>
      <w:r>
        <w:rPr>
          <w:lang w:val="fr-CA"/>
        </w:rPr>
        <w:t xml:space="preserve"> devraient </w:t>
      </w:r>
      <w:r w:rsidR="00D17EBD">
        <w:rPr>
          <w:lang w:val="fr-CA"/>
        </w:rPr>
        <w:t>accompagnées</w:t>
      </w:r>
      <w:r>
        <w:rPr>
          <w:lang w:val="fr-CA"/>
        </w:rPr>
        <w:t xml:space="preserve"> chaque </w:t>
      </w:r>
      <w:r w:rsidRPr="00FA558D">
        <w:rPr>
          <w:lang w:val="fr-CA"/>
        </w:rPr>
        <w:t>activ</w:t>
      </w:r>
      <w:r>
        <w:rPr>
          <w:lang w:val="fr-CA"/>
        </w:rPr>
        <w:t>ité</w:t>
      </w:r>
      <w:r w:rsidRPr="00FA558D">
        <w:rPr>
          <w:lang w:val="fr-CA"/>
        </w:rPr>
        <w:t xml:space="preserve"> </w:t>
      </w:r>
      <w:r w:rsidR="003773D7">
        <w:rPr>
          <w:lang w:val="fr-CA"/>
        </w:rPr>
        <w:t>énumérée</w:t>
      </w:r>
      <w:r>
        <w:rPr>
          <w:lang w:val="fr-CA"/>
        </w:rPr>
        <w:t>;</w:t>
      </w:r>
    </w:p>
    <w:p w:rsidRPr="00FA558D" w:rsidR="00B91619" w:rsidP="00B91619" w:rsidRDefault="00B91619" w14:paraId="53AA323E" w14:textId="05C537A7">
      <w:pPr>
        <w:pStyle w:val="ListParagraph"/>
        <w:numPr>
          <w:ilvl w:val="0"/>
          <w:numId w:val="25"/>
        </w:numPr>
        <w:tabs>
          <w:tab w:val="left" w:pos="9356"/>
        </w:tabs>
        <w:spacing w:after="0" w:line="240" w:lineRule="auto"/>
        <w:rPr>
          <w:lang w:val="fr-CA"/>
        </w:rPr>
      </w:pPr>
      <w:proofErr w:type="gramStart"/>
      <w:r>
        <w:rPr>
          <w:lang w:val="fr-CA"/>
        </w:rPr>
        <w:t>doi</w:t>
      </w:r>
      <w:r w:rsidR="00D17EBD">
        <w:rPr>
          <w:lang w:val="fr-CA"/>
        </w:rPr>
        <w:t>ven</w:t>
      </w:r>
      <w:r>
        <w:rPr>
          <w:lang w:val="fr-CA"/>
        </w:rPr>
        <w:t>t</w:t>
      </w:r>
      <w:proofErr w:type="gramEnd"/>
      <w:r>
        <w:rPr>
          <w:lang w:val="fr-CA"/>
        </w:rPr>
        <w:t xml:space="preserve"> être </w:t>
      </w:r>
      <w:r w:rsidR="00D17EBD">
        <w:rPr>
          <w:lang w:val="fr-CA"/>
        </w:rPr>
        <w:t>résumés</w:t>
      </w:r>
      <w:r>
        <w:rPr>
          <w:lang w:val="fr-CA"/>
        </w:rPr>
        <w:t xml:space="preserve"> </w:t>
      </w:r>
      <w:r w:rsidR="00D17EBD">
        <w:rPr>
          <w:lang w:val="fr-CA"/>
        </w:rPr>
        <w:t>dans le</w:t>
      </w:r>
      <w:r>
        <w:rPr>
          <w:lang w:val="fr-CA"/>
        </w:rPr>
        <w:t xml:space="preserve"> tableau ci-après et être </w:t>
      </w:r>
      <w:r w:rsidR="00D17EBD">
        <w:rPr>
          <w:lang w:val="fr-CA"/>
        </w:rPr>
        <w:t>ajoutés au</w:t>
      </w:r>
      <w:r>
        <w:rPr>
          <w:lang w:val="fr-CA"/>
        </w:rPr>
        <w:t xml:space="preserve"> REIR pour les projets </w:t>
      </w:r>
      <w:r w:rsidR="00D17EBD">
        <w:rPr>
          <w:lang w:val="fr-CA"/>
        </w:rPr>
        <w:t xml:space="preserve">importants </w:t>
      </w:r>
      <w:r>
        <w:rPr>
          <w:lang w:val="fr-CA"/>
        </w:rPr>
        <w:t>qui ont des répercussions</w:t>
      </w:r>
      <w:r w:rsidRPr="00FA558D">
        <w:rPr>
          <w:lang w:val="fr-CA"/>
        </w:rPr>
        <w:t xml:space="preserve"> </w:t>
      </w:r>
      <w:r>
        <w:rPr>
          <w:lang w:val="fr-CA"/>
        </w:rPr>
        <w:t xml:space="preserve">sur les petites entreprises et </w:t>
      </w:r>
      <w:r w:rsidR="00D17EBD">
        <w:rPr>
          <w:lang w:val="fr-CA"/>
        </w:rPr>
        <w:t>pour lesquels la lentille s’applique</w:t>
      </w:r>
      <w:r>
        <w:rPr>
          <w:lang w:val="fr-CA"/>
        </w:rPr>
        <w:t>.</w:t>
      </w:r>
    </w:p>
    <w:p w:rsidRPr="00FA558D" w:rsidR="00B91619" w:rsidP="00B91619" w:rsidRDefault="00B91619" w14:paraId="43564D04" w14:textId="77777777">
      <w:pPr>
        <w:tabs>
          <w:tab w:val="left" w:pos="9356"/>
        </w:tabs>
        <w:spacing w:after="0" w:line="240" w:lineRule="auto"/>
        <w:rPr>
          <w:lang w:val="fr-CA"/>
        </w:rPr>
      </w:pPr>
    </w:p>
    <w:p w:rsidRPr="00FA558D" w:rsidR="00B91619" w:rsidP="00B91619" w:rsidRDefault="00B91619" w14:paraId="60D559C8" w14:textId="19DB9FD5">
      <w:pPr>
        <w:tabs>
          <w:tab w:val="left" w:pos="9356"/>
        </w:tabs>
        <w:spacing w:after="0" w:line="240" w:lineRule="auto"/>
        <w:rPr>
          <w:b/>
          <w:lang w:val="fr-CA"/>
        </w:rPr>
      </w:pPr>
      <w:r w:rsidRPr="00FA558D">
        <w:rPr>
          <w:b/>
          <w:lang w:val="fr-CA"/>
        </w:rPr>
        <w:t>Table</w:t>
      </w:r>
      <w:r>
        <w:rPr>
          <w:b/>
          <w:lang w:val="fr-CA"/>
        </w:rPr>
        <w:t>au</w:t>
      </w:r>
      <w:r w:rsidRPr="00FA558D">
        <w:rPr>
          <w:b/>
          <w:lang w:val="fr-CA"/>
        </w:rPr>
        <w:t> 3</w:t>
      </w:r>
      <w:r w:rsidR="00A47F9D">
        <w:rPr>
          <w:b/>
          <w:lang w:val="fr-CA"/>
        </w:rPr>
        <w:t>.</w:t>
      </w:r>
      <w:r w:rsidRPr="00FA558D">
        <w:rPr>
          <w:b/>
          <w:lang w:val="fr-CA"/>
        </w:rPr>
        <w:t xml:space="preserve"> </w:t>
      </w:r>
      <w:r w:rsidR="00FF7DBF">
        <w:rPr>
          <w:b/>
          <w:lang w:val="fr-CA"/>
        </w:rPr>
        <w:t>M</w:t>
      </w:r>
      <w:r>
        <w:rPr>
          <w:b/>
          <w:lang w:val="fr-CA"/>
        </w:rPr>
        <w:t xml:space="preserve">odèle de </w:t>
      </w:r>
      <w:r w:rsidR="00FF7DBF">
        <w:rPr>
          <w:b/>
          <w:lang w:val="fr-CA"/>
        </w:rPr>
        <w:t>résumé</w:t>
      </w:r>
      <w:r>
        <w:rPr>
          <w:b/>
          <w:lang w:val="fr-CA"/>
        </w:rPr>
        <w:t xml:space="preserve"> </w:t>
      </w:r>
      <w:r w:rsidR="009A2387">
        <w:rPr>
          <w:b/>
          <w:lang w:val="fr-CA"/>
        </w:rPr>
        <w:t xml:space="preserve">de la </w:t>
      </w:r>
      <w:r w:rsidR="00FF7DBF">
        <w:rPr>
          <w:b/>
          <w:lang w:val="fr-CA"/>
        </w:rPr>
        <w:t>L</w:t>
      </w:r>
      <w:r w:rsidR="00827BD1">
        <w:rPr>
          <w:b/>
          <w:lang w:val="fr-CA"/>
        </w:rPr>
        <w:t>entille</w:t>
      </w:r>
      <w:r>
        <w:rPr>
          <w:b/>
          <w:lang w:val="fr-CA"/>
        </w:rPr>
        <w:t xml:space="preserve"> des petites entreprises</w:t>
      </w:r>
      <w:r w:rsidRPr="00FA558D">
        <w:rPr>
          <w:b/>
          <w:lang w:val="fr-CA"/>
        </w:rPr>
        <w:t xml:space="preserve"> </w:t>
      </w:r>
    </w:p>
    <w:p w:rsidR="00A45213" w:rsidP="00A45213" w:rsidRDefault="00A45213" w14:paraId="2D4758C0" w14:textId="77777777">
      <w:pPr>
        <w:rPr>
          <w:lang w:val="fr-CA"/>
        </w:rPr>
      </w:pPr>
    </w:p>
    <w:p w:rsidRPr="004A3225" w:rsidR="00A45213" w:rsidP="004A3225" w:rsidRDefault="00A45213" w14:paraId="08316986" w14:textId="198F6E98">
      <w:pPr>
        <w:spacing w:line="240" w:lineRule="auto"/>
        <w:rPr>
          <w:rFonts w:cstheme="minorHAnsi"/>
          <w:b/>
          <w:bCs/>
          <w:lang w:val="fr-CA"/>
        </w:rPr>
      </w:pPr>
      <w:r w:rsidRPr="004A3225">
        <w:rPr>
          <w:rFonts w:cstheme="minorHAnsi"/>
          <w:b/>
          <w:bCs/>
          <w:lang w:val="fr-CA"/>
        </w:rPr>
        <w:t xml:space="preserve">Résumé de la </w:t>
      </w:r>
      <w:r w:rsidR="00FF7DBF">
        <w:rPr>
          <w:rFonts w:cstheme="minorHAnsi"/>
          <w:b/>
          <w:bCs/>
          <w:lang w:val="fr-CA"/>
        </w:rPr>
        <w:t>L</w:t>
      </w:r>
      <w:r w:rsidRPr="004A3225">
        <w:rPr>
          <w:rFonts w:cstheme="minorHAnsi"/>
          <w:b/>
          <w:bCs/>
          <w:lang w:val="fr-CA"/>
        </w:rPr>
        <w:t>entille des petites entreprises</w:t>
      </w:r>
    </w:p>
    <w:p w:rsidRPr="00FF7DBF" w:rsidR="00A45213" w:rsidP="004A3225" w:rsidRDefault="00A45213" w14:paraId="57A75501" w14:textId="40E700C3">
      <w:pPr>
        <w:spacing w:line="240" w:lineRule="auto"/>
        <w:rPr>
          <w:rFonts w:cstheme="minorHAnsi"/>
          <w:bCs/>
          <w:lang w:val="fr-CA"/>
        </w:rPr>
      </w:pPr>
      <w:r w:rsidRPr="00FF7DBF">
        <w:rPr>
          <w:rFonts w:cstheme="minorHAnsi"/>
          <w:lang w:val="fr-CA"/>
        </w:rPr>
        <w:t>Nombre de petites entreprises touchées : #</w:t>
      </w:r>
      <w:r w:rsidRPr="00FF7DBF">
        <w:rPr>
          <w:rFonts w:cstheme="minorHAnsi"/>
          <w:lang w:val="fr-CA"/>
        </w:rPr>
        <w:br/>
      </w:r>
      <w:r w:rsidRPr="00FF7DBF">
        <w:rPr>
          <w:rFonts w:cstheme="minorHAnsi"/>
          <w:bCs/>
          <w:lang w:val="fr-CA"/>
        </w:rPr>
        <w:t>Nombre d’années : # (</w:t>
      </w:r>
      <w:r w:rsidRPr="00B42F19" w:rsidR="00FF7DBF">
        <w:rPr>
          <w:rFonts w:cstheme="minorHAnsi"/>
          <w:bCs/>
          <w:lang w:val="fr-CA"/>
        </w:rPr>
        <w:t>indique</w:t>
      </w:r>
      <w:r w:rsidR="00FF7DBF">
        <w:rPr>
          <w:rFonts w:cstheme="minorHAnsi"/>
          <w:bCs/>
          <w:lang w:val="fr-CA"/>
        </w:rPr>
        <w:t>z</w:t>
      </w:r>
      <w:r w:rsidRPr="00B42F19" w:rsidR="00FF7DBF">
        <w:rPr>
          <w:rFonts w:cstheme="minorHAnsi"/>
          <w:bCs/>
          <w:lang w:val="fr-CA"/>
        </w:rPr>
        <w:t xml:space="preserve"> </w:t>
      </w:r>
      <w:r w:rsidRPr="00B42F19">
        <w:rPr>
          <w:rFonts w:cstheme="minorHAnsi"/>
          <w:bCs/>
          <w:lang w:val="fr-CA"/>
        </w:rPr>
        <w:t xml:space="preserve">aussi les </w:t>
      </w:r>
      <w:r w:rsidR="00FF7DBF">
        <w:rPr>
          <w:rFonts w:cstheme="minorHAnsi"/>
          <w:bCs/>
          <w:lang w:val="fr-CA"/>
        </w:rPr>
        <w:t>périodes</w:t>
      </w:r>
      <w:r w:rsidRPr="00B42F19">
        <w:rPr>
          <w:rFonts w:cstheme="minorHAnsi"/>
          <w:bCs/>
          <w:lang w:val="fr-CA"/>
        </w:rPr>
        <w:t>, p</w:t>
      </w:r>
      <w:r w:rsidR="00FF7DBF">
        <w:rPr>
          <w:rFonts w:cstheme="minorHAnsi"/>
          <w:bCs/>
          <w:lang w:val="fr-CA"/>
        </w:rPr>
        <w:t xml:space="preserve">ar exemple, </w:t>
      </w:r>
      <w:r w:rsidRPr="00FF7DBF">
        <w:rPr>
          <w:rFonts w:cstheme="minorHAnsi"/>
          <w:bCs/>
          <w:lang w:val="fr-CA"/>
        </w:rPr>
        <w:t>de 2020 à 2029)</w:t>
      </w:r>
      <w:r w:rsidRPr="00FF7DBF">
        <w:rPr>
          <w:rFonts w:cstheme="minorHAnsi"/>
          <w:bCs/>
          <w:lang w:val="fr-CA"/>
        </w:rPr>
        <w:br/>
      </w:r>
      <w:r w:rsidRPr="00FF7DBF">
        <w:rPr>
          <w:rFonts w:cstheme="minorHAnsi"/>
          <w:bCs/>
          <w:lang w:val="fr-CA"/>
        </w:rPr>
        <w:t xml:space="preserve">Année de </w:t>
      </w:r>
      <w:r w:rsidR="00FF7DBF">
        <w:rPr>
          <w:rFonts w:cstheme="minorHAnsi"/>
          <w:bCs/>
          <w:lang w:val="fr-CA"/>
        </w:rPr>
        <w:t>référence</w:t>
      </w:r>
      <w:r w:rsidR="005D3216">
        <w:rPr>
          <w:rFonts w:cstheme="minorHAnsi"/>
          <w:bCs/>
          <w:lang w:val="fr-CA"/>
        </w:rPr>
        <w:t xml:space="preserve"> des prix</w:t>
      </w:r>
      <w:r w:rsidRPr="00FF7DBF">
        <w:rPr>
          <w:rFonts w:cstheme="minorHAnsi"/>
          <w:bCs/>
          <w:lang w:val="fr-CA"/>
        </w:rPr>
        <w:t> : 20##</w:t>
      </w:r>
      <w:r w:rsidRPr="00FF7DBF">
        <w:rPr>
          <w:rFonts w:cstheme="minorHAnsi"/>
          <w:bCs/>
          <w:lang w:val="fr-CA"/>
        </w:rPr>
        <w:br/>
      </w:r>
      <w:r w:rsidRPr="00FF7DBF">
        <w:rPr>
          <w:rFonts w:cstheme="minorHAnsi"/>
          <w:bCs/>
          <w:lang w:val="fr-CA"/>
        </w:rPr>
        <w:t xml:space="preserve">Année de référence </w:t>
      </w:r>
      <w:r w:rsidR="005D3216">
        <w:rPr>
          <w:rFonts w:cstheme="minorHAnsi"/>
          <w:bCs/>
          <w:lang w:val="fr-CA"/>
        </w:rPr>
        <w:t>de</w:t>
      </w:r>
      <w:r w:rsidRPr="00FF7DBF">
        <w:rPr>
          <w:rFonts w:cstheme="minorHAnsi"/>
          <w:bCs/>
          <w:lang w:val="fr-CA"/>
        </w:rPr>
        <w:t xml:space="preserve"> la valeur actualisée : 20##</w:t>
      </w:r>
      <w:r w:rsidRPr="00FF7DBF">
        <w:rPr>
          <w:rFonts w:cstheme="minorHAnsi"/>
          <w:bCs/>
          <w:lang w:val="fr-CA"/>
        </w:rPr>
        <w:br/>
      </w:r>
      <w:r w:rsidRPr="00FF7DBF">
        <w:rPr>
          <w:rFonts w:cstheme="minorHAnsi"/>
          <w:bCs/>
          <w:lang w:val="fr-CA"/>
        </w:rPr>
        <w:t>Taux d’actualisation : # %</w:t>
      </w:r>
    </w:p>
    <w:p w:rsidRPr="00B42F19" w:rsidR="00614476" w:rsidP="00614476" w:rsidRDefault="00CB717E" w14:paraId="0152A2C4" w14:textId="2E7F9B03">
      <w:pPr>
        <w:keepNext/>
        <w:keepLines/>
        <w:spacing w:before="40" w:after="0"/>
        <w:outlineLvl w:val="4"/>
        <w:rPr>
          <w:rFonts w:asciiTheme="majorHAnsi" w:hAnsiTheme="majorHAnsi" w:eastAsiaTheme="majorEastAsia" w:cstheme="majorBidi"/>
          <w:color w:val="365F91" w:themeColor="accent1" w:themeShade="BF"/>
          <w:lang w:val="fr-CA"/>
        </w:rPr>
      </w:pPr>
      <w:r w:rsidRPr="00B42F19">
        <w:rPr>
          <w:rFonts w:asciiTheme="majorHAnsi" w:hAnsiTheme="majorHAnsi" w:eastAsiaTheme="majorEastAsia" w:cstheme="majorBidi"/>
          <w:color w:val="365F91" w:themeColor="accent1" w:themeShade="BF"/>
          <w:lang w:val="fr-CA"/>
        </w:rPr>
        <w:t>Avantages</w:t>
      </w:r>
    </w:p>
    <w:tbl>
      <w:tblPr>
        <w:tblStyle w:val="TableGrid"/>
        <w:tblW w:w="9345" w:type="dxa"/>
        <w:tblLayout w:type="fixed"/>
        <w:tblLook w:val="04A0" w:firstRow="1" w:lastRow="0" w:firstColumn="1" w:lastColumn="0" w:noHBand="0" w:noVBand="1"/>
      </w:tblPr>
      <w:tblGrid>
        <w:gridCol w:w="1620"/>
        <w:gridCol w:w="4590"/>
        <w:gridCol w:w="1530"/>
        <w:gridCol w:w="1605"/>
      </w:tblGrid>
      <w:tr w:rsidRPr="00816AF5" w:rsidR="00614476" w:rsidTr="00CB717E" w14:paraId="72DA7F43"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B42F19" w:rsidR="00614476" w:rsidP="00614476" w:rsidRDefault="00614476" w14:paraId="5A3AF7B1" w14:textId="3B972019">
            <w:pPr>
              <w:numPr>
                <w:ilvl w:val="1"/>
                <w:numId w:val="0"/>
              </w:numPr>
              <w:spacing w:before="120" w:after="200"/>
              <w:rPr>
                <w:rFonts w:ascii="Arial" w:hAnsi="Arial" w:cs="Arial" w:eastAsiaTheme="minorEastAsia"/>
                <w:b/>
                <w:bCs/>
                <w:iCs/>
                <w:color w:val="000000" w:themeColor="text1"/>
                <w:sz w:val="18"/>
                <w:szCs w:val="18"/>
                <w:lang w:val="fr-CA"/>
              </w:rPr>
            </w:pPr>
            <w:bookmarkStart w:name="_Hlk142580406" w:id="41"/>
            <w:r w:rsidRPr="00B42F19">
              <w:rPr>
                <w:rFonts w:ascii="Arial" w:hAnsi="Arial" w:cs="Arial" w:eastAsiaTheme="minorEastAsia"/>
                <w:b/>
                <w:iCs/>
                <w:color w:val="000000" w:themeColor="text1"/>
                <w:sz w:val="18"/>
                <w:szCs w:val="18"/>
                <w:lang w:val="fr-CA"/>
              </w:rPr>
              <w:t>Administrati</w:t>
            </w:r>
            <w:r w:rsidRPr="00816AF5" w:rsidR="00D272CE">
              <w:rPr>
                <w:rFonts w:ascii="Arial" w:hAnsi="Arial" w:cs="Arial" w:eastAsiaTheme="minorEastAsia"/>
                <w:b/>
                <w:iCs/>
                <w:color w:val="000000" w:themeColor="text1"/>
                <w:sz w:val="18"/>
                <w:szCs w:val="18"/>
                <w:lang w:val="fr-CA"/>
              </w:rPr>
              <w:t>on</w:t>
            </w:r>
            <w:r w:rsidRPr="00B42F19">
              <w:rPr>
                <w:rFonts w:ascii="Arial" w:hAnsi="Arial" w:cs="Arial" w:eastAsiaTheme="minorEastAsia"/>
                <w:b/>
                <w:iCs/>
                <w:color w:val="000000" w:themeColor="text1"/>
                <w:sz w:val="18"/>
                <w:szCs w:val="18"/>
                <w:lang w:val="fr-CA"/>
              </w:rPr>
              <w:t xml:space="preserve"> o</w:t>
            </w:r>
            <w:r w:rsidRPr="00816AF5" w:rsidR="00CB717E">
              <w:rPr>
                <w:rFonts w:ascii="Arial" w:hAnsi="Arial" w:cs="Arial" w:eastAsiaTheme="minorEastAsia"/>
                <w:b/>
                <w:iCs/>
                <w:color w:val="000000" w:themeColor="text1"/>
                <w:sz w:val="18"/>
                <w:szCs w:val="18"/>
                <w:lang w:val="fr-CA"/>
              </w:rPr>
              <w:t>u</w:t>
            </w:r>
            <w:r w:rsidRPr="00B42F19">
              <w:rPr>
                <w:rFonts w:ascii="Arial" w:hAnsi="Arial" w:cs="Arial" w:eastAsiaTheme="minorEastAsia"/>
                <w:b/>
                <w:iCs/>
                <w:color w:val="000000" w:themeColor="text1"/>
                <w:sz w:val="18"/>
                <w:szCs w:val="18"/>
                <w:lang w:val="fr-CA"/>
              </w:rPr>
              <w:t xml:space="preserve"> </w:t>
            </w:r>
            <w:r w:rsidRPr="00816AF5" w:rsidR="00CB717E">
              <w:rPr>
                <w:rFonts w:ascii="Arial" w:hAnsi="Arial" w:cs="Arial" w:eastAsiaTheme="minorEastAsia"/>
                <w:b/>
                <w:iCs/>
                <w:color w:val="000000" w:themeColor="text1"/>
                <w:sz w:val="18"/>
                <w:szCs w:val="18"/>
                <w:lang w:val="fr-CA"/>
              </w:rPr>
              <w:t>conformité</w:t>
            </w:r>
          </w:p>
        </w:tc>
        <w:tc>
          <w:tcPr>
            <w:tcW w:w="4590" w:type="dxa"/>
            <w:tcBorders>
              <w:top w:val="single" w:color="auto" w:sz="6" w:space="0"/>
              <w:left w:val="single" w:color="auto" w:sz="6" w:space="0"/>
              <w:bottom w:val="single" w:color="auto" w:sz="6" w:space="0"/>
              <w:right w:val="single" w:color="auto" w:sz="6" w:space="0"/>
            </w:tcBorders>
            <w:vAlign w:val="center"/>
          </w:tcPr>
          <w:p w:rsidRPr="00B42F19" w:rsidR="00614476" w:rsidP="00614476" w:rsidRDefault="00614476" w14:paraId="233D2DE0" w14:textId="03525C2A">
            <w:pPr>
              <w:spacing w:after="200"/>
              <w:rPr>
                <w:rFonts w:ascii="Arial" w:hAnsi="Arial" w:cs="Arial" w:eastAsiaTheme="minorEastAsia"/>
                <w:b/>
                <w:iCs/>
                <w:color w:val="000000" w:themeColor="text1"/>
                <w:sz w:val="18"/>
                <w:szCs w:val="18"/>
                <w:lang w:val="fr-CA"/>
              </w:rPr>
            </w:pPr>
            <w:r w:rsidRPr="00B42F19">
              <w:rPr>
                <w:rFonts w:ascii="Arial" w:hAnsi="Arial" w:cs="Arial" w:eastAsiaTheme="minorEastAsia"/>
                <w:b/>
                <w:iCs/>
                <w:color w:val="000000" w:themeColor="text1"/>
                <w:sz w:val="18"/>
                <w:szCs w:val="18"/>
                <w:lang w:val="fr-CA"/>
              </w:rPr>
              <w:t xml:space="preserve">Description </w:t>
            </w:r>
            <w:r w:rsidRPr="00B42F19" w:rsidR="00CB717E">
              <w:rPr>
                <w:rFonts w:ascii="Arial" w:hAnsi="Arial" w:cs="Arial" w:eastAsiaTheme="minorEastAsia"/>
                <w:b/>
                <w:iCs/>
                <w:color w:val="000000" w:themeColor="text1"/>
                <w:sz w:val="18"/>
                <w:szCs w:val="18"/>
                <w:lang w:val="fr-CA"/>
              </w:rPr>
              <w:t>de l’avantage</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614476" w:rsidP="00614476" w:rsidRDefault="00CB717E" w14:paraId="7D15B0E1" w14:textId="323D5664">
            <w:pPr>
              <w:spacing w:after="200"/>
              <w:rPr>
                <w:rFonts w:ascii="Arial" w:hAnsi="Arial" w:cs="Arial" w:eastAsiaTheme="minorEastAsia"/>
                <w:b/>
                <w:iCs/>
                <w:color w:val="000000" w:themeColor="text1"/>
                <w:sz w:val="18"/>
                <w:szCs w:val="18"/>
                <w:lang w:val="fr-CA"/>
              </w:rPr>
            </w:pPr>
            <w:r w:rsidRPr="00B42F19">
              <w:rPr>
                <w:rFonts w:ascii="Arial" w:hAnsi="Arial" w:cs="Arial" w:eastAsiaTheme="minorEastAsia"/>
                <w:b/>
                <w:iCs/>
                <w:color w:val="000000" w:themeColor="text1"/>
                <w:sz w:val="18"/>
                <w:szCs w:val="18"/>
                <w:lang w:val="fr-CA"/>
              </w:rPr>
              <w:t>Valeur actualisée</w:t>
            </w:r>
          </w:p>
        </w:tc>
        <w:tc>
          <w:tcPr>
            <w:tcW w:w="1605" w:type="dxa"/>
            <w:tcBorders>
              <w:top w:val="single" w:color="auto" w:sz="6" w:space="0"/>
              <w:left w:val="single" w:color="auto" w:sz="6" w:space="0"/>
              <w:bottom w:val="single" w:color="auto" w:sz="6" w:space="0"/>
              <w:right w:val="single" w:color="auto" w:sz="6" w:space="0"/>
            </w:tcBorders>
            <w:vAlign w:val="center"/>
          </w:tcPr>
          <w:p w:rsidRPr="00B42F19" w:rsidR="00614476" w:rsidP="00614476" w:rsidRDefault="00CB717E" w14:paraId="442FA505" w14:textId="58514BBB">
            <w:pPr>
              <w:spacing w:after="200"/>
              <w:rPr>
                <w:rFonts w:ascii="Arial" w:hAnsi="Arial" w:cs="Arial" w:eastAsiaTheme="minorEastAsia"/>
                <w:b/>
                <w:iCs/>
                <w:color w:val="000000" w:themeColor="text1"/>
                <w:sz w:val="18"/>
                <w:szCs w:val="18"/>
                <w:lang w:val="fr-CA"/>
              </w:rPr>
            </w:pPr>
            <w:r w:rsidRPr="00B42F19">
              <w:rPr>
                <w:rFonts w:ascii="Arial" w:hAnsi="Arial" w:cs="Arial" w:eastAsiaTheme="minorEastAsia"/>
                <w:b/>
                <w:iCs/>
                <w:color w:val="000000" w:themeColor="text1"/>
                <w:sz w:val="18"/>
                <w:szCs w:val="18"/>
                <w:lang w:val="fr-CA"/>
              </w:rPr>
              <w:t>Valeur annualisée</w:t>
            </w:r>
          </w:p>
        </w:tc>
      </w:tr>
      <w:bookmarkEnd w:id="41"/>
      <w:tr w:rsidRPr="00816AF5" w:rsidR="00CB717E" w:rsidTr="00B42F19" w14:paraId="1F92992A"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B42F19" w:rsidR="00CB717E" w:rsidP="00CB717E" w:rsidRDefault="00CB717E" w14:paraId="4351345C" w14:textId="0CE85BCA">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Administrati</w:t>
            </w:r>
            <w:r w:rsidRPr="00816AF5" w:rsidR="00D272CE">
              <w:rPr>
                <w:rFonts w:ascii="Arial" w:hAnsi="Arial" w:cs="Arial" w:eastAsiaTheme="minorEastAsia"/>
                <w:b/>
                <w:iCs/>
                <w:color w:val="000000" w:themeColor="text1"/>
                <w:sz w:val="18"/>
                <w:szCs w:val="18"/>
                <w:lang w:val="fr-CA"/>
              </w:rPr>
              <w:t>on</w:t>
            </w:r>
          </w:p>
        </w:tc>
        <w:tc>
          <w:tcPr>
            <w:tcW w:w="4590" w:type="dxa"/>
            <w:tcBorders>
              <w:top w:val="single" w:color="auto" w:sz="6" w:space="0"/>
              <w:left w:val="single" w:color="auto" w:sz="6" w:space="0"/>
              <w:bottom w:val="single" w:color="auto" w:sz="6" w:space="0"/>
              <w:right w:val="single" w:color="auto" w:sz="6" w:space="0"/>
            </w:tcBorders>
          </w:tcPr>
          <w:p w:rsidRPr="00B42F19" w:rsidR="00CB717E" w:rsidP="00CB717E" w:rsidRDefault="00CB717E" w14:paraId="1D52938D" w14:textId="619086D4">
            <w:pPr>
              <w:numPr>
                <w:ilvl w:val="1"/>
                <w:numId w:val="0"/>
              </w:numPr>
              <w:spacing w:before="120" w:after="200"/>
              <w:rPr>
                <w:rFonts w:ascii="Arial" w:hAnsi="Arial" w:cs="Arial" w:eastAsiaTheme="minorEastAsia"/>
                <w:bCs/>
                <w:iCs/>
                <w:color w:val="000000" w:themeColor="text1"/>
                <w:sz w:val="18"/>
                <w:szCs w:val="18"/>
                <w:lang w:val="fr-CA"/>
              </w:rPr>
            </w:pPr>
            <w:r w:rsidRPr="00B42F19">
              <w:rPr>
                <w:rFonts w:ascii="Arial" w:hAnsi="Arial" w:cs="Arial"/>
                <w:sz w:val="18"/>
                <w:szCs w:val="18"/>
                <w:lang w:val="fr-CA"/>
              </w:rPr>
              <w:t>Par exemple, des exigences moins fréquentes en matière de rapports</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CB717E" w:rsidP="00B42F19" w:rsidRDefault="00CB717E" w14:paraId="03F351CE"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c>
          <w:tcPr>
            <w:tcW w:w="1605" w:type="dxa"/>
            <w:tcBorders>
              <w:top w:val="single" w:color="auto" w:sz="6" w:space="0"/>
              <w:left w:val="single" w:color="auto" w:sz="6" w:space="0"/>
              <w:bottom w:val="single" w:color="auto" w:sz="6" w:space="0"/>
              <w:right w:val="single" w:color="auto" w:sz="6" w:space="0"/>
            </w:tcBorders>
            <w:vAlign w:val="center"/>
          </w:tcPr>
          <w:p w:rsidRPr="00B42F19" w:rsidR="00CB717E" w:rsidP="00B42F19" w:rsidRDefault="00CB717E" w14:paraId="28960D8D"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r>
      <w:tr w:rsidRPr="00816AF5" w:rsidR="00CB717E" w:rsidTr="00B42F19" w14:paraId="3FE37447"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B42F19" w:rsidR="00CB717E" w:rsidP="00CB717E" w:rsidRDefault="00CB717E" w14:paraId="560AA9E9" w14:textId="54D84B81">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Co</w:t>
            </w:r>
            <w:r w:rsidRPr="00816AF5">
              <w:rPr>
                <w:rFonts w:ascii="Arial" w:hAnsi="Arial" w:cs="Arial" w:eastAsiaTheme="minorEastAsia"/>
                <w:b/>
                <w:iCs/>
                <w:color w:val="000000" w:themeColor="text1"/>
                <w:sz w:val="18"/>
                <w:szCs w:val="18"/>
                <w:lang w:val="fr-CA"/>
              </w:rPr>
              <w:t>nformité</w:t>
            </w:r>
          </w:p>
        </w:tc>
        <w:tc>
          <w:tcPr>
            <w:tcW w:w="4590" w:type="dxa"/>
            <w:tcBorders>
              <w:top w:val="single" w:color="auto" w:sz="6" w:space="0"/>
              <w:left w:val="single" w:color="auto" w:sz="6" w:space="0"/>
              <w:bottom w:val="single" w:color="auto" w:sz="6" w:space="0"/>
              <w:right w:val="single" w:color="auto" w:sz="6" w:space="0"/>
            </w:tcBorders>
          </w:tcPr>
          <w:p w:rsidRPr="00B42F19" w:rsidR="00CB717E" w:rsidP="00CB717E" w:rsidRDefault="00CB717E" w14:paraId="72253EAF" w14:textId="64D42230">
            <w:pPr>
              <w:numPr>
                <w:ilvl w:val="1"/>
                <w:numId w:val="0"/>
              </w:numPr>
              <w:spacing w:before="120" w:after="200"/>
              <w:rPr>
                <w:rFonts w:ascii="Arial" w:hAnsi="Arial" w:cs="Arial" w:eastAsiaTheme="minorEastAsia"/>
                <w:bCs/>
                <w:iCs/>
                <w:color w:val="000000" w:themeColor="text1"/>
                <w:sz w:val="18"/>
                <w:szCs w:val="18"/>
                <w:lang w:val="fr-CA"/>
              </w:rPr>
            </w:pPr>
            <w:r w:rsidRPr="00B42F19">
              <w:rPr>
                <w:rFonts w:ascii="Arial" w:hAnsi="Arial" w:cs="Arial"/>
                <w:sz w:val="18"/>
                <w:szCs w:val="18"/>
                <w:lang w:val="fr-CA"/>
              </w:rPr>
              <w:t>Par exemple, suppression des exigences en matière d</w:t>
            </w:r>
            <w:r w:rsidR="009647E5">
              <w:rPr>
                <w:rFonts w:ascii="Arial" w:hAnsi="Arial" w:cs="Arial"/>
                <w:sz w:val="18"/>
                <w:szCs w:val="18"/>
                <w:lang w:val="fr-CA"/>
              </w:rPr>
              <w:t>’</w:t>
            </w:r>
            <w:r w:rsidRPr="00B42F19">
              <w:rPr>
                <w:rFonts w:ascii="Arial" w:hAnsi="Arial" w:cs="Arial"/>
                <w:sz w:val="18"/>
                <w:szCs w:val="18"/>
                <w:lang w:val="fr-CA"/>
              </w:rPr>
              <w:t>étiquetage des emballages</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CB717E" w:rsidP="00B42F19" w:rsidRDefault="00CB717E" w14:paraId="19E2C71F"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c>
          <w:tcPr>
            <w:tcW w:w="1605" w:type="dxa"/>
            <w:tcBorders>
              <w:top w:val="single" w:color="auto" w:sz="6" w:space="0"/>
              <w:left w:val="single" w:color="auto" w:sz="6" w:space="0"/>
              <w:bottom w:val="single" w:color="auto" w:sz="6" w:space="0"/>
              <w:right w:val="single" w:color="auto" w:sz="6" w:space="0"/>
            </w:tcBorders>
            <w:vAlign w:val="center"/>
          </w:tcPr>
          <w:p w:rsidRPr="00B42F19" w:rsidR="00CB717E" w:rsidP="00B42F19" w:rsidRDefault="00CB717E" w14:paraId="2BFDBA5E"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r>
      <w:tr w:rsidRPr="00816AF5" w:rsidR="00614476" w:rsidTr="00CB717E" w14:paraId="6C4D4459" w14:textId="77777777">
        <w:trPr>
          <w:trHeight w:val="300"/>
        </w:trPr>
        <w:tc>
          <w:tcPr>
            <w:tcW w:w="1620" w:type="dxa"/>
            <w:vAlign w:val="center"/>
          </w:tcPr>
          <w:p w:rsidRPr="00B42F19" w:rsidR="00614476" w:rsidP="00614476" w:rsidRDefault="00614476" w14:paraId="13F09040" w14:textId="77777777">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Total</w:t>
            </w:r>
          </w:p>
        </w:tc>
        <w:tc>
          <w:tcPr>
            <w:tcW w:w="4590" w:type="dxa"/>
            <w:tcBorders>
              <w:top w:val="single" w:color="auto" w:sz="6" w:space="0"/>
              <w:left w:val="single" w:color="auto" w:sz="6" w:space="0"/>
              <w:bottom w:val="single" w:color="auto" w:sz="6" w:space="0"/>
              <w:right w:val="single" w:color="auto" w:sz="6" w:space="0"/>
            </w:tcBorders>
            <w:vAlign w:val="center"/>
          </w:tcPr>
          <w:p w:rsidRPr="00B42F19" w:rsidR="00614476" w:rsidP="00614476" w:rsidRDefault="00CB717E" w14:paraId="0EDAB388" w14:textId="7D885113">
            <w:pPr>
              <w:numPr>
                <w:ilvl w:val="1"/>
                <w:numId w:val="0"/>
              </w:numPr>
              <w:spacing w:before="120" w:after="200"/>
              <w:rPr>
                <w:rFonts w:ascii="Arial" w:hAnsi="Arial" w:cs="Arial" w:eastAsiaTheme="minorEastAsia"/>
                <w:b/>
                <w:bCs/>
                <w:iCs/>
                <w:color w:val="000000" w:themeColor="text1"/>
                <w:sz w:val="18"/>
                <w:szCs w:val="18"/>
                <w:lang w:val="fr-CA"/>
              </w:rPr>
            </w:pPr>
            <w:r w:rsidRPr="00816AF5">
              <w:rPr>
                <w:rFonts w:ascii="Arial" w:hAnsi="Arial" w:cs="Arial" w:eastAsiaTheme="minorEastAsia"/>
                <w:b/>
                <w:iCs/>
                <w:color w:val="000000" w:themeColor="text1"/>
                <w:sz w:val="18"/>
                <w:szCs w:val="18"/>
                <w:lang w:val="fr-CA"/>
              </w:rPr>
              <w:t>Avantages totaux</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614476" w:rsidP="00B42F19" w:rsidRDefault="00614476" w14:paraId="7726186F"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c>
          <w:tcPr>
            <w:tcW w:w="1605" w:type="dxa"/>
            <w:tcBorders>
              <w:top w:val="single" w:color="auto" w:sz="6" w:space="0"/>
              <w:left w:val="single" w:color="auto" w:sz="6" w:space="0"/>
              <w:bottom w:val="single" w:color="auto" w:sz="6" w:space="0"/>
              <w:right w:val="single" w:color="auto" w:sz="6" w:space="0"/>
            </w:tcBorders>
            <w:vAlign w:val="center"/>
          </w:tcPr>
          <w:p w:rsidRPr="00B42F19" w:rsidR="00614476" w:rsidP="00B42F19" w:rsidRDefault="00614476" w14:paraId="0B8444BA"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r>
    </w:tbl>
    <w:p w:rsidRPr="00B42F19" w:rsidR="00614476" w:rsidP="00614476" w:rsidRDefault="00614476" w14:paraId="6B43EDAF" w14:textId="51841F1A">
      <w:pPr>
        <w:keepNext/>
        <w:keepLines/>
        <w:spacing w:before="40" w:after="0"/>
        <w:outlineLvl w:val="4"/>
        <w:rPr>
          <w:rFonts w:ascii="Cambria" w:hAnsi="Cambria" w:cs="Arial" w:eastAsiaTheme="majorEastAsia"/>
          <w:color w:val="365F91" w:themeColor="accent1" w:themeShade="BF"/>
          <w:lang w:val="fr-CA"/>
        </w:rPr>
      </w:pPr>
      <w:r w:rsidRPr="00B42F19">
        <w:rPr>
          <w:rFonts w:ascii="Cambria" w:hAnsi="Cambria" w:cs="Arial" w:eastAsiaTheme="majorEastAsia"/>
          <w:color w:val="365F91" w:themeColor="accent1" w:themeShade="BF"/>
          <w:lang w:val="fr-CA"/>
        </w:rPr>
        <w:t>Co</w:t>
      </w:r>
      <w:r w:rsidRPr="00B42F19" w:rsidR="00D272CE">
        <w:rPr>
          <w:rFonts w:ascii="Cambria" w:hAnsi="Cambria" w:cs="Arial" w:eastAsiaTheme="majorEastAsia"/>
          <w:color w:val="365F91" w:themeColor="accent1" w:themeShade="BF"/>
          <w:lang w:val="fr-CA"/>
        </w:rPr>
        <w:t>ûts</w:t>
      </w:r>
    </w:p>
    <w:tbl>
      <w:tblPr>
        <w:tblStyle w:val="TableGrid"/>
        <w:tblW w:w="9360" w:type="dxa"/>
        <w:tblLayout w:type="fixed"/>
        <w:tblLook w:val="04A0" w:firstRow="1" w:lastRow="0" w:firstColumn="1" w:lastColumn="0" w:noHBand="0" w:noVBand="1"/>
      </w:tblPr>
      <w:tblGrid>
        <w:gridCol w:w="1620"/>
        <w:gridCol w:w="4590"/>
        <w:gridCol w:w="1530"/>
        <w:gridCol w:w="1620"/>
      </w:tblGrid>
      <w:tr w:rsidRPr="00CB717E" w:rsidR="00D272CE" w:rsidTr="00CB717E" w14:paraId="43FD718A"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B42F19" w:rsidR="00D272CE" w:rsidP="00D272CE" w:rsidRDefault="00D272CE" w14:paraId="28024D62" w14:textId="14E4835F">
            <w:pPr>
              <w:numPr>
                <w:ilvl w:val="1"/>
                <w:numId w:val="0"/>
              </w:numPr>
              <w:spacing w:before="120" w:after="200"/>
              <w:rPr>
                <w:rFonts w:ascii="Arial" w:hAnsi="Arial" w:cs="Arial" w:eastAsiaTheme="minorEastAsia"/>
                <w:b/>
                <w:bCs/>
                <w:iCs/>
                <w:color w:val="000000" w:themeColor="text1"/>
                <w:sz w:val="18"/>
                <w:szCs w:val="18"/>
                <w:lang w:val="fr-CA"/>
              </w:rPr>
            </w:pPr>
            <w:r w:rsidRPr="00A32B4F">
              <w:rPr>
                <w:rFonts w:ascii="Arial" w:hAnsi="Arial" w:cs="Arial" w:eastAsiaTheme="minorEastAsia"/>
                <w:b/>
                <w:iCs/>
                <w:color w:val="000000" w:themeColor="text1"/>
                <w:sz w:val="18"/>
                <w:szCs w:val="18"/>
                <w:lang w:val="fr-CA"/>
              </w:rPr>
              <w:t>Administrati</w:t>
            </w:r>
            <w:r>
              <w:rPr>
                <w:rFonts w:ascii="Arial" w:hAnsi="Arial" w:cs="Arial" w:eastAsiaTheme="minorEastAsia"/>
                <w:b/>
                <w:iCs/>
                <w:color w:val="000000" w:themeColor="text1"/>
                <w:sz w:val="18"/>
                <w:szCs w:val="18"/>
                <w:lang w:val="fr-CA"/>
              </w:rPr>
              <w:t>on</w:t>
            </w:r>
            <w:r w:rsidRPr="00A32B4F">
              <w:rPr>
                <w:rFonts w:ascii="Arial" w:hAnsi="Arial" w:cs="Arial" w:eastAsiaTheme="minorEastAsia"/>
                <w:b/>
                <w:iCs/>
                <w:color w:val="000000" w:themeColor="text1"/>
                <w:sz w:val="18"/>
                <w:szCs w:val="18"/>
                <w:lang w:val="fr-CA"/>
              </w:rPr>
              <w:t xml:space="preserve"> o</w:t>
            </w:r>
            <w:r>
              <w:rPr>
                <w:rFonts w:ascii="Arial" w:hAnsi="Arial" w:cs="Arial" w:eastAsiaTheme="minorEastAsia"/>
                <w:b/>
                <w:iCs/>
                <w:color w:val="000000" w:themeColor="text1"/>
                <w:sz w:val="18"/>
                <w:szCs w:val="18"/>
                <w:lang w:val="fr-CA"/>
              </w:rPr>
              <w:t>u</w:t>
            </w:r>
            <w:r w:rsidRPr="00A32B4F">
              <w:rPr>
                <w:rFonts w:ascii="Arial" w:hAnsi="Arial" w:cs="Arial" w:eastAsiaTheme="minorEastAsia"/>
                <w:b/>
                <w:iCs/>
                <w:color w:val="000000" w:themeColor="text1"/>
                <w:sz w:val="18"/>
                <w:szCs w:val="18"/>
                <w:lang w:val="fr-CA"/>
              </w:rPr>
              <w:t xml:space="preserve"> </w:t>
            </w:r>
            <w:r>
              <w:rPr>
                <w:rFonts w:ascii="Arial" w:hAnsi="Arial" w:cs="Arial" w:eastAsiaTheme="minorEastAsia"/>
                <w:b/>
                <w:iCs/>
                <w:color w:val="000000" w:themeColor="text1"/>
                <w:sz w:val="18"/>
                <w:szCs w:val="18"/>
                <w:lang w:val="fr-CA"/>
              </w:rPr>
              <w:t>conformité</w:t>
            </w:r>
          </w:p>
        </w:tc>
        <w:tc>
          <w:tcPr>
            <w:tcW w:w="4590" w:type="dxa"/>
            <w:tcBorders>
              <w:top w:val="single" w:color="auto" w:sz="6" w:space="0"/>
              <w:left w:val="single" w:color="auto" w:sz="6" w:space="0"/>
              <w:bottom w:val="single" w:color="auto" w:sz="6" w:space="0"/>
              <w:right w:val="single" w:color="auto" w:sz="6" w:space="0"/>
            </w:tcBorders>
            <w:vAlign w:val="center"/>
          </w:tcPr>
          <w:p w:rsidRPr="00B42F19" w:rsidR="00D272CE" w:rsidP="00D272CE" w:rsidRDefault="00D272CE" w14:paraId="7B5F7759" w14:textId="5C285598">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 xml:space="preserve">Description </w:t>
            </w:r>
            <w:r>
              <w:rPr>
                <w:rFonts w:ascii="Arial" w:hAnsi="Arial" w:cs="Arial" w:eastAsiaTheme="minorEastAsia"/>
                <w:b/>
                <w:iCs/>
                <w:color w:val="000000" w:themeColor="text1"/>
                <w:sz w:val="18"/>
                <w:szCs w:val="18"/>
                <w:lang w:val="fr-CA"/>
              </w:rPr>
              <w:t>du coût</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D272CE" w:rsidP="00D272CE" w:rsidRDefault="00D272CE" w14:paraId="18728DDE" w14:textId="14725D34">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Valeur actualisée</w:t>
            </w:r>
          </w:p>
        </w:tc>
        <w:tc>
          <w:tcPr>
            <w:tcW w:w="1620" w:type="dxa"/>
            <w:tcBorders>
              <w:top w:val="single" w:color="auto" w:sz="6" w:space="0"/>
              <w:left w:val="single" w:color="auto" w:sz="6" w:space="0"/>
              <w:bottom w:val="single" w:color="auto" w:sz="6" w:space="0"/>
              <w:right w:val="single" w:color="auto" w:sz="6" w:space="0"/>
            </w:tcBorders>
            <w:vAlign w:val="center"/>
          </w:tcPr>
          <w:p w:rsidRPr="00B42F19" w:rsidR="00D272CE" w:rsidP="00D272CE" w:rsidRDefault="00D272CE" w14:paraId="7DB92CED" w14:textId="03F9EDBB">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Valeur annualisée</w:t>
            </w:r>
          </w:p>
        </w:tc>
      </w:tr>
      <w:tr w:rsidRPr="00CB717E" w:rsidR="00D272CE" w:rsidTr="00B42F19" w14:paraId="6DB74E3D"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B42F19" w:rsidR="00D272CE" w:rsidP="00D272CE" w:rsidRDefault="00D272CE" w14:paraId="6CF99545" w14:textId="4E26F1F0">
            <w:pPr>
              <w:numPr>
                <w:ilvl w:val="1"/>
                <w:numId w:val="0"/>
              </w:numPr>
              <w:spacing w:before="120" w:after="200"/>
              <w:rPr>
                <w:rFonts w:ascii="Arial" w:hAnsi="Arial" w:cs="Arial" w:eastAsiaTheme="minorEastAsia"/>
                <w:b/>
                <w:bCs/>
                <w:iCs/>
                <w:color w:val="000000" w:themeColor="text1"/>
                <w:sz w:val="18"/>
                <w:szCs w:val="18"/>
                <w:lang w:val="fr-CA"/>
              </w:rPr>
            </w:pPr>
            <w:r w:rsidRPr="00A32B4F">
              <w:rPr>
                <w:rFonts w:ascii="Arial" w:hAnsi="Arial" w:cs="Arial" w:eastAsiaTheme="minorEastAsia"/>
                <w:b/>
                <w:iCs/>
                <w:color w:val="000000" w:themeColor="text1"/>
                <w:sz w:val="18"/>
                <w:szCs w:val="18"/>
                <w:lang w:val="fr-CA"/>
              </w:rPr>
              <w:t>Administrati</w:t>
            </w:r>
            <w:r>
              <w:rPr>
                <w:rFonts w:ascii="Arial" w:hAnsi="Arial" w:cs="Arial" w:eastAsiaTheme="minorEastAsia"/>
                <w:b/>
                <w:iCs/>
                <w:color w:val="000000" w:themeColor="text1"/>
                <w:sz w:val="18"/>
                <w:szCs w:val="18"/>
                <w:lang w:val="fr-CA"/>
              </w:rPr>
              <w:t>on</w:t>
            </w:r>
          </w:p>
        </w:tc>
        <w:tc>
          <w:tcPr>
            <w:tcW w:w="4590" w:type="dxa"/>
            <w:tcBorders>
              <w:top w:val="single" w:color="auto" w:sz="6" w:space="0"/>
              <w:left w:val="single" w:color="auto" w:sz="6" w:space="0"/>
              <w:bottom w:val="single" w:color="auto" w:sz="6" w:space="0"/>
              <w:right w:val="single" w:color="auto" w:sz="6" w:space="0"/>
            </w:tcBorders>
          </w:tcPr>
          <w:p w:rsidRPr="00B42F19" w:rsidR="00D272CE" w:rsidP="00D272CE" w:rsidRDefault="00D272CE" w14:paraId="3DE0659D" w14:textId="234EDFA5">
            <w:pPr>
              <w:numPr>
                <w:ilvl w:val="1"/>
                <w:numId w:val="0"/>
              </w:numPr>
              <w:spacing w:before="120" w:after="200"/>
              <w:rPr>
                <w:rFonts w:ascii="Arial" w:hAnsi="Arial" w:cs="Arial"/>
                <w:sz w:val="18"/>
                <w:szCs w:val="18"/>
                <w:lang w:val="fr-CA"/>
              </w:rPr>
            </w:pPr>
            <w:r w:rsidRPr="00B42F19">
              <w:rPr>
                <w:rFonts w:ascii="Arial" w:hAnsi="Arial" w:cs="Arial"/>
                <w:sz w:val="18"/>
                <w:szCs w:val="18"/>
                <w:lang w:val="fr-CA"/>
              </w:rPr>
              <w:t>Par exemple, nouvelles inspections des locaux</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D272CE" w:rsidP="00B42F19" w:rsidRDefault="00D272CE" w14:paraId="64A70117"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B42F19" w:rsidR="00D272CE" w:rsidP="00B42F19" w:rsidRDefault="00D272CE" w14:paraId="75E1AD03"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r>
      <w:tr w:rsidRPr="00CB717E" w:rsidR="00D272CE" w:rsidTr="00B42F19" w14:paraId="565E9D94"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B42F19" w:rsidR="00D272CE" w:rsidP="00D272CE" w:rsidRDefault="00D272CE" w14:paraId="2C4167A2" w14:textId="2F0F5372">
            <w:pPr>
              <w:numPr>
                <w:ilvl w:val="1"/>
                <w:numId w:val="0"/>
              </w:numPr>
              <w:spacing w:before="120" w:after="200"/>
              <w:rPr>
                <w:rFonts w:ascii="Arial" w:hAnsi="Arial" w:cs="Arial" w:eastAsiaTheme="minorEastAsia"/>
                <w:b/>
                <w:bCs/>
                <w:iCs/>
                <w:color w:val="000000" w:themeColor="text1"/>
                <w:sz w:val="18"/>
                <w:szCs w:val="18"/>
                <w:lang w:val="fr-CA"/>
              </w:rPr>
            </w:pPr>
            <w:r w:rsidRPr="00A32B4F">
              <w:rPr>
                <w:rFonts w:ascii="Arial" w:hAnsi="Arial" w:cs="Arial" w:eastAsiaTheme="minorEastAsia"/>
                <w:b/>
                <w:iCs/>
                <w:color w:val="000000" w:themeColor="text1"/>
                <w:sz w:val="18"/>
                <w:szCs w:val="18"/>
                <w:lang w:val="fr-CA"/>
              </w:rPr>
              <w:t>Co</w:t>
            </w:r>
            <w:r>
              <w:rPr>
                <w:rFonts w:ascii="Arial" w:hAnsi="Arial" w:cs="Arial" w:eastAsiaTheme="minorEastAsia"/>
                <w:b/>
                <w:iCs/>
                <w:color w:val="000000" w:themeColor="text1"/>
                <w:sz w:val="18"/>
                <w:szCs w:val="18"/>
                <w:lang w:val="fr-CA"/>
              </w:rPr>
              <w:t>nformité</w:t>
            </w:r>
          </w:p>
        </w:tc>
        <w:tc>
          <w:tcPr>
            <w:tcW w:w="4590" w:type="dxa"/>
            <w:tcBorders>
              <w:top w:val="single" w:color="auto" w:sz="6" w:space="0"/>
              <w:left w:val="single" w:color="auto" w:sz="6" w:space="0"/>
              <w:bottom w:val="single" w:color="auto" w:sz="6" w:space="0"/>
              <w:right w:val="single" w:color="auto" w:sz="6" w:space="0"/>
            </w:tcBorders>
          </w:tcPr>
          <w:p w:rsidRPr="00B42F19" w:rsidR="00D272CE" w:rsidP="00D272CE" w:rsidRDefault="00D272CE" w14:paraId="643173DD" w14:textId="64D3A0AA">
            <w:pPr>
              <w:numPr>
                <w:ilvl w:val="1"/>
                <w:numId w:val="0"/>
              </w:numPr>
              <w:spacing w:before="120" w:after="200"/>
              <w:rPr>
                <w:rFonts w:ascii="Arial" w:hAnsi="Arial" w:cs="Arial" w:eastAsiaTheme="minorEastAsia"/>
                <w:bCs/>
                <w:iCs/>
                <w:color w:val="000000" w:themeColor="text1"/>
                <w:sz w:val="18"/>
                <w:szCs w:val="18"/>
                <w:lang w:val="fr-CA"/>
              </w:rPr>
            </w:pPr>
            <w:r w:rsidRPr="00B42F19">
              <w:rPr>
                <w:rFonts w:ascii="Arial" w:hAnsi="Arial" w:cs="Arial"/>
                <w:sz w:val="18"/>
                <w:szCs w:val="18"/>
                <w:lang w:val="fr-CA"/>
              </w:rPr>
              <w:t>Par exemple, augmentation des tarifs des services</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D272CE" w:rsidP="00B42F19" w:rsidRDefault="00D272CE" w14:paraId="5836C019"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B42F19" w:rsidR="00D272CE" w:rsidP="00B42F19" w:rsidRDefault="00D272CE" w14:paraId="47745E9E"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r>
      <w:tr w:rsidRPr="00CB717E" w:rsidR="00614476" w:rsidTr="00CB717E" w14:paraId="7B3762F9" w14:textId="77777777">
        <w:trPr>
          <w:trHeight w:val="300"/>
        </w:trPr>
        <w:tc>
          <w:tcPr>
            <w:tcW w:w="1620" w:type="dxa"/>
            <w:vAlign w:val="center"/>
          </w:tcPr>
          <w:p w:rsidRPr="00B42F19" w:rsidR="00614476" w:rsidP="00614476" w:rsidRDefault="00614476" w14:paraId="06D009DD" w14:textId="77777777">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 xml:space="preserve">Total </w:t>
            </w:r>
          </w:p>
        </w:tc>
        <w:tc>
          <w:tcPr>
            <w:tcW w:w="4590" w:type="dxa"/>
            <w:tcBorders>
              <w:top w:val="single" w:color="auto" w:sz="6" w:space="0"/>
              <w:left w:val="single" w:color="auto" w:sz="6" w:space="0"/>
              <w:bottom w:val="single" w:color="auto" w:sz="6" w:space="0"/>
              <w:right w:val="single" w:color="auto" w:sz="6" w:space="0"/>
            </w:tcBorders>
            <w:vAlign w:val="center"/>
          </w:tcPr>
          <w:p w:rsidRPr="00B42F19" w:rsidR="00614476" w:rsidP="00614476" w:rsidRDefault="00D272CE" w14:paraId="7617279E" w14:textId="34D718E4">
            <w:pPr>
              <w:numPr>
                <w:ilvl w:val="1"/>
                <w:numId w:val="0"/>
              </w:numPr>
              <w:spacing w:before="120" w:after="200"/>
              <w:rPr>
                <w:rFonts w:ascii="Arial" w:hAnsi="Arial" w:cs="Arial" w:eastAsiaTheme="minorEastAsia"/>
                <w:b/>
                <w:bCs/>
                <w:iCs/>
                <w:color w:val="000000" w:themeColor="text1"/>
                <w:sz w:val="18"/>
                <w:szCs w:val="18"/>
                <w:lang w:val="fr-CA"/>
              </w:rPr>
            </w:pPr>
            <w:r>
              <w:rPr>
                <w:rFonts w:ascii="Arial" w:hAnsi="Arial" w:cs="Arial" w:eastAsiaTheme="minorEastAsia"/>
                <w:b/>
                <w:iCs/>
                <w:color w:val="000000" w:themeColor="text1"/>
                <w:sz w:val="18"/>
                <w:szCs w:val="18"/>
                <w:lang w:val="fr-CA"/>
              </w:rPr>
              <w:t>Coûts totaux</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614476" w:rsidP="00B42F19" w:rsidRDefault="00614476" w14:paraId="7157CB69"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B42F19" w:rsidR="00614476" w:rsidP="00B42F19" w:rsidRDefault="00614476" w14:paraId="50237474"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r>
    </w:tbl>
    <w:p w:rsidRPr="00B42F19" w:rsidR="00614476" w:rsidP="00614476" w:rsidRDefault="00D272CE" w14:paraId="16DCECAF" w14:textId="11C0F9AD">
      <w:pPr>
        <w:keepNext/>
        <w:keepLines/>
        <w:spacing w:before="40" w:after="0"/>
        <w:outlineLvl w:val="4"/>
        <w:rPr>
          <w:rFonts w:asciiTheme="majorHAnsi" w:hAnsiTheme="majorHAnsi" w:eastAsiaTheme="majorEastAsia" w:cstheme="majorBidi"/>
          <w:color w:val="365F91" w:themeColor="accent1" w:themeShade="BF"/>
          <w:lang w:val="fr-CA"/>
        </w:rPr>
      </w:pPr>
      <w:r>
        <w:rPr>
          <w:rFonts w:asciiTheme="majorHAnsi" w:hAnsiTheme="majorHAnsi" w:eastAsiaTheme="majorEastAsia" w:cstheme="majorBidi"/>
          <w:color w:val="365F91" w:themeColor="accent1" w:themeShade="BF"/>
          <w:lang w:val="fr-CA"/>
        </w:rPr>
        <w:t>Répercussions nettes</w:t>
      </w:r>
    </w:p>
    <w:tbl>
      <w:tblPr>
        <w:tblStyle w:val="TableGrid"/>
        <w:tblW w:w="9360" w:type="dxa"/>
        <w:tblLayout w:type="fixed"/>
        <w:tblLook w:val="04A0" w:firstRow="1" w:lastRow="0" w:firstColumn="1" w:lastColumn="0" w:noHBand="0" w:noVBand="1"/>
      </w:tblPr>
      <w:tblGrid>
        <w:gridCol w:w="6210"/>
        <w:gridCol w:w="1530"/>
        <w:gridCol w:w="1620"/>
      </w:tblGrid>
      <w:tr w:rsidRPr="00CB717E" w:rsidR="00D272CE" w:rsidTr="00A32B4F" w14:paraId="68493909" w14:textId="77777777">
        <w:trPr>
          <w:trHeight w:val="300"/>
        </w:trPr>
        <w:tc>
          <w:tcPr>
            <w:tcW w:w="6210" w:type="dxa"/>
            <w:tcBorders>
              <w:top w:val="single" w:color="auto" w:sz="6" w:space="0"/>
              <w:left w:val="single" w:color="auto" w:sz="6" w:space="0"/>
              <w:bottom w:val="single" w:color="auto" w:sz="6" w:space="0"/>
              <w:right w:val="single" w:color="auto" w:sz="6" w:space="0"/>
            </w:tcBorders>
            <w:vAlign w:val="center"/>
          </w:tcPr>
          <w:p w:rsidRPr="00B42F19" w:rsidR="00D272CE" w:rsidP="00D272CE" w:rsidRDefault="00D272CE" w14:paraId="3470C3BA" w14:textId="6322BC63">
            <w:pPr>
              <w:numPr>
                <w:ilvl w:val="1"/>
                <w:numId w:val="0"/>
              </w:numPr>
              <w:spacing w:before="120" w:after="200"/>
              <w:rPr>
                <w:rFonts w:ascii="Arial" w:hAnsi="Arial" w:cs="Arial" w:eastAsiaTheme="minorEastAsia"/>
                <w:b/>
                <w:bCs/>
                <w:iCs/>
                <w:color w:val="000000" w:themeColor="text1"/>
                <w:sz w:val="18"/>
                <w:szCs w:val="18"/>
                <w:lang w:val="fr-CA"/>
              </w:rPr>
            </w:pPr>
            <w:r>
              <w:rPr>
                <w:rFonts w:ascii="Arial" w:hAnsi="Arial" w:cs="Arial" w:eastAsiaTheme="minorEastAsia"/>
                <w:b/>
                <w:iCs/>
                <w:color w:val="000000" w:themeColor="text1"/>
                <w:sz w:val="18"/>
                <w:szCs w:val="18"/>
                <w:lang w:val="fr-CA"/>
              </w:rPr>
              <w:t>Montant</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D272CE" w:rsidP="00D272CE" w:rsidRDefault="00D272CE" w14:paraId="65117B5A" w14:textId="6C70EEC1">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Valeur actualisée</w:t>
            </w:r>
          </w:p>
        </w:tc>
        <w:tc>
          <w:tcPr>
            <w:tcW w:w="1620" w:type="dxa"/>
            <w:tcBorders>
              <w:top w:val="single" w:color="auto" w:sz="6" w:space="0"/>
              <w:left w:val="single" w:color="auto" w:sz="6" w:space="0"/>
              <w:bottom w:val="single" w:color="auto" w:sz="6" w:space="0"/>
              <w:right w:val="single" w:color="auto" w:sz="6" w:space="0"/>
            </w:tcBorders>
            <w:vAlign w:val="center"/>
          </w:tcPr>
          <w:p w:rsidRPr="00B42F19" w:rsidR="00D272CE" w:rsidP="00D272CE" w:rsidRDefault="00D272CE" w14:paraId="6AB62228" w14:textId="740311DA">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Valeur annualisée</w:t>
            </w:r>
          </w:p>
        </w:tc>
      </w:tr>
      <w:tr w:rsidRPr="00CB717E" w:rsidR="00614476" w:rsidTr="00A32B4F" w14:paraId="313C9DA1" w14:textId="77777777">
        <w:trPr>
          <w:trHeight w:val="300"/>
        </w:trPr>
        <w:tc>
          <w:tcPr>
            <w:tcW w:w="6210" w:type="dxa"/>
            <w:tcBorders>
              <w:top w:val="single" w:color="auto" w:sz="6" w:space="0"/>
              <w:left w:val="single" w:color="auto" w:sz="6" w:space="0"/>
              <w:bottom w:val="single" w:color="auto" w:sz="6" w:space="0"/>
              <w:right w:val="single" w:color="auto" w:sz="6" w:space="0"/>
            </w:tcBorders>
            <w:vAlign w:val="center"/>
          </w:tcPr>
          <w:p w:rsidRPr="00B42F19" w:rsidR="00614476" w:rsidP="00614476" w:rsidRDefault="00D272CE" w14:paraId="5C1E0CAC" w14:textId="1D7AA09D">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Répercussions nettes sur toutes les petites entreprises touch</w:t>
            </w:r>
            <w:r>
              <w:rPr>
                <w:rFonts w:ascii="Arial" w:hAnsi="Arial" w:cs="Arial" w:eastAsiaTheme="minorEastAsia"/>
                <w:b/>
                <w:iCs/>
                <w:color w:val="000000" w:themeColor="text1"/>
                <w:sz w:val="18"/>
                <w:szCs w:val="18"/>
                <w:lang w:val="fr-CA"/>
              </w:rPr>
              <w:t>ées</w:t>
            </w:r>
            <w:r w:rsidRPr="00B42F19" w:rsidR="00614476">
              <w:rPr>
                <w:rFonts w:ascii="Arial" w:hAnsi="Arial" w:cs="Arial" w:eastAsiaTheme="minorEastAsia"/>
                <w:b/>
                <w:iCs/>
                <w:color w:val="000000" w:themeColor="text1"/>
                <w:sz w:val="18"/>
                <w:szCs w:val="18"/>
                <w:lang w:val="fr-CA"/>
              </w:rPr>
              <w:t xml:space="preserve"> </w:t>
            </w:r>
          </w:p>
          <w:p w:rsidRPr="00B42F19" w:rsidR="00614476" w:rsidP="00614476" w:rsidRDefault="00614476" w14:paraId="07D90CBD" w14:textId="7C77E4EC">
            <w:pPr>
              <w:numPr>
                <w:ilvl w:val="1"/>
                <w:numId w:val="0"/>
              </w:numPr>
              <w:spacing w:before="120" w:after="200"/>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r w:rsidR="00D272CE">
              <w:rPr>
                <w:rFonts w:ascii="Arial" w:hAnsi="Arial" w:cs="Arial" w:eastAsiaTheme="minorEastAsia"/>
                <w:b/>
                <w:iCs/>
                <w:color w:val="000000" w:themeColor="text1"/>
                <w:sz w:val="18"/>
                <w:szCs w:val="18"/>
                <w:lang w:val="fr-CA"/>
              </w:rPr>
              <w:t>Avantages totaux moins coûts totaux</w:t>
            </w:r>
            <w:r w:rsidRPr="00B42F19">
              <w:rPr>
                <w:rFonts w:ascii="Arial" w:hAnsi="Arial" w:cs="Arial" w:eastAsiaTheme="minorEastAsia"/>
                <w:b/>
                <w:iCs/>
                <w:color w:val="000000" w:themeColor="text1"/>
                <w:sz w:val="18"/>
                <w:szCs w:val="18"/>
                <w:lang w:val="fr-CA"/>
              </w:rPr>
              <w:t>]</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614476" w:rsidP="00B42F19" w:rsidRDefault="00614476" w14:paraId="2CCA5181"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B42F19" w:rsidR="00614476" w:rsidP="00B42F19" w:rsidRDefault="00614476" w14:paraId="68A58718"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r>
      <w:tr w:rsidRPr="00CB717E" w:rsidR="00614476" w:rsidTr="00A32B4F" w14:paraId="7E045C1B" w14:textId="77777777">
        <w:trPr>
          <w:trHeight w:val="300"/>
        </w:trPr>
        <w:tc>
          <w:tcPr>
            <w:tcW w:w="6210" w:type="dxa"/>
            <w:tcBorders>
              <w:top w:val="single" w:color="auto" w:sz="6" w:space="0"/>
              <w:left w:val="single" w:color="auto" w:sz="6" w:space="0"/>
              <w:bottom w:val="single" w:color="auto" w:sz="6" w:space="0"/>
              <w:right w:val="single" w:color="auto" w:sz="6" w:space="0"/>
            </w:tcBorders>
            <w:vAlign w:val="center"/>
          </w:tcPr>
          <w:p w:rsidR="00D272CE" w:rsidP="00614476" w:rsidRDefault="00D272CE" w14:paraId="5009630B" w14:textId="07C6DC95">
            <w:pPr>
              <w:numPr>
                <w:ilvl w:val="1"/>
                <w:numId w:val="0"/>
              </w:numPr>
              <w:spacing w:before="120" w:after="200"/>
              <w:rPr>
                <w:rFonts w:ascii="Arial" w:hAnsi="Arial" w:cs="Arial" w:eastAsiaTheme="minorEastAsia"/>
                <w:b/>
                <w:iCs/>
                <w:color w:val="000000" w:themeColor="text1"/>
                <w:sz w:val="18"/>
                <w:szCs w:val="18"/>
                <w:lang w:val="fr-CA"/>
              </w:rPr>
            </w:pPr>
            <w:r>
              <w:rPr>
                <w:rFonts w:ascii="Arial" w:hAnsi="Arial" w:cs="Arial" w:eastAsiaTheme="minorEastAsia"/>
                <w:b/>
                <w:iCs/>
                <w:color w:val="000000" w:themeColor="text1"/>
                <w:sz w:val="18"/>
                <w:szCs w:val="18"/>
                <w:lang w:val="fr-CA"/>
              </w:rPr>
              <w:t>Répercussions nettes moyennes</w:t>
            </w:r>
            <w:r w:rsidRPr="00D272CE">
              <w:rPr>
                <w:rFonts w:ascii="Arial" w:hAnsi="Arial" w:cs="Arial" w:eastAsiaTheme="minorEastAsia"/>
                <w:b/>
                <w:iCs/>
                <w:color w:val="000000" w:themeColor="text1"/>
                <w:sz w:val="18"/>
                <w:szCs w:val="18"/>
                <w:lang w:val="fr-CA"/>
              </w:rPr>
              <w:t xml:space="preserve"> sur chaque petite entreprise </w:t>
            </w:r>
            <w:r>
              <w:rPr>
                <w:rFonts w:ascii="Arial" w:hAnsi="Arial" w:cs="Arial" w:eastAsiaTheme="minorEastAsia"/>
                <w:b/>
                <w:iCs/>
                <w:color w:val="000000" w:themeColor="text1"/>
                <w:sz w:val="18"/>
                <w:szCs w:val="18"/>
                <w:lang w:val="fr-CA"/>
              </w:rPr>
              <w:t>touchée</w:t>
            </w:r>
          </w:p>
          <w:p w:rsidRPr="00B42F19" w:rsidR="00614476" w:rsidP="00614476" w:rsidRDefault="00D272CE" w14:paraId="7D6FBE5A" w14:textId="5B94DCD4">
            <w:pPr>
              <w:numPr>
                <w:ilvl w:val="1"/>
                <w:numId w:val="0"/>
              </w:numPr>
              <w:spacing w:before="120" w:after="200"/>
              <w:rPr>
                <w:rFonts w:ascii="Arial" w:hAnsi="Arial" w:cs="Arial" w:eastAsiaTheme="minorEastAsia"/>
                <w:b/>
                <w:bCs/>
                <w:iCs/>
                <w:color w:val="000000" w:themeColor="text1"/>
                <w:sz w:val="18"/>
                <w:szCs w:val="18"/>
                <w:lang w:val="fr-CA"/>
              </w:rPr>
            </w:pPr>
            <w:r w:rsidRPr="00D272CE">
              <w:rPr>
                <w:rFonts w:ascii="Arial" w:hAnsi="Arial" w:cs="Arial" w:eastAsiaTheme="minorEastAsia"/>
                <w:b/>
                <w:iCs/>
                <w:color w:val="000000" w:themeColor="text1"/>
                <w:sz w:val="18"/>
                <w:szCs w:val="18"/>
                <w:lang w:val="fr-CA"/>
              </w:rPr>
              <w:t>[</w:t>
            </w:r>
            <w:r>
              <w:rPr>
                <w:rFonts w:ascii="Arial" w:hAnsi="Arial" w:cs="Arial" w:eastAsiaTheme="minorEastAsia"/>
                <w:b/>
                <w:iCs/>
                <w:color w:val="000000" w:themeColor="text1"/>
                <w:sz w:val="18"/>
                <w:szCs w:val="18"/>
                <w:lang w:val="fr-CA"/>
              </w:rPr>
              <w:t>Répercussions nettes</w:t>
            </w:r>
            <w:r w:rsidRPr="00D272CE">
              <w:rPr>
                <w:rFonts w:ascii="Arial" w:hAnsi="Arial" w:cs="Arial" w:eastAsiaTheme="minorEastAsia"/>
                <w:b/>
                <w:iCs/>
                <w:color w:val="000000" w:themeColor="text1"/>
                <w:sz w:val="18"/>
                <w:szCs w:val="18"/>
                <w:lang w:val="fr-CA"/>
              </w:rPr>
              <w:t xml:space="preserve"> divisé</w:t>
            </w:r>
            <w:r>
              <w:rPr>
                <w:rFonts w:ascii="Arial" w:hAnsi="Arial" w:cs="Arial" w:eastAsiaTheme="minorEastAsia"/>
                <w:b/>
                <w:iCs/>
                <w:color w:val="000000" w:themeColor="text1"/>
                <w:sz w:val="18"/>
                <w:szCs w:val="18"/>
                <w:lang w:val="fr-CA"/>
              </w:rPr>
              <w:t>es</w:t>
            </w:r>
            <w:r w:rsidRPr="00D272CE">
              <w:rPr>
                <w:rFonts w:ascii="Arial" w:hAnsi="Arial" w:cs="Arial" w:eastAsiaTheme="minorEastAsia"/>
                <w:b/>
                <w:iCs/>
                <w:color w:val="000000" w:themeColor="text1"/>
                <w:sz w:val="18"/>
                <w:szCs w:val="18"/>
                <w:lang w:val="fr-CA"/>
              </w:rPr>
              <w:t xml:space="preserve"> par le nombre de petites entreprises </w:t>
            </w:r>
            <w:r>
              <w:rPr>
                <w:rFonts w:ascii="Arial" w:hAnsi="Arial" w:cs="Arial" w:eastAsiaTheme="minorEastAsia"/>
                <w:b/>
                <w:iCs/>
                <w:color w:val="000000" w:themeColor="text1"/>
                <w:sz w:val="18"/>
                <w:szCs w:val="18"/>
                <w:lang w:val="fr-CA"/>
              </w:rPr>
              <w:t>touchées</w:t>
            </w:r>
            <w:r w:rsidRPr="00D272CE">
              <w:rPr>
                <w:rFonts w:ascii="Arial" w:hAnsi="Arial" w:cs="Arial" w:eastAsiaTheme="minorEastAsia"/>
                <w:b/>
                <w:iCs/>
                <w:color w:val="000000" w:themeColor="text1"/>
                <w:sz w:val="18"/>
                <w:szCs w:val="18"/>
                <w:lang w:val="fr-CA"/>
              </w:rPr>
              <w:t>].</w:t>
            </w:r>
          </w:p>
        </w:tc>
        <w:tc>
          <w:tcPr>
            <w:tcW w:w="1530" w:type="dxa"/>
            <w:tcBorders>
              <w:top w:val="single" w:color="auto" w:sz="6" w:space="0"/>
              <w:left w:val="single" w:color="auto" w:sz="6" w:space="0"/>
              <w:bottom w:val="single" w:color="auto" w:sz="6" w:space="0"/>
              <w:right w:val="single" w:color="auto" w:sz="6" w:space="0"/>
            </w:tcBorders>
            <w:vAlign w:val="center"/>
          </w:tcPr>
          <w:p w:rsidRPr="00B42F19" w:rsidR="00614476" w:rsidP="00B42F19" w:rsidRDefault="00614476" w14:paraId="42E67E41"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B42F19" w:rsidR="00614476" w:rsidP="00B42F19" w:rsidRDefault="00614476" w14:paraId="1F864B52" w14:textId="77777777">
            <w:pPr>
              <w:numPr>
                <w:ilvl w:val="1"/>
                <w:numId w:val="0"/>
              </w:numPr>
              <w:spacing w:before="120" w:after="200"/>
              <w:jc w:val="right"/>
              <w:rPr>
                <w:rFonts w:ascii="Arial" w:hAnsi="Arial" w:cs="Arial" w:eastAsiaTheme="minorEastAsia"/>
                <w:b/>
                <w:bCs/>
                <w:iCs/>
                <w:color w:val="000000" w:themeColor="text1"/>
                <w:sz w:val="18"/>
                <w:szCs w:val="18"/>
                <w:lang w:val="fr-CA"/>
              </w:rPr>
            </w:pPr>
            <w:r w:rsidRPr="00B42F19">
              <w:rPr>
                <w:rFonts w:ascii="Arial" w:hAnsi="Arial" w:cs="Arial" w:eastAsiaTheme="minorEastAsia"/>
                <w:b/>
                <w:iCs/>
                <w:color w:val="000000" w:themeColor="text1"/>
                <w:sz w:val="18"/>
                <w:szCs w:val="18"/>
                <w:lang w:val="fr-CA"/>
              </w:rPr>
              <w:t>$</w:t>
            </w:r>
          </w:p>
        </w:tc>
      </w:tr>
    </w:tbl>
    <w:p w:rsidRPr="00CB717E" w:rsidR="00B91619" w:rsidP="00B91619" w:rsidRDefault="00B91619" w14:paraId="7DC454B8" w14:textId="77777777">
      <w:pPr>
        <w:tabs>
          <w:tab w:val="left" w:pos="9356"/>
        </w:tabs>
        <w:spacing w:after="0" w:line="240" w:lineRule="auto"/>
        <w:rPr>
          <w:lang w:val="fr-CA"/>
        </w:rPr>
      </w:pPr>
    </w:p>
    <w:p w:rsidRPr="00FA558D" w:rsidR="00B91619" w:rsidP="00B91619" w:rsidRDefault="00B91619" w14:paraId="6FF321AF" w14:textId="3FC201D6">
      <w:pPr>
        <w:pStyle w:val="Heading1"/>
        <w:rPr>
          <w:lang w:val="fr-CA"/>
        </w:rPr>
      </w:pPr>
      <w:bookmarkStart w:name="_Toc151373931" w:id="42"/>
      <w:r w:rsidRPr="00CB717E">
        <w:rPr>
          <w:lang w:val="fr-CA"/>
        </w:rPr>
        <w:t xml:space="preserve">Liste de vérification </w:t>
      </w:r>
      <w:r w:rsidRPr="00CB717E" w:rsidR="00F35652">
        <w:rPr>
          <w:lang w:val="fr-CA"/>
        </w:rPr>
        <w:t xml:space="preserve">de </w:t>
      </w:r>
      <w:r w:rsidRPr="00CB717E">
        <w:rPr>
          <w:lang w:val="fr-CA"/>
        </w:rPr>
        <w:t xml:space="preserve">la </w:t>
      </w:r>
      <w:r w:rsidR="00A125DF">
        <w:rPr>
          <w:lang w:val="fr-CA"/>
        </w:rPr>
        <w:t>L</w:t>
      </w:r>
      <w:r w:rsidRPr="00CB717E" w:rsidR="00827BD1">
        <w:rPr>
          <w:lang w:val="fr-CA"/>
        </w:rPr>
        <w:t>entille</w:t>
      </w:r>
      <w:r w:rsidRPr="00CB717E">
        <w:rPr>
          <w:lang w:val="fr-CA"/>
        </w:rPr>
        <w:t xml:space="preserve"> des petites entreprises </w:t>
      </w:r>
      <w:r w:rsidRPr="00FA558D">
        <w:rPr>
          <w:lang w:val="fr-CA"/>
        </w:rPr>
        <w:t>(</w:t>
      </w:r>
      <w:r w:rsidR="00F35652">
        <w:rPr>
          <w:lang w:val="fr-CA"/>
        </w:rPr>
        <w:t>a</w:t>
      </w:r>
      <w:r>
        <w:rPr>
          <w:lang w:val="fr-CA"/>
        </w:rPr>
        <w:t>nnexe</w:t>
      </w:r>
      <w:r w:rsidRPr="00FA558D">
        <w:rPr>
          <w:lang w:val="fr-CA"/>
        </w:rPr>
        <w:t> C)</w:t>
      </w:r>
      <w:bookmarkEnd w:id="42"/>
    </w:p>
    <w:p w:rsidRPr="00FA558D" w:rsidR="00B91619" w:rsidP="00B91619" w:rsidRDefault="00B91619" w14:paraId="5D6026BE" w14:textId="77777777">
      <w:pPr>
        <w:tabs>
          <w:tab w:val="left" w:pos="9356"/>
        </w:tabs>
        <w:spacing w:after="0" w:line="240" w:lineRule="auto"/>
        <w:rPr>
          <w:lang w:val="fr-CA"/>
        </w:rPr>
      </w:pPr>
    </w:p>
    <w:p w:rsidRPr="00FA558D" w:rsidR="00B91619" w:rsidP="00B91619" w:rsidRDefault="00A125DF" w14:paraId="7A5A23FB" w14:textId="14D66265">
      <w:pPr>
        <w:tabs>
          <w:tab w:val="left" w:pos="9356"/>
        </w:tabs>
        <w:spacing w:after="0" w:line="240" w:lineRule="auto"/>
        <w:rPr>
          <w:lang w:val="fr-CA"/>
        </w:rPr>
      </w:pPr>
      <w:r w:rsidRPr="00A125DF">
        <w:rPr>
          <w:lang w:val="fr-CA"/>
        </w:rPr>
        <w:t xml:space="preserve">Avant 2018, les </w:t>
      </w:r>
      <w:r>
        <w:rPr>
          <w:lang w:val="fr-CA"/>
        </w:rPr>
        <w:t>organismes de réglementation</w:t>
      </w:r>
      <w:r w:rsidRPr="00A125DF">
        <w:rPr>
          <w:lang w:val="fr-CA"/>
        </w:rPr>
        <w:t xml:space="preserve"> devaient utiliser la liste de </w:t>
      </w:r>
      <w:r>
        <w:rPr>
          <w:lang w:val="fr-CA"/>
        </w:rPr>
        <w:t>vérification de la Lentille des p</w:t>
      </w:r>
      <w:r w:rsidRPr="00A125DF">
        <w:rPr>
          <w:lang w:val="fr-CA"/>
        </w:rPr>
        <w:t>etites entreprises et l</w:t>
      </w:r>
      <w:r w:rsidR="009647E5">
        <w:rPr>
          <w:lang w:val="fr-CA"/>
        </w:rPr>
        <w:t>’</w:t>
      </w:r>
      <w:r w:rsidRPr="00A125DF">
        <w:rPr>
          <w:lang w:val="fr-CA"/>
        </w:rPr>
        <w:t>inclure dans la version publiée du REIR.</w:t>
      </w:r>
      <w:r>
        <w:rPr>
          <w:lang w:val="fr-CA"/>
        </w:rPr>
        <w:t xml:space="preserve"> </w:t>
      </w:r>
      <w:r w:rsidR="00B91619">
        <w:rPr>
          <w:lang w:val="fr-CA"/>
        </w:rPr>
        <w:t>Il n’est plus obligatoire d’utiliser la liste de vérification</w:t>
      </w:r>
      <w:r>
        <w:rPr>
          <w:lang w:val="fr-CA"/>
        </w:rPr>
        <w:t xml:space="preserve">, mais elle peut </w:t>
      </w:r>
      <w:r w:rsidR="00816AF5">
        <w:rPr>
          <w:lang w:val="fr-CA"/>
        </w:rPr>
        <w:t xml:space="preserve">toujours </w:t>
      </w:r>
      <w:r>
        <w:rPr>
          <w:lang w:val="fr-CA"/>
        </w:rPr>
        <w:t>être utile. L</w:t>
      </w:r>
      <w:r w:rsidR="00B91619">
        <w:rPr>
          <w:lang w:val="fr-CA"/>
        </w:rPr>
        <w:t>a</w:t>
      </w:r>
      <w:r w:rsidRPr="00FA558D" w:rsidR="00B91619">
        <w:rPr>
          <w:lang w:val="fr-CA"/>
        </w:rPr>
        <w:t xml:space="preserve"> </w:t>
      </w:r>
      <w:r w:rsidR="00B91619">
        <w:rPr>
          <w:lang w:val="fr-CA"/>
        </w:rPr>
        <w:t>liste de vérification</w:t>
      </w:r>
      <w:r w:rsidRPr="00FA558D" w:rsidR="00B91619">
        <w:rPr>
          <w:lang w:val="fr-CA"/>
        </w:rPr>
        <w:t xml:space="preserve"> </w:t>
      </w:r>
      <w:r w:rsidR="00B91619">
        <w:rPr>
          <w:lang w:val="fr-CA"/>
        </w:rPr>
        <w:t xml:space="preserve">a </w:t>
      </w:r>
      <w:r>
        <w:rPr>
          <w:lang w:val="fr-CA"/>
        </w:rPr>
        <w:t xml:space="preserve">donc </w:t>
      </w:r>
      <w:r w:rsidR="00B91619">
        <w:rPr>
          <w:lang w:val="fr-CA"/>
        </w:rPr>
        <w:t>été</w:t>
      </w:r>
      <w:r w:rsidRPr="00FA558D" w:rsidR="00B91619">
        <w:rPr>
          <w:lang w:val="fr-CA"/>
        </w:rPr>
        <w:t xml:space="preserve"> </w:t>
      </w:r>
      <w:r w:rsidR="00B91619">
        <w:rPr>
          <w:lang w:val="fr-CA"/>
        </w:rPr>
        <w:t xml:space="preserve">simplifiée et mise à jour. Elle est intégrée à la </w:t>
      </w:r>
      <w:r w:rsidR="00F35652">
        <w:rPr>
          <w:lang w:val="fr-CA"/>
        </w:rPr>
        <w:t>p</w:t>
      </w:r>
      <w:r w:rsidR="00B91619">
        <w:rPr>
          <w:lang w:val="fr-CA"/>
        </w:rPr>
        <w:t>olitique comme un outil pour aider les organismes de réglementation</w:t>
      </w:r>
      <w:r w:rsidRPr="00FA558D" w:rsidR="00B91619">
        <w:rPr>
          <w:lang w:val="fr-CA"/>
        </w:rPr>
        <w:t xml:space="preserve"> </w:t>
      </w:r>
      <w:r w:rsidR="00B91619">
        <w:rPr>
          <w:lang w:val="fr-CA"/>
        </w:rPr>
        <w:t xml:space="preserve">à </w:t>
      </w:r>
      <w:r w:rsidR="00A62A89">
        <w:rPr>
          <w:lang w:val="fr-CA"/>
        </w:rPr>
        <w:t xml:space="preserve">tenir compte </w:t>
      </w:r>
      <w:r w:rsidR="00B91619">
        <w:rPr>
          <w:lang w:val="fr-CA"/>
        </w:rPr>
        <w:t xml:space="preserve">de manière uniforme et systématique </w:t>
      </w:r>
      <w:r w:rsidR="00A62A89">
        <w:rPr>
          <w:lang w:val="fr-CA"/>
        </w:rPr>
        <w:t>d</w:t>
      </w:r>
      <w:r w:rsidR="00F35652">
        <w:rPr>
          <w:lang w:val="fr-CA"/>
        </w:rPr>
        <w:t>es</w:t>
      </w:r>
      <w:r w:rsidR="00B91619">
        <w:rPr>
          <w:lang w:val="fr-CA"/>
        </w:rPr>
        <w:t xml:space="preserve"> répercussions </w:t>
      </w:r>
      <w:r w:rsidR="00816AF5">
        <w:rPr>
          <w:lang w:val="fr-CA"/>
        </w:rPr>
        <w:t xml:space="preserve">des nouveaux règlements ou des modifications réglementaires </w:t>
      </w:r>
      <w:r w:rsidR="00F35652">
        <w:rPr>
          <w:lang w:val="fr-CA"/>
        </w:rPr>
        <w:t xml:space="preserve">sur les </w:t>
      </w:r>
      <w:r w:rsidR="00B4147F">
        <w:rPr>
          <w:lang w:val="fr-CA"/>
        </w:rPr>
        <w:t xml:space="preserve">petites </w:t>
      </w:r>
      <w:r w:rsidR="00F35652">
        <w:rPr>
          <w:lang w:val="fr-CA"/>
        </w:rPr>
        <w:t>entreprises</w:t>
      </w:r>
      <w:r w:rsidR="00B91619">
        <w:rPr>
          <w:lang w:val="fr-CA"/>
        </w:rPr>
        <w:t xml:space="preserve">. La liste de vérification </w:t>
      </w:r>
      <w:r w:rsidR="00F35652">
        <w:rPr>
          <w:lang w:val="fr-CA"/>
        </w:rPr>
        <w:t xml:space="preserve">se trouve à </w:t>
      </w:r>
      <w:r w:rsidR="00B91619">
        <w:rPr>
          <w:lang w:val="fr-CA"/>
        </w:rPr>
        <w:t>l’</w:t>
      </w:r>
      <w:r w:rsidR="00F35652">
        <w:rPr>
          <w:lang w:val="fr-CA"/>
        </w:rPr>
        <w:t>a</w:t>
      </w:r>
      <w:r w:rsidR="00B91619">
        <w:rPr>
          <w:lang w:val="fr-CA"/>
        </w:rPr>
        <w:t>nnexe</w:t>
      </w:r>
      <w:r w:rsidRPr="00FA558D" w:rsidR="00B91619">
        <w:rPr>
          <w:lang w:val="fr-CA"/>
        </w:rPr>
        <w:t> C</w:t>
      </w:r>
      <w:r w:rsidR="00B91619">
        <w:rPr>
          <w:lang w:val="fr-CA"/>
        </w:rPr>
        <w:t xml:space="preserve"> de la </w:t>
      </w:r>
      <w:r w:rsidR="00F35652">
        <w:rPr>
          <w:lang w:val="fr-CA"/>
        </w:rPr>
        <w:t>p</w:t>
      </w:r>
      <w:r w:rsidR="00B91619">
        <w:rPr>
          <w:lang w:val="fr-CA"/>
        </w:rPr>
        <w:t>olitique</w:t>
      </w:r>
      <w:r w:rsidRPr="00FA558D" w:rsidR="00B91619">
        <w:rPr>
          <w:lang w:val="fr-CA"/>
        </w:rPr>
        <w:t>.</w:t>
      </w:r>
    </w:p>
    <w:p w:rsidRPr="007B1101" w:rsidR="00405FDA" w:rsidP="00B91619" w:rsidRDefault="00405FDA" w14:paraId="123A8B5C" w14:textId="1A5323E5">
      <w:pPr>
        <w:rPr>
          <w:lang w:val="fr-CA"/>
        </w:rPr>
      </w:pPr>
    </w:p>
    <w:sectPr w:rsidRPr="007B1101" w:rsidR="00405FDA" w:rsidSect="00FE05C4">
      <w:footerReference w:type="first" r:id="rId30"/>
      <w:pgSz w:w="12240" w:h="15840" w:orient="portrait" w:code="1"/>
      <w:pgMar w:top="1440" w:right="1440" w:bottom="1440" w:left="1440" w:header="706" w:footer="706"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S(" w:author="Pellerin, Suzanne (CSB)" w:date="2023-08-09T13:43:00Z" w:id="18">
    <w:p w:rsidR="007F4FD0" w:rsidP="00FB1CC3" w:rsidRDefault="007F4FD0" w14:paraId="7CC35AC0" w14:textId="77777777">
      <w:pPr>
        <w:pStyle w:val="CommentText"/>
      </w:pPr>
      <w:r>
        <w:rPr>
          <w:rStyle w:val="CommentReference"/>
        </w:rPr>
        <w:annotationRef/>
      </w:r>
      <w:r>
        <w:rPr>
          <w:lang w:val="fr-CA"/>
        </w:rPr>
        <w:t>Added - to explain a term that is seen more and more in this context, but that is not in all dictionaries.</w:t>
      </w:r>
    </w:p>
  </w:comment>
  <w:comment w:initials="PS(" w:author="Pellerin, Suzanne (CSB)" w:date="2023-08-11T08:40:00Z" w:id="26">
    <w:p w:rsidR="00523F5E" w:rsidRDefault="00523F5E" w14:paraId="45610EAD" w14:textId="77777777">
      <w:pPr>
        <w:pStyle w:val="CommentText"/>
      </w:pPr>
      <w:r>
        <w:rPr>
          <w:rStyle w:val="CommentReference"/>
        </w:rPr>
        <w:annotationRef/>
      </w:r>
      <w:r>
        <w:rPr>
          <w:lang w:val="fr-CA"/>
        </w:rPr>
        <w:t xml:space="preserve">I have removed the parenthesis - </w:t>
      </w:r>
    </w:p>
    <w:p w:rsidR="00523F5E" w:rsidRDefault="00523F5E" w14:paraId="377CCC0E" w14:textId="77777777">
      <w:pPr>
        <w:pStyle w:val="CommentText"/>
      </w:pPr>
    </w:p>
    <w:p w:rsidR="00523F5E" w:rsidRDefault="00523F5E" w14:paraId="49AD05C9" w14:textId="77777777">
      <w:pPr>
        <w:pStyle w:val="CommentText"/>
      </w:pPr>
      <w:r>
        <w:rPr>
          <w:highlight w:val="yellow"/>
        </w:rPr>
        <w:t>In situations where a department or agency is non-compliant</w:t>
      </w:r>
      <w:r>
        <w:t xml:space="preserve"> (for example, a department or agency is unable to remove existing regulatory requirements or titles) </w:t>
      </w:r>
      <w:r>
        <w:rPr>
          <w:highlight w:val="yellow"/>
        </w:rPr>
        <w:t>within this time frame</w:t>
      </w:r>
      <w:r>
        <w:t>, a number of steps are required</w:t>
      </w:r>
    </w:p>
    <w:p w:rsidR="00523F5E" w:rsidRDefault="00523F5E" w14:paraId="0DC3BB8D" w14:textId="77777777">
      <w:pPr>
        <w:pStyle w:val="CommentText"/>
      </w:pPr>
    </w:p>
    <w:p w:rsidR="00523F5E" w:rsidRDefault="00523F5E" w14:paraId="28FEC74C" w14:textId="77777777">
      <w:pPr>
        <w:pStyle w:val="CommentText"/>
      </w:pPr>
      <w:r>
        <w:t>Or should "within this timeframe" be in the parenth</w:t>
      </w:r>
      <w:r>
        <w:rPr>
          <w:lang w:val="fr-CA"/>
        </w:rPr>
        <w:t>esis??</w:t>
      </w:r>
    </w:p>
    <w:p w:rsidR="00523F5E" w:rsidP="00E064B1" w:rsidRDefault="00523F5E" w14:paraId="7F514AFA" w14:textId="77777777">
      <w:pPr>
        <w:pStyle w:val="CommentText"/>
      </w:pPr>
    </w:p>
  </w:comment>
  <w:comment w:initials="PS(" w:author="Pellerin, Suzanne (CSB)" w:date="2023-08-10T12:13:00Z" w:id="28">
    <w:p w:rsidR="00A87FEA" w:rsidP="00290025" w:rsidRDefault="00A87FEA" w14:paraId="38B07B4A" w14:textId="4B18362B">
      <w:pPr>
        <w:pStyle w:val="CommentText"/>
      </w:pPr>
      <w:r>
        <w:rPr>
          <w:rStyle w:val="CommentReference"/>
        </w:rPr>
        <w:annotationRef/>
      </w:r>
      <w:r>
        <w:rPr>
          <w:lang w:val="fr-CA"/>
        </w:rPr>
        <w:t>According to the Regulations (the policy lacks uniformity)</w:t>
      </w:r>
    </w:p>
  </w:comment>
  <w:comment w:initials="PS(" w:author="Pellerin, Suzanne (CSB)" w:date="2023-08-10T12:15:00Z" w:id="29">
    <w:p w:rsidR="008C3DF4" w:rsidP="0008510B" w:rsidRDefault="008C3DF4" w14:paraId="6AEA58CF" w14:textId="77777777">
      <w:pPr>
        <w:pStyle w:val="CommentText"/>
      </w:pPr>
      <w:r>
        <w:rPr>
          <w:rStyle w:val="CommentReference"/>
        </w:rPr>
        <w:annotationRef/>
      </w:r>
      <w:r>
        <w:rPr>
          <w:lang w:val="fr-CA"/>
        </w:rPr>
        <w:t>uniformity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C35AC0" w15:done="1"/>
  <w15:commentEx w15:paraId="7F514AFA" w15:done="1"/>
  <w15:commentEx w15:paraId="38B07B4A" w15:done="1"/>
  <w15:commentEx w15:paraId="6AEA58C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E1690" w16cex:dateUtc="2023-08-09T17:43:00Z"/>
  <w16cex:commentExtensible w16cex:durableId="2880729A" w16cex:dateUtc="2023-08-11T12:40:00Z"/>
  <w16cex:commentExtensible w16cex:durableId="287F52FD" w16cex:dateUtc="2023-08-10T16:13:00Z"/>
  <w16cex:commentExtensible w16cex:durableId="287F5356" w16cex:dateUtc="2023-08-10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C35AC0" w16cid:durableId="287E1690"/>
  <w16cid:commentId w16cid:paraId="7F514AFA" w16cid:durableId="2880729A"/>
  <w16cid:commentId w16cid:paraId="38B07B4A" w16cid:durableId="287F52FD"/>
  <w16cid:commentId w16cid:paraId="6AEA58CF" w16cid:durableId="287F5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B2D" w:rsidP="00405FDA" w:rsidRDefault="00966B2D" w14:paraId="575E149F" w14:textId="77777777">
      <w:pPr>
        <w:spacing w:after="0" w:line="240" w:lineRule="auto"/>
      </w:pPr>
      <w:r>
        <w:separator/>
      </w:r>
    </w:p>
  </w:endnote>
  <w:endnote w:type="continuationSeparator" w:id="0">
    <w:p w:rsidR="00966B2D" w:rsidP="00405FDA" w:rsidRDefault="00966B2D" w14:paraId="62CC32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7E5" w:rsidRDefault="009647E5" w14:paraId="79F3B3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94310"/>
      <w:docPartObj>
        <w:docPartGallery w:val="Page Numbers (Bottom of Page)"/>
        <w:docPartUnique/>
      </w:docPartObj>
    </w:sdtPr>
    <w:sdtEndPr>
      <w:rPr>
        <w:noProof/>
      </w:rPr>
    </w:sdtEndPr>
    <w:sdtContent>
      <w:p w:rsidR="003D3A0E" w:rsidRDefault="003D3A0E" w14:paraId="7B716455"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D3A0E" w:rsidRDefault="003D3A0E" w14:paraId="48231C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A0E" w:rsidRDefault="003D3A0E" w14:paraId="7C95CE37" w14:textId="77777777">
    <w:pPr>
      <w:pStyle w:val="Footer"/>
      <w:jc w:val="center"/>
    </w:pPr>
  </w:p>
  <w:p w:rsidR="003D3A0E" w:rsidRDefault="003D3A0E" w14:paraId="1A151E4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90814"/>
      <w:docPartObj>
        <w:docPartGallery w:val="Page Numbers (Bottom of Page)"/>
        <w:docPartUnique/>
      </w:docPartObj>
    </w:sdtPr>
    <w:sdtEndPr>
      <w:rPr>
        <w:noProof/>
      </w:rPr>
    </w:sdtEndPr>
    <w:sdtContent>
      <w:p w:rsidR="003D3A0E" w:rsidRDefault="003D3A0E" w14:paraId="017AF005"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D3A0E" w:rsidRDefault="003D3A0E" w14:paraId="6456A3E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A0E" w:rsidRDefault="003D3A0E" w14:paraId="25443BB7" w14:textId="77777777">
    <w:pPr>
      <w:pStyle w:val="Footer"/>
      <w:jc w:val="center"/>
    </w:pPr>
  </w:p>
  <w:p w:rsidR="003D3A0E" w:rsidRDefault="003D3A0E" w14:paraId="45B3A343"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80390"/>
      <w:docPartObj>
        <w:docPartGallery w:val="Page Numbers (Bottom of Page)"/>
        <w:docPartUnique/>
      </w:docPartObj>
    </w:sdtPr>
    <w:sdtEndPr>
      <w:rPr>
        <w:noProof/>
      </w:rPr>
    </w:sdtEndPr>
    <w:sdtContent>
      <w:p w:rsidR="003D3A0E" w:rsidRDefault="003D3A0E" w14:paraId="5DD7060B" w14:textId="00F0D5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D3A0E" w:rsidRDefault="003D3A0E" w14:paraId="308370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B2D" w:rsidP="00405FDA" w:rsidRDefault="00966B2D" w14:paraId="7A252362" w14:textId="77777777">
      <w:pPr>
        <w:spacing w:after="0" w:line="240" w:lineRule="auto"/>
      </w:pPr>
      <w:r>
        <w:separator/>
      </w:r>
    </w:p>
  </w:footnote>
  <w:footnote w:type="continuationSeparator" w:id="0">
    <w:p w:rsidR="00966B2D" w:rsidP="00405FDA" w:rsidRDefault="00966B2D" w14:paraId="7F0B8064" w14:textId="77777777">
      <w:pPr>
        <w:spacing w:after="0" w:line="240" w:lineRule="auto"/>
      </w:pPr>
      <w:r>
        <w:continuationSeparator/>
      </w:r>
    </w:p>
  </w:footnote>
  <w:footnote w:id="1">
    <w:p w:rsidRPr="00CE2D33" w:rsidR="003D3A0E" w:rsidP="00B91619" w:rsidRDefault="003D3A0E" w14:paraId="55A21DA7" w14:textId="1CEEA924">
      <w:pPr>
        <w:rPr>
          <w:sz w:val="20"/>
          <w:szCs w:val="20"/>
          <w:lang w:val="fr-CA"/>
        </w:rPr>
      </w:pPr>
      <w:r w:rsidRPr="00CE2D33">
        <w:rPr>
          <w:rStyle w:val="FootnoteReference"/>
          <w:sz w:val="20"/>
          <w:szCs w:val="20"/>
          <w:vertAlign w:val="baseline"/>
          <w:lang w:val="fr-CA"/>
        </w:rPr>
        <w:footnoteRef/>
      </w:r>
      <w:r w:rsidRPr="00CE2D33">
        <w:rPr>
          <w:sz w:val="20"/>
          <w:szCs w:val="20"/>
          <w:lang w:val="fr-CA"/>
        </w:rPr>
        <w:t xml:space="preserve">. </w:t>
      </w:r>
      <w:r w:rsidRPr="00CE2D33" w:rsidR="0096283B">
        <w:rPr>
          <w:sz w:val="20"/>
          <w:szCs w:val="20"/>
          <w:lang w:val="fr-CA"/>
        </w:rPr>
        <w:t>Utilise</w:t>
      </w:r>
      <w:r w:rsidR="0096283B">
        <w:rPr>
          <w:sz w:val="20"/>
          <w:szCs w:val="20"/>
          <w:lang w:val="fr-CA"/>
        </w:rPr>
        <w:t>z</w:t>
      </w:r>
      <w:r w:rsidRPr="00CE2D33" w:rsidR="0096283B">
        <w:rPr>
          <w:sz w:val="20"/>
          <w:szCs w:val="20"/>
          <w:lang w:val="fr-CA"/>
        </w:rPr>
        <w:t xml:space="preserve"> </w:t>
      </w:r>
      <w:r w:rsidRPr="00CE2D33">
        <w:rPr>
          <w:sz w:val="20"/>
          <w:szCs w:val="20"/>
          <w:lang w:val="fr-CA"/>
        </w:rPr>
        <w:t>les données d</w:t>
      </w:r>
      <w:r w:rsidR="009E17AD">
        <w:rPr>
          <w:sz w:val="20"/>
          <w:szCs w:val="20"/>
          <w:lang w:val="fr-CA"/>
        </w:rPr>
        <w:t>u</w:t>
      </w:r>
      <w:r w:rsidRPr="00CE2D33">
        <w:rPr>
          <w:sz w:val="20"/>
          <w:szCs w:val="20"/>
          <w:lang w:val="fr-CA"/>
        </w:rPr>
        <w:t xml:space="preserve"> </w:t>
      </w:r>
      <w:hyperlink w:history="1" r:id="rId1">
        <w:r w:rsidRPr="00CE2D33">
          <w:rPr>
            <w:rStyle w:val="Hyperlink"/>
            <w:sz w:val="20"/>
            <w:szCs w:val="20"/>
            <w:lang w:val="fr-CA"/>
          </w:rPr>
          <w:t>Tableau 18-10-0005-01</w:t>
        </w:r>
      </w:hyperlink>
      <w:r w:rsidRPr="00CE2D33">
        <w:rPr>
          <w:sz w:val="20"/>
          <w:szCs w:val="20"/>
          <w:lang w:val="fr-CA"/>
        </w:rPr>
        <w:t xml:space="preserve"> de Statistique Canada. S’il n’existe aucune donnée sur l’IPC pour l’année visée par l’estimation des coûts, </w:t>
      </w:r>
      <w:r w:rsidRPr="00CE2D33" w:rsidR="0096283B">
        <w:rPr>
          <w:sz w:val="20"/>
          <w:szCs w:val="20"/>
          <w:lang w:val="fr-CA"/>
        </w:rPr>
        <w:t>utilise</w:t>
      </w:r>
      <w:r w:rsidR="0096283B">
        <w:rPr>
          <w:sz w:val="20"/>
          <w:szCs w:val="20"/>
          <w:lang w:val="fr-CA"/>
        </w:rPr>
        <w:t>z</w:t>
      </w:r>
      <w:r w:rsidRPr="00CE2D33" w:rsidR="0096283B">
        <w:rPr>
          <w:sz w:val="20"/>
          <w:szCs w:val="20"/>
          <w:lang w:val="fr-CA"/>
        </w:rPr>
        <w:t xml:space="preserve"> </w:t>
      </w:r>
      <w:r w:rsidRPr="00CE2D33">
        <w:rPr>
          <w:sz w:val="20"/>
          <w:szCs w:val="20"/>
          <w:lang w:val="fr-CA"/>
        </w:rPr>
        <w:t xml:space="preserve">les données </w:t>
      </w:r>
      <w:r w:rsidR="0096283B">
        <w:rPr>
          <w:sz w:val="20"/>
          <w:szCs w:val="20"/>
          <w:lang w:val="fr-CA"/>
        </w:rPr>
        <w:t>de</w:t>
      </w:r>
      <w:r w:rsidRPr="00CE2D33">
        <w:rPr>
          <w:sz w:val="20"/>
          <w:szCs w:val="20"/>
          <w:lang w:val="fr-CA"/>
        </w:rPr>
        <w:t xml:space="preserve"> l’année la plus proche </w:t>
      </w:r>
      <w:r w:rsidR="0096283B">
        <w:rPr>
          <w:sz w:val="20"/>
          <w:szCs w:val="20"/>
          <w:lang w:val="fr-CA"/>
        </w:rPr>
        <w:t>de celle au cours de</w:t>
      </w:r>
      <w:r w:rsidRPr="00CE2D33">
        <w:rPr>
          <w:sz w:val="20"/>
          <w:szCs w:val="20"/>
          <w:lang w:val="fr-CA"/>
        </w:rPr>
        <w:t xml:space="preserve"> laquelle </w:t>
      </w:r>
      <w:r w:rsidR="0096283B">
        <w:rPr>
          <w:sz w:val="20"/>
          <w:szCs w:val="20"/>
          <w:lang w:val="fr-CA"/>
        </w:rPr>
        <w:t>l’estimation a été faite.</w:t>
      </w:r>
    </w:p>
    <w:p w:rsidRPr="00CE2D33" w:rsidR="003D3A0E" w:rsidP="00B91619" w:rsidRDefault="003D3A0E" w14:paraId="4758841B" w14:textId="77777777">
      <w:pPr>
        <w:pStyle w:val="FootnoteText"/>
        <w:rPr>
          <w:lang w:val="fr-CA"/>
        </w:rPr>
      </w:pPr>
    </w:p>
  </w:footnote>
  <w:footnote w:id="2">
    <w:p w:rsidRPr="00CE2D33" w:rsidR="003D3A0E" w:rsidP="00B91619" w:rsidRDefault="003D3A0E" w14:paraId="29D0E3FD" w14:textId="2AEEE8C7">
      <w:pPr>
        <w:pStyle w:val="FootnoteText"/>
        <w:rPr>
          <w:lang w:val="fr-CA"/>
        </w:rPr>
      </w:pPr>
      <w:r w:rsidRPr="00CE2D33">
        <w:rPr>
          <w:rStyle w:val="FootnoteReference"/>
          <w:vertAlign w:val="baseline"/>
          <w:lang w:val="fr-CA"/>
        </w:rPr>
        <w:footnoteRef/>
      </w:r>
      <w:r w:rsidRPr="00CE2D33">
        <w:rPr>
          <w:lang w:val="fr-CA"/>
        </w:rPr>
        <w:t>. La collecte, la c</w:t>
      </w:r>
      <w:r>
        <w:rPr>
          <w:lang w:val="fr-CA"/>
        </w:rPr>
        <w:t xml:space="preserve">onservation, l’utilisation, la </w:t>
      </w:r>
      <w:r w:rsidR="00186C9B">
        <w:rPr>
          <w:lang w:val="fr-CA"/>
        </w:rPr>
        <w:t>communication</w:t>
      </w:r>
      <w:r>
        <w:rPr>
          <w:lang w:val="fr-CA"/>
        </w:rPr>
        <w:t xml:space="preserve"> et l</w:t>
      </w:r>
      <w:r w:rsidR="00186C9B">
        <w:rPr>
          <w:lang w:val="fr-CA"/>
        </w:rPr>
        <w:t>e retrait</w:t>
      </w:r>
      <w:r>
        <w:rPr>
          <w:lang w:val="fr-CA"/>
        </w:rPr>
        <w:t xml:space="preserve"> des renseignements personnels sont </w:t>
      </w:r>
      <w:r w:rsidRPr="00CE2D33">
        <w:rPr>
          <w:lang w:val="fr-CA"/>
        </w:rPr>
        <w:t>assujettis</w:t>
      </w:r>
      <w:r>
        <w:rPr>
          <w:lang w:val="fr-CA"/>
        </w:rPr>
        <w:t xml:space="preserve"> aux </w:t>
      </w:r>
      <w:r w:rsidRPr="00CE2D33">
        <w:rPr>
          <w:lang w:val="fr-CA"/>
        </w:rPr>
        <w:t xml:space="preserve">exigences </w:t>
      </w:r>
      <w:r>
        <w:rPr>
          <w:lang w:val="fr-CA"/>
        </w:rPr>
        <w:t xml:space="preserve">de la </w:t>
      </w:r>
      <w:r w:rsidRPr="00B42F19">
        <w:rPr>
          <w:i/>
          <w:iCs/>
          <w:lang w:val="fr-CA"/>
        </w:rPr>
        <w:t>Loi sur la protection des renseignements personnels</w:t>
      </w:r>
      <w:r>
        <w:rPr>
          <w:lang w:val="fr-CA"/>
        </w:rPr>
        <w:t xml:space="preserve">, et toutes les </w:t>
      </w:r>
      <w:r w:rsidRPr="00CE2D33">
        <w:rPr>
          <w:lang w:val="fr-CA"/>
        </w:rPr>
        <w:t xml:space="preserve">questions </w:t>
      </w:r>
      <w:r>
        <w:rPr>
          <w:lang w:val="fr-CA"/>
        </w:rPr>
        <w:t xml:space="preserve">de conformité liées à la </w:t>
      </w:r>
      <w:r w:rsidRPr="00B42F19">
        <w:rPr>
          <w:i/>
          <w:iCs/>
          <w:lang w:val="fr-CA"/>
        </w:rPr>
        <w:t>Loi sur la protection des renseignements personnels</w:t>
      </w:r>
      <w:r w:rsidRPr="00CE2D33">
        <w:rPr>
          <w:lang w:val="fr-CA"/>
        </w:rPr>
        <w:t xml:space="preserve"> devraient être </w:t>
      </w:r>
      <w:r w:rsidR="00186C9B">
        <w:rPr>
          <w:lang w:val="fr-CA"/>
        </w:rPr>
        <w:t>adressées</w:t>
      </w:r>
      <w:r>
        <w:rPr>
          <w:lang w:val="fr-CA"/>
        </w:rPr>
        <w:t xml:space="preserve"> au </w:t>
      </w:r>
      <w:r w:rsidR="00186C9B">
        <w:rPr>
          <w:lang w:val="fr-CA"/>
        </w:rPr>
        <w:t>Bureau</w:t>
      </w:r>
      <w:r>
        <w:rPr>
          <w:lang w:val="fr-CA"/>
        </w:rPr>
        <w:t xml:space="preserve"> de l’accès à l’information </w:t>
      </w:r>
      <w:r w:rsidR="00186C9B">
        <w:rPr>
          <w:lang w:val="fr-CA"/>
        </w:rPr>
        <w:t>et</w:t>
      </w:r>
      <w:r>
        <w:rPr>
          <w:lang w:val="fr-CA"/>
        </w:rPr>
        <w:t xml:space="preserve"> de la protection des renseignements personnels </w:t>
      </w:r>
      <w:r w:rsidR="00186C9B">
        <w:rPr>
          <w:lang w:val="fr-CA"/>
        </w:rPr>
        <w:t xml:space="preserve">ou à l’Unité des services juridiques </w:t>
      </w:r>
      <w:r>
        <w:rPr>
          <w:lang w:val="fr-CA"/>
        </w:rPr>
        <w:t xml:space="preserve">du </w:t>
      </w:r>
      <w:r w:rsidRPr="00CE2D33">
        <w:rPr>
          <w:lang w:val="fr-CA"/>
        </w:rPr>
        <w:t xml:space="preserve">ministère ou </w:t>
      </w:r>
      <w:r>
        <w:rPr>
          <w:lang w:val="fr-CA"/>
        </w:rPr>
        <w:t>de l’organisme</w:t>
      </w:r>
      <w:r w:rsidRPr="00CE2D33">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A0E" w:rsidP="00061274" w:rsidRDefault="003D3A0E" w14:paraId="4DC73521" w14:textId="77777777">
    <w:pPr>
      <w:pStyle w:val="Header"/>
      <w:jc w:val="right"/>
      <w:rPr>
        <w:rFonts w:ascii="Arial" w:hAnsi="Arial" w:cs="Arial"/>
        <w:color w:val="000000"/>
        <w:sz w:val="24"/>
        <w:lang w:val="fr-CA"/>
      </w:rPr>
    </w:pPr>
    <w:bookmarkStart w:name="aliashPOLUnclassified1HeaderEvenPages" w:id="0"/>
    <w:r>
      <w:rPr>
        <w:rFonts w:ascii="Arial" w:hAnsi="Arial" w:cs="Arial"/>
        <w:color w:val="000000"/>
        <w:sz w:val="24"/>
        <w:lang w:val="fr-CA"/>
      </w:rPr>
      <w:t>UNCLASSIFIED / NON CLASSIFIÉ</w:t>
    </w:r>
  </w:p>
  <w:bookmarkEnd w:id="0"/>
  <w:p w:rsidRPr="00405FDA" w:rsidR="003D3A0E" w:rsidP="004270B7" w:rsidRDefault="003D3A0E" w14:paraId="6E4E131E" w14:textId="77777777">
    <w:pPr>
      <w:pStyle w:val="Header"/>
      <w:jc w:val="righ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A0E" w:rsidP="00061274" w:rsidRDefault="003D3A0E" w14:paraId="75DBE224" w14:textId="2ECFB938">
    <w:pPr>
      <w:pStyle w:val="Header"/>
      <w:jc w:val="right"/>
      <w:rPr>
        <w:rFonts w:ascii="Arial" w:hAnsi="Arial" w:cs="Arial"/>
        <w:color w:val="000000"/>
        <w:sz w:val="24"/>
        <w:lang w:val="fr-CA"/>
      </w:rPr>
    </w:pPr>
    <w:bookmarkStart w:name="aliashPOLUnclassified1HeaderPrimary" w:id="1"/>
    <w:r>
      <w:rPr>
        <w:rFonts w:ascii="Arial" w:hAnsi="Arial" w:cs="Arial"/>
        <w:color w:val="000000"/>
        <w:sz w:val="24"/>
        <w:lang w:val="fr-CA"/>
      </w:rPr>
      <w:t>UNCLASSIFIED / NON CLASSIFIÉ</w:t>
    </w:r>
  </w:p>
  <w:bookmarkEnd w:id="1"/>
  <w:p w:rsidRPr="00405FDA" w:rsidR="003D3A0E" w:rsidP="00424FCF" w:rsidRDefault="003D3A0E" w14:paraId="0F7F6CC7" w14:textId="77777777">
    <w:pPr>
      <w:pStyle w:val="Header"/>
      <w:jc w:val="right"/>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D3A0E" w:rsidP="00061274" w:rsidRDefault="003D3A0E" w14:paraId="378FDE2D" w14:textId="77777777">
    <w:pPr>
      <w:pStyle w:val="Header"/>
      <w:jc w:val="right"/>
      <w:rPr>
        <w:rFonts w:ascii="Arial" w:hAnsi="Arial" w:cs="Arial"/>
        <w:color w:val="000000"/>
        <w:sz w:val="24"/>
      </w:rPr>
    </w:pPr>
    <w:bookmarkStart w:name="aliashPOLUnclassified1HeaderFirstPage" w:id="2"/>
    <w:r>
      <w:rPr>
        <w:rFonts w:ascii="Arial" w:hAnsi="Arial" w:cs="Arial"/>
        <w:color w:val="000000"/>
        <w:sz w:val="24"/>
      </w:rPr>
      <w:t>UNCLASSIFIED / NON CLASSIFIÉ</w:t>
    </w:r>
  </w:p>
  <w:bookmarkEnd w:id="2"/>
  <w:p w:rsidR="003D3A0E" w:rsidP="00424FCF" w:rsidRDefault="003D3A0E" w14:paraId="254B4289" w14:textId="77777777">
    <w:pPr>
      <w:pStyle w:val="Header"/>
      <w:jc w:val="right"/>
    </w:pPr>
    <w:r>
      <w:rPr>
        <w:noProof/>
        <w:lang w:eastAsia="en-CA"/>
      </w:rPr>
      <w:drawing>
        <wp:anchor distT="0" distB="0" distL="114300" distR="114300" simplePos="0" relativeHeight="251659264" behindDoc="1" locked="0" layoutInCell="1" allowOverlap="1" wp14:anchorId="4EAFC49B" wp14:editId="48165556">
          <wp:simplePos x="0" y="0"/>
          <wp:positionH relativeFrom="column">
            <wp:posOffset>-624840</wp:posOffset>
          </wp:positionH>
          <wp:positionV relativeFrom="paragraph">
            <wp:posOffset>214630</wp:posOffset>
          </wp:positionV>
          <wp:extent cx="7191375" cy="966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A0E" w:rsidP="00061274" w:rsidRDefault="003D3A0E" w14:paraId="52917C59" w14:textId="77777777">
    <w:pPr>
      <w:pStyle w:val="Header"/>
      <w:jc w:val="right"/>
      <w:rPr>
        <w:rFonts w:ascii="Arial" w:hAnsi="Arial" w:cs="Arial"/>
        <w:color w:val="000000"/>
        <w:sz w:val="24"/>
        <w:lang w:val="fr-CA"/>
      </w:rPr>
    </w:pPr>
    <w:bookmarkStart w:name="aliashPOLUnclassified2HeaderFirstPage" w:id="5"/>
    <w:r>
      <w:rPr>
        <w:rFonts w:ascii="Arial" w:hAnsi="Arial" w:cs="Arial"/>
        <w:color w:val="000000"/>
        <w:sz w:val="24"/>
        <w:lang w:val="fr-CA"/>
      </w:rPr>
      <w:t>UNCLASSIFIED / NON CLASSIFIÉ</w:t>
    </w:r>
  </w:p>
  <w:bookmarkEnd w:id="5"/>
  <w:p w:rsidRPr="00570404" w:rsidR="003D3A0E" w:rsidRDefault="003D3A0E" w14:paraId="325C51E7" w14:textId="77777777">
    <w:pPr>
      <w:pStyle w:val="Header"/>
      <w:jc w:val="right"/>
      <w:rPr>
        <w:rFonts w:ascii="Arial" w:hAnsi="Arial" w:cs="Arial"/>
        <w:color w:val="000000"/>
        <w:sz w:val="17"/>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1C5"/>
    <w:multiLevelType w:val="hybridMultilevel"/>
    <w:tmpl w:val="D45EB4A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58A2876"/>
    <w:multiLevelType w:val="hybridMultilevel"/>
    <w:tmpl w:val="CCFA23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DC1516A"/>
    <w:multiLevelType w:val="hybridMultilevel"/>
    <w:tmpl w:val="20A6D6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FC1FA0"/>
    <w:multiLevelType w:val="hybridMultilevel"/>
    <w:tmpl w:val="18D4F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F17C7"/>
    <w:multiLevelType w:val="hybridMultilevel"/>
    <w:tmpl w:val="A0D8F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EC769B"/>
    <w:multiLevelType w:val="hybridMultilevel"/>
    <w:tmpl w:val="EEFA91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BA07C1B"/>
    <w:multiLevelType w:val="hybridMultilevel"/>
    <w:tmpl w:val="B5CA9B8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1BBB0C84"/>
    <w:multiLevelType w:val="hybridMultilevel"/>
    <w:tmpl w:val="A41650C8"/>
    <w:lvl w:ilvl="0" w:tplc="8C7E455E">
      <w:start w:val="1"/>
      <w:numFmt w:val="decimal"/>
      <w:pStyle w:val="Heading2"/>
      <w:lvlText w:val="3.%1"/>
      <w:lvlJc w:val="left"/>
      <w:pPr>
        <w:ind w:left="72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15:restartNumberingAfterBreak="0">
    <w:nsid w:val="1C702427"/>
    <w:multiLevelType w:val="hybridMultilevel"/>
    <w:tmpl w:val="6D06067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1D945D70"/>
    <w:multiLevelType w:val="hybridMultilevel"/>
    <w:tmpl w:val="93AC91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1FFF4006"/>
    <w:multiLevelType w:val="hybridMultilevel"/>
    <w:tmpl w:val="DF1841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2821F56"/>
    <w:multiLevelType w:val="hybridMultilevel"/>
    <w:tmpl w:val="DE68ED2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24004AB4"/>
    <w:multiLevelType w:val="hybridMultilevel"/>
    <w:tmpl w:val="520ACDB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4DD691A"/>
    <w:multiLevelType w:val="hybridMultilevel"/>
    <w:tmpl w:val="8E5256F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27AB104E"/>
    <w:multiLevelType w:val="hybridMultilevel"/>
    <w:tmpl w:val="4E16084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29DD45DD"/>
    <w:multiLevelType w:val="hybridMultilevel"/>
    <w:tmpl w:val="C81A48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338B18EB"/>
    <w:multiLevelType w:val="hybridMultilevel"/>
    <w:tmpl w:val="699E45B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7" w15:restartNumberingAfterBreak="0">
    <w:nsid w:val="34DE5FB9"/>
    <w:multiLevelType w:val="hybridMultilevel"/>
    <w:tmpl w:val="28CEDB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50C3FD9"/>
    <w:multiLevelType w:val="multilevel"/>
    <w:tmpl w:val="252678D2"/>
    <w:lvl w:ilvl="0">
      <w:start w:val="1"/>
      <w:numFmt w:val="decimal"/>
      <w:pStyle w:val="Heading3"/>
      <w:lvlText w:val="3.2.%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663"/>
    <w:multiLevelType w:val="hybridMultilevel"/>
    <w:tmpl w:val="DAA2FC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3BE05029"/>
    <w:multiLevelType w:val="hybridMultilevel"/>
    <w:tmpl w:val="F17808CC"/>
    <w:lvl w:ilvl="0" w:tplc="E9169F48">
      <w:start w:val="1"/>
      <w:numFmt w:val="decimal"/>
      <w:lvlText w:val="4.1.%1."/>
      <w:lvlJc w:val="left"/>
      <w:pPr>
        <w:ind w:left="720" w:hanging="360"/>
      </w:pPr>
      <w:rPr>
        <w:rFonts w:hint="default"/>
      </w:rPr>
    </w:lvl>
    <w:lvl w:ilvl="1" w:tplc="10090019" w:tentative="1">
      <w:start w:val="1"/>
      <w:numFmt w:val="lowerLetter"/>
      <w:lvlText w:val="%2."/>
      <w:lvlJc w:val="left"/>
      <w:pPr>
        <w:ind w:left="1440" w:hanging="360"/>
      </w:pPr>
    </w:lvl>
    <w:lvl w:ilvl="2" w:tplc="E9169F48">
      <w:start w:val="1"/>
      <w:numFmt w:val="decimal"/>
      <w:lvlText w:val="4.1.%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7D56E9"/>
    <w:multiLevelType w:val="hybridMultilevel"/>
    <w:tmpl w:val="027EF0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3DA80D19"/>
    <w:multiLevelType w:val="hybridMultilevel"/>
    <w:tmpl w:val="5ADADD6E"/>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3" w15:restartNumberingAfterBreak="0">
    <w:nsid w:val="40D86D34"/>
    <w:multiLevelType w:val="hybridMultilevel"/>
    <w:tmpl w:val="FE489542"/>
    <w:lvl w:ilvl="0" w:tplc="10090001">
      <w:start w:val="1"/>
      <w:numFmt w:val="bullet"/>
      <w:lvlText w:val=""/>
      <w:lvlJc w:val="left"/>
      <w:pPr>
        <w:ind w:left="720" w:hanging="360"/>
      </w:pPr>
      <w:rPr>
        <w:rFonts w:hint="default" w:ascii="Symbol" w:hAnsi="Symbol"/>
      </w:rPr>
    </w:lvl>
    <w:lvl w:ilvl="1" w:tplc="6A7A460A">
      <w:numFmt w:val="bullet"/>
      <w:lvlText w:val="-"/>
      <w:lvlJc w:val="left"/>
      <w:pPr>
        <w:ind w:left="1440" w:hanging="360"/>
      </w:pPr>
      <w:rPr>
        <w:rFonts w:hint="default" w:ascii="Calibri" w:hAnsi="Calibri" w:cs="Calibri" w:eastAsiaTheme="minorHAnsi"/>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411A46A4"/>
    <w:multiLevelType w:val="multilevel"/>
    <w:tmpl w:val="EBC44676"/>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82E5914"/>
    <w:multiLevelType w:val="hybridMultilevel"/>
    <w:tmpl w:val="28965F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4C8A1E4E"/>
    <w:multiLevelType w:val="hybridMultilevel"/>
    <w:tmpl w:val="AB9638B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4E6D7A1F"/>
    <w:multiLevelType w:val="hybridMultilevel"/>
    <w:tmpl w:val="EA16165A"/>
    <w:lvl w:ilvl="0" w:tplc="E8EC27F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743A0B"/>
    <w:multiLevelType w:val="hybridMultilevel"/>
    <w:tmpl w:val="D092282A"/>
    <w:lvl w:ilvl="0" w:tplc="374CE2B4">
      <w:start w:val="1"/>
      <w:numFmt w:val="bullet"/>
      <w:lvlText w:val=""/>
      <w:lvlJc w:val="left"/>
      <w:pPr>
        <w:ind w:left="1440" w:hanging="360"/>
      </w:pPr>
      <w:rPr>
        <w:rFonts w:ascii="Symbol" w:hAnsi="Symbol"/>
      </w:rPr>
    </w:lvl>
    <w:lvl w:ilvl="1" w:tplc="D9C63DBC">
      <w:start w:val="1"/>
      <w:numFmt w:val="bullet"/>
      <w:lvlText w:val=""/>
      <w:lvlJc w:val="left"/>
      <w:pPr>
        <w:ind w:left="1440" w:hanging="360"/>
      </w:pPr>
      <w:rPr>
        <w:rFonts w:ascii="Symbol" w:hAnsi="Symbol"/>
      </w:rPr>
    </w:lvl>
    <w:lvl w:ilvl="2" w:tplc="B3CC496C">
      <w:start w:val="1"/>
      <w:numFmt w:val="bullet"/>
      <w:lvlText w:val=""/>
      <w:lvlJc w:val="left"/>
      <w:pPr>
        <w:ind w:left="1440" w:hanging="360"/>
      </w:pPr>
      <w:rPr>
        <w:rFonts w:ascii="Symbol" w:hAnsi="Symbol"/>
      </w:rPr>
    </w:lvl>
    <w:lvl w:ilvl="3" w:tplc="234094AC">
      <w:start w:val="1"/>
      <w:numFmt w:val="bullet"/>
      <w:lvlText w:val=""/>
      <w:lvlJc w:val="left"/>
      <w:pPr>
        <w:ind w:left="1440" w:hanging="360"/>
      </w:pPr>
      <w:rPr>
        <w:rFonts w:ascii="Symbol" w:hAnsi="Symbol"/>
      </w:rPr>
    </w:lvl>
    <w:lvl w:ilvl="4" w:tplc="167E387C">
      <w:start w:val="1"/>
      <w:numFmt w:val="bullet"/>
      <w:lvlText w:val=""/>
      <w:lvlJc w:val="left"/>
      <w:pPr>
        <w:ind w:left="1440" w:hanging="360"/>
      </w:pPr>
      <w:rPr>
        <w:rFonts w:ascii="Symbol" w:hAnsi="Symbol"/>
      </w:rPr>
    </w:lvl>
    <w:lvl w:ilvl="5" w:tplc="3960A0B6">
      <w:start w:val="1"/>
      <w:numFmt w:val="bullet"/>
      <w:lvlText w:val=""/>
      <w:lvlJc w:val="left"/>
      <w:pPr>
        <w:ind w:left="1440" w:hanging="360"/>
      </w:pPr>
      <w:rPr>
        <w:rFonts w:ascii="Symbol" w:hAnsi="Symbol"/>
      </w:rPr>
    </w:lvl>
    <w:lvl w:ilvl="6" w:tplc="12BE61E0">
      <w:start w:val="1"/>
      <w:numFmt w:val="bullet"/>
      <w:lvlText w:val=""/>
      <w:lvlJc w:val="left"/>
      <w:pPr>
        <w:ind w:left="1440" w:hanging="360"/>
      </w:pPr>
      <w:rPr>
        <w:rFonts w:ascii="Symbol" w:hAnsi="Symbol"/>
      </w:rPr>
    </w:lvl>
    <w:lvl w:ilvl="7" w:tplc="34224F28">
      <w:start w:val="1"/>
      <w:numFmt w:val="bullet"/>
      <w:lvlText w:val=""/>
      <w:lvlJc w:val="left"/>
      <w:pPr>
        <w:ind w:left="1440" w:hanging="360"/>
      </w:pPr>
      <w:rPr>
        <w:rFonts w:ascii="Symbol" w:hAnsi="Symbol"/>
      </w:rPr>
    </w:lvl>
    <w:lvl w:ilvl="8" w:tplc="3F8663C8">
      <w:start w:val="1"/>
      <w:numFmt w:val="bullet"/>
      <w:lvlText w:val=""/>
      <w:lvlJc w:val="left"/>
      <w:pPr>
        <w:ind w:left="1440" w:hanging="360"/>
      </w:pPr>
      <w:rPr>
        <w:rFonts w:ascii="Symbol" w:hAnsi="Symbol"/>
      </w:rPr>
    </w:lvl>
  </w:abstractNum>
  <w:abstractNum w:abstractNumId="29" w15:restartNumberingAfterBreak="0">
    <w:nsid w:val="63CA0BA0"/>
    <w:multiLevelType w:val="hybridMultilevel"/>
    <w:tmpl w:val="38D0173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66354A03"/>
    <w:multiLevelType w:val="hybridMultilevel"/>
    <w:tmpl w:val="41548D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89F659D"/>
    <w:multiLevelType w:val="hybridMultilevel"/>
    <w:tmpl w:val="0C5218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697B589C"/>
    <w:multiLevelType w:val="hybridMultilevel"/>
    <w:tmpl w:val="37287B88"/>
    <w:lvl w:ilvl="0" w:tplc="55C01B94">
      <w:start w:val="1"/>
      <w:numFmt w:val="decimal"/>
      <w:lvlText w:val="4.%1"/>
      <w:lvlJc w:val="left"/>
      <w:pPr>
        <w:ind w:left="720" w:hanging="360"/>
      </w:pPr>
      <w:rPr>
        <w:rFonts w:hint="default"/>
      </w:rPr>
    </w:lvl>
    <w:lvl w:ilvl="1" w:tplc="55C01B94">
      <w:start w:val="1"/>
      <w:numFmt w:val="decimal"/>
      <w:lvlText w:val="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D0310D"/>
    <w:multiLevelType w:val="hybridMultilevel"/>
    <w:tmpl w:val="1D00E4E8"/>
    <w:lvl w:ilvl="0" w:tplc="2ED878B8">
      <w:start w:val="1"/>
      <w:numFmt w:val="bullet"/>
      <w:lvlText w:val=""/>
      <w:lvlJc w:val="left"/>
      <w:pPr>
        <w:ind w:left="1440" w:hanging="360"/>
      </w:pPr>
      <w:rPr>
        <w:rFonts w:ascii="Symbol" w:hAnsi="Symbol"/>
      </w:rPr>
    </w:lvl>
    <w:lvl w:ilvl="1" w:tplc="8DDCBF18">
      <w:start w:val="1"/>
      <w:numFmt w:val="bullet"/>
      <w:lvlText w:val=""/>
      <w:lvlJc w:val="left"/>
      <w:pPr>
        <w:ind w:left="1440" w:hanging="360"/>
      </w:pPr>
      <w:rPr>
        <w:rFonts w:ascii="Symbol" w:hAnsi="Symbol"/>
      </w:rPr>
    </w:lvl>
    <w:lvl w:ilvl="2" w:tplc="A59E5038">
      <w:start w:val="1"/>
      <w:numFmt w:val="bullet"/>
      <w:lvlText w:val=""/>
      <w:lvlJc w:val="left"/>
      <w:pPr>
        <w:ind w:left="1440" w:hanging="360"/>
      </w:pPr>
      <w:rPr>
        <w:rFonts w:ascii="Symbol" w:hAnsi="Symbol"/>
      </w:rPr>
    </w:lvl>
    <w:lvl w:ilvl="3" w:tplc="D0F60DB0">
      <w:start w:val="1"/>
      <w:numFmt w:val="bullet"/>
      <w:lvlText w:val=""/>
      <w:lvlJc w:val="left"/>
      <w:pPr>
        <w:ind w:left="1440" w:hanging="360"/>
      </w:pPr>
      <w:rPr>
        <w:rFonts w:ascii="Symbol" w:hAnsi="Symbol"/>
      </w:rPr>
    </w:lvl>
    <w:lvl w:ilvl="4" w:tplc="5DBA23B8">
      <w:start w:val="1"/>
      <w:numFmt w:val="bullet"/>
      <w:lvlText w:val=""/>
      <w:lvlJc w:val="left"/>
      <w:pPr>
        <w:ind w:left="1440" w:hanging="360"/>
      </w:pPr>
      <w:rPr>
        <w:rFonts w:ascii="Symbol" w:hAnsi="Symbol"/>
      </w:rPr>
    </w:lvl>
    <w:lvl w:ilvl="5" w:tplc="D18458DA">
      <w:start w:val="1"/>
      <w:numFmt w:val="bullet"/>
      <w:lvlText w:val=""/>
      <w:lvlJc w:val="left"/>
      <w:pPr>
        <w:ind w:left="1440" w:hanging="360"/>
      </w:pPr>
      <w:rPr>
        <w:rFonts w:ascii="Symbol" w:hAnsi="Symbol"/>
      </w:rPr>
    </w:lvl>
    <w:lvl w:ilvl="6" w:tplc="0B3AEDF4">
      <w:start w:val="1"/>
      <w:numFmt w:val="bullet"/>
      <w:lvlText w:val=""/>
      <w:lvlJc w:val="left"/>
      <w:pPr>
        <w:ind w:left="1440" w:hanging="360"/>
      </w:pPr>
      <w:rPr>
        <w:rFonts w:ascii="Symbol" w:hAnsi="Symbol"/>
      </w:rPr>
    </w:lvl>
    <w:lvl w:ilvl="7" w:tplc="2AAC585A">
      <w:start w:val="1"/>
      <w:numFmt w:val="bullet"/>
      <w:lvlText w:val=""/>
      <w:lvlJc w:val="left"/>
      <w:pPr>
        <w:ind w:left="1440" w:hanging="360"/>
      </w:pPr>
      <w:rPr>
        <w:rFonts w:ascii="Symbol" w:hAnsi="Symbol"/>
      </w:rPr>
    </w:lvl>
    <w:lvl w:ilvl="8" w:tplc="021407AC">
      <w:start w:val="1"/>
      <w:numFmt w:val="bullet"/>
      <w:lvlText w:val=""/>
      <w:lvlJc w:val="left"/>
      <w:pPr>
        <w:ind w:left="1440" w:hanging="360"/>
      </w:pPr>
      <w:rPr>
        <w:rFonts w:ascii="Symbol" w:hAnsi="Symbol"/>
      </w:rPr>
    </w:lvl>
  </w:abstractNum>
  <w:abstractNum w:abstractNumId="34" w15:restartNumberingAfterBreak="0">
    <w:nsid w:val="6BC710E8"/>
    <w:multiLevelType w:val="hybridMultilevel"/>
    <w:tmpl w:val="7018B2B8"/>
    <w:lvl w:ilvl="0" w:tplc="AC76B9BA">
      <w:start w:val="1"/>
      <w:numFmt w:val="bullet"/>
      <w:lvlText w:val=""/>
      <w:lvlJc w:val="left"/>
      <w:pPr>
        <w:ind w:left="1440" w:hanging="360"/>
      </w:pPr>
      <w:rPr>
        <w:rFonts w:ascii="Symbol" w:hAnsi="Symbol"/>
      </w:rPr>
    </w:lvl>
    <w:lvl w:ilvl="1" w:tplc="C48A7554">
      <w:start w:val="1"/>
      <w:numFmt w:val="bullet"/>
      <w:lvlText w:val=""/>
      <w:lvlJc w:val="left"/>
      <w:pPr>
        <w:ind w:left="1440" w:hanging="360"/>
      </w:pPr>
      <w:rPr>
        <w:rFonts w:ascii="Symbol" w:hAnsi="Symbol"/>
      </w:rPr>
    </w:lvl>
    <w:lvl w:ilvl="2" w:tplc="AB08BBE2">
      <w:start w:val="1"/>
      <w:numFmt w:val="bullet"/>
      <w:lvlText w:val=""/>
      <w:lvlJc w:val="left"/>
      <w:pPr>
        <w:ind w:left="1440" w:hanging="360"/>
      </w:pPr>
      <w:rPr>
        <w:rFonts w:ascii="Symbol" w:hAnsi="Symbol"/>
      </w:rPr>
    </w:lvl>
    <w:lvl w:ilvl="3" w:tplc="4D9A9F82">
      <w:start w:val="1"/>
      <w:numFmt w:val="bullet"/>
      <w:lvlText w:val=""/>
      <w:lvlJc w:val="left"/>
      <w:pPr>
        <w:ind w:left="1440" w:hanging="360"/>
      </w:pPr>
      <w:rPr>
        <w:rFonts w:ascii="Symbol" w:hAnsi="Symbol"/>
      </w:rPr>
    </w:lvl>
    <w:lvl w:ilvl="4" w:tplc="B7CA6E98">
      <w:start w:val="1"/>
      <w:numFmt w:val="bullet"/>
      <w:lvlText w:val=""/>
      <w:lvlJc w:val="left"/>
      <w:pPr>
        <w:ind w:left="1440" w:hanging="360"/>
      </w:pPr>
      <w:rPr>
        <w:rFonts w:ascii="Symbol" w:hAnsi="Symbol"/>
      </w:rPr>
    </w:lvl>
    <w:lvl w:ilvl="5" w:tplc="285CA1D0">
      <w:start w:val="1"/>
      <w:numFmt w:val="bullet"/>
      <w:lvlText w:val=""/>
      <w:lvlJc w:val="left"/>
      <w:pPr>
        <w:ind w:left="1440" w:hanging="360"/>
      </w:pPr>
      <w:rPr>
        <w:rFonts w:ascii="Symbol" w:hAnsi="Symbol"/>
      </w:rPr>
    </w:lvl>
    <w:lvl w:ilvl="6" w:tplc="17601966">
      <w:start w:val="1"/>
      <w:numFmt w:val="bullet"/>
      <w:lvlText w:val=""/>
      <w:lvlJc w:val="left"/>
      <w:pPr>
        <w:ind w:left="1440" w:hanging="360"/>
      </w:pPr>
      <w:rPr>
        <w:rFonts w:ascii="Symbol" w:hAnsi="Symbol"/>
      </w:rPr>
    </w:lvl>
    <w:lvl w:ilvl="7" w:tplc="E27AF51E">
      <w:start w:val="1"/>
      <w:numFmt w:val="bullet"/>
      <w:lvlText w:val=""/>
      <w:lvlJc w:val="left"/>
      <w:pPr>
        <w:ind w:left="1440" w:hanging="360"/>
      </w:pPr>
      <w:rPr>
        <w:rFonts w:ascii="Symbol" w:hAnsi="Symbol"/>
      </w:rPr>
    </w:lvl>
    <w:lvl w:ilvl="8" w:tplc="2348F820">
      <w:start w:val="1"/>
      <w:numFmt w:val="bullet"/>
      <w:lvlText w:val=""/>
      <w:lvlJc w:val="left"/>
      <w:pPr>
        <w:ind w:left="1440" w:hanging="360"/>
      </w:pPr>
      <w:rPr>
        <w:rFonts w:ascii="Symbol" w:hAnsi="Symbol"/>
      </w:rPr>
    </w:lvl>
  </w:abstractNum>
  <w:abstractNum w:abstractNumId="35" w15:restartNumberingAfterBreak="0">
    <w:nsid w:val="6C250B98"/>
    <w:multiLevelType w:val="hybridMultilevel"/>
    <w:tmpl w:val="CBEA514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6E515903"/>
    <w:multiLevelType w:val="hybridMultilevel"/>
    <w:tmpl w:val="6D4A0E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70C20279"/>
    <w:multiLevelType w:val="hybridMultilevel"/>
    <w:tmpl w:val="6D001BA6"/>
    <w:lvl w:ilvl="0" w:tplc="10090001">
      <w:start w:val="1"/>
      <w:numFmt w:val="bullet"/>
      <w:lvlText w:val=""/>
      <w:lvlJc w:val="left"/>
      <w:pPr>
        <w:ind w:left="720" w:hanging="360"/>
      </w:pPr>
      <w:rPr>
        <w:rFonts w:hint="default" w:ascii="Symbol" w:hAnsi="Symbol"/>
      </w:rPr>
    </w:lvl>
    <w:lvl w:ilvl="1" w:tplc="FA0A1EFA">
      <w:numFmt w:val="bullet"/>
      <w:lvlText w:val="-"/>
      <w:lvlJc w:val="left"/>
      <w:pPr>
        <w:ind w:left="1440" w:hanging="360"/>
      </w:pPr>
      <w:rPr>
        <w:rFonts w:hint="default" w:ascii="Calibri" w:hAnsi="Calibri" w:cs="Calibri" w:eastAsiaTheme="minorHAnsi"/>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731116B2"/>
    <w:multiLevelType w:val="hybridMultilevel"/>
    <w:tmpl w:val="9BE2BDD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9" w15:restartNumberingAfterBreak="0">
    <w:nsid w:val="78C740B7"/>
    <w:multiLevelType w:val="hybridMultilevel"/>
    <w:tmpl w:val="DDEC37D8"/>
    <w:lvl w:ilvl="0" w:tplc="BF0A7C80">
      <w:start w:val="1"/>
      <w:numFmt w:val="lowerRoman"/>
      <w:lvlText w:val="%1."/>
      <w:lvlJc w:val="right"/>
      <w:pPr>
        <w:tabs>
          <w:tab w:val="num" w:pos="720"/>
        </w:tabs>
        <w:ind w:left="720" w:hanging="360"/>
      </w:pPr>
    </w:lvl>
    <w:lvl w:ilvl="1" w:tplc="CE44969A" w:tentative="1">
      <w:start w:val="1"/>
      <w:numFmt w:val="lowerRoman"/>
      <w:lvlText w:val="%2."/>
      <w:lvlJc w:val="right"/>
      <w:pPr>
        <w:tabs>
          <w:tab w:val="num" w:pos="1440"/>
        </w:tabs>
        <w:ind w:left="1440" w:hanging="360"/>
      </w:pPr>
    </w:lvl>
    <w:lvl w:ilvl="2" w:tplc="324AC448" w:tentative="1">
      <w:start w:val="1"/>
      <w:numFmt w:val="lowerRoman"/>
      <w:lvlText w:val="%3."/>
      <w:lvlJc w:val="right"/>
      <w:pPr>
        <w:tabs>
          <w:tab w:val="num" w:pos="2160"/>
        </w:tabs>
        <w:ind w:left="2160" w:hanging="360"/>
      </w:pPr>
    </w:lvl>
    <w:lvl w:ilvl="3" w:tplc="AC3619A4" w:tentative="1">
      <w:start w:val="1"/>
      <w:numFmt w:val="lowerRoman"/>
      <w:lvlText w:val="%4."/>
      <w:lvlJc w:val="right"/>
      <w:pPr>
        <w:tabs>
          <w:tab w:val="num" w:pos="2880"/>
        </w:tabs>
        <w:ind w:left="2880" w:hanging="360"/>
      </w:pPr>
    </w:lvl>
    <w:lvl w:ilvl="4" w:tplc="E8DE2884" w:tentative="1">
      <w:start w:val="1"/>
      <w:numFmt w:val="lowerRoman"/>
      <w:lvlText w:val="%5."/>
      <w:lvlJc w:val="right"/>
      <w:pPr>
        <w:tabs>
          <w:tab w:val="num" w:pos="3600"/>
        </w:tabs>
        <w:ind w:left="3600" w:hanging="360"/>
      </w:pPr>
    </w:lvl>
    <w:lvl w:ilvl="5" w:tplc="B60C878C" w:tentative="1">
      <w:start w:val="1"/>
      <w:numFmt w:val="lowerRoman"/>
      <w:lvlText w:val="%6."/>
      <w:lvlJc w:val="right"/>
      <w:pPr>
        <w:tabs>
          <w:tab w:val="num" w:pos="4320"/>
        </w:tabs>
        <w:ind w:left="4320" w:hanging="360"/>
      </w:pPr>
    </w:lvl>
    <w:lvl w:ilvl="6" w:tplc="8906540C" w:tentative="1">
      <w:start w:val="1"/>
      <w:numFmt w:val="lowerRoman"/>
      <w:lvlText w:val="%7."/>
      <w:lvlJc w:val="right"/>
      <w:pPr>
        <w:tabs>
          <w:tab w:val="num" w:pos="5040"/>
        </w:tabs>
        <w:ind w:left="5040" w:hanging="360"/>
      </w:pPr>
    </w:lvl>
    <w:lvl w:ilvl="7" w:tplc="D8061CFA" w:tentative="1">
      <w:start w:val="1"/>
      <w:numFmt w:val="lowerRoman"/>
      <w:lvlText w:val="%8."/>
      <w:lvlJc w:val="right"/>
      <w:pPr>
        <w:tabs>
          <w:tab w:val="num" w:pos="5760"/>
        </w:tabs>
        <w:ind w:left="5760" w:hanging="360"/>
      </w:pPr>
    </w:lvl>
    <w:lvl w:ilvl="8" w:tplc="E42C019E" w:tentative="1">
      <w:start w:val="1"/>
      <w:numFmt w:val="lowerRoman"/>
      <w:lvlText w:val="%9."/>
      <w:lvlJc w:val="right"/>
      <w:pPr>
        <w:tabs>
          <w:tab w:val="num" w:pos="6480"/>
        </w:tabs>
        <w:ind w:left="6480" w:hanging="360"/>
      </w:pPr>
    </w:lvl>
  </w:abstractNum>
  <w:num w:numId="1" w16cid:durableId="1883008461">
    <w:abstractNumId w:val="1"/>
  </w:num>
  <w:num w:numId="2" w16cid:durableId="37055641">
    <w:abstractNumId w:val="8"/>
  </w:num>
  <w:num w:numId="3" w16cid:durableId="1626962913">
    <w:abstractNumId w:val="23"/>
  </w:num>
  <w:num w:numId="4" w16cid:durableId="129514415">
    <w:abstractNumId w:val="0"/>
  </w:num>
  <w:num w:numId="5" w16cid:durableId="1022129564">
    <w:abstractNumId w:val="15"/>
  </w:num>
  <w:num w:numId="6" w16cid:durableId="1247614101">
    <w:abstractNumId w:val="36"/>
  </w:num>
  <w:num w:numId="7" w16cid:durableId="1175920032">
    <w:abstractNumId w:val="12"/>
  </w:num>
  <w:num w:numId="8" w16cid:durableId="65734436">
    <w:abstractNumId w:val="37"/>
  </w:num>
  <w:num w:numId="9" w16cid:durableId="652411974">
    <w:abstractNumId w:val="19"/>
  </w:num>
  <w:num w:numId="10" w16cid:durableId="1878737405">
    <w:abstractNumId w:val="35"/>
  </w:num>
  <w:num w:numId="11" w16cid:durableId="479004023">
    <w:abstractNumId w:val="27"/>
  </w:num>
  <w:num w:numId="12" w16cid:durableId="1016271329">
    <w:abstractNumId w:val="5"/>
  </w:num>
  <w:num w:numId="13" w16cid:durableId="866216165">
    <w:abstractNumId w:val="14"/>
  </w:num>
  <w:num w:numId="14" w16cid:durableId="1267543741">
    <w:abstractNumId w:val="24"/>
  </w:num>
  <w:num w:numId="15" w16cid:durableId="1739085448">
    <w:abstractNumId w:val="7"/>
  </w:num>
  <w:num w:numId="16" w16cid:durableId="1093697015">
    <w:abstractNumId w:val="18"/>
  </w:num>
  <w:num w:numId="17" w16cid:durableId="1491866130">
    <w:abstractNumId w:val="31"/>
  </w:num>
  <w:num w:numId="18" w16cid:durableId="1475023700">
    <w:abstractNumId w:val="9"/>
  </w:num>
  <w:num w:numId="19" w16cid:durableId="338310241">
    <w:abstractNumId w:val="25"/>
  </w:num>
  <w:num w:numId="20" w16cid:durableId="2041933484">
    <w:abstractNumId w:val="11"/>
  </w:num>
  <w:num w:numId="21" w16cid:durableId="1245265077">
    <w:abstractNumId w:val="29"/>
  </w:num>
  <w:num w:numId="22" w16cid:durableId="1043747953">
    <w:abstractNumId w:val="26"/>
  </w:num>
  <w:num w:numId="23" w16cid:durableId="1194685409">
    <w:abstractNumId w:val="6"/>
  </w:num>
  <w:num w:numId="24" w16cid:durableId="1210342084">
    <w:abstractNumId w:val="3"/>
  </w:num>
  <w:num w:numId="25" w16cid:durableId="1498768276">
    <w:abstractNumId w:val="21"/>
  </w:num>
  <w:num w:numId="26" w16cid:durableId="529758522">
    <w:abstractNumId w:val="32"/>
  </w:num>
  <w:num w:numId="27" w16cid:durableId="313074721">
    <w:abstractNumId w:val="20"/>
  </w:num>
  <w:num w:numId="28" w16cid:durableId="1499880547">
    <w:abstractNumId w:val="39"/>
  </w:num>
  <w:num w:numId="29" w16cid:durableId="723680820">
    <w:abstractNumId w:val="16"/>
  </w:num>
  <w:num w:numId="30" w16cid:durableId="1136951147">
    <w:abstractNumId w:val="34"/>
  </w:num>
  <w:num w:numId="31" w16cid:durableId="1698118508">
    <w:abstractNumId w:val="33"/>
  </w:num>
  <w:num w:numId="32" w16cid:durableId="606814832">
    <w:abstractNumId w:val="28"/>
  </w:num>
  <w:num w:numId="33" w16cid:durableId="2075004903">
    <w:abstractNumId w:val="4"/>
  </w:num>
  <w:num w:numId="34" w16cid:durableId="1588074050">
    <w:abstractNumId w:val="2"/>
  </w:num>
  <w:num w:numId="35" w16cid:durableId="683703623">
    <w:abstractNumId w:val="17"/>
  </w:num>
  <w:num w:numId="36" w16cid:durableId="685786072">
    <w:abstractNumId w:val="38"/>
  </w:num>
  <w:num w:numId="37" w16cid:durableId="1159270722">
    <w:abstractNumId w:val="22"/>
  </w:num>
  <w:num w:numId="38" w16cid:durableId="973221308">
    <w:abstractNumId w:val="13"/>
  </w:num>
  <w:num w:numId="39" w16cid:durableId="1225483846">
    <w:abstractNumId w:val="10"/>
  </w:num>
  <w:num w:numId="40" w16cid:durableId="1058936308">
    <w:abstractNumId w:val="3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llerin, Suzanne (CSB)">
    <w15:presenceInfo w15:providerId="AD" w15:userId="S::SPELLERI@tbs-sct.gc.ca::9960b3cd-44d1-4836-9297-c1f128f5255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DA"/>
    <w:rsid w:val="0000070B"/>
    <w:rsid w:val="000022F3"/>
    <w:rsid w:val="000035FF"/>
    <w:rsid w:val="00005931"/>
    <w:rsid w:val="00006795"/>
    <w:rsid w:val="00006A88"/>
    <w:rsid w:val="000117F2"/>
    <w:rsid w:val="000118CD"/>
    <w:rsid w:val="00015A3F"/>
    <w:rsid w:val="000171EF"/>
    <w:rsid w:val="000173F3"/>
    <w:rsid w:val="00025F7D"/>
    <w:rsid w:val="000265B6"/>
    <w:rsid w:val="0002683F"/>
    <w:rsid w:val="000401FF"/>
    <w:rsid w:val="00040692"/>
    <w:rsid w:val="00041A15"/>
    <w:rsid w:val="000438BD"/>
    <w:rsid w:val="000441A1"/>
    <w:rsid w:val="00051757"/>
    <w:rsid w:val="000528CB"/>
    <w:rsid w:val="000530AF"/>
    <w:rsid w:val="00061274"/>
    <w:rsid w:val="000628AB"/>
    <w:rsid w:val="00062D3A"/>
    <w:rsid w:val="000634C4"/>
    <w:rsid w:val="00063AA9"/>
    <w:rsid w:val="0007359E"/>
    <w:rsid w:val="000818F6"/>
    <w:rsid w:val="00083B98"/>
    <w:rsid w:val="000913B3"/>
    <w:rsid w:val="00091D6E"/>
    <w:rsid w:val="000931CA"/>
    <w:rsid w:val="00097548"/>
    <w:rsid w:val="000A1440"/>
    <w:rsid w:val="000A1645"/>
    <w:rsid w:val="000A1DAA"/>
    <w:rsid w:val="000A4950"/>
    <w:rsid w:val="000A4E58"/>
    <w:rsid w:val="000A684A"/>
    <w:rsid w:val="000B13BD"/>
    <w:rsid w:val="000B1EE7"/>
    <w:rsid w:val="000B50F5"/>
    <w:rsid w:val="000B5248"/>
    <w:rsid w:val="000C07AA"/>
    <w:rsid w:val="000C2D84"/>
    <w:rsid w:val="000C6E51"/>
    <w:rsid w:val="000D2086"/>
    <w:rsid w:val="000D67EF"/>
    <w:rsid w:val="000E12DB"/>
    <w:rsid w:val="000F0698"/>
    <w:rsid w:val="000F1A36"/>
    <w:rsid w:val="000F2DBF"/>
    <w:rsid w:val="000F796E"/>
    <w:rsid w:val="00100850"/>
    <w:rsid w:val="001140B1"/>
    <w:rsid w:val="00114E33"/>
    <w:rsid w:val="00114F65"/>
    <w:rsid w:val="0011519D"/>
    <w:rsid w:val="001167E0"/>
    <w:rsid w:val="00117FCD"/>
    <w:rsid w:val="00123BFC"/>
    <w:rsid w:val="00124032"/>
    <w:rsid w:val="001253B8"/>
    <w:rsid w:val="00125B55"/>
    <w:rsid w:val="00127F89"/>
    <w:rsid w:val="0013017E"/>
    <w:rsid w:val="001309DC"/>
    <w:rsid w:val="001331D8"/>
    <w:rsid w:val="00133B5A"/>
    <w:rsid w:val="00140BE7"/>
    <w:rsid w:val="00141CF0"/>
    <w:rsid w:val="00142328"/>
    <w:rsid w:val="00144600"/>
    <w:rsid w:val="0014795E"/>
    <w:rsid w:val="00152892"/>
    <w:rsid w:val="0015438F"/>
    <w:rsid w:val="00164437"/>
    <w:rsid w:val="00165F77"/>
    <w:rsid w:val="0017092F"/>
    <w:rsid w:val="001721CD"/>
    <w:rsid w:val="00177BD4"/>
    <w:rsid w:val="001827D5"/>
    <w:rsid w:val="00183386"/>
    <w:rsid w:val="0018519D"/>
    <w:rsid w:val="0018535F"/>
    <w:rsid w:val="0018671E"/>
    <w:rsid w:val="00186C9B"/>
    <w:rsid w:val="00186FE2"/>
    <w:rsid w:val="00187A73"/>
    <w:rsid w:val="00187CF0"/>
    <w:rsid w:val="00190077"/>
    <w:rsid w:val="00191988"/>
    <w:rsid w:val="00191E5D"/>
    <w:rsid w:val="00191EAC"/>
    <w:rsid w:val="0019509A"/>
    <w:rsid w:val="00196B4A"/>
    <w:rsid w:val="001A0AF7"/>
    <w:rsid w:val="001A0F20"/>
    <w:rsid w:val="001A1F15"/>
    <w:rsid w:val="001A2C81"/>
    <w:rsid w:val="001A3C4A"/>
    <w:rsid w:val="001A47E8"/>
    <w:rsid w:val="001A4A51"/>
    <w:rsid w:val="001A4DD6"/>
    <w:rsid w:val="001A6497"/>
    <w:rsid w:val="001B0628"/>
    <w:rsid w:val="001B2BBA"/>
    <w:rsid w:val="001B5453"/>
    <w:rsid w:val="001B5F83"/>
    <w:rsid w:val="001B78FE"/>
    <w:rsid w:val="001C5932"/>
    <w:rsid w:val="001D03A8"/>
    <w:rsid w:val="001D1D40"/>
    <w:rsid w:val="001D1FE8"/>
    <w:rsid w:val="001D44B7"/>
    <w:rsid w:val="001D6D84"/>
    <w:rsid w:val="001E034C"/>
    <w:rsid w:val="001E12E2"/>
    <w:rsid w:val="001E16E1"/>
    <w:rsid w:val="001E1D85"/>
    <w:rsid w:val="001E3B40"/>
    <w:rsid w:val="001E7E14"/>
    <w:rsid w:val="001F031D"/>
    <w:rsid w:val="001F2099"/>
    <w:rsid w:val="002004B9"/>
    <w:rsid w:val="00201B3B"/>
    <w:rsid w:val="002023F9"/>
    <w:rsid w:val="00205505"/>
    <w:rsid w:val="00210CE9"/>
    <w:rsid w:val="0021380C"/>
    <w:rsid w:val="002248ED"/>
    <w:rsid w:val="00234887"/>
    <w:rsid w:val="00234DF1"/>
    <w:rsid w:val="00235773"/>
    <w:rsid w:val="00235F60"/>
    <w:rsid w:val="00240D9A"/>
    <w:rsid w:val="00241DF7"/>
    <w:rsid w:val="00243889"/>
    <w:rsid w:val="0024670D"/>
    <w:rsid w:val="00247324"/>
    <w:rsid w:val="002504DC"/>
    <w:rsid w:val="00255464"/>
    <w:rsid w:val="00256C94"/>
    <w:rsid w:val="00265202"/>
    <w:rsid w:val="0026546F"/>
    <w:rsid w:val="0026584F"/>
    <w:rsid w:val="00267509"/>
    <w:rsid w:val="0027250D"/>
    <w:rsid w:val="00273F76"/>
    <w:rsid w:val="00276A6C"/>
    <w:rsid w:val="0027753C"/>
    <w:rsid w:val="00281E40"/>
    <w:rsid w:val="002910C7"/>
    <w:rsid w:val="0029164A"/>
    <w:rsid w:val="00292D3D"/>
    <w:rsid w:val="00294027"/>
    <w:rsid w:val="002971D3"/>
    <w:rsid w:val="00297C9D"/>
    <w:rsid w:val="002A09C5"/>
    <w:rsid w:val="002A1737"/>
    <w:rsid w:val="002A1869"/>
    <w:rsid w:val="002A5413"/>
    <w:rsid w:val="002A5BE2"/>
    <w:rsid w:val="002A5CE8"/>
    <w:rsid w:val="002B0E0A"/>
    <w:rsid w:val="002B152B"/>
    <w:rsid w:val="002B2C9B"/>
    <w:rsid w:val="002B2DED"/>
    <w:rsid w:val="002C04DC"/>
    <w:rsid w:val="002C06AA"/>
    <w:rsid w:val="002C14E0"/>
    <w:rsid w:val="002C1C8E"/>
    <w:rsid w:val="002C1F9C"/>
    <w:rsid w:val="002C33B4"/>
    <w:rsid w:val="002C383C"/>
    <w:rsid w:val="002C49CA"/>
    <w:rsid w:val="002C62CA"/>
    <w:rsid w:val="002D17F6"/>
    <w:rsid w:val="002D4156"/>
    <w:rsid w:val="002D42DD"/>
    <w:rsid w:val="002D4D38"/>
    <w:rsid w:val="002E5EE2"/>
    <w:rsid w:val="002F7E8E"/>
    <w:rsid w:val="00302288"/>
    <w:rsid w:val="0030290E"/>
    <w:rsid w:val="0030301E"/>
    <w:rsid w:val="00303456"/>
    <w:rsid w:val="00307B06"/>
    <w:rsid w:val="00310BFA"/>
    <w:rsid w:val="00316723"/>
    <w:rsid w:val="00317ED9"/>
    <w:rsid w:val="00323AAD"/>
    <w:rsid w:val="00325413"/>
    <w:rsid w:val="003273F3"/>
    <w:rsid w:val="00330543"/>
    <w:rsid w:val="00330D02"/>
    <w:rsid w:val="00330DD9"/>
    <w:rsid w:val="00330EA2"/>
    <w:rsid w:val="003311FE"/>
    <w:rsid w:val="0033645D"/>
    <w:rsid w:val="00342532"/>
    <w:rsid w:val="003435CF"/>
    <w:rsid w:val="003447E4"/>
    <w:rsid w:val="003450CF"/>
    <w:rsid w:val="00345657"/>
    <w:rsid w:val="00350327"/>
    <w:rsid w:val="003505C2"/>
    <w:rsid w:val="00352090"/>
    <w:rsid w:val="00361A34"/>
    <w:rsid w:val="0036729D"/>
    <w:rsid w:val="00370BB6"/>
    <w:rsid w:val="00371FC3"/>
    <w:rsid w:val="00372ACD"/>
    <w:rsid w:val="003752CC"/>
    <w:rsid w:val="00375AFA"/>
    <w:rsid w:val="003773D7"/>
    <w:rsid w:val="003873D8"/>
    <w:rsid w:val="003918B7"/>
    <w:rsid w:val="00393FDB"/>
    <w:rsid w:val="003947BB"/>
    <w:rsid w:val="00396176"/>
    <w:rsid w:val="003A19FC"/>
    <w:rsid w:val="003A225E"/>
    <w:rsid w:val="003A4451"/>
    <w:rsid w:val="003A65B4"/>
    <w:rsid w:val="003A67B5"/>
    <w:rsid w:val="003A7ECF"/>
    <w:rsid w:val="003B0477"/>
    <w:rsid w:val="003B494F"/>
    <w:rsid w:val="003B6D68"/>
    <w:rsid w:val="003C3B9F"/>
    <w:rsid w:val="003C5387"/>
    <w:rsid w:val="003D07C4"/>
    <w:rsid w:val="003D2C27"/>
    <w:rsid w:val="003D3A0E"/>
    <w:rsid w:val="003D4985"/>
    <w:rsid w:val="003E2555"/>
    <w:rsid w:val="003E266F"/>
    <w:rsid w:val="003F1B64"/>
    <w:rsid w:val="003F1C2A"/>
    <w:rsid w:val="003F2635"/>
    <w:rsid w:val="003F4EFE"/>
    <w:rsid w:val="003F600E"/>
    <w:rsid w:val="003F64EC"/>
    <w:rsid w:val="003F6C56"/>
    <w:rsid w:val="003F7E4C"/>
    <w:rsid w:val="004053CF"/>
    <w:rsid w:val="004055ED"/>
    <w:rsid w:val="00405FDA"/>
    <w:rsid w:val="00406E94"/>
    <w:rsid w:val="004106F8"/>
    <w:rsid w:val="00411BD6"/>
    <w:rsid w:val="00411D10"/>
    <w:rsid w:val="004133E3"/>
    <w:rsid w:val="00415B6A"/>
    <w:rsid w:val="004163E8"/>
    <w:rsid w:val="004169CB"/>
    <w:rsid w:val="00417CDE"/>
    <w:rsid w:val="004206E0"/>
    <w:rsid w:val="004216BC"/>
    <w:rsid w:val="00423DE5"/>
    <w:rsid w:val="00424EA2"/>
    <w:rsid w:val="00424FCF"/>
    <w:rsid w:val="00425D3E"/>
    <w:rsid w:val="004270B7"/>
    <w:rsid w:val="00427BDC"/>
    <w:rsid w:val="004311E3"/>
    <w:rsid w:val="004318B8"/>
    <w:rsid w:val="00432094"/>
    <w:rsid w:val="00433BA1"/>
    <w:rsid w:val="00433D33"/>
    <w:rsid w:val="004349BF"/>
    <w:rsid w:val="00434FD9"/>
    <w:rsid w:val="00437EB5"/>
    <w:rsid w:val="0044675E"/>
    <w:rsid w:val="00453B4A"/>
    <w:rsid w:val="004575D2"/>
    <w:rsid w:val="00461122"/>
    <w:rsid w:val="00466795"/>
    <w:rsid w:val="00467AA4"/>
    <w:rsid w:val="00470FB1"/>
    <w:rsid w:val="00476EB8"/>
    <w:rsid w:val="004822C9"/>
    <w:rsid w:val="004823AF"/>
    <w:rsid w:val="00486B7E"/>
    <w:rsid w:val="00492D07"/>
    <w:rsid w:val="00492D48"/>
    <w:rsid w:val="00493821"/>
    <w:rsid w:val="00493F03"/>
    <w:rsid w:val="00495DB2"/>
    <w:rsid w:val="004A0F37"/>
    <w:rsid w:val="004A3225"/>
    <w:rsid w:val="004A7A53"/>
    <w:rsid w:val="004A7CE1"/>
    <w:rsid w:val="004B2B6A"/>
    <w:rsid w:val="004C02F4"/>
    <w:rsid w:val="004C0F60"/>
    <w:rsid w:val="004C10EE"/>
    <w:rsid w:val="004C4813"/>
    <w:rsid w:val="004C4F46"/>
    <w:rsid w:val="004C6229"/>
    <w:rsid w:val="004C7ECA"/>
    <w:rsid w:val="004D3652"/>
    <w:rsid w:val="004D3F6E"/>
    <w:rsid w:val="004D629D"/>
    <w:rsid w:val="004D66A5"/>
    <w:rsid w:val="004E2CFE"/>
    <w:rsid w:val="004E36B7"/>
    <w:rsid w:val="004E651E"/>
    <w:rsid w:val="004F26F7"/>
    <w:rsid w:val="004F6460"/>
    <w:rsid w:val="004F720D"/>
    <w:rsid w:val="004F7AB3"/>
    <w:rsid w:val="00504BBA"/>
    <w:rsid w:val="00505D5D"/>
    <w:rsid w:val="00507129"/>
    <w:rsid w:val="00507239"/>
    <w:rsid w:val="00510A05"/>
    <w:rsid w:val="0051339D"/>
    <w:rsid w:val="0051385A"/>
    <w:rsid w:val="00513C11"/>
    <w:rsid w:val="00516E87"/>
    <w:rsid w:val="005178FC"/>
    <w:rsid w:val="00522026"/>
    <w:rsid w:val="0052311F"/>
    <w:rsid w:val="00523C5D"/>
    <w:rsid w:val="00523F5E"/>
    <w:rsid w:val="00526751"/>
    <w:rsid w:val="00527555"/>
    <w:rsid w:val="00535203"/>
    <w:rsid w:val="0053635A"/>
    <w:rsid w:val="00536A77"/>
    <w:rsid w:val="005376F7"/>
    <w:rsid w:val="00540D11"/>
    <w:rsid w:val="00542014"/>
    <w:rsid w:val="00550E85"/>
    <w:rsid w:val="00551BD0"/>
    <w:rsid w:val="00553C20"/>
    <w:rsid w:val="0055438E"/>
    <w:rsid w:val="00554598"/>
    <w:rsid w:val="0056038B"/>
    <w:rsid w:val="00560EFC"/>
    <w:rsid w:val="005610E5"/>
    <w:rsid w:val="0056374C"/>
    <w:rsid w:val="00566134"/>
    <w:rsid w:val="00570404"/>
    <w:rsid w:val="005706BE"/>
    <w:rsid w:val="005714BD"/>
    <w:rsid w:val="00571953"/>
    <w:rsid w:val="0057650A"/>
    <w:rsid w:val="005831C3"/>
    <w:rsid w:val="00583439"/>
    <w:rsid w:val="00583D1F"/>
    <w:rsid w:val="00584F51"/>
    <w:rsid w:val="005851F7"/>
    <w:rsid w:val="005879AB"/>
    <w:rsid w:val="00590465"/>
    <w:rsid w:val="0059052D"/>
    <w:rsid w:val="00591037"/>
    <w:rsid w:val="0059159A"/>
    <w:rsid w:val="00591CBD"/>
    <w:rsid w:val="00597641"/>
    <w:rsid w:val="0059772C"/>
    <w:rsid w:val="005B3C9C"/>
    <w:rsid w:val="005B4E27"/>
    <w:rsid w:val="005B6C29"/>
    <w:rsid w:val="005B71FF"/>
    <w:rsid w:val="005C0CB7"/>
    <w:rsid w:val="005C4CB3"/>
    <w:rsid w:val="005C7271"/>
    <w:rsid w:val="005D2904"/>
    <w:rsid w:val="005D3216"/>
    <w:rsid w:val="005D4DC6"/>
    <w:rsid w:val="005D4F31"/>
    <w:rsid w:val="005D5574"/>
    <w:rsid w:val="005D7360"/>
    <w:rsid w:val="005E0B27"/>
    <w:rsid w:val="005E10ED"/>
    <w:rsid w:val="005E26B0"/>
    <w:rsid w:val="005E3753"/>
    <w:rsid w:val="005E3AF2"/>
    <w:rsid w:val="005E7228"/>
    <w:rsid w:val="005F4693"/>
    <w:rsid w:val="005F4DCB"/>
    <w:rsid w:val="005F6685"/>
    <w:rsid w:val="005F7007"/>
    <w:rsid w:val="0060028E"/>
    <w:rsid w:val="006062EA"/>
    <w:rsid w:val="0061375C"/>
    <w:rsid w:val="006137DA"/>
    <w:rsid w:val="00613E36"/>
    <w:rsid w:val="00613F6E"/>
    <w:rsid w:val="00614476"/>
    <w:rsid w:val="00616176"/>
    <w:rsid w:val="0062532F"/>
    <w:rsid w:val="006276DD"/>
    <w:rsid w:val="006315BB"/>
    <w:rsid w:val="0063313C"/>
    <w:rsid w:val="00636512"/>
    <w:rsid w:val="00637594"/>
    <w:rsid w:val="0064057E"/>
    <w:rsid w:val="006428C8"/>
    <w:rsid w:val="00643563"/>
    <w:rsid w:val="00644E3C"/>
    <w:rsid w:val="006465AB"/>
    <w:rsid w:val="00647C63"/>
    <w:rsid w:val="00651FEA"/>
    <w:rsid w:val="006537AC"/>
    <w:rsid w:val="00653C54"/>
    <w:rsid w:val="00654409"/>
    <w:rsid w:val="006561EB"/>
    <w:rsid w:val="00666A25"/>
    <w:rsid w:val="00667D8E"/>
    <w:rsid w:val="00670926"/>
    <w:rsid w:val="0067459D"/>
    <w:rsid w:val="006752D9"/>
    <w:rsid w:val="006800A1"/>
    <w:rsid w:val="00681F2D"/>
    <w:rsid w:val="0068319C"/>
    <w:rsid w:val="0068365A"/>
    <w:rsid w:val="00685B11"/>
    <w:rsid w:val="00690A12"/>
    <w:rsid w:val="0069430C"/>
    <w:rsid w:val="00697721"/>
    <w:rsid w:val="006A0B20"/>
    <w:rsid w:val="006A2E5B"/>
    <w:rsid w:val="006B1A0B"/>
    <w:rsid w:val="006B4CE7"/>
    <w:rsid w:val="006B79F0"/>
    <w:rsid w:val="006C3A5F"/>
    <w:rsid w:val="006C5169"/>
    <w:rsid w:val="006C598A"/>
    <w:rsid w:val="006C79CF"/>
    <w:rsid w:val="006D5EF0"/>
    <w:rsid w:val="006D61BE"/>
    <w:rsid w:val="006D7F43"/>
    <w:rsid w:val="006E07DF"/>
    <w:rsid w:val="006E38E6"/>
    <w:rsid w:val="006E4B4E"/>
    <w:rsid w:val="006E6290"/>
    <w:rsid w:val="006F12D2"/>
    <w:rsid w:val="006F2A6C"/>
    <w:rsid w:val="006F4D69"/>
    <w:rsid w:val="00701DCB"/>
    <w:rsid w:val="00701FB2"/>
    <w:rsid w:val="00702F86"/>
    <w:rsid w:val="007114A2"/>
    <w:rsid w:val="0071462D"/>
    <w:rsid w:val="0072149F"/>
    <w:rsid w:val="007223BA"/>
    <w:rsid w:val="00722E6D"/>
    <w:rsid w:val="00732D91"/>
    <w:rsid w:val="00732E61"/>
    <w:rsid w:val="007353B2"/>
    <w:rsid w:val="00736F15"/>
    <w:rsid w:val="00737B62"/>
    <w:rsid w:val="007529D4"/>
    <w:rsid w:val="00754206"/>
    <w:rsid w:val="00757217"/>
    <w:rsid w:val="00757F46"/>
    <w:rsid w:val="00760E98"/>
    <w:rsid w:val="007622C2"/>
    <w:rsid w:val="0076431F"/>
    <w:rsid w:val="007711DA"/>
    <w:rsid w:val="00771FF7"/>
    <w:rsid w:val="00772886"/>
    <w:rsid w:val="00773503"/>
    <w:rsid w:val="00773D4B"/>
    <w:rsid w:val="00774F02"/>
    <w:rsid w:val="00775F5F"/>
    <w:rsid w:val="007803FE"/>
    <w:rsid w:val="007804CD"/>
    <w:rsid w:val="00781275"/>
    <w:rsid w:val="00783E2F"/>
    <w:rsid w:val="007849A6"/>
    <w:rsid w:val="0078560A"/>
    <w:rsid w:val="00786412"/>
    <w:rsid w:val="00787CB4"/>
    <w:rsid w:val="00790029"/>
    <w:rsid w:val="007916A9"/>
    <w:rsid w:val="00791CAB"/>
    <w:rsid w:val="00791E59"/>
    <w:rsid w:val="00797493"/>
    <w:rsid w:val="00797CFD"/>
    <w:rsid w:val="007A0D82"/>
    <w:rsid w:val="007A1B48"/>
    <w:rsid w:val="007A2B72"/>
    <w:rsid w:val="007A53C9"/>
    <w:rsid w:val="007B00CD"/>
    <w:rsid w:val="007B1101"/>
    <w:rsid w:val="007B1429"/>
    <w:rsid w:val="007B27C9"/>
    <w:rsid w:val="007B7108"/>
    <w:rsid w:val="007C1034"/>
    <w:rsid w:val="007C1161"/>
    <w:rsid w:val="007C2065"/>
    <w:rsid w:val="007C4793"/>
    <w:rsid w:val="007C7A5F"/>
    <w:rsid w:val="007D009F"/>
    <w:rsid w:val="007D0E31"/>
    <w:rsid w:val="007D1035"/>
    <w:rsid w:val="007E1652"/>
    <w:rsid w:val="007E5828"/>
    <w:rsid w:val="007F03EA"/>
    <w:rsid w:val="007F0581"/>
    <w:rsid w:val="007F2A58"/>
    <w:rsid w:val="007F3E8A"/>
    <w:rsid w:val="007F4FD0"/>
    <w:rsid w:val="007F7AC4"/>
    <w:rsid w:val="008015CF"/>
    <w:rsid w:val="00804527"/>
    <w:rsid w:val="00805E16"/>
    <w:rsid w:val="00806D06"/>
    <w:rsid w:val="008105D7"/>
    <w:rsid w:val="008138CA"/>
    <w:rsid w:val="00814EFF"/>
    <w:rsid w:val="00816AF5"/>
    <w:rsid w:val="00816BEF"/>
    <w:rsid w:val="00821023"/>
    <w:rsid w:val="00823A0D"/>
    <w:rsid w:val="00823E94"/>
    <w:rsid w:val="00827BD1"/>
    <w:rsid w:val="00830614"/>
    <w:rsid w:val="008334C2"/>
    <w:rsid w:val="00833A15"/>
    <w:rsid w:val="0084002F"/>
    <w:rsid w:val="00840F92"/>
    <w:rsid w:val="00841DE8"/>
    <w:rsid w:val="008430E7"/>
    <w:rsid w:val="008553FB"/>
    <w:rsid w:val="00857269"/>
    <w:rsid w:val="00860936"/>
    <w:rsid w:val="0086406B"/>
    <w:rsid w:val="008670D0"/>
    <w:rsid w:val="00871931"/>
    <w:rsid w:val="0087417D"/>
    <w:rsid w:val="0087429D"/>
    <w:rsid w:val="0087431F"/>
    <w:rsid w:val="00874937"/>
    <w:rsid w:val="00875740"/>
    <w:rsid w:val="00876C7E"/>
    <w:rsid w:val="00881054"/>
    <w:rsid w:val="008823B8"/>
    <w:rsid w:val="00883C1C"/>
    <w:rsid w:val="00890073"/>
    <w:rsid w:val="00891080"/>
    <w:rsid w:val="00891238"/>
    <w:rsid w:val="00893F58"/>
    <w:rsid w:val="008A0D9E"/>
    <w:rsid w:val="008A2DF4"/>
    <w:rsid w:val="008A46B9"/>
    <w:rsid w:val="008A4C45"/>
    <w:rsid w:val="008A5AD7"/>
    <w:rsid w:val="008A60FA"/>
    <w:rsid w:val="008A6165"/>
    <w:rsid w:val="008A6216"/>
    <w:rsid w:val="008A7713"/>
    <w:rsid w:val="008B26E9"/>
    <w:rsid w:val="008B26FD"/>
    <w:rsid w:val="008B3A14"/>
    <w:rsid w:val="008B3E67"/>
    <w:rsid w:val="008B5735"/>
    <w:rsid w:val="008C3DF4"/>
    <w:rsid w:val="008C3FAE"/>
    <w:rsid w:val="008C5FFA"/>
    <w:rsid w:val="008D47BF"/>
    <w:rsid w:val="008E25E5"/>
    <w:rsid w:val="008E362D"/>
    <w:rsid w:val="008E6A85"/>
    <w:rsid w:val="008F09A7"/>
    <w:rsid w:val="008F5E29"/>
    <w:rsid w:val="008F6504"/>
    <w:rsid w:val="008F76EB"/>
    <w:rsid w:val="008F7987"/>
    <w:rsid w:val="00902409"/>
    <w:rsid w:val="00903EB3"/>
    <w:rsid w:val="00905AF8"/>
    <w:rsid w:val="00912B91"/>
    <w:rsid w:val="00914150"/>
    <w:rsid w:val="009147E3"/>
    <w:rsid w:val="00914E1E"/>
    <w:rsid w:val="00920343"/>
    <w:rsid w:val="0092046D"/>
    <w:rsid w:val="0092130F"/>
    <w:rsid w:val="009233B9"/>
    <w:rsid w:val="00926814"/>
    <w:rsid w:val="00936810"/>
    <w:rsid w:val="009413C7"/>
    <w:rsid w:val="00942212"/>
    <w:rsid w:val="00944528"/>
    <w:rsid w:val="009452FA"/>
    <w:rsid w:val="009458E4"/>
    <w:rsid w:val="00946C6F"/>
    <w:rsid w:val="009474F8"/>
    <w:rsid w:val="00952A8E"/>
    <w:rsid w:val="00953EC4"/>
    <w:rsid w:val="00954701"/>
    <w:rsid w:val="00954CED"/>
    <w:rsid w:val="00957832"/>
    <w:rsid w:val="0096283B"/>
    <w:rsid w:val="00962940"/>
    <w:rsid w:val="00962EDA"/>
    <w:rsid w:val="009647E5"/>
    <w:rsid w:val="00964F33"/>
    <w:rsid w:val="00966B2D"/>
    <w:rsid w:val="0097054A"/>
    <w:rsid w:val="00970D54"/>
    <w:rsid w:val="009719D9"/>
    <w:rsid w:val="009754B4"/>
    <w:rsid w:val="00975C3B"/>
    <w:rsid w:val="00977C62"/>
    <w:rsid w:val="009817E7"/>
    <w:rsid w:val="00986715"/>
    <w:rsid w:val="00986CEC"/>
    <w:rsid w:val="009874F5"/>
    <w:rsid w:val="00991304"/>
    <w:rsid w:val="00992102"/>
    <w:rsid w:val="009959E0"/>
    <w:rsid w:val="009A2387"/>
    <w:rsid w:val="009A3C9E"/>
    <w:rsid w:val="009B3F6D"/>
    <w:rsid w:val="009B4619"/>
    <w:rsid w:val="009C198B"/>
    <w:rsid w:val="009C1C59"/>
    <w:rsid w:val="009C3CD3"/>
    <w:rsid w:val="009C4C8E"/>
    <w:rsid w:val="009C75B0"/>
    <w:rsid w:val="009D66A0"/>
    <w:rsid w:val="009D78B9"/>
    <w:rsid w:val="009E17AD"/>
    <w:rsid w:val="009F1CAB"/>
    <w:rsid w:val="009F4681"/>
    <w:rsid w:val="009F4F20"/>
    <w:rsid w:val="00A01D72"/>
    <w:rsid w:val="00A0442D"/>
    <w:rsid w:val="00A101D0"/>
    <w:rsid w:val="00A125DF"/>
    <w:rsid w:val="00A13199"/>
    <w:rsid w:val="00A134F0"/>
    <w:rsid w:val="00A155C4"/>
    <w:rsid w:val="00A17E17"/>
    <w:rsid w:val="00A22C48"/>
    <w:rsid w:val="00A230E8"/>
    <w:rsid w:val="00A2367D"/>
    <w:rsid w:val="00A31CF9"/>
    <w:rsid w:val="00A32A67"/>
    <w:rsid w:val="00A3302E"/>
    <w:rsid w:val="00A34886"/>
    <w:rsid w:val="00A37ED5"/>
    <w:rsid w:val="00A41059"/>
    <w:rsid w:val="00A41BBA"/>
    <w:rsid w:val="00A4316E"/>
    <w:rsid w:val="00A450D1"/>
    <w:rsid w:val="00A45213"/>
    <w:rsid w:val="00A475D2"/>
    <w:rsid w:val="00A47F9D"/>
    <w:rsid w:val="00A51243"/>
    <w:rsid w:val="00A52AF9"/>
    <w:rsid w:val="00A55ECF"/>
    <w:rsid w:val="00A5699B"/>
    <w:rsid w:val="00A62A89"/>
    <w:rsid w:val="00A63D3C"/>
    <w:rsid w:val="00A64664"/>
    <w:rsid w:val="00A646DE"/>
    <w:rsid w:val="00A71A48"/>
    <w:rsid w:val="00A71E31"/>
    <w:rsid w:val="00A71FAA"/>
    <w:rsid w:val="00A731D1"/>
    <w:rsid w:val="00A73285"/>
    <w:rsid w:val="00A74E34"/>
    <w:rsid w:val="00A756DD"/>
    <w:rsid w:val="00A76B27"/>
    <w:rsid w:val="00A77A60"/>
    <w:rsid w:val="00A87FEA"/>
    <w:rsid w:val="00A9277E"/>
    <w:rsid w:val="00A94E60"/>
    <w:rsid w:val="00A958CE"/>
    <w:rsid w:val="00A95E42"/>
    <w:rsid w:val="00A9736F"/>
    <w:rsid w:val="00AA0F5B"/>
    <w:rsid w:val="00AA25BC"/>
    <w:rsid w:val="00AB0A46"/>
    <w:rsid w:val="00AB5286"/>
    <w:rsid w:val="00AB5ED3"/>
    <w:rsid w:val="00AB6E71"/>
    <w:rsid w:val="00AB7A63"/>
    <w:rsid w:val="00AC1B94"/>
    <w:rsid w:val="00AD1E01"/>
    <w:rsid w:val="00AD2A01"/>
    <w:rsid w:val="00AD3EE5"/>
    <w:rsid w:val="00AD5CDC"/>
    <w:rsid w:val="00AD63B8"/>
    <w:rsid w:val="00AD644C"/>
    <w:rsid w:val="00AE0B14"/>
    <w:rsid w:val="00AE3F65"/>
    <w:rsid w:val="00AE791F"/>
    <w:rsid w:val="00AE7920"/>
    <w:rsid w:val="00B011EE"/>
    <w:rsid w:val="00B028FC"/>
    <w:rsid w:val="00B04409"/>
    <w:rsid w:val="00B07EC6"/>
    <w:rsid w:val="00B128AB"/>
    <w:rsid w:val="00B12BEF"/>
    <w:rsid w:val="00B1449B"/>
    <w:rsid w:val="00B1542B"/>
    <w:rsid w:val="00B15690"/>
    <w:rsid w:val="00B15B48"/>
    <w:rsid w:val="00B2071C"/>
    <w:rsid w:val="00B266F8"/>
    <w:rsid w:val="00B2794C"/>
    <w:rsid w:val="00B30CC8"/>
    <w:rsid w:val="00B31CB8"/>
    <w:rsid w:val="00B34BC9"/>
    <w:rsid w:val="00B34C60"/>
    <w:rsid w:val="00B4147F"/>
    <w:rsid w:val="00B424E2"/>
    <w:rsid w:val="00B42F19"/>
    <w:rsid w:val="00B50320"/>
    <w:rsid w:val="00B555B0"/>
    <w:rsid w:val="00B56BC9"/>
    <w:rsid w:val="00B657A4"/>
    <w:rsid w:val="00B6592F"/>
    <w:rsid w:val="00B66660"/>
    <w:rsid w:val="00B67E41"/>
    <w:rsid w:val="00B730A0"/>
    <w:rsid w:val="00B76A69"/>
    <w:rsid w:val="00B76EB0"/>
    <w:rsid w:val="00B771D4"/>
    <w:rsid w:val="00B816E9"/>
    <w:rsid w:val="00B82C09"/>
    <w:rsid w:val="00B83E08"/>
    <w:rsid w:val="00B861BF"/>
    <w:rsid w:val="00B901F2"/>
    <w:rsid w:val="00B91619"/>
    <w:rsid w:val="00B91FA9"/>
    <w:rsid w:val="00B934EE"/>
    <w:rsid w:val="00B946BC"/>
    <w:rsid w:val="00B978E3"/>
    <w:rsid w:val="00BB140C"/>
    <w:rsid w:val="00BB3164"/>
    <w:rsid w:val="00BB3F36"/>
    <w:rsid w:val="00BB440D"/>
    <w:rsid w:val="00BB4978"/>
    <w:rsid w:val="00BB7047"/>
    <w:rsid w:val="00BC072F"/>
    <w:rsid w:val="00BC429C"/>
    <w:rsid w:val="00BC57A1"/>
    <w:rsid w:val="00BD04F6"/>
    <w:rsid w:val="00BD2B51"/>
    <w:rsid w:val="00BD4343"/>
    <w:rsid w:val="00BD4C1D"/>
    <w:rsid w:val="00BD7549"/>
    <w:rsid w:val="00BD7958"/>
    <w:rsid w:val="00BE336B"/>
    <w:rsid w:val="00BE59FB"/>
    <w:rsid w:val="00BE5E62"/>
    <w:rsid w:val="00BE6E30"/>
    <w:rsid w:val="00BF0A36"/>
    <w:rsid w:val="00BF2E7F"/>
    <w:rsid w:val="00BF4776"/>
    <w:rsid w:val="00C016BD"/>
    <w:rsid w:val="00C040D4"/>
    <w:rsid w:val="00C06240"/>
    <w:rsid w:val="00C111D6"/>
    <w:rsid w:val="00C11261"/>
    <w:rsid w:val="00C1149E"/>
    <w:rsid w:val="00C11A15"/>
    <w:rsid w:val="00C125C6"/>
    <w:rsid w:val="00C13D28"/>
    <w:rsid w:val="00C16412"/>
    <w:rsid w:val="00C202DD"/>
    <w:rsid w:val="00C273BE"/>
    <w:rsid w:val="00C27D97"/>
    <w:rsid w:val="00C308A7"/>
    <w:rsid w:val="00C31CDE"/>
    <w:rsid w:val="00C45796"/>
    <w:rsid w:val="00C46701"/>
    <w:rsid w:val="00C503C7"/>
    <w:rsid w:val="00C5160F"/>
    <w:rsid w:val="00C6360F"/>
    <w:rsid w:val="00C63F6D"/>
    <w:rsid w:val="00C65108"/>
    <w:rsid w:val="00C703F7"/>
    <w:rsid w:val="00C71B9E"/>
    <w:rsid w:val="00C71F16"/>
    <w:rsid w:val="00C74EE2"/>
    <w:rsid w:val="00C7682F"/>
    <w:rsid w:val="00C87B5D"/>
    <w:rsid w:val="00C957DA"/>
    <w:rsid w:val="00C97B4B"/>
    <w:rsid w:val="00CA035F"/>
    <w:rsid w:val="00CA08B0"/>
    <w:rsid w:val="00CA44D6"/>
    <w:rsid w:val="00CA734A"/>
    <w:rsid w:val="00CA7AFD"/>
    <w:rsid w:val="00CB1851"/>
    <w:rsid w:val="00CB3046"/>
    <w:rsid w:val="00CB3E2E"/>
    <w:rsid w:val="00CB4601"/>
    <w:rsid w:val="00CB4864"/>
    <w:rsid w:val="00CB67FC"/>
    <w:rsid w:val="00CB6C09"/>
    <w:rsid w:val="00CB717E"/>
    <w:rsid w:val="00CB797B"/>
    <w:rsid w:val="00CB7D1A"/>
    <w:rsid w:val="00CC0263"/>
    <w:rsid w:val="00CC30E8"/>
    <w:rsid w:val="00CC3706"/>
    <w:rsid w:val="00CC5B44"/>
    <w:rsid w:val="00CC6868"/>
    <w:rsid w:val="00CD1408"/>
    <w:rsid w:val="00CD19E6"/>
    <w:rsid w:val="00CD204E"/>
    <w:rsid w:val="00CD6050"/>
    <w:rsid w:val="00CD78C8"/>
    <w:rsid w:val="00CE14D3"/>
    <w:rsid w:val="00CE52C9"/>
    <w:rsid w:val="00CE6276"/>
    <w:rsid w:val="00CF2035"/>
    <w:rsid w:val="00CF2578"/>
    <w:rsid w:val="00CF2A62"/>
    <w:rsid w:val="00CF3F1F"/>
    <w:rsid w:val="00CF69BA"/>
    <w:rsid w:val="00D05192"/>
    <w:rsid w:val="00D07FBF"/>
    <w:rsid w:val="00D14090"/>
    <w:rsid w:val="00D149DE"/>
    <w:rsid w:val="00D15107"/>
    <w:rsid w:val="00D17A62"/>
    <w:rsid w:val="00D17EBD"/>
    <w:rsid w:val="00D2445E"/>
    <w:rsid w:val="00D260CD"/>
    <w:rsid w:val="00D272CE"/>
    <w:rsid w:val="00D30255"/>
    <w:rsid w:val="00D32649"/>
    <w:rsid w:val="00D356A1"/>
    <w:rsid w:val="00D3606A"/>
    <w:rsid w:val="00D37565"/>
    <w:rsid w:val="00D41812"/>
    <w:rsid w:val="00D424F9"/>
    <w:rsid w:val="00D43CB1"/>
    <w:rsid w:val="00D4611E"/>
    <w:rsid w:val="00D53D67"/>
    <w:rsid w:val="00D54115"/>
    <w:rsid w:val="00D63706"/>
    <w:rsid w:val="00D64CE0"/>
    <w:rsid w:val="00D67272"/>
    <w:rsid w:val="00D71B42"/>
    <w:rsid w:val="00D74EE3"/>
    <w:rsid w:val="00D75431"/>
    <w:rsid w:val="00D76162"/>
    <w:rsid w:val="00D8362F"/>
    <w:rsid w:val="00D865E6"/>
    <w:rsid w:val="00D87AD1"/>
    <w:rsid w:val="00D87C83"/>
    <w:rsid w:val="00D87F4D"/>
    <w:rsid w:val="00D90806"/>
    <w:rsid w:val="00D919E3"/>
    <w:rsid w:val="00D97296"/>
    <w:rsid w:val="00DA4B2C"/>
    <w:rsid w:val="00DA66E6"/>
    <w:rsid w:val="00DC027D"/>
    <w:rsid w:val="00DC133F"/>
    <w:rsid w:val="00DC1356"/>
    <w:rsid w:val="00DC232E"/>
    <w:rsid w:val="00DC2C78"/>
    <w:rsid w:val="00DC4BC7"/>
    <w:rsid w:val="00DC4DBA"/>
    <w:rsid w:val="00DC5257"/>
    <w:rsid w:val="00DC59CE"/>
    <w:rsid w:val="00DC59F8"/>
    <w:rsid w:val="00DC5DCE"/>
    <w:rsid w:val="00DD022E"/>
    <w:rsid w:val="00DD2503"/>
    <w:rsid w:val="00DD53A1"/>
    <w:rsid w:val="00DD5C30"/>
    <w:rsid w:val="00DD6230"/>
    <w:rsid w:val="00DE19B1"/>
    <w:rsid w:val="00DE27B2"/>
    <w:rsid w:val="00DE4685"/>
    <w:rsid w:val="00DE6704"/>
    <w:rsid w:val="00DE6D8B"/>
    <w:rsid w:val="00DE768C"/>
    <w:rsid w:val="00DF3408"/>
    <w:rsid w:val="00DF5421"/>
    <w:rsid w:val="00DF5984"/>
    <w:rsid w:val="00E008F5"/>
    <w:rsid w:val="00E00F92"/>
    <w:rsid w:val="00E01C3C"/>
    <w:rsid w:val="00E049BE"/>
    <w:rsid w:val="00E0602E"/>
    <w:rsid w:val="00E1547A"/>
    <w:rsid w:val="00E16A0C"/>
    <w:rsid w:val="00E16C6F"/>
    <w:rsid w:val="00E21643"/>
    <w:rsid w:val="00E224BA"/>
    <w:rsid w:val="00E22BB8"/>
    <w:rsid w:val="00E247A7"/>
    <w:rsid w:val="00E31A76"/>
    <w:rsid w:val="00E31E75"/>
    <w:rsid w:val="00E33234"/>
    <w:rsid w:val="00E342F8"/>
    <w:rsid w:val="00E442EF"/>
    <w:rsid w:val="00E52BF1"/>
    <w:rsid w:val="00E54ED0"/>
    <w:rsid w:val="00E568C2"/>
    <w:rsid w:val="00E64454"/>
    <w:rsid w:val="00E6468A"/>
    <w:rsid w:val="00E64D8E"/>
    <w:rsid w:val="00E70E54"/>
    <w:rsid w:val="00E71A46"/>
    <w:rsid w:val="00E77873"/>
    <w:rsid w:val="00E819D1"/>
    <w:rsid w:val="00E822C3"/>
    <w:rsid w:val="00E84CED"/>
    <w:rsid w:val="00E9164E"/>
    <w:rsid w:val="00E9350F"/>
    <w:rsid w:val="00E93764"/>
    <w:rsid w:val="00EA0E42"/>
    <w:rsid w:val="00EA0E71"/>
    <w:rsid w:val="00EA148A"/>
    <w:rsid w:val="00EA4CD7"/>
    <w:rsid w:val="00EA7754"/>
    <w:rsid w:val="00EB2B87"/>
    <w:rsid w:val="00EB2D72"/>
    <w:rsid w:val="00EB5ED5"/>
    <w:rsid w:val="00EC1FD1"/>
    <w:rsid w:val="00EC2B82"/>
    <w:rsid w:val="00EC43A2"/>
    <w:rsid w:val="00EC44A9"/>
    <w:rsid w:val="00ED02D2"/>
    <w:rsid w:val="00ED4296"/>
    <w:rsid w:val="00ED5303"/>
    <w:rsid w:val="00ED7950"/>
    <w:rsid w:val="00EE11C3"/>
    <w:rsid w:val="00EE6F99"/>
    <w:rsid w:val="00EF1D37"/>
    <w:rsid w:val="00EF43F5"/>
    <w:rsid w:val="00EF4B0D"/>
    <w:rsid w:val="00EF50D5"/>
    <w:rsid w:val="00EF724B"/>
    <w:rsid w:val="00EF7655"/>
    <w:rsid w:val="00F03649"/>
    <w:rsid w:val="00F0397A"/>
    <w:rsid w:val="00F03D4D"/>
    <w:rsid w:val="00F0695C"/>
    <w:rsid w:val="00F13729"/>
    <w:rsid w:val="00F152FD"/>
    <w:rsid w:val="00F15364"/>
    <w:rsid w:val="00F17203"/>
    <w:rsid w:val="00F2145B"/>
    <w:rsid w:val="00F222CA"/>
    <w:rsid w:val="00F24A5E"/>
    <w:rsid w:val="00F2535D"/>
    <w:rsid w:val="00F313C1"/>
    <w:rsid w:val="00F31D8D"/>
    <w:rsid w:val="00F346A6"/>
    <w:rsid w:val="00F34D64"/>
    <w:rsid w:val="00F35458"/>
    <w:rsid w:val="00F35652"/>
    <w:rsid w:val="00F36933"/>
    <w:rsid w:val="00F37093"/>
    <w:rsid w:val="00F45F10"/>
    <w:rsid w:val="00F460E3"/>
    <w:rsid w:val="00F528C2"/>
    <w:rsid w:val="00F6227E"/>
    <w:rsid w:val="00F66497"/>
    <w:rsid w:val="00F674E5"/>
    <w:rsid w:val="00F708C5"/>
    <w:rsid w:val="00F7246A"/>
    <w:rsid w:val="00F74F6E"/>
    <w:rsid w:val="00F765A8"/>
    <w:rsid w:val="00F805FD"/>
    <w:rsid w:val="00F80967"/>
    <w:rsid w:val="00F812D0"/>
    <w:rsid w:val="00F8465B"/>
    <w:rsid w:val="00F86960"/>
    <w:rsid w:val="00F86A5D"/>
    <w:rsid w:val="00F86D39"/>
    <w:rsid w:val="00F87BE0"/>
    <w:rsid w:val="00F90218"/>
    <w:rsid w:val="00F906A2"/>
    <w:rsid w:val="00F9277C"/>
    <w:rsid w:val="00F95F99"/>
    <w:rsid w:val="00F97D4F"/>
    <w:rsid w:val="00FA2E77"/>
    <w:rsid w:val="00FA2F22"/>
    <w:rsid w:val="00FA4B32"/>
    <w:rsid w:val="00FA4DD8"/>
    <w:rsid w:val="00FA64B5"/>
    <w:rsid w:val="00FB1AE6"/>
    <w:rsid w:val="00FB1F6D"/>
    <w:rsid w:val="00FB277F"/>
    <w:rsid w:val="00FB4EB5"/>
    <w:rsid w:val="00FB6D15"/>
    <w:rsid w:val="00FB768C"/>
    <w:rsid w:val="00FC065B"/>
    <w:rsid w:val="00FC16D4"/>
    <w:rsid w:val="00FC557F"/>
    <w:rsid w:val="00FD1E1C"/>
    <w:rsid w:val="00FD1FFF"/>
    <w:rsid w:val="00FD2140"/>
    <w:rsid w:val="00FE05C4"/>
    <w:rsid w:val="00FF0A94"/>
    <w:rsid w:val="00FF3690"/>
    <w:rsid w:val="00FF44CA"/>
    <w:rsid w:val="00FF514C"/>
    <w:rsid w:val="00FF69AA"/>
    <w:rsid w:val="00FF7DBF"/>
    <w:rsid w:val="2A3BC37A"/>
    <w:rsid w:val="7E375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48BD"/>
  <w15:docId w15:val="{DA848473-08DC-44CC-A013-14DE1E8BF6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1619"/>
  </w:style>
  <w:style w:type="paragraph" w:styleId="Heading1">
    <w:name w:val="heading 1"/>
    <w:basedOn w:val="Normal"/>
    <w:next w:val="Normal"/>
    <w:link w:val="Heading1Char"/>
    <w:uiPriority w:val="9"/>
    <w:qFormat/>
    <w:rsid w:val="004C10EE"/>
    <w:pPr>
      <w:keepNext/>
      <w:keepLines/>
      <w:numPr>
        <w:numId w:val="14"/>
      </w:numPr>
      <w:spacing w:after="0"/>
      <w:ind w:hanging="72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79AB"/>
    <w:pPr>
      <w:keepNext/>
      <w:keepLines/>
      <w:numPr>
        <w:numId w:val="15"/>
      </w:numPr>
      <w:spacing w:before="40" w:after="0"/>
      <w:ind w:hanging="72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79AB"/>
    <w:pPr>
      <w:keepNext/>
      <w:keepLines/>
      <w:numPr>
        <w:numId w:val="16"/>
      </w:numPr>
      <w:spacing w:before="40" w:after="0"/>
      <w:ind w:left="720" w:hanging="72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77BD4"/>
    <w:pPr>
      <w:keepNext/>
      <w:keepLines/>
      <w:tabs>
        <w:tab w:val="left" w:pos="9356"/>
      </w:tabs>
      <w:spacing w:before="40" w:after="0"/>
      <w:outlineLvl w:val="3"/>
    </w:pPr>
    <w:rPr>
      <w:rFonts w:asciiTheme="majorHAnsi" w:hAnsiTheme="majorHAnsi" w:eastAsiaTheme="majorEastAsia" w:cstheme="majorBidi"/>
      <w:iCs/>
      <w:color w:val="365F91" w:themeColor="accent1" w:themeShade="BF"/>
    </w:rPr>
  </w:style>
  <w:style w:type="paragraph" w:styleId="Heading5">
    <w:name w:val="heading 5"/>
    <w:basedOn w:val="Normal"/>
    <w:next w:val="Normal"/>
    <w:link w:val="Heading5Char"/>
    <w:uiPriority w:val="9"/>
    <w:unhideWhenUsed/>
    <w:qFormat/>
    <w:rsid w:val="002023F9"/>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A45213"/>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05FDA"/>
    <w:rPr>
      <w:rFonts w:ascii="Tahoma" w:hAnsi="Tahoma" w:cs="Tahoma"/>
      <w:sz w:val="16"/>
      <w:szCs w:val="16"/>
    </w:rPr>
  </w:style>
  <w:style w:type="character" w:styleId="Heading1Char" w:customStyle="1">
    <w:name w:val="Heading 1 Char"/>
    <w:basedOn w:val="DefaultParagraphFont"/>
    <w:link w:val="Heading1"/>
    <w:uiPriority w:val="9"/>
    <w:rsid w:val="004C10EE"/>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71462D"/>
    <w:pPr>
      <w:spacing w:line="259" w:lineRule="auto"/>
      <w:outlineLvl w:val="9"/>
    </w:pPr>
    <w:rPr>
      <w:lang w:val="en-US"/>
    </w:rPr>
  </w:style>
  <w:style w:type="character" w:styleId="Heading2Char" w:customStyle="1">
    <w:name w:val="Heading 2 Char"/>
    <w:basedOn w:val="DefaultParagraphFont"/>
    <w:link w:val="Heading2"/>
    <w:uiPriority w:val="9"/>
    <w:rsid w:val="005879AB"/>
    <w:rPr>
      <w:rFonts w:asciiTheme="majorHAnsi" w:hAnsiTheme="majorHAnsi" w:eastAsiaTheme="majorEastAsia" w:cstheme="majorBidi"/>
      <w:color w:val="365F91" w:themeColor="accent1" w:themeShade="BF"/>
      <w:sz w:val="26"/>
      <w:szCs w:val="26"/>
    </w:rPr>
  </w:style>
  <w:style w:type="paragraph" w:styleId="ListParagraph">
    <w:name w:val="List Paragraph"/>
    <w:basedOn w:val="Normal"/>
    <w:uiPriority w:val="34"/>
    <w:qFormat/>
    <w:rsid w:val="0071462D"/>
    <w:pPr>
      <w:ind w:left="720"/>
      <w:contextualSpacing/>
    </w:pPr>
  </w:style>
  <w:style w:type="table" w:styleId="TableGrid">
    <w:name w:val="Table Grid"/>
    <w:basedOn w:val="TableNormal"/>
    <w:uiPriority w:val="39"/>
    <w:rsid w:val="007146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5879AB"/>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rsid w:val="00177BD4"/>
    <w:rPr>
      <w:rFonts w:asciiTheme="majorHAnsi" w:hAnsiTheme="majorHAnsi" w:eastAsiaTheme="majorEastAsia" w:cstheme="majorBidi"/>
      <w:iCs/>
      <w:color w:val="365F91" w:themeColor="accent1" w:themeShade="BF"/>
    </w:rPr>
  </w:style>
  <w:style w:type="paragraph" w:styleId="TOC2">
    <w:name w:val="toc 2"/>
    <w:basedOn w:val="Normal"/>
    <w:next w:val="Normal"/>
    <w:autoRedefine/>
    <w:uiPriority w:val="39"/>
    <w:unhideWhenUsed/>
    <w:rsid w:val="00823E94"/>
    <w:pPr>
      <w:tabs>
        <w:tab w:val="left" w:pos="1080"/>
        <w:tab w:val="right" w:leader="dot" w:pos="9350"/>
      </w:tabs>
      <w:spacing w:after="100"/>
      <w:ind w:left="360"/>
    </w:pPr>
  </w:style>
  <w:style w:type="paragraph" w:styleId="TOC3">
    <w:name w:val="toc 3"/>
    <w:basedOn w:val="Normal"/>
    <w:next w:val="Normal"/>
    <w:autoRedefine/>
    <w:uiPriority w:val="39"/>
    <w:unhideWhenUsed/>
    <w:rsid w:val="00953EC4"/>
    <w:pPr>
      <w:tabs>
        <w:tab w:val="left" w:pos="1440"/>
        <w:tab w:val="right" w:leader="dot" w:pos="9350"/>
      </w:tabs>
      <w:spacing w:after="100"/>
      <w:ind w:left="720"/>
    </w:pPr>
  </w:style>
  <w:style w:type="character" w:styleId="Hyperlink">
    <w:name w:val="Hyperlink"/>
    <w:basedOn w:val="DefaultParagraphFont"/>
    <w:uiPriority w:val="99"/>
    <w:unhideWhenUsed/>
    <w:rsid w:val="003B0477"/>
    <w:rPr>
      <w:color w:val="0000FF" w:themeColor="hyperlink"/>
      <w:u w:val="single"/>
    </w:rPr>
  </w:style>
  <w:style w:type="character" w:styleId="Heading5Char" w:customStyle="1">
    <w:name w:val="Heading 5 Char"/>
    <w:basedOn w:val="DefaultParagraphFont"/>
    <w:link w:val="Heading5"/>
    <w:uiPriority w:val="9"/>
    <w:rsid w:val="002023F9"/>
    <w:rPr>
      <w:rFonts w:asciiTheme="majorHAnsi" w:hAnsiTheme="majorHAnsi" w:eastAsiaTheme="majorEastAsia" w:cstheme="majorBidi"/>
      <w:color w:val="365F91" w:themeColor="accent1" w:themeShade="BF"/>
    </w:rPr>
  </w:style>
  <w:style w:type="paragraph" w:styleId="TOC1">
    <w:name w:val="toc 1"/>
    <w:basedOn w:val="Normal"/>
    <w:next w:val="Normal"/>
    <w:autoRedefine/>
    <w:uiPriority w:val="39"/>
    <w:unhideWhenUsed/>
    <w:rsid w:val="006F12D2"/>
    <w:pPr>
      <w:tabs>
        <w:tab w:val="left" w:pos="720"/>
        <w:tab w:val="right" w:leader="dot" w:pos="9350"/>
      </w:tabs>
      <w:spacing w:after="100"/>
    </w:pPr>
  </w:style>
  <w:style w:type="character" w:styleId="CommentReference">
    <w:name w:val="annotation reference"/>
    <w:basedOn w:val="DefaultParagraphFont"/>
    <w:uiPriority w:val="99"/>
    <w:semiHidden/>
    <w:unhideWhenUsed/>
    <w:rsid w:val="00A31CF9"/>
    <w:rPr>
      <w:sz w:val="16"/>
      <w:szCs w:val="16"/>
    </w:rPr>
  </w:style>
  <w:style w:type="paragraph" w:styleId="CommentText">
    <w:name w:val="annotation text"/>
    <w:basedOn w:val="Normal"/>
    <w:link w:val="CommentTextChar"/>
    <w:uiPriority w:val="99"/>
    <w:unhideWhenUsed/>
    <w:rsid w:val="00A31CF9"/>
    <w:pPr>
      <w:spacing w:line="240" w:lineRule="auto"/>
    </w:pPr>
    <w:rPr>
      <w:sz w:val="20"/>
      <w:szCs w:val="20"/>
    </w:rPr>
  </w:style>
  <w:style w:type="character" w:styleId="CommentTextChar" w:customStyle="1">
    <w:name w:val="Comment Text Char"/>
    <w:basedOn w:val="DefaultParagraphFont"/>
    <w:link w:val="CommentText"/>
    <w:uiPriority w:val="99"/>
    <w:rsid w:val="00A31CF9"/>
    <w:rPr>
      <w:sz w:val="20"/>
      <w:szCs w:val="20"/>
    </w:rPr>
  </w:style>
  <w:style w:type="paragraph" w:styleId="CommentSubject">
    <w:name w:val="annotation subject"/>
    <w:basedOn w:val="CommentText"/>
    <w:next w:val="CommentText"/>
    <w:link w:val="CommentSubjectChar"/>
    <w:uiPriority w:val="99"/>
    <w:semiHidden/>
    <w:unhideWhenUsed/>
    <w:rsid w:val="00A31CF9"/>
    <w:rPr>
      <w:b/>
      <w:bCs/>
    </w:rPr>
  </w:style>
  <w:style w:type="character" w:styleId="CommentSubjectChar" w:customStyle="1">
    <w:name w:val="Comment Subject Char"/>
    <w:basedOn w:val="CommentTextChar"/>
    <w:link w:val="CommentSubject"/>
    <w:uiPriority w:val="99"/>
    <w:semiHidden/>
    <w:rsid w:val="00A31CF9"/>
    <w:rPr>
      <w:b/>
      <w:bCs/>
      <w:sz w:val="20"/>
      <w:szCs w:val="20"/>
    </w:rPr>
  </w:style>
  <w:style w:type="paragraph" w:styleId="Revision">
    <w:name w:val="Revision"/>
    <w:hidden/>
    <w:uiPriority w:val="99"/>
    <w:semiHidden/>
    <w:rsid w:val="00A31CF9"/>
    <w:pPr>
      <w:spacing w:after="0" w:line="240" w:lineRule="auto"/>
    </w:pPr>
  </w:style>
  <w:style w:type="character" w:styleId="Strong">
    <w:name w:val="Strong"/>
    <w:basedOn w:val="DefaultParagraphFont"/>
    <w:uiPriority w:val="22"/>
    <w:qFormat/>
    <w:rsid w:val="00954701"/>
    <w:rPr>
      <w:b/>
      <w:bCs/>
    </w:rPr>
  </w:style>
  <w:style w:type="paragraph" w:styleId="NormalWeb">
    <w:name w:val="Normal (Web)"/>
    <w:basedOn w:val="Normal"/>
    <w:uiPriority w:val="99"/>
    <w:semiHidden/>
    <w:unhideWhenUsed/>
    <w:rsid w:val="00954701"/>
    <w:pPr>
      <w:spacing w:after="173" w:line="240" w:lineRule="auto"/>
    </w:pPr>
    <w:rPr>
      <w:rFonts w:ascii="Times New Roman" w:hAnsi="Times New Roman" w:eastAsia="Times New Roman" w:cs="Times New Roman"/>
      <w:sz w:val="24"/>
      <w:szCs w:val="24"/>
      <w:lang w:eastAsia="en-CA"/>
    </w:rPr>
  </w:style>
  <w:style w:type="character" w:styleId="FollowedHyperlink">
    <w:name w:val="FollowedHyperlink"/>
    <w:basedOn w:val="DefaultParagraphFont"/>
    <w:uiPriority w:val="99"/>
    <w:semiHidden/>
    <w:unhideWhenUsed/>
    <w:rsid w:val="004D3F6E"/>
    <w:rPr>
      <w:color w:val="800080" w:themeColor="followedHyperlink"/>
      <w:u w:val="single"/>
    </w:rPr>
  </w:style>
  <w:style w:type="paragraph" w:styleId="FootnoteText">
    <w:name w:val="footnote text"/>
    <w:basedOn w:val="Normal"/>
    <w:link w:val="FootnoteTextChar"/>
    <w:uiPriority w:val="99"/>
    <w:semiHidden/>
    <w:unhideWhenUsed/>
    <w:rsid w:val="00C111D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111D6"/>
    <w:rPr>
      <w:sz w:val="20"/>
      <w:szCs w:val="20"/>
    </w:rPr>
  </w:style>
  <w:style w:type="character" w:styleId="FootnoteReference">
    <w:name w:val="footnote reference"/>
    <w:basedOn w:val="DefaultParagraphFont"/>
    <w:uiPriority w:val="99"/>
    <w:semiHidden/>
    <w:unhideWhenUsed/>
    <w:rsid w:val="00C111D6"/>
    <w:rPr>
      <w:vertAlign w:val="superscript"/>
    </w:rPr>
  </w:style>
  <w:style w:type="paragraph" w:styleId="Caption">
    <w:name w:val="caption"/>
    <w:basedOn w:val="Normal"/>
    <w:next w:val="Normal"/>
    <w:uiPriority w:val="35"/>
    <w:unhideWhenUsed/>
    <w:qFormat/>
    <w:rsid w:val="007E1652"/>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D356A1"/>
    <w:pPr>
      <w:spacing w:after="0" w:line="240" w:lineRule="auto"/>
    </w:pPr>
    <w:rPr>
      <w:sz w:val="20"/>
      <w:szCs w:val="20"/>
    </w:rPr>
  </w:style>
  <w:style w:type="character" w:styleId="EndnoteTextChar" w:customStyle="1">
    <w:name w:val="Endnote Text Char"/>
    <w:basedOn w:val="DefaultParagraphFont"/>
    <w:link w:val="EndnoteText"/>
    <w:uiPriority w:val="99"/>
    <w:semiHidden/>
    <w:rsid w:val="00D356A1"/>
    <w:rPr>
      <w:sz w:val="20"/>
      <w:szCs w:val="20"/>
    </w:rPr>
  </w:style>
  <w:style w:type="character" w:styleId="EndnoteReference">
    <w:name w:val="endnote reference"/>
    <w:basedOn w:val="DefaultParagraphFont"/>
    <w:uiPriority w:val="99"/>
    <w:semiHidden/>
    <w:unhideWhenUsed/>
    <w:rsid w:val="00D356A1"/>
    <w:rPr>
      <w:vertAlign w:val="superscript"/>
    </w:rPr>
  </w:style>
  <w:style w:type="character" w:styleId="Heading6Char" w:customStyle="1">
    <w:name w:val="Heading 6 Char"/>
    <w:basedOn w:val="DefaultParagraphFont"/>
    <w:link w:val="Heading6"/>
    <w:uiPriority w:val="9"/>
    <w:semiHidden/>
    <w:rsid w:val="00A45213"/>
    <w:rPr>
      <w:rFonts w:asciiTheme="majorHAnsi" w:hAnsiTheme="majorHAnsi" w:eastAsiaTheme="majorEastAsia" w:cstheme="majorBidi"/>
      <w:color w:val="243F60" w:themeColor="accent1" w:themeShade="7F"/>
    </w:rPr>
  </w:style>
  <w:style w:type="paragraph" w:styleId="Title">
    <w:name w:val="Title"/>
    <w:aliases w:val="Table Title"/>
    <w:next w:val="Normal"/>
    <w:link w:val="TitleChar"/>
    <w:uiPriority w:val="10"/>
    <w:qFormat/>
    <w:rsid w:val="00A45213"/>
    <w:pPr>
      <w:keepNext/>
      <w:keepLines/>
      <w:spacing w:before="400" w:line="240" w:lineRule="auto"/>
    </w:pPr>
    <w:rPr>
      <w:rFonts w:ascii="Arial" w:hAnsi="Arial"/>
      <w:b/>
      <w:sz w:val="20"/>
      <w:lang w:val="fr-CA"/>
    </w:rPr>
  </w:style>
  <w:style w:type="character" w:styleId="TitleChar" w:customStyle="1">
    <w:name w:val="Title Char"/>
    <w:aliases w:val="Table Title Char"/>
    <w:basedOn w:val="DefaultParagraphFont"/>
    <w:link w:val="Title"/>
    <w:uiPriority w:val="10"/>
    <w:rsid w:val="00A45213"/>
    <w:rPr>
      <w:rFonts w:ascii="Arial" w:hAnsi="Arial"/>
      <w:b/>
      <w:sz w:val="20"/>
      <w:lang w:val="fr-CA"/>
    </w:rPr>
  </w:style>
  <w:style w:type="paragraph" w:styleId="Subtitle">
    <w:name w:val="Subtitle"/>
    <w:aliases w:val="Table paragraph"/>
    <w:basedOn w:val="Normal"/>
    <w:next w:val="Normal"/>
    <w:link w:val="SubtitleChar"/>
    <w:uiPriority w:val="11"/>
    <w:qFormat/>
    <w:rsid w:val="00A45213"/>
    <w:pPr>
      <w:numPr>
        <w:ilvl w:val="1"/>
      </w:numPr>
      <w:spacing w:before="120" w:after="120" w:line="240" w:lineRule="auto"/>
    </w:pPr>
    <w:rPr>
      <w:rFonts w:ascii="Arial" w:hAnsi="Arial" w:cs="Arial" w:eastAsiaTheme="minorEastAsia"/>
      <w:bCs/>
      <w:iCs/>
      <w:color w:val="000000" w:themeColor="text1"/>
      <w:sz w:val="18"/>
      <w:szCs w:val="18"/>
      <w:lang w:val="fr-CA"/>
    </w:rPr>
  </w:style>
  <w:style w:type="character" w:styleId="SubtitleChar" w:customStyle="1">
    <w:name w:val="Subtitle Char"/>
    <w:aliases w:val="Table paragraph Char"/>
    <w:basedOn w:val="DefaultParagraphFont"/>
    <w:link w:val="Subtitle"/>
    <w:uiPriority w:val="11"/>
    <w:rsid w:val="00A45213"/>
    <w:rPr>
      <w:rFonts w:ascii="Arial" w:hAnsi="Arial" w:cs="Arial" w:eastAsiaTheme="minorEastAsia"/>
      <w:bCs/>
      <w:iCs/>
      <w:color w:val="000000" w:themeColor="text1"/>
      <w:sz w:val="18"/>
      <w:szCs w:val="18"/>
      <w:lang w:val="fr-CA"/>
    </w:rPr>
  </w:style>
  <w:style w:type="table" w:styleId="TableGrid1" w:customStyle="1">
    <w:name w:val="Table Grid1"/>
    <w:basedOn w:val="TableNormal"/>
    <w:next w:val="TableGrid"/>
    <w:uiPriority w:val="39"/>
    <w:rsid w:val="00A452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07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0285">
      <w:bodyDiv w:val="1"/>
      <w:marLeft w:val="0"/>
      <w:marRight w:val="0"/>
      <w:marTop w:val="0"/>
      <w:marBottom w:val="0"/>
      <w:divBdr>
        <w:top w:val="none" w:sz="0" w:space="0" w:color="auto"/>
        <w:left w:val="none" w:sz="0" w:space="0" w:color="auto"/>
        <w:bottom w:val="none" w:sz="0" w:space="0" w:color="auto"/>
        <w:right w:val="none" w:sz="0" w:space="0" w:color="auto"/>
      </w:divBdr>
      <w:divsChild>
        <w:div w:id="1838689364">
          <w:marLeft w:val="0"/>
          <w:marRight w:val="0"/>
          <w:marTop w:val="0"/>
          <w:marBottom w:val="0"/>
          <w:divBdr>
            <w:top w:val="none" w:sz="0" w:space="0" w:color="auto"/>
            <w:left w:val="none" w:sz="0" w:space="0" w:color="auto"/>
            <w:bottom w:val="none" w:sz="0" w:space="0" w:color="auto"/>
            <w:right w:val="none" w:sz="0" w:space="0" w:color="auto"/>
          </w:divBdr>
          <w:divsChild>
            <w:div w:id="19665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34">
      <w:bodyDiv w:val="1"/>
      <w:marLeft w:val="0"/>
      <w:marRight w:val="0"/>
      <w:marTop w:val="0"/>
      <w:marBottom w:val="0"/>
      <w:divBdr>
        <w:top w:val="none" w:sz="0" w:space="0" w:color="auto"/>
        <w:left w:val="none" w:sz="0" w:space="0" w:color="auto"/>
        <w:bottom w:val="none" w:sz="0" w:space="0" w:color="auto"/>
        <w:right w:val="none" w:sz="0" w:space="0" w:color="auto"/>
      </w:divBdr>
      <w:divsChild>
        <w:div w:id="911961657">
          <w:marLeft w:val="0"/>
          <w:marRight w:val="0"/>
          <w:marTop w:val="0"/>
          <w:marBottom w:val="0"/>
          <w:divBdr>
            <w:top w:val="none" w:sz="0" w:space="0" w:color="auto"/>
            <w:left w:val="none" w:sz="0" w:space="0" w:color="auto"/>
            <w:bottom w:val="none" w:sz="0" w:space="0" w:color="auto"/>
            <w:right w:val="none" w:sz="0" w:space="0" w:color="auto"/>
          </w:divBdr>
          <w:divsChild>
            <w:div w:id="9459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7918">
      <w:bodyDiv w:val="1"/>
      <w:marLeft w:val="0"/>
      <w:marRight w:val="0"/>
      <w:marTop w:val="0"/>
      <w:marBottom w:val="0"/>
      <w:divBdr>
        <w:top w:val="none" w:sz="0" w:space="0" w:color="auto"/>
        <w:left w:val="none" w:sz="0" w:space="0" w:color="auto"/>
        <w:bottom w:val="none" w:sz="0" w:space="0" w:color="auto"/>
        <w:right w:val="none" w:sz="0" w:space="0" w:color="auto"/>
      </w:divBdr>
    </w:div>
    <w:div w:id="1397509067">
      <w:bodyDiv w:val="1"/>
      <w:marLeft w:val="0"/>
      <w:marRight w:val="0"/>
      <w:marTop w:val="0"/>
      <w:marBottom w:val="0"/>
      <w:divBdr>
        <w:top w:val="none" w:sz="0" w:space="0" w:color="auto"/>
        <w:left w:val="none" w:sz="0" w:space="0" w:color="auto"/>
        <w:bottom w:val="none" w:sz="0" w:space="0" w:color="auto"/>
        <w:right w:val="none" w:sz="0" w:space="0" w:color="auto"/>
      </w:divBdr>
      <w:divsChild>
        <w:div w:id="1884100161">
          <w:marLeft w:val="0"/>
          <w:marRight w:val="0"/>
          <w:marTop w:val="0"/>
          <w:marBottom w:val="0"/>
          <w:divBdr>
            <w:top w:val="none" w:sz="0" w:space="0" w:color="auto"/>
            <w:left w:val="none" w:sz="0" w:space="0" w:color="auto"/>
            <w:bottom w:val="none" w:sz="0" w:space="0" w:color="auto"/>
            <w:right w:val="none" w:sz="0" w:space="0" w:color="auto"/>
          </w:divBdr>
          <w:divsChild>
            <w:div w:id="7833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2291">
      <w:bodyDiv w:val="1"/>
      <w:marLeft w:val="0"/>
      <w:marRight w:val="0"/>
      <w:marTop w:val="0"/>
      <w:marBottom w:val="0"/>
      <w:divBdr>
        <w:top w:val="none" w:sz="0" w:space="0" w:color="auto"/>
        <w:left w:val="none" w:sz="0" w:space="0" w:color="auto"/>
        <w:bottom w:val="none" w:sz="0" w:space="0" w:color="auto"/>
        <w:right w:val="none" w:sz="0" w:space="0" w:color="auto"/>
      </w:divBdr>
      <w:divsChild>
        <w:div w:id="812259662">
          <w:marLeft w:val="0"/>
          <w:marRight w:val="0"/>
          <w:marTop w:val="0"/>
          <w:marBottom w:val="0"/>
          <w:divBdr>
            <w:top w:val="none" w:sz="0" w:space="0" w:color="auto"/>
            <w:left w:val="none" w:sz="0" w:space="0" w:color="auto"/>
            <w:bottom w:val="none" w:sz="0" w:space="0" w:color="auto"/>
            <w:right w:val="none" w:sz="0" w:space="0" w:color="auto"/>
          </w:divBdr>
          <w:divsChild>
            <w:div w:id="21155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1360">
      <w:bodyDiv w:val="1"/>
      <w:marLeft w:val="0"/>
      <w:marRight w:val="0"/>
      <w:marTop w:val="0"/>
      <w:marBottom w:val="0"/>
      <w:divBdr>
        <w:top w:val="none" w:sz="0" w:space="0" w:color="auto"/>
        <w:left w:val="none" w:sz="0" w:space="0" w:color="auto"/>
        <w:bottom w:val="none" w:sz="0" w:space="0" w:color="auto"/>
        <w:right w:val="none" w:sz="0" w:space="0" w:color="auto"/>
      </w:divBdr>
      <w:divsChild>
        <w:div w:id="1062751674">
          <w:marLeft w:val="0"/>
          <w:marRight w:val="0"/>
          <w:marTop w:val="0"/>
          <w:marBottom w:val="0"/>
          <w:divBdr>
            <w:top w:val="none" w:sz="0" w:space="0" w:color="auto"/>
            <w:left w:val="none" w:sz="0" w:space="0" w:color="auto"/>
            <w:bottom w:val="none" w:sz="0" w:space="0" w:color="auto"/>
            <w:right w:val="none" w:sz="0" w:space="0" w:color="auto"/>
          </w:divBdr>
          <w:divsChild>
            <w:div w:id="5829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7728">
      <w:bodyDiv w:val="1"/>
      <w:marLeft w:val="0"/>
      <w:marRight w:val="0"/>
      <w:marTop w:val="0"/>
      <w:marBottom w:val="0"/>
      <w:divBdr>
        <w:top w:val="none" w:sz="0" w:space="0" w:color="auto"/>
        <w:left w:val="none" w:sz="0" w:space="0" w:color="auto"/>
        <w:bottom w:val="none" w:sz="0" w:space="0" w:color="auto"/>
        <w:right w:val="none" w:sz="0" w:space="0" w:color="auto"/>
      </w:divBdr>
      <w:divsChild>
        <w:div w:id="1513034036">
          <w:marLeft w:val="0"/>
          <w:marRight w:val="0"/>
          <w:marTop w:val="0"/>
          <w:marBottom w:val="0"/>
          <w:divBdr>
            <w:top w:val="none" w:sz="0" w:space="0" w:color="auto"/>
            <w:left w:val="none" w:sz="0" w:space="0" w:color="auto"/>
            <w:bottom w:val="none" w:sz="0" w:space="0" w:color="auto"/>
            <w:right w:val="none" w:sz="0" w:space="0" w:color="auto"/>
          </w:divBdr>
          <w:divsChild>
            <w:div w:id="902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aws-lois.justice.gc.ca/fra/lois/R-4.5/page-1.htm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laws-lois.justice.gc.ca/fra/lois/r-4.5/page-1.html"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anada.ca/fr/secretariat-conseil-tresor/services/gestion-reglementation-federale/lignes-directrices-outils/politique-limitation-fardeau-reglementaire-entreprises.html" TargetMode="External"/><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canada.ca/fr/secretariat-conseil-tresor/services/gestion-reglementation-federale/lignes-directrices-outils/directive-cabinet-reglementation.html" TargetMode="External"/><Relationship Id="rId29" Type="http://schemas.openxmlformats.org/officeDocument/2006/relationships/hyperlink" Target="https://www.canada.ca/fr/secretariat-conseil-tresor/services/gestion-reglementation-federale/lignes-directrices-outils/politique-analyse-couts-avantag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aws-lois.justice.gc.ca/fra/lois/R-4.5/page-1.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microsoft.com/office/2018/08/relationships/commentsExtensible" Target="commentsExtensible.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s://laws-lois.justice.gc.ca/fra/reglements/DORS-2015-202/page-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canada.ca/fr/gouvernement/systeme/lois/developpement-amelioration-reglementation-federale/exigences-matiere-elaboration-gestion-examen-reglements/lignes-directrices-outils/politique-limitation-fardeau-reglementaire-entreprises.html" TargetMode="External"/><Relationship Id="rId27" Type="http://schemas.microsoft.com/office/2016/09/relationships/commentsIds" Target="commentsIds.xml"/><Relationship Id="rId30" Type="http://schemas.openxmlformats.org/officeDocument/2006/relationships/footer" Target="footer6.xml"/><Relationship Id="rId35" Type="http://schemas.openxmlformats.org/officeDocument/2006/relationships/customXml" Target="../customXml/item3.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150.statcan.gc.ca/t1/tbl1/fr/tv.action?pid=1810000501&amp;request_locale=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AD427A6A4EA84EAE9C0A2EB013E751" ma:contentTypeVersion="16" ma:contentTypeDescription="Create a new document." ma:contentTypeScope="" ma:versionID="1cf1093b6e95b27effd58c33d657053e">
  <xsd:schema xmlns:xsd="http://www.w3.org/2001/XMLSchema" xmlns:xs="http://www.w3.org/2001/XMLSchema" xmlns:p="http://schemas.microsoft.com/office/2006/metadata/properties" xmlns:ns2="4e83f676-8cd4-4cac-9a4e-1c9624eae427" xmlns:ns3="2abf2189-68c2-4ddb-adff-1183eca9c339" targetNamespace="http://schemas.microsoft.com/office/2006/metadata/properties" ma:root="true" ma:fieldsID="9a5f54b11784ca58ce1d0b8490228745" ns2:_="" ns3:_="">
    <xsd:import namespace="4e83f676-8cd4-4cac-9a4e-1c9624eae427"/>
    <xsd:import namespace="2abf2189-68c2-4ddb-adff-1183eca9c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3f676-8cd4-4cac-9a4e-1c9624ea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f2189-68c2-4ddb-adff-1183eca9c3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84a7fe-7b14-42dc-aadd-a61c65704e8e}" ma:internalName="TaxCatchAll" ma:showField="CatchAllData" ma:web="2abf2189-68c2-4ddb-adff-1183eca9c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bf2189-68c2-4ddb-adff-1183eca9c339" xsi:nil="true"/>
    <lcf76f155ced4ddcb4097134ff3c332f xmlns="4e83f676-8cd4-4cac-9a4e-1c9624eae427">
      <Terms xmlns="http://schemas.microsoft.com/office/infopath/2007/PartnerControls"/>
    </lcf76f155ced4ddcb4097134ff3c332f>
    <SharedWithUsers xmlns="2abf2189-68c2-4ddb-adff-1183eca9c339">
      <UserInfo>
        <DisplayName>Nguyen, AnhThai Binh</DisplayName>
        <AccountId>330</AccountId>
        <AccountType/>
      </UserInfo>
      <UserInfo>
        <DisplayName>Large, Melanie (she/her, elle)</DisplayName>
        <AccountId>282</AccountId>
        <AccountType/>
      </UserInfo>
    </SharedWithUsers>
  </documentManagement>
</p:properties>
</file>

<file path=customXml/itemProps1.xml><?xml version="1.0" encoding="utf-8"?>
<ds:datastoreItem xmlns:ds="http://schemas.openxmlformats.org/officeDocument/2006/customXml" ds:itemID="{150AE388-5CF8-4FF2-B9F6-0D362D06591E}">
  <ds:schemaRefs>
    <ds:schemaRef ds:uri="http://schemas.openxmlformats.org/officeDocument/2006/bibliography"/>
  </ds:schemaRefs>
</ds:datastoreItem>
</file>

<file path=customXml/itemProps2.xml><?xml version="1.0" encoding="utf-8"?>
<ds:datastoreItem xmlns:ds="http://schemas.openxmlformats.org/officeDocument/2006/customXml" ds:itemID="{1B436BF9-8164-4861-BA1F-E5A329322138}"/>
</file>

<file path=customXml/itemProps3.xml><?xml version="1.0" encoding="utf-8"?>
<ds:datastoreItem xmlns:ds="http://schemas.openxmlformats.org/officeDocument/2006/customXml" ds:itemID="{80CB8B93-78EC-42FF-BCD6-C2A51EC6E0F2}"/>
</file>

<file path=customXml/itemProps4.xml><?xml version="1.0" encoding="utf-8"?>
<ds:datastoreItem xmlns:ds="http://schemas.openxmlformats.org/officeDocument/2006/customXml" ds:itemID="{5AB111FC-86E1-4AFB-A9A3-4CAC62107A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TBS-SCT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Perrier, Matthew C.</dc:creator>
  <cp:lastModifiedBy>Dodson, Christopher</cp:lastModifiedBy>
  <cp:revision>277</cp:revision>
  <cp:lastPrinted>2018-11-09T12:34:00Z</cp:lastPrinted>
  <dcterms:created xsi:type="dcterms:W3CDTF">2018-11-15T21:05:00Z</dcterms:created>
  <dcterms:modified xsi:type="dcterms:W3CDTF">2024-02-19T17:24:12Z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cb06ce51-be55-4952-887c-2d86bc905171</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2021-03-26T17:59:31.5387076Z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aaeabd14-a784-4fa5-88d2-90c8089b7838</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CDODSON@tbs-sct.gc.ca</vt:lpwstr>
  </property>
  <property fmtid="{D5CDD505-2E9C-101B-9397-08002B2CF9AE}" pid="17" name="MSIP_Label_3515d617-256d-4284-aedb-1064be1c4b48_SetDate">
    <vt:lpwstr>2021-03-26T17:59:31.5387076Z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aaeabd14-a784-4fa5-88d2-90c8089b7838</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y fmtid="{D5CDD505-2E9C-101B-9397-08002B2CF9AE}" pid="24" name="ContentTypeId">
    <vt:lpwstr>0x01010065AD427A6A4EA84EAE9C0A2EB013E751</vt:lpwstr>
  </property>
  <property fmtid="{D5CDD505-2E9C-101B-9397-08002B2CF9AE}" pid="25" name="MediaServiceImageTags">
    <vt:lpwstr/>
  </property>
</Properties>
</file>